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CFB64" w14:textId="77777777" w:rsidR="00190080" w:rsidRDefault="00190080">
      <w:pPr>
        <w:rPr>
          <w:rFonts w:ascii="Times New Roman" w:hAnsi="Times New Roman" w:cs="Times New Roman"/>
          <w:b/>
          <w:bCs/>
          <w:sz w:val="48"/>
          <w:szCs w:val="48"/>
        </w:rPr>
      </w:pPr>
    </w:p>
    <w:p w14:paraId="273B0519" w14:textId="77777777" w:rsidR="00190080" w:rsidRDefault="00190080">
      <w:pPr>
        <w:rPr>
          <w:rFonts w:ascii="Times New Roman" w:hAnsi="Times New Roman" w:cs="Times New Roman"/>
          <w:b/>
          <w:bCs/>
          <w:sz w:val="48"/>
          <w:szCs w:val="48"/>
        </w:rPr>
      </w:pPr>
    </w:p>
    <w:p w14:paraId="1B152C43" w14:textId="77777777" w:rsidR="00190080" w:rsidRDefault="00190080">
      <w:pPr>
        <w:rPr>
          <w:rFonts w:ascii="Times New Roman" w:hAnsi="Times New Roman" w:cs="Times New Roman"/>
          <w:b/>
          <w:bCs/>
          <w:sz w:val="48"/>
          <w:szCs w:val="48"/>
        </w:rPr>
      </w:pPr>
    </w:p>
    <w:p w14:paraId="0C7B6E62" w14:textId="77777777" w:rsidR="00190080" w:rsidRDefault="00190080" w:rsidP="00190080">
      <w:pPr>
        <w:jc w:val="center"/>
        <w:rPr>
          <w:rFonts w:ascii="Times New Roman" w:hAnsi="Times New Roman" w:cs="Times New Roman"/>
          <w:b/>
          <w:bCs/>
          <w:sz w:val="48"/>
          <w:szCs w:val="48"/>
        </w:rPr>
      </w:pPr>
    </w:p>
    <w:p w14:paraId="7FBD1C32" w14:textId="77777777" w:rsidR="00190080" w:rsidRDefault="00190080" w:rsidP="00190080">
      <w:pPr>
        <w:jc w:val="center"/>
        <w:rPr>
          <w:rFonts w:ascii="Times New Roman" w:hAnsi="Times New Roman" w:cs="Times New Roman"/>
          <w:b/>
          <w:bCs/>
          <w:sz w:val="48"/>
          <w:szCs w:val="48"/>
        </w:rPr>
      </w:pPr>
    </w:p>
    <w:p w14:paraId="7E40638A" w14:textId="25DABF13" w:rsidR="00C61DBE" w:rsidRDefault="00C61DBE" w:rsidP="00190080">
      <w:pPr>
        <w:jc w:val="center"/>
        <w:rPr>
          <w:rFonts w:ascii="Times New Roman" w:hAnsi="Times New Roman" w:cs="Times New Roman"/>
          <w:b/>
          <w:bCs/>
          <w:sz w:val="48"/>
          <w:szCs w:val="48"/>
        </w:rPr>
      </w:pPr>
      <w:r>
        <w:rPr>
          <w:rFonts w:ascii="Times New Roman" w:hAnsi="Times New Roman" w:cs="Times New Roman"/>
          <w:b/>
          <w:bCs/>
          <w:sz w:val="48"/>
          <w:szCs w:val="48"/>
        </w:rPr>
        <w:t xml:space="preserve">Fragmented and </w:t>
      </w:r>
      <w:r w:rsidR="009B2846">
        <w:rPr>
          <w:rFonts w:ascii="Times New Roman" w:hAnsi="Times New Roman" w:cs="Times New Roman"/>
          <w:b/>
          <w:bCs/>
          <w:sz w:val="48"/>
          <w:szCs w:val="48"/>
        </w:rPr>
        <w:t>d</w:t>
      </w:r>
      <w:r>
        <w:rPr>
          <w:rFonts w:ascii="Times New Roman" w:hAnsi="Times New Roman" w:cs="Times New Roman"/>
          <w:b/>
          <w:bCs/>
          <w:sz w:val="48"/>
          <w:szCs w:val="48"/>
        </w:rPr>
        <w:t>ealigned</w:t>
      </w:r>
      <w:r w:rsidR="007D3A5E">
        <w:rPr>
          <w:rFonts w:ascii="Times New Roman" w:hAnsi="Times New Roman" w:cs="Times New Roman"/>
          <w:b/>
          <w:bCs/>
          <w:sz w:val="48"/>
          <w:szCs w:val="48"/>
        </w:rPr>
        <w:t xml:space="preserve">: </w:t>
      </w:r>
      <w:r w:rsidR="0074564C">
        <w:rPr>
          <w:rFonts w:ascii="Times New Roman" w:hAnsi="Times New Roman" w:cs="Times New Roman"/>
          <w:b/>
          <w:bCs/>
          <w:sz w:val="48"/>
          <w:szCs w:val="48"/>
        </w:rPr>
        <w:t xml:space="preserve">the </w:t>
      </w:r>
      <w:r w:rsidR="007D3A5E">
        <w:rPr>
          <w:rFonts w:ascii="Times New Roman" w:hAnsi="Times New Roman" w:cs="Times New Roman"/>
          <w:b/>
          <w:bCs/>
          <w:sz w:val="48"/>
          <w:szCs w:val="48"/>
        </w:rPr>
        <w:t>2024 British general election</w:t>
      </w:r>
      <w:r w:rsidR="00AA5A65">
        <w:rPr>
          <w:rFonts w:ascii="Times New Roman" w:hAnsi="Times New Roman" w:cs="Times New Roman"/>
          <w:b/>
          <w:bCs/>
          <w:sz w:val="48"/>
          <w:szCs w:val="48"/>
        </w:rPr>
        <w:t xml:space="preserve"> and the rise of place-based politics</w:t>
      </w:r>
    </w:p>
    <w:p w14:paraId="21BA2383" w14:textId="77777777" w:rsidR="00B01BC7" w:rsidRDefault="00B01BC7" w:rsidP="00190080">
      <w:pPr>
        <w:jc w:val="center"/>
        <w:rPr>
          <w:rFonts w:ascii="Times New Roman" w:hAnsi="Times New Roman" w:cs="Times New Roman"/>
        </w:rPr>
      </w:pPr>
    </w:p>
    <w:p w14:paraId="2EEBBA44" w14:textId="77777777" w:rsidR="00190080" w:rsidRDefault="00190080" w:rsidP="00190080">
      <w:pPr>
        <w:jc w:val="center"/>
        <w:rPr>
          <w:rFonts w:ascii="Times New Roman" w:hAnsi="Times New Roman" w:cs="Times New Roman"/>
        </w:rPr>
      </w:pPr>
    </w:p>
    <w:p w14:paraId="6EA585A4" w14:textId="7C429A78" w:rsidR="00B94E0E" w:rsidRDefault="00DC25B3" w:rsidP="00190080">
      <w:pPr>
        <w:jc w:val="center"/>
        <w:rPr>
          <w:rFonts w:ascii="Times New Roman" w:hAnsi="Times New Roman" w:cs="Times New Roman"/>
        </w:rPr>
      </w:pPr>
      <w:r w:rsidRPr="00DC25B3">
        <w:rPr>
          <w:rFonts w:ascii="Times New Roman" w:hAnsi="Times New Roman" w:cs="Times New Roman"/>
        </w:rPr>
        <w:t xml:space="preserve">Will Jennings, </w:t>
      </w:r>
      <w:r w:rsidR="00B94E0E">
        <w:rPr>
          <w:rFonts w:ascii="Times New Roman" w:hAnsi="Times New Roman" w:cs="Times New Roman"/>
        </w:rPr>
        <w:t>University of Southampton</w:t>
      </w:r>
    </w:p>
    <w:p w14:paraId="459F4B26" w14:textId="6698699D" w:rsidR="00B94E0E" w:rsidRDefault="00DC25B3" w:rsidP="00190080">
      <w:pPr>
        <w:jc w:val="center"/>
        <w:rPr>
          <w:rFonts w:ascii="Times New Roman" w:hAnsi="Times New Roman" w:cs="Times New Roman"/>
        </w:rPr>
      </w:pPr>
      <w:r w:rsidRPr="00DC25B3">
        <w:rPr>
          <w:rFonts w:ascii="Times New Roman" w:hAnsi="Times New Roman" w:cs="Times New Roman"/>
        </w:rPr>
        <w:t xml:space="preserve">Jamie Furlong, </w:t>
      </w:r>
      <w:r w:rsidR="00B94E0E">
        <w:rPr>
          <w:rFonts w:ascii="Times New Roman" w:hAnsi="Times New Roman" w:cs="Times New Roman"/>
        </w:rPr>
        <w:t>University of Westminster</w:t>
      </w:r>
    </w:p>
    <w:p w14:paraId="0032C9A2" w14:textId="219A1536" w:rsidR="00B94E0E" w:rsidRDefault="00DC25B3" w:rsidP="00190080">
      <w:pPr>
        <w:jc w:val="center"/>
        <w:rPr>
          <w:rFonts w:ascii="Times New Roman" w:hAnsi="Times New Roman" w:cs="Times New Roman"/>
        </w:rPr>
      </w:pPr>
      <w:r w:rsidRPr="00DC25B3">
        <w:rPr>
          <w:rFonts w:ascii="Times New Roman" w:hAnsi="Times New Roman" w:cs="Times New Roman"/>
        </w:rPr>
        <w:t>Gerry Stoker</w:t>
      </w:r>
      <w:r w:rsidR="00B94E0E">
        <w:rPr>
          <w:rFonts w:ascii="Times New Roman" w:hAnsi="Times New Roman" w:cs="Times New Roman"/>
        </w:rPr>
        <w:t>,</w:t>
      </w:r>
      <w:r w:rsidR="00B94E0E" w:rsidRPr="00B94E0E">
        <w:rPr>
          <w:rFonts w:ascii="Times New Roman" w:hAnsi="Times New Roman" w:cs="Times New Roman"/>
        </w:rPr>
        <w:t xml:space="preserve"> </w:t>
      </w:r>
      <w:r w:rsidR="00B94E0E">
        <w:rPr>
          <w:rFonts w:ascii="Times New Roman" w:hAnsi="Times New Roman" w:cs="Times New Roman"/>
        </w:rPr>
        <w:t>University of Southampton</w:t>
      </w:r>
    </w:p>
    <w:p w14:paraId="50A496E2" w14:textId="6CA015B8" w:rsidR="00DC25B3" w:rsidRPr="00DC25B3" w:rsidRDefault="00DC25B3" w:rsidP="00190080">
      <w:pPr>
        <w:jc w:val="center"/>
        <w:rPr>
          <w:rFonts w:ascii="Times New Roman" w:hAnsi="Times New Roman" w:cs="Times New Roman"/>
        </w:rPr>
      </w:pPr>
      <w:r w:rsidRPr="00DC25B3">
        <w:rPr>
          <w:rFonts w:ascii="Times New Roman" w:hAnsi="Times New Roman" w:cs="Times New Roman"/>
        </w:rPr>
        <w:t>Lawrence McKay</w:t>
      </w:r>
      <w:r w:rsidR="00B94E0E">
        <w:rPr>
          <w:rFonts w:ascii="Times New Roman" w:hAnsi="Times New Roman" w:cs="Times New Roman"/>
        </w:rPr>
        <w:t>, University of Southampton</w:t>
      </w:r>
    </w:p>
    <w:p w14:paraId="71A10C15" w14:textId="77777777" w:rsidR="00DC25B3" w:rsidRDefault="00DC25B3" w:rsidP="00190080">
      <w:pPr>
        <w:jc w:val="center"/>
        <w:rPr>
          <w:rFonts w:ascii="Times New Roman" w:hAnsi="Times New Roman" w:cs="Times New Roman"/>
        </w:rPr>
      </w:pPr>
    </w:p>
    <w:p w14:paraId="48D5106A" w14:textId="77777777" w:rsidR="00190080" w:rsidRDefault="00190080" w:rsidP="00190080">
      <w:pPr>
        <w:jc w:val="center"/>
        <w:rPr>
          <w:rFonts w:ascii="Times New Roman" w:hAnsi="Times New Roman" w:cs="Times New Roman"/>
        </w:rPr>
      </w:pPr>
    </w:p>
    <w:p w14:paraId="7082A028" w14:textId="1FD8B3C0" w:rsidR="00DC25B3" w:rsidRPr="00DC25B3" w:rsidRDefault="00DC25B3" w:rsidP="00190080">
      <w:pPr>
        <w:jc w:val="center"/>
        <w:rPr>
          <w:rFonts w:ascii="Times New Roman" w:hAnsi="Times New Roman" w:cs="Times New Roman"/>
        </w:rPr>
      </w:pPr>
      <w:r>
        <w:rPr>
          <w:rFonts w:ascii="Times New Roman" w:hAnsi="Times New Roman" w:cs="Times New Roman"/>
        </w:rPr>
        <w:t xml:space="preserve">Article for </w:t>
      </w:r>
      <w:r w:rsidRPr="00AD5385">
        <w:rPr>
          <w:rFonts w:ascii="Times New Roman" w:hAnsi="Times New Roman" w:cs="Times New Roman"/>
          <w:i/>
          <w:iCs/>
        </w:rPr>
        <w:t>The Political Quarterly</w:t>
      </w:r>
    </w:p>
    <w:p w14:paraId="4F93420B" w14:textId="77777777" w:rsidR="00DC25B3" w:rsidRPr="00DC25B3" w:rsidRDefault="00DC25B3">
      <w:pPr>
        <w:rPr>
          <w:rFonts w:ascii="Times New Roman" w:hAnsi="Times New Roman" w:cs="Times New Roman"/>
        </w:rPr>
      </w:pPr>
    </w:p>
    <w:p w14:paraId="6E0D6C4C" w14:textId="77777777" w:rsidR="00190080" w:rsidRDefault="00190080">
      <w:pPr>
        <w:rPr>
          <w:rFonts w:ascii="Times New Roman" w:hAnsi="Times New Roman" w:cs="Times New Roman"/>
          <w:b/>
          <w:bCs/>
        </w:rPr>
      </w:pPr>
      <w:r>
        <w:rPr>
          <w:rFonts w:ascii="Times New Roman" w:hAnsi="Times New Roman" w:cs="Times New Roman"/>
          <w:b/>
          <w:bCs/>
        </w:rPr>
        <w:br w:type="page"/>
      </w:r>
    </w:p>
    <w:p w14:paraId="7C56DD09" w14:textId="77777777" w:rsidR="00AD196A" w:rsidRDefault="00AD196A">
      <w:pPr>
        <w:rPr>
          <w:rFonts w:ascii="Times New Roman" w:hAnsi="Times New Roman" w:cs="Times New Roman"/>
          <w:b/>
          <w:bCs/>
        </w:rPr>
      </w:pPr>
    </w:p>
    <w:p w14:paraId="33977CE9" w14:textId="77777777" w:rsidR="00AD196A" w:rsidRDefault="00AD196A">
      <w:pPr>
        <w:rPr>
          <w:rFonts w:ascii="Times New Roman" w:hAnsi="Times New Roman" w:cs="Times New Roman"/>
          <w:b/>
          <w:bCs/>
        </w:rPr>
      </w:pPr>
    </w:p>
    <w:p w14:paraId="6E981C05" w14:textId="77777777" w:rsidR="00AD196A" w:rsidRDefault="00AD196A">
      <w:pPr>
        <w:rPr>
          <w:rFonts w:ascii="Times New Roman" w:hAnsi="Times New Roman" w:cs="Times New Roman"/>
          <w:b/>
          <w:bCs/>
        </w:rPr>
      </w:pPr>
    </w:p>
    <w:p w14:paraId="7C2855B5" w14:textId="77777777" w:rsidR="00AD196A" w:rsidRDefault="00AD196A">
      <w:pPr>
        <w:rPr>
          <w:rFonts w:ascii="Times New Roman" w:hAnsi="Times New Roman" w:cs="Times New Roman"/>
          <w:b/>
          <w:bCs/>
        </w:rPr>
      </w:pPr>
    </w:p>
    <w:p w14:paraId="518B09BE" w14:textId="77777777" w:rsidR="00131A3E" w:rsidRDefault="00131A3E">
      <w:pPr>
        <w:rPr>
          <w:rFonts w:ascii="Times New Roman" w:hAnsi="Times New Roman" w:cs="Times New Roman"/>
          <w:b/>
          <w:bCs/>
        </w:rPr>
      </w:pPr>
    </w:p>
    <w:p w14:paraId="7D851274" w14:textId="77777777" w:rsidR="00131A3E" w:rsidRDefault="00131A3E">
      <w:pPr>
        <w:rPr>
          <w:rFonts w:ascii="Times New Roman" w:hAnsi="Times New Roman" w:cs="Times New Roman"/>
          <w:b/>
          <w:bCs/>
        </w:rPr>
      </w:pPr>
    </w:p>
    <w:p w14:paraId="75FA4A2B" w14:textId="5E019384" w:rsidR="00004078" w:rsidRPr="00131A3E" w:rsidRDefault="00DC25B3" w:rsidP="00131A3E">
      <w:pPr>
        <w:spacing w:after="0" w:line="480" w:lineRule="auto"/>
        <w:jc w:val="center"/>
        <w:rPr>
          <w:rFonts w:ascii="Times New Roman" w:hAnsi="Times New Roman" w:cs="Times New Roman"/>
          <w:b/>
          <w:bCs/>
        </w:rPr>
      </w:pPr>
      <w:r w:rsidRPr="00131A3E">
        <w:rPr>
          <w:rFonts w:ascii="Times New Roman" w:hAnsi="Times New Roman" w:cs="Times New Roman"/>
          <w:b/>
          <w:bCs/>
        </w:rPr>
        <w:t>Abstract</w:t>
      </w:r>
    </w:p>
    <w:p w14:paraId="103207C2" w14:textId="3F0DC14E" w:rsidR="002C7BA2" w:rsidRDefault="00870BC4" w:rsidP="00CD0A93">
      <w:pPr>
        <w:spacing w:after="0" w:line="480" w:lineRule="auto"/>
        <w:rPr>
          <w:rFonts w:ascii="Times New Roman" w:hAnsi="Times New Roman" w:cs="Times New Roman"/>
        </w:rPr>
      </w:pPr>
      <w:r w:rsidRPr="00131A3E">
        <w:rPr>
          <w:rFonts w:ascii="Times New Roman" w:hAnsi="Times New Roman" w:cs="Times New Roman"/>
        </w:rPr>
        <w:t>While the outcome of the 2024</w:t>
      </w:r>
      <w:r w:rsidR="00261BB4" w:rsidRPr="00131A3E">
        <w:rPr>
          <w:rFonts w:ascii="Times New Roman" w:hAnsi="Times New Roman" w:cs="Times New Roman"/>
        </w:rPr>
        <w:t xml:space="preserve"> British</w:t>
      </w:r>
      <w:r w:rsidRPr="00131A3E">
        <w:rPr>
          <w:rFonts w:ascii="Times New Roman" w:hAnsi="Times New Roman" w:cs="Times New Roman"/>
        </w:rPr>
        <w:t xml:space="preserve"> general election </w:t>
      </w:r>
      <w:r w:rsidR="00A05767" w:rsidRPr="00131A3E">
        <w:rPr>
          <w:rFonts w:ascii="Times New Roman" w:hAnsi="Times New Roman" w:cs="Times New Roman"/>
        </w:rPr>
        <w:t>signalled</w:t>
      </w:r>
      <w:r w:rsidR="00EA0BDA" w:rsidRPr="00131A3E">
        <w:rPr>
          <w:rFonts w:ascii="Times New Roman" w:hAnsi="Times New Roman" w:cs="Times New Roman"/>
        </w:rPr>
        <w:t xml:space="preserve"> a resounding </w:t>
      </w:r>
      <w:r w:rsidR="00BD5594">
        <w:rPr>
          <w:rFonts w:ascii="Times New Roman" w:hAnsi="Times New Roman" w:cs="Times New Roman"/>
        </w:rPr>
        <w:t>repudiation of the incumbent</w:t>
      </w:r>
      <w:r w:rsidR="001454A2">
        <w:rPr>
          <w:rFonts w:ascii="Times New Roman" w:hAnsi="Times New Roman" w:cs="Times New Roman"/>
        </w:rPr>
        <w:t xml:space="preserve"> government</w:t>
      </w:r>
      <w:r w:rsidR="00004078" w:rsidRPr="00131A3E">
        <w:rPr>
          <w:rFonts w:ascii="Times New Roman" w:hAnsi="Times New Roman" w:cs="Times New Roman"/>
        </w:rPr>
        <w:t>,</w:t>
      </w:r>
      <w:r w:rsidR="003E32D6" w:rsidRPr="00131A3E">
        <w:rPr>
          <w:rFonts w:ascii="Times New Roman" w:hAnsi="Times New Roman" w:cs="Times New Roman"/>
        </w:rPr>
        <w:t xml:space="preserve"> retu</w:t>
      </w:r>
      <w:r w:rsidR="00D2495C" w:rsidRPr="00131A3E">
        <w:rPr>
          <w:rFonts w:ascii="Times New Roman" w:hAnsi="Times New Roman" w:cs="Times New Roman"/>
        </w:rPr>
        <w:t xml:space="preserve">rning a </w:t>
      </w:r>
      <w:r w:rsidR="008150B0" w:rsidRPr="00131A3E">
        <w:rPr>
          <w:rFonts w:ascii="Times New Roman" w:hAnsi="Times New Roman" w:cs="Times New Roman"/>
        </w:rPr>
        <w:t>231</w:t>
      </w:r>
      <w:r w:rsidR="00D2495C" w:rsidRPr="00131A3E">
        <w:rPr>
          <w:rFonts w:ascii="Times New Roman" w:hAnsi="Times New Roman" w:cs="Times New Roman"/>
        </w:rPr>
        <w:t>-seat swing from the Conservative</w:t>
      </w:r>
      <w:r w:rsidR="00493E6C" w:rsidRPr="00131A3E">
        <w:rPr>
          <w:rFonts w:ascii="Times New Roman" w:hAnsi="Times New Roman" w:cs="Times New Roman"/>
        </w:rPr>
        <w:t>s</w:t>
      </w:r>
      <w:r w:rsidR="00D2495C" w:rsidRPr="00131A3E">
        <w:rPr>
          <w:rFonts w:ascii="Times New Roman" w:hAnsi="Times New Roman" w:cs="Times New Roman"/>
        </w:rPr>
        <w:t xml:space="preserve"> to Labour,</w:t>
      </w:r>
      <w:r w:rsidR="00004078" w:rsidRPr="00131A3E">
        <w:rPr>
          <w:rFonts w:ascii="Times New Roman" w:hAnsi="Times New Roman" w:cs="Times New Roman"/>
        </w:rPr>
        <w:t xml:space="preserve"> </w:t>
      </w:r>
      <w:r w:rsidR="00285974" w:rsidRPr="00131A3E">
        <w:rPr>
          <w:rFonts w:ascii="Times New Roman" w:hAnsi="Times New Roman" w:cs="Times New Roman"/>
        </w:rPr>
        <w:t xml:space="preserve">it did not </w:t>
      </w:r>
      <w:r w:rsidR="009A5BBA">
        <w:rPr>
          <w:rFonts w:ascii="Times New Roman" w:hAnsi="Times New Roman" w:cs="Times New Roman"/>
        </w:rPr>
        <w:t>radically</w:t>
      </w:r>
      <w:r w:rsidR="00285974" w:rsidRPr="00131A3E">
        <w:rPr>
          <w:rFonts w:ascii="Times New Roman" w:hAnsi="Times New Roman" w:cs="Times New Roman"/>
        </w:rPr>
        <w:t xml:space="preserve"> overturn the geography of </w:t>
      </w:r>
      <w:r w:rsidR="002D6CF7">
        <w:rPr>
          <w:rFonts w:ascii="Times New Roman" w:hAnsi="Times New Roman" w:cs="Times New Roman"/>
        </w:rPr>
        <w:t xml:space="preserve">electoral outcomes </w:t>
      </w:r>
      <w:r w:rsidR="003C3AD1">
        <w:rPr>
          <w:rFonts w:ascii="Times New Roman" w:hAnsi="Times New Roman" w:cs="Times New Roman"/>
        </w:rPr>
        <w:t>in England and Wales</w:t>
      </w:r>
      <w:r w:rsidR="00285974" w:rsidRPr="00131A3E">
        <w:rPr>
          <w:rFonts w:ascii="Times New Roman" w:hAnsi="Times New Roman" w:cs="Times New Roman"/>
        </w:rPr>
        <w:t xml:space="preserve">. </w:t>
      </w:r>
      <w:r w:rsidR="00C5581E" w:rsidRPr="00131A3E">
        <w:rPr>
          <w:rFonts w:ascii="Times New Roman" w:hAnsi="Times New Roman" w:cs="Times New Roman"/>
        </w:rPr>
        <w:t xml:space="preserve">Indeed, demographic predictors of </w:t>
      </w:r>
      <w:r w:rsidR="005609BA" w:rsidRPr="00131A3E">
        <w:rPr>
          <w:rFonts w:ascii="Times New Roman" w:hAnsi="Times New Roman" w:cs="Times New Roman"/>
        </w:rPr>
        <w:t xml:space="preserve">party </w:t>
      </w:r>
      <w:r w:rsidR="00C5581E" w:rsidRPr="00131A3E">
        <w:rPr>
          <w:rFonts w:ascii="Times New Roman" w:hAnsi="Times New Roman" w:cs="Times New Roman"/>
        </w:rPr>
        <w:t>vot</w:t>
      </w:r>
      <w:r w:rsidR="005609BA" w:rsidRPr="00131A3E">
        <w:rPr>
          <w:rFonts w:ascii="Times New Roman" w:hAnsi="Times New Roman" w:cs="Times New Roman"/>
        </w:rPr>
        <w:t>e for parliamentary constituencies</w:t>
      </w:r>
      <w:r w:rsidR="00152989">
        <w:rPr>
          <w:rFonts w:ascii="Times New Roman" w:hAnsi="Times New Roman" w:cs="Times New Roman"/>
        </w:rPr>
        <w:t xml:space="preserve"> at the aggregate-level</w:t>
      </w:r>
      <w:r w:rsidR="005609BA" w:rsidRPr="00131A3E">
        <w:rPr>
          <w:rFonts w:ascii="Times New Roman" w:hAnsi="Times New Roman" w:cs="Times New Roman"/>
        </w:rPr>
        <w:t xml:space="preserve"> </w:t>
      </w:r>
      <w:r w:rsidR="00ED03E3" w:rsidRPr="00131A3E">
        <w:rPr>
          <w:rFonts w:ascii="Times New Roman" w:hAnsi="Times New Roman" w:cs="Times New Roman"/>
        </w:rPr>
        <w:t xml:space="preserve">mostly </w:t>
      </w:r>
      <w:r w:rsidR="00C5581E" w:rsidRPr="00131A3E">
        <w:rPr>
          <w:rFonts w:ascii="Times New Roman" w:hAnsi="Times New Roman" w:cs="Times New Roman"/>
        </w:rPr>
        <w:t>represented a continuation</w:t>
      </w:r>
      <w:r w:rsidR="00265608" w:rsidRPr="00131A3E">
        <w:rPr>
          <w:rFonts w:ascii="Times New Roman" w:hAnsi="Times New Roman" w:cs="Times New Roman"/>
        </w:rPr>
        <w:t xml:space="preserve"> of recent trends</w:t>
      </w:r>
      <w:r w:rsidR="00802510">
        <w:rPr>
          <w:rFonts w:ascii="Times New Roman" w:hAnsi="Times New Roman" w:cs="Times New Roman"/>
        </w:rPr>
        <w:t xml:space="preserve"> – as did the areas where the</w:t>
      </w:r>
      <w:r w:rsidR="00DF13F3">
        <w:rPr>
          <w:rFonts w:ascii="Times New Roman" w:hAnsi="Times New Roman" w:cs="Times New Roman"/>
        </w:rPr>
        <w:t xml:space="preserve"> two</w:t>
      </w:r>
      <w:r w:rsidR="00802510">
        <w:rPr>
          <w:rFonts w:ascii="Times New Roman" w:hAnsi="Times New Roman" w:cs="Times New Roman"/>
        </w:rPr>
        <w:t xml:space="preserve"> part</w:t>
      </w:r>
      <w:r w:rsidR="00A55528">
        <w:rPr>
          <w:rFonts w:ascii="Times New Roman" w:hAnsi="Times New Roman" w:cs="Times New Roman"/>
        </w:rPr>
        <w:t>ie</w:t>
      </w:r>
      <w:r w:rsidR="00802510">
        <w:rPr>
          <w:rFonts w:ascii="Times New Roman" w:hAnsi="Times New Roman" w:cs="Times New Roman"/>
        </w:rPr>
        <w:t xml:space="preserve">s tended to </w:t>
      </w:r>
      <w:r w:rsidR="00037782">
        <w:rPr>
          <w:rFonts w:ascii="Times New Roman" w:hAnsi="Times New Roman" w:cs="Times New Roman"/>
        </w:rPr>
        <w:t>‘</w:t>
      </w:r>
      <w:r w:rsidR="00802510">
        <w:rPr>
          <w:rFonts w:ascii="Times New Roman" w:hAnsi="Times New Roman" w:cs="Times New Roman"/>
        </w:rPr>
        <w:t>over</w:t>
      </w:r>
      <w:r w:rsidR="00E54964">
        <w:rPr>
          <w:rFonts w:ascii="Times New Roman" w:hAnsi="Times New Roman" w:cs="Times New Roman"/>
        </w:rPr>
        <w:t>’</w:t>
      </w:r>
      <w:r w:rsidR="00802510">
        <w:rPr>
          <w:rFonts w:ascii="Times New Roman" w:hAnsi="Times New Roman" w:cs="Times New Roman"/>
        </w:rPr>
        <w:t xml:space="preserve">- and </w:t>
      </w:r>
      <w:r w:rsidR="00037782">
        <w:rPr>
          <w:rFonts w:ascii="Times New Roman" w:hAnsi="Times New Roman" w:cs="Times New Roman"/>
        </w:rPr>
        <w:t>‘</w:t>
      </w:r>
      <w:r w:rsidR="00802510">
        <w:rPr>
          <w:rFonts w:ascii="Times New Roman" w:hAnsi="Times New Roman" w:cs="Times New Roman"/>
        </w:rPr>
        <w:t>under-perform</w:t>
      </w:r>
      <w:r w:rsidR="00037782">
        <w:rPr>
          <w:rFonts w:ascii="Times New Roman" w:hAnsi="Times New Roman" w:cs="Times New Roman"/>
        </w:rPr>
        <w:t xml:space="preserve">’ </w:t>
      </w:r>
      <w:r w:rsidR="00802510">
        <w:rPr>
          <w:rFonts w:ascii="Times New Roman" w:hAnsi="Times New Roman" w:cs="Times New Roman"/>
        </w:rPr>
        <w:t>those predictors</w:t>
      </w:r>
      <w:r w:rsidR="00265608" w:rsidRPr="00131A3E">
        <w:rPr>
          <w:rFonts w:ascii="Times New Roman" w:hAnsi="Times New Roman" w:cs="Times New Roman"/>
        </w:rPr>
        <w:t xml:space="preserve">. </w:t>
      </w:r>
      <w:r w:rsidR="00C36294" w:rsidRPr="00131A3E">
        <w:rPr>
          <w:rFonts w:ascii="Times New Roman" w:hAnsi="Times New Roman" w:cs="Times New Roman"/>
        </w:rPr>
        <w:t>With</w:t>
      </w:r>
      <w:r w:rsidR="00C5581E" w:rsidRPr="00131A3E">
        <w:rPr>
          <w:rFonts w:ascii="Times New Roman" w:hAnsi="Times New Roman" w:cs="Times New Roman"/>
        </w:rPr>
        <w:t xml:space="preserve"> the </w:t>
      </w:r>
      <w:r w:rsidR="00B70195" w:rsidRPr="00131A3E">
        <w:rPr>
          <w:rFonts w:ascii="Times New Roman" w:hAnsi="Times New Roman" w:cs="Times New Roman"/>
        </w:rPr>
        <w:t>Conservative</w:t>
      </w:r>
      <w:r w:rsidR="00973ECD" w:rsidRPr="00131A3E">
        <w:rPr>
          <w:rFonts w:ascii="Times New Roman" w:hAnsi="Times New Roman" w:cs="Times New Roman"/>
        </w:rPr>
        <w:t xml:space="preserve"> Party’s</w:t>
      </w:r>
      <w:r w:rsidR="00B70195" w:rsidRPr="00131A3E">
        <w:rPr>
          <w:rFonts w:ascii="Times New Roman" w:hAnsi="Times New Roman" w:cs="Times New Roman"/>
        </w:rPr>
        <w:t xml:space="preserve"> vote collaps</w:t>
      </w:r>
      <w:r w:rsidR="00C36294" w:rsidRPr="00131A3E">
        <w:rPr>
          <w:rFonts w:ascii="Times New Roman" w:hAnsi="Times New Roman" w:cs="Times New Roman"/>
        </w:rPr>
        <w:t>ing</w:t>
      </w:r>
      <w:r w:rsidR="00B70195" w:rsidRPr="00131A3E">
        <w:rPr>
          <w:rFonts w:ascii="Times New Roman" w:hAnsi="Times New Roman" w:cs="Times New Roman"/>
        </w:rPr>
        <w:t xml:space="preserve"> </w:t>
      </w:r>
      <w:r w:rsidR="00DC7890" w:rsidRPr="00131A3E">
        <w:rPr>
          <w:rFonts w:ascii="Times New Roman" w:hAnsi="Times New Roman" w:cs="Times New Roman"/>
        </w:rPr>
        <w:t xml:space="preserve">most in areas </w:t>
      </w:r>
      <w:r w:rsidR="006709AA" w:rsidRPr="00131A3E">
        <w:rPr>
          <w:rFonts w:ascii="Times New Roman" w:hAnsi="Times New Roman" w:cs="Times New Roman"/>
        </w:rPr>
        <w:t xml:space="preserve">where it </w:t>
      </w:r>
      <w:r w:rsidR="00973ECD" w:rsidRPr="00131A3E">
        <w:rPr>
          <w:rFonts w:ascii="Times New Roman" w:hAnsi="Times New Roman" w:cs="Times New Roman"/>
        </w:rPr>
        <w:t>started</w:t>
      </w:r>
      <w:r w:rsidR="006709AA" w:rsidRPr="00131A3E">
        <w:rPr>
          <w:rFonts w:ascii="Times New Roman" w:hAnsi="Times New Roman" w:cs="Times New Roman"/>
        </w:rPr>
        <w:t xml:space="preserve"> highest</w:t>
      </w:r>
      <w:r w:rsidR="0047300E" w:rsidRPr="00131A3E">
        <w:rPr>
          <w:rFonts w:ascii="Times New Roman" w:hAnsi="Times New Roman" w:cs="Times New Roman"/>
        </w:rPr>
        <w:t xml:space="preserve"> (and where the Leave vote had been highest in 2016)</w:t>
      </w:r>
      <w:r w:rsidR="00DC7890" w:rsidRPr="00131A3E">
        <w:rPr>
          <w:rFonts w:ascii="Times New Roman" w:hAnsi="Times New Roman" w:cs="Times New Roman"/>
        </w:rPr>
        <w:t xml:space="preserve">, </w:t>
      </w:r>
      <w:r w:rsidR="00C5581E" w:rsidRPr="00131A3E">
        <w:rPr>
          <w:rFonts w:ascii="Times New Roman" w:hAnsi="Times New Roman" w:cs="Times New Roman"/>
        </w:rPr>
        <w:t xml:space="preserve">Labour </w:t>
      </w:r>
      <w:r w:rsidR="00283FFF" w:rsidRPr="00131A3E">
        <w:rPr>
          <w:rFonts w:ascii="Times New Roman" w:hAnsi="Times New Roman" w:cs="Times New Roman"/>
        </w:rPr>
        <w:t xml:space="preserve">secured </w:t>
      </w:r>
      <w:r w:rsidR="00ED6710" w:rsidRPr="00131A3E">
        <w:rPr>
          <w:rFonts w:ascii="Times New Roman" w:hAnsi="Times New Roman" w:cs="Times New Roman"/>
        </w:rPr>
        <w:t>shock</w:t>
      </w:r>
      <w:r w:rsidR="00283FFF" w:rsidRPr="00131A3E">
        <w:rPr>
          <w:rFonts w:ascii="Times New Roman" w:hAnsi="Times New Roman" w:cs="Times New Roman"/>
        </w:rPr>
        <w:t xml:space="preserve"> victories in </w:t>
      </w:r>
      <w:r w:rsidR="00B66D63" w:rsidRPr="00131A3E">
        <w:rPr>
          <w:rFonts w:ascii="Times New Roman" w:hAnsi="Times New Roman" w:cs="Times New Roman"/>
        </w:rPr>
        <w:t>relatively affluent</w:t>
      </w:r>
      <w:r w:rsidR="00C901EB" w:rsidRPr="00131A3E">
        <w:rPr>
          <w:rFonts w:ascii="Times New Roman" w:hAnsi="Times New Roman" w:cs="Times New Roman"/>
        </w:rPr>
        <w:t xml:space="preserve"> </w:t>
      </w:r>
      <w:r w:rsidR="00C901EB" w:rsidRPr="00221F51">
        <w:rPr>
          <w:rFonts w:ascii="Times New Roman" w:hAnsi="Times New Roman" w:cs="Times New Roman"/>
        </w:rPr>
        <w:t xml:space="preserve">parts of </w:t>
      </w:r>
      <w:r w:rsidR="00283FFF" w:rsidRPr="00221F51">
        <w:rPr>
          <w:rFonts w:ascii="Times New Roman" w:hAnsi="Times New Roman" w:cs="Times New Roman"/>
        </w:rPr>
        <w:t xml:space="preserve">the </w:t>
      </w:r>
      <w:r w:rsidR="00C901EB" w:rsidRPr="00221F51">
        <w:rPr>
          <w:rFonts w:ascii="Times New Roman" w:hAnsi="Times New Roman" w:cs="Times New Roman"/>
        </w:rPr>
        <w:t>South</w:t>
      </w:r>
      <w:r w:rsidR="00283FFF" w:rsidRPr="00221F51">
        <w:rPr>
          <w:rFonts w:ascii="Times New Roman" w:hAnsi="Times New Roman" w:cs="Times New Roman"/>
        </w:rPr>
        <w:t xml:space="preserve"> of</w:t>
      </w:r>
      <w:r w:rsidR="00C901EB" w:rsidRPr="00221F51">
        <w:rPr>
          <w:rFonts w:ascii="Times New Roman" w:hAnsi="Times New Roman" w:cs="Times New Roman"/>
        </w:rPr>
        <w:t xml:space="preserve"> England</w:t>
      </w:r>
      <w:r w:rsidR="0047300E" w:rsidRPr="00221F51">
        <w:rPr>
          <w:rFonts w:ascii="Times New Roman" w:hAnsi="Times New Roman" w:cs="Times New Roman"/>
        </w:rPr>
        <w:t xml:space="preserve"> as well as retaking </w:t>
      </w:r>
      <w:r w:rsidR="002C7BA2" w:rsidRPr="00221F51">
        <w:rPr>
          <w:rFonts w:ascii="Times New Roman" w:hAnsi="Times New Roman" w:cs="Times New Roman"/>
        </w:rPr>
        <w:t>all the ‘Red Wall’ constituencies in the North of England that it had lost in 2019</w:t>
      </w:r>
      <w:r w:rsidR="005A2C2D" w:rsidRPr="00221F51">
        <w:rPr>
          <w:rFonts w:ascii="Times New Roman" w:hAnsi="Times New Roman" w:cs="Times New Roman"/>
        </w:rPr>
        <w:t>, despite its national vote</w:t>
      </w:r>
      <w:r w:rsidR="00DD45E8" w:rsidRPr="00221F51">
        <w:rPr>
          <w:rFonts w:ascii="Times New Roman" w:hAnsi="Times New Roman" w:cs="Times New Roman"/>
        </w:rPr>
        <w:t xml:space="preserve"> share</w:t>
      </w:r>
      <w:r w:rsidR="005A2C2D" w:rsidRPr="00221F51">
        <w:rPr>
          <w:rFonts w:ascii="Times New Roman" w:hAnsi="Times New Roman" w:cs="Times New Roman"/>
        </w:rPr>
        <w:t xml:space="preserve"> o</w:t>
      </w:r>
      <w:r w:rsidR="00DD45E8" w:rsidRPr="00221F51">
        <w:rPr>
          <w:rFonts w:ascii="Times New Roman" w:hAnsi="Times New Roman" w:cs="Times New Roman"/>
        </w:rPr>
        <w:t xml:space="preserve">nly increasing </w:t>
      </w:r>
      <w:r w:rsidR="00131DE8" w:rsidRPr="00221F51">
        <w:rPr>
          <w:rFonts w:ascii="Times New Roman" w:hAnsi="Times New Roman" w:cs="Times New Roman"/>
        </w:rPr>
        <w:t>slightly</w:t>
      </w:r>
      <w:r w:rsidR="00C5581E" w:rsidRPr="00221F51">
        <w:rPr>
          <w:rFonts w:ascii="Times New Roman" w:hAnsi="Times New Roman" w:cs="Times New Roman"/>
        </w:rPr>
        <w:t>. This</w:t>
      </w:r>
      <w:r w:rsidR="00C901EB" w:rsidRPr="00221F51">
        <w:rPr>
          <w:rFonts w:ascii="Times New Roman" w:hAnsi="Times New Roman" w:cs="Times New Roman"/>
        </w:rPr>
        <w:t xml:space="preserve"> represented the </w:t>
      </w:r>
      <w:r w:rsidR="004A406C" w:rsidRPr="00221F51">
        <w:rPr>
          <w:rFonts w:ascii="Times New Roman" w:hAnsi="Times New Roman" w:cs="Times New Roman"/>
        </w:rPr>
        <w:t>other end</w:t>
      </w:r>
      <w:r w:rsidR="00C901EB" w:rsidRPr="00221F51">
        <w:rPr>
          <w:rFonts w:ascii="Times New Roman" w:hAnsi="Times New Roman" w:cs="Times New Roman"/>
        </w:rPr>
        <w:t xml:space="preserve"> </w:t>
      </w:r>
      <w:r w:rsidR="003711B7" w:rsidRPr="00221F51">
        <w:rPr>
          <w:rFonts w:ascii="Times New Roman" w:hAnsi="Times New Roman" w:cs="Times New Roman"/>
        </w:rPr>
        <w:t>of the</w:t>
      </w:r>
      <w:r w:rsidR="003C3861" w:rsidRPr="00221F51">
        <w:rPr>
          <w:rFonts w:ascii="Times New Roman" w:hAnsi="Times New Roman" w:cs="Times New Roman"/>
        </w:rPr>
        <w:t xml:space="preserve"> </w:t>
      </w:r>
      <w:r w:rsidR="00151B44" w:rsidRPr="00221F51">
        <w:rPr>
          <w:rFonts w:ascii="Times New Roman" w:hAnsi="Times New Roman" w:cs="Times New Roman"/>
        </w:rPr>
        <w:t>‘</w:t>
      </w:r>
      <w:r w:rsidR="00C901EB" w:rsidRPr="00221F51">
        <w:rPr>
          <w:rFonts w:ascii="Times New Roman" w:hAnsi="Times New Roman" w:cs="Times New Roman"/>
        </w:rPr>
        <w:t>realignment</w:t>
      </w:r>
      <w:r w:rsidR="00151B44" w:rsidRPr="00221F51">
        <w:rPr>
          <w:rFonts w:ascii="Times New Roman" w:hAnsi="Times New Roman" w:cs="Times New Roman"/>
        </w:rPr>
        <w:t>’</w:t>
      </w:r>
      <w:r w:rsidR="003C3861" w:rsidRPr="00221F51">
        <w:rPr>
          <w:rFonts w:ascii="Times New Roman" w:hAnsi="Times New Roman" w:cs="Times New Roman"/>
        </w:rPr>
        <w:t xml:space="preserve"> observed in 2019</w:t>
      </w:r>
      <w:r w:rsidR="00F32C24" w:rsidRPr="00221F51">
        <w:rPr>
          <w:rFonts w:ascii="Times New Roman" w:hAnsi="Times New Roman" w:cs="Times New Roman"/>
        </w:rPr>
        <w:t xml:space="preserve"> – as the electoral tide went out on the </w:t>
      </w:r>
      <w:r w:rsidR="009A73DB" w:rsidRPr="00221F51">
        <w:rPr>
          <w:rFonts w:ascii="Times New Roman" w:hAnsi="Times New Roman" w:cs="Times New Roman"/>
        </w:rPr>
        <w:t>Conservative</w:t>
      </w:r>
      <w:r w:rsidR="0034199C" w:rsidRPr="00221F51">
        <w:rPr>
          <w:rFonts w:ascii="Times New Roman" w:hAnsi="Times New Roman" w:cs="Times New Roman"/>
        </w:rPr>
        <w:t>s</w:t>
      </w:r>
      <w:r w:rsidR="00BD4046" w:rsidRPr="00221F51">
        <w:rPr>
          <w:rFonts w:ascii="Times New Roman" w:hAnsi="Times New Roman" w:cs="Times New Roman"/>
        </w:rPr>
        <w:t xml:space="preserve"> the </w:t>
      </w:r>
      <w:r w:rsidR="007F4C7D" w:rsidRPr="00221F51">
        <w:rPr>
          <w:rFonts w:ascii="Times New Roman" w:hAnsi="Times New Roman" w:cs="Times New Roman"/>
        </w:rPr>
        <w:t xml:space="preserve">relative </w:t>
      </w:r>
      <w:r w:rsidR="00BD4046" w:rsidRPr="00221F51">
        <w:rPr>
          <w:rFonts w:ascii="Times New Roman" w:hAnsi="Times New Roman" w:cs="Times New Roman"/>
        </w:rPr>
        <w:t xml:space="preserve">weakening of </w:t>
      </w:r>
      <w:r w:rsidR="0034199C" w:rsidRPr="00221F51">
        <w:rPr>
          <w:rFonts w:ascii="Times New Roman" w:hAnsi="Times New Roman" w:cs="Times New Roman"/>
        </w:rPr>
        <w:t>their</w:t>
      </w:r>
      <w:r w:rsidR="00BD4046" w:rsidRPr="00221F51">
        <w:rPr>
          <w:rFonts w:ascii="Times New Roman" w:hAnsi="Times New Roman" w:cs="Times New Roman"/>
        </w:rPr>
        <w:t xml:space="preserve"> support in areas with</w:t>
      </w:r>
      <w:r w:rsidR="00CC7727" w:rsidRPr="00221F51">
        <w:rPr>
          <w:rFonts w:ascii="Times New Roman" w:hAnsi="Times New Roman" w:cs="Times New Roman"/>
        </w:rPr>
        <w:t xml:space="preserve"> graduates,</w:t>
      </w:r>
      <w:r w:rsidR="00BD4046" w:rsidRPr="00221F51">
        <w:rPr>
          <w:rFonts w:ascii="Times New Roman" w:hAnsi="Times New Roman" w:cs="Times New Roman"/>
        </w:rPr>
        <w:t xml:space="preserve"> </w:t>
      </w:r>
      <w:r w:rsidR="003D3BB9" w:rsidRPr="00221F51">
        <w:rPr>
          <w:rFonts w:ascii="Times New Roman" w:hAnsi="Times New Roman" w:cs="Times New Roman"/>
        </w:rPr>
        <w:t>middle class</w:t>
      </w:r>
      <w:r w:rsidR="00BD4046" w:rsidRPr="00221F51">
        <w:rPr>
          <w:rFonts w:ascii="Times New Roman" w:hAnsi="Times New Roman" w:cs="Times New Roman"/>
        </w:rPr>
        <w:t xml:space="preserve"> professional</w:t>
      </w:r>
      <w:r w:rsidR="003D3BB9" w:rsidRPr="00221F51">
        <w:rPr>
          <w:rFonts w:ascii="Times New Roman" w:hAnsi="Times New Roman" w:cs="Times New Roman"/>
        </w:rPr>
        <w:t>s</w:t>
      </w:r>
      <w:r w:rsidR="0034199C" w:rsidRPr="00221F51">
        <w:rPr>
          <w:rFonts w:ascii="Times New Roman" w:hAnsi="Times New Roman" w:cs="Times New Roman"/>
        </w:rPr>
        <w:t xml:space="preserve"> and</w:t>
      </w:r>
      <w:r w:rsidR="00BD4046" w:rsidRPr="00221F51">
        <w:rPr>
          <w:rFonts w:ascii="Times New Roman" w:hAnsi="Times New Roman" w:cs="Times New Roman"/>
        </w:rPr>
        <w:t xml:space="preserve"> </w:t>
      </w:r>
      <w:r w:rsidR="0034199C" w:rsidRPr="00221F51">
        <w:rPr>
          <w:rFonts w:ascii="Times New Roman" w:hAnsi="Times New Roman" w:cs="Times New Roman"/>
        </w:rPr>
        <w:t xml:space="preserve">mortgage holders </w:t>
      </w:r>
      <w:r w:rsidR="00365986" w:rsidRPr="00221F51">
        <w:rPr>
          <w:rFonts w:ascii="Times New Roman" w:hAnsi="Times New Roman" w:cs="Times New Roman"/>
        </w:rPr>
        <w:t>came home to roost.</w:t>
      </w:r>
      <w:r w:rsidR="001019AE" w:rsidRPr="00221F51">
        <w:rPr>
          <w:rFonts w:ascii="Times New Roman" w:hAnsi="Times New Roman" w:cs="Times New Roman"/>
        </w:rPr>
        <w:t xml:space="preserve"> The election </w:t>
      </w:r>
      <w:r w:rsidR="008C7EB7" w:rsidRPr="00221F51">
        <w:rPr>
          <w:rFonts w:ascii="Times New Roman" w:hAnsi="Times New Roman" w:cs="Times New Roman"/>
        </w:rPr>
        <w:t>exposed</w:t>
      </w:r>
      <w:r w:rsidR="001019AE" w:rsidRPr="00221F51">
        <w:rPr>
          <w:rFonts w:ascii="Times New Roman" w:hAnsi="Times New Roman" w:cs="Times New Roman"/>
        </w:rPr>
        <w:t xml:space="preserve"> a fragmented </w:t>
      </w:r>
      <w:r w:rsidR="005F0A2F" w:rsidRPr="00221F51">
        <w:rPr>
          <w:rFonts w:ascii="Times New Roman" w:hAnsi="Times New Roman" w:cs="Times New Roman"/>
        </w:rPr>
        <w:t xml:space="preserve">and marginal map, </w:t>
      </w:r>
      <w:r w:rsidR="008C7EB7" w:rsidRPr="00221F51">
        <w:rPr>
          <w:rFonts w:ascii="Times New Roman" w:hAnsi="Times New Roman" w:cs="Times New Roman"/>
        </w:rPr>
        <w:t>bequeathing</w:t>
      </w:r>
      <w:r w:rsidR="005F0A2F" w:rsidRPr="00221F51">
        <w:rPr>
          <w:rFonts w:ascii="Times New Roman" w:hAnsi="Times New Roman" w:cs="Times New Roman"/>
        </w:rPr>
        <w:t xml:space="preserve"> a fragile </w:t>
      </w:r>
      <w:r w:rsidR="00C563B6" w:rsidRPr="00221F51">
        <w:rPr>
          <w:rFonts w:ascii="Times New Roman" w:hAnsi="Times New Roman" w:cs="Times New Roman"/>
        </w:rPr>
        <w:t>electoral future</w:t>
      </w:r>
      <w:r w:rsidR="00722919" w:rsidRPr="00221F51">
        <w:rPr>
          <w:rFonts w:ascii="Times New Roman" w:hAnsi="Times New Roman" w:cs="Times New Roman"/>
        </w:rPr>
        <w:t xml:space="preserve"> despite</w:t>
      </w:r>
      <w:r w:rsidR="00722919">
        <w:rPr>
          <w:rFonts w:ascii="Times New Roman" w:hAnsi="Times New Roman" w:cs="Times New Roman"/>
        </w:rPr>
        <w:t xml:space="preserve"> the Starmer government’s large majority</w:t>
      </w:r>
      <w:r w:rsidR="00CF18D7">
        <w:rPr>
          <w:rFonts w:ascii="Times New Roman" w:hAnsi="Times New Roman" w:cs="Times New Roman"/>
        </w:rPr>
        <w:t xml:space="preserve"> in parliament</w:t>
      </w:r>
      <w:r w:rsidR="00C563B6">
        <w:rPr>
          <w:rFonts w:ascii="Times New Roman" w:hAnsi="Times New Roman" w:cs="Times New Roman"/>
        </w:rPr>
        <w:t xml:space="preserve">. </w:t>
      </w:r>
      <w:r w:rsidR="00365986" w:rsidRPr="00131A3E">
        <w:rPr>
          <w:rFonts w:ascii="Times New Roman" w:hAnsi="Times New Roman" w:cs="Times New Roman"/>
        </w:rPr>
        <w:t xml:space="preserve"> </w:t>
      </w:r>
    </w:p>
    <w:p w14:paraId="65E3DCE5" w14:textId="77777777" w:rsidR="00124628" w:rsidRDefault="00124628" w:rsidP="00CD0A93">
      <w:pPr>
        <w:spacing w:after="0" w:line="480" w:lineRule="auto"/>
        <w:rPr>
          <w:rFonts w:ascii="Times New Roman" w:hAnsi="Times New Roman" w:cs="Times New Roman"/>
        </w:rPr>
      </w:pPr>
    </w:p>
    <w:p w14:paraId="3FBDEEC7" w14:textId="496A5936" w:rsidR="00940F56" w:rsidRDefault="00940F56" w:rsidP="00004078">
      <w:pPr>
        <w:spacing w:after="0" w:line="480" w:lineRule="auto"/>
        <w:rPr>
          <w:rFonts w:ascii="Times New Roman" w:hAnsi="Times New Roman" w:cs="Times New Roman"/>
        </w:rPr>
      </w:pPr>
      <w:r>
        <w:rPr>
          <w:rFonts w:ascii="Times New Roman" w:hAnsi="Times New Roman" w:cs="Times New Roman"/>
        </w:rPr>
        <w:br w:type="page"/>
      </w:r>
    </w:p>
    <w:p w14:paraId="2E8534E0" w14:textId="7B686BEC" w:rsidR="00B14D27" w:rsidRDefault="00C623FA" w:rsidP="00F24335">
      <w:pPr>
        <w:pStyle w:val="xmsonormal"/>
        <w:shd w:val="clear" w:color="auto" w:fill="FFFFFF" w:themeFill="background1"/>
        <w:spacing w:before="0" w:beforeAutospacing="0" w:after="0" w:afterAutospacing="0" w:line="480" w:lineRule="auto"/>
        <w:ind w:firstLine="720"/>
        <w:rPr>
          <w:color w:val="201F1E"/>
          <w:sz w:val="22"/>
          <w:szCs w:val="22"/>
        </w:rPr>
      </w:pPr>
      <w:r>
        <w:rPr>
          <w:color w:val="201F1E"/>
          <w:sz w:val="22"/>
          <w:szCs w:val="22"/>
        </w:rPr>
        <w:lastRenderedPageBreak/>
        <w:t>While the</w:t>
      </w:r>
      <w:r w:rsidR="004364D9">
        <w:rPr>
          <w:color w:val="201F1E"/>
          <w:sz w:val="22"/>
          <w:szCs w:val="22"/>
        </w:rPr>
        <w:t xml:space="preserve"> </w:t>
      </w:r>
      <w:r>
        <w:rPr>
          <w:color w:val="201F1E"/>
          <w:sz w:val="22"/>
          <w:szCs w:val="22"/>
        </w:rPr>
        <w:t xml:space="preserve">2024 </w:t>
      </w:r>
      <w:r w:rsidR="00700FDA">
        <w:rPr>
          <w:color w:val="201F1E"/>
          <w:sz w:val="22"/>
          <w:szCs w:val="22"/>
        </w:rPr>
        <w:t xml:space="preserve">British </w:t>
      </w:r>
      <w:r w:rsidR="00A5652D">
        <w:rPr>
          <w:color w:val="201F1E"/>
          <w:sz w:val="22"/>
          <w:szCs w:val="22"/>
        </w:rPr>
        <w:t xml:space="preserve">general </w:t>
      </w:r>
      <w:r>
        <w:rPr>
          <w:color w:val="201F1E"/>
          <w:sz w:val="22"/>
          <w:szCs w:val="22"/>
        </w:rPr>
        <w:t xml:space="preserve">election </w:t>
      </w:r>
      <w:r w:rsidR="00F12907">
        <w:rPr>
          <w:color w:val="201F1E"/>
          <w:sz w:val="22"/>
          <w:szCs w:val="22"/>
        </w:rPr>
        <w:t xml:space="preserve">marked </w:t>
      </w:r>
      <w:r w:rsidR="004C7CAD">
        <w:rPr>
          <w:color w:val="201F1E"/>
          <w:sz w:val="22"/>
          <w:szCs w:val="22"/>
        </w:rPr>
        <w:t xml:space="preserve">the end of an era of Conservative rule </w:t>
      </w:r>
      <w:r w:rsidR="004D4CA0">
        <w:rPr>
          <w:color w:val="201F1E"/>
          <w:sz w:val="22"/>
          <w:szCs w:val="22"/>
        </w:rPr>
        <w:t xml:space="preserve">that had fundamentally reshaped British </w:t>
      </w:r>
      <w:r w:rsidR="004D4CA0" w:rsidRPr="00E07EEA">
        <w:rPr>
          <w:color w:val="201F1E"/>
          <w:sz w:val="22"/>
          <w:szCs w:val="22"/>
        </w:rPr>
        <w:t>politics</w:t>
      </w:r>
      <w:r w:rsidR="00544B01">
        <w:rPr>
          <w:color w:val="201F1E"/>
          <w:sz w:val="22"/>
          <w:szCs w:val="22"/>
        </w:rPr>
        <w:t xml:space="preserve"> and the British state</w:t>
      </w:r>
      <w:r w:rsidR="004C7CAD" w:rsidRPr="00E07EEA">
        <w:rPr>
          <w:color w:val="201F1E"/>
          <w:sz w:val="22"/>
          <w:szCs w:val="22"/>
        </w:rPr>
        <w:t xml:space="preserve">, </w:t>
      </w:r>
      <w:r w:rsidR="00C8147B">
        <w:rPr>
          <w:color w:val="201F1E"/>
          <w:sz w:val="22"/>
          <w:szCs w:val="22"/>
        </w:rPr>
        <w:t xml:space="preserve">it did not wholly reverse </w:t>
      </w:r>
      <w:r w:rsidR="00A51157">
        <w:rPr>
          <w:color w:val="201F1E"/>
          <w:sz w:val="22"/>
          <w:szCs w:val="22"/>
        </w:rPr>
        <w:t>patterns</w:t>
      </w:r>
      <w:r w:rsidR="00C8147B">
        <w:rPr>
          <w:color w:val="201F1E"/>
          <w:sz w:val="22"/>
          <w:szCs w:val="22"/>
        </w:rPr>
        <w:t xml:space="preserve"> </w:t>
      </w:r>
      <w:r w:rsidR="00A51157">
        <w:rPr>
          <w:color w:val="201F1E"/>
          <w:sz w:val="22"/>
          <w:szCs w:val="22"/>
        </w:rPr>
        <w:t>of</w:t>
      </w:r>
      <w:r w:rsidR="00C8147B">
        <w:rPr>
          <w:color w:val="201F1E"/>
          <w:sz w:val="22"/>
          <w:szCs w:val="22"/>
        </w:rPr>
        <w:t xml:space="preserve"> </w:t>
      </w:r>
      <w:r w:rsidR="0088679D">
        <w:rPr>
          <w:color w:val="201F1E"/>
          <w:sz w:val="22"/>
          <w:szCs w:val="22"/>
        </w:rPr>
        <w:t>electoral behaviour</w:t>
      </w:r>
      <w:r w:rsidR="00F24335" w:rsidRPr="00E07EEA">
        <w:rPr>
          <w:color w:val="201F1E"/>
          <w:sz w:val="22"/>
          <w:szCs w:val="22"/>
        </w:rPr>
        <w:t xml:space="preserve">. </w:t>
      </w:r>
      <w:r w:rsidR="00035C01" w:rsidRPr="00E07EEA">
        <w:rPr>
          <w:color w:val="201F1E"/>
          <w:sz w:val="22"/>
          <w:szCs w:val="22"/>
        </w:rPr>
        <w:t>In certain respects</w:t>
      </w:r>
      <w:r w:rsidR="00010454" w:rsidRPr="00E07EEA">
        <w:rPr>
          <w:color w:val="201F1E"/>
          <w:sz w:val="22"/>
          <w:szCs w:val="22"/>
        </w:rPr>
        <w:t xml:space="preserve">, the election was a classic </w:t>
      </w:r>
      <w:r w:rsidR="00010454" w:rsidRPr="00E07EEA">
        <w:rPr>
          <w:i/>
          <w:iCs/>
          <w:color w:val="201F1E"/>
          <w:sz w:val="22"/>
          <w:szCs w:val="22"/>
        </w:rPr>
        <w:t>valence</w:t>
      </w:r>
      <w:r w:rsidR="00010454" w:rsidRPr="00E07EEA">
        <w:rPr>
          <w:color w:val="201F1E"/>
          <w:sz w:val="22"/>
          <w:szCs w:val="22"/>
        </w:rPr>
        <w:t xml:space="preserve"> election</w:t>
      </w:r>
      <w:r w:rsidR="004353F5" w:rsidRPr="00E07EEA">
        <w:rPr>
          <w:color w:val="201F1E"/>
          <w:sz w:val="22"/>
          <w:szCs w:val="22"/>
        </w:rPr>
        <w:t>,</w:t>
      </w:r>
      <w:r w:rsidR="00B959B4">
        <w:rPr>
          <w:rStyle w:val="FootnoteReference"/>
          <w:color w:val="201F1E"/>
          <w:sz w:val="22"/>
          <w:szCs w:val="22"/>
        </w:rPr>
        <w:footnoteReference w:id="2"/>
      </w:r>
      <w:r w:rsidR="00DF0535" w:rsidRPr="00E07EEA">
        <w:rPr>
          <w:color w:val="201F1E"/>
          <w:sz w:val="22"/>
          <w:szCs w:val="22"/>
        </w:rPr>
        <w:t xml:space="preserve"> with voters</w:t>
      </w:r>
      <w:r w:rsidR="00D952C5" w:rsidRPr="00E07EEA">
        <w:rPr>
          <w:color w:val="201F1E"/>
          <w:sz w:val="22"/>
          <w:szCs w:val="22"/>
        </w:rPr>
        <w:t xml:space="preserve"> seemingly</w:t>
      </w:r>
      <w:r w:rsidR="00DF0535" w:rsidRPr="00E07EEA">
        <w:rPr>
          <w:color w:val="201F1E"/>
          <w:sz w:val="22"/>
          <w:szCs w:val="22"/>
        </w:rPr>
        <w:t xml:space="preserve"> casting their ballot </w:t>
      </w:r>
      <w:r w:rsidR="00AE3BDD" w:rsidRPr="00E07EEA">
        <w:rPr>
          <w:color w:val="201F1E"/>
          <w:sz w:val="22"/>
          <w:szCs w:val="22"/>
        </w:rPr>
        <w:t>based on</w:t>
      </w:r>
      <w:r w:rsidR="00DF0535" w:rsidRPr="00E07EEA">
        <w:rPr>
          <w:color w:val="201F1E"/>
          <w:sz w:val="22"/>
          <w:szCs w:val="22"/>
        </w:rPr>
        <w:t xml:space="preserve"> the record of the incumbent</w:t>
      </w:r>
      <w:r w:rsidR="00D952C5" w:rsidRPr="00E07EEA">
        <w:rPr>
          <w:color w:val="201F1E"/>
          <w:sz w:val="22"/>
          <w:szCs w:val="22"/>
        </w:rPr>
        <w:t xml:space="preserve"> rather than due to great enthusiasm for any of the alternatives</w:t>
      </w:r>
      <w:r w:rsidR="00010454" w:rsidRPr="00E07EEA">
        <w:rPr>
          <w:color w:val="201F1E"/>
          <w:sz w:val="22"/>
          <w:szCs w:val="22"/>
        </w:rPr>
        <w:t>.</w:t>
      </w:r>
      <w:r w:rsidR="00AE3BDD">
        <w:rPr>
          <w:color w:val="201F1E"/>
          <w:sz w:val="22"/>
          <w:szCs w:val="22"/>
        </w:rPr>
        <w:t xml:space="preserve"> </w:t>
      </w:r>
      <w:r w:rsidR="00FB1A32">
        <w:rPr>
          <w:color w:val="201F1E"/>
          <w:sz w:val="22"/>
          <w:szCs w:val="22"/>
        </w:rPr>
        <w:t>After 14 years in office, t</w:t>
      </w:r>
      <w:r w:rsidR="00010454">
        <w:rPr>
          <w:color w:val="201F1E"/>
          <w:sz w:val="22"/>
          <w:szCs w:val="22"/>
        </w:rPr>
        <w:t>he Conservative</w:t>
      </w:r>
      <w:r w:rsidR="00E20B66">
        <w:rPr>
          <w:color w:val="201F1E"/>
          <w:sz w:val="22"/>
          <w:szCs w:val="22"/>
        </w:rPr>
        <w:t xml:space="preserve"> </w:t>
      </w:r>
      <w:r w:rsidR="00CC4047">
        <w:rPr>
          <w:color w:val="201F1E"/>
          <w:sz w:val="22"/>
          <w:szCs w:val="22"/>
        </w:rPr>
        <w:t>Party</w:t>
      </w:r>
      <w:r w:rsidR="00E20B66">
        <w:rPr>
          <w:color w:val="201F1E"/>
          <w:sz w:val="22"/>
          <w:szCs w:val="22"/>
        </w:rPr>
        <w:t xml:space="preserve"> </w:t>
      </w:r>
      <w:r w:rsidR="00DC23E9">
        <w:rPr>
          <w:color w:val="201F1E"/>
          <w:sz w:val="22"/>
          <w:szCs w:val="22"/>
        </w:rPr>
        <w:t>was severely punished by</w:t>
      </w:r>
      <w:r w:rsidR="00E20B66">
        <w:rPr>
          <w:color w:val="201F1E"/>
          <w:sz w:val="22"/>
          <w:szCs w:val="22"/>
        </w:rPr>
        <w:t xml:space="preserve"> the electorate </w:t>
      </w:r>
      <w:r w:rsidR="00C42378">
        <w:rPr>
          <w:color w:val="201F1E"/>
          <w:sz w:val="22"/>
          <w:szCs w:val="22"/>
        </w:rPr>
        <w:t>for</w:t>
      </w:r>
      <w:r w:rsidR="00AD7FBF">
        <w:rPr>
          <w:color w:val="201F1E"/>
          <w:sz w:val="22"/>
          <w:szCs w:val="22"/>
        </w:rPr>
        <w:t xml:space="preserve"> </w:t>
      </w:r>
      <w:r w:rsidR="00F03283">
        <w:rPr>
          <w:color w:val="201F1E"/>
          <w:sz w:val="22"/>
          <w:szCs w:val="22"/>
        </w:rPr>
        <w:t xml:space="preserve">its </w:t>
      </w:r>
      <w:r w:rsidR="008760B1">
        <w:rPr>
          <w:color w:val="201F1E"/>
          <w:sz w:val="22"/>
          <w:szCs w:val="22"/>
        </w:rPr>
        <w:t xml:space="preserve">conduct and </w:t>
      </w:r>
      <w:r w:rsidR="00F03283">
        <w:rPr>
          <w:color w:val="201F1E"/>
          <w:sz w:val="22"/>
          <w:szCs w:val="22"/>
        </w:rPr>
        <w:t>performance</w:t>
      </w:r>
      <w:r w:rsidR="00435278">
        <w:rPr>
          <w:color w:val="201F1E"/>
          <w:sz w:val="22"/>
          <w:szCs w:val="22"/>
        </w:rPr>
        <w:t xml:space="preserve"> on the issues that mattered to </w:t>
      </w:r>
      <w:r w:rsidR="00794FF3">
        <w:rPr>
          <w:color w:val="201F1E"/>
          <w:sz w:val="22"/>
          <w:szCs w:val="22"/>
        </w:rPr>
        <w:t>the</w:t>
      </w:r>
      <w:r w:rsidR="000D05A8">
        <w:rPr>
          <w:color w:val="201F1E"/>
          <w:sz w:val="22"/>
          <w:szCs w:val="22"/>
        </w:rPr>
        <w:t>m</w:t>
      </w:r>
      <w:r w:rsidR="00F03283">
        <w:rPr>
          <w:color w:val="201F1E"/>
          <w:sz w:val="22"/>
          <w:szCs w:val="22"/>
        </w:rPr>
        <w:t>.</w:t>
      </w:r>
      <w:r w:rsidR="00390A20">
        <w:rPr>
          <w:color w:val="201F1E"/>
          <w:sz w:val="22"/>
          <w:szCs w:val="22"/>
        </w:rPr>
        <w:t xml:space="preserve"> </w:t>
      </w:r>
      <w:r w:rsidR="00472289">
        <w:rPr>
          <w:color w:val="201F1E"/>
          <w:sz w:val="22"/>
          <w:szCs w:val="22"/>
        </w:rPr>
        <w:t>Following</w:t>
      </w:r>
      <w:r w:rsidR="001648A5">
        <w:rPr>
          <w:color w:val="201F1E"/>
          <w:sz w:val="22"/>
          <w:szCs w:val="22"/>
        </w:rPr>
        <w:t xml:space="preserve"> a </w:t>
      </w:r>
      <w:r w:rsidR="00472289">
        <w:rPr>
          <w:color w:val="201F1E"/>
          <w:sz w:val="22"/>
          <w:szCs w:val="22"/>
        </w:rPr>
        <w:t>‘</w:t>
      </w:r>
      <w:r w:rsidR="00016258">
        <w:rPr>
          <w:color w:val="201F1E"/>
          <w:sz w:val="22"/>
          <w:szCs w:val="22"/>
        </w:rPr>
        <w:t>rally-round-the-flag</w:t>
      </w:r>
      <w:r w:rsidR="00472289">
        <w:rPr>
          <w:color w:val="201F1E"/>
          <w:sz w:val="22"/>
          <w:szCs w:val="22"/>
        </w:rPr>
        <w:t>’</w:t>
      </w:r>
      <w:r w:rsidR="00016258">
        <w:rPr>
          <w:color w:val="201F1E"/>
          <w:sz w:val="22"/>
          <w:szCs w:val="22"/>
        </w:rPr>
        <w:t xml:space="preserve"> </w:t>
      </w:r>
      <w:r w:rsidR="00A855FA">
        <w:rPr>
          <w:color w:val="201F1E"/>
          <w:sz w:val="22"/>
          <w:szCs w:val="22"/>
        </w:rPr>
        <w:t>at the height of the Covid-19 pandemic</w:t>
      </w:r>
      <w:r w:rsidR="009C26F0">
        <w:rPr>
          <w:color w:val="201F1E"/>
          <w:sz w:val="22"/>
          <w:szCs w:val="22"/>
        </w:rPr>
        <w:t xml:space="preserve"> in </w:t>
      </w:r>
      <w:r w:rsidR="00FE2789">
        <w:rPr>
          <w:color w:val="201F1E"/>
          <w:sz w:val="22"/>
          <w:szCs w:val="22"/>
        </w:rPr>
        <w:t>March</w:t>
      </w:r>
      <w:r w:rsidR="00DC2AD8">
        <w:rPr>
          <w:color w:val="201F1E"/>
          <w:sz w:val="22"/>
          <w:szCs w:val="22"/>
        </w:rPr>
        <w:t>-</w:t>
      </w:r>
      <w:r w:rsidR="00FE2789">
        <w:rPr>
          <w:color w:val="201F1E"/>
          <w:sz w:val="22"/>
          <w:szCs w:val="22"/>
        </w:rPr>
        <w:t>A</w:t>
      </w:r>
      <w:r w:rsidR="009C26F0">
        <w:rPr>
          <w:color w:val="201F1E"/>
          <w:sz w:val="22"/>
          <w:szCs w:val="22"/>
        </w:rPr>
        <w:t>pril</w:t>
      </w:r>
      <w:r w:rsidR="00FE2789">
        <w:rPr>
          <w:color w:val="201F1E"/>
          <w:sz w:val="22"/>
          <w:szCs w:val="22"/>
        </w:rPr>
        <w:t xml:space="preserve"> </w:t>
      </w:r>
      <w:r w:rsidR="00DC2AD8">
        <w:rPr>
          <w:color w:val="201F1E"/>
          <w:sz w:val="22"/>
          <w:szCs w:val="22"/>
        </w:rPr>
        <w:t>2020</w:t>
      </w:r>
      <w:r w:rsidR="00A855FA">
        <w:rPr>
          <w:color w:val="201F1E"/>
          <w:sz w:val="22"/>
          <w:szCs w:val="22"/>
        </w:rPr>
        <w:t xml:space="preserve">, </w:t>
      </w:r>
      <w:r w:rsidR="00390A20">
        <w:rPr>
          <w:color w:val="201F1E"/>
          <w:sz w:val="22"/>
          <w:szCs w:val="22"/>
        </w:rPr>
        <w:t>t</w:t>
      </w:r>
      <w:r w:rsidR="00CC4047">
        <w:rPr>
          <w:color w:val="201F1E"/>
          <w:sz w:val="22"/>
          <w:szCs w:val="22"/>
        </w:rPr>
        <w:t>he government’s</w:t>
      </w:r>
      <w:r w:rsidR="00B80775">
        <w:rPr>
          <w:color w:val="201F1E"/>
          <w:sz w:val="22"/>
          <w:szCs w:val="22"/>
        </w:rPr>
        <w:t xml:space="preserve"> popularity started to deteriorate as economic optimism </w:t>
      </w:r>
      <w:r w:rsidR="00E6501C">
        <w:rPr>
          <w:color w:val="201F1E"/>
          <w:sz w:val="22"/>
          <w:szCs w:val="22"/>
        </w:rPr>
        <w:t xml:space="preserve">began to </w:t>
      </w:r>
      <w:r w:rsidR="00B80775">
        <w:rPr>
          <w:color w:val="201F1E"/>
          <w:sz w:val="22"/>
          <w:szCs w:val="22"/>
        </w:rPr>
        <w:t xml:space="preserve">fade after </w:t>
      </w:r>
      <w:r w:rsidR="00734058">
        <w:rPr>
          <w:color w:val="201F1E"/>
          <w:sz w:val="22"/>
          <w:szCs w:val="22"/>
        </w:rPr>
        <w:t>the lifting of pandemic restrictions</w:t>
      </w:r>
      <w:r w:rsidR="00A35A49">
        <w:rPr>
          <w:color w:val="201F1E"/>
          <w:sz w:val="22"/>
          <w:szCs w:val="22"/>
        </w:rPr>
        <w:t xml:space="preserve"> in summer 2021</w:t>
      </w:r>
      <w:r w:rsidR="000D05A8">
        <w:rPr>
          <w:color w:val="201F1E"/>
          <w:sz w:val="22"/>
          <w:szCs w:val="22"/>
        </w:rPr>
        <w:t xml:space="preserve">. It was then </w:t>
      </w:r>
      <w:r w:rsidR="00E80EEF">
        <w:rPr>
          <w:color w:val="201F1E"/>
          <w:sz w:val="22"/>
          <w:szCs w:val="22"/>
        </w:rPr>
        <w:t>badly hit</w:t>
      </w:r>
      <w:r w:rsidR="0040465E">
        <w:rPr>
          <w:color w:val="201F1E"/>
          <w:sz w:val="22"/>
          <w:szCs w:val="22"/>
        </w:rPr>
        <w:t xml:space="preserve"> </w:t>
      </w:r>
      <w:r w:rsidR="00440225">
        <w:rPr>
          <w:color w:val="201F1E"/>
          <w:sz w:val="22"/>
          <w:szCs w:val="22"/>
        </w:rPr>
        <w:t>first by the Partygate scandal under Boris Johnson,</w:t>
      </w:r>
      <w:r w:rsidR="00354EE0">
        <w:rPr>
          <w:color w:val="201F1E"/>
          <w:sz w:val="22"/>
          <w:szCs w:val="22"/>
        </w:rPr>
        <w:t xml:space="preserve"> eventually leading to his removal by </w:t>
      </w:r>
      <w:r w:rsidR="002D0E47">
        <w:rPr>
          <w:color w:val="201F1E"/>
          <w:sz w:val="22"/>
          <w:szCs w:val="22"/>
        </w:rPr>
        <w:t>Conservative MPs</w:t>
      </w:r>
      <w:r w:rsidR="00063F49">
        <w:rPr>
          <w:color w:val="201F1E"/>
          <w:sz w:val="22"/>
          <w:szCs w:val="22"/>
        </w:rPr>
        <w:t xml:space="preserve"> </w:t>
      </w:r>
      <w:r w:rsidR="006904E8">
        <w:rPr>
          <w:color w:val="201F1E"/>
          <w:sz w:val="22"/>
          <w:szCs w:val="22"/>
        </w:rPr>
        <w:t>prompted by</w:t>
      </w:r>
      <w:r w:rsidR="00063F49">
        <w:rPr>
          <w:color w:val="201F1E"/>
          <w:sz w:val="22"/>
          <w:szCs w:val="22"/>
        </w:rPr>
        <w:t xml:space="preserve"> another scandal</w:t>
      </w:r>
      <w:r w:rsidR="00354EE0">
        <w:rPr>
          <w:color w:val="201F1E"/>
          <w:sz w:val="22"/>
          <w:szCs w:val="22"/>
        </w:rPr>
        <w:t>,</w:t>
      </w:r>
      <w:r w:rsidR="00440225">
        <w:rPr>
          <w:color w:val="201F1E"/>
          <w:sz w:val="22"/>
          <w:szCs w:val="22"/>
        </w:rPr>
        <w:t xml:space="preserve"> and </w:t>
      </w:r>
      <w:r w:rsidR="00201319">
        <w:rPr>
          <w:color w:val="201F1E"/>
          <w:sz w:val="22"/>
          <w:szCs w:val="22"/>
        </w:rPr>
        <w:t>further</w:t>
      </w:r>
      <w:r w:rsidR="00C13068">
        <w:rPr>
          <w:color w:val="201F1E"/>
          <w:sz w:val="22"/>
          <w:szCs w:val="22"/>
        </w:rPr>
        <w:t xml:space="preserve"> damaged</w:t>
      </w:r>
      <w:r w:rsidR="00440225">
        <w:rPr>
          <w:color w:val="201F1E"/>
          <w:sz w:val="22"/>
          <w:szCs w:val="22"/>
        </w:rPr>
        <w:t xml:space="preserve"> </w:t>
      </w:r>
      <w:r w:rsidR="00800987">
        <w:rPr>
          <w:color w:val="201F1E"/>
          <w:sz w:val="22"/>
          <w:szCs w:val="22"/>
        </w:rPr>
        <w:t>by</w:t>
      </w:r>
      <w:r w:rsidR="00440225">
        <w:rPr>
          <w:color w:val="201F1E"/>
          <w:sz w:val="22"/>
          <w:szCs w:val="22"/>
        </w:rPr>
        <w:t xml:space="preserve"> the</w:t>
      </w:r>
      <w:r w:rsidR="0040465E">
        <w:rPr>
          <w:color w:val="201F1E"/>
          <w:sz w:val="22"/>
          <w:szCs w:val="22"/>
        </w:rPr>
        <w:t xml:space="preserve"> </w:t>
      </w:r>
      <w:r w:rsidR="00E80EEF">
        <w:rPr>
          <w:color w:val="201F1E"/>
          <w:sz w:val="22"/>
          <w:szCs w:val="22"/>
        </w:rPr>
        <w:t>catastrophic 4</w:t>
      </w:r>
      <w:r w:rsidR="008A4AA6">
        <w:rPr>
          <w:color w:val="201F1E"/>
          <w:sz w:val="22"/>
          <w:szCs w:val="22"/>
        </w:rPr>
        <w:t>5</w:t>
      </w:r>
      <w:r w:rsidR="00E80EEF">
        <w:rPr>
          <w:color w:val="201F1E"/>
          <w:sz w:val="22"/>
          <w:szCs w:val="22"/>
        </w:rPr>
        <w:t>-day premiership of his successor, Liz Truss</w:t>
      </w:r>
      <w:r w:rsidR="00E11135">
        <w:rPr>
          <w:color w:val="201F1E"/>
          <w:sz w:val="22"/>
          <w:szCs w:val="22"/>
        </w:rPr>
        <w:t xml:space="preserve">, with her </w:t>
      </w:r>
      <w:r w:rsidR="0063401B">
        <w:rPr>
          <w:color w:val="201F1E"/>
          <w:sz w:val="22"/>
          <w:szCs w:val="22"/>
        </w:rPr>
        <w:t>‘</w:t>
      </w:r>
      <w:r w:rsidR="00D72765">
        <w:rPr>
          <w:color w:val="201F1E"/>
          <w:sz w:val="22"/>
          <w:szCs w:val="22"/>
        </w:rPr>
        <w:t>mini-budget</w:t>
      </w:r>
      <w:r w:rsidR="0063401B">
        <w:rPr>
          <w:color w:val="201F1E"/>
          <w:sz w:val="22"/>
          <w:szCs w:val="22"/>
        </w:rPr>
        <w:t>’</w:t>
      </w:r>
      <w:r w:rsidR="00E11135">
        <w:rPr>
          <w:color w:val="201F1E"/>
          <w:sz w:val="22"/>
          <w:szCs w:val="22"/>
        </w:rPr>
        <w:t xml:space="preserve"> wrecking the party’s </w:t>
      </w:r>
      <w:r w:rsidR="00330C60">
        <w:rPr>
          <w:color w:val="201F1E"/>
          <w:sz w:val="22"/>
          <w:szCs w:val="22"/>
        </w:rPr>
        <w:t xml:space="preserve">already deteriorating </w:t>
      </w:r>
      <w:r w:rsidR="00E11135">
        <w:rPr>
          <w:color w:val="201F1E"/>
          <w:sz w:val="22"/>
          <w:szCs w:val="22"/>
        </w:rPr>
        <w:t xml:space="preserve">reputation for economic competence. </w:t>
      </w:r>
      <w:r w:rsidR="00A23B35">
        <w:rPr>
          <w:color w:val="201F1E"/>
          <w:sz w:val="22"/>
          <w:szCs w:val="22"/>
        </w:rPr>
        <w:t xml:space="preserve">This was compounded by </w:t>
      </w:r>
      <w:r w:rsidR="0040465E">
        <w:rPr>
          <w:color w:val="201F1E"/>
          <w:sz w:val="22"/>
          <w:szCs w:val="22"/>
        </w:rPr>
        <w:t>the rising cost of living</w:t>
      </w:r>
      <w:r w:rsidR="00932B62">
        <w:rPr>
          <w:color w:val="201F1E"/>
          <w:sz w:val="22"/>
          <w:szCs w:val="22"/>
        </w:rPr>
        <w:t>, struggling public services</w:t>
      </w:r>
      <w:r w:rsidR="000555F5">
        <w:rPr>
          <w:color w:val="201F1E"/>
          <w:sz w:val="22"/>
          <w:szCs w:val="22"/>
        </w:rPr>
        <w:t>,</w:t>
      </w:r>
      <w:r w:rsidR="00F96C68">
        <w:rPr>
          <w:color w:val="201F1E"/>
          <w:sz w:val="22"/>
          <w:szCs w:val="22"/>
        </w:rPr>
        <w:t xml:space="preserve"> anaemic economic growth,</w:t>
      </w:r>
      <w:r w:rsidR="00932B62">
        <w:rPr>
          <w:color w:val="201F1E"/>
          <w:sz w:val="22"/>
          <w:szCs w:val="22"/>
        </w:rPr>
        <w:t xml:space="preserve"> and </w:t>
      </w:r>
      <w:r w:rsidR="00FB605F">
        <w:rPr>
          <w:color w:val="201F1E"/>
          <w:sz w:val="22"/>
          <w:szCs w:val="22"/>
        </w:rPr>
        <w:t>a</w:t>
      </w:r>
      <w:r w:rsidR="001D3720">
        <w:rPr>
          <w:color w:val="201F1E"/>
          <w:sz w:val="22"/>
          <w:szCs w:val="22"/>
        </w:rPr>
        <w:t xml:space="preserve"> growing</w:t>
      </w:r>
      <w:r w:rsidR="00932B62">
        <w:rPr>
          <w:color w:val="201F1E"/>
          <w:sz w:val="22"/>
          <w:szCs w:val="22"/>
        </w:rPr>
        <w:t xml:space="preserve"> sense that </w:t>
      </w:r>
      <w:r w:rsidR="0083299F">
        <w:rPr>
          <w:color w:val="201F1E"/>
          <w:sz w:val="22"/>
          <w:szCs w:val="22"/>
        </w:rPr>
        <w:t>the country was on the ‘wrong track’</w:t>
      </w:r>
      <w:r w:rsidR="00127C56">
        <w:rPr>
          <w:color w:val="201F1E"/>
          <w:sz w:val="22"/>
          <w:szCs w:val="22"/>
        </w:rPr>
        <w:t>.</w:t>
      </w:r>
      <w:r w:rsidR="009F718E">
        <w:rPr>
          <w:color w:val="201F1E"/>
          <w:sz w:val="22"/>
          <w:szCs w:val="22"/>
        </w:rPr>
        <w:t xml:space="preserve"> </w:t>
      </w:r>
      <w:r w:rsidR="007A45DD">
        <w:rPr>
          <w:color w:val="201F1E"/>
          <w:sz w:val="22"/>
          <w:szCs w:val="22"/>
        </w:rPr>
        <w:t>And w</w:t>
      </w:r>
      <w:r w:rsidR="009F718E">
        <w:rPr>
          <w:color w:val="201F1E"/>
          <w:sz w:val="22"/>
          <w:szCs w:val="22"/>
        </w:rPr>
        <w:t xml:space="preserve">hile Brexit </w:t>
      </w:r>
      <w:r w:rsidR="00D8663A">
        <w:rPr>
          <w:color w:val="201F1E"/>
          <w:sz w:val="22"/>
          <w:szCs w:val="22"/>
        </w:rPr>
        <w:t xml:space="preserve">had at one time been </w:t>
      </w:r>
      <w:r w:rsidR="005575EE">
        <w:rPr>
          <w:color w:val="201F1E"/>
          <w:sz w:val="22"/>
          <w:szCs w:val="22"/>
        </w:rPr>
        <w:t>an electoral elixir for the party</w:t>
      </w:r>
      <w:r w:rsidR="00FE6ACD">
        <w:rPr>
          <w:color w:val="201F1E"/>
          <w:sz w:val="22"/>
          <w:szCs w:val="22"/>
        </w:rPr>
        <w:t>, delivering it victory in 2019</w:t>
      </w:r>
      <w:r w:rsidR="00D3085B">
        <w:rPr>
          <w:color w:val="201F1E"/>
          <w:sz w:val="22"/>
          <w:szCs w:val="22"/>
        </w:rPr>
        <w:t xml:space="preserve"> on back of the</w:t>
      </w:r>
      <w:r w:rsidR="002D3A85">
        <w:rPr>
          <w:color w:val="201F1E"/>
          <w:sz w:val="22"/>
          <w:szCs w:val="22"/>
        </w:rPr>
        <w:t xml:space="preserve"> campaign</w:t>
      </w:r>
      <w:r w:rsidR="00D3085B">
        <w:rPr>
          <w:color w:val="201F1E"/>
          <w:sz w:val="22"/>
          <w:szCs w:val="22"/>
        </w:rPr>
        <w:t xml:space="preserve"> pledge to ‘get Brexit done’</w:t>
      </w:r>
      <w:r w:rsidR="00610F0D">
        <w:rPr>
          <w:color w:val="201F1E"/>
          <w:sz w:val="22"/>
          <w:szCs w:val="22"/>
        </w:rPr>
        <w:t xml:space="preserve">, </w:t>
      </w:r>
      <w:r w:rsidR="00FE6ACD">
        <w:rPr>
          <w:color w:val="201F1E"/>
          <w:sz w:val="22"/>
          <w:szCs w:val="22"/>
        </w:rPr>
        <w:t xml:space="preserve">rising </w:t>
      </w:r>
      <w:r w:rsidR="00E5272D">
        <w:rPr>
          <w:color w:val="201F1E"/>
          <w:sz w:val="22"/>
          <w:szCs w:val="22"/>
        </w:rPr>
        <w:t>l</w:t>
      </w:r>
      <w:r w:rsidR="00AE2B43">
        <w:rPr>
          <w:color w:val="201F1E"/>
          <w:sz w:val="22"/>
          <w:szCs w:val="22"/>
        </w:rPr>
        <w:t xml:space="preserve">egal </w:t>
      </w:r>
      <w:r w:rsidR="00035C01">
        <w:rPr>
          <w:color w:val="201F1E"/>
          <w:sz w:val="22"/>
          <w:szCs w:val="22"/>
        </w:rPr>
        <w:t>migration</w:t>
      </w:r>
      <w:r w:rsidR="00AE2B43">
        <w:rPr>
          <w:color w:val="201F1E"/>
          <w:sz w:val="22"/>
          <w:szCs w:val="22"/>
        </w:rPr>
        <w:t xml:space="preserve"> and small boat arrivals</w:t>
      </w:r>
      <w:r w:rsidR="009F718E">
        <w:rPr>
          <w:color w:val="201F1E"/>
          <w:sz w:val="22"/>
          <w:szCs w:val="22"/>
        </w:rPr>
        <w:t xml:space="preserve"> </w:t>
      </w:r>
      <w:r w:rsidR="00CF77C8">
        <w:rPr>
          <w:color w:val="201F1E"/>
          <w:sz w:val="22"/>
          <w:szCs w:val="22"/>
        </w:rPr>
        <w:t>had</w:t>
      </w:r>
      <w:r w:rsidR="0085716F">
        <w:rPr>
          <w:color w:val="201F1E"/>
          <w:sz w:val="22"/>
          <w:szCs w:val="22"/>
        </w:rPr>
        <w:t xml:space="preserve"> undercut</w:t>
      </w:r>
      <w:r w:rsidR="00BA5ACC">
        <w:rPr>
          <w:color w:val="201F1E"/>
          <w:sz w:val="22"/>
          <w:szCs w:val="22"/>
        </w:rPr>
        <w:t xml:space="preserve"> referendum-era</w:t>
      </w:r>
      <w:r w:rsidR="00D8663A">
        <w:rPr>
          <w:color w:val="201F1E"/>
          <w:sz w:val="22"/>
          <w:szCs w:val="22"/>
        </w:rPr>
        <w:t xml:space="preserve"> </w:t>
      </w:r>
      <w:r w:rsidR="00E735C9">
        <w:rPr>
          <w:color w:val="201F1E"/>
          <w:sz w:val="22"/>
          <w:szCs w:val="22"/>
        </w:rPr>
        <w:t xml:space="preserve">promises to </w:t>
      </w:r>
      <w:r w:rsidR="00FB605F">
        <w:rPr>
          <w:color w:val="201F1E"/>
          <w:sz w:val="22"/>
          <w:szCs w:val="22"/>
        </w:rPr>
        <w:t>‘</w:t>
      </w:r>
      <w:r w:rsidR="00E735C9">
        <w:rPr>
          <w:color w:val="201F1E"/>
          <w:sz w:val="22"/>
          <w:szCs w:val="22"/>
        </w:rPr>
        <w:t>take back control</w:t>
      </w:r>
      <w:r w:rsidR="00FB605F">
        <w:rPr>
          <w:color w:val="201F1E"/>
          <w:sz w:val="22"/>
          <w:szCs w:val="22"/>
        </w:rPr>
        <w:t>’</w:t>
      </w:r>
      <w:r w:rsidR="00D3085B">
        <w:rPr>
          <w:color w:val="201F1E"/>
          <w:sz w:val="22"/>
          <w:szCs w:val="22"/>
        </w:rPr>
        <w:t>,</w:t>
      </w:r>
      <w:r w:rsidR="00CD3702">
        <w:rPr>
          <w:color w:val="201F1E"/>
          <w:sz w:val="22"/>
          <w:szCs w:val="22"/>
        </w:rPr>
        <w:t xml:space="preserve"> </w:t>
      </w:r>
      <w:r w:rsidR="001144FC">
        <w:rPr>
          <w:color w:val="201F1E"/>
          <w:sz w:val="22"/>
          <w:szCs w:val="22"/>
        </w:rPr>
        <w:t xml:space="preserve">leaving the </w:t>
      </w:r>
      <w:r w:rsidR="003703A0">
        <w:rPr>
          <w:color w:val="201F1E"/>
          <w:sz w:val="22"/>
          <w:szCs w:val="22"/>
        </w:rPr>
        <w:t xml:space="preserve">party </w:t>
      </w:r>
      <w:r w:rsidR="00085398">
        <w:rPr>
          <w:color w:val="201F1E"/>
          <w:sz w:val="22"/>
          <w:szCs w:val="22"/>
        </w:rPr>
        <w:t xml:space="preserve">exposed to the challenge from </w:t>
      </w:r>
      <w:r w:rsidR="00181834">
        <w:rPr>
          <w:color w:val="201F1E"/>
          <w:sz w:val="22"/>
          <w:szCs w:val="22"/>
        </w:rPr>
        <w:t>Reform</w:t>
      </w:r>
      <w:r w:rsidR="00085398">
        <w:rPr>
          <w:color w:val="201F1E"/>
          <w:sz w:val="22"/>
          <w:szCs w:val="22"/>
        </w:rPr>
        <w:t xml:space="preserve"> on its right flank.</w:t>
      </w:r>
      <w:r w:rsidR="00A03075" w:rsidRPr="00B14D27">
        <w:rPr>
          <w:color w:val="201F1E"/>
          <w:sz w:val="22"/>
          <w:szCs w:val="22"/>
        </w:rPr>
        <w:t xml:space="preserve"> </w:t>
      </w:r>
      <w:r w:rsidR="00F54FDA" w:rsidRPr="00B14D27">
        <w:rPr>
          <w:color w:val="201F1E"/>
          <w:sz w:val="22"/>
          <w:szCs w:val="22"/>
        </w:rPr>
        <w:t xml:space="preserve">The </w:t>
      </w:r>
      <w:r w:rsidR="0033548D">
        <w:rPr>
          <w:color w:val="201F1E"/>
          <w:sz w:val="22"/>
          <w:szCs w:val="22"/>
        </w:rPr>
        <w:t>growing</w:t>
      </w:r>
      <w:r w:rsidR="00F54FDA" w:rsidRPr="00B14D27">
        <w:rPr>
          <w:color w:val="201F1E"/>
          <w:sz w:val="22"/>
          <w:szCs w:val="22"/>
        </w:rPr>
        <w:t xml:space="preserve"> </w:t>
      </w:r>
      <w:r w:rsidR="00B14D27" w:rsidRPr="00B14D27">
        <w:rPr>
          <w:color w:val="201F1E"/>
          <w:sz w:val="22"/>
          <w:szCs w:val="22"/>
        </w:rPr>
        <w:t>public view</w:t>
      </w:r>
      <w:r w:rsidR="00F54FDA" w:rsidRPr="00B14D27">
        <w:rPr>
          <w:color w:val="201F1E"/>
          <w:sz w:val="22"/>
          <w:szCs w:val="22"/>
        </w:rPr>
        <w:t xml:space="preserve"> that </w:t>
      </w:r>
      <w:r w:rsidR="00211D46" w:rsidRPr="00B14D27">
        <w:rPr>
          <w:color w:val="201F1E"/>
          <w:sz w:val="22"/>
          <w:szCs w:val="22"/>
        </w:rPr>
        <w:t xml:space="preserve">the decision to </w:t>
      </w:r>
      <w:r w:rsidR="00B14D27" w:rsidRPr="00B14D27">
        <w:rPr>
          <w:color w:val="201F1E"/>
          <w:sz w:val="22"/>
          <w:szCs w:val="22"/>
        </w:rPr>
        <w:t>l</w:t>
      </w:r>
      <w:r w:rsidR="00211D46" w:rsidRPr="00B14D27">
        <w:rPr>
          <w:color w:val="201F1E"/>
          <w:sz w:val="22"/>
          <w:szCs w:val="22"/>
        </w:rPr>
        <w:t>eave the EU had been wrong</w:t>
      </w:r>
      <w:r w:rsidR="000C297B">
        <w:rPr>
          <w:color w:val="201F1E"/>
          <w:sz w:val="22"/>
          <w:szCs w:val="22"/>
        </w:rPr>
        <w:t xml:space="preserve"> and was being handled badly</w:t>
      </w:r>
      <w:r w:rsidR="00211D46" w:rsidRPr="00B14D27">
        <w:rPr>
          <w:color w:val="201F1E"/>
          <w:sz w:val="22"/>
          <w:szCs w:val="22"/>
        </w:rPr>
        <w:t xml:space="preserve"> dealt a further blow to </w:t>
      </w:r>
      <w:r w:rsidR="00A11F91" w:rsidRPr="00B14D27">
        <w:rPr>
          <w:color w:val="201F1E"/>
          <w:sz w:val="22"/>
          <w:szCs w:val="22"/>
        </w:rPr>
        <w:t>the Brexit legacy</w:t>
      </w:r>
      <w:r w:rsidR="00115751" w:rsidRPr="00B14D27">
        <w:rPr>
          <w:color w:val="201F1E"/>
          <w:sz w:val="22"/>
          <w:szCs w:val="22"/>
        </w:rPr>
        <w:t xml:space="preserve"> and </w:t>
      </w:r>
      <w:r w:rsidR="00B14D27" w:rsidRPr="00B14D27">
        <w:rPr>
          <w:color w:val="201F1E"/>
          <w:sz w:val="22"/>
          <w:szCs w:val="22"/>
        </w:rPr>
        <w:t xml:space="preserve">seems to have </w:t>
      </w:r>
      <w:r w:rsidR="00DA2811">
        <w:rPr>
          <w:color w:val="201F1E"/>
          <w:sz w:val="22"/>
          <w:szCs w:val="22"/>
        </w:rPr>
        <w:t>contributed to the</w:t>
      </w:r>
      <w:r w:rsidR="008B4EA1">
        <w:rPr>
          <w:color w:val="201F1E"/>
          <w:sz w:val="22"/>
          <w:szCs w:val="22"/>
        </w:rPr>
        <w:t xml:space="preserve"> further</w:t>
      </w:r>
      <w:r w:rsidR="00DA2811">
        <w:rPr>
          <w:color w:val="201F1E"/>
          <w:sz w:val="22"/>
          <w:szCs w:val="22"/>
        </w:rPr>
        <w:t xml:space="preserve"> fracturing of Conservative support</w:t>
      </w:r>
      <w:r w:rsidR="005F71F5">
        <w:rPr>
          <w:color w:val="201F1E"/>
          <w:sz w:val="22"/>
          <w:szCs w:val="22"/>
        </w:rPr>
        <w:t xml:space="preserve"> across the political spectrum</w:t>
      </w:r>
      <w:r w:rsidR="00B14D27" w:rsidRPr="00B14D27">
        <w:rPr>
          <w:color w:val="201F1E"/>
          <w:sz w:val="22"/>
          <w:szCs w:val="22"/>
        </w:rPr>
        <w:t>.</w:t>
      </w:r>
    </w:p>
    <w:p w14:paraId="4AF74B7B" w14:textId="030365ED" w:rsidR="0077686E" w:rsidRDefault="00771BF6" w:rsidP="00F24335">
      <w:pPr>
        <w:pStyle w:val="xmsonormal"/>
        <w:shd w:val="clear" w:color="auto" w:fill="FFFFFF" w:themeFill="background1"/>
        <w:spacing w:before="0" w:beforeAutospacing="0" w:after="0" w:afterAutospacing="0" w:line="480" w:lineRule="auto"/>
        <w:ind w:firstLine="720"/>
        <w:rPr>
          <w:color w:val="201F1E"/>
          <w:sz w:val="22"/>
          <w:szCs w:val="22"/>
        </w:rPr>
      </w:pPr>
      <w:r>
        <w:rPr>
          <w:color w:val="201F1E"/>
          <w:sz w:val="22"/>
          <w:szCs w:val="22"/>
        </w:rPr>
        <w:t xml:space="preserve">More widely, </w:t>
      </w:r>
      <w:r w:rsidR="002F026F">
        <w:rPr>
          <w:color w:val="201F1E"/>
          <w:sz w:val="22"/>
          <w:szCs w:val="22"/>
        </w:rPr>
        <w:t>the election</w:t>
      </w:r>
      <w:r>
        <w:rPr>
          <w:color w:val="201F1E"/>
          <w:sz w:val="22"/>
          <w:szCs w:val="22"/>
        </w:rPr>
        <w:t xml:space="preserve"> took place in the context of </w:t>
      </w:r>
      <w:r w:rsidR="002F026F">
        <w:rPr>
          <w:color w:val="201F1E"/>
          <w:sz w:val="22"/>
          <w:szCs w:val="22"/>
        </w:rPr>
        <w:t>a mood of</w:t>
      </w:r>
      <w:r w:rsidR="00305615">
        <w:rPr>
          <w:color w:val="201F1E"/>
          <w:sz w:val="22"/>
          <w:szCs w:val="22"/>
        </w:rPr>
        <w:t xml:space="preserve"> deep public</w:t>
      </w:r>
      <w:r w:rsidR="002F026F">
        <w:rPr>
          <w:color w:val="201F1E"/>
          <w:sz w:val="22"/>
          <w:szCs w:val="22"/>
        </w:rPr>
        <w:t xml:space="preserve"> distrust</w:t>
      </w:r>
      <w:r w:rsidR="00E050FC">
        <w:rPr>
          <w:color w:val="201F1E"/>
          <w:sz w:val="22"/>
          <w:szCs w:val="22"/>
        </w:rPr>
        <w:t xml:space="preserve"> in politics </w:t>
      </w:r>
      <w:r w:rsidR="00FB3B19">
        <w:rPr>
          <w:color w:val="201F1E"/>
          <w:sz w:val="22"/>
          <w:szCs w:val="22"/>
        </w:rPr>
        <w:t xml:space="preserve">and a </w:t>
      </w:r>
      <w:r w:rsidR="006C37D2">
        <w:rPr>
          <w:color w:val="201F1E"/>
          <w:sz w:val="22"/>
          <w:szCs w:val="22"/>
        </w:rPr>
        <w:t>high level of fatalism about the capacity of government to address major</w:t>
      </w:r>
      <w:r w:rsidR="003A7712">
        <w:rPr>
          <w:color w:val="201F1E"/>
          <w:sz w:val="22"/>
          <w:szCs w:val="22"/>
        </w:rPr>
        <w:t xml:space="preserve"> societal</w:t>
      </w:r>
      <w:r w:rsidR="00EB6574">
        <w:rPr>
          <w:color w:val="201F1E"/>
          <w:sz w:val="22"/>
          <w:szCs w:val="22"/>
        </w:rPr>
        <w:t>, environmental</w:t>
      </w:r>
      <w:r w:rsidR="003A7712">
        <w:rPr>
          <w:color w:val="201F1E"/>
          <w:sz w:val="22"/>
          <w:szCs w:val="22"/>
        </w:rPr>
        <w:t xml:space="preserve"> and economic</w:t>
      </w:r>
      <w:r w:rsidR="006C37D2">
        <w:rPr>
          <w:color w:val="201F1E"/>
          <w:sz w:val="22"/>
          <w:szCs w:val="22"/>
        </w:rPr>
        <w:t xml:space="preserve"> problems</w:t>
      </w:r>
      <w:r w:rsidR="00B05146">
        <w:rPr>
          <w:color w:val="201F1E"/>
          <w:sz w:val="22"/>
          <w:szCs w:val="22"/>
        </w:rPr>
        <w:t>.</w:t>
      </w:r>
      <w:r w:rsidR="006C37D2">
        <w:rPr>
          <w:color w:val="201F1E"/>
          <w:sz w:val="22"/>
          <w:szCs w:val="22"/>
        </w:rPr>
        <w:t xml:space="preserve"> A survey</w:t>
      </w:r>
      <w:r w:rsidR="003C1C93">
        <w:rPr>
          <w:color w:val="201F1E"/>
          <w:sz w:val="22"/>
          <w:szCs w:val="22"/>
        </w:rPr>
        <w:t xml:space="preserve"> conducted in April</w:t>
      </w:r>
      <w:r w:rsidR="006C37D2">
        <w:rPr>
          <w:color w:val="201F1E"/>
          <w:sz w:val="22"/>
          <w:szCs w:val="22"/>
        </w:rPr>
        <w:t xml:space="preserve"> ahead of the election found that 82% of people agreed with the suggestion that government</w:t>
      </w:r>
      <w:r w:rsidR="0034357D">
        <w:rPr>
          <w:color w:val="201F1E"/>
          <w:sz w:val="22"/>
          <w:szCs w:val="22"/>
        </w:rPr>
        <w:t xml:space="preserve"> tends to offer ‘empty gestures’ instead of </w:t>
      </w:r>
      <w:r w:rsidR="0034357D">
        <w:rPr>
          <w:color w:val="201F1E"/>
          <w:sz w:val="22"/>
          <w:szCs w:val="22"/>
        </w:rPr>
        <w:lastRenderedPageBreak/>
        <w:t>tackling important problems.</w:t>
      </w:r>
      <w:r w:rsidR="000E3DEC">
        <w:rPr>
          <w:rStyle w:val="FootnoteReference"/>
          <w:color w:val="201F1E"/>
          <w:sz w:val="22"/>
          <w:szCs w:val="22"/>
        </w:rPr>
        <w:footnoteReference w:id="3"/>
      </w:r>
      <w:r w:rsidR="00F2164E">
        <w:rPr>
          <w:color w:val="201F1E"/>
          <w:sz w:val="22"/>
          <w:szCs w:val="22"/>
        </w:rPr>
        <w:t xml:space="preserve"> Another YouGov survey for Sky News</w:t>
      </w:r>
      <w:r w:rsidR="008C2713">
        <w:rPr>
          <w:color w:val="201F1E"/>
          <w:sz w:val="22"/>
          <w:szCs w:val="22"/>
        </w:rPr>
        <w:t xml:space="preserve"> </w:t>
      </w:r>
      <w:r w:rsidR="00F2164E">
        <w:rPr>
          <w:color w:val="201F1E"/>
          <w:sz w:val="22"/>
          <w:szCs w:val="22"/>
        </w:rPr>
        <w:t xml:space="preserve">found that </w:t>
      </w:r>
      <w:r w:rsidR="002D6DC3" w:rsidRPr="002D6DC3">
        <w:rPr>
          <w:color w:val="201F1E"/>
          <w:sz w:val="22"/>
          <w:szCs w:val="22"/>
        </w:rPr>
        <w:t xml:space="preserve">the number of people saying they </w:t>
      </w:r>
      <w:r w:rsidR="002D6DC3">
        <w:rPr>
          <w:color w:val="201F1E"/>
          <w:sz w:val="22"/>
          <w:szCs w:val="22"/>
        </w:rPr>
        <w:t>“</w:t>
      </w:r>
      <w:r w:rsidR="002D6DC3" w:rsidRPr="002D6DC3">
        <w:rPr>
          <w:color w:val="201F1E"/>
          <w:sz w:val="22"/>
          <w:szCs w:val="22"/>
        </w:rPr>
        <w:t>almost never</w:t>
      </w:r>
      <w:r w:rsidR="002D6DC3">
        <w:rPr>
          <w:color w:val="201F1E"/>
          <w:sz w:val="22"/>
          <w:szCs w:val="22"/>
        </w:rPr>
        <w:t>”</w:t>
      </w:r>
      <w:r w:rsidR="002D6DC3" w:rsidRPr="002D6DC3">
        <w:rPr>
          <w:color w:val="201F1E"/>
          <w:sz w:val="22"/>
          <w:szCs w:val="22"/>
        </w:rPr>
        <w:t xml:space="preserve"> trust the British government to place the needs of the nation above the interests of their own party </w:t>
      </w:r>
      <w:r w:rsidR="006C2FD5">
        <w:rPr>
          <w:color w:val="201F1E"/>
          <w:sz w:val="22"/>
          <w:szCs w:val="22"/>
        </w:rPr>
        <w:t xml:space="preserve">had </w:t>
      </w:r>
      <w:r w:rsidR="002D6DC3" w:rsidRPr="002D6DC3">
        <w:rPr>
          <w:color w:val="201F1E"/>
          <w:sz w:val="22"/>
          <w:szCs w:val="22"/>
        </w:rPr>
        <w:t xml:space="preserve">nearly doubled </w:t>
      </w:r>
      <w:r w:rsidR="009B0192">
        <w:rPr>
          <w:color w:val="201F1E"/>
          <w:sz w:val="22"/>
          <w:szCs w:val="22"/>
        </w:rPr>
        <w:t>–</w:t>
      </w:r>
      <w:r w:rsidR="002D6DC3" w:rsidRPr="002D6DC3">
        <w:rPr>
          <w:color w:val="201F1E"/>
          <w:sz w:val="22"/>
          <w:szCs w:val="22"/>
        </w:rPr>
        <w:t xml:space="preserve"> from</w:t>
      </w:r>
      <w:r w:rsidR="009B0192">
        <w:rPr>
          <w:color w:val="201F1E"/>
          <w:sz w:val="22"/>
          <w:szCs w:val="22"/>
        </w:rPr>
        <w:t xml:space="preserve"> </w:t>
      </w:r>
      <w:r w:rsidR="002D6DC3" w:rsidRPr="002D6DC3">
        <w:rPr>
          <w:color w:val="201F1E"/>
          <w:sz w:val="22"/>
          <w:szCs w:val="22"/>
        </w:rPr>
        <w:t>26% to 49%</w:t>
      </w:r>
      <w:r w:rsidR="005856A9">
        <w:rPr>
          <w:color w:val="201F1E"/>
          <w:sz w:val="22"/>
          <w:szCs w:val="22"/>
        </w:rPr>
        <w:t xml:space="preserve"> –</w:t>
      </w:r>
      <w:r w:rsidR="006C2FD5">
        <w:rPr>
          <w:color w:val="201F1E"/>
          <w:sz w:val="22"/>
          <w:szCs w:val="22"/>
        </w:rPr>
        <w:t xml:space="preserve"> between 2019 and 2024</w:t>
      </w:r>
      <w:r w:rsidR="002D6DC3" w:rsidRPr="002D6DC3">
        <w:rPr>
          <w:color w:val="201F1E"/>
          <w:sz w:val="22"/>
          <w:szCs w:val="22"/>
        </w:rPr>
        <w:t>.</w:t>
      </w:r>
      <w:r w:rsidR="00592497">
        <w:rPr>
          <w:rStyle w:val="FootnoteReference"/>
          <w:color w:val="201F1E"/>
          <w:sz w:val="22"/>
          <w:szCs w:val="22"/>
        </w:rPr>
        <w:footnoteReference w:id="4"/>
      </w:r>
      <w:r w:rsidR="00A44384">
        <w:rPr>
          <w:color w:val="201F1E"/>
          <w:sz w:val="22"/>
          <w:szCs w:val="22"/>
        </w:rPr>
        <w:t xml:space="preserve"> That </w:t>
      </w:r>
      <w:r w:rsidR="00BC6DE4">
        <w:rPr>
          <w:color w:val="201F1E"/>
          <w:sz w:val="22"/>
          <w:szCs w:val="22"/>
        </w:rPr>
        <w:t xml:space="preserve">disgruntled mood was reflected in the lack of enthusiasm for Labour, and the </w:t>
      </w:r>
      <w:r w:rsidR="00E61F7D">
        <w:rPr>
          <w:color w:val="201F1E"/>
          <w:sz w:val="22"/>
          <w:szCs w:val="22"/>
        </w:rPr>
        <w:t>mobilisation of anti-political sentiment by Reform</w:t>
      </w:r>
      <w:r w:rsidR="00EF4BA3">
        <w:rPr>
          <w:color w:val="201F1E"/>
          <w:sz w:val="22"/>
          <w:szCs w:val="22"/>
        </w:rPr>
        <w:t xml:space="preserve"> to secure a record vote for the party or its predecessors (UKIP, and Brexit Party).</w:t>
      </w:r>
      <w:r w:rsidR="00BC6DE4">
        <w:rPr>
          <w:color w:val="201F1E"/>
          <w:sz w:val="22"/>
          <w:szCs w:val="22"/>
        </w:rPr>
        <w:t xml:space="preserve"> </w:t>
      </w:r>
    </w:p>
    <w:p w14:paraId="56504763" w14:textId="3469DD56" w:rsidR="002A14E2" w:rsidRDefault="005D4224" w:rsidP="0084210E">
      <w:pPr>
        <w:pStyle w:val="xmsonormal"/>
        <w:shd w:val="clear" w:color="auto" w:fill="FFFFFF" w:themeFill="background1"/>
        <w:spacing w:before="0" w:beforeAutospacing="0" w:after="0" w:afterAutospacing="0" w:line="480" w:lineRule="auto"/>
        <w:ind w:firstLine="720"/>
        <w:rPr>
          <w:sz w:val="22"/>
          <w:szCs w:val="22"/>
        </w:rPr>
      </w:pPr>
      <w:r>
        <w:rPr>
          <w:color w:val="201F1E"/>
          <w:sz w:val="22"/>
          <w:szCs w:val="22"/>
        </w:rPr>
        <w:t>While the electoral tide went out on the Conservative Party</w:t>
      </w:r>
      <w:r w:rsidR="00563F32">
        <w:rPr>
          <w:color w:val="201F1E"/>
          <w:sz w:val="22"/>
          <w:szCs w:val="22"/>
        </w:rPr>
        <w:t xml:space="preserve"> in 2024</w:t>
      </w:r>
      <w:r w:rsidR="008A5369">
        <w:rPr>
          <w:color w:val="201F1E"/>
          <w:sz w:val="22"/>
          <w:szCs w:val="22"/>
        </w:rPr>
        <w:t xml:space="preserve"> to devastating effect</w:t>
      </w:r>
      <w:r w:rsidR="00CB4E7E">
        <w:rPr>
          <w:color w:val="201F1E"/>
          <w:sz w:val="22"/>
          <w:szCs w:val="22"/>
        </w:rPr>
        <w:t>,</w:t>
      </w:r>
      <w:r w:rsidR="00AD4C4A">
        <w:rPr>
          <w:color w:val="201F1E"/>
          <w:sz w:val="22"/>
          <w:szCs w:val="22"/>
        </w:rPr>
        <w:t xml:space="preserve"> the structural cleavages that underpin the electoral geography of Britain </w:t>
      </w:r>
      <w:r w:rsidR="006850FB">
        <w:rPr>
          <w:color w:val="201F1E"/>
          <w:sz w:val="22"/>
          <w:szCs w:val="22"/>
        </w:rPr>
        <w:t>only shifted slightly</w:t>
      </w:r>
      <w:r w:rsidR="00AD4C4A">
        <w:rPr>
          <w:color w:val="201F1E"/>
          <w:sz w:val="22"/>
          <w:szCs w:val="22"/>
        </w:rPr>
        <w:t xml:space="preserve">. </w:t>
      </w:r>
      <w:r w:rsidR="008027C7">
        <w:rPr>
          <w:color w:val="201F1E"/>
          <w:sz w:val="22"/>
          <w:szCs w:val="22"/>
        </w:rPr>
        <w:t xml:space="preserve">This is consistent with the findings of Furlong and Jennings in </w:t>
      </w:r>
      <w:r w:rsidR="007E079F" w:rsidRPr="00D97E9C">
        <w:rPr>
          <w:i/>
          <w:iCs/>
          <w:color w:val="201F1E"/>
          <w:sz w:val="22"/>
          <w:szCs w:val="22"/>
        </w:rPr>
        <w:t>The Changing Electoral Map of England and Wales</w:t>
      </w:r>
      <w:r w:rsidR="00486F87">
        <w:rPr>
          <w:rStyle w:val="FootnoteReference"/>
          <w:i/>
          <w:iCs/>
          <w:color w:val="201F1E"/>
          <w:sz w:val="22"/>
          <w:szCs w:val="22"/>
        </w:rPr>
        <w:footnoteReference w:id="5"/>
      </w:r>
      <w:r w:rsidR="006314B5">
        <w:rPr>
          <w:color w:val="201F1E"/>
          <w:sz w:val="22"/>
          <w:szCs w:val="22"/>
        </w:rPr>
        <w:t xml:space="preserve"> – that while there are elections at which </w:t>
      </w:r>
      <w:r w:rsidR="00B65272">
        <w:rPr>
          <w:color w:val="201F1E"/>
          <w:sz w:val="22"/>
          <w:szCs w:val="22"/>
        </w:rPr>
        <w:t xml:space="preserve">there are </w:t>
      </w:r>
      <w:r w:rsidR="006314B5">
        <w:rPr>
          <w:color w:val="201F1E"/>
          <w:sz w:val="22"/>
          <w:szCs w:val="22"/>
        </w:rPr>
        <w:t>accelerat</w:t>
      </w:r>
      <w:r w:rsidR="00B65272">
        <w:rPr>
          <w:color w:val="201F1E"/>
          <w:sz w:val="22"/>
          <w:szCs w:val="22"/>
        </w:rPr>
        <w:t>ions</w:t>
      </w:r>
      <w:r w:rsidR="006314B5">
        <w:rPr>
          <w:color w:val="201F1E"/>
          <w:sz w:val="22"/>
          <w:szCs w:val="22"/>
        </w:rPr>
        <w:t xml:space="preserve"> or decelerat</w:t>
      </w:r>
      <w:r w:rsidR="00B65272">
        <w:rPr>
          <w:color w:val="201F1E"/>
          <w:sz w:val="22"/>
          <w:szCs w:val="22"/>
        </w:rPr>
        <w:t>ions</w:t>
      </w:r>
      <w:r w:rsidR="004B46BD">
        <w:rPr>
          <w:color w:val="201F1E"/>
          <w:sz w:val="22"/>
          <w:szCs w:val="22"/>
        </w:rPr>
        <w:t xml:space="preserve">, </w:t>
      </w:r>
      <w:r w:rsidR="008B0482">
        <w:rPr>
          <w:color w:val="201F1E"/>
          <w:sz w:val="22"/>
          <w:szCs w:val="22"/>
        </w:rPr>
        <w:t>the electoral geography of England and Wales is for the most part</w:t>
      </w:r>
      <w:r w:rsidR="00B41940">
        <w:rPr>
          <w:color w:val="201F1E"/>
          <w:sz w:val="22"/>
          <w:szCs w:val="22"/>
        </w:rPr>
        <w:t xml:space="preserve"> </w:t>
      </w:r>
      <w:r w:rsidR="008B0482">
        <w:rPr>
          <w:color w:val="201F1E"/>
          <w:sz w:val="22"/>
          <w:szCs w:val="22"/>
        </w:rPr>
        <w:t>characterised by</w:t>
      </w:r>
      <w:r w:rsidR="00B41940">
        <w:rPr>
          <w:color w:val="201F1E"/>
          <w:sz w:val="22"/>
          <w:szCs w:val="22"/>
        </w:rPr>
        <w:t xml:space="preserve"> longer term trajectories</w:t>
      </w:r>
      <w:r w:rsidR="000621AA" w:rsidRPr="00541178">
        <w:rPr>
          <w:color w:val="201F1E"/>
          <w:sz w:val="22"/>
          <w:szCs w:val="22"/>
        </w:rPr>
        <w:t>.</w:t>
      </w:r>
      <w:r w:rsidR="00B41940">
        <w:rPr>
          <w:color w:val="201F1E"/>
          <w:sz w:val="22"/>
          <w:szCs w:val="22"/>
        </w:rPr>
        <w:t xml:space="preserve"> </w:t>
      </w:r>
      <w:r w:rsidR="00CA7AD6" w:rsidRPr="00BD656B">
        <w:rPr>
          <w:sz w:val="22"/>
          <w:szCs w:val="22"/>
        </w:rPr>
        <w:t>Importantly, the</w:t>
      </w:r>
      <w:r w:rsidR="00E975E4">
        <w:rPr>
          <w:sz w:val="22"/>
          <w:szCs w:val="22"/>
        </w:rPr>
        <w:t xml:space="preserve"> result</w:t>
      </w:r>
      <w:r w:rsidR="00696D76">
        <w:rPr>
          <w:sz w:val="22"/>
          <w:szCs w:val="22"/>
        </w:rPr>
        <w:t xml:space="preserve"> of the</w:t>
      </w:r>
      <w:r w:rsidR="00CA7AD6" w:rsidRPr="00BD656B">
        <w:rPr>
          <w:sz w:val="22"/>
          <w:szCs w:val="22"/>
        </w:rPr>
        <w:t xml:space="preserve"> 2024 </w:t>
      </w:r>
      <w:r w:rsidR="008803E2">
        <w:rPr>
          <w:sz w:val="22"/>
          <w:szCs w:val="22"/>
        </w:rPr>
        <w:t xml:space="preserve">general </w:t>
      </w:r>
      <w:r w:rsidR="00696D76">
        <w:rPr>
          <w:sz w:val="22"/>
          <w:szCs w:val="22"/>
        </w:rPr>
        <w:t>election</w:t>
      </w:r>
      <w:r w:rsidR="00CA7AD6" w:rsidRPr="00BD656B">
        <w:rPr>
          <w:sz w:val="22"/>
          <w:szCs w:val="22"/>
        </w:rPr>
        <w:t xml:space="preserve"> was </w:t>
      </w:r>
      <w:r w:rsidR="00A10223">
        <w:rPr>
          <w:sz w:val="22"/>
          <w:szCs w:val="22"/>
        </w:rPr>
        <w:t>largely</w:t>
      </w:r>
      <w:r w:rsidR="00CA7AD6" w:rsidRPr="00BD656B">
        <w:rPr>
          <w:sz w:val="22"/>
          <w:szCs w:val="22"/>
        </w:rPr>
        <w:t xml:space="preserve"> consistent with the</w:t>
      </w:r>
      <w:r w:rsidR="00BA108B">
        <w:rPr>
          <w:sz w:val="22"/>
          <w:szCs w:val="22"/>
        </w:rPr>
        <w:t xml:space="preserve"> geography of the</w:t>
      </w:r>
      <w:r w:rsidR="00CA7AD6" w:rsidRPr="00BD656B">
        <w:rPr>
          <w:sz w:val="22"/>
          <w:szCs w:val="22"/>
        </w:rPr>
        <w:t xml:space="preserve"> 2019 ‘realignment’</w:t>
      </w:r>
      <w:r w:rsidR="008803E2">
        <w:rPr>
          <w:sz w:val="22"/>
          <w:szCs w:val="22"/>
        </w:rPr>
        <w:t>. A</w:t>
      </w:r>
      <w:r w:rsidR="00227A0B" w:rsidRPr="00BD656B">
        <w:rPr>
          <w:sz w:val="22"/>
          <w:szCs w:val="22"/>
        </w:rPr>
        <w:t>s we will show</w:t>
      </w:r>
      <w:r w:rsidR="009421DB">
        <w:rPr>
          <w:sz w:val="22"/>
          <w:szCs w:val="22"/>
        </w:rPr>
        <w:t>,</w:t>
      </w:r>
      <w:r w:rsidR="006138E7">
        <w:rPr>
          <w:sz w:val="22"/>
          <w:szCs w:val="22"/>
        </w:rPr>
        <w:t xml:space="preserve"> at the constituency-level</w:t>
      </w:r>
      <w:r w:rsidR="00CA7AD6" w:rsidRPr="00BD656B">
        <w:rPr>
          <w:sz w:val="22"/>
          <w:szCs w:val="22"/>
        </w:rPr>
        <w:t xml:space="preserve"> demographics predictors of voting </w:t>
      </w:r>
      <w:r w:rsidR="009A55BD">
        <w:rPr>
          <w:sz w:val="22"/>
          <w:szCs w:val="22"/>
        </w:rPr>
        <w:t>did not</w:t>
      </w:r>
      <w:r w:rsidR="0098733F">
        <w:rPr>
          <w:sz w:val="22"/>
          <w:szCs w:val="22"/>
        </w:rPr>
        <w:t xml:space="preserve"> deviate radically from</w:t>
      </w:r>
      <w:r w:rsidR="00CA7AD6" w:rsidRPr="00BD656B">
        <w:rPr>
          <w:sz w:val="22"/>
          <w:szCs w:val="22"/>
        </w:rPr>
        <w:t xml:space="preserve"> previous elections</w:t>
      </w:r>
      <w:r w:rsidR="005860EB">
        <w:rPr>
          <w:sz w:val="22"/>
          <w:szCs w:val="22"/>
        </w:rPr>
        <w:t xml:space="preserve">, albeit with </w:t>
      </w:r>
      <w:r w:rsidR="0098733F">
        <w:rPr>
          <w:sz w:val="22"/>
          <w:szCs w:val="22"/>
        </w:rPr>
        <w:t>some notable variations that point to the changing geographical</w:t>
      </w:r>
      <w:r w:rsidR="001E0875">
        <w:rPr>
          <w:sz w:val="22"/>
          <w:szCs w:val="22"/>
        </w:rPr>
        <w:t xml:space="preserve"> distribution of Labour and Conservative support, and support for challenger parties – notably Reform, the Greens</w:t>
      </w:r>
      <w:r w:rsidR="002A14E2">
        <w:rPr>
          <w:sz w:val="22"/>
          <w:szCs w:val="22"/>
        </w:rPr>
        <w:t>,</w:t>
      </w:r>
      <w:r w:rsidR="001E0875">
        <w:rPr>
          <w:sz w:val="22"/>
          <w:szCs w:val="22"/>
        </w:rPr>
        <w:t xml:space="preserve"> and </w:t>
      </w:r>
      <w:r w:rsidR="00777809">
        <w:rPr>
          <w:sz w:val="22"/>
          <w:szCs w:val="22"/>
        </w:rPr>
        <w:t xml:space="preserve">the </w:t>
      </w:r>
      <w:r w:rsidR="001E0875">
        <w:rPr>
          <w:sz w:val="22"/>
          <w:szCs w:val="22"/>
        </w:rPr>
        <w:t xml:space="preserve">Liberal Democrats. </w:t>
      </w:r>
      <w:r w:rsidR="007F09E2">
        <w:rPr>
          <w:sz w:val="22"/>
          <w:szCs w:val="22"/>
        </w:rPr>
        <w:t xml:space="preserve">The </w:t>
      </w:r>
      <w:r w:rsidR="00E80C15">
        <w:rPr>
          <w:sz w:val="22"/>
          <w:szCs w:val="22"/>
        </w:rPr>
        <w:t xml:space="preserve">distribution of Labour’s vote – or </w:t>
      </w:r>
      <w:r w:rsidR="004D523B">
        <w:rPr>
          <w:sz w:val="22"/>
          <w:szCs w:val="22"/>
        </w:rPr>
        <w:t>more specific</w:t>
      </w:r>
      <w:r w:rsidR="00725231">
        <w:rPr>
          <w:sz w:val="22"/>
          <w:szCs w:val="22"/>
        </w:rPr>
        <w:t>ally</w:t>
      </w:r>
      <w:r w:rsidR="00E80C15">
        <w:rPr>
          <w:sz w:val="22"/>
          <w:szCs w:val="22"/>
        </w:rPr>
        <w:t xml:space="preserve"> its relative advantage over the Conservatives – did become much more efficient</w:t>
      </w:r>
      <w:r w:rsidR="00B14F99">
        <w:rPr>
          <w:sz w:val="22"/>
          <w:szCs w:val="22"/>
        </w:rPr>
        <w:t xml:space="preserve"> (translating</w:t>
      </w:r>
      <w:r w:rsidR="00614F4B">
        <w:rPr>
          <w:sz w:val="22"/>
          <w:szCs w:val="22"/>
        </w:rPr>
        <w:t xml:space="preserve"> 3</w:t>
      </w:r>
      <w:r w:rsidR="00094D74">
        <w:rPr>
          <w:sz w:val="22"/>
          <w:szCs w:val="22"/>
        </w:rPr>
        <w:t>3</w:t>
      </w:r>
      <w:r w:rsidR="00614F4B">
        <w:rPr>
          <w:sz w:val="22"/>
          <w:szCs w:val="22"/>
        </w:rPr>
        <w:t>.7% of the vote</w:t>
      </w:r>
      <w:r w:rsidR="00B14F99">
        <w:rPr>
          <w:sz w:val="22"/>
          <w:szCs w:val="22"/>
        </w:rPr>
        <w:t xml:space="preserve"> to</w:t>
      </w:r>
      <w:r w:rsidR="00614F4B">
        <w:rPr>
          <w:sz w:val="22"/>
          <w:szCs w:val="22"/>
        </w:rPr>
        <w:t xml:space="preserve"> </w:t>
      </w:r>
      <w:r w:rsidR="00FF4EDA">
        <w:rPr>
          <w:sz w:val="22"/>
          <w:szCs w:val="22"/>
        </w:rPr>
        <w:t>63</w:t>
      </w:r>
      <w:r w:rsidR="00614F4B">
        <w:rPr>
          <w:sz w:val="22"/>
          <w:szCs w:val="22"/>
        </w:rPr>
        <w:t>% of the</w:t>
      </w:r>
      <w:r w:rsidR="00B14F99">
        <w:rPr>
          <w:sz w:val="22"/>
          <w:szCs w:val="22"/>
        </w:rPr>
        <w:t xml:space="preserve"> seats</w:t>
      </w:r>
      <w:r w:rsidR="00614F4B">
        <w:rPr>
          <w:sz w:val="22"/>
          <w:szCs w:val="22"/>
        </w:rPr>
        <w:t>)</w:t>
      </w:r>
      <w:r w:rsidR="00E80C15">
        <w:rPr>
          <w:sz w:val="22"/>
          <w:szCs w:val="22"/>
        </w:rPr>
        <w:t xml:space="preserve">, </w:t>
      </w:r>
      <w:r w:rsidR="00653DFB">
        <w:rPr>
          <w:sz w:val="22"/>
          <w:szCs w:val="22"/>
        </w:rPr>
        <w:t>contrary to trends</w:t>
      </w:r>
      <w:r w:rsidR="00777809">
        <w:rPr>
          <w:sz w:val="22"/>
          <w:szCs w:val="22"/>
        </w:rPr>
        <w:t xml:space="preserve"> over recent elections</w:t>
      </w:r>
      <w:r w:rsidR="00653DFB">
        <w:rPr>
          <w:sz w:val="22"/>
          <w:szCs w:val="22"/>
        </w:rPr>
        <w:t xml:space="preserve">. </w:t>
      </w:r>
    </w:p>
    <w:p w14:paraId="1E3B8D3A" w14:textId="113EBC6F" w:rsidR="003D3717" w:rsidRDefault="006A22CA" w:rsidP="0084210E">
      <w:pPr>
        <w:pStyle w:val="xmsonormal"/>
        <w:shd w:val="clear" w:color="auto" w:fill="FFFFFF" w:themeFill="background1"/>
        <w:spacing w:before="0" w:beforeAutospacing="0" w:after="0" w:afterAutospacing="0" w:line="480" w:lineRule="auto"/>
        <w:ind w:firstLine="720"/>
        <w:rPr>
          <w:color w:val="201F1E"/>
          <w:sz w:val="22"/>
          <w:szCs w:val="22"/>
        </w:rPr>
      </w:pPr>
      <w:r>
        <w:rPr>
          <w:sz w:val="22"/>
          <w:szCs w:val="22"/>
        </w:rPr>
        <w:t>Several features of th</w:t>
      </w:r>
      <w:r w:rsidR="005E410E">
        <w:rPr>
          <w:sz w:val="22"/>
          <w:szCs w:val="22"/>
        </w:rPr>
        <w:t>e political context</w:t>
      </w:r>
      <w:r>
        <w:rPr>
          <w:sz w:val="22"/>
          <w:szCs w:val="22"/>
        </w:rPr>
        <w:t xml:space="preserve"> contributed significantly to </w:t>
      </w:r>
      <w:r w:rsidR="0084210E">
        <w:rPr>
          <w:sz w:val="22"/>
          <w:szCs w:val="22"/>
        </w:rPr>
        <w:t>the pattern</w:t>
      </w:r>
      <w:r w:rsidR="006810EA">
        <w:rPr>
          <w:sz w:val="22"/>
          <w:szCs w:val="22"/>
        </w:rPr>
        <w:t>s</w:t>
      </w:r>
      <w:r w:rsidR="0084210E">
        <w:rPr>
          <w:sz w:val="22"/>
          <w:szCs w:val="22"/>
        </w:rPr>
        <w:t xml:space="preserve"> of voting</w:t>
      </w:r>
      <w:r w:rsidR="006810EA">
        <w:rPr>
          <w:sz w:val="22"/>
          <w:szCs w:val="22"/>
        </w:rPr>
        <w:t xml:space="preserve"> that were</w:t>
      </w:r>
      <w:r w:rsidR="0084210E">
        <w:rPr>
          <w:sz w:val="22"/>
          <w:szCs w:val="22"/>
        </w:rPr>
        <w:t xml:space="preserve"> observed. Firstly, </w:t>
      </w:r>
      <w:r w:rsidR="0055247D" w:rsidRPr="00724EC7">
        <w:rPr>
          <w:color w:val="201F1E"/>
          <w:sz w:val="22"/>
          <w:szCs w:val="22"/>
        </w:rPr>
        <w:t>the</w:t>
      </w:r>
      <w:r w:rsidR="00134998">
        <w:rPr>
          <w:color w:val="201F1E"/>
          <w:sz w:val="22"/>
          <w:szCs w:val="22"/>
        </w:rPr>
        <w:t xml:space="preserve"> </w:t>
      </w:r>
      <w:r w:rsidR="00037D87">
        <w:rPr>
          <w:color w:val="201F1E"/>
          <w:sz w:val="22"/>
          <w:szCs w:val="22"/>
        </w:rPr>
        <w:t>collapse of Conservative support among Leave voters in particular</w:t>
      </w:r>
      <w:r w:rsidR="00003DF3">
        <w:rPr>
          <w:color w:val="201F1E"/>
          <w:sz w:val="22"/>
          <w:szCs w:val="22"/>
        </w:rPr>
        <w:t xml:space="preserve"> – with </w:t>
      </w:r>
      <w:r w:rsidR="00003DF3">
        <w:rPr>
          <w:color w:val="201F1E"/>
          <w:sz w:val="22"/>
          <w:szCs w:val="22"/>
        </w:rPr>
        <w:lastRenderedPageBreak/>
        <w:t>many defecting to</w:t>
      </w:r>
      <w:r w:rsidR="0027418A">
        <w:rPr>
          <w:color w:val="201F1E"/>
          <w:sz w:val="22"/>
          <w:szCs w:val="22"/>
        </w:rPr>
        <w:t xml:space="preserve"> Nigel Farage’s</w:t>
      </w:r>
      <w:r w:rsidR="00003DF3">
        <w:rPr>
          <w:color w:val="201F1E"/>
          <w:sz w:val="22"/>
          <w:szCs w:val="22"/>
        </w:rPr>
        <w:t xml:space="preserve"> </w:t>
      </w:r>
      <w:r w:rsidR="001C71B9">
        <w:rPr>
          <w:color w:val="201F1E"/>
          <w:sz w:val="22"/>
          <w:szCs w:val="22"/>
        </w:rPr>
        <w:t>Reform UK –</w:t>
      </w:r>
      <w:r w:rsidR="00037D87">
        <w:rPr>
          <w:color w:val="201F1E"/>
          <w:sz w:val="22"/>
          <w:szCs w:val="22"/>
        </w:rPr>
        <w:t xml:space="preserve"> contributed</w:t>
      </w:r>
      <w:r w:rsidR="001C71B9">
        <w:rPr>
          <w:color w:val="201F1E"/>
          <w:sz w:val="22"/>
          <w:szCs w:val="22"/>
        </w:rPr>
        <w:t xml:space="preserve"> </w:t>
      </w:r>
      <w:r w:rsidR="00037D87">
        <w:rPr>
          <w:color w:val="201F1E"/>
          <w:sz w:val="22"/>
          <w:szCs w:val="22"/>
        </w:rPr>
        <w:t xml:space="preserve">to a pattern of disproportional swing where the party tended to experience largest falls in its vote where </w:t>
      </w:r>
      <w:proofErr w:type="spellStart"/>
      <w:r w:rsidR="00037D87">
        <w:rPr>
          <w:color w:val="201F1E"/>
          <w:sz w:val="22"/>
          <w:szCs w:val="22"/>
        </w:rPr>
        <w:t>it</w:t>
      </w:r>
      <w:r w:rsidR="00C32E68">
        <w:rPr>
          <w:color w:val="201F1E"/>
          <w:sz w:val="22"/>
          <w:szCs w:val="22"/>
        </w:rPr>
        <w:t>s</w:t>
      </w:r>
      <w:proofErr w:type="spellEnd"/>
      <w:r w:rsidR="00C32E68">
        <w:rPr>
          <w:color w:val="201F1E"/>
          <w:sz w:val="22"/>
          <w:szCs w:val="22"/>
        </w:rPr>
        <w:t xml:space="preserve"> had started highest. </w:t>
      </w:r>
      <w:r w:rsidR="000A6E8A">
        <w:rPr>
          <w:color w:val="201F1E"/>
          <w:sz w:val="22"/>
          <w:szCs w:val="22"/>
        </w:rPr>
        <w:t>This meant that</w:t>
      </w:r>
      <w:r w:rsidR="00852E6A">
        <w:rPr>
          <w:color w:val="201F1E"/>
          <w:sz w:val="22"/>
          <w:szCs w:val="22"/>
        </w:rPr>
        <w:t xml:space="preserve"> there was a national swing of </w:t>
      </w:r>
      <w:r w:rsidR="009F70C4">
        <w:rPr>
          <w:color w:val="201F1E"/>
          <w:sz w:val="22"/>
          <w:szCs w:val="22"/>
        </w:rPr>
        <w:t>11.</w:t>
      </w:r>
      <w:r w:rsidR="00217908">
        <w:rPr>
          <w:color w:val="201F1E"/>
          <w:sz w:val="22"/>
          <w:szCs w:val="22"/>
        </w:rPr>
        <w:t>0</w:t>
      </w:r>
      <w:r w:rsidR="00852E6A">
        <w:rPr>
          <w:color w:val="201F1E"/>
          <w:sz w:val="22"/>
          <w:szCs w:val="22"/>
        </w:rPr>
        <w:t xml:space="preserve"> points from the Conservatives to Labour</w:t>
      </w:r>
      <w:r w:rsidR="000A6E8A">
        <w:rPr>
          <w:color w:val="201F1E"/>
          <w:sz w:val="22"/>
          <w:szCs w:val="22"/>
        </w:rPr>
        <w:t xml:space="preserve"> </w:t>
      </w:r>
      <w:r w:rsidR="00E62BFB">
        <w:rPr>
          <w:color w:val="201F1E"/>
          <w:sz w:val="22"/>
          <w:szCs w:val="22"/>
        </w:rPr>
        <w:t xml:space="preserve">even </w:t>
      </w:r>
      <w:r w:rsidR="00B3513D">
        <w:rPr>
          <w:color w:val="201F1E"/>
          <w:sz w:val="22"/>
          <w:szCs w:val="22"/>
        </w:rPr>
        <w:t xml:space="preserve">though </w:t>
      </w:r>
      <w:r w:rsidR="009F70C4">
        <w:rPr>
          <w:color w:val="201F1E"/>
          <w:sz w:val="22"/>
          <w:szCs w:val="22"/>
        </w:rPr>
        <w:t>the latte</w:t>
      </w:r>
      <w:r w:rsidR="00522FA6">
        <w:rPr>
          <w:color w:val="201F1E"/>
          <w:sz w:val="22"/>
          <w:szCs w:val="22"/>
        </w:rPr>
        <w:t xml:space="preserve">r </w:t>
      </w:r>
      <w:r w:rsidR="00E62BFB">
        <w:rPr>
          <w:color w:val="201F1E"/>
          <w:sz w:val="22"/>
          <w:szCs w:val="22"/>
        </w:rPr>
        <w:t>increased its own vote by</w:t>
      </w:r>
      <w:r w:rsidR="00852E6A">
        <w:rPr>
          <w:color w:val="201F1E"/>
          <w:sz w:val="22"/>
          <w:szCs w:val="22"/>
        </w:rPr>
        <w:t xml:space="preserve"> just</w:t>
      </w:r>
      <w:r w:rsidR="00E62BFB">
        <w:rPr>
          <w:color w:val="201F1E"/>
          <w:sz w:val="22"/>
          <w:szCs w:val="22"/>
        </w:rPr>
        <w:t xml:space="preserve"> </w:t>
      </w:r>
      <w:r w:rsidR="00884D1F">
        <w:rPr>
          <w:color w:val="201F1E"/>
          <w:sz w:val="22"/>
          <w:szCs w:val="22"/>
        </w:rPr>
        <w:t>1.7</w:t>
      </w:r>
      <w:r w:rsidR="00E62BFB">
        <w:rPr>
          <w:color w:val="201F1E"/>
          <w:sz w:val="22"/>
          <w:szCs w:val="22"/>
        </w:rPr>
        <w:t xml:space="preserve"> points </w:t>
      </w:r>
      <w:r w:rsidR="001C71B9">
        <w:rPr>
          <w:color w:val="201F1E"/>
          <w:sz w:val="22"/>
          <w:szCs w:val="22"/>
        </w:rPr>
        <w:t>(</w:t>
      </w:r>
      <w:r w:rsidR="00E62BFB">
        <w:rPr>
          <w:color w:val="201F1E"/>
          <w:sz w:val="22"/>
          <w:szCs w:val="22"/>
        </w:rPr>
        <w:t>to 34.7%</w:t>
      </w:r>
      <w:r w:rsidR="001C71B9">
        <w:rPr>
          <w:color w:val="201F1E"/>
          <w:sz w:val="22"/>
          <w:szCs w:val="22"/>
        </w:rPr>
        <w:t>)</w:t>
      </w:r>
      <w:r w:rsidR="00CC6769">
        <w:rPr>
          <w:color w:val="201F1E"/>
          <w:sz w:val="22"/>
          <w:szCs w:val="22"/>
        </w:rPr>
        <w:t xml:space="preserve">. </w:t>
      </w:r>
      <w:r w:rsidR="004B588F">
        <w:rPr>
          <w:color w:val="201F1E"/>
          <w:sz w:val="22"/>
          <w:szCs w:val="22"/>
        </w:rPr>
        <w:t>The splintering of support on the Leave side</w:t>
      </w:r>
      <w:r w:rsidR="002046B8">
        <w:rPr>
          <w:color w:val="201F1E"/>
          <w:sz w:val="22"/>
          <w:szCs w:val="22"/>
        </w:rPr>
        <w:t xml:space="preserve"> of the Brexit divide</w:t>
      </w:r>
      <w:r w:rsidR="004B588F">
        <w:rPr>
          <w:color w:val="201F1E"/>
          <w:sz w:val="22"/>
          <w:szCs w:val="22"/>
        </w:rPr>
        <w:t xml:space="preserve"> had devastating consequences for the</w:t>
      </w:r>
      <w:r w:rsidR="000F7953">
        <w:rPr>
          <w:color w:val="201F1E"/>
          <w:sz w:val="22"/>
          <w:szCs w:val="22"/>
        </w:rPr>
        <w:t xml:space="preserve"> party</w:t>
      </w:r>
      <w:r w:rsidR="004B4E95">
        <w:rPr>
          <w:color w:val="201F1E"/>
          <w:sz w:val="22"/>
          <w:szCs w:val="22"/>
        </w:rPr>
        <w:t xml:space="preserve">, </w:t>
      </w:r>
      <w:r w:rsidR="003658D7">
        <w:rPr>
          <w:color w:val="201F1E"/>
          <w:sz w:val="22"/>
          <w:szCs w:val="22"/>
        </w:rPr>
        <w:t xml:space="preserve">as well as being a significant part of the wider electoral fragmentation that </w:t>
      </w:r>
      <w:r w:rsidR="008A7EF0">
        <w:rPr>
          <w:color w:val="201F1E"/>
          <w:sz w:val="22"/>
          <w:szCs w:val="22"/>
        </w:rPr>
        <w:t>occurred</w:t>
      </w:r>
      <w:r w:rsidR="003658D7">
        <w:rPr>
          <w:color w:val="201F1E"/>
          <w:sz w:val="22"/>
          <w:szCs w:val="22"/>
        </w:rPr>
        <w:t>.</w:t>
      </w:r>
      <w:r w:rsidR="00267BEA">
        <w:rPr>
          <w:color w:val="201F1E"/>
          <w:sz w:val="22"/>
          <w:szCs w:val="22"/>
        </w:rPr>
        <w:t xml:space="preserve"> </w:t>
      </w:r>
    </w:p>
    <w:p w14:paraId="6EBC7269" w14:textId="7BB921D7" w:rsidR="00C27AD6" w:rsidRDefault="00EC1F36" w:rsidP="00003C7A">
      <w:pPr>
        <w:pStyle w:val="xmsonormal"/>
        <w:shd w:val="clear" w:color="auto" w:fill="FFFFFF" w:themeFill="background1"/>
        <w:spacing w:before="0" w:beforeAutospacing="0" w:after="0" w:afterAutospacing="0" w:line="480" w:lineRule="auto"/>
        <w:ind w:firstLine="720"/>
        <w:rPr>
          <w:color w:val="201F1E"/>
          <w:sz w:val="22"/>
          <w:szCs w:val="22"/>
        </w:rPr>
      </w:pPr>
      <w:r w:rsidRPr="00724EC7">
        <w:rPr>
          <w:color w:val="201F1E"/>
          <w:sz w:val="22"/>
          <w:szCs w:val="22"/>
        </w:rPr>
        <w:t>Secondly,</w:t>
      </w:r>
      <w:r w:rsidR="00497013">
        <w:rPr>
          <w:color w:val="201F1E"/>
          <w:sz w:val="22"/>
          <w:szCs w:val="22"/>
        </w:rPr>
        <w:t xml:space="preserve"> </w:t>
      </w:r>
      <w:r w:rsidR="00FE1A3B" w:rsidRPr="00724EC7">
        <w:rPr>
          <w:sz w:val="22"/>
          <w:szCs w:val="22"/>
        </w:rPr>
        <w:t>Britain’s electoral and party system</w:t>
      </w:r>
      <w:r w:rsidR="00497013">
        <w:rPr>
          <w:sz w:val="22"/>
          <w:szCs w:val="22"/>
        </w:rPr>
        <w:t xml:space="preserve"> continued to come under extreme pressure</w:t>
      </w:r>
      <w:r w:rsidR="00BE1005">
        <w:rPr>
          <w:sz w:val="22"/>
          <w:szCs w:val="22"/>
        </w:rPr>
        <w:t xml:space="preserve"> at the individual level</w:t>
      </w:r>
      <w:r w:rsidR="00266D58">
        <w:rPr>
          <w:sz w:val="22"/>
          <w:szCs w:val="22"/>
        </w:rPr>
        <w:t xml:space="preserve"> due to the </w:t>
      </w:r>
      <w:r w:rsidR="00FE1A3B" w:rsidRPr="00724EC7">
        <w:rPr>
          <w:sz w:val="22"/>
          <w:szCs w:val="22"/>
        </w:rPr>
        <w:t>declining partisan loyalties of voters</w:t>
      </w:r>
      <w:r w:rsidR="006870FC">
        <w:rPr>
          <w:sz w:val="22"/>
          <w:szCs w:val="22"/>
        </w:rPr>
        <w:t xml:space="preserve"> and</w:t>
      </w:r>
      <w:r w:rsidR="00FE1A3B" w:rsidRPr="00724EC7">
        <w:rPr>
          <w:sz w:val="22"/>
          <w:szCs w:val="22"/>
        </w:rPr>
        <w:t xml:space="preserve"> </w:t>
      </w:r>
      <w:r w:rsidR="003442E7">
        <w:rPr>
          <w:sz w:val="22"/>
          <w:szCs w:val="22"/>
        </w:rPr>
        <w:t>increased</w:t>
      </w:r>
      <w:r w:rsidR="000B6220" w:rsidRPr="00724EC7">
        <w:rPr>
          <w:sz w:val="22"/>
          <w:szCs w:val="22"/>
        </w:rPr>
        <w:t xml:space="preserve"> </w:t>
      </w:r>
      <w:r w:rsidR="00266D58">
        <w:rPr>
          <w:sz w:val="22"/>
          <w:szCs w:val="22"/>
        </w:rPr>
        <w:t xml:space="preserve">electoral </w:t>
      </w:r>
      <w:r w:rsidR="000B6220" w:rsidRPr="00724EC7">
        <w:rPr>
          <w:sz w:val="22"/>
          <w:szCs w:val="22"/>
        </w:rPr>
        <w:t>volatility.</w:t>
      </w:r>
      <w:r w:rsidR="00FE6AF2">
        <w:rPr>
          <w:rStyle w:val="FootnoteReference"/>
          <w:sz w:val="22"/>
          <w:szCs w:val="22"/>
        </w:rPr>
        <w:footnoteReference w:id="6"/>
      </w:r>
      <w:r w:rsidR="00605469">
        <w:rPr>
          <w:sz w:val="22"/>
          <w:szCs w:val="22"/>
        </w:rPr>
        <w:t xml:space="preserve"> This was all compounded by the aforementioned high levels of distrust towards the </w:t>
      </w:r>
      <w:r w:rsidR="00B136E4">
        <w:rPr>
          <w:sz w:val="22"/>
          <w:szCs w:val="22"/>
        </w:rPr>
        <w:t>government and politics more generally</w:t>
      </w:r>
      <w:r w:rsidR="005C7451">
        <w:rPr>
          <w:sz w:val="22"/>
          <w:szCs w:val="22"/>
        </w:rPr>
        <w:t xml:space="preserve">. </w:t>
      </w:r>
      <w:r>
        <w:rPr>
          <w:sz w:val="22"/>
          <w:szCs w:val="22"/>
        </w:rPr>
        <w:t>This</w:t>
      </w:r>
      <w:r w:rsidR="0083765C">
        <w:rPr>
          <w:sz w:val="22"/>
          <w:szCs w:val="22"/>
        </w:rPr>
        <w:t xml:space="preserve"> discontent</w:t>
      </w:r>
      <w:r w:rsidR="005C601E">
        <w:rPr>
          <w:sz w:val="22"/>
          <w:szCs w:val="22"/>
        </w:rPr>
        <w:t>ed public mood</w:t>
      </w:r>
      <w:r w:rsidR="0083765C">
        <w:rPr>
          <w:sz w:val="22"/>
          <w:szCs w:val="22"/>
        </w:rPr>
        <w:t xml:space="preserve"> and a lack of enthusiasm for </w:t>
      </w:r>
      <w:r w:rsidR="00C8700F">
        <w:rPr>
          <w:sz w:val="22"/>
          <w:szCs w:val="22"/>
        </w:rPr>
        <w:t xml:space="preserve">the two </w:t>
      </w:r>
      <w:r w:rsidR="009A7064">
        <w:rPr>
          <w:sz w:val="22"/>
          <w:szCs w:val="22"/>
        </w:rPr>
        <w:t>main parties</w:t>
      </w:r>
      <w:r>
        <w:rPr>
          <w:sz w:val="22"/>
          <w:szCs w:val="22"/>
        </w:rPr>
        <w:t xml:space="preserve"> was reflected in the lowest </w:t>
      </w:r>
      <w:r w:rsidR="002B0B25">
        <w:rPr>
          <w:sz w:val="22"/>
          <w:szCs w:val="22"/>
        </w:rPr>
        <w:t>combined</w:t>
      </w:r>
      <w:r>
        <w:rPr>
          <w:sz w:val="22"/>
          <w:szCs w:val="22"/>
        </w:rPr>
        <w:t xml:space="preserve"> share of the national vote</w:t>
      </w:r>
      <w:r w:rsidR="002B0B25">
        <w:rPr>
          <w:sz w:val="22"/>
          <w:szCs w:val="22"/>
        </w:rPr>
        <w:t xml:space="preserve"> for the Conservatives and Labour</w:t>
      </w:r>
      <w:r>
        <w:rPr>
          <w:sz w:val="22"/>
          <w:szCs w:val="22"/>
        </w:rPr>
        <w:t xml:space="preserve"> (</w:t>
      </w:r>
      <w:r w:rsidR="00202F29">
        <w:rPr>
          <w:sz w:val="22"/>
          <w:szCs w:val="22"/>
        </w:rPr>
        <w:t>57.4%</w:t>
      </w:r>
      <w:r>
        <w:rPr>
          <w:sz w:val="22"/>
          <w:szCs w:val="22"/>
        </w:rPr>
        <w:t>)</w:t>
      </w:r>
      <w:r w:rsidR="002B0B25">
        <w:rPr>
          <w:sz w:val="22"/>
          <w:szCs w:val="22"/>
        </w:rPr>
        <w:t xml:space="preserve"> since</w:t>
      </w:r>
      <w:r w:rsidR="00202F29">
        <w:rPr>
          <w:sz w:val="22"/>
          <w:szCs w:val="22"/>
        </w:rPr>
        <w:t xml:space="preserve"> </w:t>
      </w:r>
      <w:r w:rsidR="002B0B25">
        <w:rPr>
          <w:sz w:val="22"/>
          <w:szCs w:val="22"/>
        </w:rPr>
        <w:t>19</w:t>
      </w:r>
      <w:r w:rsidR="00202F29">
        <w:rPr>
          <w:sz w:val="22"/>
          <w:szCs w:val="22"/>
        </w:rPr>
        <w:t>18</w:t>
      </w:r>
      <w:r w:rsidR="005D0D95">
        <w:rPr>
          <w:sz w:val="22"/>
          <w:szCs w:val="22"/>
        </w:rPr>
        <w:t xml:space="preserve"> and</w:t>
      </w:r>
      <w:r w:rsidR="00584244">
        <w:rPr>
          <w:sz w:val="22"/>
          <w:szCs w:val="22"/>
        </w:rPr>
        <w:t xml:space="preserve"> the</w:t>
      </w:r>
      <w:r w:rsidR="005D0D95">
        <w:rPr>
          <w:sz w:val="22"/>
          <w:szCs w:val="22"/>
        </w:rPr>
        <w:t xml:space="preserve"> </w:t>
      </w:r>
      <w:r w:rsidR="000E103E">
        <w:rPr>
          <w:sz w:val="22"/>
          <w:szCs w:val="22"/>
        </w:rPr>
        <w:t xml:space="preserve">return to a long-term trend of </w:t>
      </w:r>
      <w:r w:rsidR="004A15F8" w:rsidRPr="00724EC7">
        <w:rPr>
          <w:color w:val="201F1E"/>
          <w:sz w:val="22"/>
          <w:szCs w:val="22"/>
        </w:rPr>
        <w:t>electoral fragmentation</w:t>
      </w:r>
      <w:r w:rsidR="00EB3B1A">
        <w:rPr>
          <w:rStyle w:val="FootnoteReference"/>
          <w:color w:val="201F1E"/>
          <w:sz w:val="22"/>
          <w:szCs w:val="22"/>
        </w:rPr>
        <w:footnoteReference w:id="7"/>
      </w:r>
      <w:r w:rsidR="003D361E" w:rsidRPr="00724EC7">
        <w:rPr>
          <w:color w:val="201F1E"/>
          <w:sz w:val="22"/>
          <w:szCs w:val="22"/>
        </w:rPr>
        <w:t xml:space="preserve"> </w:t>
      </w:r>
      <w:r w:rsidR="004A15F8" w:rsidRPr="00724EC7">
        <w:rPr>
          <w:color w:val="201F1E"/>
          <w:sz w:val="22"/>
          <w:szCs w:val="22"/>
        </w:rPr>
        <w:t xml:space="preserve">that </w:t>
      </w:r>
      <w:r w:rsidR="00B21845" w:rsidRPr="00724EC7">
        <w:rPr>
          <w:color w:val="201F1E"/>
          <w:sz w:val="22"/>
          <w:szCs w:val="22"/>
        </w:rPr>
        <w:t xml:space="preserve">had been interrupted by Brexit </w:t>
      </w:r>
      <w:r w:rsidR="003D361E" w:rsidRPr="00724EC7">
        <w:rPr>
          <w:color w:val="201F1E"/>
          <w:sz w:val="22"/>
          <w:szCs w:val="22"/>
        </w:rPr>
        <w:t>in the 2017 and 2019</w:t>
      </w:r>
      <w:r w:rsidR="005D0D95">
        <w:rPr>
          <w:color w:val="201F1E"/>
          <w:sz w:val="22"/>
          <w:szCs w:val="22"/>
        </w:rPr>
        <w:t xml:space="preserve"> general</w:t>
      </w:r>
      <w:r w:rsidR="003D361E" w:rsidRPr="00724EC7">
        <w:rPr>
          <w:color w:val="201F1E"/>
          <w:sz w:val="22"/>
          <w:szCs w:val="22"/>
        </w:rPr>
        <w:t xml:space="preserve"> elections. </w:t>
      </w:r>
      <w:r w:rsidR="00EE3229">
        <w:rPr>
          <w:color w:val="201F1E"/>
          <w:sz w:val="22"/>
          <w:szCs w:val="22"/>
        </w:rPr>
        <w:t xml:space="preserve">More and more voters were willing to look beyond the </w:t>
      </w:r>
      <w:r w:rsidR="005315B2">
        <w:rPr>
          <w:color w:val="201F1E"/>
          <w:sz w:val="22"/>
          <w:szCs w:val="22"/>
        </w:rPr>
        <w:t>main two old parties.</w:t>
      </w:r>
      <w:r w:rsidR="001446F9">
        <w:rPr>
          <w:color w:val="201F1E"/>
          <w:sz w:val="22"/>
          <w:szCs w:val="22"/>
        </w:rPr>
        <w:t xml:space="preserve"> Interestingly, this did not </w:t>
      </w:r>
      <w:r w:rsidR="00656E03">
        <w:rPr>
          <w:color w:val="201F1E"/>
          <w:sz w:val="22"/>
          <w:szCs w:val="22"/>
        </w:rPr>
        <w:t>lead</w:t>
      </w:r>
      <w:r w:rsidR="001446F9">
        <w:rPr>
          <w:color w:val="201F1E"/>
          <w:sz w:val="22"/>
          <w:szCs w:val="22"/>
        </w:rPr>
        <w:t xml:space="preserve"> to </w:t>
      </w:r>
      <w:r w:rsidR="00EB2A3A">
        <w:rPr>
          <w:color w:val="201F1E"/>
          <w:sz w:val="22"/>
          <w:szCs w:val="22"/>
        </w:rPr>
        <w:t xml:space="preserve">significant volatility in electoral geography as </w:t>
      </w:r>
      <w:r w:rsidR="00750171">
        <w:rPr>
          <w:color w:val="201F1E"/>
          <w:sz w:val="22"/>
          <w:szCs w:val="22"/>
        </w:rPr>
        <w:t xml:space="preserve">at the aggregate level the effect was </w:t>
      </w:r>
      <w:r w:rsidR="00772461">
        <w:rPr>
          <w:color w:val="201F1E"/>
          <w:sz w:val="22"/>
          <w:szCs w:val="22"/>
        </w:rPr>
        <w:t>at most</w:t>
      </w:r>
      <w:r w:rsidR="000A72E5">
        <w:rPr>
          <w:color w:val="201F1E"/>
          <w:sz w:val="22"/>
          <w:szCs w:val="22"/>
        </w:rPr>
        <w:t xml:space="preserve"> a slight </w:t>
      </w:r>
      <w:r w:rsidR="00A52A1E">
        <w:rPr>
          <w:color w:val="201F1E"/>
          <w:sz w:val="22"/>
          <w:szCs w:val="22"/>
        </w:rPr>
        <w:t>atrophying</w:t>
      </w:r>
      <w:r w:rsidR="000A72E5">
        <w:rPr>
          <w:color w:val="201F1E"/>
          <w:sz w:val="22"/>
          <w:szCs w:val="22"/>
        </w:rPr>
        <w:t xml:space="preserve"> of</w:t>
      </w:r>
      <w:r w:rsidR="00871EE3">
        <w:rPr>
          <w:color w:val="201F1E"/>
          <w:sz w:val="22"/>
          <w:szCs w:val="22"/>
        </w:rPr>
        <w:t xml:space="preserve"> certain long-term trends.</w:t>
      </w:r>
      <w:r w:rsidR="009C667D">
        <w:rPr>
          <w:color w:val="201F1E"/>
          <w:sz w:val="22"/>
          <w:szCs w:val="22"/>
        </w:rPr>
        <w:t xml:space="preserve"> </w:t>
      </w:r>
    </w:p>
    <w:p w14:paraId="3F48A1F2" w14:textId="38D26C4A" w:rsidR="005E550E" w:rsidRPr="00724EC7" w:rsidRDefault="00E67202" w:rsidP="004C7DCA">
      <w:pPr>
        <w:pStyle w:val="xmsonormal"/>
        <w:shd w:val="clear" w:color="auto" w:fill="FFFFFF" w:themeFill="background1"/>
        <w:spacing w:before="0" w:beforeAutospacing="0" w:after="0" w:afterAutospacing="0" w:line="480" w:lineRule="auto"/>
        <w:ind w:firstLine="720"/>
        <w:rPr>
          <w:color w:val="201F1E"/>
          <w:sz w:val="22"/>
          <w:szCs w:val="22"/>
        </w:rPr>
      </w:pPr>
      <w:r>
        <w:rPr>
          <w:sz w:val="22"/>
          <w:szCs w:val="22"/>
        </w:rPr>
        <w:t>Thirdly, the</w:t>
      </w:r>
      <w:r w:rsidR="008D5344" w:rsidRPr="00724EC7">
        <w:rPr>
          <w:sz w:val="22"/>
          <w:szCs w:val="22"/>
        </w:rPr>
        <w:t xml:space="preserve"> election </w:t>
      </w:r>
      <w:r>
        <w:rPr>
          <w:sz w:val="22"/>
          <w:szCs w:val="22"/>
        </w:rPr>
        <w:t>was characterised by</w:t>
      </w:r>
      <w:r w:rsidR="008D5344" w:rsidRPr="00724EC7">
        <w:rPr>
          <w:sz w:val="22"/>
          <w:szCs w:val="22"/>
        </w:rPr>
        <w:t xml:space="preserve"> a patchwork of electoral competition</w:t>
      </w:r>
      <w:r w:rsidR="00041C1A">
        <w:rPr>
          <w:sz w:val="22"/>
          <w:szCs w:val="22"/>
        </w:rPr>
        <w:t xml:space="preserve"> </w:t>
      </w:r>
      <w:r w:rsidR="001A2AF5">
        <w:rPr>
          <w:sz w:val="22"/>
          <w:szCs w:val="22"/>
        </w:rPr>
        <w:t>across Britain</w:t>
      </w:r>
      <w:r w:rsidR="00761B07">
        <w:rPr>
          <w:sz w:val="22"/>
          <w:szCs w:val="22"/>
        </w:rPr>
        <w:t xml:space="preserve"> that</w:t>
      </w:r>
      <w:r w:rsidR="00CA554B">
        <w:rPr>
          <w:sz w:val="22"/>
          <w:szCs w:val="22"/>
        </w:rPr>
        <w:t xml:space="preserve"> at least in part</w:t>
      </w:r>
      <w:r w:rsidR="00761B07">
        <w:rPr>
          <w:sz w:val="22"/>
          <w:szCs w:val="22"/>
        </w:rPr>
        <w:t xml:space="preserve"> </w:t>
      </w:r>
      <w:r w:rsidR="00016B10">
        <w:rPr>
          <w:sz w:val="22"/>
          <w:szCs w:val="22"/>
        </w:rPr>
        <w:t xml:space="preserve">reflected </w:t>
      </w:r>
      <w:r w:rsidR="004C3001">
        <w:rPr>
          <w:sz w:val="22"/>
          <w:szCs w:val="22"/>
        </w:rPr>
        <w:t xml:space="preserve">party control of devolved </w:t>
      </w:r>
      <w:r w:rsidR="00CC3AD3">
        <w:rPr>
          <w:sz w:val="22"/>
          <w:szCs w:val="22"/>
        </w:rPr>
        <w:t>adminis</w:t>
      </w:r>
      <w:r w:rsidR="00CC3AD3" w:rsidRPr="000A4595">
        <w:rPr>
          <w:sz w:val="22"/>
          <w:szCs w:val="22"/>
        </w:rPr>
        <w:t>trations</w:t>
      </w:r>
      <w:r w:rsidR="0015729E" w:rsidRPr="000A4595">
        <w:rPr>
          <w:sz w:val="22"/>
          <w:szCs w:val="22"/>
        </w:rPr>
        <w:t xml:space="preserve"> and longer-term patterns of campaigning and </w:t>
      </w:r>
      <w:r w:rsidR="00F4317E" w:rsidRPr="000A4595">
        <w:rPr>
          <w:sz w:val="22"/>
          <w:szCs w:val="22"/>
        </w:rPr>
        <w:t>mobilising</w:t>
      </w:r>
      <w:r w:rsidR="0015729E" w:rsidRPr="000A4595">
        <w:rPr>
          <w:sz w:val="22"/>
          <w:szCs w:val="22"/>
        </w:rPr>
        <w:t xml:space="preserve"> in </w:t>
      </w:r>
      <w:r w:rsidR="00CC3AD3" w:rsidRPr="000A4595">
        <w:rPr>
          <w:sz w:val="22"/>
          <w:szCs w:val="22"/>
        </w:rPr>
        <w:t xml:space="preserve">certain </w:t>
      </w:r>
      <w:r w:rsidR="0074356F" w:rsidRPr="000A4595">
        <w:rPr>
          <w:sz w:val="22"/>
          <w:szCs w:val="22"/>
        </w:rPr>
        <w:t>places</w:t>
      </w:r>
      <w:r w:rsidR="00D539FD">
        <w:rPr>
          <w:sz w:val="22"/>
          <w:szCs w:val="22"/>
        </w:rPr>
        <w:t xml:space="preserve">. </w:t>
      </w:r>
      <w:r w:rsidR="0029223C" w:rsidRPr="000A4595">
        <w:rPr>
          <w:sz w:val="22"/>
          <w:szCs w:val="22"/>
        </w:rPr>
        <w:t>While the Conservatives were the</w:t>
      </w:r>
      <w:r w:rsidR="0042067A" w:rsidRPr="000A4595">
        <w:rPr>
          <w:sz w:val="22"/>
          <w:szCs w:val="22"/>
        </w:rPr>
        <w:t xml:space="preserve"> unpopular</w:t>
      </w:r>
      <w:r w:rsidR="0029223C" w:rsidRPr="000A4595">
        <w:rPr>
          <w:sz w:val="22"/>
          <w:szCs w:val="22"/>
        </w:rPr>
        <w:t xml:space="preserve"> incumbent in Westminster, the</w:t>
      </w:r>
      <w:r w:rsidR="008D5344" w:rsidRPr="000A4595">
        <w:rPr>
          <w:sz w:val="22"/>
          <w:szCs w:val="22"/>
        </w:rPr>
        <w:t xml:space="preserve"> SNP </w:t>
      </w:r>
      <w:r w:rsidR="0029223C" w:rsidRPr="000A4595">
        <w:rPr>
          <w:sz w:val="22"/>
          <w:szCs w:val="22"/>
        </w:rPr>
        <w:t>had been in office</w:t>
      </w:r>
      <w:r w:rsidR="008D5344" w:rsidRPr="000A4595">
        <w:rPr>
          <w:sz w:val="22"/>
          <w:szCs w:val="22"/>
        </w:rPr>
        <w:t xml:space="preserve"> in Scotland</w:t>
      </w:r>
      <w:r w:rsidR="0029223C" w:rsidRPr="000A4595">
        <w:rPr>
          <w:sz w:val="22"/>
          <w:szCs w:val="22"/>
        </w:rPr>
        <w:t xml:space="preserve"> for </w:t>
      </w:r>
      <w:r w:rsidR="00E64AEC" w:rsidRPr="003F4B4C">
        <w:rPr>
          <w:sz w:val="22"/>
          <w:szCs w:val="22"/>
        </w:rPr>
        <w:t xml:space="preserve">17 </w:t>
      </w:r>
      <w:r w:rsidR="0029223C" w:rsidRPr="003F4B4C">
        <w:rPr>
          <w:sz w:val="22"/>
          <w:szCs w:val="22"/>
        </w:rPr>
        <w:t>years</w:t>
      </w:r>
      <w:r w:rsidR="008D5344" w:rsidRPr="000A4595">
        <w:rPr>
          <w:sz w:val="22"/>
          <w:szCs w:val="22"/>
        </w:rPr>
        <w:t xml:space="preserve"> (having been hit first by scandal over the former PM</w:t>
      </w:r>
      <w:r w:rsidR="00A742F6" w:rsidRPr="000A4595">
        <w:rPr>
          <w:sz w:val="22"/>
          <w:szCs w:val="22"/>
        </w:rPr>
        <w:t xml:space="preserve"> Nicola Sturgeon</w:t>
      </w:r>
      <w:r w:rsidR="008D5344" w:rsidRPr="000A4595">
        <w:rPr>
          <w:sz w:val="22"/>
          <w:szCs w:val="22"/>
        </w:rPr>
        <w:t xml:space="preserve"> and then resignation of </w:t>
      </w:r>
      <w:r w:rsidR="00147CEA" w:rsidRPr="000A4595">
        <w:rPr>
          <w:sz w:val="22"/>
          <w:szCs w:val="22"/>
        </w:rPr>
        <w:t>F</w:t>
      </w:r>
      <w:r w:rsidR="008D5344" w:rsidRPr="000A4595">
        <w:rPr>
          <w:sz w:val="22"/>
          <w:szCs w:val="22"/>
        </w:rPr>
        <w:t xml:space="preserve">irst </w:t>
      </w:r>
      <w:r w:rsidR="00147CEA" w:rsidRPr="000A4595">
        <w:rPr>
          <w:sz w:val="22"/>
          <w:szCs w:val="22"/>
        </w:rPr>
        <w:t>M</w:t>
      </w:r>
      <w:r w:rsidR="008D5344" w:rsidRPr="000A4595">
        <w:rPr>
          <w:sz w:val="22"/>
          <w:szCs w:val="22"/>
        </w:rPr>
        <w:t xml:space="preserve">inister Hamza Yousuf), </w:t>
      </w:r>
      <w:r w:rsidR="00052731" w:rsidRPr="000A4595">
        <w:rPr>
          <w:sz w:val="22"/>
          <w:szCs w:val="22"/>
        </w:rPr>
        <w:t xml:space="preserve">and </w:t>
      </w:r>
      <w:r w:rsidR="008D5344" w:rsidRPr="000A4595">
        <w:rPr>
          <w:sz w:val="22"/>
          <w:szCs w:val="22"/>
        </w:rPr>
        <w:t xml:space="preserve">Labour </w:t>
      </w:r>
      <w:r w:rsidR="00DB17F3" w:rsidRPr="000A4595">
        <w:rPr>
          <w:sz w:val="22"/>
          <w:szCs w:val="22"/>
        </w:rPr>
        <w:t>w</w:t>
      </w:r>
      <w:r w:rsidR="008D5344" w:rsidRPr="000A4595">
        <w:rPr>
          <w:sz w:val="22"/>
          <w:szCs w:val="22"/>
        </w:rPr>
        <w:t>as the incumbent in Wales (where the</w:t>
      </w:r>
      <w:r w:rsidR="00E42961" w:rsidRPr="000A4595">
        <w:rPr>
          <w:sz w:val="22"/>
          <w:szCs w:val="22"/>
        </w:rPr>
        <w:t xml:space="preserve"> </w:t>
      </w:r>
      <w:r w:rsidR="008D5344" w:rsidRPr="000A4595">
        <w:rPr>
          <w:sz w:val="22"/>
          <w:szCs w:val="22"/>
        </w:rPr>
        <w:t xml:space="preserve">First Minister </w:t>
      </w:r>
      <w:r w:rsidR="00E42961" w:rsidRPr="000A4595">
        <w:rPr>
          <w:sz w:val="22"/>
          <w:szCs w:val="22"/>
        </w:rPr>
        <w:t>Vaug</w:t>
      </w:r>
      <w:r w:rsidR="008316D6" w:rsidRPr="000A4595">
        <w:rPr>
          <w:sz w:val="22"/>
          <w:szCs w:val="22"/>
        </w:rPr>
        <w:t>han</w:t>
      </w:r>
      <w:r w:rsidR="00E42961" w:rsidRPr="000A4595">
        <w:rPr>
          <w:sz w:val="22"/>
          <w:szCs w:val="22"/>
        </w:rPr>
        <w:t xml:space="preserve"> Gething </w:t>
      </w:r>
      <w:r w:rsidR="008D5344" w:rsidRPr="000A4595">
        <w:rPr>
          <w:sz w:val="22"/>
          <w:szCs w:val="22"/>
        </w:rPr>
        <w:t xml:space="preserve">was also mired in </w:t>
      </w:r>
      <w:r w:rsidR="008D5344" w:rsidRPr="000A4595">
        <w:rPr>
          <w:sz w:val="22"/>
          <w:szCs w:val="22"/>
        </w:rPr>
        <w:lastRenderedPageBreak/>
        <w:t>scandal)</w:t>
      </w:r>
      <w:r w:rsidR="008742E5" w:rsidRPr="000A4595">
        <w:rPr>
          <w:sz w:val="22"/>
          <w:szCs w:val="22"/>
        </w:rPr>
        <w:t xml:space="preserve"> and had been in power for </w:t>
      </w:r>
      <w:r w:rsidR="00D513BC" w:rsidRPr="003F4B4C">
        <w:rPr>
          <w:sz w:val="22"/>
          <w:szCs w:val="22"/>
        </w:rPr>
        <w:t xml:space="preserve">25 </w:t>
      </w:r>
      <w:r w:rsidR="008742E5" w:rsidRPr="003F4B4C">
        <w:rPr>
          <w:sz w:val="22"/>
          <w:szCs w:val="22"/>
        </w:rPr>
        <w:t>years</w:t>
      </w:r>
      <w:r w:rsidR="00052731" w:rsidRPr="000A4595">
        <w:rPr>
          <w:sz w:val="22"/>
          <w:szCs w:val="22"/>
        </w:rPr>
        <w:t xml:space="preserve">. </w:t>
      </w:r>
      <w:r w:rsidR="00492354" w:rsidRPr="000A4595">
        <w:rPr>
          <w:sz w:val="22"/>
          <w:szCs w:val="22"/>
        </w:rPr>
        <w:t>Alongside this</w:t>
      </w:r>
      <w:r w:rsidR="00E60631" w:rsidRPr="000A4595">
        <w:rPr>
          <w:sz w:val="22"/>
          <w:szCs w:val="22"/>
        </w:rPr>
        <w:t>,</w:t>
      </w:r>
      <w:r w:rsidR="000A4423" w:rsidRPr="000A4595">
        <w:rPr>
          <w:sz w:val="22"/>
          <w:szCs w:val="22"/>
        </w:rPr>
        <w:t xml:space="preserve"> </w:t>
      </w:r>
      <w:r w:rsidR="008D5344" w:rsidRPr="000A4595">
        <w:rPr>
          <w:sz w:val="22"/>
          <w:szCs w:val="22"/>
        </w:rPr>
        <w:t>R</w:t>
      </w:r>
      <w:r w:rsidR="008D5344" w:rsidRPr="00724EC7">
        <w:rPr>
          <w:sz w:val="22"/>
          <w:szCs w:val="22"/>
        </w:rPr>
        <w:t>eform</w:t>
      </w:r>
      <w:r w:rsidR="00E60631">
        <w:rPr>
          <w:sz w:val="22"/>
          <w:szCs w:val="22"/>
        </w:rPr>
        <w:t xml:space="preserve"> UK</w:t>
      </w:r>
      <w:r w:rsidR="008D5344" w:rsidRPr="00724EC7">
        <w:rPr>
          <w:sz w:val="22"/>
          <w:szCs w:val="22"/>
        </w:rPr>
        <w:t xml:space="preserve"> </w:t>
      </w:r>
      <w:r w:rsidR="00314154">
        <w:rPr>
          <w:sz w:val="22"/>
          <w:szCs w:val="22"/>
        </w:rPr>
        <w:t>present</w:t>
      </w:r>
      <w:r w:rsidR="009F3D14">
        <w:rPr>
          <w:sz w:val="22"/>
          <w:szCs w:val="22"/>
        </w:rPr>
        <w:t xml:space="preserve">ed </w:t>
      </w:r>
      <w:r w:rsidR="008D5344" w:rsidRPr="00724EC7">
        <w:rPr>
          <w:sz w:val="22"/>
          <w:szCs w:val="22"/>
        </w:rPr>
        <w:t>a challenge</w:t>
      </w:r>
      <w:r w:rsidR="009F3D14">
        <w:rPr>
          <w:sz w:val="22"/>
          <w:szCs w:val="22"/>
        </w:rPr>
        <w:t xml:space="preserve"> </w:t>
      </w:r>
      <w:r w:rsidR="008D5344" w:rsidRPr="00724EC7">
        <w:rPr>
          <w:sz w:val="22"/>
          <w:szCs w:val="22"/>
        </w:rPr>
        <w:t>to the Conservatives and Labour especially in former industrial towns (</w:t>
      </w:r>
      <w:r w:rsidR="00CB110D">
        <w:rPr>
          <w:sz w:val="22"/>
          <w:szCs w:val="22"/>
        </w:rPr>
        <w:t xml:space="preserve">in the sorts of places </w:t>
      </w:r>
      <w:r w:rsidR="00141B7A">
        <w:rPr>
          <w:sz w:val="22"/>
          <w:szCs w:val="22"/>
        </w:rPr>
        <w:t xml:space="preserve">where UKIP had achieved relatively high vote shares in </w:t>
      </w:r>
      <w:r w:rsidR="008D5344" w:rsidRPr="00724EC7">
        <w:rPr>
          <w:sz w:val="22"/>
          <w:szCs w:val="22"/>
        </w:rPr>
        <w:t>2015),</w:t>
      </w:r>
      <w:r w:rsidR="00CB110D">
        <w:rPr>
          <w:sz w:val="22"/>
          <w:szCs w:val="22"/>
        </w:rPr>
        <w:t xml:space="preserve"> while </w:t>
      </w:r>
      <w:r w:rsidR="008D5344" w:rsidRPr="00724EC7">
        <w:rPr>
          <w:sz w:val="22"/>
          <w:szCs w:val="22"/>
        </w:rPr>
        <w:t xml:space="preserve">the Greens </w:t>
      </w:r>
      <w:r w:rsidR="00833DEC">
        <w:rPr>
          <w:sz w:val="22"/>
          <w:szCs w:val="22"/>
        </w:rPr>
        <w:t>posed a threat to</w:t>
      </w:r>
      <w:r w:rsidR="00654BE8">
        <w:rPr>
          <w:sz w:val="22"/>
          <w:szCs w:val="22"/>
        </w:rPr>
        <w:t xml:space="preserve"> Labour in</w:t>
      </w:r>
      <w:r w:rsidR="00CF5428">
        <w:rPr>
          <w:sz w:val="22"/>
          <w:szCs w:val="22"/>
        </w:rPr>
        <w:t xml:space="preserve"> more cosmopolitan</w:t>
      </w:r>
      <w:r w:rsidR="00654BE8">
        <w:rPr>
          <w:sz w:val="22"/>
          <w:szCs w:val="22"/>
        </w:rPr>
        <w:t xml:space="preserve"> urban areas</w:t>
      </w:r>
      <w:r w:rsidR="00425753">
        <w:rPr>
          <w:sz w:val="22"/>
          <w:szCs w:val="22"/>
        </w:rPr>
        <w:t xml:space="preserve"> (such as Bristol)</w:t>
      </w:r>
      <w:r w:rsidR="00654BE8">
        <w:rPr>
          <w:sz w:val="22"/>
          <w:szCs w:val="22"/>
        </w:rPr>
        <w:t xml:space="preserve"> with higher numbers of younger </w:t>
      </w:r>
      <w:r w:rsidR="00CF5428">
        <w:rPr>
          <w:sz w:val="22"/>
          <w:szCs w:val="22"/>
        </w:rPr>
        <w:t>people</w:t>
      </w:r>
      <w:r w:rsidR="00654BE8">
        <w:rPr>
          <w:sz w:val="22"/>
          <w:szCs w:val="22"/>
        </w:rPr>
        <w:t>,</w:t>
      </w:r>
      <w:r w:rsidR="00425753">
        <w:rPr>
          <w:sz w:val="22"/>
          <w:szCs w:val="22"/>
        </w:rPr>
        <w:t xml:space="preserve"> ethnic minorities and</w:t>
      </w:r>
      <w:r w:rsidR="00654BE8">
        <w:rPr>
          <w:sz w:val="22"/>
          <w:szCs w:val="22"/>
        </w:rPr>
        <w:t xml:space="preserve"> graduates </w:t>
      </w:r>
      <w:r w:rsidR="00DD5D9C">
        <w:rPr>
          <w:sz w:val="22"/>
          <w:szCs w:val="22"/>
        </w:rPr>
        <w:t xml:space="preserve">at the same time as seeking to unseat </w:t>
      </w:r>
      <w:r w:rsidR="008D5344" w:rsidRPr="00724EC7">
        <w:rPr>
          <w:sz w:val="22"/>
          <w:szCs w:val="22"/>
        </w:rPr>
        <w:t>Conservative and Lib</w:t>
      </w:r>
      <w:r w:rsidR="00DD5D9C">
        <w:rPr>
          <w:sz w:val="22"/>
          <w:szCs w:val="22"/>
        </w:rPr>
        <w:t>eral</w:t>
      </w:r>
      <w:r w:rsidR="008D5344" w:rsidRPr="00724EC7">
        <w:rPr>
          <w:sz w:val="22"/>
          <w:szCs w:val="22"/>
        </w:rPr>
        <w:t xml:space="preserve"> Dem</w:t>
      </w:r>
      <w:r w:rsidR="00DD5D9C">
        <w:rPr>
          <w:sz w:val="22"/>
          <w:szCs w:val="22"/>
        </w:rPr>
        <w:t>ocrat MPs</w:t>
      </w:r>
      <w:r w:rsidR="008D5344" w:rsidRPr="00724EC7">
        <w:rPr>
          <w:sz w:val="22"/>
          <w:szCs w:val="22"/>
        </w:rPr>
        <w:t xml:space="preserve"> in</w:t>
      </w:r>
      <w:r w:rsidR="00F3148C">
        <w:rPr>
          <w:sz w:val="22"/>
          <w:szCs w:val="22"/>
        </w:rPr>
        <w:t xml:space="preserve"> some specific seats in</w:t>
      </w:r>
      <w:r w:rsidR="008D5344" w:rsidRPr="00724EC7">
        <w:rPr>
          <w:sz w:val="22"/>
          <w:szCs w:val="22"/>
        </w:rPr>
        <w:t xml:space="preserve"> more</w:t>
      </w:r>
      <w:r w:rsidR="0011019E">
        <w:rPr>
          <w:sz w:val="22"/>
          <w:szCs w:val="22"/>
        </w:rPr>
        <w:t xml:space="preserve"> suburban and</w:t>
      </w:r>
      <w:r w:rsidR="008D5344" w:rsidRPr="00724EC7">
        <w:rPr>
          <w:sz w:val="22"/>
          <w:szCs w:val="22"/>
        </w:rPr>
        <w:t xml:space="preserve"> rural settings. </w:t>
      </w:r>
      <w:r w:rsidR="00C4094F">
        <w:rPr>
          <w:sz w:val="22"/>
          <w:szCs w:val="22"/>
        </w:rPr>
        <w:t xml:space="preserve">Lastly, </w:t>
      </w:r>
      <w:r w:rsidR="00433474">
        <w:rPr>
          <w:sz w:val="22"/>
          <w:szCs w:val="22"/>
        </w:rPr>
        <w:t>in a number of urban seats with substantial Muslim communities</w:t>
      </w:r>
      <w:r w:rsidR="00F3148C">
        <w:rPr>
          <w:sz w:val="22"/>
          <w:szCs w:val="22"/>
        </w:rPr>
        <w:t>,</w:t>
      </w:r>
      <w:r w:rsidR="00433474">
        <w:rPr>
          <w:sz w:val="22"/>
          <w:szCs w:val="22"/>
        </w:rPr>
        <w:t xml:space="preserve"> Labour</w:t>
      </w:r>
      <w:r w:rsidR="00997B82">
        <w:rPr>
          <w:sz w:val="22"/>
          <w:szCs w:val="22"/>
        </w:rPr>
        <w:t xml:space="preserve"> faced a challenge</w:t>
      </w:r>
      <w:r w:rsidR="00F3148C">
        <w:rPr>
          <w:sz w:val="22"/>
          <w:szCs w:val="22"/>
        </w:rPr>
        <w:t xml:space="preserve"> </w:t>
      </w:r>
      <w:r w:rsidR="00743293">
        <w:rPr>
          <w:sz w:val="22"/>
          <w:szCs w:val="22"/>
        </w:rPr>
        <w:t>t</w:t>
      </w:r>
      <w:r w:rsidR="00F3148C">
        <w:rPr>
          <w:sz w:val="22"/>
          <w:szCs w:val="22"/>
        </w:rPr>
        <w:t>o it</w:t>
      </w:r>
      <w:r w:rsidR="00743293">
        <w:rPr>
          <w:sz w:val="22"/>
          <w:szCs w:val="22"/>
        </w:rPr>
        <w:t>s</w:t>
      </w:r>
      <w:r w:rsidR="00F3148C">
        <w:rPr>
          <w:sz w:val="22"/>
          <w:szCs w:val="22"/>
        </w:rPr>
        <w:t xml:space="preserve"> longstanding dominance</w:t>
      </w:r>
      <w:r w:rsidR="00997B82">
        <w:rPr>
          <w:sz w:val="22"/>
          <w:szCs w:val="22"/>
        </w:rPr>
        <w:t xml:space="preserve"> from </w:t>
      </w:r>
      <w:r w:rsidR="004C7DCA">
        <w:rPr>
          <w:sz w:val="22"/>
          <w:szCs w:val="22"/>
        </w:rPr>
        <w:t>i</w:t>
      </w:r>
      <w:r w:rsidR="00997B82">
        <w:rPr>
          <w:sz w:val="22"/>
          <w:szCs w:val="22"/>
        </w:rPr>
        <w:t xml:space="preserve">ndependent candidates and former Labour </w:t>
      </w:r>
      <w:r w:rsidR="004C7DCA">
        <w:rPr>
          <w:sz w:val="22"/>
          <w:szCs w:val="22"/>
        </w:rPr>
        <w:t xml:space="preserve">members/councillors who had defected. </w:t>
      </w:r>
      <w:r w:rsidR="005C505B">
        <w:rPr>
          <w:sz w:val="22"/>
          <w:szCs w:val="22"/>
        </w:rPr>
        <w:t xml:space="preserve">There is evidence suggestive of tactical voting, or at </w:t>
      </w:r>
      <w:r w:rsidR="00397504">
        <w:rPr>
          <w:sz w:val="22"/>
          <w:szCs w:val="22"/>
        </w:rPr>
        <w:t xml:space="preserve">the very </w:t>
      </w:r>
      <w:r w:rsidR="005C505B">
        <w:rPr>
          <w:sz w:val="22"/>
          <w:szCs w:val="22"/>
        </w:rPr>
        <w:t xml:space="preserve">least strategic non-competition by parties: Labour’s vote increased by </w:t>
      </w:r>
      <w:r w:rsidR="005676EB">
        <w:rPr>
          <w:sz w:val="22"/>
          <w:szCs w:val="22"/>
        </w:rPr>
        <w:t>6</w:t>
      </w:r>
      <w:r w:rsidR="005C505B">
        <w:rPr>
          <w:sz w:val="22"/>
          <w:szCs w:val="22"/>
        </w:rPr>
        <w:t xml:space="preserve"> points </w:t>
      </w:r>
      <w:r w:rsidR="00BB7BCA">
        <w:rPr>
          <w:sz w:val="22"/>
          <w:szCs w:val="22"/>
        </w:rPr>
        <w:t xml:space="preserve">in constituencies </w:t>
      </w:r>
      <w:r w:rsidR="005C505B">
        <w:rPr>
          <w:sz w:val="22"/>
          <w:szCs w:val="22"/>
        </w:rPr>
        <w:t>where it was in second place</w:t>
      </w:r>
      <w:r w:rsidR="005676EB">
        <w:rPr>
          <w:sz w:val="22"/>
          <w:szCs w:val="22"/>
        </w:rPr>
        <w:t xml:space="preserve"> to the Conservatives</w:t>
      </w:r>
      <w:r w:rsidR="007E1E40">
        <w:rPr>
          <w:sz w:val="22"/>
          <w:szCs w:val="22"/>
        </w:rPr>
        <w:t xml:space="preserve"> but was unchanged where the Liberal Democrats were the challenger</w:t>
      </w:r>
      <w:r w:rsidR="004403F1">
        <w:rPr>
          <w:sz w:val="22"/>
          <w:szCs w:val="22"/>
        </w:rPr>
        <w:t xml:space="preserve"> (with their vote share increasing by 9 points in those seats</w:t>
      </w:r>
      <w:r w:rsidR="00397504">
        <w:rPr>
          <w:sz w:val="22"/>
          <w:szCs w:val="22"/>
        </w:rPr>
        <w:t xml:space="preserve"> </w:t>
      </w:r>
      <w:r w:rsidR="004403F1">
        <w:rPr>
          <w:sz w:val="22"/>
          <w:szCs w:val="22"/>
        </w:rPr>
        <w:t>and falling by 1 point in Lab-Con battlegrounds)</w:t>
      </w:r>
      <w:r w:rsidR="00BB7BCA">
        <w:rPr>
          <w:sz w:val="22"/>
          <w:szCs w:val="22"/>
        </w:rPr>
        <w:t>.</w:t>
      </w:r>
      <w:r w:rsidR="00397504">
        <w:rPr>
          <w:sz w:val="22"/>
          <w:szCs w:val="22"/>
        </w:rPr>
        <w:t xml:space="preserve"> </w:t>
      </w:r>
      <w:r w:rsidR="008D5344" w:rsidRPr="00724EC7">
        <w:rPr>
          <w:sz w:val="22"/>
          <w:szCs w:val="22"/>
        </w:rPr>
        <w:t>As such the electoral</w:t>
      </w:r>
      <w:r w:rsidR="0011019E">
        <w:rPr>
          <w:sz w:val="22"/>
          <w:szCs w:val="22"/>
        </w:rPr>
        <w:t xml:space="preserve"> map </w:t>
      </w:r>
      <w:r w:rsidR="00B4240D">
        <w:rPr>
          <w:sz w:val="22"/>
          <w:szCs w:val="22"/>
        </w:rPr>
        <w:t xml:space="preserve">consisted of a </w:t>
      </w:r>
      <w:r w:rsidR="00B63A4B">
        <w:rPr>
          <w:sz w:val="22"/>
          <w:szCs w:val="22"/>
        </w:rPr>
        <w:t xml:space="preserve">number of </w:t>
      </w:r>
      <w:r w:rsidR="00A170DC">
        <w:rPr>
          <w:sz w:val="22"/>
          <w:szCs w:val="22"/>
        </w:rPr>
        <w:t>different</w:t>
      </w:r>
      <w:r w:rsidR="00B32E7D">
        <w:rPr>
          <w:sz w:val="22"/>
          <w:szCs w:val="22"/>
        </w:rPr>
        <w:t xml:space="preserve"> regional and localised</w:t>
      </w:r>
      <w:r w:rsidR="00A170DC">
        <w:rPr>
          <w:sz w:val="22"/>
          <w:szCs w:val="22"/>
        </w:rPr>
        <w:t xml:space="preserve"> </w:t>
      </w:r>
      <w:r w:rsidR="00B32E7D">
        <w:rPr>
          <w:sz w:val="22"/>
          <w:szCs w:val="22"/>
        </w:rPr>
        <w:t>contests rather than a national battlefield.</w:t>
      </w:r>
    </w:p>
    <w:p w14:paraId="3F921C66" w14:textId="397C2FB5" w:rsidR="00EF703C" w:rsidRDefault="009D6902" w:rsidP="00A40BEA">
      <w:pPr>
        <w:spacing w:after="0" w:line="480" w:lineRule="auto"/>
        <w:ind w:firstLine="720"/>
        <w:rPr>
          <w:rFonts w:ascii="Times New Roman" w:hAnsi="Times New Roman" w:cs="Times New Roman"/>
        </w:rPr>
      </w:pPr>
      <w:r>
        <w:rPr>
          <w:rFonts w:ascii="Times New Roman" w:hAnsi="Times New Roman" w:cs="Times New Roman"/>
        </w:rPr>
        <w:t>We organise</w:t>
      </w:r>
      <w:r w:rsidR="00F15D5D">
        <w:rPr>
          <w:rFonts w:ascii="Times New Roman" w:hAnsi="Times New Roman" w:cs="Times New Roman"/>
        </w:rPr>
        <w:t xml:space="preserve"> </w:t>
      </w:r>
      <w:r>
        <w:rPr>
          <w:rFonts w:ascii="Times New Roman" w:hAnsi="Times New Roman" w:cs="Times New Roman"/>
        </w:rPr>
        <w:t>this article as follows. W</w:t>
      </w:r>
      <w:r w:rsidR="00130D10" w:rsidRPr="00130D10">
        <w:rPr>
          <w:rFonts w:ascii="Times New Roman" w:hAnsi="Times New Roman" w:cs="Times New Roman"/>
        </w:rPr>
        <w:t>e firstly show how the socio-demographic</w:t>
      </w:r>
      <w:r w:rsidR="003E385B">
        <w:rPr>
          <w:rFonts w:ascii="Times New Roman" w:hAnsi="Times New Roman" w:cs="Times New Roman"/>
        </w:rPr>
        <w:t xml:space="preserve"> foundations of the electoral geography of England and Wales have changed over time, tracking the </w:t>
      </w:r>
      <w:r w:rsidR="00AD58A0">
        <w:rPr>
          <w:rFonts w:ascii="Times New Roman" w:hAnsi="Times New Roman" w:cs="Times New Roman"/>
        </w:rPr>
        <w:t xml:space="preserve">correlation of the </w:t>
      </w:r>
      <w:r w:rsidR="00130D10" w:rsidRPr="00130D10">
        <w:rPr>
          <w:rFonts w:ascii="Times New Roman" w:hAnsi="Times New Roman" w:cs="Times New Roman"/>
        </w:rPr>
        <w:t>characteristics of places with party vote shares in parliamentary constituencies over time</w:t>
      </w:r>
      <w:r w:rsidR="004F46FC">
        <w:rPr>
          <w:rFonts w:ascii="Times New Roman" w:hAnsi="Times New Roman" w:cs="Times New Roman"/>
        </w:rPr>
        <w:t xml:space="preserve"> (from 1979 to 2024)</w:t>
      </w:r>
      <w:r w:rsidR="00130D10" w:rsidRPr="00130D10">
        <w:rPr>
          <w:rFonts w:ascii="Times New Roman" w:hAnsi="Times New Roman" w:cs="Times New Roman"/>
        </w:rPr>
        <w:t>. We secondly identify areas where parties out- or under-performed the level of support predicted by these characteristics, noting continuities with recent elections. Thirdly we show how the pincer movement faced by the two parties of the challenge from Reform on the right and the Greens (and Liberal Democrats) on the left contributed to a fragmentation of the vote. This has left an uneven geography of party competition, with the ‘effective number of parties’ ranging in some places from a concentrated two-party system to close to a four-party system in others. The growing</w:t>
      </w:r>
      <w:r w:rsidR="00C6225B">
        <w:rPr>
          <w:rFonts w:ascii="Times New Roman" w:hAnsi="Times New Roman" w:cs="Times New Roman"/>
        </w:rPr>
        <w:t xml:space="preserve"> frustration with </w:t>
      </w:r>
      <w:r w:rsidR="007F4636">
        <w:rPr>
          <w:rFonts w:ascii="Times New Roman" w:hAnsi="Times New Roman" w:cs="Times New Roman"/>
        </w:rPr>
        <w:t>the</w:t>
      </w:r>
      <w:r w:rsidR="00336052">
        <w:rPr>
          <w:rFonts w:ascii="Times New Roman" w:hAnsi="Times New Roman" w:cs="Times New Roman"/>
        </w:rPr>
        <w:t xml:space="preserve"> two</w:t>
      </w:r>
      <w:r w:rsidR="007F4636">
        <w:rPr>
          <w:rFonts w:ascii="Times New Roman" w:hAnsi="Times New Roman" w:cs="Times New Roman"/>
        </w:rPr>
        <w:t xml:space="preserve"> main parties</w:t>
      </w:r>
      <w:r w:rsidR="00130D10" w:rsidRPr="00130D10">
        <w:rPr>
          <w:rFonts w:ascii="Times New Roman" w:hAnsi="Times New Roman" w:cs="Times New Roman"/>
        </w:rPr>
        <w:t xml:space="preserve"> is constrained within a first-past-the-post electoral system which is in danger of breaking under pressure. This fragmentation, combined with relatively small majorities across a large number of seats, has left the government </w:t>
      </w:r>
      <w:r w:rsidR="00681894">
        <w:rPr>
          <w:rFonts w:ascii="Times New Roman" w:hAnsi="Times New Roman" w:cs="Times New Roman"/>
        </w:rPr>
        <w:t xml:space="preserve">more </w:t>
      </w:r>
      <w:r w:rsidR="00130D10" w:rsidRPr="00130D10">
        <w:rPr>
          <w:rFonts w:ascii="Times New Roman" w:hAnsi="Times New Roman" w:cs="Times New Roman"/>
        </w:rPr>
        <w:t>vulnerable</w:t>
      </w:r>
      <w:r w:rsidR="00681894">
        <w:rPr>
          <w:rFonts w:ascii="Times New Roman" w:hAnsi="Times New Roman" w:cs="Times New Roman"/>
        </w:rPr>
        <w:t xml:space="preserve"> than their </w:t>
      </w:r>
      <w:r w:rsidR="004C1080">
        <w:rPr>
          <w:rFonts w:ascii="Times New Roman" w:hAnsi="Times New Roman" w:cs="Times New Roman"/>
        </w:rPr>
        <w:t>significant majority might suggest</w:t>
      </w:r>
      <w:r w:rsidR="00130D10" w:rsidRPr="00130D10">
        <w:rPr>
          <w:rFonts w:ascii="Times New Roman" w:hAnsi="Times New Roman" w:cs="Times New Roman"/>
        </w:rPr>
        <w:t xml:space="preserve"> at future elections. </w:t>
      </w:r>
    </w:p>
    <w:p w14:paraId="58364D01" w14:textId="03D27084" w:rsidR="00112CAA" w:rsidRDefault="00130D10" w:rsidP="00A40BEA">
      <w:pPr>
        <w:spacing w:after="0" w:line="480" w:lineRule="auto"/>
        <w:ind w:firstLine="720"/>
        <w:rPr>
          <w:rFonts w:ascii="Times New Roman" w:hAnsi="Times New Roman" w:cs="Times New Roman"/>
        </w:rPr>
      </w:pPr>
      <w:r w:rsidRPr="00130D10">
        <w:rPr>
          <w:rFonts w:ascii="Times New Roman" w:hAnsi="Times New Roman" w:cs="Times New Roman"/>
        </w:rPr>
        <w:t xml:space="preserve">In closing, we explore the characteristics of </w:t>
      </w:r>
      <w:r w:rsidR="00A127F8">
        <w:rPr>
          <w:rFonts w:ascii="Times New Roman" w:hAnsi="Times New Roman" w:cs="Times New Roman"/>
        </w:rPr>
        <w:t xml:space="preserve">Labour’s </w:t>
      </w:r>
      <w:r w:rsidRPr="00130D10">
        <w:rPr>
          <w:rFonts w:ascii="Times New Roman" w:hAnsi="Times New Roman" w:cs="Times New Roman"/>
        </w:rPr>
        <w:t xml:space="preserve">marginal seats, seeking to understand the places where </w:t>
      </w:r>
      <w:r w:rsidR="00A127F8">
        <w:rPr>
          <w:rFonts w:ascii="Times New Roman" w:hAnsi="Times New Roman" w:cs="Times New Roman"/>
        </w:rPr>
        <w:t>the party</w:t>
      </w:r>
      <w:r w:rsidRPr="00130D10">
        <w:rPr>
          <w:rFonts w:ascii="Times New Roman" w:hAnsi="Times New Roman" w:cs="Times New Roman"/>
        </w:rPr>
        <w:t xml:space="preserve"> has been left vulnerable. We </w:t>
      </w:r>
      <w:r w:rsidRPr="003D4FB4">
        <w:rPr>
          <w:rFonts w:ascii="Times New Roman" w:hAnsi="Times New Roman" w:cs="Times New Roman"/>
        </w:rPr>
        <w:t xml:space="preserve">show that </w:t>
      </w:r>
      <w:r w:rsidR="00CB0B73" w:rsidRPr="003D4FB4">
        <w:rPr>
          <w:rFonts w:ascii="Times New Roman" w:hAnsi="Times New Roman" w:cs="Times New Roman"/>
        </w:rPr>
        <w:t>Labour</w:t>
      </w:r>
      <w:r w:rsidRPr="003D4FB4">
        <w:rPr>
          <w:rFonts w:ascii="Times New Roman" w:hAnsi="Times New Roman" w:cs="Times New Roman"/>
        </w:rPr>
        <w:t xml:space="preserve">’s primary threat still comes </w:t>
      </w:r>
      <w:r w:rsidRPr="003D4FB4">
        <w:rPr>
          <w:rFonts w:ascii="Times New Roman" w:hAnsi="Times New Roman" w:cs="Times New Roman"/>
        </w:rPr>
        <w:lastRenderedPageBreak/>
        <w:t>from the Conservatives, despite much commentary on the challenge from Reform.</w:t>
      </w:r>
      <w:r w:rsidR="00D201CF" w:rsidRPr="003D4FB4">
        <w:rPr>
          <w:rFonts w:ascii="Times New Roman" w:hAnsi="Times New Roman" w:cs="Times New Roman"/>
        </w:rPr>
        <w:t xml:space="preserve"> Ho</w:t>
      </w:r>
      <w:r w:rsidR="00842C83" w:rsidRPr="003D4FB4">
        <w:rPr>
          <w:rFonts w:ascii="Times New Roman" w:hAnsi="Times New Roman" w:cs="Times New Roman"/>
        </w:rPr>
        <w:t xml:space="preserve">wever, in terms of </w:t>
      </w:r>
      <w:r w:rsidR="00032F00" w:rsidRPr="003D4FB4">
        <w:rPr>
          <w:rFonts w:ascii="Times New Roman" w:hAnsi="Times New Roman" w:cs="Times New Roman"/>
        </w:rPr>
        <w:t xml:space="preserve">constituency-level </w:t>
      </w:r>
      <w:r w:rsidR="00842C83" w:rsidRPr="003D4FB4">
        <w:rPr>
          <w:rFonts w:ascii="Times New Roman" w:hAnsi="Times New Roman" w:cs="Times New Roman"/>
        </w:rPr>
        <w:t>socio-demographics</w:t>
      </w:r>
      <w:r w:rsidR="0052796C" w:rsidRPr="003D4FB4">
        <w:rPr>
          <w:rFonts w:ascii="Times New Roman" w:hAnsi="Times New Roman" w:cs="Times New Roman"/>
        </w:rPr>
        <w:t xml:space="preserve">, </w:t>
      </w:r>
      <w:r w:rsidR="00C64FDC">
        <w:rPr>
          <w:rFonts w:ascii="Times New Roman" w:hAnsi="Times New Roman" w:cs="Times New Roman"/>
        </w:rPr>
        <w:t>we show</w:t>
      </w:r>
      <w:r w:rsidR="00C334A6" w:rsidRPr="003D4FB4">
        <w:rPr>
          <w:rFonts w:ascii="Times New Roman" w:hAnsi="Times New Roman" w:cs="Times New Roman"/>
        </w:rPr>
        <w:t xml:space="preserve"> that Labour </w:t>
      </w:r>
      <w:proofErr w:type="gramStart"/>
      <w:r w:rsidR="00C334A6" w:rsidRPr="003D4FB4">
        <w:rPr>
          <w:rFonts w:ascii="Times New Roman" w:hAnsi="Times New Roman" w:cs="Times New Roman"/>
        </w:rPr>
        <w:t>face</w:t>
      </w:r>
      <w:proofErr w:type="gramEnd"/>
      <w:r w:rsidR="00C334A6" w:rsidRPr="003D4FB4">
        <w:rPr>
          <w:rFonts w:ascii="Times New Roman" w:hAnsi="Times New Roman" w:cs="Times New Roman"/>
        </w:rPr>
        <w:t xml:space="preserve"> a pincer movement – </w:t>
      </w:r>
      <w:r w:rsidR="00583CD2">
        <w:rPr>
          <w:rFonts w:ascii="Times New Roman" w:hAnsi="Times New Roman" w:cs="Times New Roman"/>
        </w:rPr>
        <w:t xml:space="preserve">of </w:t>
      </w:r>
      <w:r w:rsidR="00C334A6" w:rsidRPr="003D4FB4">
        <w:rPr>
          <w:rFonts w:ascii="Times New Roman" w:hAnsi="Times New Roman" w:cs="Times New Roman"/>
        </w:rPr>
        <w:t>a</w:t>
      </w:r>
      <w:r w:rsidR="00583CD2">
        <w:rPr>
          <w:rFonts w:ascii="Times New Roman" w:hAnsi="Times New Roman" w:cs="Times New Roman"/>
        </w:rPr>
        <w:t>n electoral</w:t>
      </w:r>
      <w:r w:rsidR="00C334A6" w:rsidRPr="003D4FB4">
        <w:rPr>
          <w:rFonts w:ascii="Times New Roman" w:hAnsi="Times New Roman" w:cs="Times New Roman"/>
        </w:rPr>
        <w:t xml:space="preserve"> threat in predominantly</w:t>
      </w:r>
      <w:r w:rsidR="00AF672A" w:rsidRPr="003D4FB4">
        <w:rPr>
          <w:rFonts w:ascii="Times New Roman" w:hAnsi="Times New Roman" w:cs="Times New Roman"/>
        </w:rPr>
        <w:t xml:space="preserve"> </w:t>
      </w:r>
      <w:r w:rsidR="00FC4410" w:rsidRPr="003D4FB4">
        <w:rPr>
          <w:rFonts w:ascii="Times New Roman" w:hAnsi="Times New Roman" w:cs="Times New Roman"/>
        </w:rPr>
        <w:t xml:space="preserve">urban, diverse areas and </w:t>
      </w:r>
      <w:r w:rsidR="00042F07">
        <w:rPr>
          <w:rFonts w:ascii="Times New Roman" w:hAnsi="Times New Roman" w:cs="Times New Roman"/>
        </w:rPr>
        <w:t xml:space="preserve">in </w:t>
      </w:r>
      <w:r w:rsidR="00FC4410" w:rsidRPr="003D4FB4">
        <w:rPr>
          <w:rFonts w:ascii="Times New Roman" w:hAnsi="Times New Roman" w:cs="Times New Roman"/>
        </w:rPr>
        <w:t>areas that we have elsewhere referred to as ‘demographically left behind’</w:t>
      </w:r>
      <w:r w:rsidR="008D42EE">
        <w:rPr>
          <w:rStyle w:val="FootnoteReference"/>
          <w:rFonts w:ascii="Times New Roman" w:hAnsi="Times New Roman" w:cs="Times New Roman"/>
        </w:rPr>
        <w:footnoteReference w:id="8"/>
      </w:r>
      <w:r w:rsidR="00FC4410" w:rsidRPr="003D4FB4">
        <w:rPr>
          <w:rFonts w:ascii="Times New Roman" w:hAnsi="Times New Roman" w:cs="Times New Roman"/>
        </w:rPr>
        <w:t xml:space="preserve"> – areas with high proportions of older, white residents and more typically working</w:t>
      </w:r>
      <w:r w:rsidR="00BD65D2">
        <w:rPr>
          <w:rFonts w:ascii="Times New Roman" w:hAnsi="Times New Roman" w:cs="Times New Roman"/>
        </w:rPr>
        <w:t>-</w:t>
      </w:r>
      <w:r w:rsidR="00FC4410" w:rsidRPr="003D4FB4">
        <w:rPr>
          <w:rFonts w:ascii="Times New Roman" w:hAnsi="Times New Roman" w:cs="Times New Roman"/>
        </w:rPr>
        <w:t xml:space="preserve">class occupations. </w:t>
      </w:r>
    </w:p>
    <w:p w14:paraId="742A9E9E" w14:textId="77777777" w:rsidR="00033443" w:rsidRDefault="00033443" w:rsidP="00112CAA">
      <w:pPr>
        <w:spacing w:after="0" w:line="480" w:lineRule="auto"/>
        <w:rPr>
          <w:rFonts w:ascii="Times New Roman" w:hAnsi="Times New Roman" w:cs="Times New Roman"/>
          <w:b/>
          <w:bCs/>
        </w:rPr>
      </w:pPr>
    </w:p>
    <w:p w14:paraId="32283FAE" w14:textId="23B42F47" w:rsidR="00D27F3B" w:rsidRPr="00C759B1" w:rsidRDefault="008C00DE" w:rsidP="009E16FF">
      <w:pPr>
        <w:spacing w:after="0" w:line="480" w:lineRule="auto"/>
        <w:rPr>
          <w:rFonts w:ascii="Times New Roman" w:hAnsi="Times New Roman" w:cs="Times New Roman"/>
          <w:b/>
          <w:bCs/>
        </w:rPr>
      </w:pPr>
      <w:r>
        <w:rPr>
          <w:rFonts w:ascii="Times New Roman" w:hAnsi="Times New Roman" w:cs="Times New Roman"/>
          <w:b/>
          <w:bCs/>
        </w:rPr>
        <w:t>The changing</w:t>
      </w:r>
      <w:r w:rsidR="00D27F3B" w:rsidRPr="00C759B1">
        <w:rPr>
          <w:rFonts w:ascii="Times New Roman" w:hAnsi="Times New Roman" w:cs="Times New Roman"/>
          <w:b/>
          <w:bCs/>
        </w:rPr>
        <w:t xml:space="preserve"> electoral geography</w:t>
      </w:r>
      <w:r w:rsidR="007F4B39">
        <w:rPr>
          <w:rFonts w:ascii="Times New Roman" w:hAnsi="Times New Roman" w:cs="Times New Roman"/>
          <w:b/>
          <w:bCs/>
        </w:rPr>
        <w:t xml:space="preserve"> of England and Wales</w:t>
      </w:r>
      <w:r w:rsidR="00D27F3B" w:rsidRPr="00C759B1">
        <w:rPr>
          <w:rFonts w:ascii="Times New Roman" w:hAnsi="Times New Roman" w:cs="Times New Roman"/>
          <w:b/>
          <w:bCs/>
        </w:rPr>
        <w:t xml:space="preserve"> </w:t>
      </w:r>
    </w:p>
    <w:p w14:paraId="2491D2B1" w14:textId="3B3338FE" w:rsidR="00514919" w:rsidRDefault="00633C87" w:rsidP="004043A0">
      <w:pPr>
        <w:spacing w:after="0" w:line="480" w:lineRule="auto"/>
        <w:ind w:firstLine="720"/>
        <w:rPr>
          <w:rFonts w:ascii="Times New Roman" w:hAnsi="Times New Roman" w:cs="Times New Roman"/>
        </w:rPr>
      </w:pPr>
      <w:r>
        <w:rPr>
          <w:rFonts w:ascii="Times New Roman" w:hAnsi="Times New Roman" w:cs="Times New Roman"/>
        </w:rPr>
        <w:t>How have the socio-economic</w:t>
      </w:r>
      <w:r w:rsidR="00DB2359">
        <w:rPr>
          <w:rFonts w:ascii="Times New Roman" w:hAnsi="Times New Roman" w:cs="Times New Roman"/>
        </w:rPr>
        <w:t xml:space="preserve"> and sociodemographic</w:t>
      </w:r>
      <w:r>
        <w:rPr>
          <w:rFonts w:ascii="Times New Roman" w:hAnsi="Times New Roman" w:cs="Times New Roman"/>
        </w:rPr>
        <w:t xml:space="preserve"> cleavages that have arguably defined the past half century of British electoral politics – social class, education, age, deprivation, and </w:t>
      </w:r>
      <w:r w:rsidR="00E852B6">
        <w:rPr>
          <w:rFonts w:ascii="Times New Roman" w:hAnsi="Times New Roman" w:cs="Times New Roman"/>
        </w:rPr>
        <w:t xml:space="preserve">ethnicity </w:t>
      </w:r>
      <w:r w:rsidR="0019787D">
        <w:rPr>
          <w:rFonts w:ascii="Times New Roman" w:hAnsi="Times New Roman" w:cs="Times New Roman"/>
        </w:rPr>
        <w:t>–</w:t>
      </w:r>
      <w:r w:rsidR="00E852B6">
        <w:rPr>
          <w:rFonts w:ascii="Times New Roman" w:hAnsi="Times New Roman" w:cs="Times New Roman"/>
        </w:rPr>
        <w:t xml:space="preserve"> </w:t>
      </w:r>
      <w:r w:rsidR="0019787D">
        <w:rPr>
          <w:rFonts w:ascii="Times New Roman" w:hAnsi="Times New Roman" w:cs="Times New Roman"/>
        </w:rPr>
        <w:t xml:space="preserve">been reflected in the changing electoral </w:t>
      </w:r>
      <w:r w:rsidR="003768D3">
        <w:rPr>
          <w:rFonts w:ascii="Times New Roman" w:hAnsi="Times New Roman" w:cs="Times New Roman"/>
        </w:rPr>
        <w:t>geography</w:t>
      </w:r>
      <w:r w:rsidR="0019787D">
        <w:rPr>
          <w:rFonts w:ascii="Times New Roman" w:hAnsi="Times New Roman" w:cs="Times New Roman"/>
        </w:rPr>
        <w:t xml:space="preserve"> of England and Wales? </w:t>
      </w:r>
      <w:r w:rsidR="007A6428">
        <w:rPr>
          <w:rFonts w:ascii="Times New Roman" w:hAnsi="Times New Roman" w:cs="Times New Roman"/>
        </w:rPr>
        <w:t>We draw on harmonised demographic and electoral data</w:t>
      </w:r>
      <w:r w:rsidR="00A93B9E">
        <w:rPr>
          <w:rFonts w:ascii="Times New Roman" w:hAnsi="Times New Roman" w:cs="Times New Roman"/>
        </w:rPr>
        <w:t xml:space="preserve"> over the period between 1979 and 20</w:t>
      </w:r>
      <w:r w:rsidR="00C83543">
        <w:rPr>
          <w:rFonts w:ascii="Times New Roman" w:hAnsi="Times New Roman" w:cs="Times New Roman"/>
        </w:rPr>
        <w:t xml:space="preserve">19 </w:t>
      </w:r>
      <w:r w:rsidR="00274108">
        <w:rPr>
          <w:rFonts w:ascii="Times New Roman" w:hAnsi="Times New Roman" w:cs="Times New Roman"/>
        </w:rPr>
        <w:t>to extend the analysis of Furlong and Jennings</w:t>
      </w:r>
      <w:r w:rsidR="00E4701D">
        <w:rPr>
          <w:rStyle w:val="FootnoteReference"/>
          <w:rFonts w:ascii="Times New Roman" w:hAnsi="Times New Roman" w:cs="Times New Roman"/>
        </w:rPr>
        <w:footnoteReference w:id="9"/>
      </w:r>
      <w:r w:rsidR="00274108">
        <w:rPr>
          <w:rFonts w:ascii="Times New Roman" w:hAnsi="Times New Roman" w:cs="Times New Roman"/>
        </w:rPr>
        <w:t xml:space="preserve"> to</w:t>
      </w:r>
      <w:r w:rsidR="00093327">
        <w:rPr>
          <w:rFonts w:ascii="Times New Roman" w:hAnsi="Times New Roman" w:cs="Times New Roman"/>
        </w:rPr>
        <w:t xml:space="preserve"> </w:t>
      </w:r>
      <w:r w:rsidR="00274108">
        <w:rPr>
          <w:rFonts w:ascii="Times New Roman" w:hAnsi="Times New Roman" w:cs="Times New Roman"/>
        </w:rPr>
        <w:t>the 2024 general election.</w:t>
      </w:r>
      <w:r w:rsidR="00B05835">
        <w:rPr>
          <w:rFonts w:ascii="Times New Roman" w:hAnsi="Times New Roman" w:cs="Times New Roman"/>
        </w:rPr>
        <w:t xml:space="preserve"> Bivariate correlations are presented to </w:t>
      </w:r>
      <w:r w:rsidR="000455A7">
        <w:rPr>
          <w:rFonts w:ascii="Times New Roman" w:hAnsi="Times New Roman" w:cs="Times New Roman"/>
        </w:rPr>
        <w:t>measure</w:t>
      </w:r>
      <w:r w:rsidR="00B05835">
        <w:rPr>
          <w:rFonts w:ascii="Times New Roman" w:hAnsi="Times New Roman" w:cs="Times New Roman"/>
        </w:rPr>
        <w:t xml:space="preserve"> the </w:t>
      </w:r>
      <w:r w:rsidR="00335629">
        <w:rPr>
          <w:rFonts w:ascii="Times New Roman" w:hAnsi="Times New Roman" w:cs="Times New Roman"/>
        </w:rPr>
        <w:t xml:space="preserve">alignment of </w:t>
      </w:r>
      <w:r w:rsidR="00B44AD6">
        <w:rPr>
          <w:rFonts w:ascii="Times New Roman" w:hAnsi="Times New Roman" w:cs="Times New Roman"/>
        </w:rPr>
        <w:t xml:space="preserve">key sociodemographic </w:t>
      </w:r>
      <w:r w:rsidR="000455A7">
        <w:rPr>
          <w:rFonts w:ascii="Times New Roman" w:hAnsi="Times New Roman" w:cs="Times New Roman"/>
        </w:rPr>
        <w:t>cleavages</w:t>
      </w:r>
      <w:r w:rsidR="00B44AD6">
        <w:rPr>
          <w:rFonts w:ascii="Times New Roman" w:hAnsi="Times New Roman" w:cs="Times New Roman"/>
        </w:rPr>
        <w:t xml:space="preserve"> with the geography of party support.</w:t>
      </w:r>
      <w:r w:rsidR="006953E1">
        <w:rPr>
          <w:rFonts w:ascii="Times New Roman" w:hAnsi="Times New Roman" w:cs="Times New Roman"/>
        </w:rPr>
        <w:t xml:space="preserve"> </w:t>
      </w:r>
      <w:r w:rsidR="00D93012">
        <w:rPr>
          <w:rFonts w:ascii="Times New Roman" w:hAnsi="Times New Roman" w:cs="Times New Roman"/>
        </w:rPr>
        <w:t xml:space="preserve">While there undoubtedly have been significant electoral shocks during this period, </w:t>
      </w:r>
      <w:r w:rsidR="00526D2D">
        <w:rPr>
          <w:rFonts w:ascii="Times New Roman" w:hAnsi="Times New Roman" w:cs="Times New Roman"/>
        </w:rPr>
        <w:t xml:space="preserve">changes in electoral geography have </w:t>
      </w:r>
      <w:r w:rsidR="00A65A30">
        <w:rPr>
          <w:rFonts w:ascii="Times New Roman" w:hAnsi="Times New Roman" w:cs="Times New Roman"/>
        </w:rPr>
        <w:t>tended to be gradual,</w:t>
      </w:r>
      <w:r w:rsidR="00B33909">
        <w:rPr>
          <w:rFonts w:ascii="Times New Roman" w:hAnsi="Times New Roman" w:cs="Times New Roman"/>
        </w:rPr>
        <w:t xml:space="preserve"> marked by periods of acceleration or deceleration</w:t>
      </w:r>
      <w:r w:rsidR="00871E2D">
        <w:rPr>
          <w:rFonts w:ascii="Times New Roman" w:hAnsi="Times New Roman" w:cs="Times New Roman"/>
        </w:rPr>
        <w:t xml:space="preserve">, </w:t>
      </w:r>
      <w:r w:rsidR="00B33909">
        <w:rPr>
          <w:rFonts w:ascii="Times New Roman" w:hAnsi="Times New Roman" w:cs="Times New Roman"/>
        </w:rPr>
        <w:t>rather than</w:t>
      </w:r>
      <w:r w:rsidR="00265DA8">
        <w:rPr>
          <w:rFonts w:ascii="Times New Roman" w:hAnsi="Times New Roman" w:cs="Times New Roman"/>
        </w:rPr>
        <w:t xml:space="preserve"> being characterised by </w:t>
      </w:r>
      <w:r w:rsidR="00E30E3D">
        <w:rPr>
          <w:rFonts w:ascii="Times New Roman" w:hAnsi="Times New Roman" w:cs="Times New Roman"/>
        </w:rPr>
        <w:t>outright reversals</w:t>
      </w:r>
      <w:r w:rsidR="00F97400">
        <w:rPr>
          <w:rFonts w:ascii="Times New Roman" w:hAnsi="Times New Roman" w:cs="Times New Roman"/>
        </w:rPr>
        <w:t>.</w:t>
      </w:r>
      <w:r w:rsidR="00C139D4">
        <w:rPr>
          <w:rFonts w:ascii="Times New Roman" w:hAnsi="Times New Roman" w:cs="Times New Roman"/>
        </w:rPr>
        <w:t xml:space="preserve"> </w:t>
      </w:r>
      <w:r w:rsidR="00307C5D">
        <w:rPr>
          <w:rFonts w:ascii="Times New Roman" w:hAnsi="Times New Roman" w:cs="Times New Roman"/>
        </w:rPr>
        <w:t xml:space="preserve"> </w:t>
      </w:r>
    </w:p>
    <w:p w14:paraId="0C6761CE" w14:textId="44ED81F2" w:rsidR="00895425" w:rsidRDefault="006953E1" w:rsidP="004043A0">
      <w:pPr>
        <w:spacing w:after="0" w:line="480" w:lineRule="auto"/>
        <w:ind w:firstLine="720"/>
        <w:rPr>
          <w:rFonts w:ascii="Times New Roman" w:hAnsi="Times New Roman" w:cs="Times New Roman"/>
        </w:rPr>
      </w:pPr>
      <w:r>
        <w:rPr>
          <w:rFonts w:ascii="Times New Roman" w:hAnsi="Times New Roman" w:cs="Times New Roman"/>
        </w:rPr>
        <w:t xml:space="preserve">Starting with </w:t>
      </w:r>
      <w:r w:rsidR="000054B8">
        <w:rPr>
          <w:rFonts w:ascii="Times New Roman" w:hAnsi="Times New Roman" w:cs="Times New Roman"/>
        </w:rPr>
        <w:t>social class, there has been a long-term decline in the strength of</w:t>
      </w:r>
      <w:r w:rsidR="002F1EEE">
        <w:rPr>
          <w:rFonts w:ascii="Times New Roman" w:hAnsi="Times New Roman" w:cs="Times New Roman"/>
        </w:rPr>
        <w:t xml:space="preserve"> the</w:t>
      </w:r>
      <w:r w:rsidR="000054B8">
        <w:rPr>
          <w:rFonts w:ascii="Times New Roman" w:hAnsi="Times New Roman" w:cs="Times New Roman"/>
        </w:rPr>
        <w:t xml:space="preserve"> positive correlation between </w:t>
      </w:r>
      <w:r w:rsidR="00966864">
        <w:rPr>
          <w:rFonts w:ascii="Times New Roman" w:hAnsi="Times New Roman" w:cs="Times New Roman"/>
        </w:rPr>
        <w:t xml:space="preserve">the </w:t>
      </w:r>
      <w:r w:rsidR="0065711F">
        <w:rPr>
          <w:rFonts w:ascii="Times New Roman" w:hAnsi="Times New Roman" w:cs="Times New Roman"/>
        </w:rPr>
        <w:t>proportion</w:t>
      </w:r>
      <w:r w:rsidR="00966864">
        <w:rPr>
          <w:rFonts w:ascii="Times New Roman" w:hAnsi="Times New Roman" w:cs="Times New Roman"/>
        </w:rPr>
        <w:t xml:space="preserve"> of people in working class jobs (</w:t>
      </w:r>
      <w:r w:rsidR="00706676">
        <w:rPr>
          <w:rFonts w:ascii="Times New Roman" w:hAnsi="Times New Roman" w:cs="Times New Roman"/>
        </w:rPr>
        <w:t xml:space="preserve">i.e. </w:t>
      </w:r>
      <w:r w:rsidR="00966864">
        <w:rPr>
          <w:rFonts w:ascii="Times New Roman" w:hAnsi="Times New Roman" w:cs="Times New Roman"/>
        </w:rPr>
        <w:t xml:space="preserve">routine and semi-routine occupations) </w:t>
      </w:r>
      <w:r w:rsidR="0068042F">
        <w:rPr>
          <w:rFonts w:ascii="Times New Roman" w:hAnsi="Times New Roman" w:cs="Times New Roman"/>
        </w:rPr>
        <w:t>and Labour’s vote</w:t>
      </w:r>
      <w:r w:rsidR="0065711F">
        <w:rPr>
          <w:rFonts w:ascii="Times New Roman" w:hAnsi="Times New Roman" w:cs="Times New Roman"/>
        </w:rPr>
        <w:t xml:space="preserve"> (see Figure </w:t>
      </w:r>
      <w:r w:rsidR="001C6F84">
        <w:rPr>
          <w:rFonts w:ascii="Times New Roman" w:hAnsi="Times New Roman" w:cs="Times New Roman"/>
        </w:rPr>
        <w:t>1</w:t>
      </w:r>
      <w:r w:rsidR="0065711F">
        <w:rPr>
          <w:rFonts w:ascii="Times New Roman" w:hAnsi="Times New Roman" w:cs="Times New Roman"/>
        </w:rPr>
        <w:t>a)</w:t>
      </w:r>
      <w:r w:rsidR="0068042F">
        <w:rPr>
          <w:rFonts w:ascii="Times New Roman" w:hAnsi="Times New Roman" w:cs="Times New Roman"/>
        </w:rPr>
        <w:t>.</w:t>
      </w:r>
      <w:r w:rsidR="00B61C3D">
        <w:rPr>
          <w:rFonts w:ascii="Times New Roman" w:hAnsi="Times New Roman" w:cs="Times New Roman"/>
        </w:rPr>
        <w:t xml:space="preserve"> This matches</w:t>
      </w:r>
      <w:r w:rsidR="0096336E">
        <w:rPr>
          <w:rFonts w:ascii="Times New Roman" w:hAnsi="Times New Roman" w:cs="Times New Roman"/>
        </w:rPr>
        <w:t xml:space="preserve"> </w:t>
      </w:r>
      <w:r w:rsidR="00A20126">
        <w:rPr>
          <w:rFonts w:ascii="Times New Roman" w:hAnsi="Times New Roman" w:cs="Times New Roman"/>
        </w:rPr>
        <w:t>evidence on trends</w:t>
      </w:r>
      <w:r w:rsidR="0096336E">
        <w:rPr>
          <w:rFonts w:ascii="Times New Roman" w:hAnsi="Times New Roman" w:cs="Times New Roman"/>
        </w:rPr>
        <w:t xml:space="preserve"> at the individual level</w:t>
      </w:r>
      <w:r w:rsidR="006C38AD">
        <w:rPr>
          <w:rFonts w:ascii="Times New Roman" w:hAnsi="Times New Roman" w:cs="Times New Roman"/>
        </w:rPr>
        <w:t>.</w:t>
      </w:r>
      <w:r w:rsidR="008D42EE">
        <w:rPr>
          <w:rStyle w:val="FootnoteReference"/>
          <w:rFonts w:ascii="Times New Roman" w:hAnsi="Times New Roman" w:cs="Times New Roman"/>
        </w:rPr>
        <w:footnoteReference w:id="10"/>
      </w:r>
      <w:r w:rsidR="00055640">
        <w:rPr>
          <w:rFonts w:ascii="Times New Roman" w:hAnsi="Times New Roman" w:cs="Times New Roman"/>
        </w:rPr>
        <w:t xml:space="preserve"> </w:t>
      </w:r>
      <w:r w:rsidR="001D73EA">
        <w:rPr>
          <w:rFonts w:ascii="Times New Roman" w:hAnsi="Times New Roman" w:cs="Times New Roman"/>
        </w:rPr>
        <w:t>Notably, t</w:t>
      </w:r>
      <w:r w:rsidR="00055640">
        <w:rPr>
          <w:rFonts w:ascii="Times New Roman" w:hAnsi="Times New Roman" w:cs="Times New Roman"/>
        </w:rPr>
        <w:t xml:space="preserve">he sharpest fall in this relationship occurred </w:t>
      </w:r>
      <w:r w:rsidR="0033098E">
        <w:rPr>
          <w:rFonts w:ascii="Times New Roman" w:hAnsi="Times New Roman" w:cs="Times New Roman"/>
        </w:rPr>
        <w:t xml:space="preserve">with </w:t>
      </w:r>
      <w:r w:rsidR="00055640">
        <w:rPr>
          <w:rFonts w:ascii="Times New Roman" w:hAnsi="Times New Roman" w:cs="Times New Roman"/>
        </w:rPr>
        <w:t>Tony Blair’s 1997 landslide</w:t>
      </w:r>
      <w:r w:rsidR="00944D8A">
        <w:rPr>
          <w:rFonts w:ascii="Times New Roman" w:hAnsi="Times New Roman" w:cs="Times New Roman"/>
        </w:rPr>
        <w:t>, as the party’s electora</w:t>
      </w:r>
      <w:r w:rsidR="0092255E">
        <w:rPr>
          <w:rFonts w:ascii="Times New Roman" w:hAnsi="Times New Roman" w:cs="Times New Roman"/>
        </w:rPr>
        <w:t xml:space="preserve">l coalition widened significantly. </w:t>
      </w:r>
      <w:r w:rsidR="00027202">
        <w:rPr>
          <w:rFonts w:ascii="Times New Roman" w:hAnsi="Times New Roman" w:cs="Times New Roman"/>
        </w:rPr>
        <w:t>Since 2015, the Conservatives had</w:t>
      </w:r>
      <w:r w:rsidR="00E73899">
        <w:rPr>
          <w:rFonts w:ascii="Times New Roman" w:hAnsi="Times New Roman" w:cs="Times New Roman"/>
        </w:rPr>
        <w:t xml:space="preserve"> seen a</w:t>
      </w:r>
      <w:r w:rsidR="00A545C7">
        <w:rPr>
          <w:rFonts w:ascii="Times New Roman" w:hAnsi="Times New Roman" w:cs="Times New Roman"/>
        </w:rPr>
        <w:t>n increase in the correlation coefficient to the point that it was marginally positive in 2019.</w:t>
      </w:r>
      <w:r w:rsidR="00A51DCE">
        <w:rPr>
          <w:rFonts w:ascii="Times New Roman" w:hAnsi="Times New Roman" w:cs="Times New Roman"/>
        </w:rPr>
        <w:t xml:space="preserve"> </w:t>
      </w:r>
      <w:r w:rsidR="00786EA6">
        <w:rPr>
          <w:rFonts w:ascii="Times New Roman" w:hAnsi="Times New Roman" w:cs="Times New Roman"/>
        </w:rPr>
        <w:t xml:space="preserve">The collapse of the Conservative vote in </w:t>
      </w:r>
      <w:r w:rsidR="006F42CE">
        <w:rPr>
          <w:rFonts w:ascii="Times New Roman" w:hAnsi="Times New Roman" w:cs="Times New Roman"/>
        </w:rPr>
        <w:t>more working</w:t>
      </w:r>
      <w:r w:rsidR="0051120F">
        <w:rPr>
          <w:rFonts w:ascii="Times New Roman" w:hAnsi="Times New Roman" w:cs="Times New Roman"/>
        </w:rPr>
        <w:t>-</w:t>
      </w:r>
      <w:r w:rsidR="006F42CE">
        <w:rPr>
          <w:rFonts w:ascii="Times New Roman" w:hAnsi="Times New Roman" w:cs="Times New Roman"/>
        </w:rPr>
        <w:t xml:space="preserve">class constituencies </w:t>
      </w:r>
      <w:r w:rsidR="00786EA6">
        <w:rPr>
          <w:rFonts w:ascii="Times New Roman" w:hAnsi="Times New Roman" w:cs="Times New Roman"/>
        </w:rPr>
        <w:t xml:space="preserve">in July 2024 led to a drop in the correlation (and a return to a weakly negative correspondence between social class and distribution of the party’s </w:t>
      </w:r>
      <w:r w:rsidR="00786EA6">
        <w:rPr>
          <w:rFonts w:ascii="Times New Roman" w:hAnsi="Times New Roman" w:cs="Times New Roman"/>
        </w:rPr>
        <w:lastRenderedPageBreak/>
        <w:t>vote).</w:t>
      </w:r>
      <w:r w:rsidR="00AA1D69">
        <w:rPr>
          <w:rFonts w:ascii="Times New Roman" w:hAnsi="Times New Roman" w:cs="Times New Roman"/>
        </w:rPr>
        <w:t xml:space="preserve"> Nevertheless</w:t>
      </w:r>
      <w:r w:rsidR="004F5601">
        <w:rPr>
          <w:rFonts w:ascii="Times New Roman" w:hAnsi="Times New Roman" w:cs="Times New Roman"/>
        </w:rPr>
        <w:t>,</w:t>
      </w:r>
      <w:r w:rsidR="00AA1D69">
        <w:rPr>
          <w:rFonts w:ascii="Times New Roman" w:hAnsi="Times New Roman" w:cs="Times New Roman"/>
        </w:rPr>
        <w:t xml:space="preserve"> the long-term picture remains one of </w:t>
      </w:r>
      <w:r w:rsidR="00AA1D69" w:rsidRPr="005C078A">
        <w:rPr>
          <w:rFonts w:ascii="Times New Roman" w:hAnsi="Times New Roman" w:cs="Times New Roman"/>
          <w:i/>
          <w:iCs/>
        </w:rPr>
        <w:t>dealignment</w:t>
      </w:r>
      <w:r w:rsidR="005C078A">
        <w:rPr>
          <w:rFonts w:ascii="Times New Roman" w:hAnsi="Times New Roman" w:cs="Times New Roman"/>
        </w:rPr>
        <w:t xml:space="preserve"> (rather than realignment)</w:t>
      </w:r>
      <w:r w:rsidR="00AA1D69">
        <w:rPr>
          <w:rFonts w:ascii="Times New Roman" w:hAnsi="Times New Roman" w:cs="Times New Roman"/>
        </w:rPr>
        <w:t xml:space="preserve"> of class-based differences in electoral geography</w:t>
      </w:r>
      <w:r w:rsidR="009F0FEC">
        <w:rPr>
          <w:rFonts w:ascii="Times New Roman" w:hAnsi="Times New Roman" w:cs="Times New Roman"/>
        </w:rPr>
        <w:t>: an area being heavily working</w:t>
      </w:r>
      <w:r w:rsidR="009136AE">
        <w:rPr>
          <w:rFonts w:ascii="Times New Roman" w:hAnsi="Times New Roman" w:cs="Times New Roman"/>
        </w:rPr>
        <w:t>-</w:t>
      </w:r>
      <w:r w:rsidR="009F0FEC">
        <w:rPr>
          <w:rFonts w:ascii="Times New Roman" w:hAnsi="Times New Roman" w:cs="Times New Roman"/>
        </w:rPr>
        <w:t>class is not a strong predictor of the Conservative vote share</w:t>
      </w:r>
      <w:r w:rsidR="00F05D17">
        <w:rPr>
          <w:rFonts w:ascii="Times New Roman" w:hAnsi="Times New Roman" w:cs="Times New Roman"/>
        </w:rPr>
        <w:t xml:space="preserve"> </w:t>
      </w:r>
      <w:r w:rsidR="00CB6A45">
        <w:rPr>
          <w:rFonts w:ascii="Times New Roman" w:hAnsi="Times New Roman" w:cs="Times New Roman"/>
        </w:rPr>
        <w:t>and nor was it in 2019,</w:t>
      </w:r>
      <w:r w:rsidR="004B5433">
        <w:rPr>
          <w:rFonts w:ascii="Times New Roman" w:hAnsi="Times New Roman" w:cs="Times New Roman"/>
        </w:rPr>
        <w:t xml:space="preserve"> contrary to what </w:t>
      </w:r>
      <w:r w:rsidR="009136AE">
        <w:rPr>
          <w:rFonts w:ascii="Times New Roman" w:hAnsi="Times New Roman" w:cs="Times New Roman"/>
        </w:rPr>
        <w:t>a great deal of</w:t>
      </w:r>
      <w:r w:rsidR="004B5433">
        <w:rPr>
          <w:rFonts w:ascii="Times New Roman" w:hAnsi="Times New Roman" w:cs="Times New Roman"/>
        </w:rPr>
        <w:t xml:space="preserve"> commentary would imply</w:t>
      </w:r>
      <w:r w:rsidR="009F0FEC">
        <w:rPr>
          <w:rFonts w:ascii="Times New Roman" w:hAnsi="Times New Roman" w:cs="Times New Roman"/>
        </w:rPr>
        <w:t>.</w:t>
      </w:r>
      <w:r w:rsidR="00AA1D69">
        <w:rPr>
          <w:rFonts w:ascii="Times New Roman" w:hAnsi="Times New Roman" w:cs="Times New Roman"/>
        </w:rPr>
        <w:t xml:space="preserve"> </w:t>
      </w:r>
    </w:p>
    <w:p w14:paraId="70C3AD69" w14:textId="669EF282" w:rsidR="00C43A62" w:rsidRDefault="00C6582E" w:rsidP="00C43A62">
      <w:pPr>
        <w:spacing w:after="0" w:line="480" w:lineRule="auto"/>
        <w:ind w:firstLine="720"/>
        <w:rPr>
          <w:rFonts w:ascii="Times New Roman" w:hAnsi="Times New Roman" w:cs="Times New Roman"/>
        </w:rPr>
      </w:pPr>
      <w:r>
        <w:rPr>
          <w:rFonts w:ascii="Times New Roman" w:hAnsi="Times New Roman" w:cs="Times New Roman"/>
        </w:rPr>
        <w:t xml:space="preserve">The reverse of this trend is observed for the </w:t>
      </w:r>
      <w:r w:rsidR="00F8267E">
        <w:rPr>
          <w:rFonts w:ascii="Times New Roman" w:hAnsi="Times New Roman" w:cs="Times New Roman"/>
        </w:rPr>
        <w:t>relationship</w:t>
      </w:r>
      <w:r>
        <w:rPr>
          <w:rFonts w:ascii="Times New Roman" w:hAnsi="Times New Roman" w:cs="Times New Roman"/>
        </w:rPr>
        <w:t xml:space="preserve"> between education and </w:t>
      </w:r>
      <w:r w:rsidR="00C24483">
        <w:rPr>
          <w:rFonts w:ascii="Times New Roman" w:hAnsi="Times New Roman" w:cs="Times New Roman"/>
        </w:rPr>
        <w:t>the</w:t>
      </w:r>
      <w:r w:rsidR="00300C75">
        <w:rPr>
          <w:rFonts w:ascii="Times New Roman" w:hAnsi="Times New Roman" w:cs="Times New Roman"/>
        </w:rPr>
        <w:t xml:space="preserve"> Labour and Conservative</w:t>
      </w:r>
      <w:r w:rsidR="00C24483">
        <w:rPr>
          <w:rFonts w:ascii="Times New Roman" w:hAnsi="Times New Roman" w:cs="Times New Roman"/>
        </w:rPr>
        <w:t xml:space="preserve"> vote</w:t>
      </w:r>
      <w:r w:rsidR="0008469D">
        <w:rPr>
          <w:rFonts w:ascii="Times New Roman" w:hAnsi="Times New Roman" w:cs="Times New Roman"/>
        </w:rPr>
        <w:t xml:space="preserve"> (see Figure </w:t>
      </w:r>
      <w:r w:rsidR="00945970">
        <w:rPr>
          <w:rFonts w:ascii="Times New Roman" w:hAnsi="Times New Roman" w:cs="Times New Roman"/>
        </w:rPr>
        <w:t>1</w:t>
      </w:r>
      <w:r w:rsidR="0008469D">
        <w:rPr>
          <w:rFonts w:ascii="Times New Roman" w:hAnsi="Times New Roman" w:cs="Times New Roman"/>
        </w:rPr>
        <w:t>b)</w:t>
      </w:r>
      <w:r w:rsidR="00300C75">
        <w:rPr>
          <w:rFonts w:ascii="Times New Roman" w:hAnsi="Times New Roman" w:cs="Times New Roman"/>
        </w:rPr>
        <w:t>.</w:t>
      </w:r>
      <w:r w:rsidR="00650A84">
        <w:rPr>
          <w:rFonts w:ascii="Times New Roman" w:hAnsi="Times New Roman" w:cs="Times New Roman"/>
        </w:rPr>
        <w:t xml:space="preserve"> In 1979</w:t>
      </w:r>
      <w:r w:rsidR="005736F3">
        <w:rPr>
          <w:rFonts w:ascii="Times New Roman" w:hAnsi="Times New Roman" w:cs="Times New Roman"/>
        </w:rPr>
        <w:t>,</w:t>
      </w:r>
      <w:r w:rsidR="00650A84">
        <w:rPr>
          <w:rFonts w:ascii="Times New Roman" w:hAnsi="Times New Roman" w:cs="Times New Roman"/>
        </w:rPr>
        <w:t xml:space="preserve"> the number of university graduates in a constituency was </w:t>
      </w:r>
      <w:r w:rsidR="00CE5ABE">
        <w:rPr>
          <w:rFonts w:ascii="Times New Roman" w:hAnsi="Times New Roman" w:cs="Times New Roman"/>
        </w:rPr>
        <w:t xml:space="preserve">strongly </w:t>
      </w:r>
      <w:r w:rsidR="00650A84">
        <w:rPr>
          <w:rFonts w:ascii="Times New Roman" w:hAnsi="Times New Roman" w:cs="Times New Roman"/>
        </w:rPr>
        <w:t>negative</w:t>
      </w:r>
      <w:r w:rsidR="00AC0118">
        <w:rPr>
          <w:rFonts w:ascii="Times New Roman" w:hAnsi="Times New Roman" w:cs="Times New Roman"/>
        </w:rPr>
        <w:t>ly correlated with</w:t>
      </w:r>
      <w:r w:rsidR="00650A84">
        <w:rPr>
          <w:rFonts w:ascii="Times New Roman" w:hAnsi="Times New Roman" w:cs="Times New Roman"/>
        </w:rPr>
        <w:t xml:space="preserve"> Labour’s vote share.</w:t>
      </w:r>
      <w:r w:rsidR="007617E3">
        <w:rPr>
          <w:rFonts w:ascii="Times New Roman" w:hAnsi="Times New Roman" w:cs="Times New Roman"/>
        </w:rPr>
        <w:t xml:space="preserve"> This correlation has </w:t>
      </w:r>
      <w:r w:rsidR="00285394">
        <w:rPr>
          <w:rFonts w:ascii="Times New Roman" w:hAnsi="Times New Roman" w:cs="Times New Roman"/>
        </w:rPr>
        <w:t>steadily weakened over time</w:t>
      </w:r>
      <w:r w:rsidR="008D0BF3">
        <w:rPr>
          <w:rFonts w:ascii="Times New Roman" w:hAnsi="Times New Roman" w:cs="Times New Roman"/>
        </w:rPr>
        <w:t xml:space="preserve"> (approaching zero)</w:t>
      </w:r>
      <w:r w:rsidR="00285394">
        <w:rPr>
          <w:rFonts w:ascii="Times New Roman" w:hAnsi="Times New Roman" w:cs="Times New Roman"/>
        </w:rPr>
        <w:t xml:space="preserve">, while the </w:t>
      </w:r>
      <w:r w:rsidR="001536BD">
        <w:rPr>
          <w:rFonts w:ascii="Times New Roman" w:hAnsi="Times New Roman" w:cs="Times New Roman"/>
        </w:rPr>
        <w:t xml:space="preserve">opposite pattern is observed for the Conservatives. </w:t>
      </w:r>
      <w:r w:rsidR="00125495">
        <w:rPr>
          <w:rFonts w:ascii="Times New Roman" w:hAnsi="Times New Roman" w:cs="Times New Roman"/>
        </w:rPr>
        <w:t>Notably, t</w:t>
      </w:r>
      <w:r w:rsidR="0004217D">
        <w:rPr>
          <w:rFonts w:ascii="Times New Roman" w:hAnsi="Times New Roman" w:cs="Times New Roman"/>
        </w:rPr>
        <w:t xml:space="preserve">he </w:t>
      </w:r>
      <w:r w:rsidR="00125495">
        <w:rPr>
          <w:rFonts w:ascii="Times New Roman" w:hAnsi="Times New Roman" w:cs="Times New Roman"/>
        </w:rPr>
        <w:t>sharpest</w:t>
      </w:r>
      <w:r w:rsidR="0004217D">
        <w:rPr>
          <w:rFonts w:ascii="Times New Roman" w:hAnsi="Times New Roman" w:cs="Times New Roman"/>
        </w:rPr>
        <w:t xml:space="preserve"> decline</w:t>
      </w:r>
      <w:r w:rsidR="000117B8">
        <w:rPr>
          <w:rFonts w:ascii="Times New Roman" w:hAnsi="Times New Roman" w:cs="Times New Roman"/>
        </w:rPr>
        <w:t>s</w:t>
      </w:r>
      <w:r w:rsidR="00FE5DED">
        <w:rPr>
          <w:rFonts w:ascii="Times New Roman" w:hAnsi="Times New Roman" w:cs="Times New Roman"/>
        </w:rPr>
        <w:t xml:space="preserve"> in </w:t>
      </w:r>
      <w:r w:rsidR="00C43A62">
        <w:rPr>
          <w:rFonts w:ascii="Times New Roman" w:hAnsi="Times New Roman" w:cs="Times New Roman"/>
        </w:rPr>
        <w:t xml:space="preserve">the correlation between </w:t>
      </w:r>
      <w:r w:rsidR="00B83BD8">
        <w:rPr>
          <w:rFonts w:ascii="Times New Roman" w:hAnsi="Times New Roman" w:cs="Times New Roman"/>
        </w:rPr>
        <w:t>education</w:t>
      </w:r>
      <w:r w:rsidR="00C43A62">
        <w:rPr>
          <w:rFonts w:ascii="Times New Roman" w:hAnsi="Times New Roman" w:cs="Times New Roman"/>
        </w:rPr>
        <w:t xml:space="preserve"> and Conservative </w:t>
      </w:r>
      <w:r w:rsidR="00DE709C">
        <w:rPr>
          <w:rFonts w:ascii="Times New Roman" w:hAnsi="Times New Roman" w:cs="Times New Roman"/>
        </w:rPr>
        <w:t>support</w:t>
      </w:r>
      <w:r w:rsidR="00C43A62">
        <w:rPr>
          <w:rFonts w:ascii="Times New Roman" w:hAnsi="Times New Roman" w:cs="Times New Roman"/>
        </w:rPr>
        <w:t xml:space="preserve"> </w:t>
      </w:r>
      <w:r w:rsidR="000117B8">
        <w:rPr>
          <w:rFonts w:ascii="Times New Roman" w:hAnsi="Times New Roman" w:cs="Times New Roman"/>
        </w:rPr>
        <w:t>occurred in 1997</w:t>
      </w:r>
      <w:r w:rsidR="00F82338">
        <w:rPr>
          <w:rFonts w:ascii="Times New Roman" w:hAnsi="Times New Roman" w:cs="Times New Roman"/>
        </w:rPr>
        <w:t>-</w:t>
      </w:r>
      <w:r w:rsidR="000117B8">
        <w:rPr>
          <w:rFonts w:ascii="Times New Roman" w:hAnsi="Times New Roman" w:cs="Times New Roman"/>
        </w:rPr>
        <w:t xml:space="preserve">2001 and </w:t>
      </w:r>
      <w:r w:rsidR="0004217D">
        <w:rPr>
          <w:rFonts w:ascii="Times New Roman" w:hAnsi="Times New Roman" w:cs="Times New Roman"/>
        </w:rPr>
        <w:t>201</w:t>
      </w:r>
      <w:r w:rsidR="000117B8">
        <w:rPr>
          <w:rFonts w:ascii="Times New Roman" w:hAnsi="Times New Roman" w:cs="Times New Roman"/>
        </w:rPr>
        <w:t>7</w:t>
      </w:r>
      <w:r w:rsidR="00F82338">
        <w:rPr>
          <w:rFonts w:ascii="Times New Roman" w:hAnsi="Times New Roman" w:cs="Times New Roman"/>
        </w:rPr>
        <w:t>-</w:t>
      </w:r>
      <w:r w:rsidR="0004217D">
        <w:rPr>
          <w:rFonts w:ascii="Times New Roman" w:hAnsi="Times New Roman" w:cs="Times New Roman"/>
        </w:rPr>
        <w:t>2019.</w:t>
      </w:r>
      <w:r w:rsidR="00704A71">
        <w:rPr>
          <w:rFonts w:ascii="Times New Roman" w:hAnsi="Times New Roman" w:cs="Times New Roman"/>
        </w:rPr>
        <w:t xml:space="preserve"> </w:t>
      </w:r>
      <w:r w:rsidR="00FD5F2F">
        <w:rPr>
          <w:rFonts w:ascii="Times New Roman" w:hAnsi="Times New Roman" w:cs="Times New Roman"/>
        </w:rPr>
        <w:t xml:space="preserve">While </w:t>
      </w:r>
      <w:r w:rsidR="0060197A">
        <w:rPr>
          <w:rFonts w:ascii="Times New Roman" w:hAnsi="Times New Roman" w:cs="Times New Roman"/>
        </w:rPr>
        <w:t>education</w:t>
      </w:r>
      <w:r w:rsidR="00FD5F2F">
        <w:rPr>
          <w:rFonts w:ascii="Times New Roman" w:hAnsi="Times New Roman" w:cs="Times New Roman"/>
        </w:rPr>
        <w:t xml:space="preserve"> had become a negative predictor of the Conservative vote by 2019, it rebound</w:t>
      </w:r>
      <w:r w:rsidR="00F3143B">
        <w:rPr>
          <w:rFonts w:ascii="Times New Roman" w:hAnsi="Times New Roman" w:cs="Times New Roman"/>
        </w:rPr>
        <w:t>ed</w:t>
      </w:r>
      <w:r w:rsidR="00FD5F2F">
        <w:rPr>
          <w:rFonts w:ascii="Times New Roman" w:hAnsi="Times New Roman" w:cs="Times New Roman"/>
        </w:rPr>
        <w:t xml:space="preserve"> slightly in 2024</w:t>
      </w:r>
      <w:r w:rsidR="0074333F">
        <w:rPr>
          <w:rFonts w:ascii="Times New Roman" w:hAnsi="Times New Roman" w:cs="Times New Roman"/>
        </w:rPr>
        <w:t xml:space="preserve"> – largely as the party’s gains in areas</w:t>
      </w:r>
      <w:r w:rsidR="00653135">
        <w:rPr>
          <w:rFonts w:ascii="Times New Roman" w:hAnsi="Times New Roman" w:cs="Times New Roman"/>
        </w:rPr>
        <w:t xml:space="preserve"> with lower levels of educational attainment</w:t>
      </w:r>
      <w:r w:rsidR="0074333F">
        <w:rPr>
          <w:rFonts w:ascii="Times New Roman" w:hAnsi="Times New Roman" w:cs="Times New Roman"/>
        </w:rPr>
        <w:t xml:space="preserve"> </w:t>
      </w:r>
      <w:r w:rsidR="002F440E">
        <w:rPr>
          <w:rFonts w:ascii="Times New Roman" w:hAnsi="Times New Roman" w:cs="Times New Roman"/>
        </w:rPr>
        <w:t>at the previous election were reversed</w:t>
      </w:r>
      <w:r w:rsidR="00935437">
        <w:rPr>
          <w:rFonts w:ascii="Times New Roman" w:hAnsi="Times New Roman" w:cs="Times New Roman"/>
        </w:rPr>
        <w:t xml:space="preserve"> (with </w:t>
      </w:r>
      <w:r w:rsidR="00BF51BA">
        <w:rPr>
          <w:rFonts w:ascii="Times New Roman" w:hAnsi="Times New Roman" w:cs="Times New Roman"/>
        </w:rPr>
        <w:t xml:space="preserve">many of </w:t>
      </w:r>
      <w:r w:rsidR="00935437">
        <w:rPr>
          <w:rFonts w:ascii="Times New Roman" w:hAnsi="Times New Roman" w:cs="Times New Roman"/>
        </w:rPr>
        <w:t>those voters switching to Reform UK)</w:t>
      </w:r>
      <w:r w:rsidR="00FD5F2F">
        <w:rPr>
          <w:rFonts w:ascii="Times New Roman" w:hAnsi="Times New Roman" w:cs="Times New Roman"/>
        </w:rPr>
        <w:t>.</w:t>
      </w:r>
      <w:r w:rsidR="00C1658F">
        <w:rPr>
          <w:rFonts w:ascii="Times New Roman" w:hAnsi="Times New Roman" w:cs="Times New Roman"/>
        </w:rPr>
        <w:t xml:space="preserve"> However, the dealignment of the educational cleavage in British politics remained intact after the general election</w:t>
      </w:r>
      <w:r w:rsidR="00886A8B">
        <w:rPr>
          <w:rFonts w:ascii="Times New Roman" w:hAnsi="Times New Roman" w:cs="Times New Roman"/>
        </w:rPr>
        <w:t xml:space="preserve"> of July 2024</w:t>
      </w:r>
      <w:r w:rsidR="00C1658F">
        <w:rPr>
          <w:rFonts w:ascii="Times New Roman" w:hAnsi="Times New Roman" w:cs="Times New Roman"/>
        </w:rPr>
        <w:t>.</w:t>
      </w:r>
    </w:p>
    <w:p w14:paraId="71A5A42C" w14:textId="59777324" w:rsidR="00470E15" w:rsidRDefault="00497D58" w:rsidP="009D15DF">
      <w:pPr>
        <w:spacing w:after="0" w:line="480" w:lineRule="auto"/>
        <w:ind w:firstLine="720"/>
        <w:rPr>
          <w:rFonts w:ascii="Times New Roman" w:hAnsi="Times New Roman" w:cs="Times New Roman"/>
        </w:rPr>
      </w:pPr>
      <w:r w:rsidRPr="00CE5ABE">
        <w:rPr>
          <w:rFonts w:ascii="Times New Roman" w:hAnsi="Times New Roman" w:cs="Times New Roman"/>
        </w:rPr>
        <w:t xml:space="preserve">There is evidence </w:t>
      </w:r>
      <w:r w:rsidR="00531CEF">
        <w:rPr>
          <w:rFonts w:ascii="Times New Roman" w:hAnsi="Times New Roman" w:cs="Times New Roman"/>
        </w:rPr>
        <w:t>of a growing</w:t>
      </w:r>
      <w:r w:rsidRPr="00CE5ABE">
        <w:rPr>
          <w:rFonts w:ascii="Times New Roman" w:hAnsi="Times New Roman" w:cs="Times New Roman"/>
        </w:rPr>
        <w:t xml:space="preserve"> age cleavage </w:t>
      </w:r>
      <w:r w:rsidR="002A3B66" w:rsidRPr="00CE5ABE">
        <w:rPr>
          <w:rFonts w:ascii="Times New Roman" w:hAnsi="Times New Roman" w:cs="Times New Roman"/>
        </w:rPr>
        <w:t>at the constituency level in British politics</w:t>
      </w:r>
      <w:r w:rsidR="00B675DB">
        <w:rPr>
          <w:rFonts w:ascii="Times New Roman" w:hAnsi="Times New Roman" w:cs="Times New Roman"/>
        </w:rPr>
        <w:t xml:space="preserve"> (see Figure 1c)</w:t>
      </w:r>
      <w:r w:rsidR="002A3B66" w:rsidRPr="00CE5ABE">
        <w:rPr>
          <w:rFonts w:ascii="Times New Roman" w:hAnsi="Times New Roman" w:cs="Times New Roman"/>
        </w:rPr>
        <w:t>,</w:t>
      </w:r>
      <w:r w:rsidR="00F93EB5" w:rsidRPr="00CE5ABE">
        <w:rPr>
          <w:rFonts w:ascii="Times New Roman" w:hAnsi="Times New Roman" w:cs="Times New Roman"/>
        </w:rPr>
        <w:t xml:space="preserve"> </w:t>
      </w:r>
      <w:r w:rsidR="00356262">
        <w:rPr>
          <w:rFonts w:ascii="Times New Roman" w:hAnsi="Times New Roman" w:cs="Times New Roman"/>
        </w:rPr>
        <w:t>similar to that</w:t>
      </w:r>
      <w:r w:rsidR="00F93EB5" w:rsidRPr="00CE5ABE">
        <w:rPr>
          <w:rFonts w:ascii="Times New Roman" w:hAnsi="Times New Roman" w:cs="Times New Roman"/>
        </w:rPr>
        <w:t xml:space="preserve"> </w:t>
      </w:r>
      <w:r w:rsidR="00B968E5" w:rsidRPr="00CE5ABE">
        <w:rPr>
          <w:rFonts w:ascii="Times New Roman" w:hAnsi="Times New Roman" w:cs="Times New Roman"/>
        </w:rPr>
        <w:t>identified</w:t>
      </w:r>
      <w:r w:rsidR="00F93EB5" w:rsidRPr="00CE5ABE">
        <w:rPr>
          <w:rFonts w:ascii="Times New Roman" w:hAnsi="Times New Roman" w:cs="Times New Roman"/>
        </w:rPr>
        <w:t xml:space="preserve"> at the individual level</w:t>
      </w:r>
      <w:r w:rsidR="00356262">
        <w:rPr>
          <w:rFonts w:ascii="Times New Roman" w:hAnsi="Times New Roman" w:cs="Times New Roman"/>
        </w:rPr>
        <w:t>,</w:t>
      </w:r>
      <w:r w:rsidR="008A5E7D">
        <w:rPr>
          <w:rStyle w:val="FootnoteReference"/>
          <w:rFonts w:ascii="Times New Roman" w:hAnsi="Times New Roman" w:cs="Times New Roman"/>
        </w:rPr>
        <w:footnoteReference w:id="11"/>
      </w:r>
      <w:r w:rsidR="00356262">
        <w:rPr>
          <w:rFonts w:ascii="Times New Roman" w:hAnsi="Times New Roman" w:cs="Times New Roman"/>
        </w:rPr>
        <w:t xml:space="preserve"> which </w:t>
      </w:r>
      <w:r w:rsidR="002A3B66" w:rsidRPr="00CE5ABE">
        <w:rPr>
          <w:rFonts w:ascii="Times New Roman" w:hAnsi="Times New Roman" w:cs="Times New Roman"/>
        </w:rPr>
        <w:t>has strengthen</w:t>
      </w:r>
      <w:r w:rsidR="00531CEF">
        <w:rPr>
          <w:rFonts w:ascii="Times New Roman" w:hAnsi="Times New Roman" w:cs="Times New Roman"/>
        </w:rPr>
        <w:t>ed</w:t>
      </w:r>
      <w:r w:rsidR="002A3B66" w:rsidRPr="00CE5ABE">
        <w:rPr>
          <w:rFonts w:ascii="Times New Roman" w:hAnsi="Times New Roman" w:cs="Times New Roman"/>
        </w:rPr>
        <w:t xml:space="preserve"> since 1997. Labour’s support has decreased</w:t>
      </w:r>
      <w:r w:rsidR="002A3B66" w:rsidRPr="002A3B66">
        <w:rPr>
          <w:rFonts w:ascii="Times New Roman" w:hAnsi="Times New Roman" w:cs="Times New Roman"/>
        </w:rPr>
        <w:t xml:space="preserve"> in areas with higher proportions of older people</w:t>
      </w:r>
      <w:r w:rsidR="00641BDA">
        <w:rPr>
          <w:rFonts w:ascii="Times New Roman" w:hAnsi="Times New Roman" w:cs="Times New Roman"/>
        </w:rPr>
        <w:t xml:space="preserve"> (over-65s)</w:t>
      </w:r>
      <w:r w:rsidR="002A3B66" w:rsidRPr="002A3B66">
        <w:rPr>
          <w:rFonts w:ascii="Times New Roman" w:hAnsi="Times New Roman" w:cs="Times New Roman"/>
        </w:rPr>
        <w:t xml:space="preserve">, and since 2010 increased in </w:t>
      </w:r>
      <w:r w:rsidR="00641E76">
        <w:rPr>
          <w:rFonts w:ascii="Times New Roman" w:hAnsi="Times New Roman" w:cs="Times New Roman"/>
        </w:rPr>
        <w:t xml:space="preserve">those </w:t>
      </w:r>
      <w:r w:rsidR="002A3B66" w:rsidRPr="002A3B66">
        <w:rPr>
          <w:rFonts w:ascii="Times New Roman" w:hAnsi="Times New Roman" w:cs="Times New Roman"/>
        </w:rPr>
        <w:t>areas with higher proportions of young people</w:t>
      </w:r>
      <w:r w:rsidR="00641BDA">
        <w:rPr>
          <w:rFonts w:ascii="Times New Roman" w:hAnsi="Times New Roman" w:cs="Times New Roman"/>
        </w:rPr>
        <w:t xml:space="preserve"> (under 30s)</w:t>
      </w:r>
      <w:r w:rsidR="002A3B66" w:rsidRPr="002A3B66">
        <w:rPr>
          <w:rFonts w:ascii="Times New Roman" w:hAnsi="Times New Roman" w:cs="Times New Roman"/>
        </w:rPr>
        <w:t xml:space="preserve">. </w:t>
      </w:r>
      <w:r w:rsidR="005C7D9B">
        <w:rPr>
          <w:rFonts w:ascii="Times New Roman" w:hAnsi="Times New Roman" w:cs="Times New Roman"/>
        </w:rPr>
        <w:t>In</w:t>
      </w:r>
      <w:r w:rsidR="005C7D9B" w:rsidRPr="002A3B66">
        <w:rPr>
          <w:rFonts w:ascii="Times New Roman" w:hAnsi="Times New Roman" w:cs="Times New Roman"/>
        </w:rPr>
        <w:t xml:space="preserve"> 2019, </w:t>
      </w:r>
      <w:r w:rsidR="00F51A92">
        <w:rPr>
          <w:rFonts w:ascii="Times New Roman" w:hAnsi="Times New Roman" w:cs="Times New Roman"/>
        </w:rPr>
        <w:t>the correlation between Labour’s vote</w:t>
      </w:r>
      <w:r w:rsidR="0045435C">
        <w:rPr>
          <w:rFonts w:ascii="Times New Roman" w:hAnsi="Times New Roman" w:cs="Times New Roman"/>
        </w:rPr>
        <w:t xml:space="preserve"> share</w:t>
      </w:r>
      <w:r w:rsidR="00F51A92">
        <w:rPr>
          <w:rFonts w:ascii="Times New Roman" w:hAnsi="Times New Roman" w:cs="Times New Roman"/>
        </w:rPr>
        <w:t xml:space="preserve"> and </w:t>
      </w:r>
      <w:r w:rsidR="005C7D9B">
        <w:rPr>
          <w:rFonts w:ascii="Times New Roman" w:hAnsi="Times New Roman" w:cs="Times New Roman"/>
        </w:rPr>
        <w:t>the proportion</w:t>
      </w:r>
      <w:r w:rsidR="00CF1B93">
        <w:rPr>
          <w:rFonts w:ascii="Times New Roman" w:hAnsi="Times New Roman" w:cs="Times New Roman"/>
        </w:rPr>
        <w:t xml:space="preserve"> of people</w:t>
      </w:r>
      <w:r w:rsidR="005C7D9B" w:rsidRPr="002A3B66">
        <w:rPr>
          <w:rFonts w:ascii="Times New Roman" w:hAnsi="Times New Roman" w:cs="Times New Roman"/>
        </w:rPr>
        <w:t xml:space="preserve"> </w:t>
      </w:r>
      <w:r w:rsidR="005C7D9B">
        <w:rPr>
          <w:rFonts w:ascii="Times New Roman" w:hAnsi="Times New Roman" w:cs="Times New Roman"/>
        </w:rPr>
        <w:t>under-30</w:t>
      </w:r>
      <w:r w:rsidR="005C7D9B" w:rsidRPr="002A3B66">
        <w:rPr>
          <w:rFonts w:ascii="Times New Roman" w:hAnsi="Times New Roman" w:cs="Times New Roman"/>
        </w:rPr>
        <w:t xml:space="preserve"> was at its highest</w:t>
      </w:r>
      <w:r w:rsidR="0045435C">
        <w:rPr>
          <w:rFonts w:ascii="Times New Roman" w:hAnsi="Times New Roman" w:cs="Times New Roman"/>
        </w:rPr>
        <w:t xml:space="preserve"> ever</w:t>
      </w:r>
      <w:r w:rsidR="005C7D9B" w:rsidRPr="002A3B66">
        <w:rPr>
          <w:rFonts w:ascii="Times New Roman" w:hAnsi="Times New Roman" w:cs="Times New Roman"/>
        </w:rPr>
        <w:t xml:space="preserve"> level (0.64)</w:t>
      </w:r>
      <w:r w:rsidR="00C84421">
        <w:rPr>
          <w:rFonts w:ascii="Times New Roman" w:hAnsi="Times New Roman" w:cs="Times New Roman"/>
        </w:rPr>
        <w:t xml:space="preserve"> </w:t>
      </w:r>
      <w:r w:rsidR="0045435C">
        <w:rPr>
          <w:rFonts w:ascii="Times New Roman" w:hAnsi="Times New Roman" w:cs="Times New Roman"/>
        </w:rPr>
        <w:t>since 19</w:t>
      </w:r>
      <w:r w:rsidR="00C358D3">
        <w:rPr>
          <w:rFonts w:ascii="Times New Roman" w:hAnsi="Times New Roman" w:cs="Times New Roman"/>
        </w:rPr>
        <w:t xml:space="preserve">79, while the correlation with the proportion </w:t>
      </w:r>
      <w:r w:rsidR="005C7D9B" w:rsidRPr="002A3B66">
        <w:rPr>
          <w:rFonts w:ascii="Times New Roman" w:hAnsi="Times New Roman" w:cs="Times New Roman"/>
        </w:rPr>
        <w:t>aged 65 and over was at its lowest</w:t>
      </w:r>
      <w:r w:rsidR="00C358D3">
        <w:rPr>
          <w:rFonts w:ascii="Times New Roman" w:hAnsi="Times New Roman" w:cs="Times New Roman"/>
        </w:rPr>
        <w:t xml:space="preserve"> ever</w:t>
      </w:r>
      <w:r w:rsidR="005C7D9B" w:rsidRPr="002A3B66">
        <w:rPr>
          <w:rFonts w:ascii="Times New Roman" w:hAnsi="Times New Roman" w:cs="Times New Roman"/>
        </w:rPr>
        <w:t xml:space="preserve"> level (-0.65).</w:t>
      </w:r>
      <w:r w:rsidR="00B3419A">
        <w:rPr>
          <w:rFonts w:ascii="Times New Roman" w:hAnsi="Times New Roman" w:cs="Times New Roman"/>
        </w:rPr>
        <w:t xml:space="preserve"> </w:t>
      </w:r>
      <w:r w:rsidR="00C358D3">
        <w:rPr>
          <w:rFonts w:ascii="Times New Roman" w:hAnsi="Times New Roman" w:cs="Times New Roman"/>
        </w:rPr>
        <w:t>T</w:t>
      </w:r>
      <w:r w:rsidR="008434A6">
        <w:rPr>
          <w:rFonts w:ascii="Times New Roman" w:hAnsi="Times New Roman" w:cs="Times New Roman"/>
        </w:rPr>
        <w:t xml:space="preserve">he vote in 2024 saw a slight reversal of this </w:t>
      </w:r>
      <w:r w:rsidR="00C358D3">
        <w:rPr>
          <w:rFonts w:ascii="Times New Roman" w:hAnsi="Times New Roman" w:cs="Times New Roman"/>
        </w:rPr>
        <w:t>long-term trend</w:t>
      </w:r>
      <w:r w:rsidR="00B843E9">
        <w:rPr>
          <w:rFonts w:ascii="Times New Roman" w:hAnsi="Times New Roman" w:cs="Times New Roman"/>
        </w:rPr>
        <w:t xml:space="preserve">. Indeed, the </w:t>
      </w:r>
      <w:r w:rsidR="00322759">
        <w:rPr>
          <w:rFonts w:ascii="Times New Roman" w:hAnsi="Times New Roman" w:cs="Times New Roman"/>
        </w:rPr>
        <w:t xml:space="preserve">correlation between the </w:t>
      </w:r>
      <w:r w:rsidR="00B843E9">
        <w:rPr>
          <w:rFonts w:ascii="Times New Roman" w:hAnsi="Times New Roman" w:cs="Times New Roman"/>
        </w:rPr>
        <w:t xml:space="preserve">proportion of under-30s </w:t>
      </w:r>
      <w:r w:rsidR="00322759">
        <w:rPr>
          <w:rFonts w:ascii="Times New Roman" w:hAnsi="Times New Roman" w:cs="Times New Roman"/>
        </w:rPr>
        <w:t>and</w:t>
      </w:r>
      <w:r w:rsidR="00B843E9">
        <w:rPr>
          <w:rFonts w:ascii="Times New Roman" w:hAnsi="Times New Roman" w:cs="Times New Roman"/>
        </w:rPr>
        <w:t xml:space="preserve"> Labour’s vote fell back to the level observed in 2010.</w:t>
      </w:r>
    </w:p>
    <w:p w14:paraId="6568D4B2" w14:textId="0FBD144F" w:rsidR="002A3B66" w:rsidRDefault="00653768" w:rsidP="004043A0">
      <w:pPr>
        <w:spacing w:after="0" w:line="480" w:lineRule="auto"/>
        <w:ind w:firstLine="720"/>
        <w:rPr>
          <w:rFonts w:ascii="Times New Roman" w:hAnsi="Times New Roman" w:cs="Times New Roman"/>
        </w:rPr>
      </w:pPr>
      <w:r>
        <w:rPr>
          <w:rFonts w:ascii="Times New Roman" w:hAnsi="Times New Roman" w:cs="Times New Roman"/>
        </w:rPr>
        <w:t>In contrast to the trends described for social class,</w:t>
      </w:r>
      <w:r w:rsidR="000C7839">
        <w:rPr>
          <w:rFonts w:ascii="Times New Roman" w:hAnsi="Times New Roman" w:cs="Times New Roman"/>
        </w:rPr>
        <w:t xml:space="preserve"> education and age, </w:t>
      </w:r>
      <w:r w:rsidR="00654553">
        <w:rPr>
          <w:rFonts w:ascii="Times New Roman" w:hAnsi="Times New Roman" w:cs="Times New Roman"/>
        </w:rPr>
        <w:t>the correspondence between levels of socio-economic d</w:t>
      </w:r>
      <w:r w:rsidR="00C358D3">
        <w:rPr>
          <w:rFonts w:ascii="Times New Roman" w:hAnsi="Times New Roman" w:cs="Times New Roman"/>
        </w:rPr>
        <w:t>eprivation</w:t>
      </w:r>
      <w:r w:rsidR="00654553">
        <w:rPr>
          <w:rFonts w:ascii="Times New Roman" w:hAnsi="Times New Roman" w:cs="Times New Roman"/>
        </w:rPr>
        <w:t xml:space="preserve"> and the Labour and Conservative vote has remained </w:t>
      </w:r>
      <w:r w:rsidR="00546534">
        <w:rPr>
          <w:rFonts w:ascii="Times New Roman" w:hAnsi="Times New Roman" w:cs="Times New Roman"/>
        </w:rPr>
        <w:lastRenderedPageBreak/>
        <w:t xml:space="preserve">relatively stable over the </w:t>
      </w:r>
      <w:r w:rsidR="00F71C48">
        <w:rPr>
          <w:rFonts w:ascii="Times New Roman" w:hAnsi="Times New Roman" w:cs="Times New Roman"/>
        </w:rPr>
        <w:t>4</w:t>
      </w:r>
      <w:r w:rsidR="00546534">
        <w:rPr>
          <w:rFonts w:ascii="Times New Roman" w:hAnsi="Times New Roman" w:cs="Times New Roman"/>
        </w:rPr>
        <w:t>5</w:t>
      </w:r>
      <w:r w:rsidR="0012178E">
        <w:rPr>
          <w:rFonts w:ascii="Times New Roman" w:hAnsi="Times New Roman" w:cs="Times New Roman"/>
        </w:rPr>
        <w:t>-</w:t>
      </w:r>
      <w:r w:rsidR="00546534">
        <w:rPr>
          <w:rFonts w:ascii="Times New Roman" w:hAnsi="Times New Roman" w:cs="Times New Roman"/>
        </w:rPr>
        <w:t xml:space="preserve">year </w:t>
      </w:r>
      <w:r w:rsidR="00F71C48">
        <w:rPr>
          <w:rFonts w:ascii="Times New Roman" w:hAnsi="Times New Roman" w:cs="Times New Roman"/>
        </w:rPr>
        <w:t>period</w:t>
      </w:r>
      <w:r w:rsidR="00546534">
        <w:rPr>
          <w:rFonts w:ascii="Times New Roman" w:hAnsi="Times New Roman" w:cs="Times New Roman"/>
        </w:rPr>
        <w:t xml:space="preserve"> between 1979 and 2024.</w:t>
      </w:r>
      <w:r w:rsidR="0027101A">
        <w:rPr>
          <w:rFonts w:ascii="Times New Roman" w:hAnsi="Times New Roman" w:cs="Times New Roman"/>
        </w:rPr>
        <w:t xml:space="preserve"> Furlong </w:t>
      </w:r>
      <w:r w:rsidR="00102E47">
        <w:rPr>
          <w:rFonts w:ascii="Times New Roman" w:hAnsi="Times New Roman" w:cs="Times New Roman"/>
        </w:rPr>
        <w:t xml:space="preserve">finds </w:t>
      </w:r>
      <w:r w:rsidR="0027101A">
        <w:rPr>
          <w:rFonts w:ascii="Times New Roman" w:hAnsi="Times New Roman" w:cs="Times New Roman"/>
        </w:rPr>
        <w:t xml:space="preserve">that such socio-economic ‘left </w:t>
      </w:r>
      <w:proofErr w:type="spellStart"/>
      <w:r w:rsidR="0027101A">
        <w:rPr>
          <w:rFonts w:ascii="Times New Roman" w:hAnsi="Times New Roman" w:cs="Times New Roman"/>
        </w:rPr>
        <w:t>behindedness</w:t>
      </w:r>
      <w:proofErr w:type="spellEnd"/>
      <w:r w:rsidR="0027101A">
        <w:rPr>
          <w:rFonts w:ascii="Times New Roman" w:hAnsi="Times New Roman" w:cs="Times New Roman"/>
        </w:rPr>
        <w:t xml:space="preserve">’ has been a much more consistent predictor of Labour’s vote than </w:t>
      </w:r>
      <w:r w:rsidR="0027101A" w:rsidRPr="00495831">
        <w:rPr>
          <w:rFonts w:ascii="Times New Roman" w:hAnsi="Times New Roman" w:cs="Times New Roman"/>
          <w:i/>
          <w:iCs/>
        </w:rPr>
        <w:t>demographic</w:t>
      </w:r>
      <w:r w:rsidR="0027101A">
        <w:rPr>
          <w:rFonts w:ascii="Times New Roman" w:hAnsi="Times New Roman" w:cs="Times New Roman"/>
        </w:rPr>
        <w:t xml:space="preserve"> left </w:t>
      </w:r>
      <w:proofErr w:type="spellStart"/>
      <w:r w:rsidR="0027101A">
        <w:rPr>
          <w:rFonts w:ascii="Times New Roman" w:hAnsi="Times New Roman" w:cs="Times New Roman"/>
        </w:rPr>
        <w:t>behindedness</w:t>
      </w:r>
      <w:proofErr w:type="spellEnd"/>
      <w:r w:rsidR="0027101A">
        <w:rPr>
          <w:rFonts w:ascii="Times New Roman" w:hAnsi="Times New Roman" w:cs="Times New Roman"/>
        </w:rPr>
        <w:t xml:space="preserve"> characterised by working class populations and employment in former industries.</w:t>
      </w:r>
      <w:r w:rsidR="00B21891">
        <w:rPr>
          <w:rStyle w:val="FootnoteReference"/>
          <w:rFonts w:ascii="Times New Roman" w:hAnsi="Times New Roman" w:cs="Times New Roman"/>
        </w:rPr>
        <w:footnoteReference w:id="12"/>
      </w:r>
      <w:r w:rsidR="00F71C48">
        <w:rPr>
          <w:rFonts w:ascii="Times New Roman" w:hAnsi="Times New Roman" w:cs="Times New Roman"/>
        </w:rPr>
        <w:t xml:space="preserve"> </w:t>
      </w:r>
      <w:r w:rsidR="002B52E0">
        <w:rPr>
          <w:rFonts w:ascii="Times New Roman" w:hAnsi="Times New Roman" w:cs="Times New Roman"/>
        </w:rPr>
        <w:t>P</w:t>
      </w:r>
      <w:r w:rsidR="002B52E0" w:rsidRPr="00022F43">
        <w:rPr>
          <w:rFonts w:ascii="Times New Roman" w:hAnsi="Times New Roman" w:cs="Times New Roman"/>
        </w:rPr>
        <w:t>oor health declined a little as a predictor of Labour's vote</w:t>
      </w:r>
      <w:r w:rsidR="002B52E0">
        <w:rPr>
          <w:rFonts w:ascii="Times New Roman" w:hAnsi="Times New Roman" w:cs="Times New Roman"/>
        </w:rPr>
        <w:t xml:space="preserve"> in 2024</w:t>
      </w:r>
      <w:r w:rsidR="009A05A3">
        <w:rPr>
          <w:rFonts w:ascii="Times New Roman" w:hAnsi="Times New Roman" w:cs="Times New Roman"/>
        </w:rPr>
        <w:t xml:space="preserve"> (see Figure </w:t>
      </w:r>
      <w:r w:rsidR="00B675DB">
        <w:rPr>
          <w:rFonts w:ascii="Times New Roman" w:hAnsi="Times New Roman" w:cs="Times New Roman"/>
        </w:rPr>
        <w:t>1</w:t>
      </w:r>
      <w:r w:rsidR="009A05A3">
        <w:rPr>
          <w:rFonts w:ascii="Times New Roman" w:hAnsi="Times New Roman" w:cs="Times New Roman"/>
        </w:rPr>
        <w:t>d)</w:t>
      </w:r>
      <w:r w:rsidR="002B52E0">
        <w:rPr>
          <w:rFonts w:ascii="Times New Roman" w:hAnsi="Times New Roman" w:cs="Times New Roman"/>
        </w:rPr>
        <w:t xml:space="preserve">, while </w:t>
      </w:r>
      <w:r w:rsidR="002B52E0" w:rsidRPr="00022F43">
        <w:rPr>
          <w:rFonts w:ascii="Times New Roman" w:hAnsi="Times New Roman" w:cs="Times New Roman"/>
        </w:rPr>
        <w:t>there was a slight decline</w:t>
      </w:r>
      <w:r w:rsidR="009A05A3">
        <w:rPr>
          <w:rFonts w:ascii="Times New Roman" w:hAnsi="Times New Roman" w:cs="Times New Roman"/>
        </w:rPr>
        <w:t xml:space="preserve"> in the correlations</w:t>
      </w:r>
      <w:r w:rsidR="002B52E0" w:rsidRPr="00022F43">
        <w:rPr>
          <w:rFonts w:ascii="Times New Roman" w:hAnsi="Times New Roman" w:cs="Times New Roman"/>
        </w:rPr>
        <w:t xml:space="preserve"> for deprivation, social rent</w:t>
      </w:r>
      <w:r w:rsidR="004B5F5B">
        <w:rPr>
          <w:rFonts w:ascii="Times New Roman" w:hAnsi="Times New Roman" w:cs="Times New Roman"/>
        </w:rPr>
        <w:t>,</w:t>
      </w:r>
      <w:r w:rsidR="002B52E0" w:rsidRPr="00022F43">
        <w:rPr>
          <w:rFonts w:ascii="Times New Roman" w:hAnsi="Times New Roman" w:cs="Times New Roman"/>
        </w:rPr>
        <w:t xml:space="preserve"> and unemployment, </w:t>
      </w:r>
      <w:r w:rsidR="009D6B81">
        <w:rPr>
          <w:rFonts w:ascii="Times New Roman" w:hAnsi="Times New Roman" w:cs="Times New Roman"/>
        </w:rPr>
        <w:t>likely a reflection of the simultaneous slight weakening of</w:t>
      </w:r>
      <w:r w:rsidR="002B52E0" w:rsidRPr="00022F43">
        <w:rPr>
          <w:rFonts w:ascii="Times New Roman" w:hAnsi="Times New Roman" w:cs="Times New Roman"/>
        </w:rPr>
        <w:t xml:space="preserve"> Labour's vote in</w:t>
      </w:r>
      <w:r w:rsidR="002B52E0">
        <w:rPr>
          <w:rFonts w:ascii="Times New Roman" w:hAnsi="Times New Roman" w:cs="Times New Roman"/>
        </w:rPr>
        <w:t xml:space="preserve"> more deprived</w:t>
      </w:r>
      <w:r w:rsidR="002B52E0" w:rsidRPr="00022F43">
        <w:rPr>
          <w:rFonts w:ascii="Times New Roman" w:hAnsi="Times New Roman" w:cs="Times New Roman"/>
        </w:rPr>
        <w:t xml:space="preserve"> urban centres</w:t>
      </w:r>
      <w:r w:rsidR="009D6B81">
        <w:rPr>
          <w:rFonts w:ascii="Times New Roman" w:hAnsi="Times New Roman" w:cs="Times New Roman"/>
        </w:rPr>
        <w:t xml:space="preserve"> and the party </w:t>
      </w:r>
      <w:r w:rsidR="00495C4C">
        <w:rPr>
          <w:rFonts w:ascii="Times New Roman" w:hAnsi="Times New Roman" w:cs="Times New Roman"/>
        </w:rPr>
        <w:t>extending its support into some more dominantly middle-class Conservative heartlands</w:t>
      </w:r>
      <w:r w:rsidR="0027101A">
        <w:rPr>
          <w:rFonts w:ascii="Times New Roman" w:hAnsi="Times New Roman" w:cs="Times New Roman"/>
        </w:rPr>
        <w:t xml:space="preserve">. </w:t>
      </w:r>
      <w:r w:rsidR="005950FA">
        <w:rPr>
          <w:rFonts w:ascii="Times New Roman" w:hAnsi="Times New Roman" w:cs="Times New Roman"/>
        </w:rPr>
        <w:t>Lastly, since 1979 the</w:t>
      </w:r>
      <w:r w:rsidR="00B5116A">
        <w:rPr>
          <w:rFonts w:ascii="Times New Roman" w:hAnsi="Times New Roman" w:cs="Times New Roman"/>
        </w:rPr>
        <w:t>re has been a</w:t>
      </w:r>
      <w:r w:rsidR="00D2508A">
        <w:rPr>
          <w:rFonts w:ascii="Times New Roman" w:hAnsi="Times New Roman" w:cs="Times New Roman"/>
        </w:rPr>
        <w:t xml:space="preserve"> grow</w:t>
      </w:r>
      <w:r w:rsidR="00B5116A">
        <w:rPr>
          <w:rFonts w:ascii="Times New Roman" w:hAnsi="Times New Roman" w:cs="Times New Roman"/>
        </w:rPr>
        <w:t>ing</w:t>
      </w:r>
      <w:r w:rsidR="0098600F">
        <w:rPr>
          <w:rFonts w:ascii="Times New Roman" w:hAnsi="Times New Roman" w:cs="Times New Roman"/>
        </w:rPr>
        <w:t xml:space="preserve"> positive</w:t>
      </w:r>
      <w:r w:rsidR="00B5116A">
        <w:rPr>
          <w:rFonts w:ascii="Times New Roman" w:hAnsi="Times New Roman" w:cs="Times New Roman"/>
        </w:rPr>
        <w:t xml:space="preserve"> </w:t>
      </w:r>
      <w:r w:rsidR="00B402EA">
        <w:rPr>
          <w:rFonts w:ascii="Times New Roman" w:hAnsi="Times New Roman" w:cs="Times New Roman"/>
        </w:rPr>
        <w:t xml:space="preserve">correspondence between ethnic diversity </w:t>
      </w:r>
      <w:r w:rsidR="002325A3">
        <w:rPr>
          <w:rFonts w:ascii="Times New Roman" w:hAnsi="Times New Roman" w:cs="Times New Roman"/>
        </w:rPr>
        <w:t xml:space="preserve">and Labour </w:t>
      </w:r>
      <w:r w:rsidR="00164ECC">
        <w:rPr>
          <w:rFonts w:ascii="Times New Roman" w:hAnsi="Times New Roman" w:cs="Times New Roman"/>
        </w:rPr>
        <w:t>vote</w:t>
      </w:r>
      <w:r w:rsidR="006041CB">
        <w:rPr>
          <w:rFonts w:ascii="Times New Roman" w:hAnsi="Times New Roman" w:cs="Times New Roman"/>
        </w:rPr>
        <w:t xml:space="preserve"> share</w:t>
      </w:r>
      <w:r w:rsidR="0098600F">
        <w:rPr>
          <w:rFonts w:ascii="Times New Roman" w:hAnsi="Times New Roman" w:cs="Times New Roman"/>
        </w:rPr>
        <w:t xml:space="preserve"> and </w:t>
      </w:r>
      <w:r w:rsidR="006041CB">
        <w:rPr>
          <w:rFonts w:ascii="Times New Roman" w:hAnsi="Times New Roman" w:cs="Times New Roman"/>
        </w:rPr>
        <w:t xml:space="preserve">an increasingly negative </w:t>
      </w:r>
      <w:r w:rsidR="006041CB" w:rsidRPr="00E263B9">
        <w:rPr>
          <w:rFonts w:ascii="Times New Roman" w:hAnsi="Times New Roman" w:cs="Times New Roman"/>
        </w:rPr>
        <w:t>correspondence with the Conservative vote</w:t>
      </w:r>
      <w:r w:rsidR="00F90CF2" w:rsidRPr="00E263B9">
        <w:rPr>
          <w:rFonts w:ascii="Times New Roman" w:hAnsi="Times New Roman" w:cs="Times New Roman"/>
        </w:rPr>
        <w:t xml:space="preserve"> (see Figure 3</w:t>
      </w:r>
      <w:r w:rsidR="00877CCB" w:rsidRPr="00E263B9">
        <w:rPr>
          <w:rFonts w:ascii="Times New Roman" w:hAnsi="Times New Roman" w:cs="Times New Roman"/>
        </w:rPr>
        <w:t>e)</w:t>
      </w:r>
      <w:r w:rsidR="00962A44" w:rsidRPr="00E263B9">
        <w:rPr>
          <w:rFonts w:ascii="Times New Roman" w:hAnsi="Times New Roman" w:cs="Times New Roman"/>
        </w:rPr>
        <w:t>.</w:t>
      </w:r>
      <w:r w:rsidR="00EB72D4" w:rsidRPr="00E263B9">
        <w:rPr>
          <w:rFonts w:ascii="Times New Roman" w:hAnsi="Times New Roman" w:cs="Times New Roman"/>
        </w:rPr>
        <w:t xml:space="preserve"> This long-term </w:t>
      </w:r>
      <w:r w:rsidR="0008144E" w:rsidRPr="00E263B9">
        <w:rPr>
          <w:rFonts w:ascii="Times New Roman" w:hAnsi="Times New Roman" w:cs="Times New Roman"/>
        </w:rPr>
        <w:t>divergence</w:t>
      </w:r>
      <w:r w:rsidR="00EB72D4" w:rsidRPr="00E263B9">
        <w:rPr>
          <w:rFonts w:ascii="Times New Roman" w:hAnsi="Times New Roman" w:cs="Times New Roman"/>
        </w:rPr>
        <w:t xml:space="preserve"> </w:t>
      </w:r>
      <w:r w:rsidR="0008144E" w:rsidRPr="00E263B9">
        <w:rPr>
          <w:rFonts w:ascii="Times New Roman" w:hAnsi="Times New Roman" w:cs="Times New Roman"/>
        </w:rPr>
        <w:t xml:space="preserve">notably </w:t>
      </w:r>
      <w:r w:rsidR="00EB72D4" w:rsidRPr="00E263B9">
        <w:rPr>
          <w:rFonts w:ascii="Times New Roman" w:hAnsi="Times New Roman" w:cs="Times New Roman"/>
        </w:rPr>
        <w:t>contracted in 20</w:t>
      </w:r>
      <w:r w:rsidR="0008144E" w:rsidRPr="00E263B9">
        <w:rPr>
          <w:rFonts w:ascii="Times New Roman" w:hAnsi="Times New Roman" w:cs="Times New Roman"/>
        </w:rPr>
        <w:t>2</w:t>
      </w:r>
      <w:r w:rsidR="00EB72D4" w:rsidRPr="00E263B9">
        <w:rPr>
          <w:rFonts w:ascii="Times New Roman" w:hAnsi="Times New Roman" w:cs="Times New Roman"/>
        </w:rPr>
        <w:t xml:space="preserve">4, </w:t>
      </w:r>
      <w:r w:rsidR="00962A44" w:rsidRPr="00E263B9">
        <w:rPr>
          <w:rFonts w:ascii="Times New Roman" w:hAnsi="Times New Roman" w:cs="Times New Roman"/>
        </w:rPr>
        <w:t>with the correlation</w:t>
      </w:r>
      <w:r w:rsidR="002C61C3">
        <w:rPr>
          <w:rFonts w:ascii="Times New Roman" w:hAnsi="Times New Roman" w:cs="Times New Roman"/>
        </w:rPr>
        <w:t xml:space="preserve"> coefficient</w:t>
      </w:r>
      <w:r w:rsidR="00962A44" w:rsidRPr="00E263B9">
        <w:rPr>
          <w:rFonts w:ascii="Times New Roman" w:hAnsi="Times New Roman" w:cs="Times New Roman"/>
        </w:rPr>
        <w:t xml:space="preserve"> for Labour decreasing from </w:t>
      </w:r>
      <w:r w:rsidR="00EB72D4" w:rsidRPr="00E263B9">
        <w:rPr>
          <w:rFonts w:ascii="Times New Roman" w:hAnsi="Times New Roman" w:cs="Times New Roman"/>
        </w:rPr>
        <w:t>0.</w:t>
      </w:r>
      <w:r w:rsidR="002A0F6C" w:rsidRPr="00E263B9">
        <w:rPr>
          <w:rFonts w:ascii="Times New Roman" w:hAnsi="Times New Roman" w:cs="Times New Roman"/>
        </w:rPr>
        <w:t>59</w:t>
      </w:r>
      <w:r w:rsidR="00962A44" w:rsidRPr="00E263B9">
        <w:rPr>
          <w:rFonts w:ascii="Times New Roman" w:hAnsi="Times New Roman" w:cs="Times New Roman"/>
        </w:rPr>
        <w:t xml:space="preserve"> to </w:t>
      </w:r>
      <w:r w:rsidR="00EB72D4" w:rsidRPr="00E263B9">
        <w:rPr>
          <w:rFonts w:ascii="Times New Roman" w:hAnsi="Times New Roman" w:cs="Times New Roman"/>
        </w:rPr>
        <w:t>0.</w:t>
      </w:r>
      <w:r w:rsidR="002A0F6C" w:rsidRPr="00E263B9">
        <w:rPr>
          <w:rFonts w:ascii="Times New Roman" w:hAnsi="Times New Roman" w:cs="Times New Roman"/>
        </w:rPr>
        <w:t>34</w:t>
      </w:r>
      <w:r w:rsidR="004B5F54">
        <w:rPr>
          <w:rFonts w:ascii="Times New Roman" w:hAnsi="Times New Roman" w:cs="Times New Roman"/>
        </w:rPr>
        <w:t xml:space="preserve">, </w:t>
      </w:r>
      <w:r w:rsidR="00962A44" w:rsidRPr="00E263B9">
        <w:rPr>
          <w:rFonts w:ascii="Times New Roman" w:hAnsi="Times New Roman" w:cs="Times New Roman"/>
        </w:rPr>
        <w:t>and</w:t>
      </w:r>
      <w:r w:rsidR="006B4209">
        <w:rPr>
          <w:rFonts w:ascii="Times New Roman" w:hAnsi="Times New Roman" w:cs="Times New Roman"/>
        </w:rPr>
        <w:t xml:space="preserve"> increasing</w:t>
      </w:r>
      <w:r w:rsidR="00962A44" w:rsidRPr="00E263B9">
        <w:rPr>
          <w:rFonts w:ascii="Times New Roman" w:hAnsi="Times New Roman" w:cs="Times New Roman"/>
        </w:rPr>
        <w:t xml:space="preserve"> for the Conservatives from </w:t>
      </w:r>
      <w:r w:rsidR="00440973" w:rsidRPr="00E263B9">
        <w:rPr>
          <w:rFonts w:ascii="Times New Roman" w:hAnsi="Times New Roman" w:cs="Times New Roman"/>
        </w:rPr>
        <w:t>-</w:t>
      </w:r>
      <w:r w:rsidR="00EB72D4" w:rsidRPr="00E263B9">
        <w:rPr>
          <w:rFonts w:ascii="Times New Roman" w:hAnsi="Times New Roman" w:cs="Times New Roman"/>
        </w:rPr>
        <w:t>0</w:t>
      </w:r>
      <w:r w:rsidR="00EB72D4" w:rsidRPr="006A16BA">
        <w:rPr>
          <w:rFonts w:ascii="Times New Roman" w:hAnsi="Times New Roman" w:cs="Times New Roman"/>
        </w:rPr>
        <w:t>.</w:t>
      </w:r>
      <w:r w:rsidR="002A0F6C" w:rsidRPr="006A16BA">
        <w:rPr>
          <w:rFonts w:ascii="Times New Roman" w:hAnsi="Times New Roman" w:cs="Times New Roman"/>
        </w:rPr>
        <w:t>54</w:t>
      </w:r>
      <w:r w:rsidR="00962A44" w:rsidRPr="006A16BA">
        <w:rPr>
          <w:rFonts w:ascii="Times New Roman" w:hAnsi="Times New Roman" w:cs="Times New Roman"/>
        </w:rPr>
        <w:t xml:space="preserve"> to </w:t>
      </w:r>
      <w:r w:rsidR="00440973" w:rsidRPr="006A16BA">
        <w:rPr>
          <w:rFonts w:ascii="Times New Roman" w:hAnsi="Times New Roman" w:cs="Times New Roman"/>
        </w:rPr>
        <w:t>-</w:t>
      </w:r>
      <w:r w:rsidR="00EB72D4" w:rsidRPr="006A16BA">
        <w:rPr>
          <w:rFonts w:ascii="Times New Roman" w:hAnsi="Times New Roman" w:cs="Times New Roman"/>
        </w:rPr>
        <w:t>0.</w:t>
      </w:r>
      <w:r w:rsidR="002A0F6C" w:rsidRPr="006A16BA">
        <w:rPr>
          <w:rFonts w:ascii="Times New Roman" w:hAnsi="Times New Roman" w:cs="Times New Roman"/>
        </w:rPr>
        <w:t>37</w:t>
      </w:r>
      <w:r w:rsidR="00962A44" w:rsidRPr="006A16BA">
        <w:rPr>
          <w:rFonts w:ascii="Times New Roman" w:hAnsi="Times New Roman" w:cs="Times New Roman"/>
        </w:rPr>
        <w:t>.</w:t>
      </w:r>
      <w:r w:rsidR="004B5F54">
        <w:rPr>
          <w:rFonts w:ascii="Times New Roman" w:hAnsi="Times New Roman" w:cs="Times New Roman"/>
        </w:rPr>
        <w:t xml:space="preserve"> In the former case this </w:t>
      </w:r>
      <w:r w:rsidR="000040A1">
        <w:rPr>
          <w:rFonts w:ascii="Times New Roman" w:hAnsi="Times New Roman" w:cs="Times New Roman"/>
        </w:rPr>
        <w:t>partly reflects</w:t>
      </w:r>
      <w:r w:rsidR="00C35B26">
        <w:rPr>
          <w:rFonts w:ascii="Times New Roman" w:hAnsi="Times New Roman" w:cs="Times New Roman"/>
        </w:rPr>
        <w:t xml:space="preserve"> the c</w:t>
      </w:r>
      <w:r w:rsidR="00983DD7">
        <w:rPr>
          <w:rFonts w:ascii="Times New Roman" w:hAnsi="Times New Roman" w:cs="Times New Roman"/>
        </w:rPr>
        <w:t>hallenge that Labour faced from the Greens and indep</w:t>
      </w:r>
      <w:r w:rsidR="00733DA7">
        <w:rPr>
          <w:rFonts w:ascii="Times New Roman" w:hAnsi="Times New Roman" w:cs="Times New Roman"/>
        </w:rPr>
        <w:t>en</w:t>
      </w:r>
      <w:r w:rsidR="00983DD7">
        <w:rPr>
          <w:rFonts w:ascii="Times New Roman" w:hAnsi="Times New Roman" w:cs="Times New Roman"/>
        </w:rPr>
        <w:t>dents</w:t>
      </w:r>
      <w:r w:rsidR="00733DA7">
        <w:rPr>
          <w:rFonts w:ascii="Times New Roman" w:hAnsi="Times New Roman" w:cs="Times New Roman"/>
        </w:rPr>
        <w:t xml:space="preserve"> in </w:t>
      </w:r>
      <w:r w:rsidR="003366FE">
        <w:rPr>
          <w:rFonts w:ascii="Times New Roman" w:hAnsi="Times New Roman" w:cs="Times New Roman"/>
        </w:rPr>
        <w:t xml:space="preserve">its urban, </w:t>
      </w:r>
      <w:r w:rsidR="00CD3EA7">
        <w:rPr>
          <w:rFonts w:ascii="Times New Roman" w:hAnsi="Times New Roman" w:cs="Times New Roman"/>
        </w:rPr>
        <w:t>cosmopolitan</w:t>
      </w:r>
      <w:r w:rsidR="003366FE">
        <w:rPr>
          <w:rFonts w:ascii="Times New Roman" w:hAnsi="Times New Roman" w:cs="Times New Roman"/>
        </w:rPr>
        <w:t xml:space="preserve"> strongholds</w:t>
      </w:r>
      <w:r w:rsidR="00A7249D">
        <w:rPr>
          <w:rFonts w:ascii="Times New Roman" w:hAnsi="Times New Roman" w:cs="Times New Roman"/>
        </w:rPr>
        <w:t xml:space="preserve">, </w:t>
      </w:r>
      <w:r w:rsidR="00A7249D" w:rsidRPr="00A5162C">
        <w:rPr>
          <w:rFonts w:ascii="Times New Roman" w:hAnsi="Times New Roman" w:cs="Times New Roman"/>
        </w:rPr>
        <w:t>but also</w:t>
      </w:r>
      <w:r w:rsidR="00AF495D">
        <w:rPr>
          <w:rFonts w:ascii="Times New Roman" w:hAnsi="Times New Roman" w:cs="Times New Roman"/>
        </w:rPr>
        <w:t xml:space="preserve"> that the party did</w:t>
      </w:r>
      <w:r w:rsidR="00A7249D" w:rsidRPr="00A5162C">
        <w:rPr>
          <w:rFonts w:ascii="Times New Roman" w:hAnsi="Times New Roman" w:cs="Times New Roman"/>
        </w:rPr>
        <w:t xml:space="preserve"> relatively better in areas wi</w:t>
      </w:r>
      <w:r w:rsidR="00A5162C" w:rsidRPr="00A5162C">
        <w:rPr>
          <w:rFonts w:ascii="Times New Roman" w:hAnsi="Times New Roman" w:cs="Times New Roman"/>
        </w:rPr>
        <w:t>t</w:t>
      </w:r>
      <w:r w:rsidR="002D6F54" w:rsidRPr="00A5162C">
        <w:rPr>
          <w:rFonts w:ascii="Times New Roman" w:hAnsi="Times New Roman" w:cs="Times New Roman"/>
        </w:rPr>
        <w:t xml:space="preserve">h </w:t>
      </w:r>
      <w:r w:rsidR="001968B3" w:rsidRPr="00A5162C">
        <w:rPr>
          <w:rFonts w:ascii="Times New Roman" w:hAnsi="Times New Roman" w:cs="Times New Roman"/>
        </w:rPr>
        <w:t>higher proportions of</w:t>
      </w:r>
      <w:r w:rsidR="00DC48C6">
        <w:rPr>
          <w:rFonts w:ascii="Times New Roman" w:hAnsi="Times New Roman" w:cs="Times New Roman"/>
        </w:rPr>
        <w:t xml:space="preserve"> people identifying as</w:t>
      </w:r>
      <w:r w:rsidR="001968B3" w:rsidRPr="00A5162C">
        <w:rPr>
          <w:rFonts w:ascii="Times New Roman" w:hAnsi="Times New Roman" w:cs="Times New Roman"/>
        </w:rPr>
        <w:t xml:space="preserve"> white British</w:t>
      </w:r>
      <w:r w:rsidR="00A5162C" w:rsidRPr="00A5162C">
        <w:rPr>
          <w:rFonts w:ascii="Times New Roman" w:hAnsi="Times New Roman" w:cs="Times New Roman"/>
        </w:rPr>
        <w:t>.</w:t>
      </w:r>
      <w:r w:rsidR="001968B3">
        <w:rPr>
          <w:rFonts w:ascii="Times New Roman" w:hAnsi="Times New Roman" w:cs="Times New Roman"/>
        </w:rPr>
        <w:t xml:space="preserve"> </w:t>
      </w:r>
    </w:p>
    <w:p w14:paraId="0FE8493C" w14:textId="77777777" w:rsidR="00FC1889" w:rsidRDefault="00FC1889">
      <w:pPr>
        <w:rPr>
          <w:rFonts w:ascii="Times New Roman" w:hAnsi="Times New Roman" w:cs="Times New Roman"/>
          <w:b/>
          <w:bCs/>
        </w:rPr>
      </w:pPr>
      <w:r>
        <w:rPr>
          <w:rFonts w:ascii="Times New Roman" w:hAnsi="Times New Roman" w:cs="Times New Roman"/>
          <w:b/>
          <w:bCs/>
        </w:rPr>
        <w:br w:type="page"/>
      </w:r>
    </w:p>
    <w:p w14:paraId="57D8CF31" w14:textId="63C0D810" w:rsidR="00225DEE" w:rsidRPr="002319C0" w:rsidRDefault="00225DEE" w:rsidP="00910478">
      <w:pPr>
        <w:spacing w:after="0" w:line="240" w:lineRule="auto"/>
        <w:rPr>
          <w:rFonts w:ascii="Times New Roman" w:hAnsi="Times New Roman" w:cs="Times New Roman"/>
        </w:rPr>
      </w:pPr>
      <w:r w:rsidRPr="00656FB8">
        <w:rPr>
          <w:rFonts w:ascii="Times New Roman" w:hAnsi="Times New Roman" w:cs="Times New Roman"/>
          <w:b/>
          <w:bCs/>
        </w:rPr>
        <w:lastRenderedPageBreak/>
        <w:t xml:space="preserve">Figure </w:t>
      </w:r>
      <w:r w:rsidR="00FF33FC">
        <w:rPr>
          <w:rFonts w:ascii="Times New Roman" w:hAnsi="Times New Roman" w:cs="Times New Roman"/>
          <w:b/>
          <w:bCs/>
        </w:rPr>
        <w:t>1</w:t>
      </w:r>
      <w:r w:rsidRPr="00656FB8">
        <w:rPr>
          <w:rFonts w:ascii="Times New Roman" w:hAnsi="Times New Roman" w:cs="Times New Roman"/>
          <w:b/>
          <w:bCs/>
        </w:rPr>
        <w:t>(</w:t>
      </w:r>
      <w:r>
        <w:rPr>
          <w:rFonts w:ascii="Times New Roman" w:hAnsi="Times New Roman" w:cs="Times New Roman"/>
          <w:b/>
          <w:bCs/>
        </w:rPr>
        <w:t>a</w:t>
      </w:r>
      <w:r w:rsidRPr="00656FB8">
        <w:rPr>
          <w:rFonts w:ascii="Times New Roman" w:hAnsi="Times New Roman" w:cs="Times New Roman"/>
          <w:b/>
          <w:bCs/>
        </w:rPr>
        <w:t xml:space="preserve">). </w:t>
      </w:r>
      <w:r>
        <w:rPr>
          <w:rFonts w:ascii="Times New Roman" w:hAnsi="Times New Roman" w:cs="Times New Roman"/>
        </w:rPr>
        <w:t xml:space="preserve">Correlation between working class occupations and party vote share, 1979-2024 </w:t>
      </w:r>
    </w:p>
    <w:p w14:paraId="2BC7AD9B" w14:textId="12B020B4" w:rsidR="00520B44" w:rsidRPr="00520B44" w:rsidRDefault="00520B44" w:rsidP="00520B44">
      <w:pPr>
        <w:pStyle w:val="NormalWeb"/>
        <w:spacing w:before="0" w:beforeAutospacing="0" w:after="0" w:afterAutospacing="0"/>
      </w:pPr>
      <w:r w:rsidRPr="00520B44">
        <w:rPr>
          <w:noProof/>
        </w:rPr>
        <w:drawing>
          <wp:inline distT="0" distB="0" distL="0" distR="0" wp14:anchorId="6E4A19AB" wp14:editId="43048AF2">
            <wp:extent cx="5731510" cy="4093845"/>
            <wp:effectExtent l="0" t="0" r="2540" b="1905"/>
            <wp:docPr id="1515300972" name="Picture 19" descr="A graph showing the growth of the company's sa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00972" name="Picture 19" descr="A graph showing the growth of the company's sal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093845"/>
                    </a:xfrm>
                    <a:prstGeom prst="rect">
                      <a:avLst/>
                    </a:prstGeom>
                    <a:noFill/>
                    <a:ln>
                      <a:noFill/>
                    </a:ln>
                  </pic:spPr>
                </pic:pic>
              </a:graphicData>
            </a:graphic>
          </wp:inline>
        </w:drawing>
      </w:r>
    </w:p>
    <w:p w14:paraId="493369F9" w14:textId="7C6DA6C4" w:rsidR="00225DEE" w:rsidRDefault="00225DEE" w:rsidP="00910478">
      <w:pPr>
        <w:pStyle w:val="NormalWeb"/>
        <w:spacing w:before="0" w:beforeAutospacing="0" w:after="0" w:afterAutospacing="0"/>
      </w:pPr>
    </w:p>
    <w:p w14:paraId="17DFE2E2" w14:textId="77777777" w:rsidR="002F52DB" w:rsidRDefault="002F52DB">
      <w:pPr>
        <w:rPr>
          <w:rFonts w:ascii="Times New Roman" w:hAnsi="Times New Roman" w:cs="Times New Roman"/>
          <w:b/>
          <w:bCs/>
        </w:rPr>
      </w:pPr>
      <w:r>
        <w:rPr>
          <w:rFonts w:ascii="Times New Roman" w:hAnsi="Times New Roman" w:cs="Times New Roman"/>
          <w:b/>
          <w:bCs/>
        </w:rPr>
        <w:br w:type="page"/>
      </w:r>
    </w:p>
    <w:p w14:paraId="6ECC00F2" w14:textId="782DD4F2" w:rsidR="002319C0" w:rsidRPr="002319C0" w:rsidRDefault="002319C0" w:rsidP="00910478">
      <w:pPr>
        <w:spacing w:after="0" w:line="240" w:lineRule="auto"/>
        <w:rPr>
          <w:rFonts w:ascii="Times New Roman" w:hAnsi="Times New Roman" w:cs="Times New Roman"/>
        </w:rPr>
      </w:pPr>
      <w:r w:rsidRPr="00656FB8">
        <w:rPr>
          <w:rFonts w:ascii="Times New Roman" w:hAnsi="Times New Roman" w:cs="Times New Roman"/>
          <w:b/>
          <w:bCs/>
        </w:rPr>
        <w:lastRenderedPageBreak/>
        <w:t xml:space="preserve">Figure </w:t>
      </w:r>
      <w:r w:rsidR="00FF33FC">
        <w:rPr>
          <w:rFonts w:ascii="Times New Roman" w:hAnsi="Times New Roman" w:cs="Times New Roman"/>
          <w:b/>
          <w:bCs/>
        </w:rPr>
        <w:t>1</w:t>
      </w:r>
      <w:r w:rsidR="009C42A2" w:rsidRPr="00656FB8">
        <w:rPr>
          <w:rFonts w:ascii="Times New Roman" w:hAnsi="Times New Roman" w:cs="Times New Roman"/>
          <w:b/>
          <w:bCs/>
        </w:rPr>
        <w:t>(</w:t>
      </w:r>
      <w:r w:rsidR="00225DEE">
        <w:rPr>
          <w:rFonts w:ascii="Times New Roman" w:hAnsi="Times New Roman" w:cs="Times New Roman"/>
          <w:b/>
          <w:bCs/>
        </w:rPr>
        <w:t>b</w:t>
      </w:r>
      <w:r w:rsidR="009C42A2" w:rsidRPr="00656FB8">
        <w:rPr>
          <w:rFonts w:ascii="Times New Roman" w:hAnsi="Times New Roman" w:cs="Times New Roman"/>
          <w:b/>
          <w:bCs/>
        </w:rPr>
        <w:t>)</w:t>
      </w:r>
      <w:r w:rsidRPr="00656FB8">
        <w:rPr>
          <w:rFonts w:ascii="Times New Roman" w:hAnsi="Times New Roman" w:cs="Times New Roman"/>
          <w:b/>
          <w:bCs/>
        </w:rPr>
        <w:t>.</w:t>
      </w:r>
      <w:r w:rsidR="009C42A2" w:rsidRPr="00656FB8">
        <w:rPr>
          <w:rFonts w:ascii="Times New Roman" w:hAnsi="Times New Roman" w:cs="Times New Roman"/>
          <w:b/>
          <w:bCs/>
        </w:rPr>
        <w:t xml:space="preserve"> </w:t>
      </w:r>
      <w:r w:rsidR="009C42A2">
        <w:rPr>
          <w:rFonts w:ascii="Times New Roman" w:hAnsi="Times New Roman" w:cs="Times New Roman"/>
        </w:rPr>
        <w:t>Correlation between degree-level qualifications and party vote share, 1979-2024</w:t>
      </w:r>
      <w:r w:rsidR="00A12978">
        <w:rPr>
          <w:rStyle w:val="FootnoteReference"/>
          <w:rFonts w:ascii="Times New Roman" w:hAnsi="Times New Roman" w:cs="Times New Roman"/>
        </w:rPr>
        <w:footnoteReference w:id="13"/>
      </w:r>
      <w:r>
        <w:rPr>
          <w:rFonts w:ascii="Times New Roman" w:hAnsi="Times New Roman" w:cs="Times New Roman"/>
        </w:rPr>
        <w:t xml:space="preserve"> </w:t>
      </w:r>
    </w:p>
    <w:p w14:paraId="33AF231F" w14:textId="587CA35C" w:rsidR="002319C0" w:rsidRDefault="002F52DB" w:rsidP="00910478">
      <w:pPr>
        <w:spacing w:after="0" w:line="240" w:lineRule="auto"/>
        <w:rPr>
          <w:rFonts w:ascii="Times New Roman" w:hAnsi="Times New Roman" w:cs="Times New Roman"/>
          <w:u w:val="single"/>
        </w:rPr>
      </w:pPr>
      <w:r>
        <w:rPr>
          <w:rFonts w:ascii="Times New Roman" w:hAnsi="Times New Roman" w:cs="Times New Roman"/>
          <w:noProof/>
          <w:u w:val="single"/>
        </w:rPr>
        <w:drawing>
          <wp:inline distT="0" distB="0" distL="0" distR="0" wp14:anchorId="4093DF82" wp14:editId="70130F1C">
            <wp:extent cx="5731510" cy="4093845"/>
            <wp:effectExtent l="0" t="0" r="2540" b="1905"/>
            <wp:docPr id="723201342" name="Picture 2" descr="A graph of the number of people with the number of people with the number of people with the number of people with the number of people with the number of people with the number of people with th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01342" name="Picture 2" descr="A graph of the number of people with the number of people with the number of people with the number of people with the number of people with the number of people with the number of people with th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4093845"/>
                    </a:xfrm>
                    <a:prstGeom prst="rect">
                      <a:avLst/>
                    </a:prstGeom>
                  </pic:spPr>
                </pic:pic>
              </a:graphicData>
            </a:graphic>
          </wp:inline>
        </w:drawing>
      </w:r>
    </w:p>
    <w:p w14:paraId="35B60BBC" w14:textId="77777777" w:rsidR="00910478" w:rsidRDefault="00910478" w:rsidP="00910478">
      <w:pPr>
        <w:spacing w:after="0" w:line="240" w:lineRule="auto"/>
        <w:rPr>
          <w:rFonts w:ascii="Times New Roman" w:hAnsi="Times New Roman" w:cs="Times New Roman"/>
          <w:u w:val="single"/>
        </w:rPr>
      </w:pPr>
    </w:p>
    <w:p w14:paraId="47C3983C" w14:textId="77777777" w:rsidR="00910478" w:rsidRDefault="00910478" w:rsidP="00910478">
      <w:pPr>
        <w:spacing w:after="0" w:line="240" w:lineRule="auto"/>
        <w:rPr>
          <w:rFonts w:ascii="Times New Roman" w:hAnsi="Times New Roman" w:cs="Times New Roman"/>
          <w:u w:val="single"/>
        </w:rPr>
      </w:pPr>
    </w:p>
    <w:p w14:paraId="600966CF" w14:textId="77777777" w:rsidR="002F52DB" w:rsidRDefault="002F52DB">
      <w:pPr>
        <w:rPr>
          <w:rFonts w:ascii="Times New Roman" w:hAnsi="Times New Roman" w:cs="Times New Roman"/>
          <w:b/>
          <w:bCs/>
        </w:rPr>
      </w:pPr>
      <w:r>
        <w:rPr>
          <w:rFonts w:ascii="Times New Roman" w:hAnsi="Times New Roman" w:cs="Times New Roman"/>
          <w:b/>
          <w:bCs/>
        </w:rPr>
        <w:br w:type="page"/>
      </w:r>
    </w:p>
    <w:p w14:paraId="2C340085" w14:textId="114F40C7" w:rsidR="00910478" w:rsidRPr="002319C0" w:rsidRDefault="00910478" w:rsidP="00725D1B">
      <w:pPr>
        <w:spacing w:after="0" w:line="240" w:lineRule="auto"/>
        <w:rPr>
          <w:rFonts w:ascii="Times New Roman" w:hAnsi="Times New Roman" w:cs="Times New Roman"/>
        </w:rPr>
      </w:pPr>
      <w:r w:rsidRPr="00656FB8">
        <w:rPr>
          <w:rFonts w:ascii="Times New Roman" w:hAnsi="Times New Roman" w:cs="Times New Roman"/>
          <w:b/>
          <w:bCs/>
        </w:rPr>
        <w:lastRenderedPageBreak/>
        <w:t xml:space="preserve">Figure </w:t>
      </w:r>
      <w:r w:rsidR="004E415E">
        <w:rPr>
          <w:rFonts w:ascii="Times New Roman" w:hAnsi="Times New Roman" w:cs="Times New Roman"/>
          <w:b/>
          <w:bCs/>
        </w:rPr>
        <w:t>1</w:t>
      </w:r>
      <w:r w:rsidRPr="00656FB8">
        <w:rPr>
          <w:rFonts w:ascii="Times New Roman" w:hAnsi="Times New Roman" w:cs="Times New Roman"/>
          <w:b/>
          <w:bCs/>
        </w:rPr>
        <w:t>(</w:t>
      </w:r>
      <w:r>
        <w:rPr>
          <w:rFonts w:ascii="Times New Roman" w:hAnsi="Times New Roman" w:cs="Times New Roman"/>
          <w:b/>
          <w:bCs/>
        </w:rPr>
        <w:t>c</w:t>
      </w:r>
      <w:r w:rsidRPr="00656FB8">
        <w:rPr>
          <w:rFonts w:ascii="Times New Roman" w:hAnsi="Times New Roman" w:cs="Times New Roman"/>
          <w:b/>
          <w:bCs/>
        </w:rPr>
        <w:t xml:space="preserve">). </w:t>
      </w:r>
      <w:r>
        <w:rPr>
          <w:rFonts w:ascii="Times New Roman" w:hAnsi="Times New Roman" w:cs="Times New Roman"/>
        </w:rPr>
        <w:t xml:space="preserve">Correlation between age </w:t>
      </w:r>
      <w:r w:rsidR="00EA7DD7">
        <w:rPr>
          <w:rFonts w:ascii="Times New Roman" w:hAnsi="Times New Roman" w:cs="Times New Roman"/>
        </w:rPr>
        <w:t>a</w:t>
      </w:r>
      <w:r>
        <w:rPr>
          <w:rFonts w:ascii="Times New Roman" w:hAnsi="Times New Roman" w:cs="Times New Roman"/>
        </w:rPr>
        <w:t xml:space="preserve">nd party vote share, 1979-2024 </w:t>
      </w:r>
    </w:p>
    <w:p w14:paraId="62CF1A0F" w14:textId="03B98B51" w:rsidR="00883CC6" w:rsidRDefault="002F52DB" w:rsidP="002B6694">
      <w:pPr>
        <w:pStyle w:val="NormalWeb"/>
        <w:spacing w:before="0" w:beforeAutospacing="0" w:after="240" w:afterAutospacing="0"/>
      </w:pPr>
      <w:r>
        <w:rPr>
          <w:noProof/>
          <w14:ligatures w14:val="standardContextual"/>
        </w:rPr>
        <w:drawing>
          <wp:inline distT="0" distB="0" distL="0" distR="0" wp14:anchorId="00225A1A" wp14:editId="2920F2E5">
            <wp:extent cx="5731510" cy="4093845"/>
            <wp:effectExtent l="0" t="0" r="2540" b="1905"/>
            <wp:docPr id="1086357940" name="Picture 3" descr="A graph showing the growth of the company's sa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357940" name="Picture 3" descr="A graph showing the growth of the company's sal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093845"/>
                    </a:xfrm>
                    <a:prstGeom prst="rect">
                      <a:avLst/>
                    </a:prstGeom>
                  </pic:spPr>
                </pic:pic>
              </a:graphicData>
            </a:graphic>
          </wp:inline>
        </w:drawing>
      </w:r>
    </w:p>
    <w:p w14:paraId="7B039686" w14:textId="2874C552" w:rsidR="00725D1B" w:rsidRPr="002319C0" w:rsidRDefault="00725D1B" w:rsidP="00725D1B">
      <w:pPr>
        <w:spacing w:after="0" w:line="240" w:lineRule="auto"/>
        <w:rPr>
          <w:rFonts w:ascii="Times New Roman" w:hAnsi="Times New Roman" w:cs="Times New Roman"/>
        </w:rPr>
      </w:pPr>
      <w:r w:rsidRPr="00656FB8">
        <w:rPr>
          <w:rFonts w:ascii="Times New Roman" w:hAnsi="Times New Roman" w:cs="Times New Roman"/>
          <w:b/>
          <w:bCs/>
        </w:rPr>
        <w:t xml:space="preserve">Figure </w:t>
      </w:r>
      <w:r w:rsidR="004E415E">
        <w:rPr>
          <w:rFonts w:ascii="Times New Roman" w:hAnsi="Times New Roman" w:cs="Times New Roman"/>
          <w:b/>
          <w:bCs/>
        </w:rPr>
        <w:t>1</w:t>
      </w:r>
      <w:r w:rsidRPr="00656FB8">
        <w:rPr>
          <w:rFonts w:ascii="Times New Roman" w:hAnsi="Times New Roman" w:cs="Times New Roman"/>
          <w:b/>
          <w:bCs/>
        </w:rPr>
        <w:t>(</w:t>
      </w:r>
      <w:r>
        <w:rPr>
          <w:rFonts w:ascii="Times New Roman" w:hAnsi="Times New Roman" w:cs="Times New Roman"/>
          <w:b/>
          <w:bCs/>
        </w:rPr>
        <w:t>d</w:t>
      </w:r>
      <w:r w:rsidRPr="00656FB8">
        <w:rPr>
          <w:rFonts w:ascii="Times New Roman" w:hAnsi="Times New Roman" w:cs="Times New Roman"/>
          <w:b/>
          <w:bCs/>
        </w:rPr>
        <w:t xml:space="preserve">). </w:t>
      </w:r>
      <w:r>
        <w:rPr>
          <w:rFonts w:ascii="Times New Roman" w:hAnsi="Times New Roman" w:cs="Times New Roman"/>
        </w:rPr>
        <w:t xml:space="preserve">Correlation between deprivation and party vote share, 1979-2024 </w:t>
      </w:r>
    </w:p>
    <w:p w14:paraId="3BA4BC52" w14:textId="569225DC" w:rsidR="0055476A" w:rsidRDefault="002F52DB" w:rsidP="00725D1B">
      <w:pPr>
        <w:pStyle w:val="NormalWeb"/>
        <w:spacing w:before="0" w:beforeAutospacing="0" w:after="0" w:afterAutospacing="0"/>
      </w:pPr>
      <w:r>
        <w:rPr>
          <w:noProof/>
          <w14:ligatures w14:val="standardContextual"/>
        </w:rPr>
        <w:drawing>
          <wp:inline distT="0" distB="0" distL="0" distR="0" wp14:anchorId="3FC34CA7" wp14:editId="01154C68">
            <wp:extent cx="5731510" cy="4093845"/>
            <wp:effectExtent l="0" t="0" r="2540" b="1905"/>
            <wp:docPr id="921174755" name="Picture 4" descr="A graph of the number of people in the united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174755" name="Picture 4" descr="A graph of the number of people in the united stat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4093845"/>
                    </a:xfrm>
                    <a:prstGeom prst="rect">
                      <a:avLst/>
                    </a:prstGeom>
                  </pic:spPr>
                </pic:pic>
              </a:graphicData>
            </a:graphic>
          </wp:inline>
        </w:drawing>
      </w:r>
    </w:p>
    <w:p w14:paraId="0D4090CC" w14:textId="77777777" w:rsidR="002B6694" w:rsidRDefault="002B6694" w:rsidP="00725D1B">
      <w:pPr>
        <w:pStyle w:val="NormalWeb"/>
        <w:spacing w:before="0" w:beforeAutospacing="0" w:after="0" w:afterAutospacing="0"/>
      </w:pPr>
    </w:p>
    <w:p w14:paraId="5B3C7D16" w14:textId="22C2A904" w:rsidR="00725D1B" w:rsidRPr="002319C0" w:rsidRDefault="00725D1B" w:rsidP="00725D1B">
      <w:pPr>
        <w:spacing w:after="0" w:line="240" w:lineRule="auto"/>
        <w:rPr>
          <w:rFonts w:ascii="Times New Roman" w:hAnsi="Times New Roman" w:cs="Times New Roman"/>
        </w:rPr>
      </w:pPr>
      <w:r w:rsidRPr="00656FB8">
        <w:rPr>
          <w:rFonts w:ascii="Times New Roman" w:hAnsi="Times New Roman" w:cs="Times New Roman"/>
          <w:b/>
          <w:bCs/>
        </w:rPr>
        <w:lastRenderedPageBreak/>
        <w:t xml:space="preserve">Figure </w:t>
      </w:r>
      <w:r w:rsidR="004E415E">
        <w:rPr>
          <w:rFonts w:ascii="Times New Roman" w:hAnsi="Times New Roman" w:cs="Times New Roman"/>
          <w:b/>
          <w:bCs/>
        </w:rPr>
        <w:t>1</w:t>
      </w:r>
      <w:r w:rsidRPr="00656FB8">
        <w:rPr>
          <w:rFonts w:ascii="Times New Roman" w:hAnsi="Times New Roman" w:cs="Times New Roman"/>
          <w:b/>
          <w:bCs/>
        </w:rPr>
        <w:t>(</w:t>
      </w:r>
      <w:r w:rsidR="001A32E8">
        <w:rPr>
          <w:rFonts w:ascii="Times New Roman" w:hAnsi="Times New Roman" w:cs="Times New Roman"/>
          <w:b/>
          <w:bCs/>
        </w:rPr>
        <w:t>e</w:t>
      </w:r>
      <w:r w:rsidRPr="00656FB8">
        <w:rPr>
          <w:rFonts w:ascii="Times New Roman" w:hAnsi="Times New Roman" w:cs="Times New Roman"/>
          <w:b/>
          <w:bCs/>
        </w:rPr>
        <w:t xml:space="preserve">). </w:t>
      </w:r>
      <w:r>
        <w:rPr>
          <w:rFonts w:ascii="Times New Roman" w:hAnsi="Times New Roman" w:cs="Times New Roman"/>
        </w:rPr>
        <w:t xml:space="preserve">Correlation between </w:t>
      </w:r>
      <w:r w:rsidR="00F7431F">
        <w:rPr>
          <w:rFonts w:ascii="Times New Roman" w:hAnsi="Times New Roman" w:cs="Times New Roman"/>
        </w:rPr>
        <w:t>ethnic minority</w:t>
      </w:r>
      <w:r>
        <w:rPr>
          <w:rFonts w:ascii="Times New Roman" w:hAnsi="Times New Roman" w:cs="Times New Roman"/>
        </w:rPr>
        <w:t xml:space="preserve"> and party vote share, 1979-2024 </w:t>
      </w:r>
    </w:p>
    <w:p w14:paraId="0D597257" w14:textId="169398DD" w:rsidR="00702567" w:rsidRDefault="002F52DB" w:rsidP="00693B06">
      <w:pPr>
        <w:pStyle w:val="NormalWeb"/>
        <w:spacing w:before="0" w:beforeAutospacing="0" w:after="0" w:afterAutospacing="0"/>
      </w:pPr>
      <w:r>
        <w:rPr>
          <w:noProof/>
          <w14:ligatures w14:val="standardContextual"/>
        </w:rPr>
        <w:drawing>
          <wp:inline distT="0" distB="0" distL="0" distR="0" wp14:anchorId="375C202A" wp14:editId="4A38D377">
            <wp:extent cx="5731510" cy="4093845"/>
            <wp:effectExtent l="0" t="0" r="2540" b="1905"/>
            <wp:docPr id="901203060" name="Picture 5" descr="A graph of the number of people in the united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03060" name="Picture 5" descr="A graph of the number of people in the united stat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4093845"/>
                    </a:xfrm>
                    <a:prstGeom prst="rect">
                      <a:avLst/>
                    </a:prstGeom>
                  </pic:spPr>
                </pic:pic>
              </a:graphicData>
            </a:graphic>
          </wp:inline>
        </w:drawing>
      </w:r>
    </w:p>
    <w:p w14:paraId="157450E4" w14:textId="0CF50946" w:rsidR="007B2009" w:rsidRPr="00315A4E" w:rsidRDefault="00A632FE">
      <w:pPr>
        <w:rPr>
          <w:rFonts w:ascii="Times New Roman" w:hAnsi="Times New Roman" w:cs="Times New Roman"/>
          <w:b/>
          <w:bCs/>
        </w:rPr>
      </w:pPr>
      <w:r>
        <w:rPr>
          <w:rFonts w:ascii="Times New Roman" w:hAnsi="Times New Roman" w:cs="Times New Roman"/>
          <w:b/>
          <w:bCs/>
        </w:rPr>
        <w:t xml:space="preserve">Places where the parties </w:t>
      </w:r>
      <w:r w:rsidR="00C839D6">
        <w:rPr>
          <w:rFonts w:ascii="Times New Roman" w:hAnsi="Times New Roman" w:cs="Times New Roman"/>
          <w:b/>
          <w:bCs/>
        </w:rPr>
        <w:t>under- or over-perform</w:t>
      </w:r>
      <w:r w:rsidR="00BD08A2">
        <w:rPr>
          <w:rFonts w:ascii="Times New Roman" w:hAnsi="Times New Roman" w:cs="Times New Roman"/>
          <w:b/>
          <w:bCs/>
        </w:rPr>
        <w:t xml:space="preserve"> </w:t>
      </w:r>
      <w:r w:rsidR="00F22BF9">
        <w:rPr>
          <w:rFonts w:ascii="Times New Roman" w:hAnsi="Times New Roman" w:cs="Times New Roman"/>
          <w:b/>
          <w:bCs/>
        </w:rPr>
        <w:t xml:space="preserve">their demographic </w:t>
      </w:r>
      <w:r w:rsidR="00BD08A2">
        <w:rPr>
          <w:rFonts w:ascii="Times New Roman" w:hAnsi="Times New Roman" w:cs="Times New Roman"/>
          <w:b/>
          <w:bCs/>
        </w:rPr>
        <w:t>predict</w:t>
      </w:r>
      <w:r w:rsidR="00F22BF9">
        <w:rPr>
          <w:rFonts w:ascii="Times New Roman" w:hAnsi="Times New Roman" w:cs="Times New Roman"/>
          <w:b/>
          <w:bCs/>
        </w:rPr>
        <w:t>ors</w:t>
      </w:r>
    </w:p>
    <w:p w14:paraId="3008943E" w14:textId="0E96FB52" w:rsidR="00DC02F3" w:rsidRDefault="00172481" w:rsidP="00015D3A">
      <w:pPr>
        <w:spacing w:after="0" w:line="480" w:lineRule="auto"/>
        <w:ind w:firstLine="720"/>
        <w:rPr>
          <w:rFonts w:ascii="Times New Roman" w:hAnsi="Times New Roman" w:cs="Times New Roman"/>
        </w:rPr>
      </w:pPr>
      <w:r w:rsidRPr="00172481">
        <w:rPr>
          <w:rFonts w:ascii="Times New Roman" w:hAnsi="Times New Roman" w:cs="Times New Roman"/>
        </w:rPr>
        <w:t>One of the puzzles of electoral geography is the places where voters do not faithfully follow the script set by their social and economic profile.</w:t>
      </w:r>
      <w:r w:rsidR="00B13E7D">
        <w:rPr>
          <w:rFonts w:ascii="Times New Roman" w:hAnsi="Times New Roman" w:cs="Times New Roman"/>
        </w:rPr>
        <w:t xml:space="preserve"> Ahead of the 2019 general election, the ‘Red Wall’ concept</w:t>
      </w:r>
      <w:r w:rsidR="00F612C6">
        <w:rPr>
          <w:rFonts w:ascii="Times New Roman" w:hAnsi="Times New Roman" w:cs="Times New Roman"/>
        </w:rPr>
        <w:t xml:space="preserve"> introduced</w:t>
      </w:r>
      <w:r w:rsidR="00B13E7D">
        <w:rPr>
          <w:rFonts w:ascii="Times New Roman" w:hAnsi="Times New Roman" w:cs="Times New Roman"/>
        </w:rPr>
        <w:t xml:space="preserve"> by James Kanagasooriam</w:t>
      </w:r>
      <w:r w:rsidR="00F612C6">
        <w:rPr>
          <w:rFonts w:ascii="Times New Roman" w:hAnsi="Times New Roman" w:cs="Times New Roman"/>
        </w:rPr>
        <w:t xml:space="preserve"> suggested that there were ar</w:t>
      </w:r>
      <w:r w:rsidR="006B317F">
        <w:rPr>
          <w:rFonts w:ascii="Times New Roman" w:hAnsi="Times New Roman" w:cs="Times New Roman"/>
        </w:rPr>
        <w:t>eas where Labour’s vote</w:t>
      </w:r>
      <w:r w:rsidR="002F1F78">
        <w:rPr>
          <w:rFonts w:ascii="Times New Roman" w:hAnsi="Times New Roman" w:cs="Times New Roman"/>
        </w:rPr>
        <w:t xml:space="preserve"> was higher than implied by socio-demographics alone.</w:t>
      </w:r>
      <w:r w:rsidR="00F666D3">
        <w:rPr>
          <w:rStyle w:val="FootnoteReference"/>
          <w:rFonts w:ascii="Times New Roman" w:hAnsi="Times New Roman" w:cs="Times New Roman"/>
        </w:rPr>
        <w:footnoteReference w:id="14"/>
      </w:r>
      <w:r w:rsidR="00F56192">
        <w:rPr>
          <w:rFonts w:ascii="Times New Roman" w:hAnsi="Times New Roman" w:cs="Times New Roman"/>
        </w:rPr>
        <w:t xml:space="preserve"> Many of </w:t>
      </w:r>
      <w:r w:rsidR="008D2A37">
        <w:rPr>
          <w:rFonts w:ascii="Times New Roman" w:hAnsi="Times New Roman" w:cs="Times New Roman"/>
        </w:rPr>
        <w:t>these constituencies</w:t>
      </w:r>
      <w:r w:rsidR="00DA6AB0">
        <w:rPr>
          <w:rFonts w:ascii="Times New Roman" w:hAnsi="Times New Roman" w:cs="Times New Roman"/>
        </w:rPr>
        <w:t xml:space="preserve"> across Northern England</w:t>
      </w:r>
      <w:r w:rsidR="007E2BBA">
        <w:rPr>
          <w:rFonts w:ascii="Times New Roman" w:hAnsi="Times New Roman" w:cs="Times New Roman"/>
        </w:rPr>
        <w:t xml:space="preserve"> and the Midlands</w:t>
      </w:r>
      <w:r w:rsidR="008D2A37">
        <w:rPr>
          <w:rFonts w:ascii="Times New Roman" w:hAnsi="Times New Roman" w:cs="Times New Roman"/>
        </w:rPr>
        <w:t xml:space="preserve"> fell to the Conservatives</w:t>
      </w:r>
      <w:r w:rsidR="00F56192">
        <w:rPr>
          <w:rFonts w:ascii="Times New Roman" w:hAnsi="Times New Roman" w:cs="Times New Roman"/>
        </w:rPr>
        <w:t xml:space="preserve"> in 2019 as </w:t>
      </w:r>
      <w:r w:rsidR="007E74DE">
        <w:rPr>
          <w:rFonts w:ascii="Times New Roman" w:hAnsi="Times New Roman" w:cs="Times New Roman"/>
        </w:rPr>
        <w:t>party loyalties weakened over Brexit</w:t>
      </w:r>
      <w:r w:rsidR="008D2A37">
        <w:rPr>
          <w:rFonts w:ascii="Times New Roman" w:hAnsi="Times New Roman" w:cs="Times New Roman"/>
        </w:rPr>
        <w:t>.</w:t>
      </w:r>
      <w:r w:rsidR="00DC02F3">
        <w:rPr>
          <w:rFonts w:ascii="Times New Roman" w:hAnsi="Times New Roman" w:cs="Times New Roman"/>
        </w:rPr>
        <w:t xml:space="preserve"> Yet even within the</w:t>
      </w:r>
      <w:r w:rsidR="00606E91">
        <w:rPr>
          <w:rFonts w:ascii="Times New Roman" w:hAnsi="Times New Roman" w:cs="Times New Roman"/>
        </w:rPr>
        <w:t xml:space="preserve"> so-called</w:t>
      </w:r>
      <w:r w:rsidR="00DC02F3">
        <w:rPr>
          <w:rFonts w:ascii="Times New Roman" w:hAnsi="Times New Roman" w:cs="Times New Roman"/>
        </w:rPr>
        <w:t xml:space="preserve"> ‘Red Wall’ for example, the</w:t>
      </w:r>
      <w:r w:rsidR="00811545">
        <w:rPr>
          <w:rFonts w:ascii="Times New Roman" w:hAnsi="Times New Roman" w:cs="Times New Roman"/>
        </w:rPr>
        <w:t xml:space="preserve"> ‘over-performance’ </w:t>
      </w:r>
      <w:r w:rsidR="00624531">
        <w:rPr>
          <w:rFonts w:ascii="Times New Roman" w:hAnsi="Times New Roman" w:cs="Times New Roman"/>
        </w:rPr>
        <w:t>has never been</w:t>
      </w:r>
      <w:r w:rsidR="00811545">
        <w:rPr>
          <w:rFonts w:ascii="Times New Roman" w:hAnsi="Times New Roman" w:cs="Times New Roman"/>
        </w:rPr>
        <w:t xml:space="preserve"> spatially even; in other words, there are some </w:t>
      </w:r>
      <w:r w:rsidR="00A46ABC">
        <w:rPr>
          <w:rFonts w:ascii="Times New Roman" w:hAnsi="Times New Roman" w:cs="Times New Roman"/>
        </w:rPr>
        <w:t xml:space="preserve">constituencies and clusters of constituencies </w:t>
      </w:r>
      <w:r w:rsidR="00624531">
        <w:rPr>
          <w:rFonts w:ascii="Times New Roman" w:hAnsi="Times New Roman" w:cs="Times New Roman"/>
        </w:rPr>
        <w:t xml:space="preserve">where Labour </w:t>
      </w:r>
      <w:proofErr w:type="gramStart"/>
      <w:r w:rsidR="00624531">
        <w:rPr>
          <w:rFonts w:ascii="Times New Roman" w:hAnsi="Times New Roman" w:cs="Times New Roman"/>
        </w:rPr>
        <w:t>have</w:t>
      </w:r>
      <w:proofErr w:type="gramEnd"/>
      <w:r w:rsidR="00624531">
        <w:rPr>
          <w:rFonts w:ascii="Times New Roman" w:hAnsi="Times New Roman" w:cs="Times New Roman"/>
        </w:rPr>
        <w:t xml:space="preserve"> over-performed and others where they have not. In either case, the areas of Labour ‘over-performance’ </w:t>
      </w:r>
      <w:r w:rsidR="001C285D">
        <w:rPr>
          <w:rFonts w:ascii="Times New Roman" w:hAnsi="Times New Roman" w:cs="Times New Roman"/>
        </w:rPr>
        <w:t>has</w:t>
      </w:r>
      <w:r w:rsidR="00624531">
        <w:rPr>
          <w:rFonts w:ascii="Times New Roman" w:hAnsi="Times New Roman" w:cs="Times New Roman"/>
        </w:rPr>
        <w:t xml:space="preserve"> shifted over time,</w:t>
      </w:r>
      <w:r w:rsidR="00D9192A">
        <w:rPr>
          <w:rFonts w:ascii="Times New Roman" w:hAnsi="Times New Roman" w:cs="Times New Roman"/>
        </w:rPr>
        <w:t xml:space="preserve"> </w:t>
      </w:r>
      <w:r w:rsidR="00E86F99">
        <w:rPr>
          <w:rFonts w:ascii="Times New Roman" w:hAnsi="Times New Roman" w:cs="Times New Roman"/>
        </w:rPr>
        <w:t>notably between 1979</w:t>
      </w:r>
      <w:r w:rsidR="00A31F69">
        <w:rPr>
          <w:rFonts w:ascii="Times New Roman" w:hAnsi="Times New Roman" w:cs="Times New Roman"/>
        </w:rPr>
        <w:t xml:space="preserve"> and 20</w:t>
      </w:r>
      <w:r w:rsidR="0000161F">
        <w:rPr>
          <w:rFonts w:ascii="Times New Roman" w:hAnsi="Times New Roman" w:cs="Times New Roman"/>
        </w:rPr>
        <w:t>24</w:t>
      </w:r>
      <w:r w:rsidR="00D9192A">
        <w:rPr>
          <w:rFonts w:ascii="Times New Roman" w:hAnsi="Times New Roman" w:cs="Times New Roman"/>
        </w:rPr>
        <w:t xml:space="preserve"> </w:t>
      </w:r>
      <w:r w:rsidR="00624531">
        <w:rPr>
          <w:rFonts w:ascii="Times New Roman" w:hAnsi="Times New Roman" w:cs="Times New Roman"/>
        </w:rPr>
        <w:t xml:space="preserve">from </w:t>
      </w:r>
      <w:r w:rsidR="00A31F69">
        <w:rPr>
          <w:rFonts w:ascii="Times New Roman" w:hAnsi="Times New Roman" w:cs="Times New Roman"/>
        </w:rPr>
        <w:t xml:space="preserve">the former </w:t>
      </w:r>
      <w:r w:rsidR="00624531">
        <w:rPr>
          <w:rFonts w:ascii="Times New Roman" w:hAnsi="Times New Roman" w:cs="Times New Roman"/>
        </w:rPr>
        <w:t>coalfields</w:t>
      </w:r>
      <w:r w:rsidR="00A31F69">
        <w:rPr>
          <w:rFonts w:ascii="Times New Roman" w:hAnsi="Times New Roman" w:cs="Times New Roman"/>
        </w:rPr>
        <w:t xml:space="preserve"> of Yorkshire</w:t>
      </w:r>
      <w:r w:rsidR="001C285D">
        <w:rPr>
          <w:rFonts w:ascii="Times New Roman" w:hAnsi="Times New Roman" w:cs="Times New Roman"/>
        </w:rPr>
        <w:t>,</w:t>
      </w:r>
      <w:r w:rsidR="008A4F61">
        <w:rPr>
          <w:rFonts w:ascii="Times New Roman" w:hAnsi="Times New Roman" w:cs="Times New Roman"/>
        </w:rPr>
        <w:t xml:space="preserve"> the Midlands, </w:t>
      </w:r>
      <w:proofErr w:type="gramStart"/>
      <w:r w:rsidR="008A4F61">
        <w:rPr>
          <w:rFonts w:ascii="Times New Roman" w:hAnsi="Times New Roman" w:cs="Times New Roman"/>
        </w:rPr>
        <w:t>North East</w:t>
      </w:r>
      <w:proofErr w:type="gramEnd"/>
      <w:r w:rsidR="00EA224E">
        <w:rPr>
          <w:rFonts w:ascii="Times New Roman" w:hAnsi="Times New Roman" w:cs="Times New Roman"/>
        </w:rPr>
        <w:t>,</w:t>
      </w:r>
      <w:r w:rsidR="008A4F61">
        <w:rPr>
          <w:rFonts w:ascii="Times New Roman" w:hAnsi="Times New Roman" w:cs="Times New Roman"/>
        </w:rPr>
        <w:t xml:space="preserve"> and</w:t>
      </w:r>
      <w:r w:rsidR="001C285D">
        <w:rPr>
          <w:rFonts w:ascii="Times New Roman" w:hAnsi="Times New Roman" w:cs="Times New Roman"/>
        </w:rPr>
        <w:t xml:space="preserve"> </w:t>
      </w:r>
      <w:r w:rsidR="00A31F69">
        <w:rPr>
          <w:rFonts w:ascii="Times New Roman" w:hAnsi="Times New Roman" w:cs="Times New Roman"/>
        </w:rPr>
        <w:t>South Wales</w:t>
      </w:r>
      <w:r w:rsidR="00624531">
        <w:rPr>
          <w:rFonts w:ascii="Times New Roman" w:hAnsi="Times New Roman" w:cs="Times New Roman"/>
        </w:rPr>
        <w:t xml:space="preserve"> to Merseyside</w:t>
      </w:r>
      <w:r w:rsidR="008A4F61">
        <w:rPr>
          <w:rFonts w:ascii="Times New Roman" w:hAnsi="Times New Roman" w:cs="Times New Roman"/>
        </w:rPr>
        <w:t xml:space="preserve"> and</w:t>
      </w:r>
      <w:r w:rsidR="00EA224E">
        <w:rPr>
          <w:rFonts w:ascii="Times New Roman" w:hAnsi="Times New Roman" w:cs="Times New Roman"/>
        </w:rPr>
        <w:t xml:space="preserve"> other</w:t>
      </w:r>
      <w:r w:rsidR="008A4F61">
        <w:rPr>
          <w:rFonts w:ascii="Times New Roman" w:hAnsi="Times New Roman" w:cs="Times New Roman"/>
        </w:rPr>
        <w:t xml:space="preserve"> parts of the North West</w:t>
      </w:r>
      <w:r w:rsidR="00D9192A">
        <w:rPr>
          <w:rFonts w:ascii="Times New Roman" w:hAnsi="Times New Roman" w:cs="Times New Roman"/>
        </w:rPr>
        <w:t>.</w:t>
      </w:r>
    </w:p>
    <w:p w14:paraId="07FC0E06" w14:textId="5187D571" w:rsidR="00BD7681" w:rsidRPr="00131A3E" w:rsidRDefault="00FB2AAE" w:rsidP="00015D3A">
      <w:pPr>
        <w:spacing w:after="0" w:line="480" w:lineRule="auto"/>
        <w:ind w:firstLine="720"/>
        <w:rPr>
          <w:rFonts w:ascii="Times New Roman" w:hAnsi="Times New Roman" w:cs="Times New Roman"/>
        </w:rPr>
      </w:pPr>
      <w:r>
        <w:rPr>
          <w:rFonts w:ascii="Times New Roman" w:hAnsi="Times New Roman" w:cs="Times New Roman"/>
        </w:rPr>
        <w:lastRenderedPageBreak/>
        <w:t>T</w:t>
      </w:r>
      <w:r w:rsidR="007D5370" w:rsidRPr="00526618">
        <w:rPr>
          <w:rFonts w:ascii="Times New Roman" w:hAnsi="Times New Roman" w:cs="Times New Roman"/>
        </w:rPr>
        <w:t>here continue to be places</w:t>
      </w:r>
      <w:r w:rsidR="006714A0">
        <w:rPr>
          <w:rFonts w:ascii="Times New Roman" w:hAnsi="Times New Roman" w:cs="Times New Roman"/>
        </w:rPr>
        <w:t xml:space="preserve"> in England and Wales</w:t>
      </w:r>
      <w:r w:rsidR="007D5370" w:rsidRPr="00526618">
        <w:rPr>
          <w:rFonts w:ascii="Times New Roman" w:hAnsi="Times New Roman" w:cs="Times New Roman"/>
        </w:rPr>
        <w:t xml:space="preserve"> that defy</w:t>
      </w:r>
      <w:r w:rsidR="00A31F69">
        <w:rPr>
          <w:rFonts w:ascii="Times New Roman" w:hAnsi="Times New Roman" w:cs="Times New Roman"/>
        </w:rPr>
        <w:t xml:space="preserve"> </w:t>
      </w:r>
      <w:r w:rsidR="007D5370" w:rsidRPr="00526618">
        <w:rPr>
          <w:rFonts w:ascii="Times New Roman" w:hAnsi="Times New Roman" w:cs="Times New Roman"/>
        </w:rPr>
        <w:t>prediction</w:t>
      </w:r>
      <w:r w:rsidR="008A4F61">
        <w:rPr>
          <w:rFonts w:ascii="Times New Roman" w:hAnsi="Times New Roman" w:cs="Times New Roman"/>
        </w:rPr>
        <w:t>s</w:t>
      </w:r>
      <w:r w:rsidR="007D5370" w:rsidRPr="00526618">
        <w:rPr>
          <w:rFonts w:ascii="Times New Roman" w:hAnsi="Times New Roman" w:cs="Times New Roman"/>
        </w:rPr>
        <w:t xml:space="preserve"> based on</w:t>
      </w:r>
      <w:r w:rsidR="00495B6C">
        <w:rPr>
          <w:rFonts w:ascii="Times New Roman" w:hAnsi="Times New Roman" w:cs="Times New Roman"/>
        </w:rPr>
        <w:t xml:space="preserve"> their</w:t>
      </w:r>
      <w:r w:rsidR="007D5370" w:rsidRPr="00526618">
        <w:rPr>
          <w:rFonts w:ascii="Times New Roman" w:hAnsi="Times New Roman" w:cs="Times New Roman"/>
        </w:rPr>
        <w:t xml:space="preserve"> socio</w:t>
      </w:r>
      <w:r w:rsidR="00495B6C">
        <w:rPr>
          <w:rFonts w:ascii="Times New Roman" w:hAnsi="Times New Roman" w:cs="Times New Roman"/>
        </w:rPr>
        <w:t>-</w:t>
      </w:r>
      <w:r w:rsidR="007D5370" w:rsidRPr="00526618">
        <w:rPr>
          <w:rFonts w:ascii="Times New Roman" w:hAnsi="Times New Roman" w:cs="Times New Roman"/>
        </w:rPr>
        <w:t xml:space="preserve">demographic </w:t>
      </w:r>
      <w:r w:rsidR="00495B6C">
        <w:rPr>
          <w:rFonts w:ascii="Times New Roman" w:hAnsi="Times New Roman" w:cs="Times New Roman"/>
        </w:rPr>
        <w:t>composition</w:t>
      </w:r>
      <w:r w:rsidR="007D5370" w:rsidRPr="00526618">
        <w:rPr>
          <w:rFonts w:ascii="Times New Roman" w:hAnsi="Times New Roman" w:cs="Times New Roman"/>
        </w:rPr>
        <w:t xml:space="preserve">. </w:t>
      </w:r>
      <w:r w:rsidR="00BD7681" w:rsidRPr="009E22B2">
        <w:rPr>
          <w:rFonts w:ascii="Times New Roman" w:hAnsi="Times New Roman" w:cs="Times New Roman"/>
        </w:rPr>
        <w:t xml:space="preserve">Using a spatial analytical approach known as </w:t>
      </w:r>
      <w:r w:rsidR="00CA1BF8">
        <w:rPr>
          <w:rFonts w:ascii="Times New Roman" w:hAnsi="Times New Roman" w:cs="Times New Roman"/>
        </w:rPr>
        <w:t>‘</w:t>
      </w:r>
      <w:r w:rsidR="00BD7681" w:rsidRPr="009E22B2">
        <w:rPr>
          <w:rFonts w:ascii="Times New Roman" w:hAnsi="Times New Roman" w:cs="Times New Roman"/>
        </w:rPr>
        <w:t>Local Indicators of Spatial Association</w:t>
      </w:r>
      <w:r w:rsidR="00CA1BF8">
        <w:rPr>
          <w:rFonts w:ascii="Times New Roman" w:hAnsi="Times New Roman" w:cs="Times New Roman"/>
        </w:rPr>
        <w:t>’</w:t>
      </w:r>
      <w:r w:rsidR="00BD7681" w:rsidRPr="009E22B2">
        <w:rPr>
          <w:rFonts w:ascii="Times New Roman" w:hAnsi="Times New Roman" w:cs="Times New Roman"/>
        </w:rPr>
        <w:t xml:space="preserve"> (LISA), </w:t>
      </w:r>
      <w:r w:rsidR="009F14D0">
        <w:rPr>
          <w:rFonts w:ascii="Times New Roman" w:hAnsi="Times New Roman" w:cs="Times New Roman"/>
        </w:rPr>
        <w:t xml:space="preserve">we identify </w:t>
      </w:r>
      <w:r w:rsidR="009F14D0" w:rsidRPr="001909A7">
        <w:rPr>
          <w:rFonts w:ascii="Times New Roman" w:hAnsi="Times New Roman" w:cs="Times New Roman"/>
        </w:rPr>
        <w:t>areas</w:t>
      </w:r>
      <w:r w:rsidR="007E174A">
        <w:rPr>
          <w:rFonts w:ascii="Times New Roman" w:hAnsi="Times New Roman" w:cs="Times New Roman"/>
        </w:rPr>
        <w:t xml:space="preserve"> </w:t>
      </w:r>
      <w:r w:rsidR="009F14D0" w:rsidRPr="001909A7">
        <w:rPr>
          <w:rFonts w:ascii="Times New Roman" w:hAnsi="Times New Roman" w:cs="Times New Roman"/>
        </w:rPr>
        <w:t>where there was statistically significant spatial clustering of Labour</w:t>
      </w:r>
      <w:r w:rsidR="00811DF4">
        <w:rPr>
          <w:rFonts w:ascii="Times New Roman" w:hAnsi="Times New Roman" w:cs="Times New Roman"/>
        </w:rPr>
        <w:t xml:space="preserve"> and the Conservatives</w:t>
      </w:r>
      <w:r w:rsidR="009F14D0" w:rsidRPr="001909A7">
        <w:rPr>
          <w:rFonts w:ascii="Times New Roman" w:hAnsi="Times New Roman" w:cs="Times New Roman"/>
        </w:rPr>
        <w:t xml:space="preserve"> </w:t>
      </w:r>
      <w:r w:rsidR="00615FE1">
        <w:rPr>
          <w:rFonts w:ascii="Times New Roman" w:hAnsi="Times New Roman" w:cs="Times New Roman"/>
        </w:rPr>
        <w:t>over-</w:t>
      </w:r>
      <w:r w:rsidR="009F14D0" w:rsidRPr="001909A7">
        <w:rPr>
          <w:rFonts w:ascii="Times New Roman" w:hAnsi="Times New Roman" w:cs="Times New Roman"/>
        </w:rPr>
        <w:t xml:space="preserve"> and under-performing </w:t>
      </w:r>
      <w:r w:rsidR="00405DBC">
        <w:rPr>
          <w:rFonts w:ascii="Times New Roman" w:hAnsi="Times New Roman" w:cs="Times New Roman"/>
        </w:rPr>
        <w:t>the</w:t>
      </w:r>
      <w:r w:rsidR="00015D3A">
        <w:rPr>
          <w:rFonts w:ascii="Times New Roman" w:hAnsi="Times New Roman" w:cs="Times New Roman"/>
        </w:rPr>
        <w:t xml:space="preserve">ir vote share predicted by models </w:t>
      </w:r>
      <w:r w:rsidR="00527F72">
        <w:rPr>
          <w:rFonts w:ascii="Times New Roman" w:hAnsi="Times New Roman" w:cs="Times New Roman"/>
        </w:rPr>
        <w:t xml:space="preserve">(i.e. residuals </w:t>
      </w:r>
      <w:r w:rsidR="005E3826">
        <w:rPr>
          <w:rFonts w:ascii="Times New Roman" w:hAnsi="Times New Roman" w:cs="Times New Roman"/>
        </w:rPr>
        <w:t xml:space="preserve">estimated </w:t>
      </w:r>
      <w:r w:rsidR="00527F72">
        <w:rPr>
          <w:rFonts w:ascii="Times New Roman" w:hAnsi="Times New Roman" w:cs="Times New Roman"/>
        </w:rPr>
        <w:t>based on a multivariate linear regression of Labour and Conservative vote share</w:t>
      </w:r>
      <w:r w:rsidR="0082591C">
        <w:rPr>
          <w:rFonts w:ascii="Times New Roman" w:hAnsi="Times New Roman" w:cs="Times New Roman"/>
        </w:rPr>
        <w:t xml:space="preserve"> on a range of sociodemographic predictors, such as age, social class,</w:t>
      </w:r>
      <w:r w:rsidR="001161E0">
        <w:rPr>
          <w:rFonts w:ascii="Times New Roman" w:hAnsi="Times New Roman" w:cs="Times New Roman"/>
        </w:rPr>
        <w:t xml:space="preserve"> education, etc</w:t>
      </w:r>
      <w:r w:rsidR="004E4E2A">
        <w:rPr>
          <w:rFonts w:ascii="Times New Roman" w:hAnsi="Times New Roman" w:cs="Times New Roman"/>
        </w:rPr>
        <w:t>)</w:t>
      </w:r>
      <w:r w:rsidR="000D3242">
        <w:rPr>
          <w:rFonts w:ascii="Times New Roman" w:hAnsi="Times New Roman" w:cs="Times New Roman"/>
        </w:rPr>
        <w:t xml:space="preserve">. </w:t>
      </w:r>
      <w:r w:rsidR="000D4889">
        <w:rPr>
          <w:rFonts w:ascii="Times New Roman" w:hAnsi="Times New Roman" w:cs="Times New Roman"/>
        </w:rPr>
        <w:t xml:space="preserve">In Figures </w:t>
      </w:r>
      <w:r w:rsidR="00DA534E">
        <w:rPr>
          <w:rFonts w:ascii="Times New Roman" w:hAnsi="Times New Roman" w:cs="Times New Roman"/>
        </w:rPr>
        <w:t>2</w:t>
      </w:r>
      <w:r w:rsidR="000D4889">
        <w:rPr>
          <w:rFonts w:ascii="Times New Roman" w:hAnsi="Times New Roman" w:cs="Times New Roman"/>
        </w:rPr>
        <w:t xml:space="preserve"> and </w:t>
      </w:r>
      <w:r w:rsidR="004F4B97">
        <w:rPr>
          <w:rFonts w:ascii="Times New Roman" w:hAnsi="Times New Roman" w:cs="Times New Roman"/>
        </w:rPr>
        <w:t>3</w:t>
      </w:r>
      <w:r w:rsidR="000D4889">
        <w:rPr>
          <w:rFonts w:ascii="Times New Roman" w:hAnsi="Times New Roman" w:cs="Times New Roman"/>
        </w:rPr>
        <w:t xml:space="preserve"> w</w:t>
      </w:r>
      <w:r w:rsidR="000D3242">
        <w:rPr>
          <w:rFonts w:ascii="Times New Roman" w:hAnsi="Times New Roman" w:cs="Times New Roman"/>
        </w:rPr>
        <w:t xml:space="preserve">e present </w:t>
      </w:r>
      <w:r w:rsidR="00283F24">
        <w:rPr>
          <w:rFonts w:ascii="Times New Roman" w:hAnsi="Times New Roman" w:cs="Times New Roman"/>
        </w:rPr>
        <w:t xml:space="preserve">maps </w:t>
      </w:r>
      <w:r w:rsidR="002E4FB0">
        <w:rPr>
          <w:rFonts w:ascii="Times New Roman" w:hAnsi="Times New Roman" w:cs="Times New Roman"/>
        </w:rPr>
        <w:t>for</w:t>
      </w:r>
      <w:r w:rsidR="000D3242">
        <w:rPr>
          <w:rFonts w:ascii="Times New Roman" w:hAnsi="Times New Roman" w:cs="Times New Roman"/>
        </w:rPr>
        <w:t xml:space="preserve"> the 2019 and 2024 general elections</w:t>
      </w:r>
      <w:r w:rsidR="002E4FB0">
        <w:rPr>
          <w:rFonts w:ascii="Times New Roman" w:hAnsi="Times New Roman" w:cs="Times New Roman"/>
        </w:rPr>
        <w:t xml:space="preserve"> </w:t>
      </w:r>
      <w:r w:rsidR="000D3242">
        <w:rPr>
          <w:rFonts w:ascii="Times New Roman" w:hAnsi="Times New Roman" w:cs="Times New Roman"/>
        </w:rPr>
        <w:t>to enable comparison</w:t>
      </w:r>
      <w:r w:rsidR="0057498D">
        <w:rPr>
          <w:rFonts w:ascii="Times New Roman" w:hAnsi="Times New Roman" w:cs="Times New Roman"/>
        </w:rPr>
        <w:t xml:space="preserve"> of </w:t>
      </w:r>
      <w:r w:rsidR="00FB3932">
        <w:rPr>
          <w:rFonts w:ascii="Times New Roman" w:hAnsi="Times New Roman" w:cs="Times New Roman"/>
        </w:rPr>
        <w:t>these two very different electoral contexts</w:t>
      </w:r>
      <w:r w:rsidR="009F14D0" w:rsidRPr="001909A7">
        <w:rPr>
          <w:rFonts w:ascii="Times New Roman" w:hAnsi="Times New Roman" w:cs="Times New Roman"/>
        </w:rPr>
        <w:t>.</w:t>
      </w:r>
      <w:r w:rsidR="00A10491">
        <w:rPr>
          <w:rFonts w:ascii="Times New Roman" w:hAnsi="Times New Roman" w:cs="Times New Roman"/>
        </w:rPr>
        <w:t xml:space="preserve"> </w:t>
      </w:r>
      <w:r w:rsidR="00662139">
        <w:rPr>
          <w:rFonts w:ascii="Times New Roman" w:hAnsi="Times New Roman" w:cs="Times New Roman"/>
        </w:rPr>
        <w:t>C</w:t>
      </w:r>
      <w:r w:rsidR="00BD7681" w:rsidRPr="009E22B2">
        <w:rPr>
          <w:rFonts w:ascii="Times New Roman" w:hAnsi="Times New Roman" w:cs="Times New Roman"/>
        </w:rPr>
        <w:t xml:space="preserve">onstituencies with ‘High-High’ values are those that have a high value of the </w:t>
      </w:r>
      <w:r w:rsidR="009C69F1">
        <w:rPr>
          <w:rFonts w:ascii="Times New Roman" w:hAnsi="Times New Roman" w:cs="Times New Roman"/>
        </w:rPr>
        <w:t>residual</w:t>
      </w:r>
      <w:r w:rsidR="00BD7681" w:rsidRPr="009E22B2">
        <w:rPr>
          <w:rFonts w:ascii="Times New Roman" w:hAnsi="Times New Roman" w:cs="Times New Roman"/>
        </w:rPr>
        <w:t xml:space="preserve"> and whose neighbours also have a high value; constituencies with ‘Low-Low’ values are those that share low values</w:t>
      </w:r>
      <w:r w:rsidR="00294036">
        <w:rPr>
          <w:rFonts w:ascii="Times New Roman" w:hAnsi="Times New Roman" w:cs="Times New Roman"/>
        </w:rPr>
        <w:t xml:space="preserve"> </w:t>
      </w:r>
      <w:r w:rsidR="00BD7681" w:rsidRPr="009E22B2">
        <w:rPr>
          <w:rFonts w:ascii="Times New Roman" w:hAnsi="Times New Roman" w:cs="Times New Roman"/>
        </w:rPr>
        <w:t xml:space="preserve">with their neighbours. For example, </w:t>
      </w:r>
      <w:r w:rsidR="00FC0494">
        <w:rPr>
          <w:rFonts w:ascii="Times New Roman" w:hAnsi="Times New Roman" w:cs="Times New Roman"/>
        </w:rPr>
        <w:t>for</w:t>
      </w:r>
      <w:r w:rsidR="00BD7681" w:rsidRPr="009E22B2">
        <w:rPr>
          <w:rFonts w:ascii="Times New Roman" w:hAnsi="Times New Roman" w:cs="Times New Roman"/>
        </w:rPr>
        <w:t xml:space="preserve"> the Conservative </w:t>
      </w:r>
      <w:r w:rsidR="00B847DC">
        <w:rPr>
          <w:rFonts w:ascii="Times New Roman" w:hAnsi="Times New Roman" w:cs="Times New Roman"/>
        </w:rPr>
        <w:t>residual</w:t>
      </w:r>
      <w:r w:rsidR="00BD7681" w:rsidRPr="009E22B2">
        <w:rPr>
          <w:rFonts w:ascii="Times New Roman" w:hAnsi="Times New Roman" w:cs="Times New Roman"/>
        </w:rPr>
        <w:t xml:space="preserve"> maps, if a constituency has a High-High value, both it and its neighbours have high </w:t>
      </w:r>
      <w:r w:rsidR="00B847DC">
        <w:rPr>
          <w:rFonts w:ascii="Times New Roman" w:hAnsi="Times New Roman" w:cs="Times New Roman"/>
        </w:rPr>
        <w:t xml:space="preserve">positive residuals from the Conservative vote model (i.e. these are areas where the party’s vote is higher than would be predicted based </w:t>
      </w:r>
      <w:r w:rsidR="00621C4D">
        <w:rPr>
          <w:rFonts w:ascii="Times New Roman" w:hAnsi="Times New Roman" w:cs="Times New Roman"/>
        </w:rPr>
        <w:t>on socio-demographics</w:t>
      </w:r>
      <w:r w:rsidR="008D1AE4">
        <w:rPr>
          <w:rFonts w:ascii="Times New Roman" w:hAnsi="Times New Roman" w:cs="Times New Roman"/>
        </w:rPr>
        <w:t>)</w:t>
      </w:r>
      <w:r w:rsidR="00621C4D">
        <w:rPr>
          <w:rFonts w:ascii="Times New Roman" w:hAnsi="Times New Roman" w:cs="Times New Roman"/>
        </w:rPr>
        <w:t xml:space="preserve">. </w:t>
      </w:r>
      <w:r w:rsidR="00BD7681" w:rsidRPr="009E22B2">
        <w:rPr>
          <w:rFonts w:ascii="Times New Roman" w:hAnsi="Times New Roman" w:cs="Times New Roman"/>
        </w:rPr>
        <w:t xml:space="preserve">There are also two types of spatial outliers. </w:t>
      </w:r>
      <w:r w:rsidR="00D1298D">
        <w:rPr>
          <w:rFonts w:ascii="Times New Roman" w:hAnsi="Times New Roman" w:cs="Times New Roman"/>
        </w:rPr>
        <w:t>‘</w:t>
      </w:r>
      <w:r w:rsidR="008113BA" w:rsidRPr="009E22B2">
        <w:rPr>
          <w:rFonts w:ascii="Times New Roman" w:hAnsi="Times New Roman" w:cs="Times New Roman"/>
        </w:rPr>
        <w:t>High-Low</w:t>
      </w:r>
      <w:r w:rsidR="00D1298D">
        <w:rPr>
          <w:rFonts w:ascii="Times New Roman" w:hAnsi="Times New Roman" w:cs="Times New Roman"/>
        </w:rPr>
        <w:t>’</w:t>
      </w:r>
      <w:r w:rsidR="00BD7681" w:rsidRPr="009E22B2">
        <w:rPr>
          <w:rFonts w:ascii="Times New Roman" w:hAnsi="Times New Roman" w:cs="Times New Roman"/>
        </w:rPr>
        <w:t xml:space="preserve"> are constituencies with high values of the </w:t>
      </w:r>
      <w:r w:rsidR="00E205EE">
        <w:rPr>
          <w:rFonts w:ascii="Times New Roman" w:hAnsi="Times New Roman" w:cs="Times New Roman"/>
        </w:rPr>
        <w:t>residual</w:t>
      </w:r>
      <w:r w:rsidR="00BD7681" w:rsidRPr="009E22B2">
        <w:rPr>
          <w:rFonts w:ascii="Times New Roman" w:hAnsi="Times New Roman" w:cs="Times New Roman"/>
        </w:rPr>
        <w:t xml:space="preserve"> surrounded by neighbouring constituencies with low values</w:t>
      </w:r>
      <w:r w:rsidR="00621C4D">
        <w:rPr>
          <w:rFonts w:ascii="Times New Roman" w:hAnsi="Times New Roman" w:cs="Times New Roman"/>
        </w:rPr>
        <w:t xml:space="preserve"> (places where </w:t>
      </w:r>
      <w:r w:rsidR="005A3DDF">
        <w:rPr>
          <w:rFonts w:ascii="Times New Roman" w:hAnsi="Times New Roman" w:cs="Times New Roman"/>
        </w:rPr>
        <w:t>there is over-performance in a sea of under-performance</w:t>
      </w:r>
      <w:r w:rsidR="00434C60">
        <w:rPr>
          <w:rFonts w:ascii="Times New Roman" w:hAnsi="Times New Roman" w:cs="Times New Roman"/>
        </w:rPr>
        <w:t xml:space="preserve"> for example</w:t>
      </w:r>
      <w:r w:rsidR="005A3DDF">
        <w:rPr>
          <w:rFonts w:ascii="Times New Roman" w:hAnsi="Times New Roman" w:cs="Times New Roman"/>
        </w:rPr>
        <w:t>)</w:t>
      </w:r>
      <w:r w:rsidR="00BD7681" w:rsidRPr="009E22B2">
        <w:rPr>
          <w:rFonts w:ascii="Times New Roman" w:hAnsi="Times New Roman" w:cs="Times New Roman"/>
        </w:rPr>
        <w:t xml:space="preserve">; </w:t>
      </w:r>
      <w:r w:rsidR="00D1298D">
        <w:rPr>
          <w:rFonts w:ascii="Times New Roman" w:hAnsi="Times New Roman" w:cs="Times New Roman"/>
        </w:rPr>
        <w:t>‘</w:t>
      </w:r>
      <w:r w:rsidR="00FA7CB3" w:rsidRPr="009E22B2">
        <w:rPr>
          <w:rFonts w:ascii="Times New Roman" w:hAnsi="Times New Roman" w:cs="Times New Roman"/>
        </w:rPr>
        <w:t>Low-High</w:t>
      </w:r>
      <w:r w:rsidR="00D1298D">
        <w:rPr>
          <w:rFonts w:ascii="Times New Roman" w:hAnsi="Times New Roman" w:cs="Times New Roman"/>
        </w:rPr>
        <w:t>’</w:t>
      </w:r>
      <w:r w:rsidR="00FA7CB3">
        <w:rPr>
          <w:rFonts w:ascii="Times New Roman" w:hAnsi="Times New Roman" w:cs="Times New Roman"/>
        </w:rPr>
        <w:t xml:space="preserve"> </w:t>
      </w:r>
      <w:r w:rsidR="00F45C56">
        <w:rPr>
          <w:rFonts w:ascii="Times New Roman" w:hAnsi="Times New Roman" w:cs="Times New Roman"/>
        </w:rPr>
        <w:t>indicate</w:t>
      </w:r>
      <w:r w:rsidR="00BD7681" w:rsidRPr="009E22B2">
        <w:rPr>
          <w:rFonts w:ascii="Times New Roman" w:hAnsi="Times New Roman" w:cs="Times New Roman"/>
        </w:rPr>
        <w:t xml:space="preserve"> the opposite </w:t>
      </w:r>
      <w:r w:rsidR="00F45C56">
        <w:rPr>
          <w:rFonts w:ascii="Times New Roman" w:hAnsi="Times New Roman" w:cs="Times New Roman"/>
        </w:rPr>
        <w:t>(under-performance</w:t>
      </w:r>
      <w:r w:rsidR="00D1298D">
        <w:rPr>
          <w:rFonts w:ascii="Times New Roman" w:hAnsi="Times New Roman" w:cs="Times New Roman"/>
        </w:rPr>
        <w:t xml:space="preserve"> surrounded by over-performance)</w:t>
      </w:r>
      <w:r w:rsidR="00BD7681" w:rsidRPr="009E22B2">
        <w:rPr>
          <w:rFonts w:ascii="Times New Roman" w:hAnsi="Times New Roman" w:cs="Times New Roman"/>
        </w:rPr>
        <w:t xml:space="preserve">. </w:t>
      </w:r>
    </w:p>
    <w:p w14:paraId="5563D181" w14:textId="63143F8B" w:rsidR="001D2E64" w:rsidRPr="001D2E64" w:rsidRDefault="00F72095" w:rsidP="005B788F">
      <w:pPr>
        <w:spacing w:after="0" w:line="480" w:lineRule="auto"/>
        <w:ind w:firstLine="720"/>
        <w:rPr>
          <w:rFonts w:ascii="Times New Roman" w:hAnsi="Times New Roman" w:cs="Times New Roman"/>
        </w:rPr>
      </w:pPr>
      <w:r>
        <w:rPr>
          <w:rFonts w:ascii="Times New Roman" w:hAnsi="Times New Roman" w:cs="Times New Roman"/>
        </w:rPr>
        <w:t xml:space="preserve">For Labour </w:t>
      </w:r>
      <w:r w:rsidR="008B00EF">
        <w:rPr>
          <w:rFonts w:ascii="Times New Roman" w:hAnsi="Times New Roman" w:cs="Times New Roman"/>
        </w:rPr>
        <w:t xml:space="preserve">(see Figure </w:t>
      </w:r>
      <w:r w:rsidR="004F4B97">
        <w:rPr>
          <w:rFonts w:ascii="Times New Roman" w:hAnsi="Times New Roman" w:cs="Times New Roman"/>
        </w:rPr>
        <w:t>2</w:t>
      </w:r>
      <w:r w:rsidR="008B00EF">
        <w:rPr>
          <w:rFonts w:ascii="Times New Roman" w:hAnsi="Times New Roman" w:cs="Times New Roman"/>
        </w:rPr>
        <w:t>)</w:t>
      </w:r>
      <w:r>
        <w:rPr>
          <w:rFonts w:ascii="Times New Roman" w:hAnsi="Times New Roman" w:cs="Times New Roman"/>
        </w:rPr>
        <w:t xml:space="preserve">, </w:t>
      </w:r>
      <w:r w:rsidR="00A634B3">
        <w:rPr>
          <w:rFonts w:ascii="Times New Roman" w:hAnsi="Times New Roman" w:cs="Times New Roman"/>
        </w:rPr>
        <w:t>its</w:t>
      </w:r>
      <w:r w:rsidR="001D2E64" w:rsidRPr="001D2E64">
        <w:rPr>
          <w:rFonts w:ascii="Times New Roman" w:hAnsi="Times New Roman" w:cs="Times New Roman"/>
        </w:rPr>
        <w:t xml:space="preserve"> cluster of over-performance</w:t>
      </w:r>
      <w:r w:rsidR="00735DB5">
        <w:rPr>
          <w:rFonts w:ascii="Times New Roman" w:hAnsi="Times New Roman" w:cs="Times New Roman"/>
        </w:rPr>
        <w:t xml:space="preserve"> in 2024</w:t>
      </w:r>
      <w:r w:rsidR="009D4189">
        <w:rPr>
          <w:rFonts w:ascii="Times New Roman" w:hAnsi="Times New Roman" w:cs="Times New Roman"/>
        </w:rPr>
        <w:t xml:space="preserve"> overlapped substantially with</w:t>
      </w:r>
      <w:r w:rsidR="00497F6C">
        <w:rPr>
          <w:rFonts w:ascii="Times New Roman" w:hAnsi="Times New Roman" w:cs="Times New Roman"/>
        </w:rPr>
        <w:t xml:space="preserve"> that observed in</w:t>
      </w:r>
      <w:r w:rsidR="009D4189">
        <w:rPr>
          <w:rFonts w:ascii="Times New Roman" w:hAnsi="Times New Roman" w:cs="Times New Roman"/>
        </w:rPr>
        <w:t xml:space="preserve"> 2019,</w:t>
      </w:r>
      <w:r w:rsidR="001D2E64" w:rsidRPr="001D2E64">
        <w:rPr>
          <w:rFonts w:ascii="Times New Roman" w:hAnsi="Times New Roman" w:cs="Times New Roman"/>
        </w:rPr>
        <w:t xml:space="preserve"> </w:t>
      </w:r>
      <w:r w:rsidR="000A4D5D">
        <w:rPr>
          <w:rFonts w:ascii="Times New Roman" w:hAnsi="Times New Roman" w:cs="Times New Roman"/>
        </w:rPr>
        <w:t>cover</w:t>
      </w:r>
      <w:r w:rsidR="009D4189">
        <w:rPr>
          <w:rFonts w:ascii="Times New Roman" w:hAnsi="Times New Roman" w:cs="Times New Roman"/>
        </w:rPr>
        <w:t>ing</w:t>
      </w:r>
      <w:r w:rsidR="000A4D5D">
        <w:rPr>
          <w:rFonts w:ascii="Times New Roman" w:hAnsi="Times New Roman" w:cs="Times New Roman"/>
        </w:rPr>
        <w:t xml:space="preserve"> </w:t>
      </w:r>
      <w:r w:rsidR="00FC6284">
        <w:rPr>
          <w:rFonts w:ascii="Times New Roman" w:hAnsi="Times New Roman" w:cs="Times New Roman"/>
        </w:rPr>
        <w:t>substantial</w:t>
      </w:r>
      <w:r w:rsidR="000A4D5D">
        <w:rPr>
          <w:rFonts w:ascii="Times New Roman" w:hAnsi="Times New Roman" w:cs="Times New Roman"/>
        </w:rPr>
        <w:t xml:space="preserve"> </w:t>
      </w:r>
      <w:r w:rsidR="00FC6284">
        <w:rPr>
          <w:rFonts w:ascii="Times New Roman" w:hAnsi="Times New Roman" w:cs="Times New Roman"/>
        </w:rPr>
        <w:t>areas</w:t>
      </w:r>
      <w:r w:rsidR="001D2E64" w:rsidRPr="001D2E64">
        <w:rPr>
          <w:rFonts w:ascii="Times New Roman" w:hAnsi="Times New Roman" w:cs="Times New Roman"/>
        </w:rPr>
        <w:t xml:space="preserve"> across Northern England</w:t>
      </w:r>
      <w:r w:rsidR="00FC6284">
        <w:rPr>
          <w:rFonts w:ascii="Times New Roman" w:hAnsi="Times New Roman" w:cs="Times New Roman"/>
        </w:rPr>
        <w:t xml:space="preserve">, </w:t>
      </w:r>
      <w:r w:rsidR="001D2E64" w:rsidRPr="001D2E64">
        <w:rPr>
          <w:rFonts w:ascii="Times New Roman" w:hAnsi="Times New Roman" w:cs="Times New Roman"/>
        </w:rPr>
        <w:t>includ</w:t>
      </w:r>
      <w:r w:rsidR="00FC6284">
        <w:rPr>
          <w:rFonts w:ascii="Times New Roman" w:hAnsi="Times New Roman" w:cs="Times New Roman"/>
        </w:rPr>
        <w:t>ing</w:t>
      </w:r>
      <w:r w:rsidR="001D2E64" w:rsidRPr="001D2E64">
        <w:rPr>
          <w:rFonts w:ascii="Times New Roman" w:hAnsi="Times New Roman" w:cs="Times New Roman"/>
        </w:rPr>
        <w:t xml:space="preserve"> large parts of Merseyside, Manchester, and parts of Yorkshire in and around the Pennines.</w:t>
      </w:r>
      <w:r w:rsidR="002755E2">
        <w:rPr>
          <w:rFonts w:ascii="Times New Roman" w:hAnsi="Times New Roman" w:cs="Times New Roman"/>
        </w:rPr>
        <w:t xml:space="preserve"> </w:t>
      </w:r>
      <w:r w:rsidR="00F82217">
        <w:rPr>
          <w:rFonts w:ascii="Times New Roman" w:hAnsi="Times New Roman" w:cs="Times New Roman"/>
        </w:rPr>
        <w:t xml:space="preserve">Notably in 2024 </w:t>
      </w:r>
      <w:r w:rsidR="002755E2">
        <w:rPr>
          <w:rFonts w:ascii="Times New Roman" w:hAnsi="Times New Roman" w:cs="Times New Roman"/>
        </w:rPr>
        <w:t>the party</w:t>
      </w:r>
      <w:r w:rsidR="00670148">
        <w:rPr>
          <w:rFonts w:ascii="Times New Roman" w:hAnsi="Times New Roman" w:cs="Times New Roman"/>
        </w:rPr>
        <w:t xml:space="preserve">’s </w:t>
      </w:r>
      <w:r w:rsidR="00901A8B">
        <w:rPr>
          <w:rFonts w:ascii="Times New Roman" w:hAnsi="Times New Roman" w:cs="Times New Roman"/>
        </w:rPr>
        <w:t>strong</w:t>
      </w:r>
      <w:r w:rsidR="00042A06">
        <w:rPr>
          <w:rFonts w:ascii="Times New Roman" w:hAnsi="Times New Roman" w:cs="Times New Roman"/>
        </w:rPr>
        <w:t xml:space="preserve"> electoral</w:t>
      </w:r>
      <w:r w:rsidR="00901A8B">
        <w:rPr>
          <w:rFonts w:ascii="Times New Roman" w:hAnsi="Times New Roman" w:cs="Times New Roman"/>
        </w:rPr>
        <w:t xml:space="preserve"> showing </w:t>
      </w:r>
      <w:r w:rsidR="0017190F">
        <w:rPr>
          <w:rFonts w:ascii="Times New Roman" w:hAnsi="Times New Roman" w:cs="Times New Roman"/>
        </w:rPr>
        <w:t>spread</w:t>
      </w:r>
      <w:r w:rsidR="00901A8B">
        <w:rPr>
          <w:rFonts w:ascii="Times New Roman" w:hAnsi="Times New Roman" w:cs="Times New Roman"/>
        </w:rPr>
        <w:t xml:space="preserve"> to include</w:t>
      </w:r>
      <w:r w:rsidR="00C41F25">
        <w:rPr>
          <w:rFonts w:ascii="Times New Roman" w:hAnsi="Times New Roman" w:cs="Times New Roman"/>
        </w:rPr>
        <w:t xml:space="preserve"> rural parts of </w:t>
      </w:r>
      <w:r w:rsidR="00767A58">
        <w:rPr>
          <w:rFonts w:ascii="Times New Roman" w:hAnsi="Times New Roman" w:cs="Times New Roman"/>
        </w:rPr>
        <w:t xml:space="preserve">the </w:t>
      </w:r>
      <w:r w:rsidR="00C41F25">
        <w:rPr>
          <w:rFonts w:ascii="Times New Roman" w:hAnsi="Times New Roman" w:cs="Times New Roman"/>
        </w:rPr>
        <w:t>far North of England</w:t>
      </w:r>
      <w:r w:rsidR="002231B9">
        <w:rPr>
          <w:rFonts w:ascii="Times New Roman" w:hAnsi="Times New Roman" w:cs="Times New Roman"/>
        </w:rPr>
        <w:t xml:space="preserve"> (as far north as Hexham</w:t>
      </w:r>
      <w:r w:rsidR="00C21674">
        <w:rPr>
          <w:rFonts w:ascii="Times New Roman" w:hAnsi="Times New Roman" w:cs="Times New Roman"/>
        </w:rPr>
        <w:t xml:space="preserve"> and North Northumberland</w:t>
      </w:r>
      <w:r w:rsidR="00AE2F6F">
        <w:rPr>
          <w:rFonts w:ascii="Times New Roman" w:hAnsi="Times New Roman" w:cs="Times New Roman"/>
        </w:rPr>
        <w:t>,</w:t>
      </w:r>
      <w:r w:rsidR="00BE6DC9">
        <w:rPr>
          <w:rFonts w:ascii="Times New Roman" w:hAnsi="Times New Roman" w:cs="Times New Roman"/>
        </w:rPr>
        <w:t xml:space="preserve"> seats it won for the first time ever in 2024</w:t>
      </w:r>
      <w:r w:rsidR="002231B9">
        <w:rPr>
          <w:rFonts w:ascii="Times New Roman" w:hAnsi="Times New Roman" w:cs="Times New Roman"/>
        </w:rPr>
        <w:t>)</w:t>
      </w:r>
      <w:r w:rsidR="00767A58">
        <w:rPr>
          <w:rFonts w:ascii="Times New Roman" w:hAnsi="Times New Roman" w:cs="Times New Roman"/>
        </w:rPr>
        <w:t>.</w:t>
      </w:r>
      <w:r w:rsidR="00042A06">
        <w:rPr>
          <w:rFonts w:ascii="Times New Roman" w:hAnsi="Times New Roman" w:cs="Times New Roman"/>
        </w:rPr>
        <w:t xml:space="preserve"> New</w:t>
      </w:r>
      <w:r w:rsidR="001D2E64" w:rsidRPr="001D2E64">
        <w:rPr>
          <w:rFonts w:ascii="Times New Roman" w:hAnsi="Times New Roman" w:cs="Times New Roman"/>
        </w:rPr>
        <w:t xml:space="preserve"> </w:t>
      </w:r>
      <w:r w:rsidR="00CF38D9">
        <w:rPr>
          <w:rFonts w:ascii="Times New Roman" w:hAnsi="Times New Roman" w:cs="Times New Roman"/>
        </w:rPr>
        <w:t>‘</w:t>
      </w:r>
      <w:r w:rsidR="001D2E64" w:rsidRPr="001D2E64">
        <w:rPr>
          <w:rFonts w:ascii="Times New Roman" w:hAnsi="Times New Roman" w:cs="Times New Roman"/>
        </w:rPr>
        <w:t>Low-Low</w:t>
      </w:r>
      <w:r w:rsidR="00CF38D9">
        <w:rPr>
          <w:rFonts w:ascii="Times New Roman" w:hAnsi="Times New Roman" w:cs="Times New Roman"/>
        </w:rPr>
        <w:t>’</w:t>
      </w:r>
      <w:r w:rsidR="001D2E64" w:rsidRPr="001D2E64">
        <w:rPr>
          <w:rFonts w:ascii="Times New Roman" w:hAnsi="Times New Roman" w:cs="Times New Roman"/>
        </w:rPr>
        <w:t xml:space="preserve"> clusters </w:t>
      </w:r>
      <w:r w:rsidR="00380317">
        <w:rPr>
          <w:rFonts w:ascii="Times New Roman" w:hAnsi="Times New Roman" w:cs="Times New Roman"/>
        </w:rPr>
        <w:t xml:space="preserve">appeared </w:t>
      </w:r>
      <w:r w:rsidR="001D2E64" w:rsidRPr="001D2E64">
        <w:rPr>
          <w:rFonts w:ascii="Times New Roman" w:hAnsi="Times New Roman" w:cs="Times New Roman"/>
        </w:rPr>
        <w:t xml:space="preserve">in </w:t>
      </w:r>
      <w:r w:rsidR="00F76E2D">
        <w:rPr>
          <w:rFonts w:ascii="Times New Roman" w:hAnsi="Times New Roman" w:cs="Times New Roman"/>
        </w:rPr>
        <w:t>the South of England</w:t>
      </w:r>
      <w:r w:rsidR="00380317">
        <w:rPr>
          <w:rFonts w:ascii="Times New Roman" w:hAnsi="Times New Roman" w:cs="Times New Roman"/>
        </w:rPr>
        <w:t xml:space="preserve"> in 2024</w:t>
      </w:r>
      <w:r w:rsidR="00CF38D9">
        <w:rPr>
          <w:rFonts w:ascii="Times New Roman" w:hAnsi="Times New Roman" w:cs="Times New Roman"/>
        </w:rPr>
        <w:t xml:space="preserve"> </w:t>
      </w:r>
      <w:r w:rsidR="004C1AFE">
        <w:rPr>
          <w:rFonts w:ascii="Times New Roman" w:hAnsi="Times New Roman" w:cs="Times New Roman"/>
        </w:rPr>
        <w:t>– reaching from the southwest</w:t>
      </w:r>
      <w:r w:rsidR="00AE2F6F">
        <w:rPr>
          <w:rFonts w:ascii="Times New Roman" w:hAnsi="Times New Roman" w:cs="Times New Roman"/>
        </w:rPr>
        <w:t>ern</w:t>
      </w:r>
      <w:r w:rsidR="004C1AFE">
        <w:rPr>
          <w:rFonts w:ascii="Times New Roman" w:hAnsi="Times New Roman" w:cs="Times New Roman"/>
        </w:rPr>
        <w:t xml:space="preserve"> </w:t>
      </w:r>
      <w:r w:rsidR="00DB5E64">
        <w:rPr>
          <w:rFonts w:ascii="Times New Roman" w:hAnsi="Times New Roman" w:cs="Times New Roman"/>
        </w:rPr>
        <w:t>edge</w:t>
      </w:r>
      <w:r w:rsidR="008D4E58">
        <w:rPr>
          <w:rFonts w:ascii="Times New Roman" w:hAnsi="Times New Roman" w:cs="Times New Roman"/>
        </w:rPr>
        <w:t xml:space="preserve"> of London across to Devon</w:t>
      </w:r>
      <w:r w:rsidR="00062437">
        <w:rPr>
          <w:rFonts w:ascii="Times New Roman" w:hAnsi="Times New Roman" w:cs="Times New Roman"/>
        </w:rPr>
        <w:t>. These</w:t>
      </w:r>
      <w:r w:rsidR="00380317">
        <w:rPr>
          <w:rFonts w:ascii="Times New Roman" w:hAnsi="Times New Roman" w:cs="Times New Roman"/>
        </w:rPr>
        <w:t xml:space="preserve"> </w:t>
      </w:r>
      <w:r w:rsidR="00F76E2D">
        <w:rPr>
          <w:rFonts w:ascii="Times New Roman" w:hAnsi="Times New Roman" w:cs="Times New Roman"/>
        </w:rPr>
        <w:t>tended</w:t>
      </w:r>
      <w:r w:rsidR="008D4E58">
        <w:rPr>
          <w:rFonts w:ascii="Times New Roman" w:hAnsi="Times New Roman" w:cs="Times New Roman"/>
        </w:rPr>
        <w:t xml:space="preserve"> </w:t>
      </w:r>
      <w:r w:rsidR="00F76E2D">
        <w:rPr>
          <w:rFonts w:ascii="Times New Roman" w:hAnsi="Times New Roman" w:cs="Times New Roman"/>
        </w:rPr>
        <w:t xml:space="preserve">to </w:t>
      </w:r>
      <w:r w:rsidR="00566FAD">
        <w:rPr>
          <w:rFonts w:ascii="Times New Roman" w:hAnsi="Times New Roman" w:cs="Times New Roman"/>
        </w:rPr>
        <w:t>be located in</w:t>
      </w:r>
      <w:r w:rsidR="00F76E2D">
        <w:rPr>
          <w:rFonts w:ascii="Times New Roman" w:hAnsi="Times New Roman" w:cs="Times New Roman"/>
        </w:rPr>
        <w:t xml:space="preserve"> areas </w:t>
      </w:r>
      <w:r w:rsidR="00D71383">
        <w:rPr>
          <w:rFonts w:ascii="Times New Roman" w:hAnsi="Times New Roman" w:cs="Times New Roman"/>
        </w:rPr>
        <w:t>where the Liberal Democrats were the main challenger to the Conservatives</w:t>
      </w:r>
      <w:r w:rsidR="00675C57">
        <w:rPr>
          <w:rFonts w:ascii="Times New Roman" w:hAnsi="Times New Roman" w:cs="Times New Roman"/>
        </w:rPr>
        <w:t xml:space="preserve"> (and </w:t>
      </w:r>
      <w:r w:rsidR="00F158B4">
        <w:rPr>
          <w:rFonts w:ascii="Times New Roman" w:hAnsi="Times New Roman" w:cs="Times New Roman"/>
        </w:rPr>
        <w:t>often</w:t>
      </w:r>
      <w:r w:rsidR="00675C57">
        <w:rPr>
          <w:rFonts w:ascii="Times New Roman" w:hAnsi="Times New Roman" w:cs="Times New Roman"/>
        </w:rPr>
        <w:t xml:space="preserve"> had historical </w:t>
      </w:r>
      <w:r w:rsidR="00062437">
        <w:rPr>
          <w:rFonts w:ascii="Times New Roman" w:hAnsi="Times New Roman" w:cs="Times New Roman"/>
        </w:rPr>
        <w:t xml:space="preserve">campaigning </w:t>
      </w:r>
      <w:r w:rsidR="00026149">
        <w:rPr>
          <w:rFonts w:ascii="Times New Roman" w:hAnsi="Times New Roman" w:cs="Times New Roman"/>
        </w:rPr>
        <w:t>roots</w:t>
      </w:r>
      <w:r w:rsidR="004D7720">
        <w:rPr>
          <w:rFonts w:ascii="Times New Roman" w:hAnsi="Times New Roman" w:cs="Times New Roman"/>
        </w:rPr>
        <w:t xml:space="preserve"> in constituencies</w:t>
      </w:r>
      <w:r w:rsidR="00675C57">
        <w:rPr>
          <w:rFonts w:ascii="Times New Roman" w:hAnsi="Times New Roman" w:cs="Times New Roman"/>
        </w:rPr>
        <w:t>)</w:t>
      </w:r>
      <w:r w:rsidR="00D71383">
        <w:rPr>
          <w:rFonts w:ascii="Times New Roman" w:hAnsi="Times New Roman" w:cs="Times New Roman"/>
        </w:rPr>
        <w:t xml:space="preserve">, and </w:t>
      </w:r>
      <w:r w:rsidR="0082748B">
        <w:rPr>
          <w:rFonts w:ascii="Times New Roman" w:hAnsi="Times New Roman" w:cs="Times New Roman"/>
        </w:rPr>
        <w:t>where</w:t>
      </w:r>
      <w:r w:rsidR="00D71383">
        <w:rPr>
          <w:rFonts w:ascii="Times New Roman" w:hAnsi="Times New Roman" w:cs="Times New Roman"/>
        </w:rPr>
        <w:t xml:space="preserve"> the anti-Conservative vote </w:t>
      </w:r>
      <w:r w:rsidR="00FA4620">
        <w:rPr>
          <w:rFonts w:ascii="Times New Roman" w:hAnsi="Times New Roman" w:cs="Times New Roman"/>
        </w:rPr>
        <w:t>seems to have aligned beh</w:t>
      </w:r>
      <w:r w:rsidR="00C844D1">
        <w:rPr>
          <w:rFonts w:ascii="Times New Roman" w:hAnsi="Times New Roman" w:cs="Times New Roman"/>
        </w:rPr>
        <w:t>ind the</w:t>
      </w:r>
      <w:r w:rsidR="002D79D9">
        <w:rPr>
          <w:rFonts w:ascii="Times New Roman" w:hAnsi="Times New Roman" w:cs="Times New Roman"/>
        </w:rPr>
        <w:t xml:space="preserve"> party</w:t>
      </w:r>
      <w:r w:rsidR="00C844D1">
        <w:rPr>
          <w:rFonts w:ascii="Times New Roman" w:hAnsi="Times New Roman" w:cs="Times New Roman"/>
        </w:rPr>
        <w:t>,</w:t>
      </w:r>
      <w:r w:rsidR="0082748B">
        <w:rPr>
          <w:rFonts w:ascii="Times New Roman" w:hAnsi="Times New Roman" w:cs="Times New Roman"/>
        </w:rPr>
        <w:t xml:space="preserve"> thus</w:t>
      </w:r>
      <w:r w:rsidR="00C844D1">
        <w:rPr>
          <w:rFonts w:ascii="Times New Roman" w:hAnsi="Times New Roman" w:cs="Times New Roman"/>
        </w:rPr>
        <w:t xml:space="preserve"> </w:t>
      </w:r>
      <w:r w:rsidR="000974B6">
        <w:rPr>
          <w:rFonts w:ascii="Times New Roman" w:hAnsi="Times New Roman" w:cs="Times New Roman"/>
        </w:rPr>
        <w:t>depressing</w:t>
      </w:r>
      <w:r w:rsidR="00C844D1">
        <w:rPr>
          <w:rFonts w:ascii="Times New Roman" w:hAnsi="Times New Roman" w:cs="Times New Roman"/>
        </w:rPr>
        <w:t xml:space="preserve"> Labour’s vote</w:t>
      </w:r>
      <w:r w:rsidR="0082748B">
        <w:rPr>
          <w:rFonts w:ascii="Times New Roman" w:hAnsi="Times New Roman" w:cs="Times New Roman"/>
        </w:rPr>
        <w:t xml:space="preserve"> share</w:t>
      </w:r>
      <w:r w:rsidR="0022616E">
        <w:rPr>
          <w:rFonts w:ascii="Times New Roman" w:hAnsi="Times New Roman" w:cs="Times New Roman"/>
        </w:rPr>
        <w:t xml:space="preserve"> below the level predicted</w:t>
      </w:r>
      <w:r w:rsidR="00C844D1">
        <w:rPr>
          <w:rFonts w:ascii="Times New Roman" w:hAnsi="Times New Roman" w:cs="Times New Roman"/>
        </w:rPr>
        <w:t xml:space="preserve">. </w:t>
      </w:r>
    </w:p>
    <w:p w14:paraId="715E937B" w14:textId="00358525" w:rsidR="00A550D5" w:rsidRDefault="006520BF" w:rsidP="000D5FEE">
      <w:pPr>
        <w:spacing w:after="120" w:line="480" w:lineRule="auto"/>
        <w:ind w:firstLine="720"/>
        <w:rPr>
          <w:rFonts w:ascii="Times New Roman" w:hAnsi="Times New Roman" w:cs="Times New Roman"/>
        </w:rPr>
      </w:pPr>
      <w:r>
        <w:rPr>
          <w:rFonts w:ascii="Times New Roman" w:hAnsi="Times New Roman" w:cs="Times New Roman"/>
        </w:rPr>
        <w:t>For the Conservative</w:t>
      </w:r>
      <w:r w:rsidR="00030D1B">
        <w:rPr>
          <w:rFonts w:ascii="Times New Roman" w:hAnsi="Times New Roman" w:cs="Times New Roman"/>
        </w:rPr>
        <w:t>s</w:t>
      </w:r>
      <w:r w:rsidR="001D2E64" w:rsidRPr="001D2E64">
        <w:rPr>
          <w:rFonts w:ascii="Times New Roman" w:hAnsi="Times New Roman" w:cs="Times New Roman"/>
        </w:rPr>
        <w:t xml:space="preserve">, </w:t>
      </w:r>
      <w:r w:rsidR="00A51335">
        <w:rPr>
          <w:rFonts w:ascii="Times New Roman" w:hAnsi="Times New Roman" w:cs="Times New Roman"/>
        </w:rPr>
        <w:t>their 2024 vote</w:t>
      </w:r>
      <w:r w:rsidR="00030D1B">
        <w:rPr>
          <w:rFonts w:ascii="Times New Roman" w:hAnsi="Times New Roman" w:cs="Times New Roman"/>
        </w:rPr>
        <w:t xml:space="preserve"> share</w:t>
      </w:r>
      <w:r w:rsidR="005768AD">
        <w:rPr>
          <w:rFonts w:ascii="Times New Roman" w:hAnsi="Times New Roman" w:cs="Times New Roman"/>
        </w:rPr>
        <w:t xml:space="preserve"> </w:t>
      </w:r>
      <w:r w:rsidR="000974B6">
        <w:rPr>
          <w:rFonts w:ascii="Times New Roman" w:hAnsi="Times New Roman" w:cs="Times New Roman"/>
        </w:rPr>
        <w:t>exceeded</w:t>
      </w:r>
      <w:r w:rsidR="001D2E64" w:rsidRPr="001D2E64">
        <w:rPr>
          <w:rFonts w:ascii="Times New Roman" w:hAnsi="Times New Roman" w:cs="Times New Roman"/>
        </w:rPr>
        <w:t xml:space="preserve"> </w:t>
      </w:r>
      <w:r w:rsidR="00E07531">
        <w:rPr>
          <w:rFonts w:ascii="Times New Roman" w:hAnsi="Times New Roman" w:cs="Times New Roman"/>
        </w:rPr>
        <w:t xml:space="preserve">model </w:t>
      </w:r>
      <w:r w:rsidR="008F3E12">
        <w:rPr>
          <w:rFonts w:ascii="Times New Roman" w:hAnsi="Times New Roman" w:cs="Times New Roman"/>
        </w:rPr>
        <w:t>predictions</w:t>
      </w:r>
      <w:r w:rsidR="00E07531">
        <w:rPr>
          <w:rFonts w:ascii="Times New Roman" w:hAnsi="Times New Roman" w:cs="Times New Roman"/>
        </w:rPr>
        <w:t xml:space="preserve"> in</w:t>
      </w:r>
      <w:r w:rsidR="00AB1F32">
        <w:rPr>
          <w:rFonts w:ascii="Times New Roman" w:hAnsi="Times New Roman" w:cs="Times New Roman"/>
        </w:rPr>
        <w:t xml:space="preserve"> a cluster of</w:t>
      </w:r>
      <w:r w:rsidR="00E07531">
        <w:rPr>
          <w:rFonts w:ascii="Times New Roman" w:hAnsi="Times New Roman" w:cs="Times New Roman"/>
        </w:rPr>
        <w:t xml:space="preserve"> constituencies</w:t>
      </w:r>
      <w:r w:rsidR="005768AD">
        <w:rPr>
          <w:rFonts w:ascii="Times New Roman" w:hAnsi="Times New Roman" w:cs="Times New Roman"/>
        </w:rPr>
        <w:t xml:space="preserve"> </w:t>
      </w:r>
      <w:r w:rsidR="001D2E64" w:rsidRPr="001D2E64">
        <w:rPr>
          <w:rFonts w:ascii="Times New Roman" w:hAnsi="Times New Roman" w:cs="Times New Roman"/>
        </w:rPr>
        <w:t>to the north of Birmingham, around towns and cities such as Walsall, Wolverhampton,</w:t>
      </w:r>
      <w:r w:rsidR="00567F44">
        <w:rPr>
          <w:rFonts w:ascii="Times New Roman" w:hAnsi="Times New Roman" w:cs="Times New Roman"/>
        </w:rPr>
        <w:t xml:space="preserve"> </w:t>
      </w:r>
      <w:r w:rsidR="00567F44">
        <w:rPr>
          <w:rFonts w:ascii="Times New Roman" w:hAnsi="Times New Roman" w:cs="Times New Roman"/>
        </w:rPr>
        <w:lastRenderedPageBreak/>
        <w:t>Stafford</w:t>
      </w:r>
      <w:r w:rsidR="001242E8">
        <w:rPr>
          <w:rFonts w:ascii="Times New Roman" w:hAnsi="Times New Roman" w:cs="Times New Roman"/>
        </w:rPr>
        <w:t>,</w:t>
      </w:r>
      <w:r w:rsidR="001D2E64" w:rsidRPr="001D2E64">
        <w:rPr>
          <w:rFonts w:ascii="Times New Roman" w:hAnsi="Times New Roman" w:cs="Times New Roman"/>
        </w:rPr>
        <w:t xml:space="preserve"> and Stoke-on-Trent</w:t>
      </w:r>
      <w:r w:rsidR="00D57E41">
        <w:rPr>
          <w:rFonts w:ascii="Times New Roman" w:hAnsi="Times New Roman" w:cs="Times New Roman"/>
        </w:rPr>
        <w:t>, as well as on Teesside</w:t>
      </w:r>
      <w:r w:rsidR="00096192">
        <w:rPr>
          <w:rFonts w:ascii="Times New Roman" w:hAnsi="Times New Roman" w:cs="Times New Roman"/>
        </w:rPr>
        <w:t xml:space="preserve"> (see Figure </w:t>
      </w:r>
      <w:r w:rsidR="004F4B97">
        <w:rPr>
          <w:rFonts w:ascii="Times New Roman" w:hAnsi="Times New Roman" w:cs="Times New Roman"/>
        </w:rPr>
        <w:t>3</w:t>
      </w:r>
      <w:r w:rsidR="00096192">
        <w:rPr>
          <w:rFonts w:ascii="Times New Roman" w:hAnsi="Times New Roman" w:cs="Times New Roman"/>
        </w:rPr>
        <w:t>)</w:t>
      </w:r>
      <w:r w:rsidR="001D2E64" w:rsidRPr="001D2E64">
        <w:rPr>
          <w:rFonts w:ascii="Times New Roman" w:hAnsi="Times New Roman" w:cs="Times New Roman"/>
        </w:rPr>
        <w:t xml:space="preserve">. </w:t>
      </w:r>
      <w:r w:rsidR="00DD089C">
        <w:rPr>
          <w:rFonts w:ascii="Times New Roman" w:hAnsi="Times New Roman" w:cs="Times New Roman"/>
        </w:rPr>
        <w:t xml:space="preserve">Across both general elections </w:t>
      </w:r>
      <w:r w:rsidR="001D2E64" w:rsidRPr="001D2E64">
        <w:rPr>
          <w:rFonts w:ascii="Times New Roman" w:hAnsi="Times New Roman" w:cs="Times New Roman"/>
        </w:rPr>
        <w:t xml:space="preserve">there </w:t>
      </w:r>
      <w:r w:rsidR="00DD089C">
        <w:rPr>
          <w:rFonts w:ascii="Times New Roman" w:hAnsi="Times New Roman" w:cs="Times New Roman"/>
        </w:rPr>
        <w:t>wa</w:t>
      </w:r>
      <w:r w:rsidR="001D2E64" w:rsidRPr="001D2E64">
        <w:rPr>
          <w:rFonts w:ascii="Times New Roman" w:hAnsi="Times New Roman" w:cs="Times New Roman"/>
        </w:rPr>
        <w:t xml:space="preserve">s a significant increase in clustering of </w:t>
      </w:r>
      <w:r w:rsidR="007312A5">
        <w:rPr>
          <w:rFonts w:ascii="Times New Roman" w:hAnsi="Times New Roman" w:cs="Times New Roman"/>
        </w:rPr>
        <w:t>‘</w:t>
      </w:r>
      <w:r w:rsidR="001D2E64" w:rsidRPr="001D2E64">
        <w:rPr>
          <w:rFonts w:ascii="Times New Roman" w:hAnsi="Times New Roman" w:cs="Times New Roman"/>
        </w:rPr>
        <w:t>High-High</w:t>
      </w:r>
      <w:r w:rsidR="007312A5">
        <w:rPr>
          <w:rFonts w:ascii="Times New Roman" w:hAnsi="Times New Roman" w:cs="Times New Roman"/>
        </w:rPr>
        <w:t>’</w:t>
      </w:r>
      <w:r w:rsidR="001D2E64" w:rsidRPr="001D2E64">
        <w:rPr>
          <w:rFonts w:ascii="Times New Roman" w:hAnsi="Times New Roman" w:cs="Times New Roman"/>
        </w:rPr>
        <w:t xml:space="preserve"> values across Lincolnshire</w:t>
      </w:r>
      <w:r w:rsidR="00224E3C">
        <w:rPr>
          <w:rFonts w:ascii="Times New Roman" w:hAnsi="Times New Roman" w:cs="Times New Roman"/>
        </w:rPr>
        <w:t xml:space="preserve"> – an area where the Conservative</w:t>
      </w:r>
      <w:r w:rsidR="007312A5">
        <w:rPr>
          <w:rFonts w:ascii="Times New Roman" w:hAnsi="Times New Roman" w:cs="Times New Roman"/>
        </w:rPr>
        <w:t xml:space="preserve"> Party’s</w:t>
      </w:r>
      <w:r w:rsidR="00224E3C">
        <w:rPr>
          <w:rFonts w:ascii="Times New Roman" w:hAnsi="Times New Roman" w:cs="Times New Roman"/>
        </w:rPr>
        <w:t xml:space="preserve"> vote h</w:t>
      </w:r>
      <w:r w:rsidR="00002EE7">
        <w:rPr>
          <w:rFonts w:ascii="Times New Roman" w:hAnsi="Times New Roman" w:cs="Times New Roman"/>
        </w:rPr>
        <w:t>as</w:t>
      </w:r>
      <w:r w:rsidR="007312A5">
        <w:rPr>
          <w:rFonts w:ascii="Times New Roman" w:hAnsi="Times New Roman" w:cs="Times New Roman"/>
        </w:rPr>
        <w:t xml:space="preserve"> historically</w:t>
      </w:r>
      <w:r w:rsidR="00002EE7">
        <w:rPr>
          <w:rFonts w:ascii="Times New Roman" w:hAnsi="Times New Roman" w:cs="Times New Roman"/>
        </w:rPr>
        <w:t xml:space="preserve"> tended to be substantially above that predicted by </w:t>
      </w:r>
      <w:r w:rsidR="00E07531">
        <w:rPr>
          <w:rFonts w:ascii="Times New Roman" w:hAnsi="Times New Roman" w:cs="Times New Roman"/>
        </w:rPr>
        <w:t>socio-demographics</w:t>
      </w:r>
      <w:r w:rsidR="00892972">
        <w:rPr>
          <w:rStyle w:val="FootnoteReference"/>
          <w:rFonts w:ascii="Times New Roman" w:hAnsi="Times New Roman" w:cs="Times New Roman"/>
        </w:rPr>
        <w:footnoteReference w:id="15"/>
      </w:r>
      <w:r w:rsidR="001B3F2C">
        <w:rPr>
          <w:rFonts w:ascii="Times New Roman" w:hAnsi="Times New Roman" w:cs="Times New Roman"/>
        </w:rPr>
        <w:t xml:space="preserve"> – though the</w:t>
      </w:r>
      <w:r w:rsidR="00B87F77">
        <w:rPr>
          <w:rFonts w:ascii="Times New Roman" w:hAnsi="Times New Roman" w:cs="Times New Roman"/>
        </w:rPr>
        <w:t xml:space="preserve"> geographical</w:t>
      </w:r>
      <w:r w:rsidR="001B3F2C">
        <w:rPr>
          <w:rFonts w:ascii="Times New Roman" w:hAnsi="Times New Roman" w:cs="Times New Roman"/>
        </w:rPr>
        <w:t xml:space="preserve"> area of over-performance contracted slightly</w:t>
      </w:r>
      <w:r w:rsidR="001D2E64" w:rsidRPr="001D2E64">
        <w:rPr>
          <w:rFonts w:ascii="Times New Roman" w:hAnsi="Times New Roman" w:cs="Times New Roman"/>
        </w:rPr>
        <w:t>.</w:t>
      </w:r>
      <w:r w:rsidR="00A550D5">
        <w:rPr>
          <w:rFonts w:ascii="Times New Roman" w:hAnsi="Times New Roman" w:cs="Times New Roman"/>
        </w:rPr>
        <w:t xml:space="preserve"> </w:t>
      </w:r>
      <w:r w:rsidR="00631CF7">
        <w:rPr>
          <w:rFonts w:ascii="Times New Roman" w:hAnsi="Times New Roman" w:cs="Times New Roman"/>
        </w:rPr>
        <w:t xml:space="preserve">Even in an election where the party </w:t>
      </w:r>
      <w:r w:rsidR="001B3F2C">
        <w:rPr>
          <w:rFonts w:ascii="Times New Roman" w:hAnsi="Times New Roman" w:cs="Times New Roman"/>
        </w:rPr>
        <w:t>suffered</w:t>
      </w:r>
      <w:r w:rsidR="00F56237">
        <w:rPr>
          <w:rFonts w:ascii="Times New Roman" w:hAnsi="Times New Roman" w:cs="Times New Roman"/>
        </w:rPr>
        <w:t xml:space="preserve"> </w:t>
      </w:r>
      <w:r w:rsidR="001B3F2C">
        <w:rPr>
          <w:rFonts w:ascii="Times New Roman" w:hAnsi="Times New Roman" w:cs="Times New Roman"/>
        </w:rPr>
        <w:t>extensive</w:t>
      </w:r>
      <w:r w:rsidR="00F56237">
        <w:rPr>
          <w:rFonts w:ascii="Times New Roman" w:hAnsi="Times New Roman" w:cs="Times New Roman"/>
        </w:rPr>
        <w:t xml:space="preserve"> losses, it</w:t>
      </w:r>
      <w:r w:rsidR="00A550D5">
        <w:rPr>
          <w:rFonts w:ascii="Times New Roman" w:hAnsi="Times New Roman" w:cs="Times New Roman"/>
        </w:rPr>
        <w:t>s areas of relative over-performance remained</w:t>
      </w:r>
      <w:r w:rsidR="009C3EA6">
        <w:rPr>
          <w:rFonts w:ascii="Times New Roman" w:hAnsi="Times New Roman" w:cs="Times New Roman"/>
        </w:rPr>
        <w:t xml:space="preserve"> largely</w:t>
      </w:r>
      <w:r w:rsidR="00A550D5">
        <w:rPr>
          <w:rFonts w:ascii="Times New Roman" w:hAnsi="Times New Roman" w:cs="Times New Roman"/>
        </w:rPr>
        <w:t xml:space="preserve"> consistent with those observed at the </w:t>
      </w:r>
      <w:r w:rsidR="00484169">
        <w:rPr>
          <w:rFonts w:ascii="Times New Roman" w:hAnsi="Times New Roman" w:cs="Times New Roman"/>
        </w:rPr>
        <w:t xml:space="preserve">previous </w:t>
      </w:r>
      <w:r w:rsidR="00A550D5">
        <w:rPr>
          <w:rFonts w:ascii="Times New Roman" w:hAnsi="Times New Roman" w:cs="Times New Roman"/>
        </w:rPr>
        <w:t>general election.</w:t>
      </w:r>
    </w:p>
    <w:p w14:paraId="44943C23" w14:textId="20417ED6" w:rsidR="00953BDC" w:rsidRPr="00A224EA" w:rsidRDefault="00953BDC" w:rsidP="000121FB">
      <w:pPr>
        <w:pStyle w:val="NormalWeb"/>
        <w:spacing w:before="0" w:beforeAutospacing="0"/>
        <w:rPr>
          <w:sz w:val="22"/>
          <w:szCs w:val="22"/>
        </w:rPr>
      </w:pPr>
      <w:r w:rsidRPr="00A224EA">
        <w:rPr>
          <w:b/>
          <w:bCs/>
          <w:sz w:val="22"/>
          <w:szCs w:val="22"/>
        </w:rPr>
        <w:t xml:space="preserve">Figure </w:t>
      </w:r>
      <w:r w:rsidR="001C51D9">
        <w:rPr>
          <w:b/>
          <w:bCs/>
          <w:sz w:val="22"/>
          <w:szCs w:val="22"/>
        </w:rPr>
        <w:t>2</w:t>
      </w:r>
      <w:r w:rsidRPr="00A224EA">
        <w:rPr>
          <w:b/>
          <w:bCs/>
          <w:sz w:val="22"/>
          <w:szCs w:val="22"/>
        </w:rPr>
        <w:t xml:space="preserve">. </w:t>
      </w:r>
      <w:r w:rsidRPr="00A224EA">
        <w:rPr>
          <w:sz w:val="22"/>
          <w:szCs w:val="22"/>
        </w:rPr>
        <w:t xml:space="preserve">LISA cluster map showing statistically significant clustering of standardised residuals (under- and over-performance) from the </w:t>
      </w:r>
      <w:r w:rsidR="00D22728">
        <w:rPr>
          <w:sz w:val="22"/>
          <w:szCs w:val="22"/>
        </w:rPr>
        <w:t xml:space="preserve">2019 and </w:t>
      </w:r>
      <w:r w:rsidRPr="00A224EA">
        <w:rPr>
          <w:sz w:val="22"/>
          <w:szCs w:val="22"/>
        </w:rPr>
        <w:t>2024 model</w:t>
      </w:r>
      <w:r w:rsidR="00D22728">
        <w:rPr>
          <w:sz w:val="22"/>
          <w:szCs w:val="22"/>
        </w:rPr>
        <w:t>s</w:t>
      </w:r>
      <w:r w:rsidRPr="00A224EA">
        <w:rPr>
          <w:sz w:val="22"/>
          <w:szCs w:val="22"/>
        </w:rPr>
        <w:t xml:space="preserve"> predicting Labour vote share</w:t>
      </w:r>
    </w:p>
    <w:p w14:paraId="6983CC66" w14:textId="78C19430" w:rsidR="00C132AA" w:rsidRDefault="004C30A6" w:rsidP="000D5FEE">
      <w:pPr>
        <w:pStyle w:val="NormalWeb"/>
        <w:spacing w:before="0" w:beforeAutospacing="0" w:after="0" w:afterAutospacing="0"/>
      </w:pPr>
      <w:r>
        <w:rPr>
          <w:sz w:val="22"/>
          <w:szCs w:val="22"/>
        </w:rPr>
        <w:t>(a) 2019</w:t>
      </w:r>
      <w:r>
        <w:rPr>
          <w:sz w:val="22"/>
          <w:szCs w:val="22"/>
        </w:rPr>
        <w:tab/>
      </w:r>
      <w:r>
        <w:rPr>
          <w:sz w:val="22"/>
          <w:szCs w:val="22"/>
        </w:rPr>
        <w:tab/>
      </w:r>
      <w:r>
        <w:rPr>
          <w:sz w:val="22"/>
          <w:szCs w:val="22"/>
        </w:rPr>
        <w:tab/>
      </w:r>
      <w:r>
        <w:rPr>
          <w:sz w:val="22"/>
          <w:szCs w:val="22"/>
        </w:rPr>
        <w:tab/>
      </w:r>
      <w:r>
        <w:rPr>
          <w:sz w:val="22"/>
          <w:szCs w:val="22"/>
        </w:rPr>
        <w:tab/>
        <w:t xml:space="preserve">   </w:t>
      </w:r>
      <w:proofErr w:type="gramStart"/>
      <w:r>
        <w:rPr>
          <w:sz w:val="22"/>
          <w:szCs w:val="22"/>
        </w:rPr>
        <w:t xml:space="preserve">   (</w:t>
      </w:r>
      <w:proofErr w:type="gramEnd"/>
      <w:r>
        <w:rPr>
          <w:sz w:val="22"/>
          <w:szCs w:val="22"/>
        </w:rPr>
        <w:t>b) 2024</w:t>
      </w:r>
    </w:p>
    <w:p w14:paraId="24898772" w14:textId="1F59B114" w:rsidR="00494BF0" w:rsidRPr="00494BF0" w:rsidRDefault="00C44D83" w:rsidP="00494BF0">
      <w:pPr>
        <w:pStyle w:val="NormalWeb"/>
        <w:spacing w:before="0" w:beforeAutospacing="0"/>
      </w:pPr>
      <w:r w:rsidRPr="00C44D83">
        <w:rPr>
          <w:b/>
          <w:bCs/>
          <w:noProof/>
        </w:rPr>
        <w:drawing>
          <wp:anchor distT="0" distB="0" distL="114300" distR="114300" simplePos="0" relativeHeight="251673600" behindDoc="0" locked="0" layoutInCell="1" allowOverlap="1" wp14:anchorId="7BF58B9A" wp14:editId="5E563303">
            <wp:simplePos x="0" y="0"/>
            <wp:positionH relativeFrom="column">
              <wp:posOffset>3041650</wp:posOffset>
            </wp:positionH>
            <wp:positionV relativeFrom="paragraph">
              <wp:posOffset>2540</wp:posOffset>
            </wp:positionV>
            <wp:extent cx="3037840" cy="5399405"/>
            <wp:effectExtent l="0" t="0" r="0" b="0"/>
            <wp:wrapNone/>
            <wp:docPr id="891000870" name="Picture 9" descr="A map of england with different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000870" name="Picture 9" descr="A map of england with different state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37840" cy="5399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4BF0" w:rsidRPr="00494BF0">
        <w:rPr>
          <w:noProof/>
        </w:rPr>
        <w:drawing>
          <wp:anchor distT="0" distB="0" distL="114300" distR="114300" simplePos="0" relativeHeight="251672576" behindDoc="0" locked="0" layoutInCell="1" allowOverlap="1" wp14:anchorId="0C9AAA72" wp14:editId="3B0A04BB">
            <wp:simplePos x="0" y="0"/>
            <wp:positionH relativeFrom="margin">
              <wp:align>left</wp:align>
            </wp:positionH>
            <wp:positionV relativeFrom="paragraph">
              <wp:posOffset>19685</wp:posOffset>
            </wp:positionV>
            <wp:extent cx="3038400" cy="5400000"/>
            <wp:effectExtent l="0" t="0" r="0" b="0"/>
            <wp:wrapNone/>
            <wp:docPr id="1131671037" name="Picture 7" descr="A map of england with different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671037" name="Picture 7" descr="A map of england with different state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38400" cy="54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A0D76D" w14:textId="29683F86" w:rsidR="00C132AA" w:rsidRDefault="00C132AA" w:rsidP="000D5FEE">
      <w:pPr>
        <w:pStyle w:val="NormalWeb"/>
        <w:spacing w:before="0" w:beforeAutospacing="0"/>
      </w:pPr>
    </w:p>
    <w:p w14:paraId="3DEB2FEB" w14:textId="4230004C" w:rsidR="007D6948" w:rsidRDefault="007D6948" w:rsidP="007D6948">
      <w:pPr>
        <w:pStyle w:val="NormalWeb"/>
      </w:pPr>
    </w:p>
    <w:p w14:paraId="029A3287" w14:textId="3F9ECA94" w:rsidR="007D6948" w:rsidRDefault="007D6948" w:rsidP="007D6948">
      <w:pPr>
        <w:rPr>
          <w:rFonts w:ascii="Times New Roman" w:hAnsi="Times New Roman" w:cs="Times New Roman"/>
        </w:rPr>
      </w:pPr>
    </w:p>
    <w:p w14:paraId="59AC3E88" w14:textId="101529E3" w:rsidR="007B2009" w:rsidRDefault="007B2009">
      <w:pPr>
        <w:rPr>
          <w:rFonts w:ascii="Times New Roman" w:hAnsi="Times New Roman" w:cs="Times New Roman"/>
          <w:u w:val="single"/>
        </w:rPr>
      </w:pPr>
    </w:p>
    <w:p w14:paraId="15F989B6" w14:textId="08EAAC97" w:rsidR="00C44D83" w:rsidRPr="00C44D83" w:rsidRDefault="00C25C5A" w:rsidP="00C44D83">
      <w:pPr>
        <w:pStyle w:val="NormalWeb"/>
        <w:rPr>
          <w:b/>
          <w:bCs/>
        </w:rPr>
      </w:pPr>
      <w:r>
        <w:rPr>
          <w:b/>
          <w:bCs/>
        </w:rPr>
        <w:br w:type="page"/>
      </w:r>
    </w:p>
    <w:p w14:paraId="1634280D" w14:textId="0BAB9989" w:rsidR="00B87F77" w:rsidRDefault="00B87F77" w:rsidP="000121FB">
      <w:pPr>
        <w:pStyle w:val="NormalWeb"/>
        <w:spacing w:before="0" w:beforeAutospacing="0"/>
        <w:rPr>
          <w:sz w:val="22"/>
          <w:szCs w:val="22"/>
        </w:rPr>
      </w:pPr>
      <w:r w:rsidRPr="00A224EA">
        <w:rPr>
          <w:b/>
          <w:bCs/>
          <w:sz w:val="22"/>
          <w:szCs w:val="22"/>
        </w:rPr>
        <w:lastRenderedPageBreak/>
        <w:t xml:space="preserve">Figure </w:t>
      </w:r>
      <w:r w:rsidR="000533A4">
        <w:rPr>
          <w:b/>
          <w:bCs/>
          <w:sz w:val="22"/>
          <w:szCs w:val="22"/>
        </w:rPr>
        <w:t>3</w:t>
      </w:r>
      <w:r w:rsidRPr="00A224EA">
        <w:rPr>
          <w:b/>
          <w:bCs/>
          <w:sz w:val="22"/>
          <w:szCs w:val="22"/>
        </w:rPr>
        <w:t xml:space="preserve">. </w:t>
      </w:r>
      <w:r w:rsidRPr="00A224EA">
        <w:rPr>
          <w:sz w:val="22"/>
          <w:szCs w:val="22"/>
        </w:rPr>
        <w:t>LISA cluster map showing statistically significant clustering of standardised residuals (under- and over-performance) from the</w:t>
      </w:r>
      <w:r>
        <w:rPr>
          <w:sz w:val="22"/>
          <w:szCs w:val="22"/>
        </w:rPr>
        <w:t xml:space="preserve"> 2019 and</w:t>
      </w:r>
      <w:r w:rsidRPr="00A224EA">
        <w:rPr>
          <w:sz w:val="22"/>
          <w:szCs w:val="22"/>
        </w:rPr>
        <w:t xml:space="preserve"> 2024 model</w:t>
      </w:r>
      <w:r>
        <w:rPr>
          <w:sz w:val="22"/>
          <w:szCs w:val="22"/>
        </w:rPr>
        <w:t>s</w:t>
      </w:r>
      <w:r w:rsidRPr="00A224EA">
        <w:rPr>
          <w:sz w:val="22"/>
          <w:szCs w:val="22"/>
        </w:rPr>
        <w:t xml:space="preserve"> predicting Conservative vote share</w:t>
      </w:r>
    </w:p>
    <w:p w14:paraId="69F139F6" w14:textId="367649C8" w:rsidR="00B87F77" w:rsidRPr="00A224EA" w:rsidRDefault="004F4501" w:rsidP="00B87F77">
      <w:pPr>
        <w:pStyle w:val="NormalWeb"/>
        <w:rPr>
          <w:sz w:val="22"/>
          <w:szCs w:val="22"/>
        </w:rPr>
      </w:pPr>
      <w:r w:rsidRPr="004F4501">
        <w:rPr>
          <w:noProof/>
        </w:rPr>
        <w:drawing>
          <wp:anchor distT="0" distB="0" distL="114300" distR="114300" simplePos="0" relativeHeight="251675648" behindDoc="0" locked="0" layoutInCell="1" allowOverlap="1" wp14:anchorId="658DA7D4" wp14:editId="11A84D40">
            <wp:simplePos x="0" y="0"/>
            <wp:positionH relativeFrom="column">
              <wp:posOffset>2980690</wp:posOffset>
            </wp:positionH>
            <wp:positionV relativeFrom="paragraph">
              <wp:posOffset>186055</wp:posOffset>
            </wp:positionV>
            <wp:extent cx="3038400" cy="5400000"/>
            <wp:effectExtent l="0" t="0" r="0" b="0"/>
            <wp:wrapNone/>
            <wp:docPr id="1378491581" name="Picture 13" descr="A map of england with different colored are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91581" name="Picture 13" descr="A map of england with different colored area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38400" cy="54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00B1" w:rsidRPr="003300B1">
        <w:rPr>
          <w:noProof/>
        </w:rPr>
        <w:drawing>
          <wp:anchor distT="0" distB="0" distL="114300" distR="114300" simplePos="0" relativeHeight="251674624" behindDoc="0" locked="0" layoutInCell="1" allowOverlap="1" wp14:anchorId="085DAA26" wp14:editId="34AB5891">
            <wp:simplePos x="0" y="0"/>
            <wp:positionH relativeFrom="column">
              <wp:posOffset>-57150</wp:posOffset>
            </wp:positionH>
            <wp:positionV relativeFrom="paragraph">
              <wp:posOffset>186055</wp:posOffset>
            </wp:positionV>
            <wp:extent cx="3038400" cy="5400000"/>
            <wp:effectExtent l="0" t="0" r="0" b="0"/>
            <wp:wrapNone/>
            <wp:docPr id="734755148" name="Picture 11" descr="A map of england with different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55148" name="Picture 11" descr="A map of england with different stat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38400" cy="54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7F77">
        <w:rPr>
          <w:sz w:val="22"/>
          <w:szCs w:val="22"/>
        </w:rPr>
        <w:t>(a) 2019</w:t>
      </w:r>
      <w:r w:rsidR="00B87F77">
        <w:rPr>
          <w:sz w:val="22"/>
          <w:szCs w:val="22"/>
        </w:rPr>
        <w:tab/>
      </w:r>
      <w:r w:rsidR="00B87F77">
        <w:rPr>
          <w:sz w:val="22"/>
          <w:szCs w:val="22"/>
        </w:rPr>
        <w:tab/>
      </w:r>
      <w:r w:rsidR="00B87F77">
        <w:rPr>
          <w:sz w:val="22"/>
          <w:szCs w:val="22"/>
        </w:rPr>
        <w:tab/>
      </w:r>
      <w:r w:rsidR="00B87F77">
        <w:rPr>
          <w:sz w:val="22"/>
          <w:szCs w:val="22"/>
        </w:rPr>
        <w:tab/>
      </w:r>
      <w:r w:rsidR="00B87F77">
        <w:rPr>
          <w:sz w:val="22"/>
          <w:szCs w:val="22"/>
        </w:rPr>
        <w:tab/>
        <w:t xml:space="preserve">   </w:t>
      </w:r>
      <w:proofErr w:type="gramStart"/>
      <w:r w:rsidR="00B87F77">
        <w:rPr>
          <w:sz w:val="22"/>
          <w:szCs w:val="22"/>
        </w:rPr>
        <w:t xml:space="preserve">   (</w:t>
      </w:r>
      <w:proofErr w:type="gramEnd"/>
      <w:r w:rsidR="00B87F77">
        <w:rPr>
          <w:sz w:val="22"/>
          <w:szCs w:val="22"/>
        </w:rPr>
        <w:t>b) 2024</w:t>
      </w:r>
    </w:p>
    <w:p w14:paraId="066C534D" w14:textId="52C04DD2" w:rsidR="004F4501" w:rsidRPr="004F4501" w:rsidRDefault="00B87F77" w:rsidP="004F4501">
      <w:pPr>
        <w:pStyle w:val="NormalWeb"/>
        <w:rPr>
          <w:noProof/>
        </w:rPr>
      </w:pPr>
      <w:r>
        <w:rPr>
          <w:noProof/>
        </w:rPr>
        <w:t xml:space="preserve"> </w:t>
      </w:r>
    </w:p>
    <w:p w14:paraId="0C5516BA" w14:textId="04C457F0" w:rsidR="003300B1" w:rsidRPr="003300B1" w:rsidRDefault="003300B1" w:rsidP="003300B1">
      <w:pPr>
        <w:pStyle w:val="NormalWeb"/>
        <w:rPr>
          <w:noProof/>
        </w:rPr>
      </w:pPr>
    </w:p>
    <w:p w14:paraId="664977E5" w14:textId="37558369" w:rsidR="00B87F77" w:rsidRDefault="00B87F77" w:rsidP="001F49EA">
      <w:pPr>
        <w:pStyle w:val="NormalWeb"/>
      </w:pPr>
    </w:p>
    <w:p w14:paraId="192CBDA6" w14:textId="77777777" w:rsidR="00F85F0F" w:rsidRDefault="00F85F0F" w:rsidP="00F85F0F"/>
    <w:p w14:paraId="59D6BBA1" w14:textId="77777777" w:rsidR="00F85F0F" w:rsidRDefault="00F85F0F" w:rsidP="00F85F0F"/>
    <w:p w14:paraId="0D8DD332" w14:textId="77777777" w:rsidR="00F85F0F" w:rsidRDefault="00F85F0F" w:rsidP="00F85F0F"/>
    <w:p w14:paraId="392A62FF" w14:textId="77777777" w:rsidR="00F85F0F" w:rsidRDefault="00F85F0F" w:rsidP="00F85F0F"/>
    <w:p w14:paraId="5CB82FF7" w14:textId="77777777" w:rsidR="00F85F0F" w:rsidRDefault="00F85F0F" w:rsidP="00F85F0F"/>
    <w:p w14:paraId="3B5B02D7" w14:textId="77777777" w:rsidR="00F85F0F" w:rsidRDefault="00F85F0F" w:rsidP="00F85F0F"/>
    <w:p w14:paraId="7491AE3F" w14:textId="77777777" w:rsidR="00F85F0F" w:rsidRDefault="00F85F0F" w:rsidP="00F85F0F"/>
    <w:p w14:paraId="2B3FA16A" w14:textId="77777777" w:rsidR="00F85F0F" w:rsidRDefault="00F85F0F" w:rsidP="00F85F0F"/>
    <w:p w14:paraId="43621E3E" w14:textId="77777777" w:rsidR="00F85F0F" w:rsidRDefault="00F85F0F" w:rsidP="00F85F0F"/>
    <w:p w14:paraId="735A5E3A" w14:textId="77777777" w:rsidR="00F85F0F" w:rsidRDefault="00F85F0F" w:rsidP="00F85F0F"/>
    <w:p w14:paraId="11233D99" w14:textId="77777777" w:rsidR="00F85F0F" w:rsidRDefault="00F85F0F" w:rsidP="00F85F0F"/>
    <w:p w14:paraId="3C9A731F" w14:textId="77777777" w:rsidR="00F85F0F" w:rsidRDefault="00F85F0F" w:rsidP="00F85F0F"/>
    <w:p w14:paraId="725FE5E4" w14:textId="77777777" w:rsidR="00F85F0F" w:rsidRDefault="00F85F0F" w:rsidP="00F85F0F"/>
    <w:p w14:paraId="6DD208F7" w14:textId="77777777" w:rsidR="00F85F0F" w:rsidRDefault="00F85F0F" w:rsidP="00F85F0F"/>
    <w:p w14:paraId="26F7CBAE" w14:textId="77777777" w:rsidR="00F85F0F" w:rsidRDefault="00F85F0F" w:rsidP="008B532B">
      <w:pPr>
        <w:spacing w:after="0"/>
      </w:pPr>
    </w:p>
    <w:p w14:paraId="45AF05F9" w14:textId="1839D634" w:rsidR="00A6349C" w:rsidRPr="00F85F0F" w:rsidRDefault="00F167F1" w:rsidP="00F85F0F">
      <w:r w:rsidRPr="00F167F1">
        <w:rPr>
          <w:rFonts w:ascii="Times New Roman" w:hAnsi="Times New Roman" w:cs="Times New Roman"/>
          <w:b/>
          <w:bCs/>
        </w:rPr>
        <w:t>A fragmented electoral map</w:t>
      </w:r>
    </w:p>
    <w:p w14:paraId="266B27BD" w14:textId="5EDCD5B8" w:rsidR="00684520" w:rsidRDefault="00FC28BA" w:rsidP="00A6349C">
      <w:pPr>
        <w:spacing w:after="0" w:line="480" w:lineRule="auto"/>
        <w:ind w:firstLine="720"/>
        <w:rPr>
          <w:rFonts w:ascii="Times New Roman" w:hAnsi="Times New Roman" w:cs="Times New Roman"/>
        </w:rPr>
      </w:pPr>
      <w:r>
        <w:rPr>
          <w:rFonts w:ascii="Times New Roman" w:hAnsi="Times New Roman" w:cs="Times New Roman"/>
        </w:rPr>
        <w:t>Based on the evidence presented t</w:t>
      </w:r>
      <w:r w:rsidR="004046CF">
        <w:rPr>
          <w:rFonts w:ascii="Times New Roman" w:hAnsi="Times New Roman" w:cs="Times New Roman"/>
        </w:rPr>
        <w:t xml:space="preserve">o this point, the underlying geography of Conservative and Labour </w:t>
      </w:r>
      <w:r w:rsidR="00467794">
        <w:rPr>
          <w:rFonts w:ascii="Times New Roman" w:hAnsi="Times New Roman" w:cs="Times New Roman"/>
        </w:rPr>
        <w:t xml:space="preserve">electoral </w:t>
      </w:r>
      <w:r w:rsidR="004046CF">
        <w:rPr>
          <w:rFonts w:ascii="Times New Roman" w:hAnsi="Times New Roman" w:cs="Times New Roman"/>
        </w:rPr>
        <w:t>support</w:t>
      </w:r>
      <w:r w:rsidR="00D11A3F">
        <w:rPr>
          <w:rFonts w:ascii="Times New Roman" w:hAnsi="Times New Roman" w:cs="Times New Roman"/>
        </w:rPr>
        <w:t xml:space="preserve"> </w:t>
      </w:r>
      <w:r w:rsidR="00830F96">
        <w:rPr>
          <w:rFonts w:ascii="Times New Roman" w:hAnsi="Times New Roman" w:cs="Times New Roman"/>
        </w:rPr>
        <w:t xml:space="preserve">might </w:t>
      </w:r>
      <w:r w:rsidR="00D07143">
        <w:rPr>
          <w:rFonts w:ascii="Times New Roman" w:hAnsi="Times New Roman" w:cs="Times New Roman"/>
        </w:rPr>
        <w:t xml:space="preserve">– despite the large swing against the government – </w:t>
      </w:r>
      <w:r w:rsidR="00D11A3F">
        <w:rPr>
          <w:rFonts w:ascii="Times New Roman" w:hAnsi="Times New Roman" w:cs="Times New Roman"/>
        </w:rPr>
        <w:t>appear</w:t>
      </w:r>
      <w:r w:rsidR="00D07143">
        <w:rPr>
          <w:rFonts w:ascii="Times New Roman" w:hAnsi="Times New Roman" w:cs="Times New Roman"/>
        </w:rPr>
        <w:t xml:space="preserve"> </w:t>
      </w:r>
      <w:r w:rsidR="00D11A3F">
        <w:rPr>
          <w:rFonts w:ascii="Times New Roman" w:hAnsi="Times New Roman" w:cs="Times New Roman"/>
        </w:rPr>
        <w:t>to have</w:t>
      </w:r>
      <w:r w:rsidR="004046CF">
        <w:rPr>
          <w:rFonts w:ascii="Times New Roman" w:hAnsi="Times New Roman" w:cs="Times New Roman"/>
        </w:rPr>
        <w:t xml:space="preserve"> </w:t>
      </w:r>
      <w:r w:rsidR="00CE1CEB">
        <w:rPr>
          <w:rFonts w:ascii="Times New Roman" w:hAnsi="Times New Roman" w:cs="Times New Roman"/>
        </w:rPr>
        <w:t xml:space="preserve">remained </w:t>
      </w:r>
      <w:r w:rsidR="0009268C">
        <w:rPr>
          <w:rFonts w:ascii="Times New Roman" w:hAnsi="Times New Roman" w:cs="Times New Roman"/>
        </w:rPr>
        <w:t>largely</w:t>
      </w:r>
      <w:r w:rsidR="00CE1CEB">
        <w:rPr>
          <w:rFonts w:ascii="Times New Roman" w:hAnsi="Times New Roman" w:cs="Times New Roman"/>
        </w:rPr>
        <w:t xml:space="preserve"> stable between 2019 and 2024</w:t>
      </w:r>
      <w:r w:rsidR="00D11A3F">
        <w:rPr>
          <w:rFonts w:ascii="Times New Roman" w:hAnsi="Times New Roman" w:cs="Times New Roman"/>
        </w:rPr>
        <w:t>,</w:t>
      </w:r>
      <w:r w:rsidR="00CE1CEB">
        <w:rPr>
          <w:rFonts w:ascii="Times New Roman" w:hAnsi="Times New Roman" w:cs="Times New Roman"/>
        </w:rPr>
        <w:t xml:space="preserve"> </w:t>
      </w:r>
      <w:r w:rsidR="007F2C0E">
        <w:rPr>
          <w:rFonts w:ascii="Times New Roman" w:hAnsi="Times New Roman" w:cs="Times New Roman"/>
        </w:rPr>
        <w:t xml:space="preserve">reflecting </w:t>
      </w:r>
      <w:r w:rsidR="00563A46">
        <w:rPr>
          <w:rFonts w:ascii="Times New Roman" w:hAnsi="Times New Roman" w:cs="Times New Roman"/>
        </w:rPr>
        <w:t>long-term trends</w:t>
      </w:r>
      <w:r w:rsidR="00C82D41">
        <w:rPr>
          <w:rFonts w:ascii="Times New Roman" w:hAnsi="Times New Roman" w:cs="Times New Roman"/>
        </w:rPr>
        <w:t xml:space="preserve"> in</w:t>
      </w:r>
      <w:r w:rsidR="00CE1CEB">
        <w:rPr>
          <w:rFonts w:ascii="Times New Roman" w:hAnsi="Times New Roman" w:cs="Times New Roman"/>
        </w:rPr>
        <w:t xml:space="preserve"> </w:t>
      </w:r>
      <w:r w:rsidR="00852EDD">
        <w:rPr>
          <w:rFonts w:ascii="Times New Roman" w:hAnsi="Times New Roman" w:cs="Times New Roman"/>
        </w:rPr>
        <w:t xml:space="preserve">the correspondence </w:t>
      </w:r>
      <w:r w:rsidR="00C82D41">
        <w:rPr>
          <w:rFonts w:ascii="Times New Roman" w:hAnsi="Times New Roman" w:cs="Times New Roman"/>
        </w:rPr>
        <w:t>between</w:t>
      </w:r>
      <w:r w:rsidR="00852EDD">
        <w:rPr>
          <w:rFonts w:ascii="Times New Roman" w:hAnsi="Times New Roman" w:cs="Times New Roman"/>
        </w:rPr>
        <w:t xml:space="preserve"> the socio-demograph</w:t>
      </w:r>
      <w:r>
        <w:rPr>
          <w:rFonts w:ascii="Times New Roman" w:hAnsi="Times New Roman" w:cs="Times New Roman"/>
        </w:rPr>
        <w:t xml:space="preserve">ic </w:t>
      </w:r>
      <w:r w:rsidR="00983839">
        <w:rPr>
          <w:rFonts w:ascii="Times New Roman" w:hAnsi="Times New Roman" w:cs="Times New Roman"/>
        </w:rPr>
        <w:t>composition</w:t>
      </w:r>
      <w:r w:rsidR="00852EDD">
        <w:rPr>
          <w:rFonts w:ascii="Times New Roman" w:hAnsi="Times New Roman" w:cs="Times New Roman"/>
        </w:rPr>
        <w:t xml:space="preserve"> of places and party vote share</w:t>
      </w:r>
      <w:r w:rsidR="00563A46">
        <w:rPr>
          <w:rFonts w:ascii="Times New Roman" w:hAnsi="Times New Roman" w:cs="Times New Roman"/>
        </w:rPr>
        <w:t>.</w:t>
      </w:r>
      <w:r w:rsidR="008230BE">
        <w:rPr>
          <w:rFonts w:ascii="Times New Roman" w:hAnsi="Times New Roman" w:cs="Times New Roman"/>
        </w:rPr>
        <w:t xml:space="preserve"> Similarly</w:t>
      </w:r>
      <w:r w:rsidR="00067041">
        <w:rPr>
          <w:rFonts w:ascii="Times New Roman" w:hAnsi="Times New Roman" w:cs="Times New Roman"/>
        </w:rPr>
        <w:t>,</w:t>
      </w:r>
      <w:r w:rsidR="008230BE">
        <w:rPr>
          <w:rFonts w:ascii="Times New Roman" w:hAnsi="Times New Roman" w:cs="Times New Roman"/>
        </w:rPr>
        <w:t xml:space="preserve"> </w:t>
      </w:r>
      <w:r w:rsidR="00C82D41">
        <w:rPr>
          <w:rFonts w:ascii="Times New Roman" w:hAnsi="Times New Roman" w:cs="Times New Roman"/>
        </w:rPr>
        <w:t>the geographic</w:t>
      </w:r>
      <w:r w:rsidR="0020103C">
        <w:rPr>
          <w:rFonts w:ascii="Times New Roman" w:hAnsi="Times New Roman" w:cs="Times New Roman"/>
        </w:rPr>
        <w:t>al</w:t>
      </w:r>
      <w:r w:rsidR="00C82D41">
        <w:rPr>
          <w:rFonts w:ascii="Times New Roman" w:hAnsi="Times New Roman" w:cs="Times New Roman"/>
        </w:rPr>
        <w:t xml:space="preserve"> pattern of under- and over-perfor</w:t>
      </w:r>
      <w:r w:rsidR="004664DC">
        <w:rPr>
          <w:rFonts w:ascii="Times New Roman" w:hAnsi="Times New Roman" w:cs="Times New Roman"/>
        </w:rPr>
        <w:t xml:space="preserve">mance </w:t>
      </w:r>
      <w:r w:rsidR="004668D0">
        <w:rPr>
          <w:rFonts w:ascii="Times New Roman" w:hAnsi="Times New Roman" w:cs="Times New Roman"/>
        </w:rPr>
        <w:t>against</w:t>
      </w:r>
      <w:r w:rsidR="004664DC">
        <w:rPr>
          <w:rFonts w:ascii="Times New Roman" w:hAnsi="Times New Roman" w:cs="Times New Roman"/>
        </w:rPr>
        <w:t xml:space="preserve"> </w:t>
      </w:r>
      <w:r w:rsidR="000D7093">
        <w:rPr>
          <w:rFonts w:ascii="Times New Roman" w:hAnsi="Times New Roman" w:cs="Times New Roman"/>
        </w:rPr>
        <w:t>predictions</w:t>
      </w:r>
      <w:r w:rsidR="008230BE">
        <w:rPr>
          <w:rFonts w:ascii="Times New Roman" w:hAnsi="Times New Roman" w:cs="Times New Roman"/>
        </w:rPr>
        <w:t xml:space="preserve"> was characterised by relative continuity </w:t>
      </w:r>
      <w:r w:rsidR="00772FD4">
        <w:rPr>
          <w:rFonts w:ascii="Times New Roman" w:hAnsi="Times New Roman" w:cs="Times New Roman"/>
        </w:rPr>
        <w:t>despite</w:t>
      </w:r>
      <w:r w:rsidR="008230BE">
        <w:rPr>
          <w:rFonts w:ascii="Times New Roman" w:hAnsi="Times New Roman" w:cs="Times New Roman"/>
        </w:rPr>
        <w:t xml:space="preserve"> the very different outcomes</w:t>
      </w:r>
      <w:r w:rsidR="00067041">
        <w:rPr>
          <w:rFonts w:ascii="Times New Roman" w:hAnsi="Times New Roman" w:cs="Times New Roman"/>
        </w:rPr>
        <w:t xml:space="preserve"> of the two elections</w:t>
      </w:r>
      <w:r w:rsidR="000D7093">
        <w:rPr>
          <w:rFonts w:ascii="Times New Roman" w:hAnsi="Times New Roman" w:cs="Times New Roman"/>
        </w:rPr>
        <w:t>.</w:t>
      </w:r>
      <w:r w:rsidR="00C87E57">
        <w:rPr>
          <w:rFonts w:ascii="Times New Roman" w:hAnsi="Times New Roman" w:cs="Times New Roman"/>
        </w:rPr>
        <w:t xml:space="preserve"> The most notable shift in electoral geography </w:t>
      </w:r>
      <w:r w:rsidR="00467794">
        <w:rPr>
          <w:rFonts w:ascii="Times New Roman" w:hAnsi="Times New Roman" w:cs="Times New Roman"/>
        </w:rPr>
        <w:t xml:space="preserve">at </w:t>
      </w:r>
      <w:r w:rsidR="00C87E57">
        <w:rPr>
          <w:rFonts w:ascii="Times New Roman" w:hAnsi="Times New Roman" w:cs="Times New Roman"/>
        </w:rPr>
        <w:t xml:space="preserve">the 2024 general election </w:t>
      </w:r>
      <w:r w:rsidR="00962A34">
        <w:rPr>
          <w:rFonts w:ascii="Times New Roman" w:hAnsi="Times New Roman" w:cs="Times New Roman"/>
        </w:rPr>
        <w:t xml:space="preserve">arguably </w:t>
      </w:r>
      <w:r w:rsidR="00C87E57">
        <w:rPr>
          <w:rFonts w:ascii="Times New Roman" w:hAnsi="Times New Roman" w:cs="Times New Roman"/>
        </w:rPr>
        <w:t xml:space="preserve">relates to </w:t>
      </w:r>
      <w:r w:rsidR="00684520">
        <w:rPr>
          <w:rFonts w:ascii="Times New Roman" w:hAnsi="Times New Roman" w:cs="Times New Roman"/>
        </w:rPr>
        <w:t xml:space="preserve">the </w:t>
      </w:r>
      <w:r w:rsidR="00772FD4">
        <w:rPr>
          <w:rFonts w:ascii="Times New Roman" w:hAnsi="Times New Roman" w:cs="Times New Roman"/>
        </w:rPr>
        <w:t>increased</w:t>
      </w:r>
      <w:r w:rsidR="00684520">
        <w:rPr>
          <w:rFonts w:ascii="Times New Roman" w:hAnsi="Times New Roman" w:cs="Times New Roman"/>
        </w:rPr>
        <w:t xml:space="preserve"> fragmentation of electoral competition.</w:t>
      </w:r>
      <w:r w:rsidR="000D7093">
        <w:rPr>
          <w:rFonts w:ascii="Times New Roman" w:hAnsi="Times New Roman" w:cs="Times New Roman"/>
        </w:rPr>
        <w:t xml:space="preserve"> </w:t>
      </w:r>
    </w:p>
    <w:p w14:paraId="7DD225A3" w14:textId="36E2C19F" w:rsidR="003A61A6" w:rsidRDefault="00A6349C" w:rsidP="00A6349C">
      <w:pPr>
        <w:spacing w:after="0" w:line="480" w:lineRule="auto"/>
        <w:ind w:firstLine="720"/>
        <w:rPr>
          <w:rFonts w:ascii="Times New Roman" w:hAnsi="Times New Roman" w:cs="Times New Roman"/>
        </w:rPr>
      </w:pPr>
      <w:r w:rsidRPr="00A6349C">
        <w:rPr>
          <w:rFonts w:ascii="Times New Roman" w:hAnsi="Times New Roman" w:cs="Times New Roman"/>
        </w:rPr>
        <w:lastRenderedPageBreak/>
        <w:t>The ‘effective number of</w:t>
      </w:r>
      <w:r w:rsidR="00A31359">
        <w:rPr>
          <w:rFonts w:ascii="Times New Roman" w:hAnsi="Times New Roman" w:cs="Times New Roman"/>
        </w:rPr>
        <w:t xml:space="preserve"> electoral</w:t>
      </w:r>
      <w:r w:rsidRPr="00A6349C">
        <w:rPr>
          <w:rFonts w:ascii="Times New Roman" w:hAnsi="Times New Roman" w:cs="Times New Roman"/>
        </w:rPr>
        <w:t xml:space="preserve"> parties’ (ENP)</w:t>
      </w:r>
      <w:r w:rsidR="00EF6B61">
        <w:rPr>
          <w:rStyle w:val="FootnoteReference"/>
          <w:rFonts w:ascii="Times New Roman" w:hAnsi="Times New Roman" w:cs="Times New Roman"/>
        </w:rPr>
        <w:footnoteReference w:id="16"/>
      </w:r>
      <w:r w:rsidRPr="00A6349C">
        <w:rPr>
          <w:rFonts w:ascii="Times New Roman" w:hAnsi="Times New Roman" w:cs="Times New Roman"/>
        </w:rPr>
        <w:t xml:space="preserve"> </w:t>
      </w:r>
      <w:r w:rsidR="001B4A9B">
        <w:rPr>
          <w:rFonts w:ascii="Times New Roman" w:hAnsi="Times New Roman" w:cs="Times New Roman"/>
        </w:rPr>
        <w:t>is a</w:t>
      </w:r>
      <w:r w:rsidR="00446257">
        <w:rPr>
          <w:rFonts w:ascii="Times New Roman" w:hAnsi="Times New Roman" w:cs="Times New Roman"/>
        </w:rPr>
        <w:t xml:space="preserve"> well-</w:t>
      </w:r>
      <w:r w:rsidR="001B4A9B">
        <w:rPr>
          <w:rFonts w:ascii="Times New Roman" w:hAnsi="Times New Roman" w:cs="Times New Roman"/>
        </w:rPr>
        <w:t xml:space="preserve">established measure of electoral fragmentation. It </w:t>
      </w:r>
      <w:r w:rsidR="00CE0BEB">
        <w:rPr>
          <w:rFonts w:ascii="Times New Roman" w:hAnsi="Times New Roman" w:cs="Times New Roman"/>
        </w:rPr>
        <w:t xml:space="preserve">is designed to capture the dispersion of the vote across parties in a given electoral system or </w:t>
      </w:r>
      <w:r w:rsidR="00390071">
        <w:rPr>
          <w:rFonts w:ascii="Times New Roman" w:hAnsi="Times New Roman" w:cs="Times New Roman"/>
        </w:rPr>
        <w:t>legislative district. In a</w:t>
      </w:r>
      <w:r w:rsidR="00D51715">
        <w:rPr>
          <w:rFonts w:ascii="Times New Roman" w:hAnsi="Times New Roman" w:cs="Times New Roman"/>
        </w:rPr>
        <w:t xml:space="preserve"> system or</w:t>
      </w:r>
      <w:r w:rsidR="00390071">
        <w:rPr>
          <w:rFonts w:ascii="Times New Roman" w:hAnsi="Times New Roman" w:cs="Times New Roman"/>
        </w:rPr>
        <w:t xml:space="preserve"> district with two parties, each on 50% of the vote</w:t>
      </w:r>
      <w:r w:rsidR="008747C6">
        <w:rPr>
          <w:rFonts w:ascii="Times New Roman" w:hAnsi="Times New Roman" w:cs="Times New Roman"/>
        </w:rPr>
        <w:t xml:space="preserve">, the effective number of parties would be equal to two. In a district with </w:t>
      </w:r>
      <w:r w:rsidR="007677E4">
        <w:rPr>
          <w:rFonts w:ascii="Times New Roman" w:hAnsi="Times New Roman" w:cs="Times New Roman"/>
        </w:rPr>
        <w:t>five parties, each on 20% of the vote, it would be equal to five.</w:t>
      </w:r>
      <w:r w:rsidR="008B2004">
        <w:rPr>
          <w:rFonts w:ascii="Times New Roman" w:hAnsi="Times New Roman" w:cs="Times New Roman"/>
        </w:rPr>
        <w:t xml:space="preserve"> There was a substantial increase in electoral fragmentation between the 2019 and 2024</w:t>
      </w:r>
      <w:r w:rsidR="00467A01">
        <w:rPr>
          <w:rFonts w:ascii="Times New Roman" w:hAnsi="Times New Roman" w:cs="Times New Roman"/>
        </w:rPr>
        <w:t xml:space="preserve"> elections. </w:t>
      </w:r>
      <w:r w:rsidR="007677E4">
        <w:rPr>
          <w:rFonts w:ascii="Times New Roman" w:hAnsi="Times New Roman" w:cs="Times New Roman"/>
        </w:rPr>
        <w:t>A</w:t>
      </w:r>
      <w:r w:rsidRPr="00A6349C">
        <w:rPr>
          <w:rFonts w:ascii="Times New Roman" w:hAnsi="Times New Roman" w:cs="Times New Roman"/>
        </w:rPr>
        <w:t>t the national level</w:t>
      </w:r>
      <w:r w:rsidR="007677E4">
        <w:rPr>
          <w:rFonts w:ascii="Times New Roman" w:hAnsi="Times New Roman" w:cs="Times New Roman"/>
        </w:rPr>
        <w:t>, ENP</w:t>
      </w:r>
      <w:r w:rsidRPr="00A6349C">
        <w:rPr>
          <w:rFonts w:ascii="Times New Roman" w:hAnsi="Times New Roman" w:cs="Times New Roman"/>
        </w:rPr>
        <w:t xml:space="preserve"> increased</w:t>
      </w:r>
      <w:r w:rsidR="00467A01">
        <w:rPr>
          <w:rFonts w:ascii="Times New Roman" w:hAnsi="Times New Roman" w:cs="Times New Roman"/>
        </w:rPr>
        <w:t xml:space="preserve"> by more than one party</w:t>
      </w:r>
      <w:r w:rsidRPr="00A6349C">
        <w:rPr>
          <w:rFonts w:ascii="Times New Roman" w:hAnsi="Times New Roman" w:cs="Times New Roman"/>
        </w:rPr>
        <w:t xml:space="preserve"> from 3.1 parties in 2019 to 4.5 in 2024 (having been 2.7 in 2017). The average</w:t>
      </w:r>
      <w:r w:rsidR="00A31359">
        <w:rPr>
          <w:rFonts w:ascii="Times New Roman" w:hAnsi="Times New Roman" w:cs="Times New Roman"/>
        </w:rPr>
        <w:t xml:space="preserve"> value of</w:t>
      </w:r>
      <w:r w:rsidRPr="00A6349C">
        <w:rPr>
          <w:rFonts w:ascii="Times New Roman" w:hAnsi="Times New Roman" w:cs="Times New Roman"/>
        </w:rPr>
        <w:t xml:space="preserve"> ENP by constituency</w:t>
      </w:r>
      <w:r w:rsidR="003A61A6">
        <w:rPr>
          <w:rFonts w:ascii="Times New Roman" w:hAnsi="Times New Roman" w:cs="Times New Roman"/>
        </w:rPr>
        <w:t xml:space="preserve"> similarly</w:t>
      </w:r>
      <w:r w:rsidRPr="00A6349C">
        <w:rPr>
          <w:rFonts w:ascii="Times New Roman" w:hAnsi="Times New Roman" w:cs="Times New Roman"/>
        </w:rPr>
        <w:t xml:space="preserve"> rose from 2.5 parties in 2019 to 3.5 in 2024 (and 2.3 in 2017</w:t>
      </w:r>
      <w:r w:rsidR="008972DF">
        <w:rPr>
          <w:rFonts w:ascii="Times New Roman" w:hAnsi="Times New Roman" w:cs="Times New Roman"/>
        </w:rPr>
        <w:t>, an election where the combined Labour and Conservative vote share had reached</w:t>
      </w:r>
      <w:r w:rsidR="0094465D">
        <w:rPr>
          <w:rFonts w:ascii="Times New Roman" w:hAnsi="Times New Roman" w:cs="Times New Roman"/>
        </w:rPr>
        <w:t xml:space="preserve"> 84.5%</w:t>
      </w:r>
      <w:r w:rsidR="00EC477F">
        <w:rPr>
          <w:rFonts w:ascii="Times New Roman" w:hAnsi="Times New Roman" w:cs="Times New Roman"/>
        </w:rPr>
        <w:t xml:space="preserve"> for Great Britain</w:t>
      </w:r>
      <w:r w:rsidRPr="00A6349C">
        <w:rPr>
          <w:rFonts w:ascii="Times New Roman" w:hAnsi="Times New Roman" w:cs="Times New Roman"/>
        </w:rPr>
        <w:t xml:space="preserve">). </w:t>
      </w:r>
      <w:r w:rsidR="00C106CE">
        <w:rPr>
          <w:rFonts w:ascii="Times New Roman" w:hAnsi="Times New Roman" w:cs="Times New Roman"/>
        </w:rPr>
        <w:t>These represent dramatic changes in such a short period.</w:t>
      </w:r>
    </w:p>
    <w:p w14:paraId="5E6E4D7D" w14:textId="52B11A1F" w:rsidR="006A5449" w:rsidRDefault="00A6349C" w:rsidP="00A6349C">
      <w:pPr>
        <w:spacing w:after="0" w:line="480" w:lineRule="auto"/>
        <w:ind w:firstLine="720"/>
        <w:rPr>
          <w:rFonts w:ascii="Times New Roman" w:hAnsi="Times New Roman" w:cs="Times New Roman"/>
        </w:rPr>
      </w:pPr>
      <w:r w:rsidRPr="00A6349C">
        <w:rPr>
          <w:rFonts w:ascii="Times New Roman" w:hAnsi="Times New Roman" w:cs="Times New Roman"/>
        </w:rPr>
        <w:t>In some areas Labour and/or the Conservatives tend to dominate electoral competition, but in other</w:t>
      </w:r>
      <w:r w:rsidR="003B1DAD">
        <w:rPr>
          <w:rFonts w:ascii="Times New Roman" w:hAnsi="Times New Roman" w:cs="Times New Roman"/>
        </w:rPr>
        <w:t xml:space="preserve"> places</w:t>
      </w:r>
      <w:r w:rsidRPr="00A6349C">
        <w:rPr>
          <w:rFonts w:ascii="Times New Roman" w:hAnsi="Times New Roman" w:cs="Times New Roman"/>
        </w:rPr>
        <w:t xml:space="preserve"> the vote is spread relatively evenly across </w:t>
      </w:r>
      <w:r w:rsidR="00C50A52">
        <w:rPr>
          <w:rFonts w:ascii="Times New Roman" w:hAnsi="Times New Roman" w:cs="Times New Roman"/>
        </w:rPr>
        <w:t>several</w:t>
      </w:r>
      <w:r w:rsidRPr="00A6349C">
        <w:rPr>
          <w:rFonts w:ascii="Times New Roman" w:hAnsi="Times New Roman" w:cs="Times New Roman"/>
        </w:rPr>
        <w:t xml:space="preserve"> parties</w:t>
      </w:r>
      <w:r w:rsidR="00BA2499">
        <w:rPr>
          <w:rFonts w:ascii="Times New Roman" w:hAnsi="Times New Roman" w:cs="Times New Roman"/>
        </w:rPr>
        <w:t xml:space="preserve"> competing fiercely</w:t>
      </w:r>
      <w:r w:rsidRPr="00A6349C">
        <w:rPr>
          <w:rFonts w:ascii="Times New Roman" w:hAnsi="Times New Roman" w:cs="Times New Roman"/>
        </w:rPr>
        <w:t>.</w:t>
      </w:r>
      <w:r w:rsidR="00E3080E">
        <w:rPr>
          <w:rFonts w:ascii="Times New Roman" w:hAnsi="Times New Roman" w:cs="Times New Roman"/>
        </w:rPr>
        <w:t xml:space="preserve"> </w:t>
      </w:r>
      <w:r w:rsidR="00E3080E" w:rsidRPr="00A6349C">
        <w:rPr>
          <w:rFonts w:ascii="Times New Roman" w:hAnsi="Times New Roman" w:cs="Times New Roman"/>
        </w:rPr>
        <w:t xml:space="preserve">The most fragmented constituency in 2024 was Montgomeryshire &amp; Glyndwr </w:t>
      </w:r>
      <w:r w:rsidR="00104979">
        <w:rPr>
          <w:rFonts w:ascii="Times New Roman" w:hAnsi="Times New Roman" w:cs="Times New Roman"/>
        </w:rPr>
        <w:t xml:space="preserve">in Wales </w:t>
      </w:r>
      <w:r w:rsidR="00E3080E" w:rsidRPr="00A6349C">
        <w:rPr>
          <w:rFonts w:ascii="Times New Roman" w:hAnsi="Times New Roman" w:cs="Times New Roman"/>
        </w:rPr>
        <w:t>(</w:t>
      </w:r>
      <w:r w:rsidR="004131E2">
        <w:rPr>
          <w:rFonts w:ascii="Times New Roman" w:hAnsi="Times New Roman" w:cs="Times New Roman"/>
        </w:rPr>
        <w:t>ENP</w:t>
      </w:r>
      <w:r w:rsidR="005C52D6">
        <w:rPr>
          <w:rFonts w:ascii="Times New Roman" w:hAnsi="Times New Roman" w:cs="Times New Roman"/>
        </w:rPr>
        <w:t xml:space="preserve"> </w:t>
      </w:r>
      <w:r w:rsidR="004131E2">
        <w:rPr>
          <w:rFonts w:ascii="Times New Roman" w:hAnsi="Times New Roman" w:cs="Times New Roman"/>
        </w:rPr>
        <w:t>=</w:t>
      </w:r>
      <w:r w:rsidR="005C52D6">
        <w:rPr>
          <w:rFonts w:ascii="Times New Roman" w:hAnsi="Times New Roman" w:cs="Times New Roman"/>
        </w:rPr>
        <w:t xml:space="preserve"> </w:t>
      </w:r>
      <w:r w:rsidR="00E3080E" w:rsidRPr="00A6349C">
        <w:rPr>
          <w:rFonts w:ascii="Times New Roman" w:hAnsi="Times New Roman" w:cs="Times New Roman"/>
        </w:rPr>
        <w:t>4.9), while the least fragmented</w:t>
      </w:r>
      <w:r w:rsidR="000E44BC">
        <w:rPr>
          <w:rFonts w:ascii="Times New Roman" w:hAnsi="Times New Roman" w:cs="Times New Roman"/>
        </w:rPr>
        <w:t xml:space="preserve"> (excluding the Speaker’s seat)</w:t>
      </w:r>
      <w:r w:rsidR="00E3080E" w:rsidRPr="00A6349C">
        <w:rPr>
          <w:rFonts w:ascii="Times New Roman" w:hAnsi="Times New Roman" w:cs="Times New Roman"/>
        </w:rPr>
        <w:t xml:space="preserve"> was Liverpool Walton (</w:t>
      </w:r>
      <w:r w:rsidR="005C52D6">
        <w:rPr>
          <w:rFonts w:ascii="Times New Roman" w:hAnsi="Times New Roman" w:cs="Times New Roman"/>
        </w:rPr>
        <w:t xml:space="preserve">ENP = </w:t>
      </w:r>
      <w:r w:rsidR="00E3080E" w:rsidRPr="00A6349C">
        <w:rPr>
          <w:rFonts w:ascii="Times New Roman" w:hAnsi="Times New Roman" w:cs="Times New Roman"/>
        </w:rPr>
        <w:t xml:space="preserve">1.9). </w:t>
      </w:r>
      <w:r w:rsidR="00921F19">
        <w:rPr>
          <w:rFonts w:ascii="Times New Roman" w:hAnsi="Times New Roman" w:cs="Times New Roman"/>
        </w:rPr>
        <w:t>Geographically, we see lowest levels of fragmentation on Merseyside, London,</w:t>
      </w:r>
      <w:r w:rsidR="00E624FB">
        <w:rPr>
          <w:rFonts w:ascii="Times New Roman" w:hAnsi="Times New Roman" w:cs="Times New Roman"/>
        </w:rPr>
        <w:t xml:space="preserve"> and</w:t>
      </w:r>
      <w:r w:rsidR="00921F19">
        <w:rPr>
          <w:rFonts w:ascii="Times New Roman" w:hAnsi="Times New Roman" w:cs="Times New Roman"/>
        </w:rPr>
        <w:t xml:space="preserve"> parts of Yorkshire</w:t>
      </w:r>
      <w:r w:rsidR="00882E9D">
        <w:rPr>
          <w:rFonts w:ascii="Times New Roman" w:hAnsi="Times New Roman" w:cs="Times New Roman"/>
        </w:rPr>
        <w:t xml:space="preserve"> – all areas where Labour did relatively well – a</w:t>
      </w:r>
      <w:r w:rsidR="00921F19">
        <w:rPr>
          <w:rFonts w:ascii="Times New Roman" w:hAnsi="Times New Roman" w:cs="Times New Roman"/>
        </w:rPr>
        <w:t>nd</w:t>
      </w:r>
      <w:r w:rsidR="00882E9D">
        <w:rPr>
          <w:rFonts w:ascii="Times New Roman" w:hAnsi="Times New Roman" w:cs="Times New Roman"/>
        </w:rPr>
        <w:t xml:space="preserve"> </w:t>
      </w:r>
      <w:r w:rsidR="00921F19">
        <w:rPr>
          <w:rFonts w:ascii="Times New Roman" w:hAnsi="Times New Roman" w:cs="Times New Roman"/>
        </w:rPr>
        <w:t>the central belt in Scotland</w:t>
      </w:r>
      <w:r w:rsidR="00882E9D">
        <w:rPr>
          <w:rFonts w:ascii="Times New Roman" w:hAnsi="Times New Roman" w:cs="Times New Roman"/>
        </w:rPr>
        <w:t>, where Labour and the SNP tended to dominate the vote</w:t>
      </w:r>
      <w:r w:rsidR="00921F19">
        <w:rPr>
          <w:rFonts w:ascii="Times New Roman" w:hAnsi="Times New Roman" w:cs="Times New Roman"/>
        </w:rPr>
        <w:t>.</w:t>
      </w:r>
      <w:r w:rsidR="009C26B4">
        <w:rPr>
          <w:rFonts w:ascii="Times New Roman" w:hAnsi="Times New Roman" w:cs="Times New Roman"/>
        </w:rPr>
        <w:t xml:space="preserve"> </w:t>
      </w:r>
      <w:r w:rsidR="00921F19">
        <w:rPr>
          <w:rFonts w:ascii="Times New Roman" w:hAnsi="Times New Roman" w:cs="Times New Roman"/>
        </w:rPr>
        <w:t>Higher fragmentation is o</w:t>
      </w:r>
      <w:r w:rsidR="009C26B4">
        <w:rPr>
          <w:rFonts w:ascii="Times New Roman" w:hAnsi="Times New Roman" w:cs="Times New Roman"/>
        </w:rPr>
        <w:t>b</w:t>
      </w:r>
      <w:r w:rsidR="00921F19">
        <w:rPr>
          <w:rFonts w:ascii="Times New Roman" w:hAnsi="Times New Roman" w:cs="Times New Roman"/>
        </w:rPr>
        <w:t>serv</w:t>
      </w:r>
      <w:r w:rsidR="009C26B4">
        <w:rPr>
          <w:rFonts w:ascii="Times New Roman" w:hAnsi="Times New Roman" w:cs="Times New Roman"/>
        </w:rPr>
        <w:t>e</w:t>
      </w:r>
      <w:r w:rsidR="00921F19">
        <w:rPr>
          <w:rFonts w:ascii="Times New Roman" w:hAnsi="Times New Roman" w:cs="Times New Roman"/>
        </w:rPr>
        <w:t>d in the East of Engla</w:t>
      </w:r>
      <w:r w:rsidR="009C26B4">
        <w:rPr>
          <w:rFonts w:ascii="Times New Roman" w:hAnsi="Times New Roman" w:cs="Times New Roman"/>
        </w:rPr>
        <w:t>n</w:t>
      </w:r>
      <w:r w:rsidR="00921F19">
        <w:rPr>
          <w:rFonts w:ascii="Times New Roman" w:hAnsi="Times New Roman" w:cs="Times New Roman"/>
        </w:rPr>
        <w:t>d</w:t>
      </w:r>
      <w:r w:rsidR="00C40B3A">
        <w:rPr>
          <w:rFonts w:ascii="Times New Roman" w:hAnsi="Times New Roman" w:cs="Times New Roman"/>
        </w:rPr>
        <w:t xml:space="preserve"> – tending to correspond to areas where Reform, the Greens and Liberal Democrats </w:t>
      </w:r>
      <w:r w:rsidR="00E74B71">
        <w:rPr>
          <w:rFonts w:ascii="Times New Roman" w:hAnsi="Times New Roman" w:cs="Times New Roman"/>
        </w:rPr>
        <w:t>challenged the main parties</w:t>
      </w:r>
      <w:r w:rsidR="00423462">
        <w:rPr>
          <w:rFonts w:ascii="Times New Roman" w:hAnsi="Times New Roman" w:cs="Times New Roman"/>
        </w:rPr>
        <w:t xml:space="preserve"> </w:t>
      </w:r>
      <w:r w:rsidR="00B61B4A">
        <w:rPr>
          <w:rFonts w:ascii="Times New Roman" w:hAnsi="Times New Roman" w:cs="Times New Roman"/>
        </w:rPr>
        <w:t>–</w:t>
      </w:r>
      <w:r w:rsidR="006709D2">
        <w:rPr>
          <w:rFonts w:ascii="Times New Roman" w:hAnsi="Times New Roman" w:cs="Times New Roman"/>
        </w:rPr>
        <w:t xml:space="preserve"> as well as</w:t>
      </w:r>
      <w:r w:rsidR="00423462">
        <w:rPr>
          <w:rFonts w:ascii="Times New Roman" w:hAnsi="Times New Roman" w:cs="Times New Roman"/>
        </w:rPr>
        <w:t xml:space="preserve"> </w:t>
      </w:r>
      <w:r w:rsidR="00B61B4A">
        <w:rPr>
          <w:rFonts w:ascii="Times New Roman" w:hAnsi="Times New Roman" w:cs="Times New Roman"/>
        </w:rPr>
        <w:t>rural parts of Wales and Scotland</w:t>
      </w:r>
      <w:r w:rsidR="00FB5B2A">
        <w:rPr>
          <w:rFonts w:ascii="Times New Roman" w:hAnsi="Times New Roman" w:cs="Times New Roman"/>
        </w:rPr>
        <w:t>, and Cornwall</w:t>
      </w:r>
      <w:r w:rsidR="00E74B71">
        <w:rPr>
          <w:rFonts w:ascii="Times New Roman" w:hAnsi="Times New Roman" w:cs="Times New Roman"/>
        </w:rPr>
        <w:t>.</w:t>
      </w:r>
      <w:r w:rsidR="00242E99">
        <w:rPr>
          <w:rFonts w:ascii="Times New Roman" w:hAnsi="Times New Roman" w:cs="Times New Roman"/>
        </w:rPr>
        <w:t xml:space="preserve"> In terms of </w:t>
      </w:r>
      <w:r w:rsidR="00867DD9">
        <w:rPr>
          <w:rFonts w:ascii="Times New Roman" w:hAnsi="Times New Roman" w:cs="Times New Roman"/>
        </w:rPr>
        <w:t>socio-</w:t>
      </w:r>
      <w:r w:rsidR="00242E99">
        <w:rPr>
          <w:rFonts w:ascii="Times New Roman" w:hAnsi="Times New Roman" w:cs="Times New Roman"/>
        </w:rPr>
        <w:t>demographics, t</w:t>
      </w:r>
      <w:r w:rsidR="006A5449">
        <w:rPr>
          <w:rFonts w:ascii="Times New Roman" w:hAnsi="Times New Roman" w:cs="Times New Roman"/>
        </w:rPr>
        <w:t xml:space="preserve">he sorts of </w:t>
      </w:r>
      <w:r w:rsidR="00FD2209">
        <w:rPr>
          <w:rFonts w:ascii="Times New Roman" w:hAnsi="Times New Roman" w:cs="Times New Roman"/>
        </w:rPr>
        <w:t xml:space="preserve">place where ENP is higher are </w:t>
      </w:r>
      <w:r w:rsidR="00354166">
        <w:rPr>
          <w:rFonts w:ascii="Times New Roman" w:hAnsi="Times New Roman" w:cs="Times New Roman"/>
        </w:rPr>
        <w:t>characterised by lower population density (i.e. rural areas)</w:t>
      </w:r>
      <w:r w:rsidR="00830F96">
        <w:rPr>
          <w:rFonts w:ascii="Times New Roman" w:hAnsi="Times New Roman" w:cs="Times New Roman"/>
        </w:rPr>
        <w:t xml:space="preserve"> (-0.29, p=0.000)</w:t>
      </w:r>
      <w:r w:rsidR="00354166">
        <w:rPr>
          <w:rFonts w:ascii="Times New Roman" w:hAnsi="Times New Roman" w:cs="Times New Roman"/>
        </w:rPr>
        <w:t>, a higher 2016 Leave vote</w:t>
      </w:r>
      <w:r w:rsidR="00004024">
        <w:rPr>
          <w:rFonts w:ascii="Times New Roman" w:hAnsi="Times New Roman" w:cs="Times New Roman"/>
        </w:rPr>
        <w:t xml:space="preserve"> (0.30, p=0.000)</w:t>
      </w:r>
      <w:r w:rsidR="00354166">
        <w:rPr>
          <w:rFonts w:ascii="Times New Roman" w:hAnsi="Times New Roman" w:cs="Times New Roman"/>
        </w:rPr>
        <w:t>, fewer university graduates</w:t>
      </w:r>
      <w:r w:rsidR="000D4CC7">
        <w:rPr>
          <w:rFonts w:ascii="Times New Roman" w:hAnsi="Times New Roman" w:cs="Times New Roman"/>
        </w:rPr>
        <w:t xml:space="preserve"> (-0.20, p=0.</w:t>
      </w:r>
      <w:r w:rsidR="00004024">
        <w:rPr>
          <w:rFonts w:ascii="Times New Roman" w:hAnsi="Times New Roman" w:cs="Times New Roman"/>
        </w:rPr>
        <w:t>000</w:t>
      </w:r>
      <w:r w:rsidR="00795EC5">
        <w:rPr>
          <w:rFonts w:ascii="Times New Roman" w:hAnsi="Times New Roman" w:cs="Times New Roman"/>
        </w:rPr>
        <w:t>)</w:t>
      </w:r>
      <w:r w:rsidR="00637612">
        <w:rPr>
          <w:rFonts w:ascii="Times New Roman" w:hAnsi="Times New Roman" w:cs="Times New Roman"/>
        </w:rPr>
        <w:t>,</w:t>
      </w:r>
      <w:r w:rsidR="00B41838">
        <w:rPr>
          <w:rFonts w:ascii="Times New Roman" w:hAnsi="Times New Roman" w:cs="Times New Roman"/>
        </w:rPr>
        <w:t xml:space="preserve"> and</w:t>
      </w:r>
      <w:r w:rsidR="00637612">
        <w:rPr>
          <w:rFonts w:ascii="Times New Roman" w:hAnsi="Times New Roman" w:cs="Times New Roman"/>
        </w:rPr>
        <w:t xml:space="preserve"> higher rates of</w:t>
      </w:r>
      <w:r w:rsidR="00795EC5">
        <w:rPr>
          <w:rFonts w:ascii="Times New Roman" w:hAnsi="Times New Roman" w:cs="Times New Roman"/>
        </w:rPr>
        <w:t xml:space="preserve"> outright</w:t>
      </w:r>
      <w:r w:rsidR="00637612">
        <w:rPr>
          <w:rFonts w:ascii="Times New Roman" w:hAnsi="Times New Roman" w:cs="Times New Roman"/>
        </w:rPr>
        <w:t xml:space="preserve"> home owner</w:t>
      </w:r>
      <w:r w:rsidR="001C77C6">
        <w:rPr>
          <w:rFonts w:ascii="Times New Roman" w:hAnsi="Times New Roman" w:cs="Times New Roman"/>
        </w:rPr>
        <w:t>shi</w:t>
      </w:r>
      <w:r w:rsidR="001C77C6" w:rsidRPr="002502D6">
        <w:rPr>
          <w:rFonts w:ascii="Times New Roman" w:hAnsi="Times New Roman" w:cs="Times New Roman"/>
        </w:rPr>
        <w:t>p</w:t>
      </w:r>
      <w:r w:rsidR="00FB429B" w:rsidRPr="002502D6">
        <w:rPr>
          <w:rFonts w:ascii="Times New Roman" w:hAnsi="Times New Roman" w:cs="Times New Roman"/>
        </w:rPr>
        <w:t xml:space="preserve"> (0.28, p=0.000)</w:t>
      </w:r>
      <w:r w:rsidR="00B41838" w:rsidRPr="002502D6">
        <w:rPr>
          <w:rFonts w:ascii="Times New Roman" w:hAnsi="Times New Roman" w:cs="Times New Roman"/>
        </w:rPr>
        <w:t>.</w:t>
      </w:r>
      <w:r w:rsidR="001C77C6" w:rsidRPr="002502D6">
        <w:rPr>
          <w:rFonts w:ascii="Times New Roman" w:hAnsi="Times New Roman" w:cs="Times New Roman"/>
        </w:rPr>
        <w:t xml:space="preserve"> </w:t>
      </w:r>
      <w:r w:rsidR="00DB5279" w:rsidRPr="002502D6">
        <w:rPr>
          <w:rFonts w:ascii="Times New Roman" w:hAnsi="Times New Roman" w:cs="Times New Roman"/>
        </w:rPr>
        <w:t>More urban areas are thus associated with lower levels of fragmentation</w:t>
      </w:r>
      <w:r w:rsidR="00867DD9" w:rsidRPr="002502D6">
        <w:rPr>
          <w:rFonts w:ascii="Times New Roman" w:hAnsi="Times New Roman" w:cs="Times New Roman"/>
        </w:rPr>
        <w:t>. I</w:t>
      </w:r>
      <w:r w:rsidR="003E37E7" w:rsidRPr="002502D6">
        <w:rPr>
          <w:rFonts w:ascii="Times New Roman" w:hAnsi="Times New Roman" w:cs="Times New Roman"/>
        </w:rPr>
        <w:t xml:space="preserve">t is the more peripheral parts of the country </w:t>
      </w:r>
      <w:r w:rsidR="008931CC" w:rsidRPr="002502D6">
        <w:rPr>
          <w:rFonts w:ascii="Times New Roman" w:hAnsi="Times New Roman" w:cs="Times New Roman"/>
        </w:rPr>
        <w:t xml:space="preserve">where electoral support has </w:t>
      </w:r>
      <w:r w:rsidR="008931CC" w:rsidRPr="002502D6">
        <w:rPr>
          <w:rFonts w:ascii="Times New Roman" w:hAnsi="Times New Roman" w:cs="Times New Roman"/>
        </w:rPr>
        <w:lastRenderedPageBreak/>
        <w:t>dispersed more heavily</w:t>
      </w:r>
      <w:r w:rsidR="00DB5279" w:rsidRPr="002502D6">
        <w:rPr>
          <w:rFonts w:ascii="Times New Roman" w:hAnsi="Times New Roman" w:cs="Times New Roman"/>
        </w:rPr>
        <w:t>.</w:t>
      </w:r>
      <w:r w:rsidR="005A1919" w:rsidRPr="002502D6">
        <w:rPr>
          <w:rFonts w:ascii="Times New Roman" w:hAnsi="Times New Roman" w:cs="Times New Roman"/>
        </w:rPr>
        <w:t xml:space="preserve"> This </w:t>
      </w:r>
      <w:r w:rsidR="001E0952" w:rsidRPr="002502D6">
        <w:rPr>
          <w:rFonts w:ascii="Times New Roman" w:hAnsi="Times New Roman" w:cs="Times New Roman"/>
        </w:rPr>
        <w:t xml:space="preserve">fragmentation </w:t>
      </w:r>
      <w:r w:rsidR="005A1919" w:rsidRPr="002502D6">
        <w:rPr>
          <w:rFonts w:ascii="Times New Roman" w:hAnsi="Times New Roman" w:cs="Times New Roman"/>
        </w:rPr>
        <w:t xml:space="preserve">creates considerable uncertainty </w:t>
      </w:r>
      <w:r w:rsidR="0060655E" w:rsidRPr="002502D6">
        <w:rPr>
          <w:rFonts w:ascii="Times New Roman" w:hAnsi="Times New Roman" w:cs="Times New Roman"/>
        </w:rPr>
        <w:t>in relation to patterns of competition at</w:t>
      </w:r>
      <w:r w:rsidR="001E0952" w:rsidRPr="002502D6">
        <w:rPr>
          <w:rFonts w:ascii="Times New Roman" w:hAnsi="Times New Roman" w:cs="Times New Roman"/>
        </w:rPr>
        <w:t xml:space="preserve"> the </w:t>
      </w:r>
      <w:r w:rsidR="0060655E" w:rsidRPr="002502D6">
        <w:rPr>
          <w:rFonts w:ascii="Times New Roman" w:hAnsi="Times New Roman" w:cs="Times New Roman"/>
        </w:rPr>
        <w:t>next election</w:t>
      </w:r>
      <w:r w:rsidR="002502D6" w:rsidRPr="002502D6">
        <w:rPr>
          <w:rFonts w:ascii="Times New Roman" w:hAnsi="Times New Roman" w:cs="Times New Roman"/>
        </w:rPr>
        <w:t>.</w:t>
      </w:r>
    </w:p>
    <w:p w14:paraId="0E0AED96" w14:textId="512DCAB3" w:rsidR="00A6349C" w:rsidRPr="00A21D59" w:rsidRDefault="00E3080E" w:rsidP="002533F4">
      <w:pPr>
        <w:spacing w:after="0"/>
        <w:rPr>
          <w:rFonts w:ascii="Times New Roman" w:hAnsi="Times New Roman" w:cs="Times New Roman"/>
        </w:rPr>
      </w:pPr>
      <w:r w:rsidRPr="00A21D59">
        <w:rPr>
          <w:rFonts w:ascii="Times New Roman" w:hAnsi="Times New Roman" w:cs="Times New Roman"/>
          <w:b/>
          <w:bCs/>
        </w:rPr>
        <w:t xml:space="preserve">Figure </w:t>
      </w:r>
      <w:r w:rsidR="003C10AE">
        <w:rPr>
          <w:rFonts w:ascii="Times New Roman" w:hAnsi="Times New Roman" w:cs="Times New Roman"/>
          <w:b/>
          <w:bCs/>
        </w:rPr>
        <w:t>4</w:t>
      </w:r>
      <w:r w:rsidRPr="00A21D59">
        <w:rPr>
          <w:rFonts w:ascii="Times New Roman" w:hAnsi="Times New Roman" w:cs="Times New Roman"/>
          <w:b/>
          <w:bCs/>
        </w:rPr>
        <w:t xml:space="preserve">. </w:t>
      </w:r>
      <w:r w:rsidR="00A21D59" w:rsidRPr="00A21D59">
        <w:rPr>
          <w:rFonts w:ascii="Times New Roman" w:hAnsi="Times New Roman" w:cs="Times New Roman"/>
        </w:rPr>
        <w:t xml:space="preserve">Effective number of parties by </w:t>
      </w:r>
      <w:r w:rsidR="00A21D59">
        <w:rPr>
          <w:rFonts w:ascii="Times New Roman" w:hAnsi="Times New Roman" w:cs="Times New Roman"/>
        </w:rPr>
        <w:t xml:space="preserve">parliamentary </w:t>
      </w:r>
      <w:r w:rsidR="00A21D59" w:rsidRPr="00A21D59">
        <w:rPr>
          <w:rFonts w:ascii="Times New Roman" w:hAnsi="Times New Roman" w:cs="Times New Roman"/>
        </w:rPr>
        <w:t>constituency</w:t>
      </w:r>
      <w:r w:rsidR="00A21D59">
        <w:rPr>
          <w:rFonts w:ascii="Times New Roman" w:hAnsi="Times New Roman" w:cs="Times New Roman"/>
        </w:rPr>
        <w:t>,</w:t>
      </w:r>
      <w:r w:rsidR="003E6316">
        <w:rPr>
          <w:rFonts w:ascii="Times New Roman" w:hAnsi="Times New Roman" w:cs="Times New Roman"/>
        </w:rPr>
        <w:t xml:space="preserve"> Great Britain,</w:t>
      </w:r>
      <w:r w:rsidR="00A21D59">
        <w:rPr>
          <w:rFonts w:ascii="Times New Roman" w:hAnsi="Times New Roman" w:cs="Times New Roman"/>
        </w:rPr>
        <w:t xml:space="preserve"> 2024</w:t>
      </w:r>
    </w:p>
    <w:p w14:paraId="1BEC7F7E" w14:textId="4E93990C" w:rsidR="004C0F7A" w:rsidRDefault="00BC3DBB" w:rsidP="002533F4">
      <w:pPr>
        <w:pStyle w:val="NormalWeb"/>
        <w:spacing w:before="0" w:beforeAutospacing="0" w:after="0" w:afterAutospacing="0"/>
      </w:pPr>
      <w:r>
        <w:rPr>
          <w:noProof/>
        </w:rPr>
        <w:drawing>
          <wp:anchor distT="0" distB="0" distL="114300" distR="114300" simplePos="0" relativeHeight="251671552" behindDoc="0" locked="0" layoutInCell="1" allowOverlap="1" wp14:anchorId="22FECD60" wp14:editId="7A647D68">
            <wp:simplePos x="0" y="0"/>
            <wp:positionH relativeFrom="column">
              <wp:posOffset>189186</wp:posOffset>
            </wp:positionH>
            <wp:positionV relativeFrom="paragraph">
              <wp:posOffset>276773</wp:posOffset>
            </wp:positionV>
            <wp:extent cx="1110315" cy="551793"/>
            <wp:effectExtent l="0" t="0" r="0" b="1270"/>
            <wp:wrapNone/>
            <wp:docPr id="1762814395" name="Picture 3" descr="A number an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814395" name="Picture 3" descr="A number and text on a white background&#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110315" cy="551793"/>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inline distT="0" distB="0" distL="0" distR="0" wp14:anchorId="5EFC465E" wp14:editId="1D07EE31">
            <wp:extent cx="4692083" cy="7540831"/>
            <wp:effectExtent l="0" t="0" r="0" b="3175"/>
            <wp:docPr id="567707931" name="Picture 2" descr="A map of the united kingd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707931" name="Picture 2" descr="A map of the united kingdom&#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98664" cy="7551407"/>
                    </a:xfrm>
                    <a:prstGeom prst="rect">
                      <a:avLst/>
                    </a:prstGeom>
                  </pic:spPr>
                </pic:pic>
              </a:graphicData>
            </a:graphic>
          </wp:inline>
        </w:drawing>
      </w:r>
    </w:p>
    <w:p w14:paraId="7679BE03" w14:textId="77777777" w:rsidR="002A5C7A" w:rsidRDefault="002A5C7A">
      <w:pPr>
        <w:rPr>
          <w:rFonts w:ascii="Times New Roman" w:hAnsi="Times New Roman" w:cs="Times New Roman"/>
          <w:b/>
          <w:bCs/>
        </w:rPr>
      </w:pPr>
      <w:r>
        <w:rPr>
          <w:rFonts w:ascii="Times New Roman" w:hAnsi="Times New Roman" w:cs="Times New Roman"/>
          <w:b/>
          <w:bCs/>
        </w:rPr>
        <w:br w:type="page"/>
      </w:r>
    </w:p>
    <w:p w14:paraId="1AE6E66E" w14:textId="32049FF8" w:rsidR="00352D7D" w:rsidRPr="00845C58" w:rsidRDefault="00845C58" w:rsidP="00A60D29">
      <w:pPr>
        <w:spacing w:after="0" w:line="480" w:lineRule="auto"/>
        <w:rPr>
          <w:rFonts w:ascii="Times New Roman" w:hAnsi="Times New Roman" w:cs="Times New Roman"/>
          <w:b/>
          <w:bCs/>
        </w:rPr>
      </w:pPr>
      <w:r w:rsidRPr="00845C58">
        <w:rPr>
          <w:rFonts w:ascii="Times New Roman" w:hAnsi="Times New Roman" w:cs="Times New Roman"/>
          <w:b/>
          <w:bCs/>
        </w:rPr>
        <w:lastRenderedPageBreak/>
        <w:t>Marginality: t</w:t>
      </w:r>
      <w:r w:rsidR="00352D7D" w:rsidRPr="00845C58">
        <w:rPr>
          <w:rFonts w:ascii="Times New Roman" w:hAnsi="Times New Roman" w:cs="Times New Roman"/>
          <w:b/>
          <w:bCs/>
        </w:rPr>
        <w:t>he</w:t>
      </w:r>
      <w:r w:rsidRPr="00845C58">
        <w:rPr>
          <w:rFonts w:ascii="Times New Roman" w:hAnsi="Times New Roman" w:cs="Times New Roman"/>
          <w:b/>
          <w:bCs/>
        </w:rPr>
        <w:t xml:space="preserve"> fragility of the</w:t>
      </w:r>
      <w:r w:rsidR="00352D7D" w:rsidRPr="00845C58">
        <w:rPr>
          <w:rFonts w:ascii="Times New Roman" w:hAnsi="Times New Roman" w:cs="Times New Roman"/>
          <w:b/>
          <w:bCs/>
        </w:rPr>
        <w:t xml:space="preserve"> electoral future</w:t>
      </w:r>
    </w:p>
    <w:p w14:paraId="2EF1C0C8" w14:textId="64C61C20" w:rsidR="008931CC" w:rsidRPr="00C51ADF" w:rsidRDefault="00FC1840" w:rsidP="002533F4">
      <w:pPr>
        <w:spacing w:after="240" w:line="480" w:lineRule="auto"/>
        <w:ind w:firstLine="720"/>
        <w:rPr>
          <w:rFonts w:ascii="Times New Roman" w:hAnsi="Times New Roman" w:cs="Times New Roman"/>
        </w:rPr>
      </w:pPr>
      <w:r>
        <w:rPr>
          <w:rFonts w:ascii="Times New Roman" w:hAnsi="Times New Roman" w:cs="Times New Roman"/>
        </w:rPr>
        <w:t xml:space="preserve">This fragmented electoral map </w:t>
      </w:r>
      <w:r w:rsidR="00E75CDF">
        <w:rPr>
          <w:rFonts w:ascii="Times New Roman" w:hAnsi="Times New Roman" w:cs="Times New Roman"/>
        </w:rPr>
        <w:t>was</w:t>
      </w:r>
      <w:r>
        <w:rPr>
          <w:rFonts w:ascii="Times New Roman" w:hAnsi="Times New Roman" w:cs="Times New Roman"/>
        </w:rPr>
        <w:t xml:space="preserve"> also reflected in </w:t>
      </w:r>
      <w:r w:rsidR="00577DE2">
        <w:rPr>
          <w:rFonts w:ascii="Times New Roman" w:hAnsi="Times New Roman" w:cs="Times New Roman"/>
        </w:rPr>
        <w:t xml:space="preserve">the </w:t>
      </w:r>
      <w:r w:rsidR="005F3868">
        <w:rPr>
          <w:rFonts w:ascii="Times New Roman" w:hAnsi="Times New Roman" w:cs="Times New Roman"/>
        </w:rPr>
        <w:t>growth of the number</w:t>
      </w:r>
      <w:r w:rsidR="00136D92">
        <w:rPr>
          <w:rFonts w:ascii="Times New Roman" w:hAnsi="Times New Roman" w:cs="Times New Roman"/>
        </w:rPr>
        <w:t xml:space="preserve"> of marginal</w:t>
      </w:r>
      <w:r w:rsidR="002004D4">
        <w:rPr>
          <w:rFonts w:ascii="Times New Roman" w:hAnsi="Times New Roman" w:cs="Times New Roman"/>
        </w:rPr>
        <w:t xml:space="preserve"> constituencies</w:t>
      </w:r>
      <w:r w:rsidR="00577DE2">
        <w:rPr>
          <w:rFonts w:ascii="Times New Roman" w:hAnsi="Times New Roman" w:cs="Times New Roman"/>
        </w:rPr>
        <w:t xml:space="preserve">, </w:t>
      </w:r>
      <w:r w:rsidR="00FC31FC">
        <w:rPr>
          <w:rFonts w:ascii="Times New Roman" w:hAnsi="Times New Roman" w:cs="Times New Roman"/>
        </w:rPr>
        <w:t>mak</w:t>
      </w:r>
      <w:r w:rsidR="00577DE2">
        <w:rPr>
          <w:rFonts w:ascii="Times New Roman" w:hAnsi="Times New Roman" w:cs="Times New Roman"/>
        </w:rPr>
        <w:t>ing</w:t>
      </w:r>
      <w:r w:rsidR="00FC31FC">
        <w:rPr>
          <w:rFonts w:ascii="Times New Roman" w:hAnsi="Times New Roman" w:cs="Times New Roman"/>
        </w:rPr>
        <w:t xml:space="preserve"> Britain’s electoral future more fragile and less</w:t>
      </w:r>
      <w:r w:rsidR="00577DE2">
        <w:rPr>
          <w:rFonts w:ascii="Times New Roman" w:hAnsi="Times New Roman" w:cs="Times New Roman"/>
        </w:rPr>
        <w:t xml:space="preserve"> predictable</w:t>
      </w:r>
      <w:r w:rsidR="006C0165">
        <w:rPr>
          <w:rFonts w:ascii="Times New Roman" w:hAnsi="Times New Roman" w:cs="Times New Roman"/>
        </w:rPr>
        <w:t xml:space="preserve">. </w:t>
      </w:r>
      <w:r w:rsidR="00D319B0">
        <w:rPr>
          <w:rFonts w:ascii="Times New Roman" w:hAnsi="Times New Roman" w:cs="Times New Roman"/>
        </w:rPr>
        <w:t xml:space="preserve">At the </w:t>
      </w:r>
      <w:r w:rsidR="006C0165">
        <w:rPr>
          <w:rFonts w:ascii="Times New Roman" w:hAnsi="Times New Roman" w:cs="Times New Roman"/>
        </w:rPr>
        <w:t>2019</w:t>
      </w:r>
      <w:r w:rsidR="00D319B0">
        <w:rPr>
          <w:rFonts w:ascii="Times New Roman" w:hAnsi="Times New Roman" w:cs="Times New Roman"/>
        </w:rPr>
        <w:t xml:space="preserve"> general election</w:t>
      </w:r>
      <w:r w:rsidR="006C0165">
        <w:rPr>
          <w:rFonts w:ascii="Times New Roman" w:hAnsi="Times New Roman" w:cs="Times New Roman"/>
        </w:rPr>
        <w:t xml:space="preserve"> there were</w:t>
      </w:r>
      <w:r w:rsidR="00153482">
        <w:rPr>
          <w:rFonts w:ascii="Times New Roman" w:hAnsi="Times New Roman" w:cs="Times New Roman"/>
        </w:rPr>
        <w:t xml:space="preserve"> </w:t>
      </w:r>
      <w:r w:rsidR="00FC31FC">
        <w:rPr>
          <w:rFonts w:ascii="Times New Roman" w:hAnsi="Times New Roman" w:cs="Times New Roman"/>
        </w:rPr>
        <w:t xml:space="preserve">a total of </w:t>
      </w:r>
      <w:r w:rsidR="00B729E5">
        <w:rPr>
          <w:rFonts w:ascii="Times New Roman" w:hAnsi="Times New Roman" w:cs="Times New Roman"/>
        </w:rPr>
        <w:t>135</w:t>
      </w:r>
      <w:r w:rsidR="006C0165">
        <w:rPr>
          <w:rFonts w:ascii="Times New Roman" w:hAnsi="Times New Roman" w:cs="Times New Roman"/>
        </w:rPr>
        <w:t xml:space="preserve"> constituencies</w:t>
      </w:r>
      <w:r w:rsidR="00FC31FC">
        <w:rPr>
          <w:rFonts w:ascii="Times New Roman" w:hAnsi="Times New Roman" w:cs="Times New Roman"/>
        </w:rPr>
        <w:t xml:space="preserve"> in</w:t>
      </w:r>
      <w:r w:rsidR="00F94298">
        <w:rPr>
          <w:rFonts w:ascii="Times New Roman" w:hAnsi="Times New Roman" w:cs="Times New Roman"/>
        </w:rPr>
        <w:t xml:space="preserve"> </w:t>
      </w:r>
      <w:r w:rsidR="009F0ED6">
        <w:rPr>
          <w:rFonts w:ascii="Times New Roman" w:hAnsi="Times New Roman" w:cs="Times New Roman"/>
        </w:rPr>
        <w:t>England, Wales</w:t>
      </w:r>
      <w:r w:rsidR="00A60D29">
        <w:rPr>
          <w:rFonts w:ascii="Times New Roman" w:hAnsi="Times New Roman" w:cs="Times New Roman"/>
        </w:rPr>
        <w:t>,</w:t>
      </w:r>
      <w:r w:rsidR="009F0ED6">
        <w:rPr>
          <w:rFonts w:ascii="Times New Roman" w:hAnsi="Times New Roman" w:cs="Times New Roman"/>
        </w:rPr>
        <w:t xml:space="preserve"> and Scotland</w:t>
      </w:r>
      <w:r w:rsidR="006C0165">
        <w:rPr>
          <w:rFonts w:ascii="Times New Roman" w:hAnsi="Times New Roman" w:cs="Times New Roman"/>
        </w:rPr>
        <w:t xml:space="preserve"> with a </w:t>
      </w:r>
      <w:r w:rsidR="00B729E5">
        <w:rPr>
          <w:rFonts w:ascii="Times New Roman" w:hAnsi="Times New Roman" w:cs="Times New Roman"/>
        </w:rPr>
        <w:t>majority</w:t>
      </w:r>
      <w:r w:rsidR="00A60D29">
        <w:rPr>
          <w:rFonts w:ascii="Times New Roman" w:hAnsi="Times New Roman" w:cs="Times New Roman"/>
        </w:rPr>
        <w:t xml:space="preserve"> for the winning party</w:t>
      </w:r>
      <w:r w:rsidR="00B729E5">
        <w:rPr>
          <w:rFonts w:ascii="Times New Roman" w:hAnsi="Times New Roman" w:cs="Times New Roman"/>
        </w:rPr>
        <w:t xml:space="preserve"> </w:t>
      </w:r>
      <w:r w:rsidR="00585331">
        <w:rPr>
          <w:rFonts w:ascii="Times New Roman" w:hAnsi="Times New Roman" w:cs="Times New Roman"/>
        </w:rPr>
        <w:t>of less than 10</w:t>
      </w:r>
      <w:r w:rsidR="00C8490F">
        <w:rPr>
          <w:rFonts w:ascii="Times New Roman" w:hAnsi="Times New Roman" w:cs="Times New Roman"/>
        </w:rPr>
        <w:t>%</w:t>
      </w:r>
      <w:r w:rsidR="00585331">
        <w:rPr>
          <w:rFonts w:ascii="Times New Roman" w:hAnsi="Times New Roman" w:cs="Times New Roman"/>
        </w:rPr>
        <w:t xml:space="preserve"> (and 63 with</w:t>
      </w:r>
      <w:r w:rsidR="003E0EEA">
        <w:rPr>
          <w:rFonts w:ascii="Times New Roman" w:hAnsi="Times New Roman" w:cs="Times New Roman"/>
        </w:rPr>
        <w:t xml:space="preserve"> a majority</w:t>
      </w:r>
      <w:r w:rsidR="00585331">
        <w:rPr>
          <w:rFonts w:ascii="Times New Roman" w:hAnsi="Times New Roman" w:cs="Times New Roman"/>
        </w:rPr>
        <w:t xml:space="preserve"> under 5</w:t>
      </w:r>
      <w:r w:rsidR="00C8490F">
        <w:rPr>
          <w:rFonts w:ascii="Times New Roman" w:hAnsi="Times New Roman" w:cs="Times New Roman"/>
        </w:rPr>
        <w:t>%</w:t>
      </w:r>
      <w:r w:rsidR="00585331">
        <w:rPr>
          <w:rFonts w:ascii="Times New Roman" w:hAnsi="Times New Roman" w:cs="Times New Roman"/>
        </w:rPr>
        <w:t>).</w:t>
      </w:r>
      <w:r w:rsidR="00106B87">
        <w:rPr>
          <w:rFonts w:ascii="Times New Roman" w:hAnsi="Times New Roman" w:cs="Times New Roman"/>
        </w:rPr>
        <w:t xml:space="preserve"> </w:t>
      </w:r>
      <w:r w:rsidR="00D319B0">
        <w:rPr>
          <w:rFonts w:ascii="Times New Roman" w:hAnsi="Times New Roman" w:cs="Times New Roman"/>
        </w:rPr>
        <w:t xml:space="preserve">In 2024, </w:t>
      </w:r>
      <w:r w:rsidR="003E0EEA">
        <w:rPr>
          <w:rFonts w:ascii="Times New Roman" w:hAnsi="Times New Roman" w:cs="Times New Roman"/>
        </w:rPr>
        <w:t>this increased to</w:t>
      </w:r>
      <w:r w:rsidR="009F0ED6">
        <w:rPr>
          <w:rFonts w:ascii="Times New Roman" w:hAnsi="Times New Roman" w:cs="Times New Roman"/>
        </w:rPr>
        <w:t xml:space="preserve"> 217 </w:t>
      </w:r>
      <w:r w:rsidR="006A0B57">
        <w:rPr>
          <w:rFonts w:ascii="Times New Roman" w:hAnsi="Times New Roman" w:cs="Times New Roman"/>
        </w:rPr>
        <w:t xml:space="preserve">constituencies </w:t>
      </w:r>
      <w:r w:rsidR="009F0ED6">
        <w:rPr>
          <w:rFonts w:ascii="Times New Roman" w:hAnsi="Times New Roman" w:cs="Times New Roman"/>
        </w:rPr>
        <w:t xml:space="preserve">with a majority of </w:t>
      </w:r>
      <w:r w:rsidR="00B53860">
        <w:rPr>
          <w:rFonts w:ascii="Times New Roman" w:hAnsi="Times New Roman" w:cs="Times New Roman"/>
        </w:rPr>
        <w:t>less than 10% (and 112 under 5%).</w:t>
      </w:r>
      <w:r w:rsidR="00356526">
        <w:rPr>
          <w:rFonts w:ascii="Times New Roman" w:hAnsi="Times New Roman" w:cs="Times New Roman"/>
        </w:rPr>
        <w:t xml:space="preserve"> </w:t>
      </w:r>
      <w:r w:rsidR="00457204">
        <w:rPr>
          <w:rFonts w:ascii="Times New Roman" w:hAnsi="Times New Roman" w:cs="Times New Roman"/>
        </w:rPr>
        <w:t xml:space="preserve">This increases the </w:t>
      </w:r>
      <w:r w:rsidR="004F416F">
        <w:rPr>
          <w:rFonts w:ascii="Times New Roman" w:hAnsi="Times New Roman" w:cs="Times New Roman"/>
        </w:rPr>
        <w:t>vulnerability of Labour</w:t>
      </w:r>
      <w:r w:rsidR="00C17019">
        <w:rPr>
          <w:rFonts w:ascii="Times New Roman" w:hAnsi="Times New Roman" w:cs="Times New Roman"/>
        </w:rPr>
        <w:t>,</w:t>
      </w:r>
      <w:r w:rsidR="004F416F">
        <w:rPr>
          <w:rFonts w:ascii="Times New Roman" w:hAnsi="Times New Roman" w:cs="Times New Roman"/>
        </w:rPr>
        <w:t xml:space="preserve"> in particular</w:t>
      </w:r>
      <w:r w:rsidR="00C17019">
        <w:rPr>
          <w:rFonts w:ascii="Times New Roman" w:hAnsi="Times New Roman" w:cs="Times New Roman"/>
        </w:rPr>
        <w:t xml:space="preserve"> – as the incumbent – </w:t>
      </w:r>
      <w:r w:rsidR="004F416F">
        <w:rPr>
          <w:rFonts w:ascii="Times New Roman" w:hAnsi="Times New Roman" w:cs="Times New Roman"/>
        </w:rPr>
        <w:t>to</w:t>
      </w:r>
      <w:r w:rsidR="00C17019">
        <w:rPr>
          <w:rFonts w:ascii="Times New Roman" w:hAnsi="Times New Roman" w:cs="Times New Roman"/>
        </w:rPr>
        <w:t xml:space="preserve"> </w:t>
      </w:r>
      <w:r w:rsidR="004F416F">
        <w:rPr>
          <w:rFonts w:ascii="Times New Roman" w:hAnsi="Times New Roman" w:cs="Times New Roman"/>
        </w:rPr>
        <w:t xml:space="preserve">relatively modest </w:t>
      </w:r>
      <w:r w:rsidR="00C17019">
        <w:rPr>
          <w:rFonts w:ascii="Times New Roman" w:hAnsi="Times New Roman" w:cs="Times New Roman"/>
        </w:rPr>
        <w:t xml:space="preserve">swings against it. </w:t>
      </w:r>
      <w:r w:rsidR="00B605F2">
        <w:rPr>
          <w:rFonts w:ascii="Times New Roman" w:hAnsi="Times New Roman" w:cs="Times New Roman"/>
        </w:rPr>
        <w:t xml:space="preserve">Despite the rise of Reform and challenge in certain places from the Greens and Independents, the Conservatives continue to be the </w:t>
      </w:r>
      <w:r w:rsidR="009E1791">
        <w:rPr>
          <w:rFonts w:ascii="Times New Roman" w:hAnsi="Times New Roman" w:cs="Times New Roman"/>
        </w:rPr>
        <w:t>primary challenger to Labour in the majority of</w:t>
      </w:r>
      <w:r w:rsidR="00873ED2">
        <w:rPr>
          <w:rFonts w:ascii="Times New Roman" w:hAnsi="Times New Roman" w:cs="Times New Roman"/>
        </w:rPr>
        <w:t xml:space="preserve"> parliamentary</w:t>
      </w:r>
      <w:r w:rsidR="009E1791">
        <w:rPr>
          <w:rFonts w:ascii="Times New Roman" w:hAnsi="Times New Roman" w:cs="Times New Roman"/>
        </w:rPr>
        <w:t xml:space="preserve"> constituencies (see </w:t>
      </w:r>
      <w:r w:rsidR="001C4BDC">
        <w:rPr>
          <w:rFonts w:ascii="Times New Roman" w:hAnsi="Times New Roman" w:cs="Times New Roman"/>
        </w:rPr>
        <w:t>Table 1</w:t>
      </w:r>
      <w:r w:rsidR="009E1791">
        <w:rPr>
          <w:rFonts w:ascii="Times New Roman" w:hAnsi="Times New Roman" w:cs="Times New Roman"/>
        </w:rPr>
        <w:t xml:space="preserve">). </w:t>
      </w:r>
      <w:r w:rsidR="006D57AE">
        <w:rPr>
          <w:rFonts w:ascii="Times New Roman" w:hAnsi="Times New Roman" w:cs="Times New Roman"/>
        </w:rPr>
        <w:t xml:space="preserve">Specifically, the Conservatives are in second place in </w:t>
      </w:r>
      <w:r w:rsidR="006D57AE" w:rsidRPr="007B5A0E">
        <w:rPr>
          <w:rFonts w:ascii="Times New Roman" w:hAnsi="Times New Roman" w:cs="Times New Roman"/>
        </w:rPr>
        <w:t>85 out of the</w:t>
      </w:r>
      <w:r w:rsidR="00BD6676" w:rsidRPr="007B5A0E">
        <w:rPr>
          <w:rFonts w:ascii="Times New Roman" w:hAnsi="Times New Roman" w:cs="Times New Roman"/>
        </w:rPr>
        <w:t xml:space="preserve"> </w:t>
      </w:r>
      <w:r w:rsidR="00C332C8" w:rsidRPr="007B5A0E">
        <w:rPr>
          <w:rFonts w:ascii="Times New Roman" w:hAnsi="Times New Roman" w:cs="Times New Roman"/>
        </w:rPr>
        <w:t>97</w:t>
      </w:r>
      <w:r w:rsidR="00873ED2">
        <w:rPr>
          <w:rFonts w:ascii="Times New Roman" w:hAnsi="Times New Roman" w:cs="Times New Roman"/>
        </w:rPr>
        <w:t xml:space="preserve"> most marginal seats </w:t>
      </w:r>
      <w:r w:rsidR="00BD6676">
        <w:rPr>
          <w:rFonts w:ascii="Times New Roman" w:hAnsi="Times New Roman" w:cs="Times New Roman"/>
        </w:rPr>
        <w:t xml:space="preserve">(where the majority </w:t>
      </w:r>
      <w:r w:rsidR="0066719D">
        <w:rPr>
          <w:rFonts w:ascii="Times New Roman" w:hAnsi="Times New Roman" w:cs="Times New Roman"/>
        </w:rPr>
        <w:t xml:space="preserve">is </w:t>
      </w:r>
      <w:r w:rsidR="00BD6676">
        <w:rPr>
          <w:rFonts w:ascii="Times New Roman" w:hAnsi="Times New Roman" w:cs="Times New Roman"/>
        </w:rPr>
        <w:t>under 10%).</w:t>
      </w:r>
      <w:r w:rsidR="006D57AE">
        <w:rPr>
          <w:rFonts w:ascii="Times New Roman" w:hAnsi="Times New Roman" w:cs="Times New Roman"/>
        </w:rPr>
        <w:t xml:space="preserve"> </w:t>
      </w:r>
      <w:r w:rsidR="001221AA" w:rsidRPr="00910BC6">
        <w:rPr>
          <w:rFonts w:ascii="Times New Roman" w:hAnsi="Times New Roman" w:cs="Times New Roman"/>
        </w:rPr>
        <w:t xml:space="preserve">Reform </w:t>
      </w:r>
      <w:proofErr w:type="gramStart"/>
      <w:r w:rsidR="001221AA" w:rsidRPr="00910BC6">
        <w:rPr>
          <w:rFonts w:ascii="Times New Roman" w:hAnsi="Times New Roman" w:cs="Times New Roman"/>
        </w:rPr>
        <w:t>are</w:t>
      </w:r>
      <w:proofErr w:type="gramEnd"/>
      <w:r w:rsidR="001221AA" w:rsidRPr="00910BC6">
        <w:rPr>
          <w:rFonts w:ascii="Times New Roman" w:hAnsi="Times New Roman" w:cs="Times New Roman"/>
        </w:rPr>
        <w:t xml:space="preserve"> second </w:t>
      </w:r>
      <w:r w:rsidR="001221AA" w:rsidRPr="007B5A0E">
        <w:rPr>
          <w:rFonts w:ascii="Times New Roman" w:hAnsi="Times New Roman" w:cs="Times New Roman"/>
        </w:rPr>
        <w:t xml:space="preserve">in just </w:t>
      </w:r>
      <w:r w:rsidR="009213FE" w:rsidRPr="007B5A0E">
        <w:rPr>
          <w:rFonts w:ascii="Times New Roman" w:hAnsi="Times New Roman" w:cs="Times New Roman"/>
        </w:rPr>
        <w:t>3 of these seats, and the Greens are second in none</w:t>
      </w:r>
      <w:r w:rsidR="009213FE" w:rsidRPr="00910BC6">
        <w:rPr>
          <w:rFonts w:ascii="Times New Roman" w:hAnsi="Times New Roman" w:cs="Times New Roman"/>
        </w:rPr>
        <w:t>.</w:t>
      </w:r>
      <w:r w:rsidR="002065EE">
        <w:rPr>
          <w:rFonts w:ascii="Times New Roman" w:hAnsi="Times New Roman" w:cs="Times New Roman"/>
        </w:rPr>
        <w:t xml:space="preserve"> I</w:t>
      </w:r>
      <w:r w:rsidR="00910BC6">
        <w:rPr>
          <w:rFonts w:ascii="Times New Roman" w:hAnsi="Times New Roman" w:cs="Times New Roman"/>
        </w:rPr>
        <w:t>t</w:t>
      </w:r>
      <w:r w:rsidR="002065EE">
        <w:rPr>
          <w:rFonts w:ascii="Times New Roman" w:hAnsi="Times New Roman" w:cs="Times New Roman"/>
        </w:rPr>
        <w:t xml:space="preserve"> is only once Labour’s </w:t>
      </w:r>
      <w:r w:rsidR="00F367FF">
        <w:rPr>
          <w:rFonts w:ascii="Times New Roman" w:hAnsi="Times New Roman" w:cs="Times New Roman"/>
        </w:rPr>
        <w:t>majority is above 15% that there are a considerable number of second places for Reform</w:t>
      </w:r>
      <w:r w:rsidR="00A26F41">
        <w:rPr>
          <w:rFonts w:ascii="Times New Roman" w:hAnsi="Times New Roman" w:cs="Times New Roman"/>
        </w:rPr>
        <w:t>. Most of the Green second places are in the safe</w:t>
      </w:r>
      <w:r w:rsidR="00D816BC">
        <w:rPr>
          <w:rFonts w:ascii="Times New Roman" w:hAnsi="Times New Roman" w:cs="Times New Roman"/>
        </w:rPr>
        <w:t>st</w:t>
      </w:r>
      <w:r w:rsidR="00A26F41">
        <w:rPr>
          <w:rFonts w:ascii="Times New Roman" w:hAnsi="Times New Roman" w:cs="Times New Roman"/>
        </w:rPr>
        <w:t xml:space="preserve"> Labour-held </w:t>
      </w:r>
      <w:r w:rsidR="002533F4">
        <w:rPr>
          <w:rFonts w:ascii="Times New Roman" w:hAnsi="Times New Roman" w:cs="Times New Roman"/>
        </w:rPr>
        <w:t xml:space="preserve">seats (where the majority is </w:t>
      </w:r>
      <w:r w:rsidR="002533F4" w:rsidRPr="00C51ADF">
        <w:rPr>
          <w:rFonts w:ascii="Times New Roman" w:hAnsi="Times New Roman" w:cs="Times New Roman"/>
        </w:rPr>
        <w:t>over 25%).</w:t>
      </w:r>
    </w:p>
    <w:p w14:paraId="23044B4A" w14:textId="7A6669D3" w:rsidR="002533F4" w:rsidRPr="00C51ADF" w:rsidRDefault="0094293D" w:rsidP="002533F4">
      <w:pPr>
        <w:spacing w:after="0"/>
        <w:rPr>
          <w:rFonts w:ascii="Times New Roman" w:hAnsi="Times New Roman" w:cs="Times New Roman"/>
        </w:rPr>
      </w:pPr>
      <w:r w:rsidRPr="00C51ADF">
        <w:rPr>
          <w:rFonts w:ascii="Times New Roman" w:hAnsi="Times New Roman" w:cs="Times New Roman"/>
          <w:b/>
          <w:bCs/>
        </w:rPr>
        <w:t>Table 1</w:t>
      </w:r>
      <w:r w:rsidR="002533F4" w:rsidRPr="00C51ADF">
        <w:rPr>
          <w:rFonts w:ascii="Times New Roman" w:hAnsi="Times New Roman" w:cs="Times New Roman"/>
          <w:b/>
          <w:bCs/>
        </w:rPr>
        <w:t xml:space="preserve">. </w:t>
      </w:r>
      <w:r w:rsidR="00F85A30" w:rsidRPr="00C51ADF">
        <w:rPr>
          <w:rFonts w:ascii="Times New Roman" w:hAnsi="Times New Roman" w:cs="Times New Roman"/>
        </w:rPr>
        <w:t>Second-placed party</w:t>
      </w:r>
      <w:r w:rsidR="00FF306D">
        <w:rPr>
          <w:rFonts w:ascii="Times New Roman" w:hAnsi="Times New Roman" w:cs="Times New Roman"/>
        </w:rPr>
        <w:t xml:space="preserve"> in Labour-held seats</w:t>
      </w:r>
      <w:r w:rsidR="00F85A30" w:rsidRPr="00C51ADF">
        <w:rPr>
          <w:rFonts w:ascii="Times New Roman" w:hAnsi="Times New Roman" w:cs="Times New Roman"/>
        </w:rPr>
        <w:t xml:space="preserve"> by m</w:t>
      </w:r>
      <w:r w:rsidR="002533F4" w:rsidRPr="00C51ADF">
        <w:rPr>
          <w:rFonts w:ascii="Times New Roman" w:hAnsi="Times New Roman" w:cs="Times New Roman"/>
        </w:rPr>
        <w:t>arginality of parliamentary constituency, 2024</w:t>
      </w:r>
    </w:p>
    <w:tbl>
      <w:tblPr>
        <w:tblStyle w:val="TableGrid"/>
        <w:tblW w:w="0" w:type="auto"/>
        <w:tblLook w:val="04A0" w:firstRow="1" w:lastRow="0" w:firstColumn="1" w:lastColumn="0" w:noHBand="0" w:noVBand="1"/>
      </w:tblPr>
      <w:tblGrid>
        <w:gridCol w:w="2263"/>
        <w:gridCol w:w="1134"/>
        <w:gridCol w:w="1113"/>
        <w:gridCol w:w="1150"/>
        <w:gridCol w:w="1150"/>
        <w:gridCol w:w="1128"/>
        <w:gridCol w:w="1078"/>
      </w:tblGrid>
      <w:tr w:rsidR="00C51ADF" w:rsidRPr="00C51ADF" w14:paraId="24655FD1" w14:textId="77777777" w:rsidTr="0088284D">
        <w:trPr>
          <w:trHeight w:val="891"/>
        </w:trPr>
        <w:tc>
          <w:tcPr>
            <w:tcW w:w="2263" w:type="dxa"/>
          </w:tcPr>
          <w:p w14:paraId="0CACC548" w14:textId="77777777" w:rsidR="00F93811" w:rsidRPr="00C51ADF" w:rsidRDefault="00F93811" w:rsidP="002533F4">
            <w:pPr>
              <w:rPr>
                <w:rFonts w:ascii="Times New Roman" w:hAnsi="Times New Roman" w:cs="Times New Roman"/>
              </w:rPr>
            </w:pPr>
          </w:p>
        </w:tc>
        <w:tc>
          <w:tcPr>
            <w:tcW w:w="1134" w:type="dxa"/>
          </w:tcPr>
          <w:p w14:paraId="5B190D95" w14:textId="29C1A33B" w:rsidR="00F93811" w:rsidRPr="00C51ADF" w:rsidRDefault="00F93811" w:rsidP="002533F4">
            <w:pPr>
              <w:rPr>
                <w:rFonts w:ascii="Times New Roman" w:hAnsi="Times New Roman" w:cs="Times New Roman"/>
              </w:rPr>
            </w:pPr>
            <w:r w:rsidRPr="00C51ADF">
              <w:rPr>
                <w:rFonts w:ascii="Times New Roman" w:hAnsi="Times New Roman" w:cs="Times New Roman"/>
              </w:rPr>
              <w:t>Ultra-marginal (&lt;5)</w:t>
            </w:r>
          </w:p>
        </w:tc>
        <w:tc>
          <w:tcPr>
            <w:tcW w:w="1113" w:type="dxa"/>
          </w:tcPr>
          <w:p w14:paraId="0E1E20BE" w14:textId="77777777" w:rsidR="00F93811" w:rsidRPr="00C51ADF" w:rsidRDefault="00F93811" w:rsidP="00F93811">
            <w:pPr>
              <w:rPr>
                <w:rFonts w:ascii="Times New Roman" w:hAnsi="Times New Roman" w:cs="Times New Roman"/>
                <w:color w:val="000000"/>
              </w:rPr>
            </w:pPr>
            <w:r w:rsidRPr="00C51ADF">
              <w:rPr>
                <w:rFonts w:ascii="Times New Roman" w:hAnsi="Times New Roman" w:cs="Times New Roman"/>
                <w:color w:val="000000"/>
              </w:rPr>
              <w:t>Marginal (5-9.9)</w:t>
            </w:r>
          </w:p>
          <w:p w14:paraId="6B2AF055" w14:textId="77777777" w:rsidR="00F93811" w:rsidRPr="00C51ADF" w:rsidRDefault="00F93811" w:rsidP="002533F4">
            <w:pPr>
              <w:rPr>
                <w:rFonts w:ascii="Times New Roman" w:hAnsi="Times New Roman" w:cs="Times New Roman"/>
              </w:rPr>
            </w:pPr>
          </w:p>
        </w:tc>
        <w:tc>
          <w:tcPr>
            <w:tcW w:w="1150" w:type="dxa"/>
          </w:tcPr>
          <w:p w14:paraId="10326E1F" w14:textId="77777777" w:rsidR="00F93811" w:rsidRPr="00C51ADF" w:rsidRDefault="00F93811" w:rsidP="00F93811">
            <w:pPr>
              <w:rPr>
                <w:rFonts w:ascii="Times New Roman" w:hAnsi="Times New Roman" w:cs="Times New Roman"/>
                <w:color w:val="000000"/>
              </w:rPr>
            </w:pPr>
            <w:r w:rsidRPr="00C51ADF">
              <w:rPr>
                <w:rFonts w:ascii="Times New Roman" w:hAnsi="Times New Roman" w:cs="Times New Roman"/>
                <w:color w:val="000000"/>
              </w:rPr>
              <w:t>Somewhat marginal (10-14.9)</w:t>
            </w:r>
          </w:p>
          <w:p w14:paraId="6952D999" w14:textId="77777777" w:rsidR="00F93811" w:rsidRPr="00C51ADF" w:rsidRDefault="00F93811" w:rsidP="002533F4">
            <w:pPr>
              <w:rPr>
                <w:rFonts w:ascii="Times New Roman" w:hAnsi="Times New Roman" w:cs="Times New Roman"/>
              </w:rPr>
            </w:pPr>
          </w:p>
        </w:tc>
        <w:tc>
          <w:tcPr>
            <w:tcW w:w="1150" w:type="dxa"/>
          </w:tcPr>
          <w:p w14:paraId="75D722F0" w14:textId="77777777" w:rsidR="00F93811" w:rsidRPr="00C51ADF" w:rsidRDefault="00F93811" w:rsidP="00F93811">
            <w:pPr>
              <w:rPr>
                <w:rFonts w:ascii="Times New Roman" w:hAnsi="Times New Roman" w:cs="Times New Roman"/>
                <w:color w:val="000000"/>
              </w:rPr>
            </w:pPr>
            <w:r w:rsidRPr="00C51ADF">
              <w:rPr>
                <w:rFonts w:ascii="Times New Roman" w:hAnsi="Times New Roman" w:cs="Times New Roman"/>
                <w:color w:val="000000"/>
              </w:rPr>
              <w:t>Somewhat safe (15-19.9)</w:t>
            </w:r>
          </w:p>
          <w:p w14:paraId="2A72B201" w14:textId="77777777" w:rsidR="00F93811" w:rsidRPr="00C51ADF" w:rsidRDefault="00F93811" w:rsidP="002533F4">
            <w:pPr>
              <w:rPr>
                <w:rFonts w:ascii="Times New Roman" w:hAnsi="Times New Roman" w:cs="Times New Roman"/>
              </w:rPr>
            </w:pPr>
          </w:p>
        </w:tc>
        <w:tc>
          <w:tcPr>
            <w:tcW w:w="1128" w:type="dxa"/>
          </w:tcPr>
          <w:p w14:paraId="49936B88" w14:textId="77777777" w:rsidR="00F93811" w:rsidRPr="00C51ADF" w:rsidRDefault="00F93811" w:rsidP="00F93811">
            <w:pPr>
              <w:rPr>
                <w:rFonts w:ascii="Times New Roman" w:hAnsi="Times New Roman" w:cs="Times New Roman"/>
                <w:color w:val="000000"/>
              </w:rPr>
            </w:pPr>
            <w:r w:rsidRPr="00C51ADF">
              <w:rPr>
                <w:rFonts w:ascii="Times New Roman" w:hAnsi="Times New Roman" w:cs="Times New Roman"/>
                <w:color w:val="000000"/>
              </w:rPr>
              <w:t>Safe (20-24.9)</w:t>
            </w:r>
          </w:p>
          <w:p w14:paraId="0D2387AA" w14:textId="77777777" w:rsidR="00F93811" w:rsidRPr="00C51ADF" w:rsidRDefault="00F93811" w:rsidP="002533F4">
            <w:pPr>
              <w:rPr>
                <w:rFonts w:ascii="Times New Roman" w:hAnsi="Times New Roman" w:cs="Times New Roman"/>
              </w:rPr>
            </w:pPr>
          </w:p>
        </w:tc>
        <w:tc>
          <w:tcPr>
            <w:tcW w:w="1078" w:type="dxa"/>
          </w:tcPr>
          <w:p w14:paraId="01D7F7C8" w14:textId="77777777" w:rsidR="00F93811" w:rsidRPr="00C51ADF" w:rsidRDefault="00F93811" w:rsidP="00F93811">
            <w:pPr>
              <w:rPr>
                <w:rFonts w:ascii="Times New Roman" w:hAnsi="Times New Roman" w:cs="Times New Roman"/>
                <w:color w:val="000000"/>
              </w:rPr>
            </w:pPr>
            <w:r w:rsidRPr="00C51ADF">
              <w:rPr>
                <w:rFonts w:ascii="Times New Roman" w:hAnsi="Times New Roman" w:cs="Times New Roman"/>
                <w:color w:val="000000"/>
              </w:rPr>
              <w:t>Ultra safe (25+)</w:t>
            </w:r>
          </w:p>
          <w:p w14:paraId="677CE41B" w14:textId="77777777" w:rsidR="00F93811" w:rsidRPr="00C51ADF" w:rsidRDefault="00F93811" w:rsidP="002533F4">
            <w:pPr>
              <w:rPr>
                <w:rFonts w:ascii="Times New Roman" w:hAnsi="Times New Roman" w:cs="Times New Roman"/>
              </w:rPr>
            </w:pPr>
          </w:p>
        </w:tc>
      </w:tr>
      <w:tr w:rsidR="007E68AE" w:rsidRPr="00C51ADF" w14:paraId="5EDC6A45" w14:textId="77777777" w:rsidTr="007E68AE">
        <w:tc>
          <w:tcPr>
            <w:tcW w:w="2263" w:type="dxa"/>
            <w:vAlign w:val="bottom"/>
          </w:tcPr>
          <w:p w14:paraId="04C95A0C" w14:textId="1BFD0C15" w:rsidR="007E68AE" w:rsidRPr="00C51ADF" w:rsidRDefault="007E68AE" w:rsidP="007E68AE">
            <w:pPr>
              <w:rPr>
                <w:rFonts w:ascii="Times New Roman" w:hAnsi="Times New Roman" w:cs="Times New Roman"/>
              </w:rPr>
            </w:pPr>
            <w:r w:rsidRPr="00C51ADF">
              <w:rPr>
                <w:rFonts w:ascii="Times New Roman" w:hAnsi="Times New Roman" w:cs="Times New Roman"/>
                <w:color w:val="000000"/>
              </w:rPr>
              <w:t>Con</w:t>
            </w:r>
            <w:r w:rsidR="00C869C4">
              <w:rPr>
                <w:rFonts w:ascii="Times New Roman" w:hAnsi="Times New Roman" w:cs="Times New Roman"/>
                <w:color w:val="000000"/>
              </w:rPr>
              <w:t>servative Party</w:t>
            </w:r>
          </w:p>
        </w:tc>
        <w:tc>
          <w:tcPr>
            <w:tcW w:w="1134" w:type="dxa"/>
          </w:tcPr>
          <w:p w14:paraId="3B903B47" w14:textId="45F6AC41" w:rsidR="007E68AE" w:rsidRPr="00C51ADF" w:rsidRDefault="001F7730" w:rsidP="007E68AE">
            <w:pPr>
              <w:rPr>
                <w:rFonts w:ascii="Times New Roman" w:hAnsi="Times New Roman" w:cs="Times New Roman"/>
              </w:rPr>
            </w:pPr>
            <w:r w:rsidRPr="00C51ADF">
              <w:rPr>
                <w:rFonts w:ascii="Times New Roman" w:hAnsi="Times New Roman" w:cs="Times New Roman"/>
              </w:rPr>
              <w:t>43</w:t>
            </w:r>
          </w:p>
        </w:tc>
        <w:tc>
          <w:tcPr>
            <w:tcW w:w="1113" w:type="dxa"/>
          </w:tcPr>
          <w:p w14:paraId="273EE01F" w14:textId="233B02F8" w:rsidR="007E68AE" w:rsidRPr="00C51ADF" w:rsidRDefault="001F7730" w:rsidP="007E68AE">
            <w:pPr>
              <w:rPr>
                <w:rFonts w:ascii="Times New Roman" w:hAnsi="Times New Roman" w:cs="Times New Roman"/>
              </w:rPr>
            </w:pPr>
            <w:r w:rsidRPr="00C51ADF">
              <w:rPr>
                <w:rFonts w:ascii="Times New Roman" w:hAnsi="Times New Roman" w:cs="Times New Roman"/>
              </w:rPr>
              <w:t>42</w:t>
            </w:r>
          </w:p>
        </w:tc>
        <w:tc>
          <w:tcPr>
            <w:tcW w:w="1150" w:type="dxa"/>
          </w:tcPr>
          <w:p w14:paraId="3228CA1F" w14:textId="29EDB744" w:rsidR="007E68AE" w:rsidRPr="00C51ADF" w:rsidRDefault="001F7730" w:rsidP="007E68AE">
            <w:pPr>
              <w:rPr>
                <w:rFonts w:ascii="Times New Roman" w:hAnsi="Times New Roman" w:cs="Times New Roman"/>
              </w:rPr>
            </w:pPr>
            <w:r w:rsidRPr="00C51ADF">
              <w:rPr>
                <w:rFonts w:ascii="Times New Roman" w:hAnsi="Times New Roman" w:cs="Times New Roman"/>
              </w:rPr>
              <w:t>40</w:t>
            </w:r>
          </w:p>
        </w:tc>
        <w:tc>
          <w:tcPr>
            <w:tcW w:w="1150" w:type="dxa"/>
          </w:tcPr>
          <w:p w14:paraId="61DEDE54" w14:textId="1F9C7702" w:rsidR="007E68AE" w:rsidRPr="00C51ADF" w:rsidRDefault="001F7730" w:rsidP="007E68AE">
            <w:pPr>
              <w:rPr>
                <w:rFonts w:ascii="Times New Roman" w:hAnsi="Times New Roman" w:cs="Times New Roman"/>
              </w:rPr>
            </w:pPr>
            <w:r w:rsidRPr="00C51ADF">
              <w:rPr>
                <w:rFonts w:ascii="Times New Roman" w:hAnsi="Times New Roman" w:cs="Times New Roman"/>
              </w:rPr>
              <w:t>31</w:t>
            </w:r>
          </w:p>
        </w:tc>
        <w:tc>
          <w:tcPr>
            <w:tcW w:w="1128" w:type="dxa"/>
          </w:tcPr>
          <w:p w14:paraId="3E0418E7" w14:textId="50C5E39C" w:rsidR="007E68AE" w:rsidRPr="00C51ADF" w:rsidRDefault="001F7730" w:rsidP="007E68AE">
            <w:pPr>
              <w:rPr>
                <w:rFonts w:ascii="Times New Roman" w:hAnsi="Times New Roman" w:cs="Times New Roman"/>
              </w:rPr>
            </w:pPr>
            <w:r w:rsidRPr="00C51ADF">
              <w:rPr>
                <w:rFonts w:ascii="Times New Roman" w:hAnsi="Times New Roman" w:cs="Times New Roman"/>
              </w:rPr>
              <w:t>27</w:t>
            </w:r>
          </w:p>
        </w:tc>
        <w:tc>
          <w:tcPr>
            <w:tcW w:w="1078" w:type="dxa"/>
          </w:tcPr>
          <w:p w14:paraId="25CA599C" w14:textId="3462202D" w:rsidR="007E68AE" w:rsidRPr="00C51ADF" w:rsidRDefault="001F7730" w:rsidP="007E68AE">
            <w:pPr>
              <w:rPr>
                <w:rFonts w:ascii="Times New Roman" w:hAnsi="Times New Roman" w:cs="Times New Roman"/>
              </w:rPr>
            </w:pPr>
            <w:r w:rsidRPr="00C51ADF">
              <w:rPr>
                <w:rFonts w:ascii="Times New Roman" w:hAnsi="Times New Roman" w:cs="Times New Roman"/>
              </w:rPr>
              <w:t>36</w:t>
            </w:r>
          </w:p>
        </w:tc>
      </w:tr>
      <w:tr w:rsidR="007E68AE" w:rsidRPr="00C51ADF" w14:paraId="527B8790" w14:textId="77777777" w:rsidTr="007E68AE">
        <w:tc>
          <w:tcPr>
            <w:tcW w:w="2263" w:type="dxa"/>
            <w:vAlign w:val="bottom"/>
          </w:tcPr>
          <w:p w14:paraId="48E5C689" w14:textId="102ECCE3" w:rsidR="007E68AE" w:rsidRPr="00C51ADF" w:rsidRDefault="007E68AE" w:rsidP="007E68AE">
            <w:pPr>
              <w:rPr>
                <w:rFonts w:ascii="Times New Roman" w:hAnsi="Times New Roman" w:cs="Times New Roman"/>
              </w:rPr>
            </w:pPr>
            <w:r w:rsidRPr="00C51ADF">
              <w:rPr>
                <w:rFonts w:ascii="Times New Roman" w:hAnsi="Times New Roman" w:cs="Times New Roman"/>
                <w:color w:val="000000"/>
              </w:rPr>
              <w:t>Green</w:t>
            </w:r>
            <w:r w:rsidR="00C869C4">
              <w:rPr>
                <w:rFonts w:ascii="Times New Roman" w:hAnsi="Times New Roman" w:cs="Times New Roman"/>
                <w:color w:val="000000"/>
              </w:rPr>
              <w:t xml:space="preserve"> Party</w:t>
            </w:r>
          </w:p>
        </w:tc>
        <w:tc>
          <w:tcPr>
            <w:tcW w:w="1134" w:type="dxa"/>
          </w:tcPr>
          <w:p w14:paraId="31FE5E12" w14:textId="1BE809A1" w:rsidR="007E68AE" w:rsidRPr="00C51ADF" w:rsidRDefault="00E10DF9" w:rsidP="007E68AE">
            <w:pPr>
              <w:rPr>
                <w:rFonts w:ascii="Times New Roman" w:hAnsi="Times New Roman" w:cs="Times New Roman"/>
              </w:rPr>
            </w:pPr>
            <w:r w:rsidRPr="00C51ADF">
              <w:rPr>
                <w:rFonts w:ascii="Times New Roman" w:hAnsi="Times New Roman" w:cs="Times New Roman"/>
              </w:rPr>
              <w:t>0</w:t>
            </w:r>
          </w:p>
        </w:tc>
        <w:tc>
          <w:tcPr>
            <w:tcW w:w="1113" w:type="dxa"/>
          </w:tcPr>
          <w:p w14:paraId="066BAC63" w14:textId="2F928BF2" w:rsidR="007E68AE" w:rsidRPr="00C51ADF" w:rsidRDefault="00E10DF9" w:rsidP="007E68AE">
            <w:pPr>
              <w:rPr>
                <w:rFonts w:ascii="Times New Roman" w:hAnsi="Times New Roman" w:cs="Times New Roman"/>
              </w:rPr>
            </w:pPr>
            <w:r w:rsidRPr="00C51ADF">
              <w:rPr>
                <w:rFonts w:ascii="Times New Roman" w:hAnsi="Times New Roman" w:cs="Times New Roman"/>
              </w:rPr>
              <w:t>0</w:t>
            </w:r>
          </w:p>
        </w:tc>
        <w:tc>
          <w:tcPr>
            <w:tcW w:w="1150" w:type="dxa"/>
          </w:tcPr>
          <w:p w14:paraId="6BC10F41" w14:textId="75115052" w:rsidR="007E68AE" w:rsidRPr="00C51ADF" w:rsidRDefault="00E10DF9" w:rsidP="007E68AE">
            <w:pPr>
              <w:rPr>
                <w:rFonts w:ascii="Times New Roman" w:hAnsi="Times New Roman" w:cs="Times New Roman"/>
              </w:rPr>
            </w:pPr>
            <w:r w:rsidRPr="00C51ADF">
              <w:rPr>
                <w:rFonts w:ascii="Times New Roman" w:hAnsi="Times New Roman" w:cs="Times New Roman"/>
              </w:rPr>
              <w:t>2</w:t>
            </w:r>
          </w:p>
        </w:tc>
        <w:tc>
          <w:tcPr>
            <w:tcW w:w="1150" w:type="dxa"/>
          </w:tcPr>
          <w:p w14:paraId="687320C7" w14:textId="7D11F5B8" w:rsidR="007E68AE" w:rsidRPr="00C51ADF" w:rsidRDefault="00E10DF9" w:rsidP="007E68AE">
            <w:pPr>
              <w:rPr>
                <w:rFonts w:ascii="Times New Roman" w:hAnsi="Times New Roman" w:cs="Times New Roman"/>
              </w:rPr>
            </w:pPr>
            <w:r w:rsidRPr="00C51ADF">
              <w:rPr>
                <w:rFonts w:ascii="Times New Roman" w:hAnsi="Times New Roman" w:cs="Times New Roman"/>
              </w:rPr>
              <w:t>1</w:t>
            </w:r>
          </w:p>
        </w:tc>
        <w:tc>
          <w:tcPr>
            <w:tcW w:w="1128" w:type="dxa"/>
          </w:tcPr>
          <w:p w14:paraId="23BD6F5A" w14:textId="095868EE" w:rsidR="007E68AE" w:rsidRPr="00C51ADF" w:rsidRDefault="00E10DF9" w:rsidP="007E68AE">
            <w:pPr>
              <w:rPr>
                <w:rFonts w:ascii="Times New Roman" w:hAnsi="Times New Roman" w:cs="Times New Roman"/>
              </w:rPr>
            </w:pPr>
            <w:r w:rsidRPr="00C51ADF">
              <w:rPr>
                <w:rFonts w:ascii="Times New Roman" w:hAnsi="Times New Roman" w:cs="Times New Roman"/>
              </w:rPr>
              <w:t>0</w:t>
            </w:r>
          </w:p>
        </w:tc>
        <w:tc>
          <w:tcPr>
            <w:tcW w:w="1078" w:type="dxa"/>
          </w:tcPr>
          <w:p w14:paraId="134ED62F" w14:textId="55B6C8E5" w:rsidR="007E68AE" w:rsidRPr="00C51ADF" w:rsidRDefault="00E10DF9" w:rsidP="007E68AE">
            <w:pPr>
              <w:rPr>
                <w:rFonts w:ascii="Times New Roman" w:hAnsi="Times New Roman" w:cs="Times New Roman"/>
              </w:rPr>
            </w:pPr>
            <w:r w:rsidRPr="00C51ADF">
              <w:rPr>
                <w:rFonts w:ascii="Times New Roman" w:hAnsi="Times New Roman" w:cs="Times New Roman"/>
              </w:rPr>
              <w:t>36</w:t>
            </w:r>
          </w:p>
        </w:tc>
      </w:tr>
      <w:tr w:rsidR="007E68AE" w:rsidRPr="00C51ADF" w14:paraId="0663476A" w14:textId="77777777" w:rsidTr="007E68AE">
        <w:tc>
          <w:tcPr>
            <w:tcW w:w="2263" w:type="dxa"/>
            <w:vAlign w:val="bottom"/>
          </w:tcPr>
          <w:p w14:paraId="680C8BE2" w14:textId="508E5042" w:rsidR="007E68AE" w:rsidRPr="00C51ADF" w:rsidRDefault="007E68AE" w:rsidP="007E68AE">
            <w:pPr>
              <w:rPr>
                <w:rFonts w:ascii="Times New Roman" w:hAnsi="Times New Roman" w:cs="Times New Roman"/>
              </w:rPr>
            </w:pPr>
            <w:r w:rsidRPr="00C51ADF">
              <w:rPr>
                <w:rFonts w:ascii="Times New Roman" w:hAnsi="Times New Roman" w:cs="Times New Roman"/>
                <w:color w:val="000000"/>
              </w:rPr>
              <w:t>L</w:t>
            </w:r>
            <w:r w:rsidR="00C869C4">
              <w:rPr>
                <w:rFonts w:ascii="Times New Roman" w:hAnsi="Times New Roman" w:cs="Times New Roman"/>
                <w:color w:val="000000"/>
              </w:rPr>
              <w:t>iberal Democrats</w:t>
            </w:r>
          </w:p>
        </w:tc>
        <w:tc>
          <w:tcPr>
            <w:tcW w:w="1134" w:type="dxa"/>
          </w:tcPr>
          <w:p w14:paraId="445F3E82" w14:textId="7EE64DE5" w:rsidR="007E68AE" w:rsidRPr="00C51ADF" w:rsidRDefault="00E10DF9" w:rsidP="007E68AE">
            <w:pPr>
              <w:rPr>
                <w:rFonts w:ascii="Times New Roman" w:hAnsi="Times New Roman" w:cs="Times New Roman"/>
              </w:rPr>
            </w:pPr>
            <w:r w:rsidRPr="00C51ADF">
              <w:rPr>
                <w:rFonts w:ascii="Times New Roman" w:hAnsi="Times New Roman" w:cs="Times New Roman"/>
              </w:rPr>
              <w:t>0</w:t>
            </w:r>
          </w:p>
        </w:tc>
        <w:tc>
          <w:tcPr>
            <w:tcW w:w="1113" w:type="dxa"/>
          </w:tcPr>
          <w:p w14:paraId="14EDE02A" w14:textId="412A71DF" w:rsidR="007E68AE" w:rsidRPr="00C51ADF" w:rsidRDefault="00E10DF9" w:rsidP="007E68AE">
            <w:pPr>
              <w:rPr>
                <w:rFonts w:ascii="Times New Roman" w:hAnsi="Times New Roman" w:cs="Times New Roman"/>
              </w:rPr>
            </w:pPr>
            <w:r w:rsidRPr="00C51ADF">
              <w:rPr>
                <w:rFonts w:ascii="Times New Roman" w:hAnsi="Times New Roman" w:cs="Times New Roman"/>
              </w:rPr>
              <w:t>1</w:t>
            </w:r>
          </w:p>
        </w:tc>
        <w:tc>
          <w:tcPr>
            <w:tcW w:w="1150" w:type="dxa"/>
          </w:tcPr>
          <w:p w14:paraId="04BD640F" w14:textId="5147C55F" w:rsidR="007E68AE" w:rsidRPr="00C51ADF" w:rsidRDefault="00E10DF9" w:rsidP="007E68AE">
            <w:pPr>
              <w:rPr>
                <w:rFonts w:ascii="Times New Roman" w:hAnsi="Times New Roman" w:cs="Times New Roman"/>
              </w:rPr>
            </w:pPr>
            <w:r w:rsidRPr="00C51ADF">
              <w:rPr>
                <w:rFonts w:ascii="Times New Roman" w:hAnsi="Times New Roman" w:cs="Times New Roman"/>
              </w:rPr>
              <w:t>0</w:t>
            </w:r>
          </w:p>
        </w:tc>
        <w:tc>
          <w:tcPr>
            <w:tcW w:w="1150" w:type="dxa"/>
          </w:tcPr>
          <w:p w14:paraId="70B43AC9" w14:textId="3D6C7B9B" w:rsidR="007E68AE" w:rsidRPr="00C51ADF" w:rsidRDefault="00E10DF9" w:rsidP="007E68AE">
            <w:pPr>
              <w:rPr>
                <w:rFonts w:ascii="Times New Roman" w:hAnsi="Times New Roman" w:cs="Times New Roman"/>
              </w:rPr>
            </w:pPr>
            <w:r w:rsidRPr="00C51ADF">
              <w:rPr>
                <w:rFonts w:ascii="Times New Roman" w:hAnsi="Times New Roman" w:cs="Times New Roman"/>
              </w:rPr>
              <w:t>1</w:t>
            </w:r>
          </w:p>
        </w:tc>
        <w:tc>
          <w:tcPr>
            <w:tcW w:w="1128" w:type="dxa"/>
          </w:tcPr>
          <w:p w14:paraId="4D4018B8" w14:textId="2ADBD6B7" w:rsidR="007E68AE" w:rsidRPr="00C51ADF" w:rsidRDefault="00991027" w:rsidP="007E68AE">
            <w:pPr>
              <w:rPr>
                <w:rFonts w:ascii="Times New Roman" w:hAnsi="Times New Roman" w:cs="Times New Roman"/>
              </w:rPr>
            </w:pPr>
            <w:r w:rsidRPr="00C51ADF">
              <w:rPr>
                <w:rFonts w:ascii="Times New Roman" w:hAnsi="Times New Roman" w:cs="Times New Roman"/>
              </w:rPr>
              <w:t>2</w:t>
            </w:r>
          </w:p>
        </w:tc>
        <w:tc>
          <w:tcPr>
            <w:tcW w:w="1078" w:type="dxa"/>
          </w:tcPr>
          <w:p w14:paraId="5C280561" w14:textId="59E291FC" w:rsidR="007E68AE" w:rsidRPr="00C51ADF" w:rsidRDefault="00991027" w:rsidP="007E68AE">
            <w:pPr>
              <w:rPr>
                <w:rFonts w:ascii="Times New Roman" w:hAnsi="Times New Roman" w:cs="Times New Roman"/>
              </w:rPr>
            </w:pPr>
            <w:r w:rsidRPr="00C51ADF">
              <w:rPr>
                <w:rFonts w:ascii="Times New Roman" w:hAnsi="Times New Roman" w:cs="Times New Roman"/>
              </w:rPr>
              <w:t>2</w:t>
            </w:r>
          </w:p>
        </w:tc>
      </w:tr>
      <w:tr w:rsidR="007E68AE" w:rsidRPr="00C51ADF" w14:paraId="27A73AE9" w14:textId="77777777" w:rsidTr="007E68AE">
        <w:tc>
          <w:tcPr>
            <w:tcW w:w="2263" w:type="dxa"/>
            <w:vAlign w:val="bottom"/>
          </w:tcPr>
          <w:p w14:paraId="29B75393" w14:textId="7534441D" w:rsidR="007E68AE" w:rsidRPr="00C51ADF" w:rsidRDefault="007E68AE" w:rsidP="007E68AE">
            <w:pPr>
              <w:rPr>
                <w:rFonts w:ascii="Times New Roman" w:hAnsi="Times New Roman" w:cs="Times New Roman"/>
              </w:rPr>
            </w:pPr>
            <w:r w:rsidRPr="00C51ADF">
              <w:rPr>
                <w:rFonts w:ascii="Times New Roman" w:hAnsi="Times New Roman" w:cs="Times New Roman"/>
                <w:color w:val="000000"/>
              </w:rPr>
              <w:t>Other</w:t>
            </w:r>
          </w:p>
        </w:tc>
        <w:tc>
          <w:tcPr>
            <w:tcW w:w="1134" w:type="dxa"/>
          </w:tcPr>
          <w:p w14:paraId="790DEC5D" w14:textId="3D794FDA" w:rsidR="007E68AE" w:rsidRPr="00C51ADF" w:rsidRDefault="00991027" w:rsidP="007E68AE">
            <w:pPr>
              <w:rPr>
                <w:rFonts w:ascii="Times New Roman" w:hAnsi="Times New Roman" w:cs="Times New Roman"/>
              </w:rPr>
            </w:pPr>
            <w:r w:rsidRPr="00C51ADF">
              <w:rPr>
                <w:rFonts w:ascii="Times New Roman" w:hAnsi="Times New Roman" w:cs="Times New Roman"/>
              </w:rPr>
              <w:t>6</w:t>
            </w:r>
          </w:p>
        </w:tc>
        <w:tc>
          <w:tcPr>
            <w:tcW w:w="1113" w:type="dxa"/>
          </w:tcPr>
          <w:p w14:paraId="2631B44E" w14:textId="1C0FD78C" w:rsidR="007E68AE" w:rsidRPr="00C51ADF" w:rsidRDefault="00B25CFA" w:rsidP="007E68AE">
            <w:pPr>
              <w:rPr>
                <w:rFonts w:ascii="Times New Roman" w:hAnsi="Times New Roman" w:cs="Times New Roman"/>
              </w:rPr>
            </w:pPr>
            <w:r w:rsidRPr="00C51ADF">
              <w:rPr>
                <w:rFonts w:ascii="Times New Roman" w:hAnsi="Times New Roman" w:cs="Times New Roman"/>
              </w:rPr>
              <w:t>2</w:t>
            </w:r>
          </w:p>
        </w:tc>
        <w:tc>
          <w:tcPr>
            <w:tcW w:w="1150" w:type="dxa"/>
          </w:tcPr>
          <w:p w14:paraId="5BDEEC60" w14:textId="1FB781EA" w:rsidR="007E68AE" w:rsidRPr="00C51ADF" w:rsidRDefault="00B25CFA" w:rsidP="007E68AE">
            <w:pPr>
              <w:rPr>
                <w:rFonts w:ascii="Times New Roman" w:hAnsi="Times New Roman" w:cs="Times New Roman"/>
              </w:rPr>
            </w:pPr>
            <w:r w:rsidRPr="00C51ADF">
              <w:rPr>
                <w:rFonts w:ascii="Times New Roman" w:hAnsi="Times New Roman" w:cs="Times New Roman"/>
              </w:rPr>
              <w:t>5</w:t>
            </w:r>
          </w:p>
        </w:tc>
        <w:tc>
          <w:tcPr>
            <w:tcW w:w="1150" w:type="dxa"/>
          </w:tcPr>
          <w:p w14:paraId="121F0920" w14:textId="3FCAA408" w:rsidR="007E68AE" w:rsidRPr="00C51ADF" w:rsidRDefault="00B25CFA" w:rsidP="007E68AE">
            <w:pPr>
              <w:rPr>
                <w:rFonts w:ascii="Times New Roman" w:hAnsi="Times New Roman" w:cs="Times New Roman"/>
              </w:rPr>
            </w:pPr>
            <w:r w:rsidRPr="00C51ADF">
              <w:rPr>
                <w:rFonts w:ascii="Times New Roman" w:hAnsi="Times New Roman" w:cs="Times New Roman"/>
              </w:rPr>
              <w:t>4</w:t>
            </w:r>
          </w:p>
        </w:tc>
        <w:tc>
          <w:tcPr>
            <w:tcW w:w="1128" w:type="dxa"/>
          </w:tcPr>
          <w:p w14:paraId="4BADD9D4" w14:textId="2BDB9E30" w:rsidR="007E68AE" w:rsidRPr="00C51ADF" w:rsidRDefault="00B25CFA" w:rsidP="007E68AE">
            <w:pPr>
              <w:rPr>
                <w:rFonts w:ascii="Times New Roman" w:hAnsi="Times New Roman" w:cs="Times New Roman"/>
              </w:rPr>
            </w:pPr>
            <w:r w:rsidRPr="00C51ADF">
              <w:rPr>
                <w:rFonts w:ascii="Times New Roman" w:hAnsi="Times New Roman" w:cs="Times New Roman"/>
              </w:rPr>
              <w:t>0</w:t>
            </w:r>
          </w:p>
        </w:tc>
        <w:tc>
          <w:tcPr>
            <w:tcW w:w="1078" w:type="dxa"/>
          </w:tcPr>
          <w:p w14:paraId="4834AB94" w14:textId="2463E72E" w:rsidR="007E68AE" w:rsidRPr="00C51ADF" w:rsidRDefault="00B25CFA" w:rsidP="007E68AE">
            <w:pPr>
              <w:rPr>
                <w:rFonts w:ascii="Times New Roman" w:hAnsi="Times New Roman" w:cs="Times New Roman"/>
              </w:rPr>
            </w:pPr>
            <w:r w:rsidRPr="00C51ADF">
              <w:rPr>
                <w:rFonts w:ascii="Times New Roman" w:hAnsi="Times New Roman" w:cs="Times New Roman"/>
              </w:rPr>
              <w:t>0</w:t>
            </w:r>
          </w:p>
        </w:tc>
      </w:tr>
      <w:tr w:rsidR="007E68AE" w:rsidRPr="00C51ADF" w14:paraId="2E3D8E82" w14:textId="77777777" w:rsidTr="007E68AE">
        <w:tc>
          <w:tcPr>
            <w:tcW w:w="2263" w:type="dxa"/>
            <w:vAlign w:val="bottom"/>
          </w:tcPr>
          <w:p w14:paraId="558BD6EF" w14:textId="0CBA25C6" w:rsidR="007E68AE" w:rsidRPr="00C51ADF" w:rsidRDefault="007E68AE" w:rsidP="007E68AE">
            <w:pPr>
              <w:rPr>
                <w:rFonts w:ascii="Times New Roman" w:hAnsi="Times New Roman" w:cs="Times New Roman"/>
              </w:rPr>
            </w:pPr>
            <w:proofErr w:type="spellStart"/>
            <w:r w:rsidRPr="00C51ADF">
              <w:rPr>
                <w:rFonts w:ascii="Times New Roman" w:hAnsi="Times New Roman" w:cs="Times New Roman"/>
                <w:color w:val="000000"/>
              </w:rPr>
              <w:t>Reform</w:t>
            </w:r>
            <w:r w:rsidR="00C869C4">
              <w:rPr>
                <w:rFonts w:ascii="Times New Roman" w:hAnsi="Times New Roman" w:cs="Times New Roman"/>
                <w:color w:val="000000"/>
              </w:rPr>
              <w:t>UK</w:t>
            </w:r>
            <w:proofErr w:type="spellEnd"/>
          </w:p>
        </w:tc>
        <w:tc>
          <w:tcPr>
            <w:tcW w:w="1134" w:type="dxa"/>
          </w:tcPr>
          <w:p w14:paraId="70C163F1" w14:textId="2443184C" w:rsidR="007E68AE" w:rsidRPr="00C51ADF" w:rsidRDefault="00B25CFA" w:rsidP="007E68AE">
            <w:pPr>
              <w:rPr>
                <w:rFonts w:ascii="Times New Roman" w:hAnsi="Times New Roman" w:cs="Times New Roman"/>
              </w:rPr>
            </w:pPr>
            <w:r w:rsidRPr="00C51ADF">
              <w:rPr>
                <w:rFonts w:ascii="Times New Roman" w:hAnsi="Times New Roman" w:cs="Times New Roman"/>
              </w:rPr>
              <w:t>1</w:t>
            </w:r>
          </w:p>
        </w:tc>
        <w:tc>
          <w:tcPr>
            <w:tcW w:w="1113" w:type="dxa"/>
          </w:tcPr>
          <w:p w14:paraId="4623FB94" w14:textId="212ACEAB" w:rsidR="007E68AE" w:rsidRPr="00C51ADF" w:rsidRDefault="001C4BDC" w:rsidP="007E68AE">
            <w:pPr>
              <w:rPr>
                <w:rFonts w:ascii="Times New Roman" w:hAnsi="Times New Roman" w:cs="Times New Roman"/>
              </w:rPr>
            </w:pPr>
            <w:r w:rsidRPr="00C51ADF">
              <w:rPr>
                <w:rFonts w:ascii="Times New Roman" w:hAnsi="Times New Roman" w:cs="Times New Roman"/>
              </w:rPr>
              <w:t>2</w:t>
            </w:r>
          </w:p>
        </w:tc>
        <w:tc>
          <w:tcPr>
            <w:tcW w:w="1150" w:type="dxa"/>
          </w:tcPr>
          <w:p w14:paraId="6D772D50" w14:textId="3234BF6E" w:rsidR="007E68AE" w:rsidRPr="00C51ADF" w:rsidRDefault="001C4BDC" w:rsidP="007E68AE">
            <w:pPr>
              <w:rPr>
                <w:rFonts w:ascii="Times New Roman" w:hAnsi="Times New Roman" w:cs="Times New Roman"/>
              </w:rPr>
            </w:pPr>
            <w:r w:rsidRPr="00C51ADF">
              <w:rPr>
                <w:rFonts w:ascii="Times New Roman" w:hAnsi="Times New Roman" w:cs="Times New Roman"/>
              </w:rPr>
              <w:t>7</w:t>
            </w:r>
          </w:p>
        </w:tc>
        <w:tc>
          <w:tcPr>
            <w:tcW w:w="1150" w:type="dxa"/>
          </w:tcPr>
          <w:p w14:paraId="10123A05" w14:textId="4986D02E" w:rsidR="007E68AE" w:rsidRPr="00C51ADF" w:rsidRDefault="001C4BDC" w:rsidP="007E68AE">
            <w:pPr>
              <w:rPr>
                <w:rFonts w:ascii="Times New Roman" w:hAnsi="Times New Roman" w:cs="Times New Roman"/>
              </w:rPr>
            </w:pPr>
            <w:r w:rsidRPr="00C51ADF">
              <w:rPr>
                <w:rFonts w:ascii="Times New Roman" w:hAnsi="Times New Roman" w:cs="Times New Roman"/>
              </w:rPr>
              <w:t>20</w:t>
            </w:r>
          </w:p>
        </w:tc>
        <w:tc>
          <w:tcPr>
            <w:tcW w:w="1128" w:type="dxa"/>
          </w:tcPr>
          <w:p w14:paraId="26489148" w14:textId="04B2C1C5" w:rsidR="007E68AE" w:rsidRPr="00C51ADF" w:rsidRDefault="001C4BDC" w:rsidP="007E68AE">
            <w:pPr>
              <w:rPr>
                <w:rFonts w:ascii="Times New Roman" w:hAnsi="Times New Roman" w:cs="Times New Roman"/>
              </w:rPr>
            </w:pPr>
            <w:r w:rsidRPr="00C51ADF">
              <w:rPr>
                <w:rFonts w:ascii="Times New Roman" w:hAnsi="Times New Roman" w:cs="Times New Roman"/>
              </w:rPr>
              <w:t>24</w:t>
            </w:r>
          </w:p>
        </w:tc>
        <w:tc>
          <w:tcPr>
            <w:tcW w:w="1078" w:type="dxa"/>
          </w:tcPr>
          <w:p w14:paraId="4524C244" w14:textId="65098DD2" w:rsidR="007E68AE" w:rsidRPr="00C51ADF" w:rsidRDefault="001C4BDC" w:rsidP="007E68AE">
            <w:pPr>
              <w:rPr>
                <w:rFonts w:ascii="Times New Roman" w:hAnsi="Times New Roman" w:cs="Times New Roman"/>
              </w:rPr>
            </w:pPr>
            <w:r w:rsidRPr="00C51ADF">
              <w:rPr>
                <w:rFonts w:ascii="Times New Roman" w:hAnsi="Times New Roman" w:cs="Times New Roman"/>
              </w:rPr>
              <w:t>35</w:t>
            </w:r>
          </w:p>
        </w:tc>
      </w:tr>
    </w:tbl>
    <w:p w14:paraId="6A6BE8EB" w14:textId="77777777" w:rsidR="005503E6" w:rsidRPr="00C51ADF" w:rsidRDefault="005503E6" w:rsidP="002533F4">
      <w:pPr>
        <w:spacing w:after="0"/>
        <w:rPr>
          <w:rFonts w:ascii="Times New Roman" w:hAnsi="Times New Roman" w:cs="Times New Roman"/>
        </w:rPr>
      </w:pPr>
    </w:p>
    <w:p w14:paraId="4C85D248" w14:textId="4BC3233F" w:rsidR="007C377E" w:rsidRDefault="00F85A30" w:rsidP="002533F4">
      <w:pPr>
        <w:spacing w:after="0" w:line="480" w:lineRule="auto"/>
        <w:textAlignment w:val="baseline"/>
        <w:rPr>
          <w:rFonts w:ascii="Times New Roman" w:eastAsia="Times New Roman" w:hAnsi="Times New Roman" w:cs="Times New Roman"/>
          <w:kern w:val="0"/>
          <w:lang w:eastAsia="en-GB"/>
          <w14:ligatures w14:val="none"/>
        </w:rPr>
      </w:pPr>
      <w:r w:rsidRPr="00C51ADF">
        <w:rPr>
          <w:rFonts w:ascii="Times New Roman" w:eastAsia="Times New Roman" w:hAnsi="Times New Roman" w:cs="Times New Roman"/>
          <w:kern w:val="0"/>
          <w:lang w:eastAsia="en-GB"/>
          <w14:ligatures w14:val="none"/>
        </w:rPr>
        <w:t>To better understand</w:t>
      </w:r>
      <w:r>
        <w:rPr>
          <w:rFonts w:ascii="Times New Roman" w:eastAsia="Times New Roman" w:hAnsi="Times New Roman" w:cs="Times New Roman"/>
          <w:kern w:val="0"/>
          <w:lang w:eastAsia="en-GB"/>
          <w14:ligatures w14:val="none"/>
        </w:rPr>
        <w:t xml:space="preserve"> the types of </w:t>
      </w:r>
      <w:r w:rsidR="009631B3">
        <w:rPr>
          <w:rFonts w:ascii="Times New Roman" w:eastAsia="Times New Roman" w:hAnsi="Times New Roman" w:cs="Times New Roman"/>
          <w:kern w:val="0"/>
          <w:lang w:eastAsia="en-GB"/>
          <w14:ligatures w14:val="none"/>
        </w:rPr>
        <w:t>places</w:t>
      </w:r>
      <w:r w:rsidR="00F14F8D">
        <w:rPr>
          <w:rFonts w:ascii="Times New Roman" w:eastAsia="Times New Roman" w:hAnsi="Times New Roman" w:cs="Times New Roman"/>
          <w:kern w:val="0"/>
          <w:lang w:eastAsia="en-GB"/>
          <w14:ligatures w14:val="none"/>
        </w:rPr>
        <w:t xml:space="preserve"> associated with </w:t>
      </w:r>
      <w:r w:rsidR="006469FE">
        <w:rPr>
          <w:rFonts w:ascii="Times New Roman" w:eastAsia="Times New Roman" w:hAnsi="Times New Roman" w:cs="Times New Roman"/>
          <w:kern w:val="0"/>
          <w:lang w:eastAsia="en-GB"/>
          <w14:ligatures w14:val="none"/>
        </w:rPr>
        <w:t>marginality for the Labour government, we estimated a multiple regression model</w:t>
      </w:r>
      <w:r w:rsidR="0004668F">
        <w:rPr>
          <w:rFonts w:ascii="Times New Roman" w:eastAsia="Times New Roman" w:hAnsi="Times New Roman" w:cs="Times New Roman"/>
          <w:kern w:val="0"/>
          <w:lang w:eastAsia="en-GB"/>
          <w14:ligatures w14:val="none"/>
        </w:rPr>
        <w:t xml:space="preserve"> of marginality</w:t>
      </w:r>
      <w:r w:rsidR="00C65364">
        <w:rPr>
          <w:rFonts w:ascii="Times New Roman" w:eastAsia="Times New Roman" w:hAnsi="Times New Roman" w:cs="Times New Roman"/>
          <w:kern w:val="0"/>
          <w:lang w:eastAsia="en-GB"/>
          <w14:ligatures w14:val="none"/>
        </w:rPr>
        <w:t xml:space="preserve"> (</w:t>
      </w:r>
      <w:r w:rsidR="00C348FA">
        <w:rPr>
          <w:rFonts w:ascii="Times New Roman" w:eastAsia="Times New Roman" w:hAnsi="Times New Roman" w:cs="Times New Roman"/>
          <w:kern w:val="0"/>
          <w:lang w:eastAsia="en-GB"/>
          <w14:ligatures w14:val="none"/>
        </w:rPr>
        <w:t xml:space="preserve">the inverse of </w:t>
      </w:r>
      <w:r w:rsidR="00B37E0E">
        <w:rPr>
          <w:rFonts w:ascii="Times New Roman" w:eastAsia="Times New Roman" w:hAnsi="Times New Roman" w:cs="Times New Roman"/>
          <w:kern w:val="0"/>
          <w:lang w:eastAsia="en-GB"/>
          <w14:ligatures w14:val="none"/>
        </w:rPr>
        <w:t xml:space="preserve">Labour’s </w:t>
      </w:r>
      <w:r w:rsidR="004D2459">
        <w:rPr>
          <w:rFonts w:ascii="Times New Roman" w:eastAsia="Times New Roman" w:hAnsi="Times New Roman" w:cs="Times New Roman"/>
          <w:kern w:val="0"/>
          <w:lang w:eastAsia="en-GB"/>
          <w14:ligatures w14:val="none"/>
        </w:rPr>
        <w:t>lead over the</w:t>
      </w:r>
      <w:r w:rsidR="00C65364">
        <w:rPr>
          <w:rFonts w:ascii="Times New Roman" w:eastAsia="Times New Roman" w:hAnsi="Times New Roman" w:cs="Times New Roman"/>
          <w:kern w:val="0"/>
          <w:lang w:eastAsia="en-GB"/>
          <w14:ligatures w14:val="none"/>
        </w:rPr>
        <w:t xml:space="preserve"> second placed party)</w:t>
      </w:r>
      <w:r w:rsidR="006469FE">
        <w:rPr>
          <w:rFonts w:ascii="Times New Roman" w:eastAsia="Times New Roman" w:hAnsi="Times New Roman" w:cs="Times New Roman"/>
          <w:kern w:val="0"/>
          <w:lang w:eastAsia="en-GB"/>
          <w14:ligatures w14:val="none"/>
        </w:rPr>
        <w:t xml:space="preserve"> </w:t>
      </w:r>
      <w:r w:rsidR="0004668F">
        <w:rPr>
          <w:rFonts w:ascii="Times New Roman" w:eastAsia="Times New Roman" w:hAnsi="Times New Roman" w:cs="Times New Roman"/>
          <w:kern w:val="0"/>
          <w:lang w:eastAsia="en-GB"/>
          <w14:ligatures w14:val="none"/>
        </w:rPr>
        <w:t>restricted to</w:t>
      </w:r>
      <w:r w:rsidR="00C65364">
        <w:rPr>
          <w:rFonts w:ascii="Times New Roman" w:eastAsia="Times New Roman" w:hAnsi="Times New Roman" w:cs="Times New Roman"/>
          <w:kern w:val="0"/>
          <w:lang w:eastAsia="en-GB"/>
          <w14:ligatures w14:val="none"/>
        </w:rPr>
        <w:t xml:space="preserve"> seats won by</w:t>
      </w:r>
      <w:r w:rsidR="0004668F">
        <w:rPr>
          <w:rFonts w:ascii="Times New Roman" w:eastAsia="Times New Roman" w:hAnsi="Times New Roman" w:cs="Times New Roman"/>
          <w:kern w:val="0"/>
          <w:lang w:eastAsia="en-GB"/>
          <w14:ligatures w14:val="none"/>
        </w:rPr>
        <w:t xml:space="preserve"> L</w:t>
      </w:r>
      <w:r w:rsidR="002533F4" w:rsidRPr="0059743C">
        <w:rPr>
          <w:rFonts w:ascii="Times New Roman" w:eastAsia="Times New Roman" w:hAnsi="Times New Roman" w:cs="Times New Roman"/>
          <w:kern w:val="0"/>
          <w:lang w:eastAsia="en-GB"/>
          <w14:ligatures w14:val="none"/>
        </w:rPr>
        <w:t>abour</w:t>
      </w:r>
      <w:r w:rsidR="00C65364">
        <w:rPr>
          <w:rFonts w:ascii="Times New Roman" w:eastAsia="Times New Roman" w:hAnsi="Times New Roman" w:cs="Times New Roman"/>
          <w:kern w:val="0"/>
          <w:lang w:eastAsia="en-GB"/>
          <w14:ligatures w14:val="none"/>
        </w:rPr>
        <w:t xml:space="preserve"> </w:t>
      </w:r>
      <w:r w:rsidR="002533F4" w:rsidRPr="0059743C">
        <w:rPr>
          <w:rFonts w:ascii="Times New Roman" w:eastAsia="Times New Roman" w:hAnsi="Times New Roman" w:cs="Times New Roman"/>
          <w:kern w:val="0"/>
          <w:lang w:eastAsia="en-GB"/>
          <w14:ligatures w14:val="none"/>
        </w:rPr>
        <w:t>in 2024</w:t>
      </w:r>
      <w:r w:rsidR="00C65364">
        <w:rPr>
          <w:rFonts w:ascii="Times New Roman" w:eastAsia="Times New Roman" w:hAnsi="Times New Roman" w:cs="Times New Roman"/>
          <w:kern w:val="0"/>
          <w:lang w:eastAsia="en-GB"/>
          <w14:ligatures w14:val="none"/>
        </w:rPr>
        <w:t>.</w:t>
      </w:r>
      <w:r w:rsidR="00215875">
        <w:rPr>
          <w:rFonts w:ascii="Times New Roman" w:eastAsia="Times New Roman" w:hAnsi="Times New Roman" w:cs="Times New Roman"/>
          <w:kern w:val="0"/>
          <w:lang w:eastAsia="en-GB"/>
          <w14:ligatures w14:val="none"/>
        </w:rPr>
        <w:t xml:space="preserve"> This reveals that </w:t>
      </w:r>
      <w:r w:rsidR="00175E82">
        <w:rPr>
          <w:rFonts w:ascii="Times New Roman" w:eastAsia="Times New Roman" w:hAnsi="Times New Roman" w:cs="Times New Roman"/>
          <w:kern w:val="0"/>
          <w:lang w:eastAsia="en-GB"/>
          <w14:ligatures w14:val="none"/>
        </w:rPr>
        <w:t xml:space="preserve">once other factors are controlled for </w:t>
      </w:r>
      <w:r w:rsidR="00215875">
        <w:rPr>
          <w:rFonts w:ascii="Times New Roman" w:eastAsia="Times New Roman" w:hAnsi="Times New Roman" w:cs="Times New Roman"/>
          <w:kern w:val="0"/>
          <w:lang w:eastAsia="en-GB"/>
          <w14:ligatures w14:val="none"/>
        </w:rPr>
        <w:t>ethnic</w:t>
      </w:r>
      <w:r w:rsidR="003D45C3">
        <w:rPr>
          <w:rFonts w:ascii="Times New Roman" w:eastAsia="Times New Roman" w:hAnsi="Times New Roman" w:cs="Times New Roman"/>
          <w:kern w:val="0"/>
          <w:lang w:eastAsia="en-GB"/>
          <w14:ligatures w14:val="none"/>
        </w:rPr>
        <w:t xml:space="preserve"> diversity and </w:t>
      </w:r>
      <w:r w:rsidR="003A711B">
        <w:rPr>
          <w:rFonts w:ascii="Times New Roman" w:eastAsia="Times New Roman" w:hAnsi="Times New Roman" w:cs="Times New Roman"/>
          <w:kern w:val="0"/>
          <w:lang w:eastAsia="en-GB"/>
          <w14:ligatures w14:val="none"/>
        </w:rPr>
        <w:t>employment in manufacturing are both strong predictors of Labour marg</w:t>
      </w:r>
      <w:r w:rsidR="0043370A">
        <w:rPr>
          <w:rFonts w:ascii="Times New Roman" w:eastAsia="Times New Roman" w:hAnsi="Times New Roman" w:cs="Times New Roman"/>
          <w:kern w:val="0"/>
          <w:lang w:eastAsia="en-GB"/>
          <w14:ligatures w14:val="none"/>
        </w:rPr>
        <w:t>inality</w:t>
      </w:r>
      <w:r w:rsidR="00105EB8">
        <w:rPr>
          <w:rFonts w:ascii="Times New Roman" w:eastAsia="Times New Roman" w:hAnsi="Times New Roman" w:cs="Times New Roman"/>
          <w:kern w:val="0"/>
          <w:lang w:eastAsia="en-GB"/>
          <w14:ligatures w14:val="none"/>
        </w:rPr>
        <w:t xml:space="preserve"> (as also is the Reform vote share), while </w:t>
      </w:r>
      <w:r w:rsidR="008349FC">
        <w:rPr>
          <w:rFonts w:ascii="Times New Roman" w:eastAsia="Times New Roman" w:hAnsi="Times New Roman" w:cs="Times New Roman"/>
          <w:kern w:val="0"/>
          <w:lang w:eastAsia="en-GB"/>
          <w14:ligatures w14:val="none"/>
        </w:rPr>
        <w:t>poor health is the strongest negative predictor of marginal</w:t>
      </w:r>
      <w:r w:rsidR="00B04ECD">
        <w:rPr>
          <w:rFonts w:ascii="Times New Roman" w:eastAsia="Times New Roman" w:hAnsi="Times New Roman" w:cs="Times New Roman"/>
          <w:kern w:val="0"/>
          <w:lang w:eastAsia="en-GB"/>
          <w14:ligatures w14:val="none"/>
        </w:rPr>
        <w:t>ity</w:t>
      </w:r>
      <w:r w:rsidR="00A70D75">
        <w:rPr>
          <w:rFonts w:ascii="Times New Roman" w:eastAsia="Times New Roman" w:hAnsi="Times New Roman" w:cs="Times New Roman"/>
          <w:kern w:val="0"/>
          <w:lang w:eastAsia="en-GB"/>
          <w14:ligatures w14:val="none"/>
        </w:rPr>
        <w:t xml:space="preserve"> which is consistent with</w:t>
      </w:r>
      <w:r w:rsidR="00F83C44">
        <w:rPr>
          <w:rFonts w:ascii="Times New Roman" w:eastAsia="Times New Roman" w:hAnsi="Times New Roman" w:cs="Times New Roman"/>
          <w:kern w:val="0"/>
          <w:lang w:eastAsia="en-GB"/>
          <w14:ligatures w14:val="none"/>
        </w:rPr>
        <w:t xml:space="preserve"> the results presented earlier concern</w:t>
      </w:r>
      <w:r w:rsidR="004D3729">
        <w:rPr>
          <w:rFonts w:ascii="Times New Roman" w:eastAsia="Times New Roman" w:hAnsi="Times New Roman" w:cs="Times New Roman"/>
          <w:kern w:val="0"/>
          <w:lang w:eastAsia="en-GB"/>
          <w14:ligatures w14:val="none"/>
        </w:rPr>
        <w:t xml:space="preserve">ing the strength of correlation between </w:t>
      </w:r>
      <w:r w:rsidR="005E2052">
        <w:rPr>
          <w:rFonts w:ascii="Times New Roman" w:eastAsia="Times New Roman" w:hAnsi="Times New Roman" w:cs="Times New Roman"/>
          <w:kern w:val="0"/>
          <w:lang w:eastAsia="en-GB"/>
          <w14:ligatures w14:val="none"/>
        </w:rPr>
        <w:t>deprivation and Labour’s vote over time.</w:t>
      </w:r>
    </w:p>
    <w:p w14:paraId="4C5C8379" w14:textId="182BF67D" w:rsidR="00A70D75" w:rsidRPr="002533F4" w:rsidRDefault="00A70D75" w:rsidP="008F050A">
      <w:pPr>
        <w:spacing w:after="120"/>
        <w:rPr>
          <w:rFonts w:ascii="Times New Roman" w:hAnsi="Times New Roman" w:cs="Times New Roman"/>
        </w:rPr>
      </w:pPr>
      <w:r w:rsidRPr="00A21D59">
        <w:rPr>
          <w:rFonts w:ascii="Times New Roman" w:hAnsi="Times New Roman" w:cs="Times New Roman"/>
          <w:b/>
          <w:bCs/>
        </w:rPr>
        <w:lastRenderedPageBreak/>
        <w:t xml:space="preserve">Figure </w:t>
      </w:r>
      <w:r w:rsidR="006A7435">
        <w:rPr>
          <w:rFonts w:ascii="Times New Roman" w:hAnsi="Times New Roman" w:cs="Times New Roman"/>
          <w:b/>
          <w:bCs/>
        </w:rPr>
        <w:t>6</w:t>
      </w:r>
      <w:r w:rsidRPr="00A21D59">
        <w:rPr>
          <w:rFonts w:ascii="Times New Roman" w:hAnsi="Times New Roman" w:cs="Times New Roman"/>
          <w:b/>
          <w:bCs/>
        </w:rPr>
        <w:t xml:space="preserve">. </w:t>
      </w:r>
      <w:r w:rsidR="00CB1F63">
        <w:rPr>
          <w:rFonts w:ascii="Times New Roman" w:hAnsi="Times New Roman" w:cs="Times New Roman"/>
        </w:rPr>
        <w:t>Standardised predictors of</w:t>
      </w:r>
      <w:r w:rsidRPr="00F85A30">
        <w:rPr>
          <w:rFonts w:ascii="Times New Roman" w:hAnsi="Times New Roman" w:cs="Times New Roman"/>
        </w:rPr>
        <w:t xml:space="preserve"> m</w:t>
      </w:r>
      <w:r>
        <w:rPr>
          <w:rFonts w:ascii="Times New Roman" w:hAnsi="Times New Roman" w:cs="Times New Roman"/>
        </w:rPr>
        <w:t>arginality of</w:t>
      </w:r>
      <w:r w:rsidR="00CB1F63">
        <w:rPr>
          <w:rFonts w:ascii="Times New Roman" w:hAnsi="Times New Roman" w:cs="Times New Roman"/>
        </w:rPr>
        <w:t xml:space="preserve"> Labour-held</w:t>
      </w:r>
      <w:r w:rsidRPr="00A21D59">
        <w:rPr>
          <w:rFonts w:ascii="Times New Roman" w:hAnsi="Times New Roman" w:cs="Times New Roman"/>
        </w:rPr>
        <w:t xml:space="preserve"> constituenc</w:t>
      </w:r>
      <w:r w:rsidR="00CB1F63">
        <w:rPr>
          <w:rFonts w:ascii="Times New Roman" w:hAnsi="Times New Roman" w:cs="Times New Roman"/>
        </w:rPr>
        <w:t>ies</w:t>
      </w:r>
      <w:r>
        <w:rPr>
          <w:rFonts w:ascii="Times New Roman" w:hAnsi="Times New Roman" w:cs="Times New Roman"/>
        </w:rPr>
        <w:t>, 2024</w:t>
      </w:r>
    </w:p>
    <w:p w14:paraId="4ECFE110" w14:textId="74487594" w:rsidR="008F050A" w:rsidRPr="008F050A" w:rsidRDefault="008F050A" w:rsidP="008F050A">
      <w:pPr>
        <w:rPr>
          <w:rFonts w:ascii="Times New Roman" w:hAnsi="Times New Roman" w:cs="Times New Roman"/>
          <w:u w:val="single"/>
        </w:rPr>
      </w:pPr>
      <w:r w:rsidRPr="008F050A">
        <w:rPr>
          <w:rFonts w:ascii="Times New Roman" w:hAnsi="Times New Roman" w:cs="Times New Roman"/>
          <w:noProof/>
          <w:u w:val="single"/>
        </w:rPr>
        <w:drawing>
          <wp:inline distT="0" distB="0" distL="0" distR="0" wp14:anchorId="5C9B59C6" wp14:editId="058D068E">
            <wp:extent cx="5731510" cy="3582035"/>
            <wp:effectExtent l="0" t="0" r="0" b="0"/>
            <wp:docPr id="1299219316" name="Picture 17" descr="A black background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219316" name="Picture 17" descr="A black background with white lines&#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3582035"/>
                    </a:xfrm>
                    <a:prstGeom prst="rect">
                      <a:avLst/>
                    </a:prstGeom>
                    <a:noFill/>
                    <a:ln>
                      <a:noFill/>
                    </a:ln>
                  </pic:spPr>
                </pic:pic>
              </a:graphicData>
            </a:graphic>
          </wp:inline>
        </w:drawing>
      </w:r>
    </w:p>
    <w:p w14:paraId="68923B7E" w14:textId="77777777" w:rsidR="008B532B" w:rsidRDefault="008B532B" w:rsidP="008B532B">
      <w:pPr>
        <w:spacing w:after="0" w:line="240" w:lineRule="auto"/>
        <w:rPr>
          <w:rFonts w:ascii="Times New Roman" w:hAnsi="Times New Roman" w:cs="Times New Roman"/>
          <w:b/>
          <w:bCs/>
        </w:rPr>
      </w:pPr>
    </w:p>
    <w:p w14:paraId="78F93B9B" w14:textId="42E1B965" w:rsidR="00D046D4" w:rsidRPr="00F4090E" w:rsidRDefault="00541CC1" w:rsidP="00D046D4">
      <w:pPr>
        <w:spacing w:after="0" w:line="480" w:lineRule="auto"/>
        <w:rPr>
          <w:rFonts w:ascii="Times New Roman" w:hAnsi="Times New Roman" w:cs="Times New Roman"/>
          <w:b/>
          <w:bCs/>
        </w:rPr>
      </w:pPr>
      <w:r>
        <w:rPr>
          <w:rFonts w:ascii="Times New Roman" w:hAnsi="Times New Roman" w:cs="Times New Roman"/>
          <w:b/>
          <w:bCs/>
        </w:rPr>
        <w:t>An uncertain</w:t>
      </w:r>
      <w:r w:rsidR="003E1650">
        <w:rPr>
          <w:rFonts w:ascii="Times New Roman" w:hAnsi="Times New Roman" w:cs="Times New Roman"/>
          <w:b/>
          <w:bCs/>
        </w:rPr>
        <w:t>, unstable</w:t>
      </w:r>
      <w:r>
        <w:rPr>
          <w:rFonts w:ascii="Times New Roman" w:hAnsi="Times New Roman" w:cs="Times New Roman"/>
          <w:b/>
          <w:bCs/>
        </w:rPr>
        <w:t xml:space="preserve"> future</w:t>
      </w:r>
    </w:p>
    <w:p w14:paraId="3CA0878D" w14:textId="5BE20E37" w:rsidR="00F80EE7" w:rsidRDefault="00B419E9" w:rsidP="00F80EE7">
      <w:pPr>
        <w:spacing w:after="0" w:line="480" w:lineRule="auto"/>
        <w:ind w:firstLine="720"/>
        <w:rPr>
          <w:rFonts w:ascii="Times New Roman" w:hAnsi="Times New Roman" w:cs="Times New Roman"/>
        </w:rPr>
      </w:pPr>
      <w:r w:rsidRPr="00B419E9">
        <w:rPr>
          <w:rFonts w:ascii="Times New Roman" w:hAnsi="Times New Roman" w:cs="Times New Roman"/>
        </w:rPr>
        <w:t xml:space="preserve">With the electorate now more volatile, discontented, </w:t>
      </w:r>
      <w:r w:rsidR="007137F4">
        <w:rPr>
          <w:rFonts w:ascii="Times New Roman" w:hAnsi="Times New Roman" w:cs="Times New Roman"/>
        </w:rPr>
        <w:t>d</w:t>
      </w:r>
      <w:r w:rsidRPr="00B419E9">
        <w:rPr>
          <w:rFonts w:ascii="Times New Roman" w:hAnsi="Times New Roman" w:cs="Times New Roman"/>
        </w:rPr>
        <w:t>ealigned</w:t>
      </w:r>
      <w:r w:rsidR="007137F4">
        <w:rPr>
          <w:rFonts w:ascii="Times New Roman" w:hAnsi="Times New Roman" w:cs="Times New Roman"/>
        </w:rPr>
        <w:t>,</w:t>
      </w:r>
      <w:r w:rsidRPr="00B419E9">
        <w:rPr>
          <w:rFonts w:ascii="Times New Roman" w:hAnsi="Times New Roman" w:cs="Times New Roman"/>
        </w:rPr>
        <w:t xml:space="preserve"> and fragmented what are the </w:t>
      </w:r>
      <w:r w:rsidR="008848E9">
        <w:rPr>
          <w:rFonts w:ascii="Times New Roman" w:hAnsi="Times New Roman" w:cs="Times New Roman"/>
        </w:rPr>
        <w:t>prospects</w:t>
      </w:r>
      <w:r w:rsidRPr="00B419E9">
        <w:rPr>
          <w:rFonts w:ascii="Times New Roman" w:hAnsi="Times New Roman" w:cs="Times New Roman"/>
        </w:rPr>
        <w:t xml:space="preserve"> for the new Labour government? </w:t>
      </w:r>
      <w:r w:rsidR="00733BF2">
        <w:rPr>
          <w:rFonts w:ascii="Times New Roman" w:hAnsi="Times New Roman" w:cs="Times New Roman"/>
        </w:rPr>
        <w:t xml:space="preserve">Based </w:t>
      </w:r>
      <w:r w:rsidR="00623490">
        <w:rPr>
          <w:rFonts w:ascii="Times New Roman" w:hAnsi="Times New Roman" w:cs="Times New Roman"/>
        </w:rPr>
        <w:t>on</w:t>
      </w:r>
      <w:r w:rsidR="001A105E">
        <w:rPr>
          <w:rFonts w:ascii="Times New Roman" w:hAnsi="Times New Roman" w:cs="Times New Roman"/>
        </w:rPr>
        <w:t xml:space="preserve"> a</w:t>
      </w:r>
      <w:r w:rsidR="004369A4">
        <w:rPr>
          <w:rFonts w:ascii="Times New Roman" w:hAnsi="Times New Roman" w:cs="Times New Roman"/>
        </w:rPr>
        <w:t>n at times</w:t>
      </w:r>
      <w:r w:rsidR="00DA50DF">
        <w:rPr>
          <w:rFonts w:ascii="Times New Roman" w:hAnsi="Times New Roman" w:cs="Times New Roman"/>
        </w:rPr>
        <w:t xml:space="preserve"> politically</w:t>
      </w:r>
      <w:r w:rsidR="004369A4">
        <w:rPr>
          <w:rFonts w:ascii="Times New Roman" w:hAnsi="Times New Roman" w:cs="Times New Roman"/>
        </w:rPr>
        <w:t xml:space="preserve"> naïve and</w:t>
      </w:r>
      <w:r w:rsidR="001A105E">
        <w:rPr>
          <w:rFonts w:ascii="Times New Roman" w:hAnsi="Times New Roman" w:cs="Times New Roman"/>
        </w:rPr>
        <w:t xml:space="preserve"> </w:t>
      </w:r>
      <w:r w:rsidR="00073E75">
        <w:rPr>
          <w:rFonts w:ascii="Times New Roman" w:hAnsi="Times New Roman" w:cs="Times New Roman"/>
        </w:rPr>
        <w:t>stumblin</w:t>
      </w:r>
      <w:r w:rsidR="004369A4">
        <w:rPr>
          <w:rFonts w:ascii="Times New Roman" w:hAnsi="Times New Roman" w:cs="Times New Roman"/>
        </w:rPr>
        <w:t>g</w:t>
      </w:r>
      <w:r w:rsidR="00073E75">
        <w:rPr>
          <w:rFonts w:ascii="Times New Roman" w:hAnsi="Times New Roman" w:cs="Times New Roman"/>
        </w:rPr>
        <w:t xml:space="preserve"> start</w:t>
      </w:r>
      <w:r w:rsidR="00110ADF">
        <w:rPr>
          <w:rFonts w:ascii="Times New Roman" w:hAnsi="Times New Roman" w:cs="Times New Roman"/>
        </w:rPr>
        <w:t xml:space="preserve"> to their term of office</w:t>
      </w:r>
      <w:r w:rsidR="00316149">
        <w:rPr>
          <w:rFonts w:ascii="Times New Roman" w:hAnsi="Times New Roman" w:cs="Times New Roman"/>
        </w:rPr>
        <w:t>,</w:t>
      </w:r>
      <w:r w:rsidR="00110ADF">
        <w:rPr>
          <w:rFonts w:ascii="Times New Roman" w:hAnsi="Times New Roman" w:cs="Times New Roman"/>
        </w:rPr>
        <w:t xml:space="preserve"> there is </w:t>
      </w:r>
      <w:r w:rsidR="00DA50DF">
        <w:rPr>
          <w:rFonts w:ascii="Times New Roman" w:hAnsi="Times New Roman" w:cs="Times New Roman"/>
        </w:rPr>
        <w:t>little</w:t>
      </w:r>
      <w:r w:rsidR="00110ADF">
        <w:rPr>
          <w:rFonts w:ascii="Times New Roman" w:hAnsi="Times New Roman" w:cs="Times New Roman"/>
        </w:rPr>
        <w:t xml:space="preserve"> evidence</w:t>
      </w:r>
      <w:r w:rsidR="00E52E13">
        <w:rPr>
          <w:rFonts w:ascii="Times New Roman" w:hAnsi="Times New Roman" w:cs="Times New Roman"/>
        </w:rPr>
        <w:t xml:space="preserve"> at present</w:t>
      </w:r>
      <w:r w:rsidR="00110ADF">
        <w:rPr>
          <w:rFonts w:ascii="Times New Roman" w:hAnsi="Times New Roman" w:cs="Times New Roman"/>
        </w:rPr>
        <w:t xml:space="preserve"> pointing to a reversal of these forces. </w:t>
      </w:r>
      <w:r w:rsidR="00623490">
        <w:rPr>
          <w:rFonts w:ascii="Times New Roman" w:hAnsi="Times New Roman" w:cs="Times New Roman"/>
        </w:rPr>
        <w:t xml:space="preserve">Indeed, it is difficult to </w:t>
      </w:r>
      <w:r w:rsidR="00E717C8">
        <w:rPr>
          <w:rFonts w:ascii="Times New Roman" w:hAnsi="Times New Roman" w:cs="Times New Roman"/>
        </w:rPr>
        <w:t xml:space="preserve">envision </w:t>
      </w:r>
      <w:r w:rsidR="00E84347">
        <w:rPr>
          <w:rFonts w:ascii="Times New Roman" w:hAnsi="Times New Roman" w:cs="Times New Roman"/>
        </w:rPr>
        <w:t>a return to the old status quo while the country</w:t>
      </w:r>
      <w:r w:rsidR="00642499">
        <w:rPr>
          <w:rFonts w:ascii="Times New Roman" w:hAnsi="Times New Roman" w:cs="Times New Roman"/>
        </w:rPr>
        <w:t xml:space="preserve"> continues to</w:t>
      </w:r>
      <w:r w:rsidR="00E84347">
        <w:rPr>
          <w:rFonts w:ascii="Times New Roman" w:hAnsi="Times New Roman" w:cs="Times New Roman"/>
        </w:rPr>
        <w:t xml:space="preserve"> face</w:t>
      </w:r>
      <w:r w:rsidR="00642499">
        <w:rPr>
          <w:rFonts w:ascii="Times New Roman" w:hAnsi="Times New Roman" w:cs="Times New Roman"/>
        </w:rPr>
        <w:t xml:space="preserve"> </w:t>
      </w:r>
      <w:r w:rsidR="00623490">
        <w:rPr>
          <w:rFonts w:ascii="Times New Roman" w:hAnsi="Times New Roman" w:cs="Times New Roman"/>
        </w:rPr>
        <w:t xml:space="preserve">challenging fiscal circumstances, decaying public services, </w:t>
      </w:r>
      <w:r w:rsidR="00167C3F">
        <w:rPr>
          <w:rFonts w:ascii="Times New Roman" w:hAnsi="Times New Roman" w:cs="Times New Roman"/>
        </w:rPr>
        <w:t xml:space="preserve">and </w:t>
      </w:r>
      <w:r w:rsidR="00C91872">
        <w:rPr>
          <w:rFonts w:ascii="Times New Roman" w:hAnsi="Times New Roman" w:cs="Times New Roman"/>
        </w:rPr>
        <w:t>no</w:t>
      </w:r>
      <w:r w:rsidR="00167C3F">
        <w:rPr>
          <w:rFonts w:ascii="Times New Roman" w:hAnsi="Times New Roman" w:cs="Times New Roman"/>
        </w:rPr>
        <w:t xml:space="preserve"> </w:t>
      </w:r>
      <w:r w:rsidR="006B4C1D">
        <w:rPr>
          <w:rFonts w:ascii="Times New Roman" w:hAnsi="Times New Roman" w:cs="Times New Roman"/>
        </w:rPr>
        <w:t>straightforward</w:t>
      </w:r>
      <w:r w:rsidR="00167C3F">
        <w:rPr>
          <w:rFonts w:ascii="Times New Roman" w:hAnsi="Times New Roman" w:cs="Times New Roman"/>
        </w:rPr>
        <w:t xml:space="preserve"> </w:t>
      </w:r>
      <w:r w:rsidR="00C91872">
        <w:rPr>
          <w:rFonts w:ascii="Times New Roman" w:hAnsi="Times New Roman" w:cs="Times New Roman"/>
        </w:rPr>
        <w:t>reforms</w:t>
      </w:r>
      <w:r w:rsidR="00167C3F">
        <w:rPr>
          <w:rFonts w:ascii="Times New Roman" w:hAnsi="Times New Roman" w:cs="Times New Roman"/>
        </w:rPr>
        <w:t xml:space="preserve"> to Britain’s economic model that might deliver </w:t>
      </w:r>
      <w:r w:rsidR="00E717C8">
        <w:rPr>
          <w:rFonts w:ascii="Times New Roman" w:hAnsi="Times New Roman" w:cs="Times New Roman"/>
        </w:rPr>
        <w:t xml:space="preserve">a </w:t>
      </w:r>
      <w:r w:rsidR="0049095E">
        <w:rPr>
          <w:rFonts w:ascii="Times New Roman" w:hAnsi="Times New Roman" w:cs="Times New Roman"/>
        </w:rPr>
        <w:t xml:space="preserve">boost to national growth </w:t>
      </w:r>
      <w:r w:rsidR="006B4C1D">
        <w:rPr>
          <w:rFonts w:ascii="Times New Roman" w:hAnsi="Times New Roman" w:cs="Times New Roman"/>
        </w:rPr>
        <w:t>and</w:t>
      </w:r>
      <w:r w:rsidR="005E662F">
        <w:rPr>
          <w:rFonts w:ascii="Times New Roman" w:hAnsi="Times New Roman" w:cs="Times New Roman"/>
        </w:rPr>
        <w:t xml:space="preserve"> improved living standards for all.</w:t>
      </w:r>
      <w:r w:rsidR="0010692A">
        <w:rPr>
          <w:rFonts w:ascii="Times New Roman" w:hAnsi="Times New Roman" w:cs="Times New Roman"/>
        </w:rPr>
        <w:t xml:space="preserve"> </w:t>
      </w:r>
      <w:r w:rsidR="009F2011">
        <w:rPr>
          <w:rFonts w:ascii="Times New Roman" w:hAnsi="Times New Roman" w:cs="Times New Roman"/>
        </w:rPr>
        <w:t>As such,</w:t>
      </w:r>
      <w:r w:rsidR="008D6928">
        <w:rPr>
          <w:rFonts w:ascii="Times New Roman" w:hAnsi="Times New Roman" w:cs="Times New Roman"/>
        </w:rPr>
        <w:t xml:space="preserve"> </w:t>
      </w:r>
      <w:r w:rsidR="000460F3">
        <w:rPr>
          <w:rFonts w:ascii="Times New Roman" w:hAnsi="Times New Roman" w:cs="Times New Roman"/>
        </w:rPr>
        <w:t>the prospects for restoring public faith in politics and the capacity of government to deliver</w:t>
      </w:r>
      <w:r w:rsidR="00042880">
        <w:rPr>
          <w:rFonts w:ascii="Times New Roman" w:hAnsi="Times New Roman" w:cs="Times New Roman"/>
        </w:rPr>
        <w:t xml:space="preserve"> </w:t>
      </w:r>
      <w:r w:rsidR="00B55241">
        <w:rPr>
          <w:rFonts w:ascii="Times New Roman" w:hAnsi="Times New Roman" w:cs="Times New Roman"/>
        </w:rPr>
        <w:t>look bleak.</w:t>
      </w:r>
      <w:r w:rsidR="00BD22B0">
        <w:rPr>
          <w:rFonts w:ascii="Times New Roman" w:hAnsi="Times New Roman" w:cs="Times New Roman"/>
        </w:rPr>
        <w:t xml:space="preserve"> </w:t>
      </w:r>
      <w:r w:rsidR="00773580">
        <w:rPr>
          <w:rFonts w:ascii="Times New Roman" w:hAnsi="Times New Roman" w:cs="Times New Roman"/>
        </w:rPr>
        <w:t xml:space="preserve">At the same time, one might wonder if Britain has been here before, or </w:t>
      </w:r>
      <w:r w:rsidR="00725FBB">
        <w:rPr>
          <w:rFonts w:ascii="Times New Roman" w:hAnsi="Times New Roman" w:cs="Times New Roman"/>
        </w:rPr>
        <w:t xml:space="preserve">worse </w:t>
      </w:r>
      <w:r w:rsidR="00BE594A">
        <w:rPr>
          <w:rFonts w:ascii="Times New Roman" w:hAnsi="Times New Roman" w:cs="Times New Roman"/>
        </w:rPr>
        <w:t xml:space="preserve">is </w:t>
      </w:r>
      <w:r w:rsidR="00725FBB">
        <w:rPr>
          <w:rFonts w:ascii="Times New Roman" w:hAnsi="Times New Roman" w:cs="Times New Roman"/>
        </w:rPr>
        <w:t xml:space="preserve">condemned to </w:t>
      </w:r>
      <w:r w:rsidR="005542FB">
        <w:rPr>
          <w:rFonts w:ascii="Times New Roman" w:hAnsi="Times New Roman" w:cs="Times New Roman"/>
        </w:rPr>
        <w:t xml:space="preserve">live out </w:t>
      </w:r>
      <w:r w:rsidR="00725FBB">
        <w:rPr>
          <w:rFonts w:ascii="Times New Roman" w:hAnsi="Times New Roman" w:cs="Times New Roman"/>
        </w:rPr>
        <w:t xml:space="preserve">a </w:t>
      </w:r>
      <w:r w:rsidR="00781614">
        <w:rPr>
          <w:rFonts w:ascii="Times New Roman" w:hAnsi="Times New Roman" w:cs="Times New Roman"/>
        </w:rPr>
        <w:t xml:space="preserve">never-ending </w:t>
      </w:r>
      <w:r w:rsidR="00725FBB">
        <w:rPr>
          <w:rFonts w:ascii="Times New Roman" w:hAnsi="Times New Roman" w:cs="Times New Roman"/>
        </w:rPr>
        <w:t xml:space="preserve">political </w:t>
      </w:r>
      <w:r w:rsidR="005542FB">
        <w:rPr>
          <w:rFonts w:ascii="Times New Roman" w:hAnsi="Times New Roman" w:cs="Times New Roman"/>
        </w:rPr>
        <w:t>G</w:t>
      </w:r>
      <w:r w:rsidR="00725FBB">
        <w:rPr>
          <w:rFonts w:ascii="Times New Roman" w:hAnsi="Times New Roman" w:cs="Times New Roman"/>
        </w:rPr>
        <w:t xml:space="preserve">roundhog </w:t>
      </w:r>
      <w:r w:rsidR="005542FB">
        <w:rPr>
          <w:rFonts w:ascii="Times New Roman" w:hAnsi="Times New Roman" w:cs="Times New Roman"/>
        </w:rPr>
        <w:t>D</w:t>
      </w:r>
      <w:r w:rsidR="00725FBB">
        <w:rPr>
          <w:rFonts w:ascii="Times New Roman" w:hAnsi="Times New Roman" w:cs="Times New Roman"/>
        </w:rPr>
        <w:t>ay</w:t>
      </w:r>
      <w:r w:rsidR="005542FB">
        <w:rPr>
          <w:rFonts w:ascii="Times New Roman" w:hAnsi="Times New Roman" w:cs="Times New Roman"/>
        </w:rPr>
        <w:t xml:space="preserve">. Writing in 1975, </w:t>
      </w:r>
      <w:r w:rsidR="00876C17">
        <w:rPr>
          <w:rFonts w:ascii="Times New Roman" w:hAnsi="Times New Roman" w:cs="Times New Roman"/>
        </w:rPr>
        <w:t>as the UK faced another period of economic stagnation, social unrest, divided politics, an</w:t>
      </w:r>
      <w:r w:rsidR="00BE2AF0">
        <w:rPr>
          <w:rFonts w:ascii="Times New Roman" w:hAnsi="Times New Roman" w:cs="Times New Roman"/>
        </w:rPr>
        <w:t>d</w:t>
      </w:r>
      <w:r w:rsidR="00876C17">
        <w:rPr>
          <w:rFonts w:ascii="Times New Roman" w:hAnsi="Times New Roman" w:cs="Times New Roman"/>
        </w:rPr>
        <w:t xml:space="preserve"> </w:t>
      </w:r>
      <w:r w:rsidR="005C7686">
        <w:rPr>
          <w:rFonts w:ascii="Times New Roman" w:hAnsi="Times New Roman" w:cs="Times New Roman"/>
        </w:rPr>
        <w:t>overloaded government</w:t>
      </w:r>
      <w:r w:rsidR="004F0EF8">
        <w:rPr>
          <w:rFonts w:ascii="Times New Roman" w:hAnsi="Times New Roman" w:cs="Times New Roman"/>
        </w:rPr>
        <w:t>,</w:t>
      </w:r>
      <w:r w:rsidR="000832A5">
        <w:rPr>
          <w:rFonts w:ascii="Times New Roman" w:hAnsi="Times New Roman" w:cs="Times New Roman"/>
        </w:rPr>
        <w:t xml:space="preserve"> the late great Tony King wryly observed:</w:t>
      </w:r>
    </w:p>
    <w:p w14:paraId="1A8A4D35" w14:textId="1C2C2E51" w:rsidR="00876C17" w:rsidRPr="007B172F" w:rsidRDefault="00CB17E4" w:rsidP="002B55EF">
      <w:pPr>
        <w:spacing w:after="120" w:line="480" w:lineRule="auto"/>
        <w:ind w:left="720"/>
        <w:rPr>
          <w:rFonts w:ascii="Times New Roman" w:hAnsi="Times New Roman" w:cs="Times New Roman"/>
          <w:i/>
          <w:iCs/>
        </w:rPr>
      </w:pPr>
      <w:r w:rsidRPr="007B172F">
        <w:rPr>
          <w:rFonts w:ascii="Times New Roman" w:hAnsi="Times New Roman" w:cs="Times New Roman"/>
          <w:i/>
          <w:iCs/>
        </w:rPr>
        <w:t>“</w:t>
      </w:r>
      <w:r w:rsidR="00876C17" w:rsidRPr="007B172F">
        <w:rPr>
          <w:rFonts w:ascii="Times New Roman" w:hAnsi="Times New Roman" w:cs="Times New Roman"/>
          <w:i/>
          <w:iCs/>
        </w:rPr>
        <w:t>It was once thought that Britain was an unusually easy country to govern, its politicians wise, its parties responsible, its administration efficient, its people docile</w:t>
      </w:r>
      <w:r w:rsidRPr="007B172F">
        <w:rPr>
          <w:rFonts w:ascii="Times New Roman" w:hAnsi="Times New Roman" w:cs="Times New Roman"/>
          <w:i/>
          <w:iCs/>
        </w:rPr>
        <w:t>…</w:t>
      </w:r>
      <w:r w:rsidR="00876C17" w:rsidRPr="007B172F">
        <w:rPr>
          <w:rFonts w:ascii="Times New Roman" w:hAnsi="Times New Roman" w:cs="Times New Roman"/>
          <w:i/>
          <w:iCs/>
        </w:rPr>
        <w:t xml:space="preserve"> Now we wonder whether Britain is not perhaps an unusually difficult country to govern, its problems </w:t>
      </w:r>
      <w:r w:rsidR="00876C17" w:rsidRPr="007B172F">
        <w:rPr>
          <w:rFonts w:ascii="Times New Roman" w:hAnsi="Times New Roman" w:cs="Times New Roman"/>
          <w:i/>
          <w:iCs/>
        </w:rPr>
        <w:lastRenderedPageBreak/>
        <w:t>peculiarly intractable, its people increasingly bloody-minded. What has happened? What has gone wrong?</w:t>
      </w:r>
      <w:r w:rsidRPr="007B172F">
        <w:rPr>
          <w:rFonts w:ascii="Times New Roman" w:hAnsi="Times New Roman" w:cs="Times New Roman"/>
          <w:i/>
          <w:iCs/>
        </w:rPr>
        <w:t>”</w:t>
      </w:r>
      <w:r w:rsidR="00786814">
        <w:rPr>
          <w:rStyle w:val="FootnoteReference"/>
          <w:rFonts w:ascii="Times New Roman" w:hAnsi="Times New Roman" w:cs="Times New Roman"/>
          <w:i/>
          <w:iCs/>
        </w:rPr>
        <w:footnoteReference w:id="17"/>
      </w:r>
    </w:p>
    <w:p w14:paraId="04D41146" w14:textId="21D394C8" w:rsidR="00B36379" w:rsidRDefault="00F26C71" w:rsidP="00D97A1B">
      <w:pPr>
        <w:spacing w:after="0" w:line="480" w:lineRule="auto"/>
        <w:rPr>
          <w:rFonts w:ascii="Times New Roman" w:hAnsi="Times New Roman" w:cs="Times New Roman"/>
        </w:rPr>
      </w:pPr>
      <w:r w:rsidRPr="002F3879">
        <w:rPr>
          <w:rFonts w:ascii="Times New Roman" w:hAnsi="Times New Roman" w:cs="Times New Roman"/>
        </w:rPr>
        <w:t>Perhaps it is simply the case that</w:t>
      </w:r>
      <w:r w:rsidR="0019157E">
        <w:rPr>
          <w:rFonts w:ascii="Times New Roman" w:hAnsi="Times New Roman" w:cs="Times New Roman"/>
        </w:rPr>
        <w:t xml:space="preserve"> despite significant </w:t>
      </w:r>
      <w:r w:rsidR="0067126A">
        <w:rPr>
          <w:rFonts w:ascii="Times New Roman" w:hAnsi="Times New Roman" w:cs="Times New Roman"/>
        </w:rPr>
        <w:t xml:space="preserve">structural </w:t>
      </w:r>
      <w:r w:rsidR="0019157E">
        <w:rPr>
          <w:rFonts w:ascii="Times New Roman" w:hAnsi="Times New Roman" w:cs="Times New Roman"/>
        </w:rPr>
        <w:t>changes in economy and society</w:t>
      </w:r>
      <w:r w:rsidR="00465B42">
        <w:rPr>
          <w:rFonts w:ascii="Times New Roman" w:hAnsi="Times New Roman" w:cs="Times New Roman"/>
        </w:rPr>
        <w:t>,</w:t>
      </w:r>
      <w:r w:rsidR="004F61CB">
        <w:rPr>
          <w:rFonts w:ascii="Times New Roman" w:hAnsi="Times New Roman" w:cs="Times New Roman"/>
        </w:rPr>
        <w:t xml:space="preserve"> Britain has not</w:t>
      </w:r>
      <w:r w:rsidR="00205ACC">
        <w:rPr>
          <w:rFonts w:ascii="Times New Roman" w:hAnsi="Times New Roman" w:cs="Times New Roman"/>
        </w:rPr>
        <w:t xml:space="preserve"> found a way to</w:t>
      </w:r>
      <w:r w:rsidR="004F61CB">
        <w:rPr>
          <w:rFonts w:ascii="Times New Roman" w:hAnsi="Times New Roman" w:cs="Times New Roman"/>
        </w:rPr>
        <w:t xml:space="preserve"> overcome </w:t>
      </w:r>
      <w:r w:rsidR="0019157E">
        <w:rPr>
          <w:rFonts w:ascii="Times New Roman" w:hAnsi="Times New Roman" w:cs="Times New Roman"/>
        </w:rPr>
        <w:t>its long-term</w:t>
      </w:r>
      <w:r w:rsidR="00AD0ADF">
        <w:rPr>
          <w:rFonts w:ascii="Times New Roman" w:hAnsi="Times New Roman" w:cs="Times New Roman"/>
        </w:rPr>
        <w:t xml:space="preserve"> decline</w:t>
      </w:r>
      <w:r w:rsidR="00885616">
        <w:rPr>
          <w:rFonts w:ascii="Times New Roman" w:hAnsi="Times New Roman" w:cs="Times New Roman"/>
        </w:rPr>
        <w:t xml:space="preserve">, while class dealignment </w:t>
      </w:r>
      <w:r w:rsidR="00107A89">
        <w:rPr>
          <w:rFonts w:ascii="Times New Roman" w:hAnsi="Times New Roman" w:cs="Times New Roman"/>
        </w:rPr>
        <w:t>has furthe</w:t>
      </w:r>
      <w:r w:rsidR="007D0935">
        <w:rPr>
          <w:rFonts w:ascii="Times New Roman" w:hAnsi="Times New Roman" w:cs="Times New Roman"/>
        </w:rPr>
        <w:t xml:space="preserve">r reduced the </w:t>
      </w:r>
      <w:r w:rsidR="00DC4865">
        <w:rPr>
          <w:rFonts w:ascii="Times New Roman" w:hAnsi="Times New Roman" w:cs="Times New Roman"/>
        </w:rPr>
        <w:t>‘</w:t>
      </w:r>
      <w:r w:rsidR="007D0935">
        <w:rPr>
          <w:rFonts w:ascii="Times New Roman" w:hAnsi="Times New Roman" w:cs="Times New Roman"/>
        </w:rPr>
        <w:t>docility</w:t>
      </w:r>
      <w:r w:rsidR="00DC4865">
        <w:rPr>
          <w:rFonts w:ascii="Times New Roman" w:hAnsi="Times New Roman" w:cs="Times New Roman"/>
        </w:rPr>
        <w:t>’</w:t>
      </w:r>
      <w:r w:rsidR="007D0935">
        <w:rPr>
          <w:rFonts w:ascii="Times New Roman" w:hAnsi="Times New Roman" w:cs="Times New Roman"/>
        </w:rPr>
        <w:t xml:space="preserve"> of</w:t>
      </w:r>
      <w:r w:rsidR="00BD04D6">
        <w:rPr>
          <w:rFonts w:ascii="Times New Roman" w:hAnsi="Times New Roman" w:cs="Times New Roman"/>
        </w:rPr>
        <w:t xml:space="preserve"> its peopl</w:t>
      </w:r>
      <w:r w:rsidR="00B869B5">
        <w:rPr>
          <w:rFonts w:ascii="Times New Roman" w:hAnsi="Times New Roman" w:cs="Times New Roman"/>
        </w:rPr>
        <w:t xml:space="preserve">e. </w:t>
      </w:r>
      <w:r w:rsidR="00067160">
        <w:rPr>
          <w:rFonts w:ascii="Times New Roman" w:hAnsi="Times New Roman" w:cs="Times New Roman"/>
        </w:rPr>
        <w:t>Whether or not</w:t>
      </w:r>
      <w:r w:rsidR="00CE771B">
        <w:rPr>
          <w:rFonts w:ascii="Times New Roman" w:hAnsi="Times New Roman" w:cs="Times New Roman"/>
        </w:rPr>
        <w:t xml:space="preserve"> the result of this</w:t>
      </w:r>
      <w:r w:rsidR="006A2DF0">
        <w:rPr>
          <w:rFonts w:ascii="Times New Roman" w:hAnsi="Times New Roman" w:cs="Times New Roman"/>
        </w:rPr>
        <w:t xml:space="preserve"> economic malaise</w:t>
      </w:r>
      <w:r w:rsidR="003C392A">
        <w:rPr>
          <w:rFonts w:ascii="Times New Roman" w:hAnsi="Times New Roman" w:cs="Times New Roman"/>
        </w:rPr>
        <w:t>, public discontent,</w:t>
      </w:r>
      <w:r w:rsidR="006A2DF0">
        <w:rPr>
          <w:rFonts w:ascii="Times New Roman" w:hAnsi="Times New Roman" w:cs="Times New Roman"/>
        </w:rPr>
        <w:t xml:space="preserve"> and governing</w:t>
      </w:r>
      <w:r w:rsidR="00CE771B">
        <w:rPr>
          <w:rFonts w:ascii="Times New Roman" w:hAnsi="Times New Roman" w:cs="Times New Roman"/>
        </w:rPr>
        <w:t xml:space="preserve"> overload is another</w:t>
      </w:r>
      <w:r w:rsidR="001E2FE3">
        <w:rPr>
          <w:rFonts w:ascii="Times New Roman" w:hAnsi="Times New Roman" w:cs="Times New Roman"/>
        </w:rPr>
        <w:t xml:space="preserve"> episode of the</w:t>
      </w:r>
      <w:r w:rsidR="00CE771B">
        <w:rPr>
          <w:rFonts w:ascii="Times New Roman" w:hAnsi="Times New Roman" w:cs="Times New Roman"/>
        </w:rPr>
        <w:t xml:space="preserve"> </w:t>
      </w:r>
      <w:r w:rsidR="006A2DF0">
        <w:rPr>
          <w:rFonts w:ascii="Times New Roman" w:hAnsi="Times New Roman" w:cs="Times New Roman"/>
        </w:rPr>
        <w:t>G</w:t>
      </w:r>
      <w:r w:rsidR="00CE771B">
        <w:rPr>
          <w:rFonts w:ascii="Times New Roman" w:hAnsi="Times New Roman" w:cs="Times New Roman"/>
        </w:rPr>
        <w:t xml:space="preserve">reat </w:t>
      </w:r>
      <w:r w:rsidR="006A2DF0">
        <w:rPr>
          <w:rFonts w:ascii="Times New Roman" w:hAnsi="Times New Roman" w:cs="Times New Roman"/>
        </w:rPr>
        <w:t>M</w:t>
      </w:r>
      <w:r w:rsidR="00BF64C1">
        <w:rPr>
          <w:rFonts w:ascii="Times New Roman" w:hAnsi="Times New Roman" w:cs="Times New Roman"/>
        </w:rPr>
        <w:t>oving</w:t>
      </w:r>
      <w:r w:rsidR="00CE771B">
        <w:rPr>
          <w:rFonts w:ascii="Times New Roman" w:hAnsi="Times New Roman" w:cs="Times New Roman"/>
        </w:rPr>
        <w:t xml:space="preserve"> </w:t>
      </w:r>
      <w:r w:rsidR="006A2DF0">
        <w:rPr>
          <w:rFonts w:ascii="Times New Roman" w:hAnsi="Times New Roman" w:cs="Times New Roman"/>
        </w:rPr>
        <w:t>R</w:t>
      </w:r>
      <w:r w:rsidR="00CE771B">
        <w:rPr>
          <w:rFonts w:ascii="Times New Roman" w:hAnsi="Times New Roman" w:cs="Times New Roman"/>
        </w:rPr>
        <w:t xml:space="preserve">ight </w:t>
      </w:r>
      <w:r w:rsidR="006A2DF0">
        <w:rPr>
          <w:rFonts w:ascii="Times New Roman" w:hAnsi="Times New Roman" w:cs="Times New Roman"/>
        </w:rPr>
        <w:t>S</w:t>
      </w:r>
      <w:r w:rsidR="00CE771B">
        <w:rPr>
          <w:rFonts w:ascii="Times New Roman" w:hAnsi="Times New Roman" w:cs="Times New Roman"/>
        </w:rPr>
        <w:t>how,</w:t>
      </w:r>
      <w:r w:rsidR="00192AA6">
        <w:rPr>
          <w:rStyle w:val="FootnoteReference"/>
          <w:rFonts w:ascii="Times New Roman" w:hAnsi="Times New Roman" w:cs="Times New Roman"/>
        </w:rPr>
        <w:footnoteReference w:id="18"/>
      </w:r>
      <w:r w:rsidR="00CE771B">
        <w:rPr>
          <w:rFonts w:ascii="Times New Roman" w:hAnsi="Times New Roman" w:cs="Times New Roman"/>
        </w:rPr>
        <w:t xml:space="preserve"> remains to be seen.</w:t>
      </w:r>
      <w:r w:rsidR="001E2FE3">
        <w:rPr>
          <w:rFonts w:ascii="Times New Roman" w:hAnsi="Times New Roman" w:cs="Times New Roman"/>
        </w:rPr>
        <w:t xml:space="preserve"> </w:t>
      </w:r>
      <w:r w:rsidR="00CE771B">
        <w:rPr>
          <w:rFonts w:ascii="Times New Roman" w:hAnsi="Times New Roman" w:cs="Times New Roman"/>
        </w:rPr>
        <w:t xml:space="preserve">Labour’s </w:t>
      </w:r>
      <w:r w:rsidR="00062E79">
        <w:rPr>
          <w:rFonts w:ascii="Times New Roman" w:hAnsi="Times New Roman" w:cs="Times New Roman"/>
        </w:rPr>
        <w:t xml:space="preserve">immediate </w:t>
      </w:r>
      <w:r w:rsidR="00CE771B">
        <w:rPr>
          <w:rFonts w:ascii="Times New Roman" w:hAnsi="Times New Roman" w:cs="Times New Roman"/>
        </w:rPr>
        <w:t xml:space="preserve">challenge </w:t>
      </w:r>
      <w:r w:rsidR="00700868">
        <w:rPr>
          <w:rFonts w:ascii="Times New Roman" w:hAnsi="Times New Roman" w:cs="Times New Roman"/>
        </w:rPr>
        <w:t>of</w:t>
      </w:r>
      <w:r w:rsidR="00C90A3E">
        <w:rPr>
          <w:rFonts w:ascii="Times New Roman" w:hAnsi="Times New Roman" w:cs="Times New Roman"/>
        </w:rPr>
        <w:t xml:space="preserve"> taming </w:t>
      </w:r>
      <w:r w:rsidR="00056FC5">
        <w:rPr>
          <w:rFonts w:ascii="Times New Roman" w:hAnsi="Times New Roman" w:cs="Times New Roman"/>
        </w:rPr>
        <w:t xml:space="preserve">Britain’s </w:t>
      </w:r>
      <w:r w:rsidR="00424C93">
        <w:rPr>
          <w:rFonts w:ascii="Times New Roman" w:hAnsi="Times New Roman" w:cs="Times New Roman"/>
        </w:rPr>
        <w:t>recurring</w:t>
      </w:r>
      <w:r w:rsidR="00056FC5">
        <w:rPr>
          <w:rFonts w:ascii="Times New Roman" w:hAnsi="Times New Roman" w:cs="Times New Roman"/>
        </w:rPr>
        <w:t xml:space="preserve"> economic crisis </w:t>
      </w:r>
      <w:r w:rsidR="002C1FE6">
        <w:rPr>
          <w:rFonts w:ascii="Times New Roman" w:hAnsi="Times New Roman" w:cs="Times New Roman"/>
        </w:rPr>
        <w:t>will ultimately determine its electoral future</w:t>
      </w:r>
      <w:r w:rsidR="00B36379">
        <w:rPr>
          <w:rFonts w:ascii="Times New Roman" w:hAnsi="Times New Roman" w:cs="Times New Roman"/>
        </w:rPr>
        <w:t>.</w:t>
      </w:r>
      <w:r w:rsidR="00B36379">
        <w:rPr>
          <w:rFonts w:ascii="Times New Roman" w:hAnsi="Times New Roman" w:cs="Times New Roman"/>
        </w:rPr>
        <w:tab/>
      </w:r>
    </w:p>
    <w:p w14:paraId="348F0352" w14:textId="3C5BE650" w:rsidR="00DE2E3B" w:rsidRDefault="00876C17" w:rsidP="00B36379">
      <w:pPr>
        <w:spacing w:after="0" w:line="480" w:lineRule="auto"/>
        <w:ind w:firstLine="720"/>
        <w:rPr>
          <w:rFonts w:ascii="Times New Roman" w:hAnsi="Times New Roman" w:cs="Times New Roman"/>
        </w:rPr>
      </w:pPr>
      <w:r w:rsidRPr="00C74054">
        <w:rPr>
          <w:rFonts w:ascii="Times New Roman" w:hAnsi="Times New Roman" w:cs="Times New Roman"/>
        </w:rPr>
        <w:t xml:space="preserve">How the Conservatives recover from the 2024 </w:t>
      </w:r>
      <w:r w:rsidR="00C65411">
        <w:rPr>
          <w:rFonts w:ascii="Times New Roman" w:hAnsi="Times New Roman" w:cs="Times New Roman"/>
        </w:rPr>
        <w:t xml:space="preserve">general </w:t>
      </w:r>
      <w:r w:rsidRPr="00C74054">
        <w:rPr>
          <w:rFonts w:ascii="Times New Roman" w:hAnsi="Times New Roman" w:cs="Times New Roman"/>
        </w:rPr>
        <w:t>election</w:t>
      </w:r>
      <w:r w:rsidR="000E6DA6">
        <w:rPr>
          <w:rFonts w:ascii="Times New Roman" w:hAnsi="Times New Roman" w:cs="Times New Roman"/>
        </w:rPr>
        <w:t xml:space="preserve"> therefore </w:t>
      </w:r>
      <w:r w:rsidRPr="00C74054">
        <w:rPr>
          <w:rFonts w:ascii="Times New Roman" w:hAnsi="Times New Roman" w:cs="Times New Roman"/>
        </w:rPr>
        <w:t>depends</w:t>
      </w:r>
      <w:r w:rsidR="000E6DA6">
        <w:rPr>
          <w:rFonts w:ascii="Times New Roman" w:hAnsi="Times New Roman" w:cs="Times New Roman"/>
        </w:rPr>
        <w:t xml:space="preserve"> partly</w:t>
      </w:r>
      <w:r w:rsidRPr="00C74054">
        <w:rPr>
          <w:rFonts w:ascii="Times New Roman" w:hAnsi="Times New Roman" w:cs="Times New Roman"/>
        </w:rPr>
        <w:t xml:space="preserve"> on the degree to which</w:t>
      </w:r>
      <w:r w:rsidR="00B911E9">
        <w:rPr>
          <w:rFonts w:ascii="Times New Roman" w:hAnsi="Times New Roman" w:cs="Times New Roman"/>
        </w:rPr>
        <w:t xml:space="preserve"> the</w:t>
      </w:r>
      <w:r w:rsidRPr="00C74054">
        <w:rPr>
          <w:rFonts w:ascii="Times New Roman" w:hAnsi="Times New Roman" w:cs="Times New Roman"/>
        </w:rPr>
        <w:t xml:space="preserve"> Labour government squanders its</w:t>
      </w:r>
      <w:r w:rsidR="003A4C70">
        <w:rPr>
          <w:rFonts w:ascii="Times New Roman" w:hAnsi="Times New Roman" w:cs="Times New Roman"/>
        </w:rPr>
        <w:t xml:space="preserve"> already</w:t>
      </w:r>
      <w:r w:rsidRPr="00C74054">
        <w:rPr>
          <w:rFonts w:ascii="Times New Roman" w:hAnsi="Times New Roman" w:cs="Times New Roman"/>
        </w:rPr>
        <w:t xml:space="preserve"> </w:t>
      </w:r>
      <w:r w:rsidR="003A4C70">
        <w:rPr>
          <w:rFonts w:ascii="Times New Roman" w:hAnsi="Times New Roman" w:cs="Times New Roman"/>
        </w:rPr>
        <w:t xml:space="preserve">scarce </w:t>
      </w:r>
      <w:r w:rsidRPr="00C74054">
        <w:rPr>
          <w:rFonts w:ascii="Times New Roman" w:hAnsi="Times New Roman" w:cs="Times New Roman"/>
        </w:rPr>
        <w:t>political capital on unpopular policies</w:t>
      </w:r>
      <w:r w:rsidR="00A16678">
        <w:rPr>
          <w:rFonts w:ascii="Times New Roman" w:hAnsi="Times New Roman" w:cs="Times New Roman"/>
        </w:rPr>
        <w:t>,</w:t>
      </w:r>
      <w:r w:rsidRPr="00C74054">
        <w:rPr>
          <w:rFonts w:ascii="Times New Roman" w:hAnsi="Times New Roman" w:cs="Times New Roman"/>
        </w:rPr>
        <w:t xml:space="preserve"> fails to deliver on voters’ expectations of improvements in public services and</w:t>
      </w:r>
      <w:r w:rsidR="0054485B">
        <w:rPr>
          <w:rFonts w:ascii="Times New Roman" w:hAnsi="Times New Roman" w:cs="Times New Roman"/>
        </w:rPr>
        <w:t xml:space="preserve"> </w:t>
      </w:r>
      <w:r w:rsidR="00B24634">
        <w:rPr>
          <w:rFonts w:ascii="Times New Roman" w:hAnsi="Times New Roman" w:cs="Times New Roman"/>
        </w:rPr>
        <w:t>struggles</w:t>
      </w:r>
      <w:r w:rsidR="0054485B">
        <w:rPr>
          <w:rFonts w:ascii="Times New Roman" w:hAnsi="Times New Roman" w:cs="Times New Roman"/>
        </w:rPr>
        <w:t xml:space="preserve"> to master </w:t>
      </w:r>
      <w:r w:rsidR="007E329C">
        <w:rPr>
          <w:rFonts w:ascii="Times New Roman" w:hAnsi="Times New Roman" w:cs="Times New Roman"/>
        </w:rPr>
        <w:t>the</w:t>
      </w:r>
      <w:r w:rsidR="0054485B">
        <w:rPr>
          <w:rFonts w:ascii="Times New Roman" w:hAnsi="Times New Roman" w:cs="Times New Roman"/>
        </w:rPr>
        <w:t xml:space="preserve"> </w:t>
      </w:r>
      <w:r w:rsidRPr="00C74054">
        <w:rPr>
          <w:rFonts w:ascii="Times New Roman" w:hAnsi="Times New Roman" w:cs="Times New Roman"/>
        </w:rPr>
        <w:t>econom</w:t>
      </w:r>
      <w:r w:rsidR="00BD6919">
        <w:rPr>
          <w:rFonts w:ascii="Times New Roman" w:hAnsi="Times New Roman" w:cs="Times New Roman"/>
        </w:rPr>
        <w:t>ic crisis</w:t>
      </w:r>
      <w:r>
        <w:rPr>
          <w:rFonts w:ascii="Times New Roman" w:hAnsi="Times New Roman" w:cs="Times New Roman"/>
        </w:rPr>
        <w:t>. It</w:t>
      </w:r>
      <w:r w:rsidRPr="00C74054">
        <w:rPr>
          <w:rFonts w:ascii="Times New Roman" w:hAnsi="Times New Roman" w:cs="Times New Roman"/>
        </w:rPr>
        <w:t xml:space="preserve"> also depends on the </w:t>
      </w:r>
      <w:r w:rsidR="00B24634">
        <w:rPr>
          <w:rFonts w:ascii="Times New Roman" w:hAnsi="Times New Roman" w:cs="Times New Roman"/>
        </w:rPr>
        <w:t xml:space="preserve">sort of electoral coalition </w:t>
      </w:r>
      <w:r w:rsidR="006D3C95">
        <w:rPr>
          <w:rFonts w:ascii="Times New Roman" w:hAnsi="Times New Roman" w:cs="Times New Roman"/>
        </w:rPr>
        <w:t>the Conservative</w:t>
      </w:r>
      <w:r w:rsidR="00BF1CA7">
        <w:rPr>
          <w:rFonts w:ascii="Times New Roman" w:hAnsi="Times New Roman" w:cs="Times New Roman"/>
        </w:rPr>
        <w:t xml:space="preserve"> Party</w:t>
      </w:r>
      <w:r w:rsidRPr="00C74054">
        <w:rPr>
          <w:rFonts w:ascii="Times New Roman" w:hAnsi="Times New Roman" w:cs="Times New Roman"/>
        </w:rPr>
        <w:t xml:space="preserve"> seek</w:t>
      </w:r>
      <w:r w:rsidR="00BF1CA7">
        <w:rPr>
          <w:rFonts w:ascii="Times New Roman" w:hAnsi="Times New Roman" w:cs="Times New Roman"/>
        </w:rPr>
        <w:t>s</w:t>
      </w:r>
      <w:r w:rsidRPr="00C74054">
        <w:rPr>
          <w:rFonts w:ascii="Times New Roman" w:hAnsi="Times New Roman" w:cs="Times New Roman"/>
        </w:rPr>
        <w:t xml:space="preserve"> to </w:t>
      </w:r>
      <w:r w:rsidR="00B24634">
        <w:rPr>
          <w:rFonts w:ascii="Times New Roman" w:hAnsi="Times New Roman" w:cs="Times New Roman"/>
        </w:rPr>
        <w:t>assemble, and the geograph</w:t>
      </w:r>
      <w:r w:rsidR="008D1835">
        <w:rPr>
          <w:rFonts w:ascii="Times New Roman" w:hAnsi="Times New Roman" w:cs="Times New Roman"/>
        </w:rPr>
        <w:t>ical distribution</w:t>
      </w:r>
      <w:r w:rsidR="00B24634">
        <w:rPr>
          <w:rFonts w:ascii="Times New Roman" w:hAnsi="Times New Roman" w:cs="Times New Roman"/>
        </w:rPr>
        <w:t xml:space="preserve"> of that support</w:t>
      </w:r>
      <w:r>
        <w:rPr>
          <w:rFonts w:ascii="Times New Roman" w:hAnsi="Times New Roman" w:cs="Times New Roman"/>
        </w:rPr>
        <w:t>. Should</w:t>
      </w:r>
      <w:r w:rsidRPr="00C74054">
        <w:rPr>
          <w:rFonts w:ascii="Times New Roman" w:hAnsi="Times New Roman" w:cs="Times New Roman"/>
        </w:rPr>
        <w:t xml:space="preserve"> </w:t>
      </w:r>
      <w:r w:rsidR="00BF1CA7">
        <w:rPr>
          <w:rFonts w:ascii="Times New Roman" w:hAnsi="Times New Roman" w:cs="Times New Roman"/>
        </w:rPr>
        <w:t>it</w:t>
      </w:r>
      <w:r w:rsidRPr="00C74054">
        <w:rPr>
          <w:rFonts w:ascii="Times New Roman" w:hAnsi="Times New Roman" w:cs="Times New Roman"/>
        </w:rPr>
        <w:t xml:space="preserve"> </w:t>
      </w:r>
      <w:r w:rsidR="0056599B">
        <w:rPr>
          <w:rFonts w:ascii="Times New Roman" w:hAnsi="Times New Roman" w:cs="Times New Roman"/>
        </w:rPr>
        <w:t>focus on</w:t>
      </w:r>
      <w:r w:rsidRPr="00C74054">
        <w:rPr>
          <w:rFonts w:ascii="Times New Roman" w:hAnsi="Times New Roman" w:cs="Times New Roman"/>
        </w:rPr>
        <w:t xml:space="preserve"> win</w:t>
      </w:r>
      <w:r w:rsidR="00D95891">
        <w:rPr>
          <w:rFonts w:ascii="Times New Roman" w:hAnsi="Times New Roman" w:cs="Times New Roman"/>
        </w:rPr>
        <w:t>n</w:t>
      </w:r>
      <w:r w:rsidR="0056599B">
        <w:rPr>
          <w:rFonts w:ascii="Times New Roman" w:hAnsi="Times New Roman" w:cs="Times New Roman"/>
        </w:rPr>
        <w:t>ing</w:t>
      </w:r>
      <w:r w:rsidRPr="00C74054">
        <w:rPr>
          <w:rFonts w:ascii="Times New Roman" w:hAnsi="Times New Roman" w:cs="Times New Roman"/>
        </w:rPr>
        <w:t xml:space="preserve"> back </w:t>
      </w:r>
      <w:r w:rsidR="00BF1CA7">
        <w:rPr>
          <w:rFonts w:ascii="Times New Roman" w:hAnsi="Times New Roman" w:cs="Times New Roman"/>
        </w:rPr>
        <w:t>its</w:t>
      </w:r>
      <w:r w:rsidRPr="00C74054">
        <w:rPr>
          <w:rFonts w:ascii="Times New Roman" w:hAnsi="Times New Roman" w:cs="Times New Roman"/>
        </w:rPr>
        <w:t xml:space="preserve"> </w:t>
      </w:r>
      <w:r w:rsidR="00327402">
        <w:rPr>
          <w:rFonts w:ascii="Times New Roman" w:hAnsi="Times New Roman" w:cs="Times New Roman"/>
        </w:rPr>
        <w:t xml:space="preserve">traditional </w:t>
      </w:r>
      <w:r w:rsidRPr="00C74054">
        <w:rPr>
          <w:rFonts w:ascii="Times New Roman" w:hAnsi="Times New Roman" w:cs="Times New Roman"/>
        </w:rPr>
        <w:t>professional, middle</w:t>
      </w:r>
      <w:r w:rsidR="006D3C95">
        <w:rPr>
          <w:rFonts w:ascii="Times New Roman" w:hAnsi="Times New Roman" w:cs="Times New Roman"/>
        </w:rPr>
        <w:t>-</w:t>
      </w:r>
      <w:r w:rsidRPr="00C74054">
        <w:rPr>
          <w:rFonts w:ascii="Times New Roman" w:hAnsi="Times New Roman" w:cs="Times New Roman"/>
        </w:rPr>
        <w:t>class base or</w:t>
      </w:r>
      <w:r w:rsidR="00D95891">
        <w:rPr>
          <w:rFonts w:ascii="Times New Roman" w:hAnsi="Times New Roman" w:cs="Times New Roman"/>
        </w:rPr>
        <w:t xml:space="preserve"> the</w:t>
      </w:r>
      <w:r w:rsidRPr="00C74054">
        <w:rPr>
          <w:rFonts w:ascii="Times New Roman" w:hAnsi="Times New Roman" w:cs="Times New Roman"/>
        </w:rPr>
        <w:t xml:space="preserve"> </w:t>
      </w:r>
      <w:r w:rsidR="009823E9">
        <w:rPr>
          <w:rFonts w:ascii="Times New Roman" w:hAnsi="Times New Roman" w:cs="Times New Roman"/>
        </w:rPr>
        <w:t>Leave-</w:t>
      </w:r>
      <w:r w:rsidR="00014574">
        <w:rPr>
          <w:rFonts w:ascii="Times New Roman" w:hAnsi="Times New Roman" w:cs="Times New Roman"/>
        </w:rPr>
        <w:t>supporting</w:t>
      </w:r>
      <w:r w:rsidR="009823E9">
        <w:rPr>
          <w:rFonts w:ascii="Times New Roman" w:hAnsi="Times New Roman" w:cs="Times New Roman"/>
        </w:rPr>
        <w:t xml:space="preserve"> and working-class</w:t>
      </w:r>
      <w:r w:rsidR="006D3C95">
        <w:rPr>
          <w:rFonts w:ascii="Times New Roman" w:hAnsi="Times New Roman" w:cs="Times New Roman"/>
        </w:rPr>
        <w:t xml:space="preserve"> </w:t>
      </w:r>
      <w:r w:rsidR="00E21DD6">
        <w:rPr>
          <w:rFonts w:ascii="Times New Roman" w:hAnsi="Times New Roman" w:cs="Times New Roman"/>
        </w:rPr>
        <w:t>voters that deserted the party in 2024</w:t>
      </w:r>
      <w:r w:rsidR="009823E9">
        <w:rPr>
          <w:rFonts w:ascii="Times New Roman" w:hAnsi="Times New Roman" w:cs="Times New Roman"/>
        </w:rPr>
        <w:t xml:space="preserve">? </w:t>
      </w:r>
      <w:r w:rsidR="000E5B9A">
        <w:rPr>
          <w:rFonts w:ascii="Times New Roman" w:hAnsi="Times New Roman" w:cs="Times New Roman"/>
        </w:rPr>
        <w:t xml:space="preserve">To win </w:t>
      </w:r>
      <w:r w:rsidR="00D95891">
        <w:rPr>
          <w:rFonts w:ascii="Times New Roman" w:hAnsi="Times New Roman" w:cs="Times New Roman"/>
        </w:rPr>
        <w:t>the next general</w:t>
      </w:r>
      <w:r w:rsidR="000E5B9A">
        <w:rPr>
          <w:rFonts w:ascii="Times New Roman" w:hAnsi="Times New Roman" w:cs="Times New Roman"/>
        </w:rPr>
        <w:t xml:space="preserve"> election </w:t>
      </w:r>
      <w:r w:rsidR="001B232F">
        <w:rPr>
          <w:rFonts w:ascii="Times New Roman" w:hAnsi="Times New Roman" w:cs="Times New Roman"/>
        </w:rPr>
        <w:t xml:space="preserve">it would need to do </w:t>
      </w:r>
      <w:r w:rsidR="00F36282">
        <w:rPr>
          <w:rFonts w:ascii="Times New Roman" w:hAnsi="Times New Roman" w:cs="Times New Roman"/>
        </w:rPr>
        <w:t>some of</w:t>
      </w:r>
      <w:r w:rsidR="001B232F">
        <w:rPr>
          <w:rFonts w:ascii="Times New Roman" w:hAnsi="Times New Roman" w:cs="Times New Roman"/>
        </w:rPr>
        <w:t xml:space="preserve"> both. </w:t>
      </w:r>
      <w:r w:rsidR="009823E9">
        <w:rPr>
          <w:rFonts w:ascii="Times New Roman" w:hAnsi="Times New Roman" w:cs="Times New Roman"/>
        </w:rPr>
        <w:t>Just as Labour faces a pincer</w:t>
      </w:r>
      <w:r w:rsidR="007B7187">
        <w:rPr>
          <w:rFonts w:ascii="Times New Roman" w:hAnsi="Times New Roman" w:cs="Times New Roman"/>
        </w:rPr>
        <w:t xml:space="preserve"> movement from Green</w:t>
      </w:r>
      <w:r w:rsidR="009D3E76">
        <w:rPr>
          <w:rFonts w:ascii="Times New Roman" w:hAnsi="Times New Roman" w:cs="Times New Roman"/>
        </w:rPr>
        <w:t xml:space="preserve">s and </w:t>
      </w:r>
      <w:r w:rsidR="007B7187">
        <w:rPr>
          <w:rFonts w:ascii="Times New Roman" w:hAnsi="Times New Roman" w:cs="Times New Roman"/>
        </w:rPr>
        <w:t>Independent</w:t>
      </w:r>
      <w:r w:rsidR="009D3E76">
        <w:rPr>
          <w:rFonts w:ascii="Times New Roman" w:hAnsi="Times New Roman" w:cs="Times New Roman"/>
        </w:rPr>
        <w:t xml:space="preserve">s </w:t>
      </w:r>
      <w:r w:rsidR="007B7187">
        <w:rPr>
          <w:rFonts w:ascii="Times New Roman" w:hAnsi="Times New Roman" w:cs="Times New Roman"/>
        </w:rPr>
        <w:t>on its left</w:t>
      </w:r>
      <w:r w:rsidR="00724D93">
        <w:rPr>
          <w:rFonts w:ascii="Times New Roman" w:hAnsi="Times New Roman" w:cs="Times New Roman"/>
        </w:rPr>
        <w:t xml:space="preserve"> and from the Conservatives</w:t>
      </w:r>
      <w:r w:rsidR="009D3E76">
        <w:rPr>
          <w:rFonts w:ascii="Times New Roman" w:hAnsi="Times New Roman" w:cs="Times New Roman"/>
        </w:rPr>
        <w:t xml:space="preserve"> and </w:t>
      </w:r>
      <w:r w:rsidR="00724D93">
        <w:rPr>
          <w:rFonts w:ascii="Times New Roman" w:hAnsi="Times New Roman" w:cs="Times New Roman"/>
        </w:rPr>
        <w:t>Reform on its right, the Conservatives face a pince</w:t>
      </w:r>
      <w:r w:rsidR="008131DC">
        <w:rPr>
          <w:rFonts w:ascii="Times New Roman" w:hAnsi="Times New Roman" w:cs="Times New Roman"/>
        </w:rPr>
        <w:t>r movement from Reform on the</w:t>
      </w:r>
      <w:r w:rsidR="008A0E6E">
        <w:rPr>
          <w:rFonts w:ascii="Times New Roman" w:hAnsi="Times New Roman" w:cs="Times New Roman"/>
        </w:rPr>
        <w:t>ir</w:t>
      </w:r>
      <w:r w:rsidR="008131DC">
        <w:rPr>
          <w:rFonts w:ascii="Times New Roman" w:hAnsi="Times New Roman" w:cs="Times New Roman"/>
        </w:rPr>
        <w:t xml:space="preserve"> right and the Lib</w:t>
      </w:r>
      <w:r w:rsidR="009D3E76">
        <w:rPr>
          <w:rFonts w:ascii="Times New Roman" w:hAnsi="Times New Roman" w:cs="Times New Roman"/>
        </w:rPr>
        <w:t xml:space="preserve">eral </w:t>
      </w:r>
      <w:r w:rsidR="008131DC">
        <w:rPr>
          <w:rFonts w:ascii="Times New Roman" w:hAnsi="Times New Roman" w:cs="Times New Roman"/>
        </w:rPr>
        <w:t>Dem</w:t>
      </w:r>
      <w:r w:rsidR="009D3E76">
        <w:rPr>
          <w:rFonts w:ascii="Times New Roman" w:hAnsi="Times New Roman" w:cs="Times New Roman"/>
        </w:rPr>
        <w:t xml:space="preserve">ocrats </w:t>
      </w:r>
      <w:r w:rsidR="008131DC">
        <w:rPr>
          <w:rFonts w:ascii="Times New Roman" w:hAnsi="Times New Roman" w:cs="Times New Roman"/>
        </w:rPr>
        <w:t>on the</w:t>
      </w:r>
      <w:r w:rsidR="008A0E6E">
        <w:rPr>
          <w:rFonts w:ascii="Times New Roman" w:hAnsi="Times New Roman" w:cs="Times New Roman"/>
        </w:rPr>
        <w:t>ir</w:t>
      </w:r>
      <w:r w:rsidR="008131DC">
        <w:rPr>
          <w:rFonts w:ascii="Times New Roman" w:hAnsi="Times New Roman" w:cs="Times New Roman"/>
        </w:rPr>
        <w:t xml:space="preserve"> left. </w:t>
      </w:r>
      <w:r w:rsidR="0018302F">
        <w:rPr>
          <w:rFonts w:ascii="Times New Roman" w:hAnsi="Times New Roman" w:cs="Times New Roman"/>
        </w:rPr>
        <w:t>It is these forces that are accelerating the dynamics of electoral fragmentation</w:t>
      </w:r>
      <w:r w:rsidR="002E3F49">
        <w:rPr>
          <w:rFonts w:ascii="Times New Roman" w:hAnsi="Times New Roman" w:cs="Times New Roman"/>
        </w:rPr>
        <w:t>,</w:t>
      </w:r>
      <w:r w:rsidR="0018302F">
        <w:rPr>
          <w:rFonts w:ascii="Times New Roman" w:hAnsi="Times New Roman" w:cs="Times New Roman"/>
        </w:rPr>
        <w:t xml:space="preserve"> and</w:t>
      </w:r>
      <w:r w:rsidR="00ED5873">
        <w:rPr>
          <w:rFonts w:ascii="Times New Roman" w:hAnsi="Times New Roman" w:cs="Times New Roman"/>
        </w:rPr>
        <w:t xml:space="preserve"> which</w:t>
      </w:r>
      <w:r w:rsidR="0018302F">
        <w:rPr>
          <w:rFonts w:ascii="Times New Roman" w:hAnsi="Times New Roman" w:cs="Times New Roman"/>
        </w:rPr>
        <w:t xml:space="preserve"> ultimately will </w:t>
      </w:r>
      <w:r w:rsidR="000E21C0">
        <w:rPr>
          <w:rFonts w:ascii="Times New Roman" w:hAnsi="Times New Roman" w:cs="Times New Roman"/>
        </w:rPr>
        <w:t>shape the geography of the next election</w:t>
      </w:r>
      <w:r w:rsidR="001E5884">
        <w:rPr>
          <w:rFonts w:ascii="Times New Roman" w:hAnsi="Times New Roman" w:cs="Times New Roman"/>
        </w:rPr>
        <w:t>.</w:t>
      </w:r>
    </w:p>
    <w:p w14:paraId="7B4421C5" w14:textId="2C9F6F2B" w:rsidR="00E26760" w:rsidRDefault="007F581A" w:rsidP="00187060">
      <w:pPr>
        <w:spacing w:after="0" w:line="480" w:lineRule="auto"/>
        <w:ind w:firstLine="720"/>
        <w:rPr>
          <w:rFonts w:ascii="Times New Roman" w:hAnsi="Times New Roman" w:cs="Times New Roman"/>
        </w:rPr>
      </w:pPr>
      <w:r>
        <w:rPr>
          <w:rFonts w:ascii="Times New Roman" w:hAnsi="Times New Roman" w:cs="Times New Roman"/>
        </w:rPr>
        <w:t xml:space="preserve">As we have shown, </w:t>
      </w:r>
      <w:r w:rsidR="00E76353">
        <w:rPr>
          <w:rFonts w:ascii="Times New Roman" w:hAnsi="Times New Roman" w:cs="Times New Roman"/>
        </w:rPr>
        <w:t xml:space="preserve">despite the </w:t>
      </w:r>
      <w:r w:rsidR="002E3F49">
        <w:rPr>
          <w:rFonts w:ascii="Times New Roman" w:hAnsi="Times New Roman" w:cs="Times New Roman"/>
        </w:rPr>
        <w:t xml:space="preserve">huge swing against the Conservative government, </w:t>
      </w:r>
      <w:r w:rsidR="00F45E9C">
        <w:rPr>
          <w:rFonts w:ascii="Times New Roman" w:hAnsi="Times New Roman" w:cs="Times New Roman"/>
        </w:rPr>
        <w:t>th</w:t>
      </w:r>
      <w:r w:rsidR="00BE2310">
        <w:rPr>
          <w:rFonts w:ascii="Times New Roman" w:hAnsi="Times New Roman" w:cs="Times New Roman"/>
        </w:rPr>
        <w:t xml:space="preserve">ere was notable </w:t>
      </w:r>
      <w:r w:rsidR="00BE6E45">
        <w:rPr>
          <w:rFonts w:ascii="Times New Roman" w:hAnsi="Times New Roman" w:cs="Times New Roman"/>
        </w:rPr>
        <w:t>continuity in the</w:t>
      </w:r>
      <w:r w:rsidR="00BE2310">
        <w:rPr>
          <w:rFonts w:ascii="Times New Roman" w:hAnsi="Times New Roman" w:cs="Times New Roman"/>
        </w:rPr>
        <w:t xml:space="preserve"> underlying socioeconomic </w:t>
      </w:r>
      <w:r w:rsidR="00BE6E45">
        <w:rPr>
          <w:rFonts w:ascii="Times New Roman" w:hAnsi="Times New Roman" w:cs="Times New Roman"/>
        </w:rPr>
        <w:t xml:space="preserve">and sociodemographic predictors of party vote at the constituency level. </w:t>
      </w:r>
      <w:r w:rsidR="0098641E">
        <w:rPr>
          <w:rFonts w:ascii="Times New Roman" w:hAnsi="Times New Roman" w:cs="Times New Roman"/>
        </w:rPr>
        <w:t>The election did not mark a clear reversal of the dealignment of social class and education as predictors of support for Labour and the Conservatives</w:t>
      </w:r>
      <w:r w:rsidR="00187060">
        <w:rPr>
          <w:rFonts w:ascii="Times New Roman" w:hAnsi="Times New Roman" w:cs="Times New Roman"/>
        </w:rPr>
        <w:t>, while socioeconomic deprivation remained strongly aligned with the geography of Labour’s vote</w:t>
      </w:r>
      <w:r w:rsidR="00536B76">
        <w:rPr>
          <w:rFonts w:ascii="Times New Roman" w:hAnsi="Times New Roman" w:cs="Times New Roman"/>
        </w:rPr>
        <w:t xml:space="preserve">. Similarly, while there </w:t>
      </w:r>
      <w:r w:rsidR="00536B76">
        <w:rPr>
          <w:rFonts w:ascii="Times New Roman" w:hAnsi="Times New Roman" w:cs="Times New Roman"/>
        </w:rPr>
        <w:lastRenderedPageBreak/>
        <w:t xml:space="preserve">was a slight weakening of the correlation </w:t>
      </w:r>
      <w:r w:rsidR="004177B5">
        <w:rPr>
          <w:rFonts w:ascii="Times New Roman" w:hAnsi="Times New Roman" w:cs="Times New Roman"/>
        </w:rPr>
        <w:t xml:space="preserve">of </w:t>
      </w:r>
      <w:r w:rsidR="00731A34">
        <w:rPr>
          <w:rFonts w:ascii="Times New Roman" w:hAnsi="Times New Roman" w:cs="Times New Roman"/>
        </w:rPr>
        <w:t xml:space="preserve">the </w:t>
      </w:r>
      <w:r w:rsidR="004177B5">
        <w:rPr>
          <w:rFonts w:ascii="Times New Roman" w:hAnsi="Times New Roman" w:cs="Times New Roman"/>
        </w:rPr>
        <w:t>el</w:t>
      </w:r>
      <w:r w:rsidR="00731A34">
        <w:rPr>
          <w:rFonts w:ascii="Times New Roman" w:hAnsi="Times New Roman" w:cs="Times New Roman"/>
        </w:rPr>
        <w:t>ectoral geography of England and Wales</w:t>
      </w:r>
      <w:r w:rsidR="004177B5">
        <w:rPr>
          <w:rFonts w:ascii="Times New Roman" w:hAnsi="Times New Roman" w:cs="Times New Roman"/>
        </w:rPr>
        <w:t xml:space="preserve"> with </w:t>
      </w:r>
      <w:r w:rsidR="00536B76">
        <w:rPr>
          <w:rFonts w:ascii="Times New Roman" w:hAnsi="Times New Roman" w:cs="Times New Roman"/>
        </w:rPr>
        <w:t xml:space="preserve">age and </w:t>
      </w:r>
      <w:r w:rsidR="00731A34">
        <w:rPr>
          <w:rFonts w:ascii="Times New Roman" w:hAnsi="Times New Roman" w:cs="Times New Roman"/>
        </w:rPr>
        <w:t>the size of</w:t>
      </w:r>
      <w:r w:rsidR="00732C11">
        <w:rPr>
          <w:rFonts w:ascii="Times New Roman" w:hAnsi="Times New Roman" w:cs="Times New Roman"/>
        </w:rPr>
        <w:t xml:space="preserve"> </w:t>
      </w:r>
      <w:r w:rsidR="00536B76">
        <w:rPr>
          <w:rFonts w:ascii="Times New Roman" w:hAnsi="Times New Roman" w:cs="Times New Roman"/>
        </w:rPr>
        <w:t>ethnic minorit</w:t>
      </w:r>
      <w:r w:rsidR="002B3633">
        <w:rPr>
          <w:rFonts w:ascii="Times New Roman" w:hAnsi="Times New Roman" w:cs="Times New Roman"/>
        </w:rPr>
        <w:t>y populations</w:t>
      </w:r>
      <w:r w:rsidR="000A5387">
        <w:rPr>
          <w:rFonts w:ascii="Times New Roman" w:hAnsi="Times New Roman" w:cs="Times New Roman"/>
        </w:rPr>
        <w:t>,</w:t>
      </w:r>
      <w:r w:rsidR="00732C11">
        <w:rPr>
          <w:rFonts w:ascii="Times New Roman" w:hAnsi="Times New Roman" w:cs="Times New Roman"/>
        </w:rPr>
        <w:t xml:space="preserve"> these were only modest deviations from </w:t>
      </w:r>
      <w:r w:rsidR="00E26760">
        <w:rPr>
          <w:rFonts w:ascii="Times New Roman" w:hAnsi="Times New Roman" w:cs="Times New Roman"/>
        </w:rPr>
        <w:t xml:space="preserve">recent trends. There was similarly continuity </w:t>
      </w:r>
      <w:r w:rsidR="00187060">
        <w:rPr>
          <w:rFonts w:ascii="Times New Roman" w:hAnsi="Times New Roman" w:cs="Times New Roman"/>
        </w:rPr>
        <w:t xml:space="preserve">between 2019 and 2024 in the areas </w:t>
      </w:r>
      <w:r w:rsidR="00E26760" w:rsidRPr="00F209D0">
        <w:rPr>
          <w:rFonts w:ascii="Times New Roman" w:hAnsi="Times New Roman" w:cs="Times New Roman"/>
        </w:rPr>
        <w:t xml:space="preserve">where the two parties tended to ‘over’- and ‘under-perform’ </w:t>
      </w:r>
      <w:r w:rsidR="005C3E36">
        <w:rPr>
          <w:rFonts w:ascii="Times New Roman" w:hAnsi="Times New Roman" w:cs="Times New Roman"/>
        </w:rPr>
        <w:t>those predictors</w:t>
      </w:r>
      <w:r w:rsidR="00E26760" w:rsidRPr="00F209D0">
        <w:rPr>
          <w:rFonts w:ascii="Times New Roman" w:hAnsi="Times New Roman" w:cs="Times New Roman"/>
        </w:rPr>
        <w:t>.</w:t>
      </w:r>
      <w:r w:rsidR="007616D9">
        <w:rPr>
          <w:rFonts w:ascii="Times New Roman" w:hAnsi="Times New Roman" w:cs="Times New Roman"/>
        </w:rPr>
        <w:t xml:space="preserve"> Labour’s vote continued to exceed expectations based on </w:t>
      </w:r>
      <w:r w:rsidR="00F46405">
        <w:rPr>
          <w:rFonts w:ascii="Times New Roman" w:hAnsi="Times New Roman" w:cs="Times New Roman"/>
        </w:rPr>
        <w:t>the soci</w:t>
      </w:r>
      <w:r w:rsidR="002A7E73">
        <w:rPr>
          <w:rFonts w:ascii="Times New Roman" w:hAnsi="Times New Roman" w:cs="Times New Roman"/>
        </w:rPr>
        <w:t>o</w:t>
      </w:r>
      <w:r w:rsidR="00F46405">
        <w:rPr>
          <w:rFonts w:ascii="Times New Roman" w:hAnsi="Times New Roman" w:cs="Times New Roman"/>
        </w:rPr>
        <w:t>economic profile of the electorate in Merseyside and other parts of Northern England</w:t>
      </w:r>
      <w:r w:rsidR="002A7E73">
        <w:rPr>
          <w:rFonts w:ascii="Times New Roman" w:hAnsi="Times New Roman" w:cs="Times New Roman"/>
        </w:rPr>
        <w:t xml:space="preserve"> – including more rural areas</w:t>
      </w:r>
      <w:r w:rsidR="00F46405">
        <w:rPr>
          <w:rFonts w:ascii="Times New Roman" w:hAnsi="Times New Roman" w:cs="Times New Roman"/>
        </w:rPr>
        <w:t>.</w:t>
      </w:r>
      <w:r w:rsidR="000742C0">
        <w:rPr>
          <w:rFonts w:ascii="Times New Roman" w:hAnsi="Times New Roman" w:cs="Times New Roman"/>
        </w:rPr>
        <w:t xml:space="preserve"> Even in defeat, t</w:t>
      </w:r>
      <w:r w:rsidR="002A7E73">
        <w:rPr>
          <w:rFonts w:ascii="Times New Roman" w:hAnsi="Times New Roman" w:cs="Times New Roman"/>
        </w:rPr>
        <w:t xml:space="preserve">he Conservatives continued </w:t>
      </w:r>
      <w:r w:rsidR="000742C0">
        <w:rPr>
          <w:rFonts w:ascii="Times New Roman" w:hAnsi="Times New Roman" w:cs="Times New Roman"/>
        </w:rPr>
        <w:t>do better in Lincolnshire</w:t>
      </w:r>
      <w:r w:rsidR="000866A7">
        <w:rPr>
          <w:rFonts w:ascii="Times New Roman" w:hAnsi="Times New Roman" w:cs="Times New Roman"/>
        </w:rPr>
        <w:t>,</w:t>
      </w:r>
      <w:r w:rsidR="000742C0">
        <w:rPr>
          <w:rFonts w:ascii="Times New Roman" w:hAnsi="Times New Roman" w:cs="Times New Roman"/>
        </w:rPr>
        <w:t xml:space="preserve"> parts of </w:t>
      </w:r>
      <w:r w:rsidR="00B77A7B">
        <w:rPr>
          <w:rFonts w:ascii="Times New Roman" w:hAnsi="Times New Roman" w:cs="Times New Roman"/>
        </w:rPr>
        <w:t>the West Midlands</w:t>
      </w:r>
      <w:r w:rsidR="00C05AEC">
        <w:rPr>
          <w:rFonts w:ascii="Times New Roman" w:hAnsi="Times New Roman" w:cs="Times New Roman"/>
        </w:rPr>
        <w:t xml:space="preserve"> and Teesside</w:t>
      </w:r>
      <w:r w:rsidR="00B77A7B">
        <w:rPr>
          <w:rFonts w:ascii="Times New Roman" w:hAnsi="Times New Roman" w:cs="Times New Roman"/>
        </w:rPr>
        <w:t xml:space="preserve"> than would be suggested by demographics. </w:t>
      </w:r>
    </w:p>
    <w:p w14:paraId="01DB7BEE" w14:textId="5B80FC44" w:rsidR="00876C17" w:rsidRDefault="000727E6" w:rsidP="0026046E">
      <w:pPr>
        <w:spacing w:after="0" w:line="480" w:lineRule="auto"/>
        <w:rPr>
          <w:rFonts w:ascii="Times New Roman" w:hAnsi="Times New Roman" w:cs="Times New Roman"/>
        </w:rPr>
      </w:pPr>
      <w:r>
        <w:rPr>
          <w:rFonts w:ascii="Times New Roman" w:hAnsi="Times New Roman" w:cs="Times New Roman"/>
        </w:rPr>
        <w:tab/>
      </w:r>
      <w:r w:rsidR="00F243DB">
        <w:rPr>
          <w:rFonts w:ascii="Times New Roman" w:hAnsi="Times New Roman" w:cs="Times New Roman"/>
        </w:rPr>
        <w:t>Importantly,</w:t>
      </w:r>
      <w:r w:rsidR="00ED4B16">
        <w:rPr>
          <w:rFonts w:ascii="Times New Roman" w:hAnsi="Times New Roman" w:cs="Times New Roman"/>
        </w:rPr>
        <w:t xml:space="preserve"> </w:t>
      </w:r>
      <w:r w:rsidR="00F243DB">
        <w:rPr>
          <w:rFonts w:ascii="Times New Roman" w:hAnsi="Times New Roman" w:cs="Times New Roman"/>
        </w:rPr>
        <w:t xml:space="preserve">structural </w:t>
      </w:r>
      <w:r w:rsidR="00ED4B16">
        <w:rPr>
          <w:rFonts w:ascii="Times New Roman" w:hAnsi="Times New Roman" w:cs="Times New Roman"/>
        </w:rPr>
        <w:t xml:space="preserve">changes in electoral geography can be concealed by </w:t>
      </w:r>
      <w:r w:rsidR="002E1D02">
        <w:rPr>
          <w:rFonts w:ascii="Times New Roman" w:hAnsi="Times New Roman" w:cs="Times New Roman"/>
        </w:rPr>
        <w:t xml:space="preserve">large swings of the political pendulum. </w:t>
      </w:r>
      <w:r w:rsidR="00E01303" w:rsidRPr="00A73EF0">
        <w:rPr>
          <w:rFonts w:ascii="Times New Roman" w:hAnsi="Times New Roman" w:cs="Times New Roman"/>
        </w:rPr>
        <w:t>Labour won back the ‘Red Wall’</w:t>
      </w:r>
      <w:r w:rsidR="00315CF2">
        <w:rPr>
          <w:rFonts w:ascii="Times New Roman" w:hAnsi="Times New Roman" w:cs="Times New Roman"/>
        </w:rPr>
        <w:t xml:space="preserve"> in 2024</w:t>
      </w:r>
      <w:r w:rsidR="00E01303" w:rsidRPr="00A73EF0">
        <w:rPr>
          <w:rFonts w:ascii="Times New Roman" w:hAnsi="Times New Roman" w:cs="Times New Roman"/>
        </w:rPr>
        <w:t xml:space="preserve"> not because of a structural change in the</w:t>
      </w:r>
      <w:r w:rsidR="00224D1D">
        <w:rPr>
          <w:rFonts w:ascii="Times New Roman" w:hAnsi="Times New Roman" w:cs="Times New Roman"/>
        </w:rPr>
        <w:t xml:space="preserve"> geography of the</w:t>
      </w:r>
      <w:r w:rsidR="00E01303" w:rsidRPr="00A73EF0">
        <w:rPr>
          <w:rFonts w:ascii="Times New Roman" w:hAnsi="Times New Roman" w:cs="Times New Roman"/>
        </w:rPr>
        <w:t xml:space="preserve"> party’s vote</w:t>
      </w:r>
      <w:r w:rsidR="00297F46">
        <w:rPr>
          <w:rFonts w:ascii="Times New Roman" w:hAnsi="Times New Roman" w:cs="Times New Roman"/>
        </w:rPr>
        <w:t>,</w:t>
      </w:r>
      <w:r w:rsidR="00E01303" w:rsidRPr="00A73EF0">
        <w:rPr>
          <w:rFonts w:ascii="Times New Roman" w:hAnsi="Times New Roman" w:cs="Times New Roman"/>
        </w:rPr>
        <w:t xml:space="preserve"> but because the electoral tide went out so far</w:t>
      </w:r>
      <w:r w:rsidR="00224D1D">
        <w:rPr>
          <w:rFonts w:ascii="Times New Roman" w:hAnsi="Times New Roman" w:cs="Times New Roman"/>
        </w:rPr>
        <w:t xml:space="preserve"> for the</w:t>
      </w:r>
      <w:r w:rsidR="00297F46">
        <w:rPr>
          <w:rFonts w:ascii="Times New Roman" w:hAnsi="Times New Roman" w:cs="Times New Roman"/>
        </w:rPr>
        <w:t>ir opponents</w:t>
      </w:r>
      <w:r w:rsidR="00E01303" w:rsidRPr="00A73EF0">
        <w:rPr>
          <w:rFonts w:ascii="Times New Roman" w:hAnsi="Times New Roman" w:cs="Times New Roman"/>
        </w:rPr>
        <w:t xml:space="preserve">. </w:t>
      </w:r>
      <w:r w:rsidR="00297F46">
        <w:rPr>
          <w:rFonts w:ascii="Times New Roman" w:hAnsi="Times New Roman" w:cs="Times New Roman"/>
        </w:rPr>
        <w:t>Labour’s</w:t>
      </w:r>
      <w:r w:rsidR="00224D1D">
        <w:rPr>
          <w:rFonts w:ascii="Times New Roman" w:hAnsi="Times New Roman" w:cs="Times New Roman"/>
        </w:rPr>
        <w:t xml:space="preserve"> </w:t>
      </w:r>
      <w:r w:rsidR="00E01303" w:rsidRPr="00A73EF0">
        <w:rPr>
          <w:rFonts w:ascii="Times New Roman" w:hAnsi="Times New Roman" w:cs="Times New Roman"/>
        </w:rPr>
        <w:t xml:space="preserve">2024 majority differs significantly from that won by </w:t>
      </w:r>
      <w:r w:rsidR="00297F46">
        <w:rPr>
          <w:rFonts w:ascii="Times New Roman" w:hAnsi="Times New Roman" w:cs="Times New Roman"/>
        </w:rPr>
        <w:t xml:space="preserve">Tony </w:t>
      </w:r>
      <w:r w:rsidR="00E01303" w:rsidRPr="00A73EF0">
        <w:rPr>
          <w:rFonts w:ascii="Times New Roman" w:hAnsi="Times New Roman" w:cs="Times New Roman"/>
        </w:rPr>
        <w:t>Blair in 1997 as the size of majorities won in</w:t>
      </w:r>
      <w:r w:rsidR="00297F46">
        <w:rPr>
          <w:rFonts w:ascii="Times New Roman" w:hAnsi="Times New Roman" w:cs="Times New Roman"/>
        </w:rPr>
        <w:t xml:space="preserve"> many of</w:t>
      </w:r>
      <w:r w:rsidR="00E01303" w:rsidRPr="00A73EF0">
        <w:rPr>
          <w:rFonts w:ascii="Times New Roman" w:hAnsi="Times New Roman" w:cs="Times New Roman"/>
        </w:rPr>
        <w:t xml:space="preserve"> those seats</w:t>
      </w:r>
      <w:r w:rsidR="00297F46">
        <w:rPr>
          <w:rFonts w:ascii="Times New Roman" w:hAnsi="Times New Roman" w:cs="Times New Roman"/>
        </w:rPr>
        <w:t xml:space="preserve"> in former industrial towns in the North of England</w:t>
      </w:r>
      <w:r w:rsidR="00E01303" w:rsidRPr="00A73EF0">
        <w:rPr>
          <w:rFonts w:ascii="Times New Roman" w:hAnsi="Times New Roman" w:cs="Times New Roman"/>
        </w:rPr>
        <w:t xml:space="preserve"> is now </w:t>
      </w:r>
      <w:r w:rsidR="00504678">
        <w:rPr>
          <w:rFonts w:ascii="Times New Roman" w:hAnsi="Times New Roman" w:cs="Times New Roman"/>
        </w:rPr>
        <w:t>substantially</w:t>
      </w:r>
      <w:r w:rsidR="00504678" w:rsidRPr="00A73EF0">
        <w:rPr>
          <w:rFonts w:ascii="Times New Roman" w:hAnsi="Times New Roman" w:cs="Times New Roman"/>
        </w:rPr>
        <w:t xml:space="preserve"> </w:t>
      </w:r>
      <w:r w:rsidR="00E01303" w:rsidRPr="00A73EF0">
        <w:rPr>
          <w:rFonts w:ascii="Times New Roman" w:hAnsi="Times New Roman" w:cs="Times New Roman"/>
        </w:rPr>
        <w:t xml:space="preserve">diminished. For example, in 1997 Labour held Bishop Auckland with a </w:t>
      </w:r>
      <w:proofErr w:type="gramStart"/>
      <w:r w:rsidR="00E01303" w:rsidRPr="00A73EF0">
        <w:rPr>
          <w:rFonts w:ascii="Times New Roman" w:hAnsi="Times New Roman" w:cs="Times New Roman"/>
        </w:rPr>
        <w:t>21,064 vote</w:t>
      </w:r>
      <w:proofErr w:type="gramEnd"/>
      <w:r w:rsidR="00E01303" w:rsidRPr="00A73EF0">
        <w:rPr>
          <w:rFonts w:ascii="Times New Roman" w:hAnsi="Times New Roman" w:cs="Times New Roman"/>
        </w:rPr>
        <w:t xml:space="preserve"> majority. In 2024, after winning the seat back from the Conservatives this majority stood at 6,672 votes. But the other end of the wedge is that Labour’s vote has grown in places that it was far behind in even at the high point of the 1997 landslide. In Aldershot, for example, Labour was in third place in 1997, 10,062 votes behind the Conservatives. In 2024, the party’s majority stood at 5,683. In both seats, the Reform vote – 9,466 and 8,210 votes respectively – exceeded the gap between the parties.</w:t>
      </w:r>
    </w:p>
    <w:p w14:paraId="3496D2D0" w14:textId="7F86BF29" w:rsidR="005D3B87" w:rsidRDefault="00A521AF" w:rsidP="000D5E88">
      <w:pPr>
        <w:spacing w:after="0" w:line="480" w:lineRule="auto"/>
        <w:ind w:firstLine="720"/>
        <w:rPr>
          <w:rFonts w:ascii="Times New Roman" w:hAnsi="Times New Roman" w:cs="Times New Roman"/>
        </w:rPr>
      </w:pPr>
      <w:r w:rsidRPr="006353D1">
        <w:rPr>
          <w:rFonts w:ascii="Times New Roman" w:hAnsi="Times New Roman" w:cs="Times New Roman"/>
        </w:rPr>
        <w:t>In contrast to</w:t>
      </w:r>
      <w:r w:rsidR="00BB7FA2" w:rsidRPr="006353D1">
        <w:rPr>
          <w:rFonts w:ascii="Times New Roman" w:hAnsi="Times New Roman" w:cs="Times New Roman"/>
        </w:rPr>
        <w:t xml:space="preserve"> </w:t>
      </w:r>
      <w:r w:rsidR="005B301A">
        <w:rPr>
          <w:rFonts w:ascii="Times New Roman" w:hAnsi="Times New Roman" w:cs="Times New Roman"/>
        </w:rPr>
        <w:t xml:space="preserve">the </w:t>
      </w:r>
      <w:r w:rsidR="00BB7FA2" w:rsidRPr="006353D1">
        <w:rPr>
          <w:rFonts w:ascii="Times New Roman" w:hAnsi="Times New Roman" w:cs="Times New Roman"/>
        </w:rPr>
        <w:t>perhaps surprising continuity in the underlying geographical structure of the vote for Labour and the Conse</w:t>
      </w:r>
      <w:r w:rsidRPr="006353D1">
        <w:rPr>
          <w:rFonts w:ascii="Times New Roman" w:hAnsi="Times New Roman" w:cs="Times New Roman"/>
        </w:rPr>
        <w:t>rvatives</w:t>
      </w:r>
      <w:r w:rsidR="00A34005" w:rsidRPr="006353D1">
        <w:rPr>
          <w:rFonts w:ascii="Times New Roman" w:hAnsi="Times New Roman" w:cs="Times New Roman"/>
        </w:rPr>
        <w:t xml:space="preserve"> between 2019 and 2024</w:t>
      </w:r>
      <w:r w:rsidRPr="006353D1">
        <w:rPr>
          <w:rFonts w:ascii="Times New Roman" w:hAnsi="Times New Roman" w:cs="Times New Roman"/>
        </w:rPr>
        <w:t xml:space="preserve">, </w:t>
      </w:r>
      <w:r w:rsidR="00A76386" w:rsidRPr="006353D1">
        <w:rPr>
          <w:rFonts w:ascii="Times New Roman" w:hAnsi="Times New Roman" w:cs="Times New Roman"/>
        </w:rPr>
        <w:t xml:space="preserve">there </w:t>
      </w:r>
      <w:r w:rsidR="00842DED" w:rsidRPr="006353D1">
        <w:rPr>
          <w:rFonts w:ascii="Times New Roman" w:hAnsi="Times New Roman" w:cs="Times New Roman"/>
        </w:rPr>
        <w:t xml:space="preserve">has been a </w:t>
      </w:r>
      <w:r w:rsidR="000B55BC">
        <w:rPr>
          <w:rFonts w:ascii="Times New Roman" w:hAnsi="Times New Roman" w:cs="Times New Roman"/>
        </w:rPr>
        <w:t>clear</w:t>
      </w:r>
      <w:r w:rsidR="00842DED" w:rsidRPr="006353D1">
        <w:rPr>
          <w:rFonts w:ascii="Times New Roman" w:hAnsi="Times New Roman" w:cs="Times New Roman"/>
        </w:rPr>
        <w:t xml:space="preserve"> </w:t>
      </w:r>
      <w:r w:rsidR="009F6B62" w:rsidRPr="006353D1">
        <w:rPr>
          <w:rFonts w:ascii="Times New Roman" w:hAnsi="Times New Roman" w:cs="Times New Roman"/>
        </w:rPr>
        <w:t xml:space="preserve">fragmentation of </w:t>
      </w:r>
      <w:r w:rsidR="005B301A">
        <w:rPr>
          <w:rFonts w:ascii="Times New Roman" w:hAnsi="Times New Roman" w:cs="Times New Roman"/>
        </w:rPr>
        <w:t>electoral support</w:t>
      </w:r>
      <w:r w:rsidR="009F6B62" w:rsidRPr="006353D1">
        <w:rPr>
          <w:rFonts w:ascii="Times New Roman" w:hAnsi="Times New Roman" w:cs="Times New Roman"/>
        </w:rPr>
        <w:t>, particularly in more peripheral parts of England and Wales.</w:t>
      </w:r>
      <w:r w:rsidR="009C5551">
        <w:rPr>
          <w:rFonts w:ascii="Times New Roman" w:hAnsi="Times New Roman" w:cs="Times New Roman"/>
        </w:rPr>
        <w:t xml:space="preserve"> This has left </w:t>
      </w:r>
      <w:r w:rsidR="00050877" w:rsidRPr="00E84C37">
        <w:rPr>
          <w:rFonts w:ascii="Times New Roman" w:hAnsi="Times New Roman" w:cs="Times New Roman"/>
        </w:rPr>
        <w:t>multiple parties competing for power in multiple constituencies</w:t>
      </w:r>
      <w:r w:rsidR="00050877">
        <w:rPr>
          <w:rFonts w:ascii="Times New Roman" w:hAnsi="Times New Roman" w:cs="Times New Roman"/>
        </w:rPr>
        <w:t xml:space="preserve"> and makes</w:t>
      </w:r>
      <w:r w:rsidR="009D2526">
        <w:rPr>
          <w:rFonts w:ascii="Times New Roman" w:hAnsi="Times New Roman" w:cs="Times New Roman"/>
        </w:rPr>
        <w:t xml:space="preserve"> the task of</w:t>
      </w:r>
      <w:r w:rsidR="00050877">
        <w:rPr>
          <w:rFonts w:ascii="Times New Roman" w:hAnsi="Times New Roman" w:cs="Times New Roman"/>
        </w:rPr>
        <w:t xml:space="preserve"> </w:t>
      </w:r>
      <w:r w:rsidR="009D2526">
        <w:rPr>
          <w:rFonts w:ascii="Times New Roman" w:hAnsi="Times New Roman" w:cs="Times New Roman"/>
        </w:rPr>
        <w:t>national campaigning even more challenging for the parties</w:t>
      </w:r>
      <w:r w:rsidR="00B6084F">
        <w:rPr>
          <w:rFonts w:ascii="Times New Roman" w:hAnsi="Times New Roman" w:cs="Times New Roman"/>
        </w:rPr>
        <w:t>, as they have to coordinate targeting of different voter groups and different seat types</w:t>
      </w:r>
      <w:r w:rsidR="009D2526">
        <w:rPr>
          <w:rFonts w:ascii="Times New Roman" w:hAnsi="Times New Roman" w:cs="Times New Roman"/>
        </w:rPr>
        <w:t>.</w:t>
      </w:r>
      <w:r w:rsidR="00D9705C">
        <w:rPr>
          <w:rFonts w:ascii="Times New Roman" w:hAnsi="Times New Roman" w:cs="Times New Roman"/>
        </w:rPr>
        <w:t xml:space="preserve"> The </w:t>
      </w:r>
      <w:r w:rsidR="00D9705C" w:rsidRPr="00D9705C">
        <w:rPr>
          <w:rFonts w:ascii="Times New Roman" w:hAnsi="Times New Roman" w:cs="Times New Roman"/>
        </w:rPr>
        <w:t xml:space="preserve">relatively </w:t>
      </w:r>
      <w:r w:rsidR="00D9705C">
        <w:rPr>
          <w:rFonts w:ascii="Times New Roman" w:hAnsi="Times New Roman" w:cs="Times New Roman"/>
        </w:rPr>
        <w:t xml:space="preserve">large number of seats with small majorities has further </w:t>
      </w:r>
      <w:r w:rsidR="00D9705C" w:rsidRPr="00D9705C">
        <w:rPr>
          <w:rFonts w:ascii="Times New Roman" w:hAnsi="Times New Roman" w:cs="Times New Roman"/>
        </w:rPr>
        <w:t>left the government</w:t>
      </w:r>
      <w:r w:rsidR="00D9705C">
        <w:rPr>
          <w:rFonts w:ascii="Times New Roman" w:hAnsi="Times New Roman" w:cs="Times New Roman"/>
        </w:rPr>
        <w:t xml:space="preserve"> far</w:t>
      </w:r>
      <w:r w:rsidR="00D9705C" w:rsidRPr="00D9705C">
        <w:rPr>
          <w:rFonts w:ascii="Times New Roman" w:hAnsi="Times New Roman" w:cs="Times New Roman"/>
        </w:rPr>
        <w:t xml:space="preserve"> more vulnerable than </w:t>
      </w:r>
      <w:r w:rsidR="00D9705C">
        <w:rPr>
          <w:rFonts w:ascii="Times New Roman" w:hAnsi="Times New Roman" w:cs="Times New Roman"/>
        </w:rPr>
        <w:t xml:space="preserve">would be suggested by </w:t>
      </w:r>
      <w:r w:rsidR="000838E0">
        <w:rPr>
          <w:rFonts w:ascii="Times New Roman" w:hAnsi="Times New Roman" w:cs="Times New Roman"/>
        </w:rPr>
        <w:t xml:space="preserve">its parliamentary majority of </w:t>
      </w:r>
      <w:r w:rsidR="00A113A8">
        <w:rPr>
          <w:rFonts w:ascii="Times New Roman" w:hAnsi="Times New Roman" w:cs="Times New Roman"/>
        </w:rPr>
        <w:t>174</w:t>
      </w:r>
      <w:r w:rsidR="000838E0">
        <w:rPr>
          <w:rFonts w:ascii="Times New Roman" w:hAnsi="Times New Roman" w:cs="Times New Roman"/>
        </w:rPr>
        <w:t xml:space="preserve"> seats.</w:t>
      </w:r>
      <w:r w:rsidR="000D5E88">
        <w:rPr>
          <w:rFonts w:ascii="Times New Roman" w:hAnsi="Times New Roman" w:cs="Times New Roman"/>
        </w:rPr>
        <w:t xml:space="preserve"> </w:t>
      </w:r>
      <w:r w:rsidR="00B419E9" w:rsidRPr="00B419E9">
        <w:rPr>
          <w:rFonts w:ascii="Times New Roman" w:hAnsi="Times New Roman" w:cs="Times New Roman"/>
        </w:rPr>
        <w:t xml:space="preserve">Despite the threat from Reform being talked up by some commentators, the Conservatives remain the primary </w:t>
      </w:r>
      <w:r w:rsidR="008848E9">
        <w:rPr>
          <w:rFonts w:ascii="Times New Roman" w:hAnsi="Times New Roman" w:cs="Times New Roman"/>
        </w:rPr>
        <w:t>challenger</w:t>
      </w:r>
      <w:r w:rsidR="00B419E9" w:rsidRPr="00B419E9">
        <w:rPr>
          <w:rFonts w:ascii="Times New Roman" w:hAnsi="Times New Roman" w:cs="Times New Roman"/>
        </w:rPr>
        <w:t xml:space="preserve"> – holding second place in </w:t>
      </w:r>
      <w:r w:rsidR="000D5E88">
        <w:rPr>
          <w:rFonts w:ascii="Times New Roman" w:hAnsi="Times New Roman" w:cs="Times New Roman"/>
        </w:rPr>
        <w:t xml:space="preserve">most of </w:t>
      </w:r>
      <w:r w:rsidR="00B419E9" w:rsidRPr="00B419E9">
        <w:rPr>
          <w:rFonts w:ascii="Times New Roman" w:hAnsi="Times New Roman" w:cs="Times New Roman"/>
        </w:rPr>
        <w:t>the most marginal</w:t>
      </w:r>
      <w:r w:rsidR="00C7045A">
        <w:rPr>
          <w:rFonts w:ascii="Times New Roman" w:hAnsi="Times New Roman" w:cs="Times New Roman"/>
        </w:rPr>
        <w:t xml:space="preserve"> Labour-held</w:t>
      </w:r>
      <w:r w:rsidR="00B419E9" w:rsidRPr="00B419E9">
        <w:rPr>
          <w:rFonts w:ascii="Times New Roman" w:hAnsi="Times New Roman" w:cs="Times New Roman"/>
        </w:rPr>
        <w:t xml:space="preserve"> constituencies.</w:t>
      </w:r>
      <w:r w:rsidR="00693931">
        <w:rPr>
          <w:rFonts w:ascii="Times New Roman" w:hAnsi="Times New Roman" w:cs="Times New Roman"/>
        </w:rPr>
        <w:t xml:space="preserve"> While</w:t>
      </w:r>
      <w:r w:rsidR="00F403C7">
        <w:rPr>
          <w:rFonts w:ascii="Times New Roman" w:hAnsi="Times New Roman" w:cs="Times New Roman"/>
        </w:rPr>
        <w:t xml:space="preserve"> Labour’s safest</w:t>
      </w:r>
      <w:r w:rsidR="00693931">
        <w:rPr>
          <w:rFonts w:ascii="Times New Roman" w:hAnsi="Times New Roman" w:cs="Times New Roman"/>
        </w:rPr>
        <w:t xml:space="preserve"> </w:t>
      </w:r>
      <w:r w:rsidR="00F403C7">
        <w:rPr>
          <w:rFonts w:ascii="Times New Roman" w:hAnsi="Times New Roman" w:cs="Times New Roman"/>
        </w:rPr>
        <w:t xml:space="preserve">seats </w:t>
      </w:r>
      <w:r w:rsidR="006B3C1A">
        <w:rPr>
          <w:rFonts w:ascii="Times New Roman" w:hAnsi="Times New Roman" w:cs="Times New Roman"/>
        </w:rPr>
        <w:t>tend to have</w:t>
      </w:r>
      <w:r w:rsidR="00F403C7">
        <w:rPr>
          <w:rFonts w:ascii="Times New Roman" w:hAnsi="Times New Roman" w:cs="Times New Roman"/>
        </w:rPr>
        <w:t xml:space="preserve"> larger ethnic minority populations</w:t>
      </w:r>
      <w:r w:rsidR="003F77F4">
        <w:rPr>
          <w:rFonts w:ascii="Times New Roman" w:hAnsi="Times New Roman" w:cs="Times New Roman"/>
        </w:rPr>
        <w:t xml:space="preserve"> and lower levels of </w:t>
      </w:r>
      <w:r w:rsidR="003F77F4">
        <w:rPr>
          <w:rFonts w:ascii="Times New Roman" w:hAnsi="Times New Roman" w:cs="Times New Roman"/>
        </w:rPr>
        <w:lastRenderedPageBreak/>
        <w:t>manufacturing employment, these</w:t>
      </w:r>
      <w:r w:rsidR="00BD03B0">
        <w:rPr>
          <w:rFonts w:ascii="Times New Roman" w:hAnsi="Times New Roman" w:cs="Times New Roman"/>
        </w:rPr>
        <w:t xml:space="preserve"> – and Reform vote share –</w:t>
      </w:r>
      <w:r w:rsidR="003F77F4">
        <w:rPr>
          <w:rFonts w:ascii="Times New Roman" w:hAnsi="Times New Roman" w:cs="Times New Roman"/>
        </w:rPr>
        <w:t xml:space="preserve"> are</w:t>
      </w:r>
      <w:r w:rsidR="009D56FF">
        <w:rPr>
          <w:rFonts w:ascii="Times New Roman" w:hAnsi="Times New Roman" w:cs="Times New Roman"/>
        </w:rPr>
        <w:t xml:space="preserve"> a positive predictor of marginality once other factors (such as poor health, social renting and younger populations)</w:t>
      </w:r>
      <w:r w:rsidR="006119DF">
        <w:rPr>
          <w:rFonts w:ascii="Times New Roman" w:hAnsi="Times New Roman" w:cs="Times New Roman"/>
        </w:rPr>
        <w:t xml:space="preserve"> are controlled for</w:t>
      </w:r>
      <w:r w:rsidR="00B419E9" w:rsidRPr="00B419E9">
        <w:rPr>
          <w:rFonts w:ascii="Times New Roman" w:hAnsi="Times New Roman" w:cs="Times New Roman"/>
        </w:rPr>
        <w:t>. This highlights how while Labour’s vote may come under pressure</w:t>
      </w:r>
      <w:r w:rsidR="00B673B1">
        <w:rPr>
          <w:rFonts w:ascii="Times New Roman" w:hAnsi="Times New Roman" w:cs="Times New Roman"/>
        </w:rPr>
        <w:t xml:space="preserve"> in certain places</w:t>
      </w:r>
      <w:r w:rsidR="00B419E9" w:rsidRPr="00B419E9">
        <w:rPr>
          <w:rFonts w:ascii="Times New Roman" w:hAnsi="Times New Roman" w:cs="Times New Roman"/>
        </w:rPr>
        <w:t xml:space="preserve"> from the Greens and Reform it is ultimately the Conservatives who are</w:t>
      </w:r>
      <w:r w:rsidR="00037699">
        <w:rPr>
          <w:rFonts w:ascii="Times New Roman" w:hAnsi="Times New Roman" w:cs="Times New Roman"/>
        </w:rPr>
        <w:t xml:space="preserve"> still</w:t>
      </w:r>
      <w:r w:rsidR="00B419E9" w:rsidRPr="00B419E9">
        <w:rPr>
          <w:rFonts w:ascii="Times New Roman" w:hAnsi="Times New Roman" w:cs="Times New Roman"/>
        </w:rPr>
        <w:t xml:space="preserve"> their primary opponent. </w:t>
      </w:r>
      <w:r w:rsidR="00823E11">
        <w:rPr>
          <w:rFonts w:ascii="Times New Roman" w:hAnsi="Times New Roman" w:cs="Times New Roman"/>
        </w:rPr>
        <w:t>I</w:t>
      </w:r>
      <w:r w:rsidR="00B419E9" w:rsidRPr="00B419E9">
        <w:rPr>
          <w:rFonts w:ascii="Times New Roman" w:hAnsi="Times New Roman" w:cs="Times New Roman"/>
        </w:rPr>
        <w:t>t</w:t>
      </w:r>
      <w:r w:rsidR="00823E11">
        <w:rPr>
          <w:rFonts w:ascii="Times New Roman" w:hAnsi="Times New Roman" w:cs="Times New Roman"/>
        </w:rPr>
        <w:t xml:space="preserve"> </w:t>
      </w:r>
      <w:r w:rsidR="00242B3C">
        <w:rPr>
          <w:rFonts w:ascii="Times New Roman" w:hAnsi="Times New Roman" w:cs="Times New Roman"/>
        </w:rPr>
        <w:t>remains</w:t>
      </w:r>
      <w:r w:rsidR="00B419E9" w:rsidRPr="00B419E9">
        <w:rPr>
          <w:rFonts w:ascii="Times New Roman" w:hAnsi="Times New Roman" w:cs="Times New Roman"/>
        </w:rPr>
        <w:t xml:space="preserve"> difficult</w:t>
      </w:r>
      <w:r w:rsidR="007954FC">
        <w:rPr>
          <w:rFonts w:ascii="Times New Roman" w:hAnsi="Times New Roman" w:cs="Times New Roman"/>
        </w:rPr>
        <w:t xml:space="preserve">, </w:t>
      </w:r>
      <w:r w:rsidR="00AF5091">
        <w:rPr>
          <w:rFonts w:ascii="Times New Roman" w:hAnsi="Times New Roman" w:cs="Times New Roman"/>
        </w:rPr>
        <w:t>however</w:t>
      </w:r>
      <w:r w:rsidR="007954FC">
        <w:rPr>
          <w:rFonts w:ascii="Times New Roman" w:hAnsi="Times New Roman" w:cs="Times New Roman"/>
        </w:rPr>
        <w:t>,</w:t>
      </w:r>
      <w:r w:rsidR="00B419E9" w:rsidRPr="00B419E9">
        <w:rPr>
          <w:rFonts w:ascii="Times New Roman" w:hAnsi="Times New Roman" w:cs="Times New Roman"/>
        </w:rPr>
        <w:t xml:space="preserve"> to make confident predictions about what</w:t>
      </w:r>
      <w:r w:rsidR="005F3491">
        <w:rPr>
          <w:rFonts w:ascii="Times New Roman" w:hAnsi="Times New Roman" w:cs="Times New Roman"/>
        </w:rPr>
        <w:t xml:space="preserve"> the electoral geography of England and Wales</w:t>
      </w:r>
      <w:r w:rsidR="00B419E9" w:rsidRPr="00B419E9">
        <w:rPr>
          <w:rFonts w:ascii="Times New Roman" w:hAnsi="Times New Roman" w:cs="Times New Roman"/>
        </w:rPr>
        <w:t xml:space="preserve"> might look like at the next general election.</w:t>
      </w:r>
      <w:r w:rsidR="00373807">
        <w:rPr>
          <w:rFonts w:ascii="Times New Roman" w:hAnsi="Times New Roman" w:cs="Times New Roman"/>
        </w:rPr>
        <w:t xml:space="preserve"> </w:t>
      </w:r>
    </w:p>
    <w:p w14:paraId="302D23CE" w14:textId="6CB92CBB" w:rsidR="004D5BC5" w:rsidRDefault="004D5BC5" w:rsidP="004D5BC5">
      <w:pPr>
        <w:spacing w:after="120" w:line="480" w:lineRule="auto"/>
        <w:ind w:left="426" w:hanging="426"/>
        <w:rPr>
          <w:rFonts w:ascii="Times New Roman" w:hAnsi="Times New Roman" w:cs="Times New Roman"/>
          <w:color w:val="1E1D1A"/>
          <w:shd w:val="clear" w:color="auto" w:fill="FFFFFF"/>
        </w:rPr>
      </w:pPr>
    </w:p>
    <w:sectPr w:rsidR="004D5B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17D4B" w14:textId="77777777" w:rsidR="00FE30EC" w:rsidRDefault="00FE30EC" w:rsidP="00940F56">
      <w:pPr>
        <w:spacing w:after="0" w:line="240" w:lineRule="auto"/>
      </w:pPr>
      <w:r>
        <w:separator/>
      </w:r>
    </w:p>
  </w:endnote>
  <w:endnote w:type="continuationSeparator" w:id="0">
    <w:p w14:paraId="5490D5A5" w14:textId="77777777" w:rsidR="00FE30EC" w:rsidRDefault="00FE30EC" w:rsidP="00940F56">
      <w:pPr>
        <w:spacing w:after="0" w:line="240" w:lineRule="auto"/>
      </w:pPr>
      <w:r>
        <w:continuationSeparator/>
      </w:r>
    </w:p>
  </w:endnote>
  <w:endnote w:type="continuationNotice" w:id="1">
    <w:p w14:paraId="4B7E589A" w14:textId="77777777" w:rsidR="00FE30EC" w:rsidRDefault="00FE30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A6BAD" w14:textId="77777777" w:rsidR="00FE30EC" w:rsidRDefault="00FE30EC" w:rsidP="00940F56">
      <w:pPr>
        <w:spacing w:after="0" w:line="240" w:lineRule="auto"/>
      </w:pPr>
      <w:r>
        <w:separator/>
      </w:r>
    </w:p>
  </w:footnote>
  <w:footnote w:type="continuationSeparator" w:id="0">
    <w:p w14:paraId="0EF58F4E" w14:textId="77777777" w:rsidR="00FE30EC" w:rsidRDefault="00FE30EC" w:rsidP="00940F56">
      <w:pPr>
        <w:spacing w:after="0" w:line="240" w:lineRule="auto"/>
      </w:pPr>
      <w:r>
        <w:continuationSeparator/>
      </w:r>
    </w:p>
  </w:footnote>
  <w:footnote w:type="continuationNotice" w:id="1">
    <w:p w14:paraId="4A512FCC" w14:textId="77777777" w:rsidR="00FE30EC" w:rsidRDefault="00FE30EC">
      <w:pPr>
        <w:spacing w:after="0" w:line="240" w:lineRule="auto"/>
      </w:pPr>
    </w:p>
  </w:footnote>
  <w:footnote w:id="2">
    <w:p w14:paraId="733C9BAA" w14:textId="2EE57FDF" w:rsidR="00B959B4" w:rsidRDefault="00B959B4" w:rsidP="00113FA6">
      <w:pPr>
        <w:pStyle w:val="FootnoteText"/>
        <w:spacing w:line="480" w:lineRule="auto"/>
      </w:pPr>
      <w:r>
        <w:rPr>
          <w:rStyle w:val="FootnoteReference"/>
        </w:rPr>
        <w:footnoteRef/>
      </w:r>
      <w:r>
        <w:t xml:space="preserve"> </w:t>
      </w:r>
      <w:r w:rsidR="00AB141E" w:rsidRPr="0088284D">
        <w:rPr>
          <w:rFonts w:ascii="Times New Roman" w:hAnsi="Times New Roman" w:cs="Times New Roman"/>
        </w:rPr>
        <w:t xml:space="preserve">H.D. </w:t>
      </w:r>
      <w:r w:rsidR="00AB141E" w:rsidRPr="00C91673">
        <w:rPr>
          <w:rFonts w:ascii="Times New Roman" w:hAnsi="Times New Roman" w:cs="Times New Roman"/>
        </w:rPr>
        <w:t xml:space="preserve">Clarke, D. Sanders, M.C. Stewart and P.F. Whiteley, </w:t>
      </w:r>
      <w:r w:rsidR="00AB141E" w:rsidRPr="00C91673">
        <w:rPr>
          <w:rFonts w:ascii="Times New Roman" w:hAnsi="Times New Roman" w:cs="Times New Roman"/>
          <w:i/>
          <w:iCs/>
        </w:rPr>
        <w:t>Performance Politics and the British Voter</w:t>
      </w:r>
      <w:r w:rsidR="00AB141E" w:rsidRPr="00C91673">
        <w:rPr>
          <w:rFonts w:ascii="Times New Roman" w:hAnsi="Times New Roman" w:cs="Times New Roman"/>
        </w:rPr>
        <w:t xml:space="preserve">, Oxford, Oxford </w:t>
      </w:r>
      <w:r w:rsidR="00AB141E" w:rsidRPr="0045475F">
        <w:rPr>
          <w:rFonts w:ascii="Times New Roman" w:hAnsi="Times New Roman" w:cs="Times New Roman"/>
        </w:rPr>
        <w:t>University</w:t>
      </w:r>
      <w:r w:rsidR="00AB141E" w:rsidRPr="00C91673">
        <w:rPr>
          <w:rFonts w:ascii="Times New Roman" w:hAnsi="Times New Roman" w:cs="Times New Roman"/>
        </w:rPr>
        <w:t xml:space="preserve"> Press, 2010</w:t>
      </w:r>
      <w:r w:rsidR="008635A5" w:rsidRPr="00C91673">
        <w:rPr>
          <w:rFonts w:ascii="Times New Roman" w:hAnsi="Times New Roman" w:cs="Times New Roman"/>
        </w:rPr>
        <w:t xml:space="preserve">; J. Green and W. Jennings, </w:t>
      </w:r>
      <w:r w:rsidR="008635A5" w:rsidRPr="00C91673">
        <w:rPr>
          <w:rFonts w:ascii="Times New Roman" w:hAnsi="Times New Roman" w:cs="Times New Roman"/>
          <w:i/>
          <w:iCs/>
        </w:rPr>
        <w:t>The Politics of Competence</w:t>
      </w:r>
      <w:r w:rsidR="008635A5" w:rsidRPr="00C91673">
        <w:rPr>
          <w:rFonts w:ascii="Times New Roman" w:hAnsi="Times New Roman" w:cs="Times New Roman"/>
        </w:rPr>
        <w:t>, Cambridge, Cambridge University Press</w:t>
      </w:r>
      <w:r w:rsidR="0045475F">
        <w:rPr>
          <w:rFonts w:ascii="Times New Roman" w:hAnsi="Times New Roman" w:cs="Times New Roman"/>
        </w:rPr>
        <w:t>, 2017</w:t>
      </w:r>
      <w:r w:rsidR="008635A5" w:rsidRPr="00C91673">
        <w:rPr>
          <w:rFonts w:ascii="Times New Roman" w:hAnsi="Times New Roman" w:cs="Times New Roman"/>
        </w:rPr>
        <w:t>.</w:t>
      </w:r>
    </w:p>
  </w:footnote>
  <w:footnote w:id="3">
    <w:p w14:paraId="3D646DCC" w14:textId="16F5FC38" w:rsidR="000E3DEC" w:rsidRPr="005D76BC" w:rsidRDefault="000E3DEC" w:rsidP="00113FA6">
      <w:pPr>
        <w:pStyle w:val="FootnoteText"/>
        <w:spacing w:line="480" w:lineRule="auto"/>
        <w:rPr>
          <w:rFonts w:ascii="Times New Roman" w:hAnsi="Times New Roman" w:cs="Times New Roman"/>
        </w:rPr>
      </w:pPr>
      <w:r w:rsidRPr="005D76BC">
        <w:rPr>
          <w:rStyle w:val="FootnoteReference"/>
          <w:rFonts w:ascii="Times New Roman" w:hAnsi="Times New Roman" w:cs="Times New Roman"/>
        </w:rPr>
        <w:footnoteRef/>
      </w:r>
      <w:r w:rsidRPr="005D76BC">
        <w:rPr>
          <w:rFonts w:ascii="Times New Roman" w:hAnsi="Times New Roman" w:cs="Times New Roman"/>
        </w:rPr>
        <w:t xml:space="preserve"> </w:t>
      </w:r>
      <w:r w:rsidR="00717951" w:rsidRPr="005D76BC">
        <w:rPr>
          <w:rFonts w:ascii="Times New Roman" w:hAnsi="Times New Roman" w:cs="Times New Roman"/>
        </w:rPr>
        <w:t>D. Devine, B. Prosser and G. Stoker, ‘British public more fatalistic about home ownership than climate change – new survey</w:t>
      </w:r>
      <w:r w:rsidR="00E878F5" w:rsidRPr="005D76BC">
        <w:rPr>
          <w:rFonts w:ascii="Times New Roman" w:hAnsi="Times New Roman" w:cs="Times New Roman"/>
        </w:rPr>
        <w:t>’</w:t>
      </w:r>
      <w:r w:rsidR="00717951" w:rsidRPr="005D76BC">
        <w:rPr>
          <w:rFonts w:ascii="Times New Roman" w:hAnsi="Times New Roman" w:cs="Times New Roman"/>
        </w:rPr>
        <w:t xml:space="preserve">. </w:t>
      </w:r>
      <w:r w:rsidR="00717951" w:rsidRPr="005D76BC">
        <w:rPr>
          <w:rFonts w:ascii="Times New Roman" w:hAnsi="Times New Roman" w:cs="Times New Roman"/>
          <w:i/>
          <w:iCs/>
        </w:rPr>
        <w:t>The Conversation</w:t>
      </w:r>
      <w:r w:rsidR="00717951" w:rsidRPr="005D76BC">
        <w:rPr>
          <w:rFonts w:ascii="Times New Roman" w:hAnsi="Times New Roman" w:cs="Times New Roman"/>
        </w:rPr>
        <w:t>, June 21, 2024. https://theconversation.com/british-public-more-fatalistic-about-home-ownership-than-climate-change-new-survey-232674</w:t>
      </w:r>
    </w:p>
  </w:footnote>
  <w:footnote w:id="4">
    <w:p w14:paraId="1E04C339" w14:textId="714BE72A" w:rsidR="00592497" w:rsidRDefault="00592497" w:rsidP="00113FA6">
      <w:pPr>
        <w:pStyle w:val="FootnoteText"/>
        <w:spacing w:line="480" w:lineRule="auto"/>
      </w:pPr>
      <w:r>
        <w:rPr>
          <w:rStyle w:val="FootnoteReference"/>
        </w:rPr>
        <w:footnoteRef/>
      </w:r>
      <w:r>
        <w:t xml:space="preserve"> </w:t>
      </w:r>
      <w:r>
        <w:rPr>
          <w:rFonts w:ascii="Times New Roman" w:hAnsi="Times New Roman" w:cs="Times New Roman"/>
        </w:rPr>
        <w:t xml:space="preserve">W. </w:t>
      </w:r>
      <w:r w:rsidRPr="00B17FD7">
        <w:rPr>
          <w:rFonts w:ascii="Times New Roman" w:hAnsi="Times New Roman" w:cs="Times New Roman"/>
        </w:rPr>
        <w:t>Jennings</w:t>
      </w:r>
      <w:r>
        <w:rPr>
          <w:rFonts w:ascii="Times New Roman" w:hAnsi="Times New Roman" w:cs="Times New Roman"/>
        </w:rPr>
        <w:t>, ‘</w:t>
      </w:r>
      <w:r w:rsidRPr="0068155E">
        <w:rPr>
          <w:rFonts w:ascii="Times New Roman" w:hAnsi="Times New Roman" w:cs="Times New Roman"/>
        </w:rPr>
        <w:t>A crisis of trust in our politics spells trouble for the government</w:t>
      </w:r>
      <w:r>
        <w:rPr>
          <w:rFonts w:ascii="Times New Roman" w:hAnsi="Times New Roman" w:cs="Times New Roman"/>
        </w:rPr>
        <w:t xml:space="preserve">’. </w:t>
      </w:r>
      <w:r w:rsidRPr="0068155E">
        <w:rPr>
          <w:rFonts w:ascii="Times New Roman" w:hAnsi="Times New Roman" w:cs="Times New Roman"/>
          <w:i/>
          <w:iCs/>
        </w:rPr>
        <w:t>Sky News Online,</w:t>
      </w:r>
      <w:r>
        <w:rPr>
          <w:rFonts w:ascii="Times New Roman" w:hAnsi="Times New Roman" w:cs="Times New Roman"/>
        </w:rPr>
        <w:t xml:space="preserve"> </w:t>
      </w:r>
      <w:r w:rsidRPr="0068155E">
        <w:rPr>
          <w:rFonts w:ascii="Times New Roman" w:hAnsi="Times New Roman" w:cs="Times New Roman"/>
        </w:rPr>
        <w:t xml:space="preserve">25 </w:t>
      </w:r>
      <w:proofErr w:type="gramStart"/>
      <w:r w:rsidRPr="0068155E">
        <w:rPr>
          <w:rFonts w:ascii="Times New Roman" w:hAnsi="Times New Roman" w:cs="Times New Roman"/>
        </w:rPr>
        <w:t>April</w:t>
      </w:r>
      <w:r>
        <w:rPr>
          <w:rFonts w:ascii="Times New Roman" w:hAnsi="Times New Roman" w:cs="Times New Roman"/>
        </w:rPr>
        <w:t>,</w:t>
      </w:r>
      <w:proofErr w:type="gramEnd"/>
      <w:r w:rsidRPr="0068155E">
        <w:rPr>
          <w:rFonts w:ascii="Times New Roman" w:hAnsi="Times New Roman" w:cs="Times New Roman"/>
        </w:rPr>
        <w:t xml:space="preserve"> 2024</w:t>
      </w:r>
      <w:r>
        <w:rPr>
          <w:rFonts w:ascii="Times New Roman" w:hAnsi="Times New Roman" w:cs="Times New Roman"/>
        </w:rPr>
        <w:t xml:space="preserve">. </w:t>
      </w:r>
      <w:hyperlink r:id="rId1" w:history="1">
        <w:r w:rsidRPr="00795DB0">
          <w:rPr>
            <w:rStyle w:val="Hyperlink"/>
            <w:rFonts w:ascii="Times New Roman" w:hAnsi="Times New Roman" w:cs="Times New Roman"/>
          </w:rPr>
          <w:t>https://news.sky.com/story/a-crisis-of-trust-in-our-politics-spells-trouble-for-the-government-13122344</w:t>
        </w:r>
      </w:hyperlink>
    </w:p>
  </w:footnote>
  <w:footnote w:id="5">
    <w:p w14:paraId="39A26C89" w14:textId="5D436D8D" w:rsidR="00486F87" w:rsidRDefault="00486F87" w:rsidP="00113FA6">
      <w:pPr>
        <w:pStyle w:val="FootnoteText"/>
        <w:spacing w:line="480" w:lineRule="auto"/>
      </w:pPr>
      <w:r>
        <w:rPr>
          <w:rStyle w:val="FootnoteReference"/>
        </w:rPr>
        <w:footnoteRef/>
      </w:r>
      <w:r>
        <w:t xml:space="preserve"> </w:t>
      </w:r>
      <w:r>
        <w:rPr>
          <w:rFonts w:ascii="Times New Roman" w:hAnsi="Times New Roman" w:cs="Times New Roman"/>
        </w:rPr>
        <w:t xml:space="preserve">J. </w:t>
      </w:r>
      <w:r w:rsidRPr="00B17FD7">
        <w:rPr>
          <w:rFonts w:ascii="Times New Roman" w:hAnsi="Times New Roman" w:cs="Times New Roman"/>
        </w:rPr>
        <w:t>Furlong</w:t>
      </w:r>
      <w:r>
        <w:rPr>
          <w:rFonts w:ascii="Times New Roman" w:hAnsi="Times New Roman" w:cs="Times New Roman"/>
        </w:rPr>
        <w:t xml:space="preserve"> and W. </w:t>
      </w:r>
      <w:r w:rsidRPr="00B17FD7">
        <w:rPr>
          <w:rFonts w:ascii="Times New Roman" w:hAnsi="Times New Roman" w:cs="Times New Roman"/>
        </w:rPr>
        <w:t>Jennings</w:t>
      </w:r>
      <w:r>
        <w:rPr>
          <w:rFonts w:ascii="Times New Roman" w:hAnsi="Times New Roman" w:cs="Times New Roman"/>
        </w:rPr>
        <w:t>,</w:t>
      </w:r>
      <w:r w:rsidRPr="00B17FD7">
        <w:rPr>
          <w:rFonts w:ascii="Times New Roman" w:hAnsi="Times New Roman" w:cs="Times New Roman"/>
        </w:rPr>
        <w:t xml:space="preserve"> </w:t>
      </w:r>
      <w:r w:rsidRPr="00064EF9">
        <w:rPr>
          <w:rFonts w:ascii="Times New Roman" w:hAnsi="Times New Roman" w:cs="Times New Roman"/>
          <w:i/>
          <w:iCs/>
        </w:rPr>
        <w:t>The Changing Electoral Map of England and Wales</w:t>
      </w:r>
      <w:r>
        <w:rPr>
          <w:rFonts w:ascii="Times New Roman" w:hAnsi="Times New Roman" w:cs="Times New Roman"/>
        </w:rPr>
        <w:t>, Oxford, Oxford University Press, 2024.</w:t>
      </w:r>
    </w:p>
  </w:footnote>
  <w:footnote w:id="6">
    <w:p w14:paraId="4E2790FF" w14:textId="45EF326C" w:rsidR="00FE6AF2" w:rsidRDefault="00FE6AF2" w:rsidP="00113FA6">
      <w:pPr>
        <w:pStyle w:val="FootnoteText"/>
        <w:spacing w:line="480" w:lineRule="auto"/>
      </w:pPr>
      <w:r>
        <w:rPr>
          <w:rStyle w:val="FootnoteReference"/>
        </w:rPr>
        <w:footnoteRef/>
      </w:r>
      <w:r>
        <w:t xml:space="preserve"> </w:t>
      </w:r>
      <w:r w:rsidR="00411412">
        <w:rPr>
          <w:rFonts w:ascii="Times New Roman" w:hAnsi="Times New Roman" w:cs="Times New Roman"/>
        </w:rPr>
        <w:t xml:space="preserve">E.g., </w:t>
      </w:r>
      <w:r w:rsidRPr="0088284D">
        <w:rPr>
          <w:rFonts w:ascii="Times New Roman" w:hAnsi="Times New Roman" w:cs="Times New Roman"/>
        </w:rPr>
        <w:t>G. Evans and J. Tilley,</w:t>
      </w:r>
      <w:r w:rsidRPr="00064EF9">
        <w:rPr>
          <w:rFonts w:ascii="Times New Roman" w:hAnsi="Times New Roman" w:cs="Times New Roman"/>
          <w:i/>
          <w:iCs/>
        </w:rPr>
        <w:t xml:space="preserve"> </w:t>
      </w:r>
      <w:r w:rsidRPr="00F353E5">
        <w:rPr>
          <w:rFonts w:ascii="Times New Roman" w:hAnsi="Times New Roman" w:cs="Times New Roman"/>
          <w:i/>
          <w:iCs/>
        </w:rPr>
        <w:t>The New Politics of Class</w:t>
      </w:r>
      <w:r w:rsidRPr="00064EF9">
        <w:rPr>
          <w:rFonts w:ascii="Times New Roman" w:hAnsi="Times New Roman" w:cs="Times New Roman"/>
        </w:rPr>
        <w:t>,</w:t>
      </w:r>
      <w:r>
        <w:rPr>
          <w:rFonts w:ascii="Times New Roman" w:hAnsi="Times New Roman" w:cs="Times New Roman"/>
        </w:rPr>
        <w:t xml:space="preserve"> Oxford, Oxford University Press, 2017; </w:t>
      </w:r>
      <w:r w:rsidR="00715842">
        <w:rPr>
          <w:rFonts w:ascii="Times New Roman" w:hAnsi="Times New Roman" w:cs="Times New Roman"/>
        </w:rPr>
        <w:t xml:space="preserve">E. </w:t>
      </w:r>
      <w:r w:rsidR="00715842" w:rsidRPr="00B17FD7">
        <w:rPr>
          <w:rFonts w:ascii="Times New Roman" w:hAnsi="Times New Roman" w:cs="Times New Roman"/>
        </w:rPr>
        <w:t xml:space="preserve">Fieldhouse, </w:t>
      </w:r>
      <w:r w:rsidR="00715842">
        <w:rPr>
          <w:rFonts w:ascii="Times New Roman" w:hAnsi="Times New Roman" w:cs="Times New Roman"/>
        </w:rPr>
        <w:t xml:space="preserve">J. </w:t>
      </w:r>
      <w:r w:rsidR="00715842" w:rsidRPr="00B17FD7">
        <w:rPr>
          <w:rFonts w:ascii="Times New Roman" w:hAnsi="Times New Roman" w:cs="Times New Roman"/>
        </w:rPr>
        <w:t xml:space="preserve">Green, </w:t>
      </w:r>
      <w:r w:rsidR="00715842">
        <w:rPr>
          <w:rFonts w:ascii="Times New Roman" w:hAnsi="Times New Roman" w:cs="Times New Roman"/>
        </w:rPr>
        <w:t>G.</w:t>
      </w:r>
      <w:r w:rsidR="00715842" w:rsidRPr="00B17FD7">
        <w:rPr>
          <w:rFonts w:ascii="Times New Roman" w:hAnsi="Times New Roman" w:cs="Times New Roman"/>
        </w:rPr>
        <w:t xml:space="preserve"> Evans, </w:t>
      </w:r>
      <w:r w:rsidR="00715842">
        <w:rPr>
          <w:rFonts w:ascii="Times New Roman" w:hAnsi="Times New Roman" w:cs="Times New Roman"/>
        </w:rPr>
        <w:t>J.</w:t>
      </w:r>
      <w:r w:rsidR="00715842" w:rsidRPr="00B17FD7">
        <w:rPr>
          <w:rFonts w:ascii="Times New Roman" w:hAnsi="Times New Roman" w:cs="Times New Roman"/>
        </w:rPr>
        <w:t xml:space="preserve"> Mellon, </w:t>
      </w:r>
      <w:r w:rsidR="00715842">
        <w:rPr>
          <w:rFonts w:ascii="Times New Roman" w:hAnsi="Times New Roman" w:cs="Times New Roman"/>
        </w:rPr>
        <w:t>C.</w:t>
      </w:r>
      <w:r w:rsidR="00715842" w:rsidRPr="00B17FD7">
        <w:rPr>
          <w:rFonts w:ascii="Times New Roman" w:hAnsi="Times New Roman" w:cs="Times New Roman"/>
        </w:rPr>
        <w:t xml:space="preserve"> Prosser, </w:t>
      </w:r>
      <w:r w:rsidR="00715842">
        <w:rPr>
          <w:rFonts w:ascii="Times New Roman" w:hAnsi="Times New Roman" w:cs="Times New Roman"/>
        </w:rPr>
        <w:t xml:space="preserve">H. </w:t>
      </w:r>
      <w:r w:rsidR="00715842" w:rsidRPr="00B17FD7">
        <w:rPr>
          <w:rFonts w:ascii="Times New Roman" w:hAnsi="Times New Roman" w:cs="Times New Roman"/>
        </w:rPr>
        <w:t>Schmitt</w:t>
      </w:r>
      <w:r w:rsidR="00715842">
        <w:rPr>
          <w:rFonts w:ascii="Times New Roman" w:hAnsi="Times New Roman" w:cs="Times New Roman"/>
        </w:rPr>
        <w:t xml:space="preserve"> and C.</w:t>
      </w:r>
      <w:r w:rsidR="00715842" w:rsidRPr="00B17FD7">
        <w:rPr>
          <w:rFonts w:ascii="Times New Roman" w:hAnsi="Times New Roman" w:cs="Times New Roman"/>
        </w:rPr>
        <w:t xml:space="preserve"> van der </w:t>
      </w:r>
      <w:proofErr w:type="spellStart"/>
      <w:r w:rsidR="00715842" w:rsidRPr="00B17FD7">
        <w:rPr>
          <w:rFonts w:ascii="Times New Roman" w:hAnsi="Times New Roman" w:cs="Times New Roman"/>
        </w:rPr>
        <w:t>Eijk</w:t>
      </w:r>
      <w:proofErr w:type="spellEnd"/>
      <w:r w:rsidR="00715842" w:rsidRPr="00B17FD7">
        <w:rPr>
          <w:rFonts w:ascii="Times New Roman" w:hAnsi="Times New Roman" w:cs="Times New Roman"/>
        </w:rPr>
        <w:t>,</w:t>
      </w:r>
      <w:r w:rsidR="00715842">
        <w:rPr>
          <w:rFonts w:ascii="Times New Roman" w:hAnsi="Times New Roman" w:cs="Times New Roman"/>
        </w:rPr>
        <w:t xml:space="preserve"> </w:t>
      </w:r>
      <w:r w:rsidR="00715842" w:rsidRPr="00064EF9">
        <w:rPr>
          <w:rFonts w:ascii="Times New Roman" w:hAnsi="Times New Roman" w:cs="Times New Roman"/>
          <w:i/>
          <w:iCs/>
        </w:rPr>
        <w:t>Electoral Shocks: The Volatile Voter in a Turbulent World</w:t>
      </w:r>
      <w:r w:rsidR="00715842" w:rsidRPr="00B17FD7">
        <w:rPr>
          <w:rFonts w:ascii="Times New Roman" w:hAnsi="Times New Roman" w:cs="Times New Roman"/>
        </w:rPr>
        <w:t>. Oxford</w:t>
      </w:r>
      <w:r w:rsidR="00715842">
        <w:rPr>
          <w:rFonts w:ascii="Times New Roman" w:hAnsi="Times New Roman" w:cs="Times New Roman"/>
        </w:rPr>
        <w:t xml:space="preserve">, </w:t>
      </w:r>
      <w:r w:rsidR="00715842" w:rsidRPr="00B17FD7">
        <w:rPr>
          <w:rFonts w:ascii="Times New Roman" w:hAnsi="Times New Roman" w:cs="Times New Roman"/>
        </w:rPr>
        <w:t>Oxford University Press</w:t>
      </w:r>
      <w:r w:rsidR="00715842">
        <w:rPr>
          <w:rFonts w:ascii="Times New Roman" w:hAnsi="Times New Roman" w:cs="Times New Roman"/>
        </w:rPr>
        <w:t>, 2020</w:t>
      </w:r>
      <w:r w:rsidR="00411412">
        <w:rPr>
          <w:rFonts w:ascii="Times New Roman" w:hAnsi="Times New Roman" w:cs="Times New Roman"/>
        </w:rPr>
        <w:t>.</w:t>
      </w:r>
    </w:p>
  </w:footnote>
  <w:footnote w:id="7">
    <w:p w14:paraId="11A9EA1B" w14:textId="037E6123" w:rsidR="00EB3B1A" w:rsidRDefault="00EB3B1A" w:rsidP="00113FA6">
      <w:pPr>
        <w:pStyle w:val="FootnoteText"/>
        <w:spacing w:line="480" w:lineRule="auto"/>
      </w:pPr>
      <w:r>
        <w:rPr>
          <w:rStyle w:val="FootnoteReference"/>
        </w:rPr>
        <w:footnoteRef/>
      </w:r>
      <w:r>
        <w:t xml:space="preserve"> </w:t>
      </w:r>
      <w:r>
        <w:rPr>
          <w:rFonts w:ascii="Times New Roman" w:hAnsi="Times New Roman" w:cs="Times New Roman"/>
        </w:rPr>
        <w:t xml:space="preserve">D. </w:t>
      </w:r>
      <w:r w:rsidRPr="00B17FD7">
        <w:rPr>
          <w:rFonts w:ascii="Times New Roman" w:hAnsi="Times New Roman" w:cs="Times New Roman"/>
        </w:rPr>
        <w:t>Sanders</w:t>
      </w:r>
      <w:r>
        <w:rPr>
          <w:rFonts w:ascii="Times New Roman" w:hAnsi="Times New Roman" w:cs="Times New Roman"/>
        </w:rPr>
        <w:t>, ‘</w:t>
      </w:r>
      <w:r w:rsidRPr="00DA70B6">
        <w:rPr>
          <w:rFonts w:ascii="Times New Roman" w:hAnsi="Times New Roman" w:cs="Times New Roman"/>
        </w:rPr>
        <w:t>The UK’s changing party system:</w:t>
      </w:r>
      <w:r>
        <w:rPr>
          <w:rFonts w:ascii="Times New Roman" w:hAnsi="Times New Roman" w:cs="Times New Roman"/>
        </w:rPr>
        <w:t xml:space="preserve"> </w:t>
      </w:r>
      <w:r w:rsidRPr="00DA70B6">
        <w:rPr>
          <w:rFonts w:ascii="Times New Roman" w:hAnsi="Times New Roman" w:cs="Times New Roman"/>
        </w:rPr>
        <w:t>The prospects for a party realignment</w:t>
      </w:r>
      <w:r>
        <w:rPr>
          <w:rFonts w:ascii="Times New Roman" w:hAnsi="Times New Roman" w:cs="Times New Roman"/>
        </w:rPr>
        <w:t xml:space="preserve"> </w:t>
      </w:r>
      <w:r w:rsidRPr="00DA70B6">
        <w:rPr>
          <w:rFonts w:ascii="Times New Roman" w:hAnsi="Times New Roman" w:cs="Times New Roman"/>
        </w:rPr>
        <w:t>at Westminster</w:t>
      </w:r>
      <w:r>
        <w:rPr>
          <w:rFonts w:ascii="Times New Roman" w:hAnsi="Times New Roman" w:cs="Times New Roman"/>
        </w:rPr>
        <w:t xml:space="preserve">.’ </w:t>
      </w:r>
      <w:r w:rsidRPr="00DA70B6">
        <w:rPr>
          <w:rFonts w:ascii="Times New Roman" w:hAnsi="Times New Roman" w:cs="Times New Roman"/>
          <w:i/>
          <w:iCs/>
        </w:rPr>
        <w:t>Journal of the British Academy</w:t>
      </w:r>
      <w:r>
        <w:rPr>
          <w:rFonts w:ascii="Times New Roman" w:hAnsi="Times New Roman" w:cs="Times New Roman"/>
        </w:rPr>
        <w:t>, vol.</w:t>
      </w:r>
      <w:r w:rsidRPr="00DA70B6">
        <w:rPr>
          <w:rFonts w:ascii="Times New Roman" w:hAnsi="Times New Roman" w:cs="Times New Roman"/>
        </w:rPr>
        <w:t xml:space="preserve"> 5</w:t>
      </w:r>
      <w:r>
        <w:rPr>
          <w:rFonts w:ascii="Times New Roman" w:hAnsi="Times New Roman" w:cs="Times New Roman"/>
        </w:rPr>
        <w:t>, 2017, pp.</w:t>
      </w:r>
      <w:r w:rsidRPr="00DA70B6">
        <w:rPr>
          <w:rFonts w:ascii="Times New Roman" w:hAnsi="Times New Roman" w:cs="Times New Roman"/>
        </w:rPr>
        <w:t xml:space="preserve"> 91</w:t>
      </w:r>
      <w:r w:rsidRPr="0088284D">
        <w:rPr>
          <w:rFonts w:ascii="Times New Roman" w:hAnsi="Times New Roman" w:cs="Times New Roman"/>
        </w:rPr>
        <w:t>–</w:t>
      </w:r>
      <w:r w:rsidRPr="00DA70B6">
        <w:rPr>
          <w:rFonts w:ascii="Times New Roman" w:hAnsi="Times New Roman" w:cs="Times New Roman"/>
        </w:rPr>
        <w:t>124.</w:t>
      </w:r>
    </w:p>
  </w:footnote>
  <w:footnote w:id="8">
    <w:p w14:paraId="7FDE977F" w14:textId="4B1B6902" w:rsidR="008D42EE" w:rsidRPr="00313EEE" w:rsidRDefault="008D42EE" w:rsidP="00113FA6">
      <w:pPr>
        <w:pStyle w:val="FootnoteText"/>
        <w:spacing w:line="480" w:lineRule="auto"/>
        <w:rPr>
          <w:rFonts w:ascii="Times New Roman" w:hAnsi="Times New Roman" w:cs="Times New Roman"/>
        </w:rPr>
      </w:pPr>
      <w:r w:rsidRPr="00313EEE">
        <w:rPr>
          <w:rStyle w:val="FootnoteReference"/>
          <w:rFonts w:ascii="Times New Roman" w:hAnsi="Times New Roman" w:cs="Times New Roman"/>
        </w:rPr>
        <w:footnoteRef/>
      </w:r>
      <w:r w:rsidRPr="00313EEE">
        <w:rPr>
          <w:rFonts w:ascii="Times New Roman" w:hAnsi="Times New Roman" w:cs="Times New Roman"/>
        </w:rPr>
        <w:t xml:space="preserve"> Furlong and Jennings, </w:t>
      </w:r>
      <w:r w:rsidRPr="00313EEE">
        <w:rPr>
          <w:rFonts w:ascii="Times New Roman" w:hAnsi="Times New Roman" w:cs="Times New Roman"/>
          <w:i/>
          <w:iCs/>
        </w:rPr>
        <w:t>The Changing Electoral Map of England and Wales</w:t>
      </w:r>
      <w:r w:rsidRPr="00313EEE">
        <w:rPr>
          <w:rFonts w:ascii="Times New Roman" w:hAnsi="Times New Roman" w:cs="Times New Roman"/>
        </w:rPr>
        <w:t>.</w:t>
      </w:r>
    </w:p>
  </w:footnote>
  <w:footnote w:id="9">
    <w:p w14:paraId="4107A813" w14:textId="152224F7" w:rsidR="00E4701D" w:rsidRPr="003F185E" w:rsidRDefault="00E4701D" w:rsidP="00113FA6">
      <w:pPr>
        <w:pStyle w:val="FootnoteText"/>
        <w:spacing w:line="480" w:lineRule="auto"/>
        <w:rPr>
          <w:rFonts w:ascii="Times New Roman" w:hAnsi="Times New Roman" w:cs="Times New Roman"/>
        </w:rPr>
      </w:pPr>
      <w:r w:rsidRPr="003F185E">
        <w:rPr>
          <w:rStyle w:val="FootnoteReference"/>
          <w:rFonts w:ascii="Times New Roman" w:hAnsi="Times New Roman" w:cs="Times New Roman"/>
        </w:rPr>
        <w:footnoteRef/>
      </w:r>
      <w:r w:rsidRPr="003F185E">
        <w:rPr>
          <w:rFonts w:ascii="Times New Roman" w:hAnsi="Times New Roman" w:cs="Times New Roman"/>
        </w:rPr>
        <w:t xml:space="preserve"> </w:t>
      </w:r>
      <w:r>
        <w:rPr>
          <w:rFonts w:ascii="Times New Roman" w:hAnsi="Times New Roman" w:cs="Times New Roman"/>
        </w:rPr>
        <w:t>Ibid</w:t>
      </w:r>
      <w:r w:rsidRPr="003F185E">
        <w:rPr>
          <w:rFonts w:ascii="Times New Roman" w:hAnsi="Times New Roman" w:cs="Times New Roman"/>
        </w:rPr>
        <w:t>.</w:t>
      </w:r>
    </w:p>
  </w:footnote>
  <w:footnote w:id="10">
    <w:p w14:paraId="1D4E2C30" w14:textId="273869F8" w:rsidR="008D42EE" w:rsidRPr="00313EEE" w:rsidRDefault="008D42EE" w:rsidP="00113FA6">
      <w:pPr>
        <w:pStyle w:val="FootnoteText"/>
        <w:spacing w:line="480" w:lineRule="auto"/>
        <w:rPr>
          <w:rFonts w:ascii="Times New Roman" w:hAnsi="Times New Roman" w:cs="Times New Roman"/>
        </w:rPr>
      </w:pPr>
      <w:r w:rsidRPr="00313EEE">
        <w:rPr>
          <w:rStyle w:val="FootnoteReference"/>
          <w:rFonts w:ascii="Times New Roman" w:hAnsi="Times New Roman" w:cs="Times New Roman"/>
        </w:rPr>
        <w:footnoteRef/>
      </w:r>
      <w:r w:rsidRPr="00313EEE">
        <w:rPr>
          <w:rFonts w:ascii="Times New Roman" w:hAnsi="Times New Roman" w:cs="Times New Roman"/>
        </w:rPr>
        <w:t xml:space="preserve"> Evan</w:t>
      </w:r>
      <w:r>
        <w:rPr>
          <w:rFonts w:ascii="Times New Roman" w:hAnsi="Times New Roman" w:cs="Times New Roman"/>
        </w:rPr>
        <w:t>s</w:t>
      </w:r>
      <w:r w:rsidRPr="00313EEE">
        <w:rPr>
          <w:rFonts w:ascii="Times New Roman" w:hAnsi="Times New Roman" w:cs="Times New Roman"/>
        </w:rPr>
        <w:t xml:space="preserve"> and Tilley,</w:t>
      </w:r>
      <w:r w:rsidRPr="00313EEE">
        <w:rPr>
          <w:rFonts w:ascii="Times New Roman" w:hAnsi="Times New Roman" w:cs="Times New Roman"/>
          <w:i/>
          <w:iCs/>
        </w:rPr>
        <w:t xml:space="preserve"> The New Politics of Class</w:t>
      </w:r>
      <w:r w:rsidRPr="00313EEE">
        <w:rPr>
          <w:rFonts w:ascii="Times New Roman" w:hAnsi="Times New Roman" w:cs="Times New Roman"/>
        </w:rPr>
        <w:t>.</w:t>
      </w:r>
    </w:p>
  </w:footnote>
  <w:footnote w:id="11">
    <w:p w14:paraId="0F56AF76" w14:textId="45D34362" w:rsidR="008A5E7D" w:rsidRDefault="008A5E7D" w:rsidP="00113FA6">
      <w:pPr>
        <w:pStyle w:val="FootnoteText"/>
        <w:spacing w:line="480" w:lineRule="auto"/>
      </w:pPr>
      <w:r>
        <w:rPr>
          <w:rStyle w:val="FootnoteReference"/>
        </w:rPr>
        <w:footnoteRef/>
      </w:r>
      <w:r>
        <w:t xml:space="preserve"> </w:t>
      </w:r>
      <w:r w:rsidR="00D6409E">
        <w:rPr>
          <w:rFonts w:ascii="Times New Roman" w:hAnsi="Times New Roman" w:cs="Times New Roman"/>
          <w:color w:val="1E1D1A"/>
          <w:shd w:val="clear" w:color="auto" w:fill="FFFFFF"/>
        </w:rPr>
        <w:t xml:space="preserve">P. </w:t>
      </w:r>
      <w:r w:rsidR="00D6409E" w:rsidRPr="00B17FD7">
        <w:rPr>
          <w:rFonts w:ascii="Times New Roman" w:hAnsi="Times New Roman" w:cs="Times New Roman"/>
          <w:color w:val="1E1D1A"/>
          <w:shd w:val="clear" w:color="auto" w:fill="FFFFFF"/>
        </w:rPr>
        <w:t>Sturgis</w:t>
      </w:r>
      <w:r w:rsidR="00D6409E">
        <w:rPr>
          <w:rFonts w:ascii="Times New Roman" w:hAnsi="Times New Roman" w:cs="Times New Roman"/>
          <w:color w:val="1E1D1A"/>
          <w:shd w:val="clear" w:color="auto" w:fill="FFFFFF"/>
        </w:rPr>
        <w:t xml:space="preserve"> and W. </w:t>
      </w:r>
      <w:r w:rsidR="00D6409E" w:rsidRPr="00B17FD7">
        <w:rPr>
          <w:rFonts w:ascii="Times New Roman" w:hAnsi="Times New Roman" w:cs="Times New Roman"/>
          <w:color w:val="1E1D1A"/>
          <w:shd w:val="clear" w:color="auto" w:fill="FFFFFF"/>
        </w:rPr>
        <w:t>Jenning</w:t>
      </w:r>
      <w:r w:rsidR="00D6409E">
        <w:rPr>
          <w:rFonts w:ascii="Times New Roman" w:hAnsi="Times New Roman" w:cs="Times New Roman"/>
          <w:color w:val="1E1D1A"/>
          <w:shd w:val="clear" w:color="auto" w:fill="FFFFFF"/>
        </w:rPr>
        <w:t>s, ‘</w:t>
      </w:r>
      <w:r w:rsidR="00D6409E" w:rsidRPr="00B17FD7">
        <w:rPr>
          <w:rFonts w:ascii="Times New Roman" w:hAnsi="Times New Roman" w:cs="Times New Roman"/>
          <w:color w:val="1E1D1A"/>
          <w:shd w:val="clear" w:color="auto" w:fill="FFFFFF"/>
        </w:rPr>
        <w:t>Was there a ‘Youthquake’ in the 2017 General Election?</w:t>
      </w:r>
      <w:r w:rsidR="00D6409E">
        <w:rPr>
          <w:rFonts w:ascii="Times New Roman" w:hAnsi="Times New Roman" w:cs="Times New Roman"/>
          <w:color w:val="1E1D1A"/>
          <w:shd w:val="clear" w:color="auto" w:fill="FFFFFF"/>
        </w:rPr>
        <w:t>’</w:t>
      </w:r>
      <w:r w:rsidR="00D6409E" w:rsidRPr="00B17FD7">
        <w:rPr>
          <w:rFonts w:ascii="Times New Roman" w:hAnsi="Times New Roman" w:cs="Times New Roman"/>
          <w:color w:val="1E1D1A"/>
          <w:shd w:val="clear" w:color="auto" w:fill="FFFFFF"/>
        </w:rPr>
        <w:t xml:space="preserve"> </w:t>
      </w:r>
      <w:r w:rsidR="00D6409E" w:rsidRPr="00046AD0">
        <w:rPr>
          <w:rFonts w:ascii="Times New Roman" w:hAnsi="Times New Roman" w:cs="Times New Roman"/>
          <w:i/>
          <w:iCs/>
          <w:color w:val="1E1D1A"/>
          <w:shd w:val="clear" w:color="auto" w:fill="FFFFFF"/>
        </w:rPr>
        <w:t>Electoral Studies</w:t>
      </w:r>
      <w:r w:rsidR="00D6409E">
        <w:rPr>
          <w:rFonts w:ascii="Times New Roman" w:hAnsi="Times New Roman" w:cs="Times New Roman"/>
          <w:color w:val="1E1D1A"/>
          <w:shd w:val="clear" w:color="auto" w:fill="FFFFFF"/>
        </w:rPr>
        <w:t xml:space="preserve">, vol. </w:t>
      </w:r>
      <w:r w:rsidR="00D6409E" w:rsidRPr="00B17FD7">
        <w:rPr>
          <w:rFonts w:ascii="Times New Roman" w:hAnsi="Times New Roman" w:cs="Times New Roman"/>
          <w:color w:val="1E1D1A"/>
          <w:shd w:val="clear" w:color="auto" w:fill="FFFFFF"/>
        </w:rPr>
        <w:t>64</w:t>
      </w:r>
      <w:r w:rsidR="00D6409E">
        <w:rPr>
          <w:rFonts w:ascii="Times New Roman" w:hAnsi="Times New Roman" w:cs="Times New Roman"/>
          <w:color w:val="1E1D1A"/>
          <w:shd w:val="clear" w:color="auto" w:fill="FFFFFF"/>
        </w:rPr>
        <w:t xml:space="preserve">, no. </w:t>
      </w:r>
      <w:r w:rsidR="00D6409E" w:rsidRPr="00B17FD7">
        <w:rPr>
          <w:rFonts w:ascii="Times New Roman" w:hAnsi="Times New Roman" w:cs="Times New Roman"/>
          <w:color w:val="1E1D1A"/>
          <w:shd w:val="clear" w:color="auto" w:fill="FFFFFF"/>
        </w:rPr>
        <w:t>102065</w:t>
      </w:r>
      <w:r w:rsidR="00D6409E">
        <w:rPr>
          <w:rFonts w:ascii="Times New Roman" w:hAnsi="Times New Roman" w:cs="Times New Roman"/>
          <w:color w:val="1E1D1A"/>
          <w:shd w:val="clear" w:color="auto" w:fill="FFFFFF"/>
        </w:rPr>
        <w:t xml:space="preserve">, </w:t>
      </w:r>
      <w:r w:rsidR="00D6409E" w:rsidRPr="00B17FD7">
        <w:rPr>
          <w:rFonts w:ascii="Times New Roman" w:hAnsi="Times New Roman" w:cs="Times New Roman"/>
          <w:color w:val="1E1D1A"/>
          <w:shd w:val="clear" w:color="auto" w:fill="FFFFFF"/>
        </w:rPr>
        <w:t>2020</w:t>
      </w:r>
      <w:r w:rsidR="00D6409E">
        <w:rPr>
          <w:rFonts w:ascii="Times New Roman" w:hAnsi="Times New Roman" w:cs="Times New Roman"/>
          <w:color w:val="1E1D1A"/>
          <w:shd w:val="clear" w:color="auto" w:fill="FFFFFF"/>
        </w:rPr>
        <w:t>.</w:t>
      </w:r>
    </w:p>
  </w:footnote>
  <w:footnote w:id="12">
    <w:p w14:paraId="1EC421BF" w14:textId="3F62B943" w:rsidR="00B21891" w:rsidRDefault="00B21891" w:rsidP="00113FA6">
      <w:pPr>
        <w:pStyle w:val="FootnoteText"/>
        <w:spacing w:line="480" w:lineRule="auto"/>
      </w:pPr>
      <w:r>
        <w:rPr>
          <w:rStyle w:val="FootnoteReference"/>
        </w:rPr>
        <w:footnoteRef/>
      </w:r>
      <w:r>
        <w:t xml:space="preserve"> </w:t>
      </w:r>
      <w:r>
        <w:rPr>
          <w:rFonts w:ascii="Times New Roman" w:hAnsi="Times New Roman" w:cs="Times New Roman"/>
        </w:rPr>
        <w:t xml:space="preserve">J. </w:t>
      </w:r>
      <w:r w:rsidRPr="00B17FD7">
        <w:rPr>
          <w:rFonts w:ascii="Times New Roman" w:hAnsi="Times New Roman" w:cs="Times New Roman"/>
        </w:rPr>
        <w:t>Furlong</w:t>
      </w:r>
      <w:r>
        <w:rPr>
          <w:rFonts w:ascii="Times New Roman" w:hAnsi="Times New Roman" w:cs="Times New Roman"/>
        </w:rPr>
        <w:t>, ‘</w:t>
      </w:r>
      <w:r w:rsidRPr="001367F0">
        <w:rPr>
          <w:rFonts w:ascii="Times New Roman" w:hAnsi="Times New Roman" w:cs="Times New Roman"/>
        </w:rPr>
        <w:t>The changing electoral geography of England and Wales: Varieties of “left-behindedness”</w:t>
      </w:r>
      <w:r>
        <w:rPr>
          <w:rFonts w:ascii="Times New Roman" w:hAnsi="Times New Roman" w:cs="Times New Roman"/>
        </w:rPr>
        <w:t>’</w:t>
      </w:r>
      <w:r w:rsidRPr="00DC570C">
        <w:rPr>
          <w:rFonts w:ascii="Times New Roman" w:hAnsi="Times New Roman" w:cs="Times New Roman"/>
        </w:rPr>
        <w:t>,</w:t>
      </w:r>
      <w:r>
        <w:rPr>
          <w:rFonts w:ascii="Times New Roman" w:hAnsi="Times New Roman" w:cs="Times New Roman"/>
        </w:rPr>
        <w:t xml:space="preserve"> </w:t>
      </w:r>
      <w:r w:rsidRPr="001367F0">
        <w:rPr>
          <w:rFonts w:ascii="Times New Roman" w:hAnsi="Times New Roman" w:cs="Times New Roman"/>
          <w:i/>
          <w:iCs/>
        </w:rPr>
        <w:t>Political Geography</w:t>
      </w:r>
      <w:r>
        <w:rPr>
          <w:rFonts w:ascii="Times New Roman" w:hAnsi="Times New Roman" w:cs="Times New Roman"/>
        </w:rPr>
        <w:t>, vol.</w:t>
      </w:r>
      <w:r>
        <w:rPr>
          <w:rFonts w:ascii="Times New Roman" w:hAnsi="Times New Roman" w:cs="Times New Roman"/>
          <w:i/>
          <w:iCs/>
        </w:rPr>
        <w:t xml:space="preserve"> </w:t>
      </w:r>
      <w:r w:rsidRPr="001367F0">
        <w:rPr>
          <w:rFonts w:ascii="Times New Roman" w:hAnsi="Times New Roman" w:cs="Times New Roman"/>
        </w:rPr>
        <w:t>75</w:t>
      </w:r>
      <w:r>
        <w:rPr>
          <w:rFonts w:ascii="Times New Roman" w:hAnsi="Times New Roman" w:cs="Times New Roman"/>
        </w:rPr>
        <w:t xml:space="preserve">, no. </w:t>
      </w:r>
      <w:r w:rsidRPr="001367F0">
        <w:rPr>
          <w:rFonts w:ascii="Times New Roman" w:hAnsi="Times New Roman" w:cs="Times New Roman"/>
        </w:rPr>
        <w:t>102061</w:t>
      </w:r>
      <w:r>
        <w:rPr>
          <w:rFonts w:ascii="Times New Roman" w:hAnsi="Times New Roman" w:cs="Times New Roman"/>
        </w:rPr>
        <w:t>, 2019.</w:t>
      </w:r>
    </w:p>
  </w:footnote>
  <w:footnote w:id="13">
    <w:p w14:paraId="438EC58A" w14:textId="00690798" w:rsidR="00A12978" w:rsidRPr="009F2CB2" w:rsidRDefault="00A12978" w:rsidP="009F2CB2">
      <w:pPr>
        <w:pStyle w:val="FootnoteText"/>
        <w:spacing w:line="480" w:lineRule="auto"/>
        <w:rPr>
          <w:rFonts w:ascii="Times New Roman" w:hAnsi="Times New Roman" w:cs="Times New Roman"/>
        </w:rPr>
      </w:pPr>
      <w:r w:rsidRPr="009F2CB2">
        <w:rPr>
          <w:rStyle w:val="FootnoteReference"/>
          <w:rFonts w:ascii="Times New Roman" w:hAnsi="Times New Roman" w:cs="Times New Roman"/>
        </w:rPr>
        <w:footnoteRef/>
      </w:r>
      <w:r w:rsidRPr="009F2CB2">
        <w:rPr>
          <w:rFonts w:ascii="Times New Roman" w:hAnsi="Times New Roman" w:cs="Times New Roman"/>
        </w:rPr>
        <w:t xml:space="preserve"> 'Cosmopolitan' occupations are defined as employment in financial, creative, educational and service sectors characteristic of the modern knowledge economy: finance, real estate, public administration, education, health and social work, service activities (such as in arts and recreation).</w:t>
      </w:r>
    </w:p>
  </w:footnote>
  <w:footnote w:id="14">
    <w:p w14:paraId="57022F40" w14:textId="1D1493C0" w:rsidR="00F666D3" w:rsidRDefault="00F666D3" w:rsidP="00113FA6">
      <w:pPr>
        <w:pStyle w:val="FootnoteText"/>
        <w:spacing w:line="480" w:lineRule="auto"/>
      </w:pPr>
      <w:r>
        <w:rPr>
          <w:rStyle w:val="FootnoteReference"/>
        </w:rPr>
        <w:footnoteRef/>
      </w:r>
      <w:r>
        <w:t xml:space="preserve"> </w:t>
      </w:r>
      <w:r>
        <w:rPr>
          <w:rFonts w:ascii="Times New Roman" w:hAnsi="Times New Roman" w:cs="Times New Roman"/>
          <w:color w:val="1E1D1A"/>
          <w:shd w:val="clear" w:color="auto" w:fill="FFFFFF"/>
        </w:rPr>
        <w:t xml:space="preserve">J. </w:t>
      </w:r>
      <w:r w:rsidRPr="00046AD0">
        <w:rPr>
          <w:rFonts w:ascii="Times New Roman" w:hAnsi="Times New Roman" w:cs="Times New Roman"/>
          <w:color w:val="1E1D1A"/>
          <w:shd w:val="clear" w:color="auto" w:fill="FFFFFF"/>
        </w:rPr>
        <w:t>Kanagasooriam</w:t>
      </w:r>
      <w:r>
        <w:rPr>
          <w:rFonts w:ascii="Times New Roman" w:hAnsi="Times New Roman" w:cs="Times New Roman"/>
          <w:color w:val="1E1D1A"/>
          <w:shd w:val="clear" w:color="auto" w:fill="FFFFFF"/>
        </w:rPr>
        <w:t xml:space="preserve"> and E. </w:t>
      </w:r>
      <w:r w:rsidRPr="00046AD0">
        <w:rPr>
          <w:rFonts w:ascii="Times New Roman" w:hAnsi="Times New Roman" w:cs="Times New Roman"/>
          <w:color w:val="1E1D1A"/>
          <w:shd w:val="clear" w:color="auto" w:fill="FFFFFF"/>
        </w:rPr>
        <w:t>Simo</w:t>
      </w:r>
      <w:r>
        <w:rPr>
          <w:rFonts w:ascii="Times New Roman" w:hAnsi="Times New Roman" w:cs="Times New Roman"/>
          <w:color w:val="1E1D1A"/>
          <w:shd w:val="clear" w:color="auto" w:fill="FFFFFF"/>
        </w:rPr>
        <w:t>n, ‘</w:t>
      </w:r>
      <w:r w:rsidRPr="00046AD0">
        <w:rPr>
          <w:rFonts w:ascii="Times New Roman" w:hAnsi="Times New Roman" w:cs="Times New Roman"/>
          <w:color w:val="1E1D1A"/>
          <w:shd w:val="clear" w:color="auto" w:fill="FFFFFF"/>
        </w:rPr>
        <w:t>Red Wall: The Definitive Description</w:t>
      </w:r>
      <w:r>
        <w:rPr>
          <w:rFonts w:ascii="Times New Roman" w:hAnsi="Times New Roman" w:cs="Times New Roman"/>
          <w:color w:val="1E1D1A"/>
          <w:shd w:val="clear" w:color="auto" w:fill="FFFFFF"/>
        </w:rPr>
        <w:t>’,</w:t>
      </w:r>
      <w:r w:rsidRPr="00046AD0">
        <w:rPr>
          <w:rFonts w:ascii="Times New Roman" w:hAnsi="Times New Roman" w:cs="Times New Roman"/>
          <w:color w:val="1E1D1A"/>
          <w:shd w:val="clear" w:color="auto" w:fill="FFFFFF"/>
        </w:rPr>
        <w:t xml:space="preserve"> </w:t>
      </w:r>
      <w:r w:rsidRPr="00425552">
        <w:rPr>
          <w:rFonts w:ascii="Times New Roman" w:hAnsi="Times New Roman" w:cs="Times New Roman"/>
          <w:i/>
          <w:iCs/>
          <w:color w:val="1E1D1A"/>
          <w:shd w:val="clear" w:color="auto" w:fill="FFFFFF"/>
        </w:rPr>
        <w:t>Political Insight</w:t>
      </w:r>
      <w:r>
        <w:rPr>
          <w:rFonts w:ascii="Times New Roman" w:hAnsi="Times New Roman" w:cs="Times New Roman"/>
          <w:color w:val="1E1D1A"/>
          <w:shd w:val="clear" w:color="auto" w:fill="FFFFFF"/>
        </w:rPr>
        <w:t xml:space="preserve">, vol. </w:t>
      </w:r>
      <w:r w:rsidRPr="00046AD0">
        <w:rPr>
          <w:rFonts w:ascii="Times New Roman" w:hAnsi="Times New Roman" w:cs="Times New Roman"/>
          <w:color w:val="1E1D1A"/>
          <w:shd w:val="clear" w:color="auto" w:fill="FFFFFF"/>
        </w:rPr>
        <w:t>12</w:t>
      </w:r>
      <w:r>
        <w:rPr>
          <w:rFonts w:ascii="Times New Roman" w:hAnsi="Times New Roman" w:cs="Times New Roman"/>
          <w:color w:val="1E1D1A"/>
          <w:shd w:val="clear" w:color="auto" w:fill="FFFFFF"/>
        </w:rPr>
        <w:t xml:space="preserve">, no. </w:t>
      </w:r>
      <w:r w:rsidRPr="00046AD0">
        <w:rPr>
          <w:rFonts w:ascii="Times New Roman" w:hAnsi="Times New Roman" w:cs="Times New Roman"/>
          <w:color w:val="1E1D1A"/>
          <w:shd w:val="clear" w:color="auto" w:fill="FFFFFF"/>
        </w:rPr>
        <w:t>3</w:t>
      </w:r>
      <w:r>
        <w:rPr>
          <w:rFonts w:ascii="Times New Roman" w:hAnsi="Times New Roman" w:cs="Times New Roman"/>
          <w:color w:val="1E1D1A"/>
          <w:shd w:val="clear" w:color="auto" w:fill="FFFFFF"/>
        </w:rPr>
        <w:t xml:space="preserve">, </w:t>
      </w:r>
      <w:r w:rsidRPr="00046AD0">
        <w:rPr>
          <w:rFonts w:ascii="Times New Roman" w:hAnsi="Times New Roman" w:cs="Times New Roman"/>
          <w:color w:val="1E1D1A"/>
          <w:shd w:val="clear" w:color="auto" w:fill="FFFFFF"/>
        </w:rPr>
        <w:t>2021</w:t>
      </w:r>
      <w:r>
        <w:rPr>
          <w:rFonts w:ascii="Times New Roman" w:hAnsi="Times New Roman" w:cs="Times New Roman"/>
          <w:color w:val="1E1D1A"/>
          <w:shd w:val="clear" w:color="auto" w:fill="FFFFFF"/>
        </w:rPr>
        <w:t>, pp.</w:t>
      </w:r>
      <w:r w:rsidRPr="00046AD0">
        <w:rPr>
          <w:rFonts w:ascii="Times New Roman" w:hAnsi="Times New Roman" w:cs="Times New Roman"/>
          <w:color w:val="1E1D1A"/>
          <w:shd w:val="clear" w:color="auto" w:fill="FFFFFF"/>
        </w:rPr>
        <w:t xml:space="preserve"> 8-11.</w:t>
      </w:r>
    </w:p>
  </w:footnote>
  <w:footnote w:id="15">
    <w:p w14:paraId="4EBD51BD" w14:textId="23F8E788" w:rsidR="00892972" w:rsidRPr="00BF6456" w:rsidRDefault="00892972" w:rsidP="00113FA6">
      <w:pPr>
        <w:pStyle w:val="FootnoteText"/>
        <w:spacing w:line="480" w:lineRule="auto"/>
        <w:rPr>
          <w:rFonts w:ascii="Times New Roman" w:hAnsi="Times New Roman" w:cs="Times New Roman"/>
        </w:rPr>
      </w:pPr>
      <w:r w:rsidRPr="00BF6456">
        <w:rPr>
          <w:rStyle w:val="FootnoteReference"/>
          <w:rFonts w:ascii="Times New Roman" w:hAnsi="Times New Roman" w:cs="Times New Roman"/>
        </w:rPr>
        <w:footnoteRef/>
      </w:r>
      <w:r w:rsidRPr="00BF6456">
        <w:rPr>
          <w:rFonts w:ascii="Times New Roman" w:hAnsi="Times New Roman" w:cs="Times New Roman"/>
        </w:rPr>
        <w:t xml:space="preserve"> </w:t>
      </w:r>
      <w:r w:rsidR="009C2EAA" w:rsidRPr="00BF6456">
        <w:rPr>
          <w:rFonts w:ascii="Times New Roman" w:hAnsi="Times New Roman" w:cs="Times New Roman"/>
        </w:rPr>
        <w:t xml:space="preserve">Furlong and Jennings, </w:t>
      </w:r>
      <w:r w:rsidR="009C2EAA" w:rsidRPr="00BF6456">
        <w:rPr>
          <w:rFonts w:ascii="Times New Roman" w:hAnsi="Times New Roman" w:cs="Times New Roman"/>
          <w:i/>
          <w:iCs/>
        </w:rPr>
        <w:t>The Changing Electoral Map of England and Wales</w:t>
      </w:r>
      <w:r w:rsidR="009C2EAA" w:rsidRPr="00BF6456">
        <w:rPr>
          <w:rFonts w:ascii="Times New Roman" w:hAnsi="Times New Roman" w:cs="Times New Roman"/>
        </w:rPr>
        <w:t>.</w:t>
      </w:r>
    </w:p>
  </w:footnote>
  <w:footnote w:id="16">
    <w:p w14:paraId="290B3906" w14:textId="168918DB" w:rsidR="00EF6B61" w:rsidRPr="00971558" w:rsidRDefault="00EF6B61" w:rsidP="00113FA6">
      <w:pPr>
        <w:pStyle w:val="FootnoteText"/>
        <w:spacing w:line="480" w:lineRule="auto"/>
        <w:rPr>
          <w:rFonts w:ascii="Times New Roman" w:hAnsi="Times New Roman" w:cs="Times New Roman"/>
        </w:rPr>
      </w:pPr>
      <w:r w:rsidRPr="00971558">
        <w:rPr>
          <w:rStyle w:val="FootnoteReference"/>
          <w:rFonts w:ascii="Times New Roman" w:hAnsi="Times New Roman" w:cs="Times New Roman"/>
        </w:rPr>
        <w:footnoteRef/>
      </w:r>
      <w:r w:rsidRPr="00971558">
        <w:rPr>
          <w:rFonts w:ascii="Times New Roman" w:hAnsi="Times New Roman" w:cs="Times New Roman"/>
        </w:rPr>
        <w:t xml:space="preserve"> </w:t>
      </w:r>
      <w:r w:rsidR="00113FA6">
        <w:rPr>
          <w:rFonts w:ascii="Times New Roman" w:hAnsi="Times New Roman" w:cs="Times New Roman"/>
        </w:rPr>
        <w:t>T</w:t>
      </w:r>
      <w:r w:rsidRPr="00971558">
        <w:rPr>
          <w:rFonts w:ascii="Times New Roman" w:hAnsi="Times New Roman" w:cs="Times New Roman"/>
        </w:rPr>
        <w:t>he ENP is calculated as the sum of the squared fraction of votes (</w:t>
      </w:r>
      <w:r w:rsidRPr="00971558">
        <w:rPr>
          <w:rFonts w:ascii="Times New Roman" w:hAnsi="Times New Roman" w:cs="Times New Roman"/>
          <w:i/>
        </w:rPr>
        <w:t>V</w:t>
      </w:r>
      <w:r w:rsidRPr="00971558">
        <w:rPr>
          <w:rFonts w:ascii="Times New Roman" w:hAnsi="Times New Roman" w:cs="Times New Roman"/>
        </w:rPr>
        <w:t xml:space="preserve">) for each party </w:t>
      </w:r>
      <w:r w:rsidRPr="00971558">
        <w:rPr>
          <w:rFonts w:ascii="Times New Roman" w:hAnsi="Times New Roman" w:cs="Times New Roman"/>
          <w:i/>
        </w:rPr>
        <w:t>i</w:t>
      </w:r>
      <w:r w:rsidRPr="00971558">
        <w:rPr>
          <w:rFonts w:ascii="Times New Roman" w:hAnsi="Times New Roman" w:cs="Times New Roman"/>
        </w:rPr>
        <w:t xml:space="preserve">, divided by one. That is, </w:t>
      </w:r>
      <m:oMath>
        <m:sSub>
          <m:sSubPr>
            <m:ctrlPr>
              <w:rPr>
                <w:rFonts w:ascii="Cambria Math" w:hAnsi="Cambria Math" w:cs="Times New Roman"/>
                <w:i/>
              </w:rPr>
            </m:ctrlPr>
          </m:sSubPr>
          <m:e>
            <m:r>
              <w:rPr>
                <w:rFonts w:ascii="Cambria Math" w:hAnsi="Cambria Math" w:cs="Times New Roman"/>
              </w:rPr>
              <m:t>ENP</m:t>
            </m:r>
          </m:e>
          <m:sub>
            <m:r>
              <w:rPr>
                <w:rFonts w:ascii="Cambria Math" w:hAnsi="Cambria Math" w:cs="Times New Roman"/>
              </w:rPr>
              <m:t>e</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i</m:t>
                    </m:r>
                  </m:sub>
                  <m:sup>
                    <m:r>
                      <w:rPr>
                        <w:rFonts w:ascii="Cambria Math" w:hAnsi="Cambria Math" w:cs="Times New Roman"/>
                      </w:rPr>
                      <m:t>2</m:t>
                    </m:r>
                  </m:sup>
                </m:sSubSup>
              </m:e>
            </m:nary>
          </m:den>
        </m:f>
      </m:oMath>
      <w:r w:rsidRPr="00971558">
        <w:rPr>
          <w:rFonts w:ascii="Times New Roman" w:hAnsi="Times New Roman" w:cs="Times New Roman"/>
        </w:rPr>
        <w:t xml:space="preserve"> </w:t>
      </w:r>
      <w:r w:rsidR="00B7221E">
        <w:rPr>
          <w:rFonts w:ascii="Times New Roman" w:hAnsi="Times New Roman" w:cs="Times New Roman"/>
        </w:rPr>
        <w:t xml:space="preserve">: See M. </w:t>
      </w:r>
      <w:r w:rsidR="00B7221E" w:rsidRPr="009E5B87">
        <w:rPr>
          <w:rFonts w:ascii="Times New Roman" w:hAnsi="Times New Roman" w:cs="Times New Roman"/>
        </w:rPr>
        <w:t>Laakso</w:t>
      </w:r>
      <w:r w:rsidR="00B7221E">
        <w:rPr>
          <w:rFonts w:ascii="Times New Roman" w:hAnsi="Times New Roman" w:cs="Times New Roman"/>
        </w:rPr>
        <w:t xml:space="preserve"> and R. </w:t>
      </w:r>
      <w:r w:rsidR="00B7221E" w:rsidRPr="009E5B87">
        <w:rPr>
          <w:rFonts w:ascii="Times New Roman" w:hAnsi="Times New Roman" w:cs="Times New Roman"/>
        </w:rPr>
        <w:t xml:space="preserve">Taagepera, </w:t>
      </w:r>
      <w:r w:rsidR="00B7221E">
        <w:rPr>
          <w:rFonts w:ascii="Times New Roman" w:hAnsi="Times New Roman" w:cs="Times New Roman"/>
        </w:rPr>
        <w:t>‘</w:t>
      </w:r>
      <w:r w:rsidR="00B7221E" w:rsidRPr="009E5B87">
        <w:rPr>
          <w:rFonts w:ascii="Times New Roman" w:hAnsi="Times New Roman" w:cs="Times New Roman"/>
        </w:rPr>
        <w:t>“Effective” Number of Parties: A Measure with Application to West Europe</w:t>
      </w:r>
      <w:r w:rsidR="00B7221E">
        <w:rPr>
          <w:rFonts w:ascii="Times New Roman" w:hAnsi="Times New Roman" w:cs="Times New Roman"/>
        </w:rPr>
        <w:t>’</w:t>
      </w:r>
      <w:r w:rsidR="00B7221E" w:rsidRPr="009E5B87">
        <w:rPr>
          <w:rFonts w:ascii="Times New Roman" w:hAnsi="Times New Roman" w:cs="Times New Roman"/>
        </w:rPr>
        <w:t xml:space="preserve">. </w:t>
      </w:r>
      <w:r w:rsidR="00B7221E" w:rsidRPr="009E5B87">
        <w:rPr>
          <w:rFonts w:ascii="Times New Roman" w:hAnsi="Times New Roman" w:cs="Times New Roman"/>
          <w:i/>
          <w:iCs/>
        </w:rPr>
        <w:t>Comparative Political Studies</w:t>
      </w:r>
      <w:r w:rsidR="00B7221E" w:rsidRPr="009E5B87">
        <w:rPr>
          <w:rFonts w:ascii="Times New Roman" w:hAnsi="Times New Roman" w:cs="Times New Roman"/>
        </w:rPr>
        <w:t xml:space="preserve">, </w:t>
      </w:r>
      <w:r w:rsidR="00B7221E">
        <w:rPr>
          <w:rFonts w:ascii="Times New Roman" w:hAnsi="Times New Roman" w:cs="Times New Roman"/>
        </w:rPr>
        <w:t xml:space="preserve">vol. </w:t>
      </w:r>
      <w:r w:rsidR="00B7221E" w:rsidRPr="009E5B87">
        <w:rPr>
          <w:rFonts w:ascii="Times New Roman" w:hAnsi="Times New Roman" w:cs="Times New Roman"/>
        </w:rPr>
        <w:t>12</w:t>
      </w:r>
      <w:r w:rsidR="00B7221E">
        <w:rPr>
          <w:rFonts w:ascii="Times New Roman" w:hAnsi="Times New Roman" w:cs="Times New Roman"/>
        </w:rPr>
        <w:t xml:space="preserve">, no. </w:t>
      </w:r>
      <w:r w:rsidR="00B7221E" w:rsidRPr="009E5B87">
        <w:rPr>
          <w:rFonts w:ascii="Times New Roman" w:hAnsi="Times New Roman" w:cs="Times New Roman"/>
        </w:rPr>
        <w:t>1,</w:t>
      </w:r>
      <w:r w:rsidR="00B7221E">
        <w:rPr>
          <w:rFonts w:ascii="Times New Roman" w:hAnsi="Times New Roman" w:cs="Times New Roman"/>
        </w:rPr>
        <w:t xml:space="preserve"> 1979, pp.</w:t>
      </w:r>
      <w:r w:rsidR="00B7221E" w:rsidRPr="009E5B87">
        <w:rPr>
          <w:rFonts w:ascii="Times New Roman" w:hAnsi="Times New Roman" w:cs="Times New Roman"/>
        </w:rPr>
        <w:t xml:space="preserve"> 3</w:t>
      </w:r>
      <w:r w:rsidR="00B7221E" w:rsidRPr="0088284D">
        <w:rPr>
          <w:rFonts w:ascii="Times New Roman" w:hAnsi="Times New Roman" w:cs="Times New Roman"/>
        </w:rPr>
        <w:t>–</w:t>
      </w:r>
      <w:r w:rsidR="00B7221E" w:rsidRPr="009E5B87">
        <w:rPr>
          <w:rFonts w:ascii="Times New Roman" w:hAnsi="Times New Roman" w:cs="Times New Roman"/>
        </w:rPr>
        <w:t>27.</w:t>
      </w:r>
    </w:p>
  </w:footnote>
  <w:footnote w:id="17">
    <w:p w14:paraId="2DC2E872" w14:textId="039DE038" w:rsidR="00786814" w:rsidRDefault="00786814" w:rsidP="00113FA6">
      <w:pPr>
        <w:pStyle w:val="FootnoteText"/>
        <w:spacing w:line="480" w:lineRule="auto"/>
      </w:pPr>
      <w:r>
        <w:rPr>
          <w:rStyle w:val="FootnoteReference"/>
        </w:rPr>
        <w:footnoteRef/>
      </w:r>
      <w:r>
        <w:t xml:space="preserve"> </w:t>
      </w:r>
      <w:r>
        <w:rPr>
          <w:rFonts w:ascii="Times New Roman" w:hAnsi="Times New Roman" w:cs="Times New Roman"/>
        </w:rPr>
        <w:t xml:space="preserve">A. </w:t>
      </w:r>
      <w:r w:rsidRPr="00501BAC">
        <w:rPr>
          <w:rFonts w:ascii="Times New Roman" w:hAnsi="Times New Roman" w:cs="Times New Roman"/>
        </w:rPr>
        <w:t xml:space="preserve">King, </w:t>
      </w:r>
      <w:r>
        <w:rPr>
          <w:rFonts w:ascii="Times New Roman" w:hAnsi="Times New Roman" w:cs="Times New Roman"/>
        </w:rPr>
        <w:t>‘</w:t>
      </w:r>
      <w:r w:rsidRPr="00501BAC">
        <w:rPr>
          <w:rFonts w:ascii="Times New Roman" w:hAnsi="Times New Roman" w:cs="Times New Roman"/>
        </w:rPr>
        <w:t>Overload: Problems of Governing in the 1970s</w:t>
      </w:r>
      <w:r>
        <w:rPr>
          <w:rFonts w:ascii="Times New Roman" w:hAnsi="Times New Roman" w:cs="Times New Roman"/>
        </w:rPr>
        <w:t>’</w:t>
      </w:r>
      <w:r w:rsidRPr="00501BAC">
        <w:rPr>
          <w:rFonts w:ascii="Times New Roman" w:hAnsi="Times New Roman" w:cs="Times New Roman"/>
        </w:rPr>
        <w:t xml:space="preserve">. </w:t>
      </w:r>
      <w:r w:rsidRPr="00501BAC">
        <w:rPr>
          <w:rFonts w:ascii="Times New Roman" w:hAnsi="Times New Roman" w:cs="Times New Roman"/>
          <w:i/>
          <w:iCs/>
        </w:rPr>
        <w:t>Political Studies</w:t>
      </w:r>
      <w:r>
        <w:rPr>
          <w:rFonts w:ascii="Times New Roman" w:hAnsi="Times New Roman" w:cs="Times New Roman"/>
        </w:rPr>
        <w:t>, vol.</w:t>
      </w:r>
      <w:r w:rsidRPr="00501BAC">
        <w:rPr>
          <w:rFonts w:ascii="Times New Roman" w:hAnsi="Times New Roman" w:cs="Times New Roman"/>
        </w:rPr>
        <w:t xml:space="preserve"> 23</w:t>
      </w:r>
      <w:r>
        <w:rPr>
          <w:rFonts w:ascii="Times New Roman" w:hAnsi="Times New Roman" w:cs="Times New Roman"/>
        </w:rPr>
        <w:t xml:space="preserve">, no. </w:t>
      </w:r>
      <w:r w:rsidRPr="00501BAC">
        <w:rPr>
          <w:rFonts w:ascii="Times New Roman" w:hAnsi="Times New Roman" w:cs="Times New Roman"/>
        </w:rPr>
        <w:t>2-3</w:t>
      </w:r>
      <w:r>
        <w:rPr>
          <w:rFonts w:ascii="Times New Roman" w:hAnsi="Times New Roman" w:cs="Times New Roman"/>
        </w:rPr>
        <w:t>, 1975, p.</w:t>
      </w:r>
      <w:r w:rsidRPr="00501BAC">
        <w:rPr>
          <w:rFonts w:ascii="Times New Roman" w:hAnsi="Times New Roman" w:cs="Times New Roman"/>
        </w:rPr>
        <w:t xml:space="preserve"> 284</w:t>
      </w:r>
      <w:r>
        <w:rPr>
          <w:rFonts w:ascii="Times New Roman" w:hAnsi="Times New Roman" w:cs="Times New Roman"/>
        </w:rPr>
        <w:t>.</w:t>
      </w:r>
    </w:p>
  </w:footnote>
  <w:footnote w:id="18">
    <w:p w14:paraId="6C4798DE" w14:textId="648AA118" w:rsidR="00192AA6" w:rsidRDefault="00192AA6" w:rsidP="00113FA6">
      <w:pPr>
        <w:pStyle w:val="FootnoteText"/>
        <w:spacing w:line="480" w:lineRule="auto"/>
      </w:pPr>
      <w:r>
        <w:rPr>
          <w:rStyle w:val="FootnoteReference"/>
        </w:rPr>
        <w:footnoteRef/>
      </w:r>
      <w:r>
        <w:t xml:space="preserve"> </w:t>
      </w:r>
      <w:r w:rsidRPr="000066CA">
        <w:rPr>
          <w:rFonts w:ascii="Times New Roman" w:hAnsi="Times New Roman" w:cs="Times New Roman"/>
        </w:rPr>
        <w:t xml:space="preserve">S. Hall, ‘The </w:t>
      </w:r>
      <w:r>
        <w:rPr>
          <w:rFonts w:ascii="Times New Roman" w:hAnsi="Times New Roman" w:cs="Times New Roman"/>
        </w:rPr>
        <w:t>G</w:t>
      </w:r>
      <w:r w:rsidRPr="000066CA">
        <w:rPr>
          <w:rFonts w:ascii="Times New Roman" w:hAnsi="Times New Roman" w:cs="Times New Roman"/>
        </w:rPr>
        <w:t xml:space="preserve">reat </w:t>
      </w:r>
      <w:r>
        <w:rPr>
          <w:rFonts w:ascii="Times New Roman" w:hAnsi="Times New Roman" w:cs="Times New Roman"/>
        </w:rPr>
        <w:t>M</w:t>
      </w:r>
      <w:r w:rsidRPr="000066CA">
        <w:rPr>
          <w:rFonts w:ascii="Times New Roman" w:hAnsi="Times New Roman" w:cs="Times New Roman"/>
        </w:rPr>
        <w:t xml:space="preserve">oving </w:t>
      </w:r>
      <w:r>
        <w:rPr>
          <w:rFonts w:ascii="Times New Roman" w:hAnsi="Times New Roman" w:cs="Times New Roman"/>
        </w:rPr>
        <w:t>R</w:t>
      </w:r>
      <w:r w:rsidRPr="000066CA">
        <w:rPr>
          <w:rFonts w:ascii="Times New Roman" w:hAnsi="Times New Roman" w:cs="Times New Roman"/>
        </w:rPr>
        <w:t xml:space="preserve">ight </w:t>
      </w:r>
      <w:r>
        <w:rPr>
          <w:rFonts w:ascii="Times New Roman" w:hAnsi="Times New Roman" w:cs="Times New Roman"/>
        </w:rPr>
        <w:t>S</w:t>
      </w:r>
      <w:r w:rsidRPr="000066CA">
        <w:rPr>
          <w:rFonts w:ascii="Times New Roman" w:hAnsi="Times New Roman" w:cs="Times New Roman"/>
        </w:rPr>
        <w:t xml:space="preserve">how’, </w:t>
      </w:r>
      <w:r w:rsidRPr="00535A1F">
        <w:rPr>
          <w:rFonts w:ascii="Times New Roman" w:hAnsi="Times New Roman" w:cs="Times New Roman"/>
          <w:i/>
          <w:iCs/>
        </w:rPr>
        <w:t>Marxism Today</w:t>
      </w:r>
      <w:r w:rsidRPr="000066CA">
        <w:rPr>
          <w:rFonts w:ascii="Times New Roman" w:hAnsi="Times New Roman" w:cs="Times New Roman"/>
        </w:rPr>
        <w:t>, January 1979, pp. 14–20</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90BB0"/>
    <w:multiLevelType w:val="hybridMultilevel"/>
    <w:tmpl w:val="BB5C6D8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023504E"/>
    <w:multiLevelType w:val="hybridMultilevel"/>
    <w:tmpl w:val="BB5C6D84"/>
    <w:lvl w:ilvl="0" w:tplc="F4E817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BF0C49"/>
    <w:multiLevelType w:val="hybridMultilevel"/>
    <w:tmpl w:val="DF64B24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E16993"/>
    <w:multiLevelType w:val="multilevel"/>
    <w:tmpl w:val="09B48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2D6E47"/>
    <w:multiLevelType w:val="hybridMultilevel"/>
    <w:tmpl w:val="74EABB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C83ABC"/>
    <w:multiLevelType w:val="hybridMultilevel"/>
    <w:tmpl w:val="BB5C6D8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A5420A"/>
    <w:multiLevelType w:val="hybridMultilevel"/>
    <w:tmpl w:val="97E22F5C"/>
    <w:lvl w:ilvl="0" w:tplc="54DE4B38">
      <w:start w:val="1"/>
      <w:numFmt w:val="lowerLetter"/>
      <w:lvlText w:val="%1)"/>
      <w:lvlJc w:val="left"/>
      <w:pPr>
        <w:ind w:left="1020" w:hanging="360"/>
      </w:pPr>
    </w:lvl>
    <w:lvl w:ilvl="1" w:tplc="2F02EDBA">
      <w:start w:val="1"/>
      <w:numFmt w:val="lowerLetter"/>
      <w:lvlText w:val="%2)"/>
      <w:lvlJc w:val="left"/>
      <w:pPr>
        <w:ind w:left="1020" w:hanging="360"/>
      </w:pPr>
    </w:lvl>
    <w:lvl w:ilvl="2" w:tplc="AE00AB68">
      <w:start w:val="1"/>
      <w:numFmt w:val="lowerLetter"/>
      <w:lvlText w:val="%3)"/>
      <w:lvlJc w:val="left"/>
      <w:pPr>
        <w:ind w:left="1020" w:hanging="360"/>
      </w:pPr>
    </w:lvl>
    <w:lvl w:ilvl="3" w:tplc="27A66836">
      <w:start w:val="1"/>
      <w:numFmt w:val="lowerLetter"/>
      <w:lvlText w:val="%4)"/>
      <w:lvlJc w:val="left"/>
      <w:pPr>
        <w:ind w:left="1020" w:hanging="360"/>
      </w:pPr>
    </w:lvl>
    <w:lvl w:ilvl="4" w:tplc="41B4E7B2">
      <w:start w:val="1"/>
      <w:numFmt w:val="lowerLetter"/>
      <w:lvlText w:val="%5)"/>
      <w:lvlJc w:val="left"/>
      <w:pPr>
        <w:ind w:left="1020" w:hanging="360"/>
      </w:pPr>
    </w:lvl>
    <w:lvl w:ilvl="5" w:tplc="1C30B4C0">
      <w:start w:val="1"/>
      <w:numFmt w:val="lowerLetter"/>
      <w:lvlText w:val="%6)"/>
      <w:lvlJc w:val="left"/>
      <w:pPr>
        <w:ind w:left="1020" w:hanging="360"/>
      </w:pPr>
    </w:lvl>
    <w:lvl w:ilvl="6" w:tplc="CF1CE09C">
      <w:start w:val="1"/>
      <w:numFmt w:val="lowerLetter"/>
      <w:lvlText w:val="%7)"/>
      <w:lvlJc w:val="left"/>
      <w:pPr>
        <w:ind w:left="1020" w:hanging="360"/>
      </w:pPr>
    </w:lvl>
    <w:lvl w:ilvl="7" w:tplc="7F3A5D64">
      <w:start w:val="1"/>
      <w:numFmt w:val="lowerLetter"/>
      <w:lvlText w:val="%8)"/>
      <w:lvlJc w:val="left"/>
      <w:pPr>
        <w:ind w:left="1020" w:hanging="360"/>
      </w:pPr>
    </w:lvl>
    <w:lvl w:ilvl="8" w:tplc="3F10951A">
      <w:start w:val="1"/>
      <w:numFmt w:val="lowerLetter"/>
      <w:lvlText w:val="%9)"/>
      <w:lvlJc w:val="left"/>
      <w:pPr>
        <w:ind w:left="1020" w:hanging="360"/>
      </w:pPr>
    </w:lvl>
  </w:abstractNum>
  <w:abstractNum w:abstractNumId="7" w15:restartNumberingAfterBreak="0">
    <w:nsid w:val="6FD80232"/>
    <w:multiLevelType w:val="hybridMultilevel"/>
    <w:tmpl w:val="1D4E7F34"/>
    <w:lvl w:ilvl="0" w:tplc="269C98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2981429">
    <w:abstractNumId w:val="4"/>
  </w:num>
  <w:num w:numId="2" w16cid:durableId="33425804">
    <w:abstractNumId w:val="1"/>
  </w:num>
  <w:num w:numId="3" w16cid:durableId="1041201736">
    <w:abstractNumId w:val="2"/>
  </w:num>
  <w:num w:numId="4" w16cid:durableId="2127311476">
    <w:abstractNumId w:val="5"/>
  </w:num>
  <w:num w:numId="5" w16cid:durableId="595287813">
    <w:abstractNumId w:val="0"/>
  </w:num>
  <w:num w:numId="6" w16cid:durableId="1758625090">
    <w:abstractNumId w:val="3"/>
  </w:num>
  <w:num w:numId="7" w16cid:durableId="279457054">
    <w:abstractNumId w:val="7"/>
  </w:num>
  <w:num w:numId="8" w16cid:durableId="1342733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B3"/>
    <w:rsid w:val="00000822"/>
    <w:rsid w:val="0000161F"/>
    <w:rsid w:val="0000298E"/>
    <w:rsid w:val="00002EE7"/>
    <w:rsid w:val="00003344"/>
    <w:rsid w:val="00003C7A"/>
    <w:rsid w:val="00003DF3"/>
    <w:rsid w:val="00004024"/>
    <w:rsid w:val="00004078"/>
    <w:rsid w:val="000040A1"/>
    <w:rsid w:val="000041ED"/>
    <w:rsid w:val="00004AE9"/>
    <w:rsid w:val="000054B8"/>
    <w:rsid w:val="00006006"/>
    <w:rsid w:val="00006469"/>
    <w:rsid w:val="00010454"/>
    <w:rsid w:val="00011599"/>
    <w:rsid w:val="000117B8"/>
    <w:rsid w:val="000121FB"/>
    <w:rsid w:val="00014574"/>
    <w:rsid w:val="00015D3A"/>
    <w:rsid w:val="00016258"/>
    <w:rsid w:val="00016B10"/>
    <w:rsid w:val="000207DA"/>
    <w:rsid w:val="00022A3A"/>
    <w:rsid w:val="00022F04"/>
    <w:rsid w:val="00022F43"/>
    <w:rsid w:val="00023D32"/>
    <w:rsid w:val="00024342"/>
    <w:rsid w:val="00024AC2"/>
    <w:rsid w:val="000260DD"/>
    <w:rsid w:val="00026149"/>
    <w:rsid w:val="000264A2"/>
    <w:rsid w:val="00027202"/>
    <w:rsid w:val="00030D1B"/>
    <w:rsid w:val="00032F00"/>
    <w:rsid w:val="00033443"/>
    <w:rsid w:val="0003366E"/>
    <w:rsid w:val="00034A68"/>
    <w:rsid w:val="00035C01"/>
    <w:rsid w:val="00036C5A"/>
    <w:rsid w:val="00037699"/>
    <w:rsid w:val="00037782"/>
    <w:rsid w:val="00037D87"/>
    <w:rsid w:val="00040741"/>
    <w:rsid w:val="00041C1A"/>
    <w:rsid w:val="0004217D"/>
    <w:rsid w:val="00042880"/>
    <w:rsid w:val="0004292C"/>
    <w:rsid w:val="00042A06"/>
    <w:rsid w:val="00042F07"/>
    <w:rsid w:val="0004442C"/>
    <w:rsid w:val="00044C30"/>
    <w:rsid w:val="000455A7"/>
    <w:rsid w:val="0004568C"/>
    <w:rsid w:val="000460F3"/>
    <w:rsid w:val="0004619E"/>
    <w:rsid w:val="0004668F"/>
    <w:rsid w:val="00046AD0"/>
    <w:rsid w:val="00050877"/>
    <w:rsid w:val="0005135D"/>
    <w:rsid w:val="000520E8"/>
    <w:rsid w:val="00052731"/>
    <w:rsid w:val="000529E5"/>
    <w:rsid w:val="000533A4"/>
    <w:rsid w:val="00054BF3"/>
    <w:rsid w:val="000551C5"/>
    <w:rsid w:val="000555F5"/>
    <w:rsid w:val="00055640"/>
    <w:rsid w:val="000567D4"/>
    <w:rsid w:val="00056F4C"/>
    <w:rsid w:val="00056FC5"/>
    <w:rsid w:val="00057DC2"/>
    <w:rsid w:val="000621AA"/>
    <w:rsid w:val="00062437"/>
    <w:rsid w:val="0006286A"/>
    <w:rsid w:val="00062E79"/>
    <w:rsid w:val="00063F49"/>
    <w:rsid w:val="00067041"/>
    <w:rsid w:val="00067160"/>
    <w:rsid w:val="00070C3E"/>
    <w:rsid w:val="00070C87"/>
    <w:rsid w:val="000727E6"/>
    <w:rsid w:val="00073987"/>
    <w:rsid w:val="00073E75"/>
    <w:rsid w:val="000742C0"/>
    <w:rsid w:val="00077F8E"/>
    <w:rsid w:val="0008144E"/>
    <w:rsid w:val="00081507"/>
    <w:rsid w:val="00082556"/>
    <w:rsid w:val="00083257"/>
    <w:rsid w:val="000832A5"/>
    <w:rsid w:val="000838E0"/>
    <w:rsid w:val="0008433C"/>
    <w:rsid w:val="0008469D"/>
    <w:rsid w:val="00084C0E"/>
    <w:rsid w:val="00085398"/>
    <w:rsid w:val="00086577"/>
    <w:rsid w:val="000866A7"/>
    <w:rsid w:val="00086875"/>
    <w:rsid w:val="00086BD8"/>
    <w:rsid w:val="00087451"/>
    <w:rsid w:val="00091407"/>
    <w:rsid w:val="0009268C"/>
    <w:rsid w:val="00093327"/>
    <w:rsid w:val="00094D74"/>
    <w:rsid w:val="00096192"/>
    <w:rsid w:val="000974B6"/>
    <w:rsid w:val="000A06E9"/>
    <w:rsid w:val="000A132D"/>
    <w:rsid w:val="000A3C4F"/>
    <w:rsid w:val="000A4423"/>
    <w:rsid w:val="000A4595"/>
    <w:rsid w:val="000A4D5D"/>
    <w:rsid w:val="000A4EA2"/>
    <w:rsid w:val="000A5002"/>
    <w:rsid w:val="000A5387"/>
    <w:rsid w:val="000A6E8A"/>
    <w:rsid w:val="000A72E5"/>
    <w:rsid w:val="000B3312"/>
    <w:rsid w:val="000B3D08"/>
    <w:rsid w:val="000B433A"/>
    <w:rsid w:val="000B51C6"/>
    <w:rsid w:val="000B55BC"/>
    <w:rsid w:val="000B5A66"/>
    <w:rsid w:val="000B6220"/>
    <w:rsid w:val="000B7534"/>
    <w:rsid w:val="000C008C"/>
    <w:rsid w:val="000C12F7"/>
    <w:rsid w:val="000C297B"/>
    <w:rsid w:val="000C2C0E"/>
    <w:rsid w:val="000C2E75"/>
    <w:rsid w:val="000C2ED8"/>
    <w:rsid w:val="000C39D8"/>
    <w:rsid w:val="000C3B1D"/>
    <w:rsid w:val="000C6BC3"/>
    <w:rsid w:val="000C6CA2"/>
    <w:rsid w:val="000C7839"/>
    <w:rsid w:val="000D05A8"/>
    <w:rsid w:val="000D0C85"/>
    <w:rsid w:val="000D1A99"/>
    <w:rsid w:val="000D3242"/>
    <w:rsid w:val="000D4889"/>
    <w:rsid w:val="000D4CC7"/>
    <w:rsid w:val="000D5E88"/>
    <w:rsid w:val="000D5FEE"/>
    <w:rsid w:val="000D611B"/>
    <w:rsid w:val="000D66A7"/>
    <w:rsid w:val="000D7093"/>
    <w:rsid w:val="000E103E"/>
    <w:rsid w:val="000E21C0"/>
    <w:rsid w:val="000E31D1"/>
    <w:rsid w:val="000E3441"/>
    <w:rsid w:val="000E3DEC"/>
    <w:rsid w:val="000E44BC"/>
    <w:rsid w:val="000E5B9A"/>
    <w:rsid w:val="000E6DA6"/>
    <w:rsid w:val="000E6DB7"/>
    <w:rsid w:val="000F0491"/>
    <w:rsid w:val="000F111C"/>
    <w:rsid w:val="000F283E"/>
    <w:rsid w:val="000F2EDE"/>
    <w:rsid w:val="000F4DB8"/>
    <w:rsid w:val="000F535E"/>
    <w:rsid w:val="000F6A21"/>
    <w:rsid w:val="000F731E"/>
    <w:rsid w:val="000F7355"/>
    <w:rsid w:val="000F78C8"/>
    <w:rsid w:val="000F7953"/>
    <w:rsid w:val="00100703"/>
    <w:rsid w:val="0010099E"/>
    <w:rsid w:val="001019AE"/>
    <w:rsid w:val="00101A17"/>
    <w:rsid w:val="001025D5"/>
    <w:rsid w:val="00102E47"/>
    <w:rsid w:val="00103012"/>
    <w:rsid w:val="00104979"/>
    <w:rsid w:val="00104BB0"/>
    <w:rsid w:val="001050F9"/>
    <w:rsid w:val="00105D55"/>
    <w:rsid w:val="00105EB8"/>
    <w:rsid w:val="0010692A"/>
    <w:rsid w:val="00106B87"/>
    <w:rsid w:val="00107153"/>
    <w:rsid w:val="00107A89"/>
    <w:rsid w:val="0011019E"/>
    <w:rsid w:val="00110ADF"/>
    <w:rsid w:val="00110C2C"/>
    <w:rsid w:val="00112CAA"/>
    <w:rsid w:val="00112D0E"/>
    <w:rsid w:val="001135DD"/>
    <w:rsid w:val="00113FA6"/>
    <w:rsid w:val="001144FC"/>
    <w:rsid w:val="00114B9E"/>
    <w:rsid w:val="00115217"/>
    <w:rsid w:val="00115590"/>
    <w:rsid w:val="00115751"/>
    <w:rsid w:val="00115B1C"/>
    <w:rsid w:val="001161E0"/>
    <w:rsid w:val="0012178E"/>
    <w:rsid w:val="001221AA"/>
    <w:rsid w:val="001225B7"/>
    <w:rsid w:val="00122629"/>
    <w:rsid w:val="001239E1"/>
    <w:rsid w:val="00123B17"/>
    <w:rsid w:val="00123CA3"/>
    <w:rsid w:val="001242E8"/>
    <w:rsid w:val="00124628"/>
    <w:rsid w:val="00124C6F"/>
    <w:rsid w:val="00125495"/>
    <w:rsid w:val="00125530"/>
    <w:rsid w:val="00126E73"/>
    <w:rsid w:val="00127C56"/>
    <w:rsid w:val="00130D10"/>
    <w:rsid w:val="0013186D"/>
    <w:rsid w:val="00131A3E"/>
    <w:rsid w:val="00131DE8"/>
    <w:rsid w:val="001339C2"/>
    <w:rsid w:val="00134998"/>
    <w:rsid w:val="001350C4"/>
    <w:rsid w:val="0013549E"/>
    <w:rsid w:val="00135DFE"/>
    <w:rsid w:val="001367F0"/>
    <w:rsid w:val="00136D92"/>
    <w:rsid w:val="00140FD8"/>
    <w:rsid w:val="00141B5C"/>
    <w:rsid w:val="00141B7A"/>
    <w:rsid w:val="00142202"/>
    <w:rsid w:val="00143A8A"/>
    <w:rsid w:val="00143C64"/>
    <w:rsid w:val="001446F9"/>
    <w:rsid w:val="00144B01"/>
    <w:rsid w:val="001454A2"/>
    <w:rsid w:val="00147CEA"/>
    <w:rsid w:val="00151B44"/>
    <w:rsid w:val="001524E1"/>
    <w:rsid w:val="00152849"/>
    <w:rsid w:val="00152989"/>
    <w:rsid w:val="00152F27"/>
    <w:rsid w:val="00153482"/>
    <w:rsid w:val="001536BD"/>
    <w:rsid w:val="00155DCB"/>
    <w:rsid w:val="0015686D"/>
    <w:rsid w:val="0015729E"/>
    <w:rsid w:val="00160D27"/>
    <w:rsid w:val="001634B4"/>
    <w:rsid w:val="00164415"/>
    <w:rsid w:val="001648A5"/>
    <w:rsid w:val="00164ECC"/>
    <w:rsid w:val="00166276"/>
    <w:rsid w:val="001664F7"/>
    <w:rsid w:val="00166E68"/>
    <w:rsid w:val="00167C3F"/>
    <w:rsid w:val="00170CA2"/>
    <w:rsid w:val="0017190F"/>
    <w:rsid w:val="00172481"/>
    <w:rsid w:val="00173D32"/>
    <w:rsid w:val="00173F9E"/>
    <w:rsid w:val="00174EEB"/>
    <w:rsid w:val="00175E82"/>
    <w:rsid w:val="0018135D"/>
    <w:rsid w:val="00181834"/>
    <w:rsid w:val="001829C0"/>
    <w:rsid w:val="0018302F"/>
    <w:rsid w:val="001832D4"/>
    <w:rsid w:val="00187060"/>
    <w:rsid w:val="00187CAF"/>
    <w:rsid w:val="00190080"/>
    <w:rsid w:val="001902E4"/>
    <w:rsid w:val="001909A7"/>
    <w:rsid w:val="0019157E"/>
    <w:rsid w:val="001926DA"/>
    <w:rsid w:val="00192AA6"/>
    <w:rsid w:val="00193A09"/>
    <w:rsid w:val="00193E0A"/>
    <w:rsid w:val="00194412"/>
    <w:rsid w:val="001954E1"/>
    <w:rsid w:val="001968B3"/>
    <w:rsid w:val="0019787D"/>
    <w:rsid w:val="001A105E"/>
    <w:rsid w:val="001A229B"/>
    <w:rsid w:val="001A2AF5"/>
    <w:rsid w:val="001A2C2F"/>
    <w:rsid w:val="001A32E8"/>
    <w:rsid w:val="001A3F17"/>
    <w:rsid w:val="001A4440"/>
    <w:rsid w:val="001A532A"/>
    <w:rsid w:val="001A6D39"/>
    <w:rsid w:val="001A7B86"/>
    <w:rsid w:val="001B0234"/>
    <w:rsid w:val="001B0A1D"/>
    <w:rsid w:val="001B2308"/>
    <w:rsid w:val="001B232F"/>
    <w:rsid w:val="001B3EB4"/>
    <w:rsid w:val="001B3F2C"/>
    <w:rsid w:val="001B4A9B"/>
    <w:rsid w:val="001B5499"/>
    <w:rsid w:val="001B6A78"/>
    <w:rsid w:val="001C04F3"/>
    <w:rsid w:val="001C285D"/>
    <w:rsid w:val="001C4BDC"/>
    <w:rsid w:val="001C513A"/>
    <w:rsid w:val="001C51D9"/>
    <w:rsid w:val="001C6F26"/>
    <w:rsid w:val="001C6F84"/>
    <w:rsid w:val="001C71B9"/>
    <w:rsid w:val="001C77C6"/>
    <w:rsid w:val="001D06C6"/>
    <w:rsid w:val="001D1B23"/>
    <w:rsid w:val="001D2E64"/>
    <w:rsid w:val="001D3720"/>
    <w:rsid w:val="001D73EA"/>
    <w:rsid w:val="001D7B25"/>
    <w:rsid w:val="001E0875"/>
    <w:rsid w:val="001E0952"/>
    <w:rsid w:val="001E0D40"/>
    <w:rsid w:val="001E2FE3"/>
    <w:rsid w:val="001E4C1D"/>
    <w:rsid w:val="001E5884"/>
    <w:rsid w:val="001E6AE1"/>
    <w:rsid w:val="001F42AD"/>
    <w:rsid w:val="001F49EA"/>
    <w:rsid w:val="001F5B40"/>
    <w:rsid w:val="001F7730"/>
    <w:rsid w:val="002004D4"/>
    <w:rsid w:val="0020103C"/>
    <w:rsid w:val="00201319"/>
    <w:rsid w:val="00202E50"/>
    <w:rsid w:val="00202F29"/>
    <w:rsid w:val="0020322C"/>
    <w:rsid w:val="002046B8"/>
    <w:rsid w:val="002058A0"/>
    <w:rsid w:val="00205ACC"/>
    <w:rsid w:val="002065EE"/>
    <w:rsid w:val="00210C19"/>
    <w:rsid w:val="002119C3"/>
    <w:rsid w:val="00211D46"/>
    <w:rsid w:val="00212969"/>
    <w:rsid w:val="00212CDB"/>
    <w:rsid w:val="00215875"/>
    <w:rsid w:val="002169A8"/>
    <w:rsid w:val="0021760C"/>
    <w:rsid w:val="00217908"/>
    <w:rsid w:val="00221F51"/>
    <w:rsid w:val="002221A5"/>
    <w:rsid w:val="002231B9"/>
    <w:rsid w:val="00224B69"/>
    <w:rsid w:val="00224D1D"/>
    <w:rsid w:val="00224E3C"/>
    <w:rsid w:val="00225DEE"/>
    <w:rsid w:val="0022616E"/>
    <w:rsid w:val="00227663"/>
    <w:rsid w:val="00227A0B"/>
    <w:rsid w:val="00227BC0"/>
    <w:rsid w:val="002319C0"/>
    <w:rsid w:val="002325A3"/>
    <w:rsid w:val="00242B3C"/>
    <w:rsid w:val="00242E99"/>
    <w:rsid w:val="00243021"/>
    <w:rsid w:val="002454B6"/>
    <w:rsid w:val="002502D6"/>
    <w:rsid w:val="002510F4"/>
    <w:rsid w:val="002533F4"/>
    <w:rsid w:val="002546F4"/>
    <w:rsid w:val="00255E55"/>
    <w:rsid w:val="0026046E"/>
    <w:rsid w:val="002616B0"/>
    <w:rsid w:val="00261BB4"/>
    <w:rsid w:val="00263044"/>
    <w:rsid w:val="00264C04"/>
    <w:rsid w:val="00265608"/>
    <w:rsid w:val="00265DA8"/>
    <w:rsid w:val="00266D58"/>
    <w:rsid w:val="00267BEA"/>
    <w:rsid w:val="00270950"/>
    <w:rsid w:val="0027101A"/>
    <w:rsid w:val="00274108"/>
    <w:rsid w:val="0027418A"/>
    <w:rsid w:val="00275303"/>
    <w:rsid w:val="002755E2"/>
    <w:rsid w:val="00277B11"/>
    <w:rsid w:val="00283F24"/>
    <w:rsid w:val="00283FFF"/>
    <w:rsid w:val="00285394"/>
    <w:rsid w:val="00285974"/>
    <w:rsid w:val="002878A1"/>
    <w:rsid w:val="002901B1"/>
    <w:rsid w:val="0029223C"/>
    <w:rsid w:val="00292B9F"/>
    <w:rsid w:val="002933DE"/>
    <w:rsid w:val="00294036"/>
    <w:rsid w:val="002942C4"/>
    <w:rsid w:val="002963CE"/>
    <w:rsid w:val="00296484"/>
    <w:rsid w:val="00297049"/>
    <w:rsid w:val="00297199"/>
    <w:rsid w:val="00297F46"/>
    <w:rsid w:val="002A002E"/>
    <w:rsid w:val="002A0133"/>
    <w:rsid w:val="002A0F6C"/>
    <w:rsid w:val="002A0FE5"/>
    <w:rsid w:val="002A1403"/>
    <w:rsid w:val="002A14E2"/>
    <w:rsid w:val="002A2EFB"/>
    <w:rsid w:val="002A3B66"/>
    <w:rsid w:val="002A5C7A"/>
    <w:rsid w:val="002A656B"/>
    <w:rsid w:val="002A7E73"/>
    <w:rsid w:val="002B03D2"/>
    <w:rsid w:val="002B0B25"/>
    <w:rsid w:val="002B146A"/>
    <w:rsid w:val="002B3633"/>
    <w:rsid w:val="002B52E0"/>
    <w:rsid w:val="002B55EF"/>
    <w:rsid w:val="002B6694"/>
    <w:rsid w:val="002C1FE6"/>
    <w:rsid w:val="002C46F7"/>
    <w:rsid w:val="002C56EE"/>
    <w:rsid w:val="002C5CD8"/>
    <w:rsid w:val="002C60A8"/>
    <w:rsid w:val="002C61C3"/>
    <w:rsid w:val="002C73B1"/>
    <w:rsid w:val="002C7BA2"/>
    <w:rsid w:val="002D06A9"/>
    <w:rsid w:val="002D095D"/>
    <w:rsid w:val="002D0E47"/>
    <w:rsid w:val="002D3A85"/>
    <w:rsid w:val="002D4FDF"/>
    <w:rsid w:val="002D655E"/>
    <w:rsid w:val="002D6CF7"/>
    <w:rsid w:val="002D6DC3"/>
    <w:rsid w:val="002D6F54"/>
    <w:rsid w:val="002D79D9"/>
    <w:rsid w:val="002E040E"/>
    <w:rsid w:val="002E1D02"/>
    <w:rsid w:val="002E2498"/>
    <w:rsid w:val="002E2FCF"/>
    <w:rsid w:val="002E3F49"/>
    <w:rsid w:val="002E4067"/>
    <w:rsid w:val="002E4FB0"/>
    <w:rsid w:val="002E6247"/>
    <w:rsid w:val="002E6341"/>
    <w:rsid w:val="002E67C9"/>
    <w:rsid w:val="002E77A2"/>
    <w:rsid w:val="002F026F"/>
    <w:rsid w:val="002F042D"/>
    <w:rsid w:val="002F102B"/>
    <w:rsid w:val="002F10E1"/>
    <w:rsid w:val="002F1EEE"/>
    <w:rsid w:val="002F1F78"/>
    <w:rsid w:val="002F2E86"/>
    <w:rsid w:val="002F3879"/>
    <w:rsid w:val="002F440E"/>
    <w:rsid w:val="002F52DB"/>
    <w:rsid w:val="00300C75"/>
    <w:rsid w:val="0030236C"/>
    <w:rsid w:val="003049FC"/>
    <w:rsid w:val="00304DD9"/>
    <w:rsid w:val="00305615"/>
    <w:rsid w:val="00305BB4"/>
    <w:rsid w:val="00307517"/>
    <w:rsid w:val="00307C5D"/>
    <w:rsid w:val="00310919"/>
    <w:rsid w:val="003118A7"/>
    <w:rsid w:val="00311A89"/>
    <w:rsid w:val="00312FC0"/>
    <w:rsid w:val="00313EEE"/>
    <w:rsid w:val="00314154"/>
    <w:rsid w:val="0031470F"/>
    <w:rsid w:val="00315A4E"/>
    <w:rsid w:val="00315CF2"/>
    <w:rsid w:val="00315E2E"/>
    <w:rsid w:val="00315F8B"/>
    <w:rsid w:val="00316149"/>
    <w:rsid w:val="00316187"/>
    <w:rsid w:val="00317824"/>
    <w:rsid w:val="0031784B"/>
    <w:rsid w:val="003217E8"/>
    <w:rsid w:val="00321AB6"/>
    <w:rsid w:val="00322759"/>
    <w:rsid w:val="00324623"/>
    <w:rsid w:val="00325BB2"/>
    <w:rsid w:val="0032684C"/>
    <w:rsid w:val="00327121"/>
    <w:rsid w:val="00327402"/>
    <w:rsid w:val="00327828"/>
    <w:rsid w:val="003300B1"/>
    <w:rsid w:val="0033098E"/>
    <w:rsid w:val="00330B7F"/>
    <w:rsid w:val="00330C60"/>
    <w:rsid w:val="0033248A"/>
    <w:rsid w:val="00332760"/>
    <w:rsid w:val="0033548D"/>
    <w:rsid w:val="00335629"/>
    <w:rsid w:val="00336052"/>
    <w:rsid w:val="00336187"/>
    <w:rsid w:val="003364EE"/>
    <w:rsid w:val="003366FE"/>
    <w:rsid w:val="00340A3C"/>
    <w:rsid w:val="00341652"/>
    <w:rsid w:val="00341782"/>
    <w:rsid w:val="0034199C"/>
    <w:rsid w:val="00342592"/>
    <w:rsid w:val="0034357D"/>
    <w:rsid w:val="003442E7"/>
    <w:rsid w:val="00344BB3"/>
    <w:rsid w:val="00347459"/>
    <w:rsid w:val="003509A9"/>
    <w:rsid w:val="003513E9"/>
    <w:rsid w:val="0035143F"/>
    <w:rsid w:val="00352341"/>
    <w:rsid w:val="003527D3"/>
    <w:rsid w:val="00352D7D"/>
    <w:rsid w:val="00354166"/>
    <w:rsid w:val="00354410"/>
    <w:rsid w:val="00354EE0"/>
    <w:rsid w:val="00355BE7"/>
    <w:rsid w:val="00356262"/>
    <w:rsid w:val="00356476"/>
    <w:rsid w:val="00356526"/>
    <w:rsid w:val="00361F17"/>
    <w:rsid w:val="00364A6B"/>
    <w:rsid w:val="003658D7"/>
    <w:rsid w:val="00365986"/>
    <w:rsid w:val="003662D3"/>
    <w:rsid w:val="00367C85"/>
    <w:rsid w:val="00367E83"/>
    <w:rsid w:val="003703A0"/>
    <w:rsid w:val="003705E1"/>
    <w:rsid w:val="003710C4"/>
    <w:rsid w:val="003711B7"/>
    <w:rsid w:val="00371FD2"/>
    <w:rsid w:val="00372CBA"/>
    <w:rsid w:val="00373807"/>
    <w:rsid w:val="00373CD6"/>
    <w:rsid w:val="003740A2"/>
    <w:rsid w:val="00375617"/>
    <w:rsid w:val="003768D3"/>
    <w:rsid w:val="00376D46"/>
    <w:rsid w:val="00380317"/>
    <w:rsid w:val="003825A7"/>
    <w:rsid w:val="0038602A"/>
    <w:rsid w:val="00387506"/>
    <w:rsid w:val="00390071"/>
    <w:rsid w:val="00390A20"/>
    <w:rsid w:val="0039361F"/>
    <w:rsid w:val="00394ECD"/>
    <w:rsid w:val="00397504"/>
    <w:rsid w:val="003978E7"/>
    <w:rsid w:val="003A0A09"/>
    <w:rsid w:val="003A1EF8"/>
    <w:rsid w:val="003A4518"/>
    <w:rsid w:val="003A4C70"/>
    <w:rsid w:val="003A5AD8"/>
    <w:rsid w:val="003A5D1E"/>
    <w:rsid w:val="003A61A6"/>
    <w:rsid w:val="003A711B"/>
    <w:rsid w:val="003A744C"/>
    <w:rsid w:val="003A7712"/>
    <w:rsid w:val="003B01EE"/>
    <w:rsid w:val="003B17EE"/>
    <w:rsid w:val="003B1DAD"/>
    <w:rsid w:val="003B38D3"/>
    <w:rsid w:val="003B4ACA"/>
    <w:rsid w:val="003B4B9A"/>
    <w:rsid w:val="003B68A2"/>
    <w:rsid w:val="003B6DC4"/>
    <w:rsid w:val="003B7384"/>
    <w:rsid w:val="003C10AE"/>
    <w:rsid w:val="003C1AF3"/>
    <w:rsid w:val="003C1C93"/>
    <w:rsid w:val="003C22B5"/>
    <w:rsid w:val="003C298D"/>
    <w:rsid w:val="003C3861"/>
    <w:rsid w:val="003C392A"/>
    <w:rsid w:val="003C39D1"/>
    <w:rsid w:val="003C3AD1"/>
    <w:rsid w:val="003C7CF8"/>
    <w:rsid w:val="003C7DC2"/>
    <w:rsid w:val="003C7DE8"/>
    <w:rsid w:val="003D0031"/>
    <w:rsid w:val="003D0C20"/>
    <w:rsid w:val="003D1B4A"/>
    <w:rsid w:val="003D1DD2"/>
    <w:rsid w:val="003D361E"/>
    <w:rsid w:val="003D3717"/>
    <w:rsid w:val="003D3BB9"/>
    <w:rsid w:val="003D45C3"/>
    <w:rsid w:val="003D4FB4"/>
    <w:rsid w:val="003D780B"/>
    <w:rsid w:val="003E00BD"/>
    <w:rsid w:val="003E0EEA"/>
    <w:rsid w:val="003E1650"/>
    <w:rsid w:val="003E32D6"/>
    <w:rsid w:val="003E37E7"/>
    <w:rsid w:val="003E385B"/>
    <w:rsid w:val="003E3AA4"/>
    <w:rsid w:val="003E4363"/>
    <w:rsid w:val="003E4C52"/>
    <w:rsid w:val="003E5685"/>
    <w:rsid w:val="003E6316"/>
    <w:rsid w:val="003F294D"/>
    <w:rsid w:val="003F2E65"/>
    <w:rsid w:val="003F34B8"/>
    <w:rsid w:val="003F4384"/>
    <w:rsid w:val="003F4B4C"/>
    <w:rsid w:val="003F50FE"/>
    <w:rsid w:val="003F77F4"/>
    <w:rsid w:val="0040180E"/>
    <w:rsid w:val="0040258A"/>
    <w:rsid w:val="00403AE6"/>
    <w:rsid w:val="004043A0"/>
    <w:rsid w:val="0040465E"/>
    <w:rsid w:val="004046CF"/>
    <w:rsid w:val="00404DFB"/>
    <w:rsid w:val="00405DBC"/>
    <w:rsid w:val="004064F7"/>
    <w:rsid w:val="004109BE"/>
    <w:rsid w:val="00411412"/>
    <w:rsid w:val="0041182B"/>
    <w:rsid w:val="004131E2"/>
    <w:rsid w:val="00415574"/>
    <w:rsid w:val="0041561E"/>
    <w:rsid w:val="00417645"/>
    <w:rsid w:val="004177B5"/>
    <w:rsid w:val="0042067A"/>
    <w:rsid w:val="00420840"/>
    <w:rsid w:val="00420C7B"/>
    <w:rsid w:val="00420CEC"/>
    <w:rsid w:val="00421B36"/>
    <w:rsid w:val="00423462"/>
    <w:rsid w:val="00423A48"/>
    <w:rsid w:val="00424999"/>
    <w:rsid w:val="00424C93"/>
    <w:rsid w:val="00425552"/>
    <w:rsid w:val="00425753"/>
    <w:rsid w:val="00425A77"/>
    <w:rsid w:val="00426C34"/>
    <w:rsid w:val="0043295B"/>
    <w:rsid w:val="00433474"/>
    <w:rsid w:val="004334A9"/>
    <w:rsid w:val="0043370A"/>
    <w:rsid w:val="00433719"/>
    <w:rsid w:val="00434C60"/>
    <w:rsid w:val="00435278"/>
    <w:rsid w:val="004353F5"/>
    <w:rsid w:val="004364D9"/>
    <w:rsid w:val="004369A4"/>
    <w:rsid w:val="00436DC3"/>
    <w:rsid w:val="00440225"/>
    <w:rsid w:val="004403F1"/>
    <w:rsid w:val="0044043A"/>
    <w:rsid w:val="00440973"/>
    <w:rsid w:val="00443745"/>
    <w:rsid w:val="00443EA0"/>
    <w:rsid w:val="00444C5D"/>
    <w:rsid w:val="00445383"/>
    <w:rsid w:val="00446257"/>
    <w:rsid w:val="004472F1"/>
    <w:rsid w:val="00450961"/>
    <w:rsid w:val="004537FB"/>
    <w:rsid w:val="00454095"/>
    <w:rsid w:val="0045435C"/>
    <w:rsid w:val="004544E8"/>
    <w:rsid w:val="0045475F"/>
    <w:rsid w:val="0045605C"/>
    <w:rsid w:val="0045668B"/>
    <w:rsid w:val="00457204"/>
    <w:rsid w:val="00457FE7"/>
    <w:rsid w:val="0046217A"/>
    <w:rsid w:val="00462886"/>
    <w:rsid w:val="0046392F"/>
    <w:rsid w:val="00465B42"/>
    <w:rsid w:val="004664DC"/>
    <w:rsid w:val="004668D0"/>
    <w:rsid w:val="00467794"/>
    <w:rsid w:val="00467A01"/>
    <w:rsid w:val="00470E15"/>
    <w:rsid w:val="004715FB"/>
    <w:rsid w:val="00472289"/>
    <w:rsid w:val="0047300E"/>
    <w:rsid w:val="00473CB8"/>
    <w:rsid w:val="004747BD"/>
    <w:rsid w:val="00474E97"/>
    <w:rsid w:val="00475EF4"/>
    <w:rsid w:val="004762E2"/>
    <w:rsid w:val="00476561"/>
    <w:rsid w:val="00481A4D"/>
    <w:rsid w:val="00483D03"/>
    <w:rsid w:val="00484169"/>
    <w:rsid w:val="004843AE"/>
    <w:rsid w:val="00486F87"/>
    <w:rsid w:val="0049030F"/>
    <w:rsid w:val="0049095E"/>
    <w:rsid w:val="00492354"/>
    <w:rsid w:val="004936EC"/>
    <w:rsid w:val="00493BC6"/>
    <w:rsid w:val="00493E6C"/>
    <w:rsid w:val="00494432"/>
    <w:rsid w:val="00494BF0"/>
    <w:rsid w:val="00495831"/>
    <w:rsid w:val="00495B6C"/>
    <w:rsid w:val="00495C4C"/>
    <w:rsid w:val="00497013"/>
    <w:rsid w:val="00497351"/>
    <w:rsid w:val="00497B81"/>
    <w:rsid w:val="00497D58"/>
    <w:rsid w:val="00497F5F"/>
    <w:rsid w:val="00497F6C"/>
    <w:rsid w:val="004A0EAF"/>
    <w:rsid w:val="004A15F8"/>
    <w:rsid w:val="004A1930"/>
    <w:rsid w:val="004A24A5"/>
    <w:rsid w:val="004A3F43"/>
    <w:rsid w:val="004A406C"/>
    <w:rsid w:val="004A5F97"/>
    <w:rsid w:val="004A7451"/>
    <w:rsid w:val="004B0293"/>
    <w:rsid w:val="004B1058"/>
    <w:rsid w:val="004B1214"/>
    <w:rsid w:val="004B37C0"/>
    <w:rsid w:val="004B468A"/>
    <w:rsid w:val="004B46BD"/>
    <w:rsid w:val="004B4E95"/>
    <w:rsid w:val="004B5433"/>
    <w:rsid w:val="004B588F"/>
    <w:rsid w:val="004B5F54"/>
    <w:rsid w:val="004B5F5B"/>
    <w:rsid w:val="004B7C5E"/>
    <w:rsid w:val="004C0F7A"/>
    <w:rsid w:val="004C1080"/>
    <w:rsid w:val="004C179D"/>
    <w:rsid w:val="004C1AFE"/>
    <w:rsid w:val="004C1D62"/>
    <w:rsid w:val="004C2939"/>
    <w:rsid w:val="004C3001"/>
    <w:rsid w:val="004C3039"/>
    <w:rsid w:val="004C30A6"/>
    <w:rsid w:val="004C3FFA"/>
    <w:rsid w:val="004C4A90"/>
    <w:rsid w:val="004C4BA4"/>
    <w:rsid w:val="004C66F8"/>
    <w:rsid w:val="004C6D54"/>
    <w:rsid w:val="004C7CAD"/>
    <w:rsid w:val="004C7DCA"/>
    <w:rsid w:val="004D02E9"/>
    <w:rsid w:val="004D0B0F"/>
    <w:rsid w:val="004D2459"/>
    <w:rsid w:val="004D27D5"/>
    <w:rsid w:val="004D3729"/>
    <w:rsid w:val="004D43E0"/>
    <w:rsid w:val="004D4CA0"/>
    <w:rsid w:val="004D523B"/>
    <w:rsid w:val="004D5BC5"/>
    <w:rsid w:val="004D7720"/>
    <w:rsid w:val="004E049D"/>
    <w:rsid w:val="004E04F2"/>
    <w:rsid w:val="004E16CE"/>
    <w:rsid w:val="004E37F0"/>
    <w:rsid w:val="004E415E"/>
    <w:rsid w:val="004E484C"/>
    <w:rsid w:val="004E4E2A"/>
    <w:rsid w:val="004E5E7C"/>
    <w:rsid w:val="004E655F"/>
    <w:rsid w:val="004F0EF8"/>
    <w:rsid w:val="004F1027"/>
    <w:rsid w:val="004F3418"/>
    <w:rsid w:val="004F36B3"/>
    <w:rsid w:val="004F416F"/>
    <w:rsid w:val="004F4501"/>
    <w:rsid w:val="004F46FC"/>
    <w:rsid w:val="004F4702"/>
    <w:rsid w:val="004F4B97"/>
    <w:rsid w:val="004F5601"/>
    <w:rsid w:val="004F5B88"/>
    <w:rsid w:val="004F61CB"/>
    <w:rsid w:val="005006E3"/>
    <w:rsid w:val="00500F47"/>
    <w:rsid w:val="00501443"/>
    <w:rsid w:val="00501BAC"/>
    <w:rsid w:val="0050323B"/>
    <w:rsid w:val="00503DF2"/>
    <w:rsid w:val="00504678"/>
    <w:rsid w:val="00504750"/>
    <w:rsid w:val="005049FA"/>
    <w:rsid w:val="00505BB3"/>
    <w:rsid w:val="00507229"/>
    <w:rsid w:val="00510D3C"/>
    <w:rsid w:val="0051120F"/>
    <w:rsid w:val="005116A4"/>
    <w:rsid w:val="00511AE5"/>
    <w:rsid w:val="00511C19"/>
    <w:rsid w:val="0051271C"/>
    <w:rsid w:val="00514919"/>
    <w:rsid w:val="005172C6"/>
    <w:rsid w:val="00517451"/>
    <w:rsid w:val="005200CA"/>
    <w:rsid w:val="00520141"/>
    <w:rsid w:val="00520B44"/>
    <w:rsid w:val="005220F3"/>
    <w:rsid w:val="00522297"/>
    <w:rsid w:val="00522FA6"/>
    <w:rsid w:val="00523A1E"/>
    <w:rsid w:val="00526618"/>
    <w:rsid w:val="00526D2D"/>
    <w:rsid w:val="0052796C"/>
    <w:rsid w:val="00527F72"/>
    <w:rsid w:val="005310CF"/>
    <w:rsid w:val="005315B2"/>
    <w:rsid w:val="00531B99"/>
    <w:rsid w:val="00531CEF"/>
    <w:rsid w:val="00532C52"/>
    <w:rsid w:val="00534E1D"/>
    <w:rsid w:val="00535A1F"/>
    <w:rsid w:val="00536B76"/>
    <w:rsid w:val="00537A7F"/>
    <w:rsid w:val="00540299"/>
    <w:rsid w:val="00541178"/>
    <w:rsid w:val="00541CC1"/>
    <w:rsid w:val="00542347"/>
    <w:rsid w:val="0054485B"/>
    <w:rsid w:val="00544B01"/>
    <w:rsid w:val="00546534"/>
    <w:rsid w:val="005474EA"/>
    <w:rsid w:val="005501FD"/>
    <w:rsid w:val="005503E6"/>
    <w:rsid w:val="005520D3"/>
    <w:rsid w:val="0055247D"/>
    <w:rsid w:val="00552C8D"/>
    <w:rsid w:val="005542FB"/>
    <w:rsid w:val="0055476A"/>
    <w:rsid w:val="00555935"/>
    <w:rsid w:val="005575EE"/>
    <w:rsid w:val="005579D2"/>
    <w:rsid w:val="00557C0F"/>
    <w:rsid w:val="005609BA"/>
    <w:rsid w:val="00561AF8"/>
    <w:rsid w:val="00562728"/>
    <w:rsid w:val="00563A46"/>
    <w:rsid w:val="00563F32"/>
    <w:rsid w:val="0056599B"/>
    <w:rsid w:val="00565B8D"/>
    <w:rsid w:val="00566FAD"/>
    <w:rsid w:val="005676EB"/>
    <w:rsid w:val="00567F44"/>
    <w:rsid w:val="00570E7B"/>
    <w:rsid w:val="005711CC"/>
    <w:rsid w:val="005736BF"/>
    <w:rsid w:val="005736F3"/>
    <w:rsid w:val="0057475E"/>
    <w:rsid w:val="0057498D"/>
    <w:rsid w:val="00575827"/>
    <w:rsid w:val="005760A3"/>
    <w:rsid w:val="005768AD"/>
    <w:rsid w:val="00577DE2"/>
    <w:rsid w:val="00580DE7"/>
    <w:rsid w:val="00581B11"/>
    <w:rsid w:val="0058303B"/>
    <w:rsid w:val="00583B74"/>
    <w:rsid w:val="00583CD2"/>
    <w:rsid w:val="00584244"/>
    <w:rsid w:val="00584427"/>
    <w:rsid w:val="0058506A"/>
    <w:rsid w:val="00585331"/>
    <w:rsid w:val="005856A9"/>
    <w:rsid w:val="00585A12"/>
    <w:rsid w:val="00585B75"/>
    <w:rsid w:val="005860EB"/>
    <w:rsid w:val="0058642B"/>
    <w:rsid w:val="0059040A"/>
    <w:rsid w:val="00592497"/>
    <w:rsid w:val="005927AD"/>
    <w:rsid w:val="00592A50"/>
    <w:rsid w:val="005943C1"/>
    <w:rsid w:val="005950FA"/>
    <w:rsid w:val="00595D00"/>
    <w:rsid w:val="00596A2D"/>
    <w:rsid w:val="0059743C"/>
    <w:rsid w:val="005A1919"/>
    <w:rsid w:val="005A2C2D"/>
    <w:rsid w:val="005A2CFB"/>
    <w:rsid w:val="005A37C5"/>
    <w:rsid w:val="005A3A8A"/>
    <w:rsid w:val="005A3DDF"/>
    <w:rsid w:val="005A500C"/>
    <w:rsid w:val="005B121A"/>
    <w:rsid w:val="005B301A"/>
    <w:rsid w:val="005B34A3"/>
    <w:rsid w:val="005B4980"/>
    <w:rsid w:val="005B59D1"/>
    <w:rsid w:val="005B6082"/>
    <w:rsid w:val="005B788F"/>
    <w:rsid w:val="005C078A"/>
    <w:rsid w:val="005C0F60"/>
    <w:rsid w:val="005C2D62"/>
    <w:rsid w:val="005C3E36"/>
    <w:rsid w:val="005C45A8"/>
    <w:rsid w:val="005C505B"/>
    <w:rsid w:val="005C52D6"/>
    <w:rsid w:val="005C601E"/>
    <w:rsid w:val="005C7451"/>
    <w:rsid w:val="005C7686"/>
    <w:rsid w:val="005C7B59"/>
    <w:rsid w:val="005C7D9B"/>
    <w:rsid w:val="005D0529"/>
    <w:rsid w:val="005D0D0F"/>
    <w:rsid w:val="005D0D95"/>
    <w:rsid w:val="005D3B87"/>
    <w:rsid w:val="005D4224"/>
    <w:rsid w:val="005D736C"/>
    <w:rsid w:val="005D76BC"/>
    <w:rsid w:val="005D7BB0"/>
    <w:rsid w:val="005E2018"/>
    <w:rsid w:val="005E2052"/>
    <w:rsid w:val="005E25E0"/>
    <w:rsid w:val="005E29E0"/>
    <w:rsid w:val="005E36D0"/>
    <w:rsid w:val="005E3826"/>
    <w:rsid w:val="005E410E"/>
    <w:rsid w:val="005E4B4A"/>
    <w:rsid w:val="005E5503"/>
    <w:rsid w:val="005E550E"/>
    <w:rsid w:val="005E61DC"/>
    <w:rsid w:val="005E662F"/>
    <w:rsid w:val="005E7196"/>
    <w:rsid w:val="005E78C5"/>
    <w:rsid w:val="005F07CF"/>
    <w:rsid w:val="005F0A2F"/>
    <w:rsid w:val="005F2268"/>
    <w:rsid w:val="005F2747"/>
    <w:rsid w:val="005F3491"/>
    <w:rsid w:val="005F3868"/>
    <w:rsid w:val="005F71F5"/>
    <w:rsid w:val="00600101"/>
    <w:rsid w:val="00601299"/>
    <w:rsid w:val="0060197A"/>
    <w:rsid w:val="00601BAB"/>
    <w:rsid w:val="0060206B"/>
    <w:rsid w:val="006041CB"/>
    <w:rsid w:val="00604851"/>
    <w:rsid w:val="00605469"/>
    <w:rsid w:val="0060655E"/>
    <w:rsid w:val="00606E91"/>
    <w:rsid w:val="00607E0F"/>
    <w:rsid w:val="00610AFF"/>
    <w:rsid w:val="00610F0D"/>
    <w:rsid w:val="006119DF"/>
    <w:rsid w:val="00612D40"/>
    <w:rsid w:val="00613824"/>
    <w:rsid w:val="006138E7"/>
    <w:rsid w:val="00614F4B"/>
    <w:rsid w:val="006159DD"/>
    <w:rsid w:val="00615CEB"/>
    <w:rsid w:val="00615FE1"/>
    <w:rsid w:val="006167C3"/>
    <w:rsid w:val="00621C4D"/>
    <w:rsid w:val="00621F5E"/>
    <w:rsid w:val="00623490"/>
    <w:rsid w:val="00624531"/>
    <w:rsid w:val="00625B02"/>
    <w:rsid w:val="00626168"/>
    <w:rsid w:val="00627C21"/>
    <w:rsid w:val="006300E9"/>
    <w:rsid w:val="006301CD"/>
    <w:rsid w:val="0063074F"/>
    <w:rsid w:val="006314B5"/>
    <w:rsid w:val="00631CF7"/>
    <w:rsid w:val="00633251"/>
    <w:rsid w:val="00633C87"/>
    <w:rsid w:val="0063401B"/>
    <w:rsid w:val="00634B6C"/>
    <w:rsid w:val="006353D1"/>
    <w:rsid w:val="00636BF6"/>
    <w:rsid w:val="00637612"/>
    <w:rsid w:val="00640D30"/>
    <w:rsid w:val="006413F7"/>
    <w:rsid w:val="006417F9"/>
    <w:rsid w:val="00641BDA"/>
    <w:rsid w:val="00641E76"/>
    <w:rsid w:val="00642499"/>
    <w:rsid w:val="00642913"/>
    <w:rsid w:val="00645BA8"/>
    <w:rsid w:val="00645D88"/>
    <w:rsid w:val="00645E12"/>
    <w:rsid w:val="006469FE"/>
    <w:rsid w:val="006470B5"/>
    <w:rsid w:val="00650A84"/>
    <w:rsid w:val="00651D58"/>
    <w:rsid w:val="006520BF"/>
    <w:rsid w:val="006525E2"/>
    <w:rsid w:val="006526A8"/>
    <w:rsid w:val="00653135"/>
    <w:rsid w:val="006534F3"/>
    <w:rsid w:val="00653768"/>
    <w:rsid w:val="00653DFB"/>
    <w:rsid w:val="00653F13"/>
    <w:rsid w:val="00654553"/>
    <w:rsid w:val="00654BE8"/>
    <w:rsid w:val="006557D6"/>
    <w:rsid w:val="00656E03"/>
    <w:rsid w:val="00656FB8"/>
    <w:rsid w:val="0065711F"/>
    <w:rsid w:val="006607E9"/>
    <w:rsid w:val="006608CB"/>
    <w:rsid w:val="006612C6"/>
    <w:rsid w:val="00662139"/>
    <w:rsid w:val="00662471"/>
    <w:rsid w:val="00662AB1"/>
    <w:rsid w:val="00665D16"/>
    <w:rsid w:val="0066719D"/>
    <w:rsid w:val="00670148"/>
    <w:rsid w:val="006709AA"/>
    <w:rsid w:val="006709D2"/>
    <w:rsid w:val="00670DE3"/>
    <w:rsid w:val="0067126A"/>
    <w:rsid w:val="006714A0"/>
    <w:rsid w:val="00674434"/>
    <w:rsid w:val="00674DDD"/>
    <w:rsid w:val="0067504B"/>
    <w:rsid w:val="00675C57"/>
    <w:rsid w:val="006765E2"/>
    <w:rsid w:val="0068042F"/>
    <w:rsid w:val="006810EA"/>
    <w:rsid w:val="0068155E"/>
    <w:rsid w:val="0068173C"/>
    <w:rsid w:val="00681894"/>
    <w:rsid w:val="00681E42"/>
    <w:rsid w:val="00684520"/>
    <w:rsid w:val="006850FB"/>
    <w:rsid w:val="006856D5"/>
    <w:rsid w:val="00685B74"/>
    <w:rsid w:val="00686662"/>
    <w:rsid w:val="006870FC"/>
    <w:rsid w:val="006904E8"/>
    <w:rsid w:val="00693931"/>
    <w:rsid w:val="00693AFC"/>
    <w:rsid w:val="00693B06"/>
    <w:rsid w:val="006953E1"/>
    <w:rsid w:val="00696D76"/>
    <w:rsid w:val="006A0B57"/>
    <w:rsid w:val="006A16BA"/>
    <w:rsid w:val="006A201D"/>
    <w:rsid w:val="006A22CA"/>
    <w:rsid w:val="006A2DF0"/>
    <w:rsid w:val="006A2E85"/>
    <w:rsid w:val="006A2FEA"/>
    <w:rsid w:val="006A4C79"/>
    <w:rsid w:val="006A5367"/>
    <w:rsid w:val="006A5449"/>
    <w:rsid w:val="006A5E9D"/>
    <w:rsid w:val="006A7435"/>
    <w:rsid w:val="006A7501"/>
    <w:rsid w:val="006A7EFD"/>
    <w:rsid w:val="006B03A6"/>
    <w:rsid w:val="006B177D"/>
    <w:rsid w:val="006B2816"/>
    <w:rsid w:val="006B28D2"/>
    <w:rsid w:val="006B317F"/>
    <w:rsid w:val="006B3679"/>
    <w:rsid w:val="006B3C1A"/>
    <w:rsid w:val="006B4209"/>
    <w:rsid w:val="006B4C1D"/>
    <w:rsid w:val="006B658E"/>
    <w:rsid w:val="006C0165"/>
    <w:rsid w:val="006C1C0D"/>
    <w:rsid w:val="006C2FD5"/>
    <w:rsid w:val="006C37D2"/>
    <w:rsid w:val="006C38AD"/>
    <w:rsid w:val="006C39CD"/>
    <w:rsid w:val="006C3B68"/>
    <w:rsid w:val="006C59CF"/>
    <w:rsid w:val="006D31CC"/>
    <w:rsid w:val="006D3C95"/>
    <w:rsid w:val="006D3DDD"/>
    <w:rsid w:val="006D424B"/>
    <w:rsid w:val="006D439F"/>
    <w:rsid w:val="006D57AE"/>
    <w:rsid w:val="006D58C7"/>
    <w:rsid w:val="006D59A1"/>
    <w:rsid w:val="006D7F00"/>
    <w:rsid w:val="006E06E0"/>
    <w:rsid w:val="006E1AA6"/>
    <w:rsid w:val="006E35B8"/>
    <w:rsid w:val="006E6EC4"/>
    <w:rsid w:val="006E7167"/>
    <w:rsid w:val="006F1DE4"/>
    <w:rsid w:val="006F42CE"/>
    <w:rsid w:val="00700868"/>
    <w:rsid w:val="00700FDA"/>
    <w:rsid w:val="007011CB"/>
    <w:rsid w:val="00701D5D"/>
    <w:rsid w:val="00702567"/>
    <w:rsid w:val="007028B5"/>
    <w:rsid w:val="00703DE0"/>
    <w:rsid w:val="00704119"/>
    <w:rsid w:val="007048AB"/>
    <w:rsid w:val="00704A71"/>
    <w:rsid w:val="00706676"/>
    <w:rsid w:val="007137F4"/>
    <w:rsid w:val="00715842"/>
    <w:rsid w:val="00716D05"/>
    <w:rsid w:val="00717951"/>
    <w:rsid w:val="00722919"/>
    <w:rsid w:val="00722971"/>
    <w:rsid w:val="00722B74"/>
    <w:rsid w:val="00723A8C"/>
    <w:rsid w:val="0072460C"/>
    <w:rsid w:val="007248E2"/>
    <w:rsid w:val="00724D93"/>
    <w:rsid w:val="00724EC7"/>
    <w:rsid w:val="007251FD"/>
    <w:rsid w:val="00725231"/>
    <w:rsid w:val="00725D1B"/>
    <w:rsid w:val="00725FBB"/>
    <w:rsid w:val="00726BFA"/>
    <w:rsid w:val="007312A5"/>
    <w:rsid w:val="00731A34"/>
    <w:rsid w:val="00731FA3"/>
    <w:rsid w:val="00732C11"/>
    <w:rsid w:val="00733BF2"/>
    <w:rsid w:val="00733DA7"/>
    <w:rsid w:val="00734058"/>
    <w:rsid w:val="007346CC"/>
    <w:rsid w:val="00735953"/>
    <w:rsid w:val="00735B72"/>
    <w:rsid w:val="00735DB5"/>
    <w:rsid w:val="00736168"/>
    <w:rsid w:val="00737753"/>
    <w:rsid w:val="007401DB"/>
    <w:rsid w:val="00740A41"/>
    <w:rsid w:val="00741301"/>
    <w:rsid w:val="00743293"/>
    <w:rsid w:val="0074333F"/>
    <w:rsid w:val="0074356F"/>
    <w:rsid w:val="00744C3F"/>
    <w:rsid w:val="0074564C"/>
    <w:rsid w:val="00745662"/>
    <w:rsid w:val="00745BDF"/>
    <w:rsid w:val="007476DF"/>
    <w:rsid w:val="00750171"/>
    <w:rsid w:val="00752629"/>
    <w:rsid w:val="0075440D"/>
    <w:rsid w:val="00754CAC"/>
    <w:rsid w:val="00755B7F"/>
    <w:rsid w:val="00756269"/>
    <w:rsid w:val="00756ACD"/>
    <w:rsid w:val="00756FDD"/>
    <w:rsid w:val="00760146"/>
    <w:rsid w:val="007601C4"/>
    <w:rsid w:val="007616D9"/>
    <w:rsid w:val="007617E3"/>
    <w:rsid w:val="00761B07"/>
    <w:rsid w:val="00766EBB"/>
    <w:rsid w:val="00767274"/>
    <w:rsid w:val="007677E4"/>
    <w:rsid w:val="00767A58"/>
    <w:rsid w:val="007702C4"/>
    <w:rsid w:val="0077061E"/>
    <w:rsid w:val="00771A24"/>
    <w:rsid w:val="00771ADA"/>
    <w:rsid w:val="00771BF6"/>
    <w:rsid w:val="00772461"/>
    <w:rsid w:val="007726BE"/>
    <w:rsid w:val="00772C7E"/>
    <w:rsid w:val="00772FD4"/>
    <w:rsid w:val="00773580"/>
    <w:rsid w:val="0077363D"/>
    <w:rsid w:val="0077382F"/>
    <w:rsid w:val="007752AB"/>
    <w:rsid w:val="00776465"/>
    <w:rsid w:val="0077686E"/>
    <w:rsid w:val="00777172"/>
    <w:rsid w:val="00777809"/>
    <w:rsid w:val="0077789C"/>
    <w:rsid w:val="00777CCB"/>
    <w:rsid w:val="0078032C"/>
    <w:rsid w:val="00781614"/>
    <w:rsid w:val="00786814"/>
    <w:rsid w:val="00786EA6"/>
    <w:rsid w:val="00787D0C"/>
    <w:rsid w:val="00790907"/>
    <w:rsid w:val="00790AE0"/>
    <w:rsid w:val="00792093"/>
    <w:rsid w:val="0079306C"/>
    <w:rsid w:val="007938C6"/>
    <w:rsid w:val="0079499B"/>
    <w:rsid w:val="00794FF3"/>
    <w:rsid w:val="007954FC"/>
    <w:rsid w:val="00795EC5"/>
    <w:rsid w:val="00796A82"/>
    <w:rsid w:val="007A10B0"/>
    <w:rsid w:val="007A1182"/>
    <w:rsid w:val="007A24A4"/>
    <w:rsid w:val="007A2E69"/>
    <w:rsid w:val="007A45DD"/>
    <w:rsid w:val="007A464B"/>
    <w:rsid w:val="007A5D66"/>
    <w:rsid w:val="007A6428"/>
    <w:rsid w:val="007B00CB"/>
    <w:rsid w:val="007B172F"/>
    <w:rsid w:val="007B2009"/>
    <w:rsid w:val="007B3FAA"/>
    <w:rsid w:val="007B4401"/>
    <w:rsid w:val="007B525E"/>
    <w:rsid w:val="007B5A0E"/>
    <w:rsid w:val="007B6826"/>
    <w:rsid w:val="007B7187"/>
    <w:rsid w:val="007B7A72"/>
    <w:rsid w:val="007B7E08"/>
    <w:rsid w:val="007C1097"/>
    <w:rsid w:val="007C3358"/>
    <w:rsid w:val="007C377E"/>
    <w:rsid w:val="007C5402"/>
    <w:rsid w:val="007C7155"/>
    <w:rsid w:val="007C7262"/>
    <w:rsid w:val="007D0570"/>
    <w:rsid w:val="007D0935"/>
    <w:rsid w:val="007D20B4"/>
    <w:rsid w:val="007D31AA"/>
    <w:rsid w:val="007D3A5E"/>
    <w:rsid w:val="007D3C54"/>
    <w:rsid w:val="007D3D24"/>
    <w:rsid w:val="007D5370"/>
    <w:rsid w:val="007D5E75"/>
    <w:rsid w:val="007D612A"/>
    <w:rsid w:val="007D6948"/>
    <w:rsid w:val="007E079F"/>
    <w:rsid w:val="007E174A"/>
    <w:rsid w:val="007E1E40"/>
    <w:rsid w:val="007E2BBA"/>
    <w:rsid w:val="007E316E"/>
    <w:rsid w:val="007E329C"/>
    <w:rsid w:val="007E68AE"/>
    <w:rsid w:val="007E74DE"/>
    <w:rsid w:val="007E775D"/>
    <w:rsid w:val="007F09E2"/>
    <w:rsid w:val="007F2433"/>
    <w:rsid w:val="007F2A18"/>
    <w:rsid w:val="007F2C0E"/>
    <w:rsid w:val="007F3344"/>
    <w:rsid w:val="007F4636"/>
    <w:rsid w:val="007F4B39"/>
    <w:rsid w:val="007F4C7D"/>
    <w:rsid w:val="007F581A"/>
    <w:rsid w:val="007F6CD0"/>
    <w:rsid w:val="007F7AF4"/>
    <w:rsid w:val="00800987"/>
    <w:rsid w:val="0080228A"/>
    <w:rsid w:val="00802510"/>
    <w:rsid w:val="008027C7"/>
    <w:rsid w:val="00811283"/>
    <w:rsid w:val="008113BA"/>
    <w:rsid w:val="00811545"/>
    <w:rsid w:val="00811DF4"/>
    <w:rsid w:val="00811E47"/>
    <w:rsid w:val="008131DC"/>
    <w:rsid w:val="008150B0"/>
    <w:rsid w:val="00817222"/>
    <w:rsid w:val="00817C50"/>
    <w:rsid w:val="00820251"/>
    <w:rsid w:val="008230BE"/>
    <w:rsid w:val="008232A6"/>
    <w:rsid w:val="00823E11"/>
    <w:rsid w:val="00824178"/>
    <w:rsid w:val="00824B38"/>
    <w:rsid w:val="0082591C"/>
    <w:rsid w:val="00825D5C"/>
    <w:rsid w:val="008268FC"/>
    <w:rsid w:val="0082748B"/>
    <w:rsid w:val="00830F96"/>
    <w:rsid w:val="00831470"/>
    <w:rsid w:val="008316D6"/>
    <w:rsid w:val="00831F09"/>
    <w:rsid w:val="0083299F"/>
    <w:rsid w:val="00833DEC"/>
    <w:rsid w:val="008341E9"/>
    <w:rsid w:val="008349FC"/>
    <w:rsid w:val="008359C1"/>
    <w:rsid w:val="0083765C"/>
    <w:rsid w:val="00840635"/>
    <w:rsid w:val="0084210E"/>
    <w:rsid w:val="00842C83"/>
    <w:rsid w:val="00842C8A"/>
    <w:rsid w:val="00842DED"/>
    <w:rsid w:val="00843101"/>
    <w:rsid w:val="008434A6"/>
    <w:rsid w:val="00845C58"/>
    <w:rsid w:val="00845FD0"/>
    <w:rsid w:val="0085004B"/>
    <w:rsid w:val="0085087C"/>
    <w:rsid w:val="00852E6A"/>
    <w:rsid w:val="00852EDD"/>
    <w:rsid w:val="00854E0E"/>
    <w:rsid w:val="00856921"/>
    <w:rsid w:val="0085716F"/>
    <w:rsid w:val="00860E98"/>
    <w:rsid w:val="008635A5"/>
    <w:rsid w:val="008649C4"/>
    <w:rsid w:val="00865689"/>
    <w:rsid w:val="00867DD9"/>
    <w:rsid w:val="00870BC4"/>
    <w:rsid w:val="00871168"/>
    <w:rsid w:val="00871849"/>
    <w:rsid w:val="00871E2D"/>
    <w:rsid w:val="00871EE3"/>
    <w:rsid w:val="00873D1D"/>
    <w:rsid w:val="00873ED2"/>
    <w:rsid w:val="008742E5"/>
    <w:rsid w:val="008747C6"/>
    <w:rsid w:val="00874BF7"/>
    <w:rsid w:val="008760B1"/>
    <w:rsid w:val="00876BFB"/>
    <w:rsid w:val="00876C17"/>
    <w:rsid w:val="00877CCB"/>
    <w:rsid w:val="008803E2"/>
    <w:rsid w:val="008827B2"/>
    <w:rsid w:val="0088284D"/>
    <w:rsid w:val="00882E9D"/>
    <w:rsid w:val="00883CC6"/>
    <w:rsid w:val="00883D92"/>
    <w:rsid w:val="0088431E"/>
    <w:rsid w:val="008848E9"/>
    <w:rsid w:val="00884D1F"/>
    <w:rsid w:val="00885616"/>
    <w:rsid w:val="00885721"/>
    <w:rsid w:val="0088679D"/>
    <w:rsid w:val="00886A8B"/>
    <w:rsid w:val="008910B3"/>
    <w:rsid w:val="0089134E"/>
    <w:rsid w:val="0089165A"/>
    <w:rsid w:val="00892972"/>
    <w:rsid w:val="008931CC"/>
    <w:rsid w:val="00894976"/>
    <w:rsid w:val="00895425"/>
    <w:rsid w:val="00895EB0"/>
    <w:rsid w:val="00896538"/>
    <w:rsid w:val="008972DF"/>
    <w:rsid w:val="008A03CA"/>
    <w:rsid w:val="008A0E6E"/>
    <w:rsid w:val="008A18F3"/>
    <w:rsid w:val="008A1ED5"/>
    <w:rsid w:val="008A3D27"/>
    <w:rsid w:val="008A4AA6"/>
    <w:rsid w:val="008A4F61"/>
    <w:rsid w:val="008A5369"/>
    <w:rsid w:val="008A5E7D"/>
    <w:rsid w:val="008A6191"/>
    <w:rsid w:val="008A7EF0"/>
    <w:rsid w:val="008B00EF"/>
    <w:rsid w:val="008B0482"/>
    <w:rsid w:val="008B1E8D"/>
    <w:rsid w:val="008B2004"/>
    <w:rsid w:val="008B4EA1"/>
    <w:rsid w:val="008B532B"/>
    <w:rsid w:val="008B5E71"/>
    <w:rsid w:val="008B7257"/>
    <w:rsid w:val="008C00DE"/>
    <w:rsid w:val="008C2438"/>
    <w:rsid w:val="008C2713"/>
    <w:rsid w:val="008C6C3D"/>
    <w:rsid w:val="008C7EB7"/>
    <w:rsid w:val="008D01E4"/>
    <w:rsid w:val="008D0BF3"/>
    <w:rsid w:val="008D0E40"/>
    <w:rsid w:val="008D1835"/>
    <w:rsid w:val="008D1934"/>
    <w:rsid w:val="008D1AE4"/>
    <w:rsid w:val="008D2A37"/>
    <w:rsid w:val="008D39BC"/>
    <w:rsid w:val="008D42EE"/>
    <w:rsid w:val="008D4E58"/>
    <w:rsid w:val="008D5344"/>
    <w:rsid w:val="008D5A20"/>
    <w:rsid w:val="008D6928"/>
    <w:rsid w:val="008E012F"/>
    <w:rsid w:val="008E0288"/>
    <w:rsid w:val="008E1D86"/>
    <w:rsid w:val="008E1DBA"/>
    <w:rsid w:val="008E3275"/>
    <w:rsid w:val="008E5AE6"/>
    <w:rsid w:val="008E709A"/>
    <w:rsid w:val="008F050A"/>
    <w:rsid w:val="008F0EDD"/>
    <w:rsid w:val="008F24DD"/>
    <w:rsid w:val="008F3E12"/>
    <w:rsid w:val="008F4306"/>
    <w:rsid w:val="008F4443"/>
    <w:rsid w:val="008F680C"/>
    <w:rsid w:val="008F69AF"/>
    <w:rsid w:val="009009F1"/>
    <w:rsid w:val="00901A8B"/>
    <w:rsid w:val="00901EB9"/>
    <w:rsid w:val="00910478"/>
    <w:rsid w:val="00910BC6"/>
    <w:rsid w:val="009136AE"/>
    <w:rsid w:val="009147E1"/>
    <w:rsid w:val="009177B9"/>
    <w:rsid w:val="009213FE"/>
    <w:rsid w:val="00921C16"/>
    <w:rsid w:val="00921E4B"/>
    <w:rsid w:val="00921F19"/>
    <w:rsid w:val="0092255E"/>
    <w:rsid w:val="009226BA"/>
    <w:rsid w:val="00926709"/>
    <w:rsid w:val="0092789D"/>
    <w:rsid w:val="00930BE5"/>
    <w:rsid w:val="009316DE"/>
    <w:rsid w:val="00931727"/>
    <w:rsid w:val="00932B62"/>
    <w:rsid w:val="00933C8C"/>
    <w:rsid w:val="00934AAA"/>
    <w:rsid w:val="0093518C"/>
    <w:rsid w:val="00935437"/>
    <w:rsid w:val="00935FEA"/>
    <w:rsid w:val="00936828"/>
    <w:rsid w:val="00936BDD"/>
    <w:rsid w:val="00940078"/>
    <w:rsid w:val="009404D6"/>
    <w:rsid w:val="00940E83"/>
    <w:rsid w:val="00940F56"/>
    <w:rsid w:val="00941EB1"/>
    <w:rsid w:val="009421DB"/>
    <w:rsid w:val="0094293D"/>
    <w:rsid w:val="0094374B"/>
    <w:rsid w:val="0094465D"/>
    <w:rsid w:val="00944D8A"/>
    <w:rsid w:val="00945970"/>
    <w:rsid w:val="00946FC6"/>
    <w:rsid w:val="0095224E"/>
    <w:rsid w:val="009533B8"/>
    <w:rsid w:val="00953BDC"/>
    <w:rsid w:val="00954E45"/>
    <w:rsid w:val="00954F34"/>
    <w:rsid w:val="009564B1"/>
    <w:rsid w:val="00961BF6"/>
    <w:rsid w:val="00962A34"/>
    <w:rsid w:val="00962A44"/>
    <w:rsid w:val="009631B3"/>
    <w:rsid w:val="0096336E"/>
    <w:rsid w:val="0096484C"/>
    <w:rsid w:val="009655F6"/>
    <w:rsid w:val="00966864"/>
    <w:rsid w:val="00966922"/>
    <w:rsid w:val="00967328"/>
    <w:rsid w:val="00971558"/>
    <w:rsid w:val="00973D80"/>
    <w:rsid w:val="00973ECD"/>
    <w:rsid w:val="00973F9B"/>
    <w:rsid w:val="00974406"/>
    <w:rsid w:val="00974C92"/>
    <w:rsid w:val="0097739C"/>
    <w:rsid w:val="009823E9"/>
    <w:rsid w:val="00982D7D"/>
    <w:rsid w:val="0098375B"/>
    <w:rsid w:val="00983839"/>
    <w:rsid w:val="00983DD7"/>
    <w:rsid w:val="00985A22"/>
    <w:rsid w:val="0098600F"/>
    <w:rsid w:val="0098641E"/>
    <w:rsid w:val="0098733F"/>
    <w:rsid w:val="00987F23"/>
    <w:rsid w:val="00990F0C"/>
    <w:rsid w:val="00991027"/>
    <w:rsid w:val="009910E5"/>
    <w:rsid w:val="00992EFF"/>
    <w:rsid w:val="00995E58"/>
    <w:rsid w:val="0099710C"/>
    <w:rsid w:val="00997908"/>
    <w:rsid w:val="00997B82"/>
    <w:rsid w:val="009A05A3"/>
    <w:rsid w:val="009A14F9"/>
    <w:rsid w:val="009A248B"/>
    <w:rsid w:val="009A311C"/>
    <w:rsid w:val="009A3A47"/>
    <w:rsid w:val="009A5433"/>
    <w:rsid w:val="009A5448"/>
    <w:rsid w:val="009A55BD"/>
    <w:rsid w:val="009A5BBA"/>
    <w:rsid w:val="009A62B3"/>
    <w:rsid w:val="009A7064"/>
    <w:rsid w:val="009A70D1"/>
    <w:rsid w:val="009A73DB"/>
    <w:rsid w:val="009B0192"/>
    <w:rsid w:val="009B0621"/>
    <w:rsid w:val="009B15DC"/>
    <w:rsid w:val="009B1BE9"/>
    <w:rsid w:val="009B2846"/>
    <w:rsid w:val="009B2D7B"/>
    <w:rsid w:val="009B3776"/>
    <w:rsid w:val="009B578B"/>
    <w:rsid w:val="009C01FA"/>
    <w:rsid w:val="009C0229"/>
    <w:rsid w:val="009C0414"/>
    <w:rsid w:val="009C1472"/>
    <w:rsid w:val="009C26B4"/>
    <w:rsid w:val="009C26F0"/>
    <w:rsid w:val="009C2EAA"/>
    <w:rsid w:val="009C301F"/>
    <w:rsid w:val="009C3EA6"/>
    <w:rsid w:val="009C42A2"/>
    <w:rsid w:val="009C5551"/>
    <w:rsid w:val="009C667D"/>
    <w:rsid w:val="009C69F1"/>
    <w:rsid w:val="009C7F38"/>
    <w:rsid w:val="009D0F56"/>
    <w:rsid w:val="009D15DF"/>
    <w:rsid w:val="009D2526"/>
    <w:rsid w:val="009D32CC"/>
    <w:rsid w:val="009D3E76"/>
    <w:rsid w:val="009D4189"/>
    <w:rsid w:val="009D46C0"/>
    <w:rsid w:val="009D4F73"/>
    <w:rsid w:val="009D56FF"/>
    <w:rsid w:val="009D6902"/>
    <w:rsid w:val="009D6B81"/>
    <w:rsid w:val="009E010B"/>
    <w:rsid w:val="009E16FF"/>
    <w:rsid w:val="009E1791"/>
    <w:rsid w:val="009E22B2"/>
    <w:rsid w:val="009E2FB2"/>
    <w:rsid w:val="009E6E63"/>
    <w:rsid w:val="009E7361"/>
    <w:rsid w:val="009E73E2"/>
    <w:rsid w:val="009F08B6"/>
    <w:rsid w:val="009F0ED6"/>
    <w:rsid w:val="009F0FEC"/>
    <w:rsid w:val="009F14D0"/>
    <w:rsid w:val="009F18C9"/>
    <w:rsid w:val="009F1D43"/>
    <w:rsid w:val="009F2011"/>
    <w:rsid w:val="009F2CB2"/>
    <w:rsid w:val="009F2EFC"/>
    <w:rsid w:val="009F3C9D"/>
    <w:rsid w:val="009F3D14"/>
    <w:rsid w:val="009F6B62"/>
    <w:rsid w:val="009F70C4"/>
    <w:rsid w:val="009F718E"/>
    <w:rsid w:val="00A009D2"/>
    <w:rsid w:val="00A03075"/>
    <w:rsid w:val="00A036F1"/>
    <w:rsid w:val="00A054EF"/>
    <w:rsid w:val="00A05767"/>
    <w:rsid w:val="00A10223"/>
    <w:rsid w:val="00A10491"/>
    <w:rsid w:val="00A113A8"/>
    <w:rsid w:val="00A11F91"/>
    <w:rsid w:val="00A127F8"/>
    <w:rsid w:val="00A12978"/>
    <w:rsid w:val="00A13225"/>
    <w:rsid w:val="00A14A35"/>
    <w:rsid w:val="00A14BB6"/>
    <w:rsid w:val="00A1622D"/>
    <w:rsid w:val="00A16678"/>
    <w:rsid w:val="00A16977"/>
    <w:rsid w:val="00A16E89"/>
    <w:rsid w:val="00A170DC"/>
    <w:rsid w:val="00A20126"/>
    <w:rsid w:val="00A2060B"/>
    <w:rsid w:val="00A2131E"/>
    <w:rsid w:val="00A21D59"/>
    <w:rsid w:val="00A224EA"/>
    <w:rsid w:val="00A2267B"/>
    <w:rsid w:val="00A23B35"/>
    <w:rsid w:val="00A26F41"/>
    <w:rsid w:val="00A275CF"/>
    <w:rsid w:val="00A31359"/>
    <w:rsid w:val="00A31F69"/>
    <w:rsid w:val="00A32E8A"/>
    <w:rsid w:val="00A34005"/>
    <w:rsid w:val="00A34C3B"/>
    <w:rsid w:val="00A35A49"/>
    <w:rsid w:val="00A40BEA"/>
    <w:rsid w:val="00A411E0"/>
    <w:rsid w:val="00A44384"/>
    <w:rsid w:val="00A46814"/>
    <w:rsid w:val="00A46ABC"/>
    <w:rsid w:val="00A47DFD"/>
    <w:rsid w:val="00A51157"/>
    <w:rsid w:val="00A51335"/>
    <w:rsid w:val="00A5162C"/>
    <w:rsid w:val="00A51DCE"/>
    <w:rsid w:val="00A521AF"/>
    <w:rsid w:val="00A52A1E"/>
    <w:rsid w:val="00A5413A"/>
    <w:rsid w:val="00A545C7"/>
    <w:rsid w:val="00A54AB6"/>
    <w:rsid w:val="00A550D5"/>
    <w:rsid w:val="00A55528"/>
    <w:rsid w:val="00A55A6D"/>
    <w:rsid w:val="00A5652D"/>
    <w:rsid w:val="00A608D7"/>
    <w:rsid w:val="00A609BD"/>
    <w:rsid w:val="00A60D29"/>
    <w:rsid w:val="00A629E5"/>
    <w:rsid w:val="00A63096"/>
    <w:rsid w:val="00A632FE"/>
    <w:rsid w:val="00A6349C"/>
    <w:rsid w:val="00A634B3"/>
    <w:rsid w:val="00A65106"/>
    <w:rsid w:val="00A65A30"/>
    <w:rsid w:val="00A6701F"/>
    <w:rsid w:val="00A7082B"/>
    <w:rsid w:val="00A70D75"/>
    <w:rsid w:val="00A7249D"/>
    <w:rsid w:val="00A72616"/>
    <w:rsid w:val="00A73EF0"/>
    <w:rsid w:val="00A742F6"/>
    <w:rsid w:val="00A743B9"/>
    <w:rsid w:val="00A747C1"/>
    <w:rsid w:val="00A76386"/>
    <w:rsid w:val="00A84AE7"/>
    <w:rsid w:val="00A855FA"/>
    <w:rsid w:val="00A86D1D"/>
    <w:rsid w:val="00A93B9E"/>
    <w:rsid w:val="00A942A8"/>
    <w:rsid w:val="00A9684A"/>
    <w:rsid w:val="00AA05EB"/>
    <w:rsid w:val="00AA1D69"/>
    <w:rsid w:val="00AA1EEE"/>
    <w:rsid w:val="00AA45E3"/>
    <w:rsid w:val="00AA48A5"/>
    <w:rsid w:val="00AA559A"/>
    <w:rsid w:val="00AA5A65"/>
    <w:rsid w:val="00AA687E"/>
    <w:rsid w:val="00AA723A"/>
    <w:rsid w:val="00AB141E"/>
    <w:rsid w:val="00AB1F32"/>
    <w:rsid w:val="00AB253F"/>
    <w:rsid w:val="00AB56F8"/>
    <w:rsid w:val="00AC0118"/>
    <w:rsid w:val="00AC05FE"/>
    <w:rsid w:val="00AC0E42"/>
    <w:rsid w:val="00AC1417"/>
    <w:rsid w:val="00AC1D2A"/>
    <w:rsid w:val="00AC1DB4"/>
    <w:rsid w:val="00AC3ACB"/>
    <w:rsid w:val="00AC4140"/>
    <w:rsid w:val="00AC6463"/>
    <w:rsid w:val="00AD0ADF"/>
    <w:rsid w:val="00AD196A"/>
    <w:rsid w:val="00AD2F0D"/>
    <w:rsid w:val="00AD45AE"/>
    <w:rsid w:val="00AD4C4A"/>
    <w:rsid w:val="00AD5385"/>
    <w:rsid w:val="00AD58A0"/>
    <w:rsid w:val="00AD5B09"/>
    <w:rsid w:val="00AD5EB6"/>
    <w:rsid w:val="00AD7FBF"/>
    <w:rsid w:val="00AE10FF"/>
    <w:rsid w:val="00AE1E69"/>
    <w:rsid w:val="00AE2B43"/>
    <w:rsid w:val="00AE2F6F"/>
    <w:rsid w:val="00AE3828"/>
    <w:rsid w:val="00AE3BDD"/>
    <w:rsid w:val="00AE533F"/>
    <w:rsid w:val="00AE5479"/>
    <w:rsid w:val="00AE5BCB"/>
    <w:rsid w:val="00AF495D"/>
    <w:rsid w:val="00AF4FFC"/>
    <w:rsid w:val="00AF5091"/>
    <w:rsid w:val="00AF607D"/>
    <w:rsid w:val="00AF672A"/>
    <w:rsid w:val="00AF746A"/>
    <w:rsid w:val="00B009A4"/>
    <w:rsid w:val="00B00D30"/>
    <w:rsid w:val="00B01BC7"/>
    <w:rsid w:val="00B03687"/>
    <w:rsid w:val="00B04997"/>
    <w:rsid w:val="00B04ECD"/>
    <w:rsid w:val="00B05146"/>
    <w:rsid w:val="00B05835"/>
    <w:rsid w:val="00B06191"/>
    <w:rsid w:val="00B11AEF"/>
    <w:rsid w:val="00B1209F"/>
    <w:rsid w:val="00B136E4"/>
    <w:rsid w:val="00B13E7D"/>
    <w:rsid w:val="00B14D27"/>
    <w:rsid w:val="00B14F99"/>
    <w:rsid w:val="00B17FD7"/>
    <w:rsid w:val="00B207A0"/>
    <w:rsid w:val="00B20843"/>
    <w:rsid w:val="00B21845"/>
    <w:rsid w:val="00B21891"/>
    <w:rsid w:val="00B21EBB"/>
    <w:rsid w:val="00B236C8"/>
    <w:rsid w:val="00B2373A"/>
    <w:rsid w:val="00B24634"/>
    <w:rsid w:val="00B25CFA"/>
    <w:rsid w:val="00B26C33"/>
    <w:rsid w:val="00B275FD"/>
    <w:rsid w:val="00B32E7D"/>
    <w:rsid w:val="00B33909"/>
    <w:rsid w:val="00B3419A"/>
    <w:rsid w:val="00B3513D"/>
    <w:rsid w:val="00B3514C"/>
    <w:rsid w:val="00B36379"/>
    <w:rsid w:val="00B37DAA"/>
    <w:rsid w:val="00B37E0E"/>
    <w:rsid w:val="00B402EA"/>
    <w:rsid w:val="00B41838"/>
    <w:rsid w:val="00B41940"/>
    <w:rsid w:val="00B419E9"/>
    <w:rsid w:val="00B4240D"/>
    <w:rsid w:val="00B42982"/>
    <w:rsid w:val="00B44475"/>
    <w:rsid w:val="00B44AD6"/>
    <w:rsid w:val="00B45317"/>
    <w:rsid w:val="00B4743F"/>
    <w:rsid w:val="00B47982"/>
    <w:rsid w:val="00B50F0A"/>
    <w:rsid w:val="00B5116A"/>
    <w:rsid w:val="00B53860"/>
    <w:rsid w:val="00B544D5"/>
    <w:rsid w:val="00B54C3E"/>
    <w:rsid w:val="00B55241"/>
    <w:rsid w:val="00B56788"/>
    <w:rsid w:val="00B602AB"/>
    <w:rsid w:val="00B605F2"/>
    <w:rsid w:val="00B6084F"/>
    <w:rsid w:val="00B61B4A"/>
    <w:rsid w:val="00B61C3D"/>
    <w:rsid w:val="00B62B55"/>
    <w:rsid w:val="00B63A4B"/>
    <w:rsid w:val="00B649FF"/>
    <w:rsid w:val="00B65272"/>
    <w:rsid w:val="00B652D6"/>
    <w:rsid w:val="00B65672"/>
    <w:rsid w:val="00B66D63"/>
    <w:rsid w:val="00B673B1"/>
    <w:rsid w:val="00B673F9"/>
    <w:rsid w:val="00B675DB"/>
    <w:rsid w:val="00B70195"/>
    <w:rsid w:val="00B7221E"/>
    <w:rsid w:val="00B729E5"/>
    <w:rsid w:val="00B73111"/>
    <w:rsid w:val="00B74288"/>
    <w:rsid w:val="00B761A2"/>
    <w:rsid w:val="00B76FF7"/>
    <w:rsid w:val="00B77A7B"/>
    <w:rsid w:val="00B77D7E"/>
    <w:rsid w:val="00B80775"/>
    <w:rsid w:val="00B8294D"/>
    <w:rsid w:val="00B83BD8"/>
    <w:rsid w:val="00B843E9"/>
    <w:rsid w:val="00B847DC"/>
    <w:rsid w:val="00B8583F"/>
    <w:rsid w:val="00B869B5"/>
    <w:rsid w:val="00B87AE7"/>
    <w:rsid w:val="00B87F77"/>
    <w:rsid w:val="00B911E9"/>
    <w:rsid w:val="00B91DFA"/>
    <w:rsid w:val="00B93741"/>
    <w:rsid w:val="00B94E0E"/>
    <w:rsid w:val="00B95803"/>
    <w:rsid w:val="00B959B4"/>
    <w:rsid w:val="00B962BA"/>
    <w:rsid w:val="00B968E5"/>
    <w:rsid w:val="00B97ABD"/>
    <w:rsid w:val="00B97CF8"/>
    <w:rsid w:val="00BA0F46"/>
    <w:rsid w:val="00BA108B"/>
    <w:rsid w:val="00BA1F7C"/>
    <w:rsid w:val="00BA2499"/>
    <w:rsid w:val="00BA2F8E"/>
    <w:rsid w:val="00BA5ACC"/>
    <w:rsid w:val="00BA6211"/>
    <w:rsid w:val="00BA63DD"/>
    <w:rsid w:val="00BA7883"/>
    <w:rsid w:val="00BA7906"/>
    <w:rsid w:val="00BB4F16"/>
    <w:rsid w:val="00BB5B34"/>
    <w:rsid w:val="00BB6FF2"/>
    <w:rsid w:val="00BB7BCA"/>
    <w:rsid w:val="00BB7FA2"/>
    <w:rsid w:val="00BC3D0E"/>
    <w:rsid w:val="00BC3DBB"/>
    <w:rsid w:val="00BC57EA"/>
    <w:rsid w:val="00BC5CE3"/>
    <w:rsid w:val="00BC6DE4"/>
    <w:rsid w:val="00BC7AE1"/>
    <w:rsid w:val="00BD03B0"/>
    <w:rsid w:val="00BD04D6"/>
    <w:rsid w:val="00BD08A2"/>
    <w:rsid w:val="00BD1DE4"/>
    <w:rsid w:val="00BD22B0"/>
    <w:rsid w:val="00BD3D8E"/>
    <w:rsid w:val="00BD3D94"/>
    <w:rsid w:val="00BD4046"/>
    <w:rsid w:val="00BD53FA"/>
    <w:rsid w:val="00BD5594"/>
    <w:rsid w:val="00BD656B"/>
    <w:rsid w:val="00BD65D2"/>
    <w:rsid w:val="00BD6676"/>
    <w:rsid w:val="00BD6919"/>
    <w:rsid w:val="00BD7681"/>
    <w:rsid w:val="00BE1005"/>
    <w:rsid w:val="00BE1AD6"/>
    <w:rsid w:val="00BE1E44"/>
    <w:rsid w:val="00BE2310"/>
    <w:rsid w:val="00BE2AF0"/>
    <w:rsid w:val="00BE32F8"/>
    <w:rsid w:val="00BE3B3E"/>
    <w:rsid w:val="00BE51F8"/>
    <w:rsid w:val="00BE594A"/>
    <w:rsid w:val="00BE6237"/>
    <w:rsid w:val="00BE6DC9"/>
    <w:rsid w:val="00BE6E45"/>
    <w:rsid w:val="00BF12C7"/>
    <w:rsid w:val="00BF1433"/>
    <w:rsid w:val="00BF1832"/>
    <w:rsid w:val="00BF1CA7"/>
    <w:rsid w:val="00BF1DD9"/>
    <w:rsid w:val="00BF20E1"/>
    <w:rsid w:val="00BF2E43"/>
    <w:rsid w:val="00BF4379"/>
    <w:rsid w:val="00BF51BA"/>
    <w:rsid w:val="00BF5F48"/>
    <w:rsid w:val="00BF6456"/>
    <w:rsid w:val="00BF64C1"/>
    <w:rsid w:val="00C019CB"/>
    <w:rsid w:val="00C01EEE"/>
    <w:rsid w:val="00C03EF4"/>
    <w:rsid w:val="00C05AEC"/>
    <w:rsid w:val="00C05D95"/>
    <w:rsid w:val="00C06CE4"/>
    <w:rsid w:val="00C0722C"/>
    <w:rsid w:val="00C075AD"/>
    <w:rsid w:val="00C10267"/>
    <w:rsid w:val="00C106CE"/>
    <w:rsid w:val="00C11310"/>
    <w:rsid w:val="00C13068"/>
    <w:rsid w:val="00C132AA"/>
    <w:rsid w:val="00C139D4"/>
    <w:rsid w:val="00C14499"/>
    <w:rsid w:val="00C14797"/>
    <w:rsid w:val="00C1658F"/>
    <w:rsid w:val="00C16FD5"/>
    <w:rsid w:val="00C17019"/>
    <w:rsid w:val="00C17365"/>
    <w:rsid w:val="00C21674"/>
    <w:rsid w:val="00C21B1E"/>
    <w:rsid w:val="00C2311E"/>
    <w:rsid w:val="00C24483"/>
    <w:rsid w:val="00C246FF"/>
    <w:rsid w:val="00C2501B"/>
    <w:rsid w:val="00C25C5A"/>
    <w:rsid w:val="00C27205"/>
    <w:rsid w:val="00C27AD6"/>
    <w:rsid w:val="00C316D5"/>
    <w:rsid w:val="00C32161"/>
    <w:rsid w:val="00C32E68"/>
    <w:rsid w:val="00C332C8"/>
    <w:rsid w:val="00C334A6"/>
    <w:rsid w:val="00C337FA"/>
    <w:rsid w:val="00C348FA"/>
    <w:rsid w:val="00C358D3"/>
    <w:rsid w:val="00C35B26"/>
    <w:rsid w:val="00C36294"/>
    <w:rsid w:val="00C36D84"/>
    <w:rsid w:val="00C40204"/>
    <w:rsid w:val="00C405F8"/>
    <w:rsid w:val="00C4094F"/>
    <w:rsid w:val="00C40B3A"/>
    <w:rsid w:val="00C41F25"/>
    <w:rsid w:val="00C42378"/>
    <w:rsid w:val="00C43A62"/>
    <w:rsid w:val="00C44D83"/>
    <w:rsid w:val="00C464A7"/>
    <w:rsid w:val="00C50A52"/>
    <w:rsid w:val="00C51ADF"/>
    <w:rsid w:val="00C529F8"/>
    <w:rsid w:val="00C55446"/>
    <w:rsid w:val="00C5581E"/>
    <w:rsid w:val="00C563B6"/>
    <w:rsid w:val="00C607FE"/>
    <w:rsid w:val="00C61371"/>
    <w:rsid w:val="00C61D4E"/>
    <w:rsid w:val="00C61DBE"/>
    <w:rsid w:val="00C6225B"/>
    <w:rsid w:val="00C623FA"/>
    <w:rsid w:val="00C639FA"/>
    <w:rsid w:val="00C63E04"/>
    <w:rsid w:val="00C64FDC"/>
    <w:rsid w:val="00C65279"/>
    <w:rsid w:val="00C65364"/>
    <w:rsid w:val="00C65411"/>
    <w:rsid w:val="00C6582E"/>
    <w:rsid w:val="00C7045A"/>
    <w:rsid w:val="00C71702"/>
    <w:rsid w:val="00C71A61"/>
    <w:rsid w:val="00C73809"/>
    <w:rsid w:val="00C74054"/>
    <w:rsid w:val="00C7417B"/>
    <w:rsid w:val="00C74251"/>
    <w:rsid w:val="00C74CCE"/>
    <w:rsid w:val="00C755A1"/>
    <w:rsid w:val="00C759B1"/>
    <w:rsid w:val="00C7626B"/>
    <w:rsid w:val="00C76FF6"/>
    <w:rsid w:val="00C8147B"/>
    <w:rsid w:val="00C81BA7"/>
    <w:rsid w:val="00C82673"/>
    <w:rsid w:val="00C82D41"/>
    <w:rsid w:val="00C83543"/>
    <w:rsid w:val="00C839D6"/>
    <w:rsid w:val="00C84421"/>
    <w:rsid w:val="00C844D1"/>
    <w:rsid w:val="00C847DD"/>
    <w:rsid w:val="00C8490F"/>
    <w:rsid w:val="00C869C4"/>
    <w:rsid w:val="00C8700F"/>
    <w:rsid w:val="00C87498"/>
    <w:rsid w:val="00C87E57"/>
    <w:rsid w:val="00C901EB"/>
    <w:rsid w:val="00C90A3E"/>
    <w:rsid w:val="00C90A82"/>
    <w:rsid w:val="00C91673"/>
    <w:rsid w:val="00C91872"/>
    <w:rsid w:val="00C92EC4"/>
    <w:rsid w:val="00C95B43"/>
    <w:rsid w:val="00C97458"/>
    <w:rsid w:val="00C97B45"/>
    <w:rsid w:val="00CA0383"/>
    <w:rsid w:val="00CA1BF8"/>
    <w:rsid w:val="00CA26E7"/>
    <w:rsid w:val="00CA3514"/>
    <w:rsid w:val="00CA4769"/>
    <w:rsid w:val="00CA5373"/>
    <w:rsid w:val="00CA554B"/>
    <w:rsid w:val="00CA690C"/>
    <w:rsid w:val="00CA6F20"/>
    <w:rsid w:val="00CA7AD6"/>
    <w:rsid w:val="00CB026B"/>
    <w:rsid w:val="00CB0271"/>
    <w:rsid w:val="00CB0784"/>
    <w:rsid w:val="00CB0B73"/>
    <w:rsid w:val="00CB110D"/>
    <w:rsid w:val="00CB17E4"/>
    <w:rsid w:val="00CB1F63"/>
    <w:rsid w:val="00CB2726"/>
    <w:rsid w:val="00CB36EC"/>
    <w:rsid w:val="00CB4230"/>
    <w:rsid w:val="00CB4E7E"/>
    <w:rsid w:val="00CB5D8C"/>
    <w:rsid w:val="00CB6A45"/>
    <w:rsid w:val="00CB7255"/>
    <w:rsid w:val="00CC3AD3"/>
    <w:rsid w:val="00CC4047"/>
    <w:rsid w:val="00CC6296"/>
    <w:rsid w:val="00CC6769"/>
    <w:rsid w:val="00CC7727"/>
    <w:rsid w:val="00CC7CA6"/>
    <w:rsid w:val="00CC7FAC"/>
    <w:rsid w:val="00CD0A93"/>
    <w:rsid w:val="00CD1762"/>
    <w:rsid w:val="00CD2A28"/>
    <w:rsid w:val="00CD3222"/>
    <w:rsid w:val="00CD3702"/>
    <w:rsid w:val="00CD3EA7"/>
    <w:rsid w:val="00CD688F"/>
    <w:rsid w:val="00CE0BEB"/>
    <w:rsid w:val="00CE0DA2"/>
    <w:rsid w:val="00CE1CEB"/>
    <w:rsid w:val="00CE3E9B"/>
    <w:rsid w:val="00CE5ABE"/>
    <w:rsid w:val="00CE771B"/>
    <w:rsid w:val="00CF18D7"/>
    <w:rsid w:val="00CF1B93"/>
    <w:rsid w:val="00CF1C35"/>
    <w:rsid w:val="00CF38D9"/>
    <w:rsid w:val="00CF4DBF"/>
    <w:rsid w:val="00CF5356"/>
    <w:rsid w:val="00CF53A5"/>
    <w:rsid w:val="00CF5428"/>
    <w:rsid w:val="00CF64BD"/>
    <w:rsid w:val="00CF75F3"/>
    <w:rsid w:val="00CF77C8"/>
    <w:rsid w:val="00D0247F"/>
    <w:rsid w:val="00D046D4"/>
    <w:rsid w:val="00D07143"/>
    <w:rsid w:val="00D11A3F"/>
    <w:rsid w:val="00D1298D"/>
    <w:rsid w:val="00D158C3"/>
    <w:rsid w:val="00D1599B"/>
    <w:rsid w:val="00D17CCF"/>
    <w:rsid w:val="00D201CF"/>
    <w:rsid w:val="00D22728"/>
    <w:rsid w:val="00D2495C"/>
    <w:rsid w:val="00D2504E"/>
    <w:rsid w:val="00D2508A"/>
    <w:rsid w:val="00D27EB2"/>
    <w:rsid w:val="00D27F3B"/>
    <w:rsid w:val="00D30419"/>
    <w:rsid w:val="00D3047B"/>
    <w:rsid w:val="00D3085B"/>
    <w:rsid w:val="00D30D78"/>
    <w:rsid w:val="00D3113A"/>
    <w:rsid w:val="00D31474"/>
    <w:rsid w:val="00D319B0"/>
    <w:rsid w:val="00D31A16"/>
    <w:rsid w:val="00D34572"/>
    <w:rsid w:val="00D43067"/>
    <w:rsid w:val="00D513BC"/>
    <w:rsid w:val="00D51715"/>
    <w:rsid w:val="00D539FD"/>
    <w:rsid w:val="00D545DB"/>
    <w:rsid w:val="00D55BD7"/>
    <w:rsid w:val="00D57E41"/>
    <w:rsid w:val="00D606B6"/>
    <w:rsid w:val="00D63837"/>
    <w:rsid w:val="00D63E7E"/>
    <w:rsid w:val="00D6409E"/>
    <w:rsid w:val="00D66AC6"/>
    <w:rsid w:val="00D6722A"/>
    <w:rsid w:val="00D7004C"/>
    <w:rsid w:val="00D71126"/>
    <w:rsid w:val="00D71383"/>
    <w:rsid w:val="00D72765"/>
    <w:rsid w:val="00D72EB2"/>
    <w:rsid w:val="00D816BC"/>
    <w:rsid w:val="00D8350E"/>
    <w:rsid w:val="00D839E3"/>
    <w:rsid w:val="00D83A33"/>
    <w:rsid w:val="00D8663A"/>
    <w:rsid w:val="00D86A7E"/>
    <w:rsid w:val="00D9021F"/>
    <w:rsid w:val="00D9192A"/>
    <w:rsid w:val="00D92BCC"/>
    <w:rsid w:val="00D93012"/>
    <w:rsid w:val="00D952C5"/>
    <w:rsid w:val="00D95891"/>
    <w:rsid w:val="00D96AFB"/>
    <w:rsid w:val="00D9705C"/>
    <w:rsid w:val="00D97A1B"/>
    <w:rsid w:val="00D97E9C"/>
    <w:rsid w:val="00DA2811"/>
    <w:rsid w:val="00DA4221"/>
    <w:rsid w:val="00DA50DF"/>
    <w:rsid w:val="00DA534E"/>
    <w:rsid w:val="00DA6AB0"/>
    <w:rsid w:val="00DA70B6"/>
    <w:rsid w:val="00DA71D7"/>
    <w:rsid w:val="00DB14A6"/>
    <w:rsid w:val="00DB17F3"/>
    <w:rsid w:val="00DB2359"/>
    <w:rsid w:val="00DB23CD"/>
    <w:rsid w:val="00DB5279"/>
    <w:rsid w:val="00DB5E64"/>
    <w:rsid w:val="00DB6A85"/>
    <w:rsid w:val="00DB7649"/>
    <w:rsid w:val="00DC02F3"/>
    <w:rsid w:val="00DC0841"/>
    <w:rsid w:val="00DC18FE"/>
    <w:rsid w:val="00DC23E9"/>
    <w:rsid w:val="00DC25B3"/>
    <w:rsid w:val="00DC2AD8"/>
    <w:rsid w:val="00DC4865"/>
    <w:rsid w:val="00DC48C6"/>
    <w:rsid w:val="00DC5983"/>
    <w:rsid w:val="00DC7890"/>
    <w:rsid w:val="00DD0129"/>
    <w:rsid w:val="00DD0852"/>
    <w:rsid w:val="00DD089C"/>
    <w:rsid w:val="00DD11AC"/>
    <w:rsid w:val="00DD45E8"/>
    <w:rsid w:val="00DD52E5"/>
    <w:rsid w:val="00DD5D9C"/>
    <w:rsid w:val="00DD6838"/>
    <w:rsid w:val="00DD7C28"/>
    <w:rsid w:val="00DE2E3B"/>
    <w:rsid w:val="00DE3996"/>
    <w:rsid w:val="00DE4ECE"/>
    <w:rsid w:val="00DE5384"/>
    <w:rsid w:val="00DE6FC7"/>
    <w:rsid w:val="00DE709C"/>
    <w:rsid w:val="00DF00B1"/>
    <w:rsid w:val="00DF0535"/>
    <w:rsid w:val="00DF068F"/>
    <w:rsid w:val="00DF1296"/>
    <w:rsid w:val="00DF1396"/>
    <w:rsid w:val="00DF13F3"/>
    <w:rsid w:val="00DF14A5"/>
    <w:rsid w:val="00DF29B6"/>
    <w:rsid w:val="00DF2E9F"/>
    <w:rsid w:val="00DF307F"/>
    <w:rsid w:val="00DF3F42"/>
    <w:rsid w:val="00E00245"/>
    <w:rsid w:val="00E01303"/>
    <w:rsid w:val="00E0234C"/>
    <w:rsid w:val="00E050FC"/>
    <w:rsid w:val="00E0631E"/>
    <w:rsid w:val="00E07531"/>
    <w:rsid w:val="00E07DF7"/>
    <w:rsid w:val="00E07EEA"/>
    <w:rsid w:val="00E103CF"/>
    <w:rsid w:val="00E105A3"/>
    <w:rsid w:val="00E10DF9"/>
    <w:rsid w:val="00E11135"/>
    <w:rsid w:val="00E117C4"/>
    <w:rsid w:val="00E13925"/>
    <w:rsid w:val="00E13A78"/>
    <w:rsid w:val="00E14A64"/>
    <w:rsid w:val="00E205EE"/>
    <w:rsid w:val="00E20B66"/>
    <w:rsid w:val="00E20DE7"/>
    <w:rsid w:val="00E21683"/>
    <w:rsid w:val="00E21A6A"/>
    <w:rsid w:val="00E21DD6"/>
    <w:rsid w:val="00E2240F"/>
    <w:rsid w:val="00E226C1"/>
    <w:rsid w:val="00E263B9"/>
    <w:rsid w:val="00E26760"/>
    <w:rsid w:val="00E3080E"/>
    <w:rsid w:val="00E30E3D"/>
    <w:rsid w:val="00E32427"/>
    <w:rsid w:val="00E33604"/>
    <w:rsid w:val="00E346E0"/>
    <w:rsid w:val="00E408AD"/>
    <w:rsid w:val="00E42803"/>
    <w:rsid w:val="00E42961"/>
    <w:rsid w:val="00E443E2"/>
    <w:rsid w:val="00E45699"/>
    <w:rsid w:val="00E4701D"/>
    <w:rsid w:val="00E52048"/>
    <w:rsid w:val="00E5272D"/>
    <w:rsid w:val="00E52E13"/>
    <w:rsid w:val="00E52EA3"/>
    <w:rsid w:val="00E54964"/>
    <w:rsid w:val="00E56081"/>
    <w:rsid w:val="00E577AF"/>
    <w:rsid w:val="00E600C5"/>
    <w:rsid w:val="00E60631"/>
    <w:rsid w:val="00E61F7D"/>
    <w:rsid w:val="00E624FB"/>
    <w:rsid w:val="00E62A72"/>
    <w:rsid w:val="00E62BFB"/>
    <w:rsid w:val="00E647F4"/>
    <w:rsid w:val="00E64AEC"/>
    <w:rsid w:val="00E64FB0"/>
    <w:rsid w:val="00E6501C"/>
    <w:rsid w:val="00E662DF"/>
    <w:rsid w:val="00E668B4"/>
    <w:rsid w:val="00E66949"/>
    <w:rsid w:val="00E67202"/>
    <w:rsid w:val="00E7109C"/>
    <w:rsid w:val="00E717C8"/>
    <w:rsid w:val="00E71DB1"/>
    <w:rsid w:val="00E71EA3"/>
    <w:rsid w:val="00E72C87"/>
    <w:rsid w:val="00E732AC"/>
    <w:rsid w:val="00E735C9"/>
    <w:rsid w:val="00E73899"/>
    <w:rsid w:val="00E74B71"/>
    <w:rsid w:val="00E757E2"/>
    <w:rsid w:val="00E75CDF"/>
    <w:rsid w:val="00E760E4"/>
    <w:rsid w:val="00E76353"/>
    <w:rsid w:val="00E80376"/>
    <w:rsid w:val="00E80C15"/>
    <w:rsid w:val="00E80EEF"/>
    <w:rsid w:val="00E82707"/>
    <w:rsid w:val="00E84347"/>
    <w:rsid w:val="00E84C37"/>
    <w:rsid w:val="00E852B6"/>
    <w:rsid w:val="00E855D4"/>
    <w:rsid w:val="00E867E4"/>
    <w:rsid w:val="00E86AD3"/>
    <w:rsid w:val="00E86F99"/>
    <w:rsid w:val="00E87576"/>
    <w:rsid w:val="00E878F5"/>
    <w:rsid w:val="00E87CD1"/>
    <w:rsid w:val="00E90094"/>
    <w:rsid w:val="00E903A8"/>
    <w:rsid w:val="00E91167"/>
    <w:rsid w:val="00E9199F"/>
    <w:rsid w:val="00E92731"/>
    <w:rsid w:val="00E927BE"/>
    <w:rsid w:val="00E92B97"/>
    <w:rsid w:val="00E975E4"/>
    <w:rsid w:val="00EA0BDA"/>
    <w:rsid w:val="00EA10C7"/>
    <w:rsid w:val="00EA224E"/>
    <w:rsid w:val="00EA29BE"/>
    <w:rsid w:val="00EA2AA2"/>
    <w:rsid w:val="00EA3305"/>
    <w:rsid w:val="00EA4389"/>
    <w:rsid w:val="00EA63FE"/>
    <w:rsid w:val="00EA7DD7"/>
    <w:rsid w:val="00EB031A"/>
    <w:rsid w:val="00EB1686"/>
    <w:rsid w:val="00EB1705"/>
    <w:rsid w:val="00EB2A3A"/>
    <w:rsid w:val="00EB338B"/>
    <w:rsid w:val="00EB354F"/>
    <w:rsid w:val="00EB3B1A"/>
    <w:rsid w:val="00EB416F"/>
    <w:rsid w:val="00EB4E2F"/>
    <w:rsid w:val="00EB61E5"/>
    <w:rsid w:val="00EB6574"/>
    <w:rsid w:val="00EB721B"/>
    <w:rsid w:val="00EB72D4"/>
    <w:rsid w:val="00EC1F36"/>
    <w:rsid w:val="00EC477F"/>
    <w:rsid w:val="00EC5377"/>
    <w:rsid w:val="00EC77A8"/>
    <w:rsid w:val="00EC7D0F"/>
    <w:rsid w:val="00ED03E3"/>
    <w:rsid w:val="00ED18EA"/>
    <w:rsid w:val="00ED2BD7"/>
    <w:rsid w:val="00ED3A6D"/>
    <w:rsid w:val="00ED4B16"/>
    <w:rsid w:val="00ED5873"/>
    <w:rsid w:val="00ED6710"/>
    <w:rsid w:val="00EE3229"/>
    <w:rsid w:val="00EE34FA"/>
    <w:rsid w:val="00EE782D"/>
    <w:rsid w:val="00EE7DC2"/>
    <w:rsid w:val="00EF4BA3"/>
    <w:rsid w:val="00EF5DF0"/>
    <w:rsid w:val="00EF6691"/>
    <w:rsid w:val="00EF6B61"/>
    <w:rsid w:val="00EF703C"/>
    <w:rsid w:val="00EF70E7"/>
    <w:rsid w:val="00EF7296"/>
    <w:rsid w:val="00EF7E26"/>
    <w:rsid w:val="00F03283"/>
    <w:rsid w:val="00F03314"/>
    <w:rsid w:val="00F05D17"/>
    <w:rsid w:val="00F105D6"/>
    <w:rsid w:val="00F12907"/>
    <w:rsid w:val="00F1322D"/>
    <w:rsid w:val="00F14F8D"/>
    <w:rsid w:val="00F1532B"/>
    <w:rsid w:val="00F158B4"/>
    <w:rsid w:val="00F15D5D"/>
    <w:rsid w:val="00F167F1"/>
    <w:rsid w:val="00F206B8"/>
    <w:rsid w:val="00F209D0"/>
    <w:rsid w:val="00F2164E"/>
    <w:rsid w:val="00F22BF9"/>
    <w:rsid w:val="00F2424F"/>
    <w:rsid w:val="00F24335"/>
    <w:rsid w:val="00F243DB"/>
    <w:rsid w:val="00F244AC"/>
    <w:rsid w:val="00F25339"/>
    <w:rsid w:val="00F254D1"/>
    <w:rsid w:val="00F26C71"/>
    <w:rsid w:val="00F30BF4"/>
    <w:rsid w:val="00F3143B"/>
    <w:rsid w:val="00F3148C"/>
    <w:rsid w:val="00F318A1"/>
    <w:rsid w:val="00F32C24"/>
    <w:rsid w:val="00F33CBC"/>
    <w:rsid w:val="00F353E5"/>
    <w:rsid w:val="00F36282"/>
    <w:rsid w:val="00F367FF"/>
    <w:rsid w:val="00F37F22"/>
    <w:rsid w:val="00F403C7"/>
    <w:rsid w:val="00F4090E"/>
    <w:rsid w:val="00F40CEE"/>
    <w:rsid w:val="00F42AAF"/>
    <w:rsid w:val="00F4317E"/>
    <w:rsid w:val="00F43C25"/>
    <w:rsid w:val="00F43F73"/>
    <w:rsid w:val="00F45C56"/>
    <w:rsid w:val="00F45E9C"/>
    <w:rsid w:val="00F46405"/>
    <w:rsid w:val="00F46CB0"/>
    <w:rsid w:val="00F51A92"/>
    <w:rsid w:val="00F51D77"/>
    <w:rsid w:val="00F52999"/>
    <w:rsid w:val="00F54491"/>
    <w:rsid w:val="00F545C8"/>
    <w:rsid w:val="00F54705"/>
    <w:rsid w:val="00F54FDA"/>
    <w:rsid w:val="00F56192"/>
    <w:rsid w:val="00F56237"/>
    <w:rsid w:val="00F5644D"/>
    <w:rsid w:val="00F566FB"/>
    <w:rsid w:val="00F612C6"/>
    <w:rsid w:val="00F631D3"/>
    <w:rsid w:val="00F6633E"/>
    <w:rsid w:val="00F6655F"/>
    <w:rsid w:val="00F666D3"/>
    <w:rsid w:val="00F703E2"/>
    <w:rsid w:val="00F70E7A"/>
    <w:rsid w:val="00F71850"/>
    <w:rsid w:val="00F71C48"/>
    <w:rsid w:val="00F72095"/>
    <w:rsid w:val="00F7431F"/>
    <w:rsid w:val="00F76E2D"/>
    <w:rsid w:val="00F80391"/>
    <w:rsid w:val="00F807AC"/>
    <w:rsid w:val="00F80EE7"/>
    <w:rsid w:val="00F819B4"/>
    <w:rsid w:val="00F82217"/>
    <w:rsid w:val="00F82338"/>
    <w:rsid w:val="00F8267E"/>
    <w:rsid w:val="00F83C44"/>
    <w:rsid w:val="00F853F4"/>
    <w:rsid w:val="00F85A30"/>
    <w:rsid w:val="00F85F0F"/>
    <w:rsid w:val="00F905B5"/>
    <w:rsid w:val="00F90CF2"/>
    <w:rsid w:val="00F93811"/>
    <w:rsid w:val="00F93EB5"/>
    <w:rsid w:val="00F94298"/>
    <w:rsid w:val="00F95C65"/>
    <w:rsid w:val="00F95CE8"/>
    <w:rsid w:val="00F96C68"/>
    <w:rsid w:val="00F97400"/>
    <w:rsid w:val="00FA1DDA"/>
    <w:rsid w:val="00FA1E09"/>
    <w:rsid w:val="00FA2DC5"/>
    <w:rsid w:val="00FA2ECE"/>
    <w:rsid w:val="00FA4620"/>
    <w:rsid w:val="00FA6EFC"/>
    <w:rsid w:val="00FA7194"/>
    <w:rsid w:val="00FA7CB3"/>
    <w:rsid w:val="00FB1A32"/>
    <w:rsid w:val="00FB2AAE"/>
    <w:rsid w:val="00FB3932"/>
    <w:rsid w:val="00FB3B19"/>
    <w:rsid w:val="00FB429B"/>
    <w:rsid w:val="00FB42FB"/>
    <w:rsid w:val="00FB5B2A"/>
    <w:rsid w:val="00FB605F"/>
    <w:rsid w:val="00FB76BB"/>
    <w:rsid w:val="00FC0494"/>
    <w:rsid w:val="00FC1840"/>
    <w:rsid w:val="00FC1889"/>
    <w:rsid w:val="00FC1F62"/>
    <w:rsid w:val="00FC28BA"/>
    <w:rsid w:val="00FC31FC"/>
    <w:rsid w:val="00FC4410"/>
    <w:rsid w:val="00FC5148"/>
    <w:rsid w:val="00FC6284"/>
    <w:rsid w:val="00FD1372"/>
    <w:rsid w:val="00FD158A"/>
    <w:rsid w:val="00FD2209"/>
    <w:rsid w:val="00FD5F2F"/>
    <w:rsid w:val="00FD65B7"/>
    <w:rsid w:val="00FD7BEB"/>
    <w:rsid w:val="00FE1A3B"/>
    <w:rsid w:val="00FE2789"/>
    <w:rsid w:val="00FE30EC"/>
    <w:rsid w:val="00FE5DED"/>
    <w:rsid w:val="00FE6ACD"/>
    <w:rsid w:val="00FE6AF2"/>
    <w:rsid w:val="00FE776F"/>
    <w:rsid w:val="00FF267F"/>
    <w:rsid w:val="00FF306D"/>
    <w:rsid w:val="00FF33FC"/>
    <w:rsid w:val="00FF4E6D"/>
    <w:rsid w:val="00FF4EDA"/>
    <w:rsid w:val="00FF680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EC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37C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normal">
    <w:name w:val="x_msonormal"/>
    <w:basedOn w:val="Normal"/>
    <w:rsid w:val="00940F5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FootnoteText">
    <w:name w:val="footnote text"/>
    <w:basedOn w:val="Normal"/>
    <w:link w:val="FootnoteTextChar"/>
    <w:uiPriority w:val="99"/>
    <w:unhideWhenUsed/>
    <w:rsid w:val="00940F56"/>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940F56"/>
    <w:rPr>
      <w:kern w:val="0"/>
      <w:sz w:val="20"/>
      <w:szCs w:val="20"/>
      <w14:ligatures w14:val="none"/>
    </w:rPr>
  </w:style>
  <w:style w:type="character" w:styleId="FootnoteReference">
    <w:name w:val="footnote reference"/>
    <w:basedOn w:val="DefaultParagraphFont"/>
    <w:unhideWhenUsed/>
    <w:rsid w:val="00940F56"/>
    <w:rPr>
      <w:vertAlign w:val="superscript"/>
    </w:rPr>
  </w:style>
  <w:style w:type="character" w:styleId="CommentReference">
    <w:name w:val="annotation reference"/>
    <w:basedOn w:val="DefaultParagraphFont"/>
    <w:uiPriority w:val="99"/>
    <w:semiHidden/>
    <w:unhideWhenUsed/>
    <w:rsid w:val="009226BA"/>
    <w:rPr>
      <w:sz w:val="16"/>
      <w:szCs w:val="16"/>
    </w:rPr>
  </w:style>
  <w:style w:type="paragraph" w:styleId="CommentText">
    <w:name w:val="annotation text"/>
    <w:basedOn w:val="Normal"/>
    <w:link w:val="CommentTextChar"/>
    <w:uiPriority w:val="99"/>
    <w:unhideWhenUsed/>
    <w:rsid w:val="009226BA"/>
    <w:pPr>
      <w:spacing w:line="240" w:lineRule="auto"/>
    </w:pPr>
    <w:rPr>
      <w:sz w:val="20"/>
      <w:szCs w:val="20"/>
    </w:rPr>
  </w:style>
  <w:style w:type="character" w:customStyle="1" w:styleId="CommentTextChar">
    <w:name w:val="Comment Text Char"/>
    <w:basedOn w:val="DefaultParagraphFont"/>
    <w:link w:val="CommentText"/>
    <w:uiPriority w:val="99"/>
    <w:rsid w:val="009226BA"/>
    <w:rPr>
      <w:sz w:val="20"/>
      <w:szCs w:val="20"/>
    </w:rPr>
  </w:style>
  <w:style w:type="paragraph" w:styleId="CommentSubject">
    <w:name w:val="annotation subject"/>
    <w:basedOn w:val="CommentText"/>
    <w:next w:val="CommentText"/>
    <w:link w:val="CommentSubjectChar"/>
    <w:uiPriority w:val="99"/>
    <w:semiHidden/>
    <w:unhideWhenUsed/>
    <w:rsid w:val="009226BA"/>
    <w:rPr>
      <w:b/>
      <w:bCs/>
    </w:rPr>
  </w:style>
  <w:style w:type="character" w:customStyle="1" w:styleId="CommentSubjectChar">
    <w:name w:val="Comment Subject Char"/>
    <w:basedOn w:val="CommentTextChar"/>
    <w:link w:val="CommentSubject"/>
    <w:uiPriority w:val="99"/>
    <w:semiHidden/>
    <w:rsid w:val="009226BA"/>
    <w:rPr>
      <w:b/>
      <w:bCs/>
      <w:sz w:val="20"/>
      <w:szCs w:val="20"/>
    </w:rPr>
  </w:style>
  <w:style w:type="paragraph" w:styleId="Header">
    <w:name w:val="header"/>
    <w:basedOn w:val="Normal"/>
    <w:link w:val="HeaderChar"/>
    <w:uiPriority w:val="99"/>
    <w:unhideWhenUsed/>
    <w:rsid w:val="00110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C2C"/>
  </w:style>
  <w:style w:type="paragraph" w:styleId="Footer">
    <w:name w:val="footer"/>
    <w:basedOn w:val="Normal"/>
    <w:link w:val="FooterChar"/>
    <w:uiPriority w:val="99"/>
    <w:unhideWhenUsed/>
    <w:rsid w:val="00110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C2C"/>
  </w:style>
  <w:style w:type="paragraph" w:styleId="ListParagraph">
    <w:name w:val="List Paragraph"/>
    <w:basedOn w:val="Normal"/>
    <w:uiPriority w:val="34"/>
    <w:qFormat/>
    <w:rsid w:val="00352D7D"/>
    <w:pPr>
      <w:ind w:left="720"/>
      <w:contextualSpacing/>
    </w:pPr>
  </w:style>
  <w:style w:type="character" w:styleId="Hyperlink">
    <w:name w:val="Hyperlink"/>
    <w:basedOn w:val="DefaultParagraphFont"/>
    <w:uiPriority w:val="99"/>
    <w:unhideWhenUsed/>
    <w:rsid w:val="00423A48"/>
    <w:rPr>
      <w:color w:val="0000FF"/>
      <w:u w:val="single"/>
    </w:rPr>
  </w:style>
  <w:style w:type="character" w:customStyle="1" w:styleId="cf01">
    <w:name w:val="cf01"/>
    <w:basedOn w:val="DefaultParagraphFont"/>
    <w:rsid w:val="00E90094"/>
    <w:rPr>
      <w:rFonts w:ascii="Segoe UI" w:hAnsi="Segoe UI" w:cs="Segoe UI" w:hint="default"/>
      <w:color w:val="222222"/>
      <w:sz w:val="18"/>
      <w:szCs w:val="18"/>
      <w:shd w:val="clear" w:color="auto" w:fill="FFFFFF"/>
    </w:rPr>
  </w:style>
  <w:style w:type="character" w:customStyle="1" w:styleId="cf11">
    <w:name w:val="cf11"/>
    <w:basedOn w:val="DefaultParagraphFont"/>
    <w:rsid w:val="00E90094"/>
    <w:rPr>
      <w:rFonts w:ascii="Segoe UI" w:hAnsi="Segoe UI" w:cs="Segoe UI" w:hint="default"/>
      <w:i/>
      <w:iCs/>
      <w:color w:val="222222"/>
      <w:sz w:val="18"/>
      <w:szCs w:val="18"/>
      <w:shd w:val="clear" w:color="auto" w:fill="FFFFFF"/>
    </w:rPr>
  </w:style>
  <w:style w:type="character" w:customStyle="1" w:styleId="cf21">
    <w:name w:val="cf21"/>
    <w:basedOn w:val="DefaultParagraphFont"/>
    <w:rsid w:val="00E90094"/>
    <w:rPr>
      <w:rFonts w:ascii="Segoe UI" w:hAnsi="Segoe UI" w:cs="Segoe UI" w:hint="default"/>
      <w:sz w:val="18"/>
      <w:szCs w:val="18"/>
    </w:rPr>
  </w:style>
  <w:style w:type="paragraph" w:styleId="Revision">
    <w:name w:val="Revision"/>
    <w:hidden/>
    <w:uiPriority w:val="99"/>
    <w:semiHidden/>
    <w:rsid w:val="00EA63FE"/>
    <w:pPr>
      <w:spacing w:after="0" w:line="240" w:lineRule="auto"/>
    </w:pPr>
  </w:style>
  <w:style w:type="character" w:styleId="UnresolvedMention">
    <w:name w:val="Unresolved Mention"/>
    <w:basedOn w:val="DefaultParagraphFont"/>
    <w:uiPriority w:val="99"/>
    <w:semiHidden/>
    <w:unhideWhenUsed/>
    <w:rsid w:val="00DF068F"/>
    <w:rPr>
      <w:color w:val="605E5C"/>
      <w:shd w:val="clear" w:color="auto" w:fill="E1DFDD"/>
    </w:rPr>
  </w:style>
  <w:style w:type="character" w:styleId="FollowedHyperlink">
    <w:name w:val="FollowedHyperlink"/>
    <w:basedOn w:val="DefaultParagraphFont"/>
    <w:uiPriority w:val="99"/>
    <w:semiHidden/>
    <w:unhideWhenUsed/>
    <w:rsid w:val="001B6A78"/>
    <w:rPr>
      <w:color w:val="954F72" w:themeColor="followedHyperlink"/>
      <w:u w:val="single"/>
    </w:rPr>
  </w:style>
  <w:style w:type="table" w:styleId="TableGrid">
    <w:name w:val="Table Grid"/>
    <w:basedOn w:val="TableNormal"/>
    <w:uiPriority w:val="39"/>
    <w:rsid w:val="00550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62300">
      <w:bodyDiv w:val="1"/>
      <w:marLeft w:val="0"/>
      <w:marRight w:val="0"/>
      <w:marTop w:val="0"/>
      <w:marBottom w:val="0"/>
      <w:divBdr>
        <w:top w:val="none" w:sz="0" w:space="0" w:color="auto"/>
        <w:left w:val="none" w:sz="0" w:space="0" w:color="auto"/>
        <w:bottom w:val="none" w:sz="0" w:space="0" w:color="auto"/>
        <w:right w:val="none" w:sz="0" w:space="0" w:color="auto"/>
      </w:divBdr>
    </w:div>
    <w:div w:id="59864108">
      <w:bodyDiv w:val="1"/>
      <w:marLeft w:val="0"/>
      <w:marRight w:val="0"/>
      <w:marTop w:val="0"/>
      <w:marBottom w:val="0"/>
      <w:divBdr>
        <w:top w:val="none" w:sz="0" w:space="0" w:color="auto"/>
        <w:left w:val="none" w:sz="0" w:space="0" w:color="auto"/>
        <w:bottom w:val="none" w:sz="0" w:space="0" w:color="auto"/>
        <w:right w:val="none" w:sz="0" w:space="0" w:color="auto"/>
      </w:divBdr>
    </w:div>
    <w:div w:id="143662821">
      <w:bodyDiv w:val="1"/>
      <w:marLeft w:val="0"/>
      <w:marRight w:val="0"/>
      <w:marTop w:val="0"/>
      <w:marBottom w:val="0"/>
      <w:divBdr>
        <w:top w:val="none" w:sz="0" w:space="0" w:color="auto"/>
        <w:left w:val="none" w:sz="0" w:space="0" w:color="auto"/>
        <w:bottom w:val="none" w:sz="0" w:space="0" w:color="auto"/>
        <w:right w:val="none" w:sz="0" w:space="0" w:color="auto"/>
      </w:divBdr>
    </w:div>
    <w:div w:id="169609518">
      <w:bodyDiv w:val="1"/>
      <w:marLeft w:val="0"/>
      <w:marRight w:val="0"/>
      <w:marTop w:val="0"/>
      <w:marBottom w:val="0"/>
      <w:divBdr>
        <w:top w:val="none" w:sz="0" w:space="0" w:color="auto"/>
        <w:left w:val="none" w:sz="0" w:space="0" w:color="auto"/>
        <w:bottom w:val="none" w:sz="0" w:space="0" w:color="auto"/>
        <w:right w:val="none" w:sz="0" w:space="0" w:color="auto"/>
      </w:divBdr>
    </w:div>
    <w:div w:id="292174793">
      <w:bodyDiv w:val="1"/>
      <w:marLeft w:val="0"/>
      <w:marRight w:val="0"/>
      <w:marTop w:val="0"/>
      <w:marBottom w:val="0"/>
      <w:divBdr>
        <w:top w:val="none" w:sz="0" w:space="0" w:color="auto"/>
        <w:left w:val="none" w:sz="0" w:space="0" w:color="auto"/>
        <w:bottom w:val="none" w:sz="0" w:space="0" w:color="auto"/>
        <w:right w:val="none" w:sz="0" w:space="0" w:color="auto"/>
      </w:divBdr>
    </w:div>
    <w:div w:id="368071185">
      <w:bodyDiv w:val="1"/>
      <w:marLeft w:val="0"/>
      <w:marRight w:val="0"/>
      <w:marTop w:val="0"/>
      <w:marBottom w:val="0"/>
      <w:divBdr>
        <w:top w:val="none" w:sz="0" w:space="0" w:color="auto"/>
        <w:left w:val="none" w:sz="0" w:space="0" w:color="auto"/>
        <w:bottom w:val="none" w:sz="0" w:space="0" w:color="auto"/>
        <w:right w:val="none" w:sz="0" w:space="0" w:color="auto"/>
      </w:divBdr>
    </w:div>
    <w:div w:id="401877530">
      <w:bodyDiv w:val="1"/>
      <w:marLeft w:val="0"/>
      <w:marRight w:val="0"/>
      <w:marTop w:val="0"/>
      <w:marBottom w:val="0"/>
      <w:divBdr>
        <w:top w:val="none" w:sz="0" w:space="0" w:color="auto"/>
        <w:left w:val="none" w:sz="0" w:space="0" w:color="auto"/>
        <w:bottom w:val="none" w:sz="0" w:space="0" w:color="auto"/>
        <w:right w:val="none" w:sz="0" w:space="0" w:color="auto"/>
      </w:divBdr>
    </w:div>
    <w:div w:id="408624923">
      <w:bodyDiv w:val="1"/>
      <w:marLeft w:val="0"/>
      <w:marRight w:val="0"/>
      <w:marTop w:val="0"/>
      <w:marBottom w:val="0"/>
      <w:divBdr>
        <w:top w:val="none" w:sz="0" w:space="0" w:color="auto"/>
        <w:left w:val="none" w:sz="0" w:space="0" w:color="auto"/>
        <w:bottom w:val="none" w:sz="0" w:space="0" w:color="auto"/>
        <w:right w:val="none" w:sz="0" w:space="0" w:color="auto"/>
      </w:divBdr>
    </w:div>
    <w:div w:id="424424757">
      <w:bodyDiv w:val="1"/>
      <w:marLeft w:val="0"/>
      <w:marRight w:val="0"/>
      <w:marTop w:val="0"/>
      <w:marBottom w:val="0"/>
      <w:divBdr>
        <w:top w:val="none" w:sz="0" w:space="0" w:color="auto"/>
        <w:left w:val="none" w:sz="0" w:space="0" w:color="auto"/>
        <w:bottom w:val="none" w:sz="0" w:space="0" w:color="auto"/>
        <w:right w:val="none" w:sz="0" w:space="0" w:color="auto"/>
      </w:divBdr>
    </w:div>
    <w:div w:id="451560639">
      <w:bodyDiv w:val="1"/>
      <w:marLeft w:val="0"/>
      <w:marRight w:val="0"/>
      <w:marTop w:val="0"/>
      <w:marBottom w:val="0"/>
      <w:divBdr>
        <w:top w:val="none" w:sz="0" w:space="0" w:color="auto"/>
        <w:left w:val="none" w:sz="0" w:space="0" w:color="auto"/>
        <w:bottom w:val="none" w:sz="0" w:space="0" w:color="auto"/>
        <w:right w:val="none" w:sz="0" w:space="0" w:color="auto"/>
      </w:divBdr>
    </w:div>
    <w:div w:id="470948956">
      <w:bodyDiv w:val="1"/>
      <w:marLeft w:val="0"/>
      <w:marRight w:val="0"/>
      <w:marTop w:val="0"/>
      <w:marBottom w:val="0"/>
      <w:divBdr>
        <w:top w:val="none" w:sz="0" w:space="0" w:color="auto"/>
        <w:left w:val="none" w:sz="0" w:space="0" w:color="auto"/>
        <w:bottom w:val="none" w:sz="0" w:space="0" w:color="auto"/>
        <w:right w:val="none" w:sz="0" w:space="0" w:color="auto"/>
      </w:divBdr>
    </w:div>
    <w:div w:id="477117451">
      <w:bodyDiv w:val="1"/>
      <w:marLeft w:val="0"/>
      <w:marRight w:val="0"/>
      <w:marTop w:val="0"/>
      <w:marBottom w:val="0"/>
      <w:divBdr>
        <w:top w:val="none" w:sz="0" w:space="0" w:color="auto"/>
        <w:left w:val="none" w:sz="0" w:space="0" w:color="auto"/>
        <w:bottom w:val="none" w:sz="0" w:space="0" w:color="auto"/>
        <w:right w:val="none" w:sz="0" w:space="0" w:color="auto"/>
      </w:divBdr>
    </w:div>
    <w:div w:id="547448163">
      <w:bodyDiv w:val="1"/>
      <w:marLeft w:val="0"/>
      <w:marRight w:val="0"/>
      <w:marTop w:val="0"/>
      <w:marBottom w:val="0"/>
      <w:divBdr>
        <w:top w:val="none" w:sz="0" w:space="0" w:color="auto"/>
        <w:left w:val="none" w:sz="0" w:space="0" w:color="auto"/>
        <w:bottom w:val="none" w:sz="0" w:space="0" w:color="auto"/>
        <w:right w:val="none" w:sz="0" w:space="0" w:color="auto"/>
      </w:divBdr>
    </w:div>
    <w:div w:id="576020207">
      <w:bodyDiv w:val="1"/>
      <w:marLeft w:val="0"/>
      <w:marRight w:val="0"/>
      <w:marTop w:val="0"/>
      <w:marBottom w:val="0"/>
      <w:divBdr>
        <w:top w:val="none" w:sz="0" w:space="0" w:color="auto"/>
        <w:left w:val="none" w:sz="0" w:space="0" w:color="auto"/>
        <w:bottom w:val="none" w:sz="0" w:space="0" w:color="auto"/>
        <w:right w:val="none" w:sz="0" w:space="0" w:color="auto"/>
      </w:divBdr>
    </w:div>
    <w:div w:id="596716310">
      <w:bodyDiv w:val="1"/>
      <w:marLeft w:val="0"/>
      <w:marRight w:val="0"/>
      <w:marTop w:val="0"/>
      <w:marBottom w:val="0"/>
      <w:divBdr>
        <w:top w:val="none" w:sz="0" w:space="0" w:color="auto"/>
        <w:left w:val="none" w:sz="0" w:space="0" w:color="auto"/>
        <w:bottom w:val="none" w:sz="0" w:space="0" w:color="auto"/>
        <w:right w:val="none" w:sz="0" w:space="0" w:color="auto"/>
      </w:divBdr>
    </w:div>
    <w:div w:id="600800086">
      <w:bodyDiv w:val="1"/>
      <w:marLeft w:val="0"/>
      <w:marRight w:val="0"/>
      <w:marTop w:val="0"/>
      <w:marBottom w:val="0"/>
      <w:divBdr>
        <w:top w:val="none" w:sz="0" w:space="0" w:color="auto"/>
        <w:left w:val="none" w:sz="0" w:space="0" w:color="auto"/>
        <w:bottom w:val="none" w:sz="0" w:space="0" w:color="auto"/>
        <w:right w:val="none" w:sz="0" w:space="0" w:color="auto"/>
      </w:divBdr>
      <w:divsChild>
        <w:div w:id="1843156912">
          <w:marLeft w:val="0"/>
          <w:marRight w:val="0"/>
          <w:marTop w:val="240"/>
          <w:marBottom w:val="240"/>
          <w:divBdr>
            <w:top w:val="none" w:sz="0" w:space="0" w:color="auto"/>
            <w:left w:val="none" w:sz="0" w:space="0" w:color="auto"/>
            <w:bottom w:val="none" w:sz="0" w:space="0" w:color="auto"/>
            <w:right w:val="none" w:sz="0" w:space="0" w:color="auto"/>
          </w:divBdr>
        </w:div>
        <w:div w:id="353461906">
          <w:marLeft w:val="0"/>
          <w:marRight w:val="0"/>
          <w:marTop w:val="240"/>
          <w:marBottom w:val="240"/>
          <w:divBdr>
            <w:top w:val="none" w:sz="0" w:space="0" w:color="auto"/>
            <w:left w:val="none" w:sz="0" w:space="0" w:color="auto"/>
            <w:bottom w:val="none" w:sz="0" w:space="0" w:color="auto"/>
            <w:right w:val="none" w:sz="0" w:space="0" w:color="auto"/>
          </w:divBdr>
        </w:div>
        <w:div w:id="61561748">
          <w:marLeft w:val="0"/>
          <w:marRight w:val="0"/>
          <w:marTop w:val="240"/>
          <w:marBottom w:val="240"/>
          <w:divBdr>
            <w:top w:val="none" w:sz="0" w:space="0" w:color="auto"/>
            <w:left w:val="none" w:sz="0" w:space="0" w:color="auto"/>
            <w:bottom w:val="none" w:sz="0" w:space="0" w:color="auto"/>
            <w:right w:val="none" w:sz="0" w:space="0" w:color="auto"/>
          </w:divBdr>
        </w:div>
      </w:divsChild>
    </w:div>
    <w:div w:id="653417360">
      <w:bodyDiv w:val="1"/>
      <w:marLeft w:val="0"/>
      <w:marRight w:val="0"/>
      <w:marTop w:val="0"/>
      <w:marBottom w:val="0"/>
      <w:divBdr>
        <w:top w:val="none" w:sz="0" w:space="0" w:color="auto"/>
        <w:left w:val="none" w:sz="0" w:space="0" w:color="auto"/>
        <w:bottom w:val="none" w:sz="0" w:space="0" w:color="auto"/>
        <w:right w:val="none" w:sz="0" w:space="0" w:color="auto"/>
      </w:divBdr>
    </w:div>
    <w:div w:id="717702622">
      <w:bodyDiv w:val="1"/>
      <w:marLeft w:val="0"/>
      <w:marRight w:val="0"/>
      <w:marTop w:val="0"/>
      <w:marBottom w:val="0"/>
      <w:divBdr>
        <w:top w:val="none" w:sz="0" w:space="0" w:color="auto"/>
        <w:left w:val="none" w:sz="0" w:space="0" w:color="auto"/>
        <w:bottom w:val="none" w:sz="0" w:space="0" w:color="auto"/>
        <w:right w:val="none" w:sz="0" w:space="0" w:color="auto"/>
      </w:divBdr>
    </w:div>
    <w:div w:id="775753525">
      <w:bodyDiv w:val="1"/>
      <w:marLeft w:val="0"/>
      <w:marRight w:val="0"/>
      <w:marTop w:val="0"/>
      <w:marBottom w:val="0"/>
      <w:divBdr>
        <w:top w:val="none" w:sz="0" w:space="0" w:color="auto"/>
        <w:left w:val="none" w:sz="0" w:space="0" w:color="auto"/>
        <w:bottom w:val="none" w:sz="0" w:space="0" w:color="auto"/>
        <w:right w:val="none" w:sz="0" w:space="0" w:color="auto"/>
      </w:divBdr>
    </w:div>
    <w:div w:id="780341209">
      <w:bodyDiv w:val="1"/>
      <w:marLeft w:val="0"/>
      <w:marRight w:val="0"/>
      <w:marTop w:val="0"/>
      <w:marBottom w:val="0"/>
      <w:divBdr>
        <w:top w:val="none" w:sz="0" w:space="0" w:color="auto"/>
        <w:left w:val="none" w:sz="0" w:space="0" w:color="auto"/>
        <w:bottom w:val="none" w:sz="0" w:space="0" w:color="auto"/>
        <w:right w:val="none" w:sz="0" w:space="0" w:color="auto"/>
      </w:divBdr>
    </w:div>
    <w:div w:id="811944995">
      <w:bodyDiv w:val="1"/>
      <w:marLeft w:val="0"/>
      <w:marRight w:val="0"/>
      <w:marTop w:val="0"/>
      <w:marBottom w:val="0"/>
      <w:divBdr>
        <w:top w:val="none" w:sz="0" w:space="0" w:color="auto"/>
        <w:left w:val="none" w:sz="0" w:space="0" w:color="auto"/>
        <w:bottom w:val="none" w:sz="0" w:space="0" w:color="auto"/>
        <w:right w:val="none" w:sz="0" w:space="0" w:color="auto"/>
      </w:divBdr>
    </w:div>
    <w:div w:id="831914051">
      <w:bodyDiv w:val="1"/>
      <w:marLeft w:val="0"/>
      <w:marRight w:val="0"/>
      <w:marTop w:val="0"/>
      <w:marBottom w:val="0"/>
      <w:divBdr>
        <w:top w:val="none" w:sz="0" w:space="0" w:color="auto"/>
        <w:left w:val="none" w:sz="0" w:space="0" w:color="auto"/>
        <w:bottom w:val="none" w:sz="0" w:space="0" w:color="auto"/>
        <w:right w:val="none" w:sz="0" w:space="0" w:color="auto"/>
      </w:divBdr>
    </w:div>
    <w:div w:id="836118261">
      <w:bodyDiv w:val="1"/>
      <w:marLeft w:val="0"/>
      <w:marRight w:val="0"/>
      <w:marTop w:val="0"/>
      <w:marBottom w:val="0"/>
      <w:divBdr>
        <w:top w:val="none" w:sz="0" w:space="0" w:color="auto"/>
        <w:left w:val="none" w:sz="0" w:space="0" w:color="auto"/>
        <w:bottom w:val="none" w:sz="0" w:space="0" w:color="auto"/>
        <w:right w:val="none" w:sz="0" w:space="0" w:color="auto"/>
      </w:divBdr>
    </w:div>
    <w:div w:id="945619610">
      <w:bodyDiv w:val="1"/>
      <w:marLeft w:val="0"/>
      <w:marRight w:val="0"/>
      <w:marTop w:val="0"/>
      <w:marBottom w:val="0"/>
      <w:divBdr>
        <w:top w:val="none" w:sz="0" w:space="0" w:color="auto"/>
        <w:left w:val="none" w:sz="0" w:space="0" w:color="auto"/>
        <w:bottom w:val="none" w:sz="0" w:space="0" w:color="auto"/>
        <w:right w:val="none" w:sz="0" w:space="0" w:color="auto"/>
      </w:divBdr>
    </w:div>
    <w:div w:id="957415761">
      <w:bodyDiv w:val="1"/>
      <w:marLeft w:val="0"/>
      <w:marRight w:val="0"/>
      <w:marTop w:val="0"/>
      <w:marBottom w:val="0"/>
      <w:divBdr>
        <w:top w:val="none" w:sz="0" w:space="0" w:color="auto"/>
        <w:left w:val="none" w:sz="0" w:space="0" w:color="auto"/>
        <w:bottom w:val="none" w:sz="0" w:space="0" w:color="auto"/>
        <w:right w:val="none" w:sz="0" w:space="0" w:color="auto"/>
      </w:divBdr>
    </w:div>
    <w:div w:id="968392309">
      <w:bodyDiv w:val="1"/>
      <w:marLeft w:val="0"/>
      <w:marRight w:val="0"/>
      <w:marTop w:val="0"/>
      <w:marBottom w:val="0"/>
      <w:divBdr>
        <w:top w:val="none" w:sz="0" w:space="0" w:color="auto"/>
        <w:left w:val="none" w:sz="0" w:space="0" w:color="auto"/>
        <w:bottom w:val="none" w:sz="0" w:space="0" w:color="auto"/>
        <w:right w:val="none" w:sz="0" w:space="0" w:color="auto"/>
      </w:divBdr>
    </w:div>
    <w:div w:id="1017150757">
      <w:bodyDiv w:val="1"/>
      <w:marLeft w:val="0"/>
      <w:marRight w:val="0"/>
      <w:marTop w:val="0"/>
      <w:marBottom w:val="0"/>
      <w:divBdr>
        <w:top w:val="none" w:sz="0" w:space="0" w:color="auto"/>
        <w:left w:val="none" w:sz="0" w:space="0" w:color="auto"/>
        <w:bottom w:val="none" w:sz="0" w:space="0" w:color="auto"/>
        <w:right w:val="none" w:sz="0" w:space="0" w:color="auto"/>
      </w:divBdr>
    </w:div>
    <w:div w:id="1041588982">
      <w:bodyDiv w:val="1"/>
      <w:marLeft w:val="0"/>
      <w:marRight w:val="0"/>
      <w:marTop w:val="0"/>
      <w:marBottom w:val="0"/>
      <w:divBdr>
        <w:top w:val="none" w:sz="0" w:space="0" w:color="auto"/>
        <w:left w:val="none" w:sz="0" w:space="0" w:color="auto"/>
        <w:bottom w:val="none" w:sz="0" w:space="0" w:color="auto"/>
        <w:right w:val="none" w:sz="0" w:space="0" w:color="auto"/>
      </w:divBdr>
    </w:div>
    <w:div w:id="1085615168">
      <w:bodyDiv w:val="1"/>
      <w:marLeft w:val="0"/>
      <w:marRight w:val="0"/>
      <w:marTop w:val="0"/>
      <w:marBottom w:val="0"/>
      <w:divBdr>
        <w:top w:val="none" w:sz="0" w:space="0" w:color="auto"/>
        <w:left w:val="none" w:sz="0" w:space="0" w:color="auto"/>
        <w:bottom w:val="none" w:sz="0" w:space="0" w:color="auto"/>
        <w:right w:val="none" w:sz="0" w:space="0" w:color="auto"/>
      </w:divBdr>
    </w:div>
    <w:div w:id="1089958876">
      <w:bodyDiv w:val="1"/>
      <w:marLeft w:val="0"/>
      <w:marRight w:val="0"/>
      <w:marTop w:val="0"/>
      <w:marBottom w:val="0"/>
      <w:divBdr>
        <w:top w:val="none" w:sz="0" w:space="0" w:color="auto"/>
        <w:left w:val="none" w:sz="0" w:space="0" w:color="auto"/>
        <w:bottom w:val="none" w:sz="0" w:space="0" w:color="auto"/>
        <w:right w:val="none" w:sz="0" w:space="0" w:color="auto"/>
      </w:divBdr>
    </w:div>
    <w:div w:id="1095056935">
      <w:bodyDiv w:val="1"/>
      <w:marLeft w:val="0"/>
      <w:marRight w:val="0"/>
      <w:marTop w:val="0"/>
      <w:marBottom w:val="0"/>
      <w:divBdr>
        <w:top w:val="none" w:sz="0" w:space="0" w:color="auto"/>
        <w:left w:val="none" w:sz="0" w:space="0" w:color="auto"/>
        <w:bottom w:val="none" w:sz="0" w:space="0" w:color="auto"/>
        <w:right w:val="none" w:sz="0" w:space="0" w:color="auto"/>
      </w:divBdr>
    </w:div>
    <w:div w:id="1127160266">
      <w:bodyDiv w:val="1"/>
      <w:marLeft w:val="0"/>
      <w:marRight w:val="0"/>
      <w:marTop w:val="0"/>
      <w:marBottom w:val="0"/>
      <w:divBdr>
        <w:top w:val="none" w:sz="0" w:space="0" w:color="auto"/>
        <w:left w:val="none" w:sz="0" w:space="0" w:color="auto"/>
        <w:bottom w:val="none" w:sz="0" w:space="0" w:color="auto"/>
        <w:right w:val="none" w:sz="0" w:space="0" w:color="auto"/>
      </w:divBdr>
    </w:div>
    <w:div w:id="1133602640">
      <w:bodyDiv w:val="1"/>
      <w:marLeft w:val="0"/>
      <w:marRight w:val="0"/>
      <w:marTop w:val="0"/>
      <w:marBottom w:val="0"/>
      <w:divBdr>
        <w:top w:val="none" w:sz="0" w:space="0" w:color="auto"/>
        <w:left w:val="none" w:sz="0" w:space="0" w:color="auto"/>
        <w:bottom w:val="none" w:sz="0" w:space="0" w:color="auto"/>
        <w:right w:val="none" w:sz="0" w:space="0" w:color="auto"/>
      </w:divBdr>
    </w:div>
    <w:div w:id="1170369799">
      <w:bodyDiv w:val="1"/>
      <w:marLeft w:val="0"/>
      <w:marRight w:val="0"/>
      <w:marTop w:val="0"/>
      <w:marBottom w:val="0"/>
      <w:divBdr>
        <w:top w:val="none" w:sz="0" w:space="0" w:color="auto"/>
        <w:left w:val="none" w:sz="0" w:space="0" w:color="auto"/>
        <w:bottom w:val="none" w:sz="0" w:space="0" w:color="auto"/>
        <w:right w:val="none" w:sz="0" w:space="0" w:color="auto"/>
      </w:divBdr>
    </w:div>
    <w:div w:id="1271934610">
      <w:bodyDiv w:val="1"/>
      <w:marLeft w:val="0"/>
      <w:marRight w:val="0"/>
      <w:marTop w:val="0"/>
      <w:marBottom w:val="0"/>
      <w:divBdr>
        <w:top w:val="none" w:sz="0" w:space="0" w:color="auto"/>
        <w:left w:val="none" w:sz="0" w:space="0" w:color="auto"/>
        <w:bottom w:val="none" w:sz="0" w:space="0" w:color="auto"/>
        <w:right w:val="none" w:sz="0" w:space="0" w:color="auto"/>
      </w:divBdr>
    </w:div>
    <w:div w:id="1292396828">
      <w:bodyDiv w:val="1"/>
      <w:marLeft w:val="0"/>
      <w:marRight w:val="0"/>
      <w:marTop w:val="0"/>
      <w:marBottom w:val="0"/>
      <w:divBdr>
        <w:top w:val="none" w:sz="0" w:space="0" w:color="auto"/>
        <w:left w:val="none" w:sz="0" w:space="0" w:color="auto"/>
        <w:bottom w:val="none" w:sz="0" w:space="0" w:color="auto"/>
        <w:right w:val="none" w:sz="0" w:space="0" w:color="auto"/>
      </w:divBdr>
      <w:divsChild>
        <w:div w:id="710887402">
          <w:marLeft w:val="0"/>
          <w:marRight w:val="0"/>
          <w:marTop w:val="0"/>
          <w:marBottom w:val="0"/>
          <w:divBdr>
            <w:top w:val="none" w:sz="0" w:space="0" w:color="auto"/>
            <w:left w:val="none" w:sz="0" w:space="0" w:color="auto"/>
            <w:bottom w:val="none" w:sz="0" w:space="0" w:color="auto"/>
            <w:right w:val="none" w:sz="0" w:space="0" w:color="auto"/>
          </w:divBdr>
        </w:div>
        <w:div w:id="1863661464">
          <w:marLeft w:val="0"/>
          <w:marRight w:val="0"/>
          <w:marTop w:val="0"/>
          <w:marBottom w:val="0"/>
          <w:divBdr>
            <w:top w:val="none" w:sz="0" w:space="0" w:color="auto"/>
            <w:left w:val="none" w:sz="0" w:space="0" w:color="auto"/>
            <w:bottom w:val="none" w:sz="0" w:space="0" w:color="auto"/>
            <w:right w:val="none" w:sz="0" w:space="0" w:color="auto"/>
          </w:divBdr>
        </w:div>
        <w:div w:id="1712421358">
          <w:marLeft w:val="0"/>
          <w:marRight w:val="0"/>
          <w:marTop w:val="0"/>
          <w:marBottom w:val="0"/>
          <w:divBdr>
            <w:top w:val="none" w:sz="0" w:space="0" w:color="auto"/>
            <w:left w:val="none" w:sz="0" w:space="0" w:color="auto"/>
            <w:bottom w:val="none" w:sz="0" w:space="0" w:color="auto"/>
            <w:right w:val="none" w:sz="0" w:space="0" w:color="auto"/>
          </w:divBdr>
        </w:div>
        <w:div w:id="1033382326">
          <w:marLeft w:val="0"/>
          <w:marRight w:val="0"/>
          <w:marTop w:val="0"/>
          <w:marBottom w:val="0"/>
          <w:divBdr>
            <w:top w:val="none" w:sz="0" w:space="0" w:color="auto"/>
            <w:left w:val="none" w:sz="0" w:space="0" w:color="auto"/>
            <w:bottom w:val="none" w:sz="0" w:space="0" w:color="auto"/>
            <w:right w:val="none" w:sz="0" w:space="0" w:color="auto"/>
          </w:divBdr>
        </w:div>
        <w:div w:id="973370780">
          <w:marLeft w:val="0"/>
          <w:marRight w:val="0"/>
          <w:marTop w:val="0"/>
          <w:marBottom w:val="0"/>
          <w:divBdr>
            <w:top w:val="none" w:sz="0" w:space="0" w:color="auto"/>
            <w:left w:val="none" w:sz="0" w:space="0" w:color="auto"/>
            <w:bottom w:val="none" w:sz="0" w:space="0" w:color="auto"/>
            <w:right w:val="none" w:sz="0" w:space="0" w:color="auto"/>
          </w:divBdr>
        </w:div>
      </w:divsChild>
    </w:div>
    <w:div w:id="1349331889">
      <w:bodyDiv w:val="1"/>
      <w:marLeft w:val="0"/>
      <w:marRight w:val="0"/>
      <w:marTop w:val="0"/>
      <w:marBottom w:val="0"/>
      <w:divBdr>
        <w:top w:val="none" w:sz="0" w:space="0" w:color="auto"/>
        <w:left w:val="none" w:sz="0" w:space="0" w:color="auto"/>
        <w:bottom w:val="none" w:sz="0" w:space="0" w:color="auto"/>
        <w:right w:val="none" w:sz="0" w:space="0" w:color="auto"/>
      </w:divBdr>
    </w:div>
    <w:div w:id="1350376386">
      <w:bodyDiv w:val="1"/>
      <w:marLeft w:val="0"/>
      <w:marRight w:val="0"/>
      <w:marTop w:val="0"/>
      <w:marBottom w:val="0"/>
      <w:divBdr>
        <w:top w:val="none" w:sz="0" w:space="0" w:color="auto"/>
        <w:left w:val="none" w:sz="0" w:space="0" w:color="auto"/>
        <w:bottom w:val="none" w:sz="0" w:space="0" w:color="auto"/>
        <w:right w:val="none" w:sz="0" w:space="0" w:color="auto"/>
      </w:divBdr>
    </w:div>
    <w:div w:id="1375305313">
      <w:bodyDiv w:val="1"/>
      <w:marLeft w:val="0"/>
      <w:marRight w:val="0"/>
      <w:marTop w:val="0"/>
      <w:marBottom w:val="0"/>
      <w:divBdr>
        <w:top w:val="none" w:sz="0" w:space="0" w:color="auto"/>
        <w:left w:val="none" w:sz="0" w:space="0" w:color="auto"/>
        <w:bottom w:val="none" w:sz="0" w:space="0" w:color="auto"/>
        <w:right w:val="none" w:sz="0" w:space="0" w:color="auto"/>
      </w:divBdr>
    </w:div>
    <w:div w:id="1388914061">
      <w:bodyDiv w:val="1"/>
      <w:marLeft w:val="0"/>
      <w:marRight w:val="0"/>
      <w:marTop w:val="0"/>
      <w:marBottom w:val="0"/>
      <w:divBdr>
        <w:top w:val="none" w:sz="0" w:space="0" w:color="auto"/>
        <w:left w:val="none" w:sz="0" w:space="0" w:color="auto"/>
        <w:bottom w:val="none" w:sz="0" w:space="0" w:color="auto"/>
        <w:right w:val="none" w:sz="0" w:space="0" w:color="auto"/>
      </w:divBdr>
    </w:div>
    <w:div w:id="1389382506">
      <w:bodyDiv w:val="1"/>
      <w:marLeft w:val="0"/>
      <w:marRight w:val="0"/>
      <w:marTop w:val="0"/>
      <w:marBottom w:val="0"/>
      <w:divBdr>
        <w:top w:val="none" w:sz="0" w:space="0" w:color="auto"/>
        <w:left w:val="none" w:sz="0" w:space="0" w:color="auto"/>
        <w:bottom w:val="none" w:sz="0" w:space="0" w:color="auto"/>
        <w:right w:val="none" w:sz="0" w:space="0" w:color="auto"/>
      </w:divBdr>
    </w:div>
    <w:div w:id="1392117465">
      <w:bodyDiv w:val="1"/>
      <w:marLeft w:val="0"/>
      <w:marRight w:val="0"/>
      <w:marTop w:val="0"/>
      <w:marBottom w:val="0"/>
      <w:divBdr>
        <w:top w:val="none" w:sz="0" w:space="0" w:color="auto"/>
        <w:left w:val="none" w:sz="0" w:space="0" w:color="auto"/>
        <w:bottom w:val="none" w:sz="0" w:space="0" w:color="auto"/>
        <w:right w:val="none" w:sz="0" w:space="0" w:color="auto"/>
      </w:divBdr>
    </w:div>
    <w:div w:id="1442919261">
      <w:bodyDiv w:val="1"/>
      <w:marLeft w:val="0"/>
      <w:marRight w:val="0"/>
      <w:marTop w:val="0"/>
      <w:marBottom w:val="0"/>
      <w:divBdr>
        <w:top w:val="none" w:sz="0" w:space="0" w:color="auto"/>
        <w:left w:val="none" w:sz="0" w:space="0" w:color="auto"/>
        <w:bottom w:val="none" w:sz="0" w:space="0" w:color="auto"/>
        <w:right w:val="none" w:sz="0" w:space="0" w:color="auto"/>
      </w:divBdr>
    </w:div>
    <w:div w:id="1445690598">
      <w:bodyDiv w:val="1"/>
      <w:marLeft w:val="0"/>
      <w:marRight w:val="0"/>
      <w:marTop w:val="0"/>
      <w:marBottom w:val="0"/>
      <w:divBdr>
        <w:top w:val="none" w:sz="0" w:space="0" w:color="auto"/>
        <w:left w:val="none" w:sz="0" w:space="0" w:color="auto"/>
        <w:bottom w:val="none" w:sz="0" w:space="0" w:color="auto"/>
        <w:right w:val="none" w:sz="0" w:space="0" w:color="auto"/>
      </w:divBdr>
    </w:div>
    <w:div w:id="1473211256">
      <w:bodyDiv w:val="1"/>
      <w:marLeft w:val="0"/>
      <w:marRight w:val="0"/>
      <w:marTop w:val="0"/>
      <w:marBottom w:val="0"/>
      <w:divBdr>
        <w:top w:val="none" w:sz="0" w:space="0" w:color="auto"/>
        <w:left w:val="none" w:sz="0" w:space="0" w:color="auto"/>
        <w:bottom w:val="none" w:sz="0" w:space="0" w:color="auto"/>
        <w:right w:val="none" w:sz="0" w:space="0" w:color="auto"/>
      </w:divBdr>
    </w:div>
    <w:div w:id="1507935664">
      <w:bodyDiv w:val="1"/>
      <w:marLeft w:val="0"/>
      <w:marRight w:val="0"/>
      <w:marTop w:val="0"/>
      <w:marBottom w:val="0"/>
      <w:divBdr>
        <w:top w:val="none" w:sz="0" w:space="0" w:color="auto"/>
        <w:left w:val="none" w:sz="0" w:space="0" w:color="auto"/>
        <w:bottom w:val="none" w:sz="0" w:space="0" w:color="auto"/>
        <w:right w:val="none" w:sz="0" w:space="0" w:color="auto"/>
      </w:divBdr>
    </w:div>
    <w:div w:id="1570194003">
      <w:bodyDiv w:val="1"/>
      <w:marLeft w:val="0"/>
      <w:marRight w:val="0"/>
      <w:marTop w:val="0"/>
      <w:marBottom w:val="0"/>
      <w:divBdr>
        <w:top w:val="none" w:sz="0" w:space="0" w:color="auto"/>
        <w:left w:val="none" w:sz="0" w:space="0" w:color="auto"/>
        <w:bottom w:val="none" w:sz="0" w:space="0" w:color="auto"/>
        <w:right w:val="none" w:sz="0" w:space="0" w:color="auto"/>
      </w:divBdr>
    </w:div>
    <w:div w:id="1571887711">
      <w:bodyDiv w:val="1"/>
      <w:marLeft w:val="0"/>
      <w:marRight w:val="0"/>
      <w:marTop w:val="0"/>
      <w:marBottom w:val="0"/>
      <w:divBdr>
        <w:top w:val="none" w:sz="0" w:space="0" w:color="auto"/>
        <w:left w:val="none" w:sz="0" w:space="0" w:color="auto"/>
        <w:bottom w:val="none" w:sz="0" w:space="0" w:color="auto"/>
        <w:right w:val="none" w:sz="0" w:space="0" w:color="auto"/>
      </w:divBdr>
    </w:div>
    <w:div w:id="1608273082">
      <w:bodyDiv w:val="1"/>
      <w:marLeft w:val="0"/>
      <w:marRight w:val="0"/>
      <w:marTop w:val="0"/>
      <w:marBottom w:val="0"/>
      <w:divBdr>
        <w:top w:val="none" w:sz="0" w:space="0" w:color="auto"/>
        <w:left w:val="none" w:sz="0" w:space="0" w:color="auto"/>
        <w:bottom w:val="none" w:sz="0" w:space="0" w:color="auto"/>
        <w:right w:val="none" w:sz="0" w:space="0" w:color="auto"/>
      </w:divBdr>
    </w:div>
    <w:div w:id="1650016155">
      <w:bodyDiv w:val="1"/>
      <w:marLeft w:val="0"/>
      <w:marRight w:val="0"/>
      <w:marTop w:val="0"/>
      <w:marBottom w:val="0"/>
      <w:divBdr>
        <w:top w:val="none" w:sz="0" w:space="0" w:color="auto"/>
        <w:left w:val="none" w:sz="0" w:space="0" w:color="auto"/>
        <w:bottom w:val="none" w:sz="0" w:space="0" w:color="auto"/>
        <w:right w:val="none" w:sz="0" w:space="0" w:color="auto"/>
      </w:divBdr>
    </w:div>
    <w:div w:id="1700280529">
      <w:bodyDiv w:val="1"/>
      <w:marLeft w:val="0"/>
      <w:marRight w:val="0"/>
      <w:marTop w:val="0"/>
      <w:marBottom w:val="0"/>
      <w:divBdr>
        <w:top w:val="none" w:sz="0" w:space="0" w:color="auto"/>
        <w:left w:val="none" w:sz="0" w:space="0" w:color="auto"/>
        <w:bottom w:val="none" w:sz="0" w:space="0" w:color="auto"/>
        <w:right w:val="none" w:sz="0" w:space="0" w:color="auto"/>
      </w:divBdr>
    </w:div>
    <w:div w:id="1755317311">
      <w:bodyDiv w:val="1"/>
      <w:marLeft w:val="0"/>
      <w:marRight w:val="0"/>
      <w:marTop w:val="0"/>
      <w:marBottom w:val="0"/>
      <w:divBdr>
        <w:top w:val="none" w:sz="0" w:space="0" w:color="auto"/>
        <w:left w:val="none" w:sz="0" w:space="0" w:color="auto"/>
        <w:bottom w:val="none" w:sz="0" w:space="0" w:color="auto"/>
        <w:right w:val="none" w:sz="0" w:space="0" w:color="auto"/>
      </w:divBdr>
    </w:div>
    <w:div w:id="1789355180">
      <w:bodyDiv w:val="1"/>
      <w:marLeft w:val="0"/>
      <w:marRight w:val="0"/>
      <w:marTop w:val="0"/>
      <w:marBottom w:val="0"/>
      <w:divBdr>
        <w:top w:val="none" w:sz="0" w:space="0" w:color="auto"/>
        <w:left w:val="none" w:sz="0" w:space="0" w:color="auto"/>
        <w:bottom w:val="none" w:sz="0" w:space="0" w:color="auto"/>
        <w:right w:val="none" w:sz="0" w:space="0" w:color="auto"/>
      </w:divBdr>
    </w:div>
    <w:div w:id="1833138193">
      <w:bodyDiv w:val="1"/>
      <w:marLeft w:val="0"/>
      <w:marRight w:val="0"/>
      <w:marTop w:val="0"/>
      <w:marBottom w:val="0"/>
      <w:divBdr>
        <w:top w:val="none" w:sz="0" w:space="0" w:color="auto"/>
        <w:left w:val="none" w:sz="0" w:space="0" w:color="auto"/>
        <w:bottom w:val="none" w:sz="0" w:space="0" w:color="auto"/>
        <w:right w:val="none" w:sz="0" w:space="0" w:color="auto"/>
      </w:divBdr>
    </w:div>
    <w:div w:id="1850287236">
      <w:bodyDiv w:val="1"/>
      <w:marLeft w:val="0"/>
      <w:marRight w:val="0"/>
      <w:marTop w:val="0"/>
      <w:marBottom w:val="0"/>
      <w:divBdr>
        <w:top w:val="none" w:sz="0" w:space="0" w:color="auto"/>
        <w:left w:val="none" w:sz="0" w:space="0" w:color="auto"/>
        <w:bottom w:val="none" w:sz="0" w:space="0" w:color="auto"/>
        <w:right w:val="none" w:sz="0" w:space="0" w:color="auto"/>
      </w:divBdr>
    </w:div>
    <w:div w:id="1854801211">
      <w:bodyDiv w:val="1"/>
      <w:marLeft w:val="0"/>
      <w:marRight w:val="0"/>
      <w:marTop w:val="0"/>
      <w:marBottom w:val="0"/>
      <w:divBdr>
        <w:top w:val="none" w:sz="0" w:space="0" w:color="auto"/>
        <w:left w:val="none" w:sz="0" w:space="0" w:color="auto"/>
        <w:bottom w:val="none" w:sz="0" w:space="0" w:color="auto"/>
        <w:right w:val="none" w:sz="0" w:space="0" w:color="auto"/>
      </w:divBdr>
    </w:div>
    <w:div w:id="1881428796">
      <w:bodyDiv w:val="1"/>
      <w:marLeft w:val="0"/>
      <w:marRight w:val="0"/>
      <w:marTop w:val="0"/>
      <w:marBottom w:val="0"/>
      <w:divBdr>
        <w:top w:val="none" w:sz="0" w:space="0" w:color="auto"/>
        <w:left w:val="none" w:sz="0" w:space="0" w:color="auto"/>
        <w:bottom w:val="none" w:sz="0" w:space="0" w:color="auto"/>
        <w:right w:val="none" w:sz="0" w:space="0" w:color="auto"/>
      </w:divBdr>
    </w:div>
    <w:div w:id="1894003039">
      <w:bodyDiv w:val="1"/>
      <w:marLeft w:val="0"/>
      <w:marRight w:val="0"/>
      <w:marTop w:val="0"/>
      <w:marBottom w:val="0"/>
      <w:divBdr>
        <w:top w:val="none" w:sz="0" w:space="0" w:color="auto"/>
        <w:left w:val="none" w:sz="0" w:space="0" w:color="auto"/>
        <w:bottom w:val="none" w:sz="0" w:space="0" w:color="auto"/>
        <w:right w:val="none" w:sz="0" w:space="0" w:color="auto"/>
      </w:divBdr>
    </w:div>
    <w:div w:id="1917547244">
      <w:bodyDiv w:val="1"/>
      <w:marLeft w:val="0"/>
      <w:marRight w:val="0"/>
      <w:marTop w:val="0"/>
      <w:marBottom w:val="0"/>
      <w:divBdr>
        <w:top w:val="none" w:sz="0" w:space="0" w:color="auto"/>
        <w:left w:val="none" w:sz="0" w:space="0" w:color="auto"/>
        <w:bottom w:val="none" w:sz="0" w:space="0" w:color="auto"/>
        <w:right w:val="none" w:sz="0" w:space="0" w:color="auto"/>
      </w:divBdr>
    </w:div>
    <w:div w:id="1932930310">
      <w:bodyDiv w:val="1"/>
      <w:marLeft w:val="0"/>
      <w:marRight w:val="0"/>
      <w:marTop w:val="0"/>
      <w:marBottom w:val="0"/>
      <w:divBdr>
        <w:top w:val="none" w:sz="0" w:space="0" w:color="auto"/>
        <w:left w:val="none" w:sz="0" w:space="0" w:color="auto"/>
        <w:bottom w:val="none" w:sz="0" w:space="0" w:color="auto"/>
        <w:right w:val="none" w:sz="0" w:space="0" w:color="auto"/>
      </w:divBdr>
    </w:div>
    <w:div w:id="2061392602">
      <w:bodyDiv w:val="1"/>
      <w:marLeft w:val="0"/>
      <w:marRight w:val="0"/>
      <w:marTop w:val="0"/>
      <w:marBottom w:val="0"/>
      <w:divBdr>
        <w:top w:val="none" w:sz="0" w:space="0" w:color="auto"/>
        <w:left w:val="none" w:sz="0" w:space="0" w:color="auto"/>
        <w:bottom w:val="none" w:sz="0" w:space="0" w:color="auto"/>
        <w:right w:val="none" w:sz="0" w:space="0" w:color="auto"/>
      </w:divBdr>
    </w:div>
    <w:div w:id="2079358465">
      <w:bodyDiv w:val="1"/>
      <w:marLeft w:val="0"/>
      <w:marRight w:val="0"/>
      <w:marTop w:val="0"/>
      <w:marBottom w:val="0"/>
      <w:divBdr>
        <w:top w:val="none" w:sz="0" w:space="0" w:color="auto"/>
        <w:left w:val="none" w:sz="0" w:space="0" w:color="auto"/>
        <w:bottom w:val="none" w:sz="0" w:space="0" w:color="auto"/>
        <w:right w:val="none" w:sz="0" w:space="0" w:color="auto"/>
      </w:divBdr>
    </w:div>
    <w:div w:id="2115901043">
      <w:bodyDiv w:val="1"/>
      <w:marLeft w:val="0"/>
      <w:marRight w:val="0"/>
      <w:marTop w:val="0"/>
      <w:marBottom w:val="0"/>
      <w:divBdr>
        <w:top w:val="none" w:sz="0" w:space="0" w:color="auto"/>
        <w:left w:val="none" w:sz="0" w:space="0" w:color="auto"/>
        <w:bottom w:val="none" w:sz="0" w:space="0" w:color="auto"/>
        <w:right w:val="none" w:sz="0" w:space="0" w:color="auto"/>
      </w:divBdr>
    </w:div>
    <w:div w:id="212769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news.sky.com/story/a-crisis-of-trust-in-our-politics-spells-trouble-for-the-government-13122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FA43B-5225-4DA5-BE2C-2521A95E2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5066</Words>
  <Characters>28877</Characters>
  <Application>Microsoft Office Word</Application>
  <DocSecurity>0</DocSecurity>
  <Lines>240</Lines>
  <Paragraphs>67</Paragraphs>
  <ScaleCrop>false</ScaleCrop>
  <Company/>
  <LinksUpToDate>false</LinksUpToDate>
  <CharactersWithSpaces>33876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2024-10-16T21:56:00Z</dcterms:created>
  <dcterms:modified xsi:type="dcterms:W3CDTF">2024-11-28T17:01:00Z</dcterms:modified>
</cp:coreProperties>
</file>