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14799" w14:textId="77777777" w:rsidR="00A4510A" w:rsidRPr="002F1ADA" w:rsidRDefault="00A4510A" w:rsidP="00A4510A">
      <w:pPr>
        <w:rPr>
          <w:rFonts w:ascii="Times New Roman" w:hAnsi="Times New Roman" w:cs="Times New Roman"/>
          <w:b/>
          <w:bCs/>
        </w:rPr>
      </w:pPr>
      <w:r w:rsidRPr="002F1ADA">
        <w:rPr>
          <w:rFonts w:ascii="Times New Roman" w:hAnsi="Times New Roman" w:cs="Times New Roman"/>
          <w:b/>
          <w:bCs/>
        </w:rPr>
        <w:t>Comparison of British Thyroid Association</w:t>
      </w:r>
      <w:r>
        <w:rPr>
          <w:rFonts w:ascii="Times New Roman" w:hAnsi="Times New Roman" w:cs="Times New Roman"/>
          <w:b/>
          <w:bCs/>
        </w:rPr>
        <w:t xml:space="preserve"> and</w:t>
      </w:r>
      <w:r w:rsidRPr="002F1ADA">
        <w:rPr>
          <w:rFonts w:ascii="Times New Roman" w:hAnsi="Times New Roman" w:cs="Times New Roman"/>
          <w:b/>
          <w:bCs/>
        </w:rPr>
        <w:t xml:space="preserve"> TIRADS</w:t>
      </w:r>
      <w:r>
        <w:rPr>
          <w:rFonts w:ascii="Times New Roman" w:hAnsi="Times New Roman" w:cs="Times New Roman"/>
          <w:b/>
          <w:bCs/>
        </w:rPr>
        <w:t xml:space="preserve"> classifications and their impact on the </w:t>
      </w:r>
      <w:r w:rsidRPr="002F1ADA">
        <w:rPr>
          <w:rFonts w:ascii="Times New Roman" w:hAnsi="Times New Roman" w:cs="Times New Roman"/>
          <w:b/>
          <w:bCs/>
        </w:rPr>
        <w:t>radiological and surgical management of indeterminate thyroid nodules</w:t>
      </w:r>
      <w:r>
        <w:rPr>
          <w:rFonts w:ascii="Times New Roman" w:hAnsi="Times New Roman" w:cs="Times New Roman"/>
          <w:b/>
          <w:bCs/>
        </w:rPr>
        <w:t>.</w:t>
      </w:r>
    </w:p>
    <w:p w14:paraId="466489A8" w14:textId="77777777" w:rsidR="00A4510A" w:rsidRPr="003B6288" w:rsidRDefault="00A4510A" w:rsidP="00A4510A">
      <w:pPr>
        <w:rPr>
          <w:rFonts w:ascii="Times New Roman" w:hAnsi="Times New Roman" w:cs="Times New Roman"/>
        </w:rPr>
      </w:pPr>
      <w:r w:rsidRPr="003B6288">
        <w:rPr>
          <w:rFonts w:ascii="Times New Roman" w:hAnsi="Times New Roman" w:cs="Times New Roman"/>
        </w:rPr>
        <w:t>Jake Cowen</w:t>
      </w:r>
      <w:r w:rsidRPr="008A389C">
        <w:rPr>
          <w:rFonts w:ascii="Times New Roman" w:hAnsi="Times New Roman" w:cs="Times New Roman"/>
          <w:vertAlign w:val="superscript"/>
        </w:rPr>
        <w:t>1</w:t>
      </w:r>
      <w:r w:rsidRPr="003B6288">
        <w:rPr>
          <w:rFonts w:ascii="Times New Roman" w:hAnsi="Times New Roman" w:cs="Times New Roman"/>
        </w:rPr>
        <w:t>, Roma Dave</w:t>
      </w:r>
      <w:r w:rsidRPr="008A389C">
        <w:rPr>
          <w:rFonts w:ascii="Times New Roman" w:hAnsi="Times New Roman" w:cs="Times New Roman"/>
          <w:vertAlign w:val="superscript"/>
        </w:rPr>
        <w:t>1</w:t>
      </w:r>
      <w:r w:rsidRPr="003B6288">
        <w:rPr>
          <w:rFonts w:ascii="Times New Roman" w:hAnsi="Times New Roman" w:cs="Times New Roman"/>
        </w:rPr>
        <w:t>, Jeremy Neale</w:t>
      </w:r>
      <w:r w:rsidRPr="008A389C">
        <w:rPr>
          <w:rFonts w:ascii="Times New Roman" w:hAnsi="Times New Roman" w:cs="Times New Roman"/>
          <w:vertAlign w:val="superscript"/>
        </w:rPr>
        <w:t>1</w:t>
      </w:r>
      <w:r w:rsidRPr="003B6288">
        <w:rPr>
          <w:rFonts w:ascii="Times New Roman" w:hAnsi="Times New Roman" w:cs="Times New Roman"/>
        </w:rPr>
        <w:t xml:space="preserve">, </w:t>
      </w:r>
      <w:r>
        <w:rPr>
          <w:rFonts w:ascii="Times New Roman" w:hAnsi="Times New Roman" w:cs="Times New Roman"/>
        </w:rPr>
        <w:t>Matthew Ward</w:t>
      </w:r>
      <w:r w:rsidRPr="00527AAD">
        <w:rPr>
          <w:rFonts w:ascii="Times New Roman" w:hAnsi="Times New Roman" w:cs="Times New Roman"/>
          <w:vertAlign w:val="superscript"/>
        </w:rPr>
        <w:t>2</w:t>
      </w:r>
      <w:r>
        <w:rPr>
          <w:rFonts w:ascii="Times New Roman" w:hAnsi="Times New Roman" w:cs="Times New Roman"/>
        </w:rPr>
        <w:t>, Costa Repanos</w:t>
      </w:r>
      <w:r w:rsidRPr="00527AAD">
        <w:rPr>
          <w:rFonts w:ascii="Times New Roman" w:hAnsi="Times New Roman" w:cs="Times New Roman"/>
          <w:vertAlign w:val="superscript"/>
        </w:rPr>
        <w:t>2</w:t>
      </w:r>
      <w:r>
        <w:rPr>
          <w:rFonts w:ascii="Times New Roman" w:hAnsi="Times New Roman" w:cs="Times New Roman"/>
        </w:rPr>
        <w:t>, Hani Nasef</w:t>
      </w:r>
      <w:r w:rsidRPr="00527AAD">
        <w:rPr>
          <w:rFonts w:ascii="Times New Roman" w:hAnsi="Times New Roman" w:cs="Times New Roman"/>
          <w:vertAlign w:val="superscript"/>
        </w:rPr>
        <w:t>2</w:t>
      </w:r>
      <w:r>
        <w:rPr>
          <w:rFonts w:ascii="Times New Roman" w:hAnsi="Times New Roman" w:cs="Times New Roman"/>
        </w:rPr>
        <w:t>, Ganesh Vigneswaran</w:t>
      </w:r>
      <w:r w:rsidRPr="00527AAD">
        <w:rPr>
          <w:rFonts w:ascii="Times New Roman" w:hAnsi="Times New Roman" w:cs="Times New Roman"/>
          <w:vertAlign w:val="superscript"/>
        </w:rPr>
        <w:t>3,4</w:t>
      </w:r>
      <w:r>
        <w:rPr>
          <w:rFonts w:ascii="Times New Roman" w:hAnsi="Times New Roman" w:cs="Times New Roman"/>
        </w:rPr>
        <w:t xml:space="preserve">, </w:t>
      </w:r>
      <w:r w:rsidRPr="003B6288">
        <w:rPr>
          <w:rFonts w:ascii="Times New Roman" w:hAnsi="Times New Roman" w:cs="Times New Roman"/>
        </w:rPr>
        <w:t>Peter A Brennan</w:t>
      </w:r>
      <w:r>
        <w:rPr>
          <w:rFonts w:ascii="Times New Roman" w:hAnsi="Times New Roman" w:cs="Times New Roman"/>
          <w:vertAlign w:val="superscript"/>
        </w:rPr>
        <w:t>5</w:t>
      </w:r>
      <w:r w:rsidRPr="003B6288">
        <w:rPr>
          <w:rFonts w:ascii="Times New Roman" w:hAnsi="Times New Roman" w:cs="Times New Roman"/>
        </w:rPr>
        <w:t>, Jasper Bekker</w:t>
      </w:r>
      <w:r w:rsidRPr="00F67EB5">
        <w:rPr>
          <w:rFonts w:ascii="Times New Roman" w:hAnsi="Times New Roman" w:cs="Times New Roman"/>
          <w:vertAlign w:val="superscript"/>
        </w:rPr>
        <w:t>1</w:t>
      </w:r>
    </w:p>
    <w:p w14:paraId="1A01BA0A" w14:textId="77777777" w:rsidR="00A4510A" w:rsidRDefault="00A4510A" w:rsidP="00A4510A">
      <w:pPr>
        <w:pStyle w:val="ListParagraph"/>
        <w:numPr>
          <w:ilvl w:val="0"/>
          <w:numId w:val="1"/>
        </w:numPr>
        <w:rPr>
          <w:rFonts w:ascii="Times New Roman" w:hAnsi="Times New Roman" w:cs="Times New Roman"/>
        </w:rPr>
      </w:pPr>
      <w:r>
        <w:rPr>
          <w:rFonts w:ascii="Times New Roman" w:hAnsi="Times New Roman" w:cs="Times New Roman"/>
        </w:rPr>
        <w:t>Department of Radiology, Queen Alexandra Hospital, Portsmouth, UK</w:t>
      </w:r>
    </w:p>
    <w:p w14:paraId="4F4ADA76" w14:textId="77777777" w:rsidR="00A4510A" w:rsidRDefault="00A4510A" w:rsidP="00A4510A">
      <w:pPr>
        <w:pStyle w:val="ListParagraph"/>
        <w:numPr>
          <w:ilvl w:val="0"/>
          <w:numId w:val="1"/>
        </w:numPr>
        <w:rPr>
          <w:rFonts w:ascii="Times New Roman" w:hAnsi="Times New Roman" w:cs="Times New Roman"/>
        </w:rPr>
      </w:pPr>
      <w:r>
        <w:rPr>
          <w:rFonts w:ascii="Times New Roman" w:hAnsi="Times New Roman" w:cs="Times New Roman"/>
        </w:rPr>
        <w:t>Department of Ear, Nose &amp; Throat Surgery, Queen Alexandra Hospital, Portsmouth, UK</w:t>
      </w:r>
    </w:p>
    <w:p w14:paraId="05ABCFFD" w14:textId="77777777" w:rsidR="00A4510A" w:rsidRDefault="00A4510A" w:rsidP="00A4510A">
      <w:pPr>
        <w:pStyle w:val="ListParagraph"/>
        <w:numPr>
          <w:ilvl w:val="0"/>
          <w:numId w:val="1"/>
        </w:numPr>
        <w:rPr>
          <w:rFonts w:ascii="Times New Roman" w:hAnsi="Times New Roman" w:cs="Times New Roman"/>
        </w:rPr>
      </w:pPr>
      <w:r>
        <w:rPr>
          <w:rFonts w:ascii="Times New Roman" w:hAnsi="Times New Roman" w:cs="Times New Roman"/>
        </w:rPr>
        <w:t>Department of Radiology, Southampton General Hospital, Southampton, UK</w:t>
      </w:r>
    </w:p>
    <w:p w14:paraId="2B56DEB3" w14:textId="77777777" w:rsidR="00A4510A" w:rsidRDefault="00A4510A" w:rsidP="00A4510A">
      <w:pPr>
        <w:pStyle w:val="ListParagraph"/>
        <w:numPr>
          <w:ilvl w:val="0"/>
          <w:numId w:val="1"/>
        </w:numPr>
        <w:rPr>
          <w:rFonts w:ascii="Times New Roman" w:hAnsi="Times New Roman" w:cs="Times New Roman"/>
        </w:rPr>
      </w:pPr>
      <w:r>
        <w:rPr>
          <w:rFonts w:ascii="Times New Roman" w:hAnsi="Times New Roman" w:cs="Times New Roman"/>
        </w:rPr>
        <w:t>Department of Cancer Sciences, University of Southampton, Southampton. UK</w:t>
      </w:r>
    </w:p>
    <w:p w14:paraId="114BEFE4" w14:textId="0CEC6662" w:rsidR="00992220" w:rsidRPr="00A4510A" w:rsidRDefault="00A4510A" w:rsidP="003D216A">
      <w:pPr>
        <w:pStyle w:val="ListParagraph"/>
        <w:numPr>
          <w:ilvl w:val="0"/>
          <w:numId w:val="1"/>
        </w:numPr>
        <w:rPr>
          <w:rFonts w:ascii="Times New Roman" w:hAnsi="Times New Roman" w:cs="Times New Roman"/>
        </w:rPr>
      </w:pPr>
      <w:r>
        <w:rPr>
          <w:rFonts w:ascii="Times New Roman" w:hAnsi="Times New Roman" w:cs="Times New Roman"/>
        </w:rPr>
        <w:t>Department of Oral and Maxillofacial Surgery, Queen Alexandra Hospital, Portsmouth, UK</w:t>
      </w:r>
      <w:r w:rsidR="00992220" w:rsidRPr="00A4510A">
        <w:rPr>
          <w:rFonts w:ascii="Times New Roman" w:hAnsi="Times New Roman" w:cs="Times New Roman"/>
          <w:b/>
          <w:bCs/>
        </w:rPr>
        <w:br w:type="page"/>
      </w:r>
    </w:p>
    <w:p w14:paraId="491A1219" w14:textId="6905744F" w:rsidR="00713020" w:rsidRDefault="00713020" w:rsidP="001361CF">
      <w:pPr>
        <w:spacing w:line="480" w:lineRule="auto"/>
        <w:rPr>
          <w:rFonts w:ascii="Times New Roman" w:hAnsi="Times New Roman" w:cs="Times New Roman"/>
          <w:b/>
          <w:bCs/>
        </w:rPr>
      </w:pPr>
      <w:r w:rsidRPr="00B82473">
        <w:rPr>
          <w:rFonts w:ascii="Times New Roman" w:hAnsi="Times New Roman" w:cs="Times New Roman"/>
          <w:b/>
          <w:bCs/>
        </w:rPr>
        <w:lastRenderedPageBreak/>
        <w:t>Introduction</w:t>
      </w:r>
    </w:p>
    <w:p w14:paraId="49DF0921" w14:textId="1311D8A8" w:rsidR="00912166" w:rsidRPr="00542A6D" w:rsidRDefault="00912166" w:rsidP="001361CF">
      <w:pPr>
        <w:spacing w:line="480" w:lineRule="auto"/>
        <w:rPr>
          <w:rFonts w:ascii="Times New Roman" w:hAnsi="Times New Roman" w:cs="Times New Roman"/>
          <w:color w:val="FF0000"/>
        </w:rPr>
      </w:pPr>
      <w:r>
        <w:rPr>
          <w:rFonts w:ascii="Times New Roman" w:hAnsi="Times New Roman" w:cs="Times New Roman"/>
        </w:rPr>
        <w:t xml:space="preserve">The British Thyroid Association (BTA) Guidelines for the Management of Thyroid Cancer were most </w:t>
      </w:r>
      <w:r w:rsidRPr="00F50425">
        <w:rPr>
          <w:rFonts w:ascii="Times New Roman" w:hAnsi="Times New Roman" w:cs="Times New Roman"/>
          <w:color w:val="000000" w:themeColor="text1"/>
        </w:rPr>
        <w:t xml:space="preserve">recently revised in 2014 </w:t>
      </w:r>
      <w:r>
        <w:rPr>
          <w:rFonts w:ascii="Times New Roman" w:hAnsi="Times New Roman" w:cs="Times New Roman"/>
        </w:rPr>
        <w:t>and are widely adopted in the United Kingdom, and further afield, in the assessment and management of suspected thyroid malignancy [1]. BTA guidance recommends ultrasound (US) assessment for thyroid nodules and the use of a U1-U5 grading system in assessing the risk of malignancy and guiding the need for fine needle aspiration cytology (FNAC) [1] (</w:t>
      </w:r>
      <w:proofErr w:type="spellStart"/>
      <w:r w:rsidR="003016E0">
        <w:rPr>
          <w:rFonts w:ascii="Times New Roman" w:hAnsi="Times New Roman" w:cs="Times New Roman"/>
        </w:rPr>
        <w:t>Suppl</w:t>
      </w:r>
      <w:proofErr w:type="spellEnd"/>
      <w:r w:rsidR="003016E0">
        <w:rPr>
          <w:rFonts w:ascii="Times New Roman" w:hAnsi="Times New Roman" w:cs="Times New Roman"/>
        </w:rPr>
        <w:t xml:space="preserve"> </w:t>
      </w:r>
      <w:r>
        <w:rPr>
          <w:rFonts w:ascii="Times New Roman" w:hAnsi="Times New Roman" w:cs="Times New Roman"/>
        </w:rPr>
        <w:t xml:space="preserve">1). Nodules graded as U3 are considered equivocal or indeterminate and the guidelines recommend FNAC at the time of assessment </w:t>
      </w:r>
      <w:r w:rsidR="00D81774">
        <w:rPr>
          <w:rFonts w:ascii="Times New Roman" w:hAnsi="Times New Roman" w:cs="Times New Roman"/>
        </w:rPr>
        <w:t>[1]</w:t>
      </w:r>
      <w:r>
        <w:rPr>
          <w:rFonts w:ascii="Times New Roman" w:hAnsi="Times New Roman" w:cs="Times New Roman"/>
        </w:rPr>
        <w:t xml:space="preserve">. Limited evidence of the radiological-histological correlation for the BTA guideline exists, </w:t>
      </w:r>
      <w:r w:rsidR="00903A63">
        <w:rPr>
          <w:rFonts w:ascii="Times New Roman" w:hAnsi="Times New Roman" w:cs="Times New Roman"/>
        </w:rPr>
        <w:t xml:space="preserve">but </w:t>
      </w:r>
      <w:r w:rsidR="00CE77C1">
        <w:rPr>
          <w:rFonts w:ascii="Times New Roman" w:hAnsi="Times New Roman" w:cs="Times New Roman"/>
        </w:rPr>
        <w:t>a UK validation study</w:t>
      </w:r>
      <w:r w:rsidR="00903A63">
        <w:rPr>
          <w:rFonts w:ascii="Times New Roman" w:hAnsi="Times New Roman" w:cs="Times New Roman"/>
        </w:rPr>
        <w:t xml:space="preserve"> report</w:t>
      </w:r>
      <w:r w:rsidR="00CE77C1">
        <w:rPr>
          <w:rFonts w:ascii="Times New Roman" w:hAnsi="Times New Roman" w:cs="Times New Roman"/>
        </w:rPr>
        <w:t>ed</w:t>
      </w:r>
      <w:r>
        <w:rPr>
          <w:rFonts w:ascii="Times New Roman" w:hAnsi="Times New Roman" w:cs="Times New Roman"/>
        </w:rPr>
        <w:t xml:space="preserve"> 7.8</w:t>
      </w:r>
      <w:r w:rsidR="00CE77C1">
        <w:rPr>
          <w:rFonts w:ascii="Times New Roman" w:hAnsi="Times New Roman" w:cs="Times New Roman"/>
        </w:rPr>
        <w:t>%</w:t>
      </w:r>
      <w:r w:rsidR="00903A63">
        <w:rPr>
          <w:rFonts w:ascii="Times New Roman" w:hAnsi="Times New Roman" w:cs="Times New Roman"/>
        </w:rPr>
        <w:t xml:space="preserve"> </w:t>
      </w:r>
      <w:r>
        <w:rPr>
          <w:rFonts w:ascii="Times New Roman" w:hAnsi="Times New Roman" w:cs="Times New Roman"/>
        </w:rPr>
        <w:t>of U3 nodules</w:t>
      </w:r>
      <w:r w:rsidR="00CE77C1">
        <w:rPr>
          <w:rFonts w:ascii="Times New Roman" w:hAnsi="Times New Roman" w:cs="Times New Roman"/>
        </w:rPr>
        <w:t xml:space="preserve"> in their cohort</w:t>
      </w:r>
      <w:r>
        <w:rPr>
          <w:rFonts w:ascii="Times New Roman" w:hAnsi="Times New Roman" w:cs="Times New Roman"/>
        </w:rPr>
        <w:t xml:space="preserve"> </w:t>
      </w:r>
      <w:r w:rsidR="00CE77C1">
        <w:rPr>
          <w:rFonts w:ascii="Times New Roman" w:hAnsi="Times New Roman" w:cs="Times New Roman"/>
        </w:rPr>
        <w:t xml:space="preserve">to be malignant </w:t>
      </w:r>
      <w:r>
        <w:rPr>
          <w:rFonts w:ascii="Times New Roman" w:hAnsi="Times New Roman" w:cs="Times New Roman"/>
        </w:rPr>
        <w:t>[2</w:t>
      </w:r>
      <w:r w:rsidR="00CE77C1">
        <w:rPr>
          <w:rFonts w:ascii="Times New Roman" w:hAnsi="Times New Roman" w:cs="Times New Roman"/>
        </w:rPr>
        <w:t>]</w:t>
      </w:r>
      <w:r>
        <w:rPr>
          <w:rFonts w:ascii="Times New Roman" w:hAnsi="Times New Roman" w:cs="Times New Roman"/>
        </w:rPr>
        <w:t xml:space="preserve">. </w:t>
      </w:r>
    </w:p>
    <w:p w14:paraId="3E824BA6" w14:textId="1EB358F9" w:rsidR="00912166" w:rsidRDefault="00912166" w:rsidP="001361CF">
      <w:pPr>
        <w:spacing w:line="480" w:lineRule="auto"/>
        <w:rPr>
          <w:rFonts w:ascii="Times New Roman" w:hAnsi="Times New Roman" w:cs="Times New Roman"/>
        </w:rPr>
      </w:pPr>
      <w:r>
        <w:rPr>
          <w:rFonts w:ascii="Times New Roman" w:hAnsi="Times New Roman" w:cs="Times New Roman"/>
        </w:rPr>
        <w:t>Alternatives to the BTA guidelines exist, including the Thyroid Imaging Reporting &amp; Data System (TIRADS) guidelines released separately by the American College of Radiology (ACR) and European Thyroid Association in 2017 [</w:t>
      </w:r>
      <w:r w:rsidR="003A6F6B">
        <w:rPr>
          <w:rFonts w:ascii="Times New Roman" w:hAnsi="Times New Roman" w:cs="Times New Roman"/>
        </w:rPr>
        <w:t>3</w:t>
      </w:r>
      <w:r>
        <w:rPr>
          <w:rFonts w:ascii="Times New Roman" w:hAnsi="Times New Roman" w:cs="Times New Roman"/>
        </w:rPr>
        <w:t>][</w:t>
      </w:r>
      <w:r w:rsidR="003A6F6B">
        <w:rPr>
          <w:rFonts w:ascii="Times New Roman" w:hAnsi="Times New Roman" w:cs="Times New Roman"/>
        </w:rPr>
        <w:t>4</w:t>
      </w:r>
      <w:r>
        <w:rPr>
          <w:rFonts w:ascii="Times New Roman" w:hAnsi="Times New Roman" w:cs="Times New Roman"/>
        </w:rPr>
        <w:t xml:space="preserve">]. Nodules are graded TR1-TR5 or EUTI2-5 in a similar manner to BTA’s U1-U5 categorisation. However, there are </w:t>
      </w:r>
      <w:proofErr w:type="gramStart"/>
      <w:r>
        <w:rPr>
          <w:rFonts w:ascii="Times New Roman" w:hAnsi="Times New Roman" w:cs="Times New Roman"/>
        </w:rPr>
        <w:t>a number of</w:t>
      </w:r>
      <w:proofErr w:type="gramEnd"/>
      <w:r>
        <w:rPr>
          <w:rFonts w:ascii="Times New Roman" w:hAnsi="Times New Roman" w:cs="Times New Roman"/>
        </w:rPr>
        <w:t xml:space="preserve"> key differences between the grading systems, including the consideration of vascularity in BTA guidance, and a size cut off for FNA</w:t>
      </w:r>
      <w:r w:rsidR="00291B69">
        <w:rPr>
          <w:rFonts w:ascii="Times New Roman" w:hAnsi="Times New Roman" w:cs="Times New Roman"/>
        </w:rPr>
        <w:t>C</w:t>
      </w:r>
      <w:r>
        <w:rPr>
          <w:rFonts w:ascii="Times New Roman" w:hAnsi="Times New Roman" w:cs="Times New Roman"/>
        </w:rPr>
        <w:t xml:space="preserve"> factored into the </w:t>
      </w:r>
      <w:r w:rsidR="00903A63">
        <w:rPr>
          <w:rFonts w:ascii="Times New Roman" w:hAnsi="Times New Roman" w:cs="Times New Roman"/>
        </w:rPr>
        <w:t>TIRADS</w:t>
      </w:r>
      <w:r>
        <w:rPr>
          <w:rFonts w:ascii="Times New Roman" w:hAnsi="Times New Roman" w:cs="Times New Roman"/>
        </w:rPr>
        <w:t xml:space="preserve"> assessment [1][</w:t>
      </w:r>
      <w:r w:rsidR="003A6F6B">
        <w:rPr>
          <w:rFonts w:ascii="Times New Roman" w:hAnsi="Times New Roman" w:cs="Times New Roman"/>
        </w:rPr>
        <w:t>3</w:t>
      </w:r>
      <w:r>
        <w:rPr>
          <w:rFonts w:ascii="Times New Roman" w:hAnsi="Times New Roman" w:cs="Times New Roman"/>
        </w:rPr>
        <w:t>][</w:t>
      </w:r>
      <w:r w:rsidR="003A6F6B">
        <w:rPr>
          <w:rFonts w:ascii="Times New Roman" w:hAnsi="Times New Roman" w:cs="Times New Roman"/>
        </w:rPr>
        <w:t>4</w:t>
      </w:r>
      <w:r>
        <w:rPr>
          <w:rFonts w:ascii="Times New Roman" w:hAnsi="Times New Roman" w:cs="Times New Roman"/>
        </w:rPr>
        <w:t>] (</w:t>
      </w:r>
      <w:proofErr w:type="spellStart"/>
      <w:r w:rsidR="003016E0">
        <w:rPr>
          <w:rFonts w:ascii="Times New Roman" w:hAnsi="Times New Roman" w:cs="Times New Roman"/>
        </w:rPr>
        <w:t>Suppl</w:t>
      </w:r>
      <w:proofErr w:type="spellEnd"/>
      <w:r w:rsidR="00D81774">
        <w:rPr>
          <w:rFonts w:ascii="Times New Roman" w:hAnsi="Times New Roman" w:cs="Times New Roman"/>
        </w:rPr>
        <w:t xml:space="preserve"> 1</w:t>
      </w:r>
      <w:r>
        <w:rPr>
          <w:rFonts w:ascii="Times New Roman" w:hAnsi="Times New Roman" w:cs="Times New Roman"/>
        </w:rPr>
        <w:t>). Moreover, if a nodule fails to meet size criteria for FNAC under TIRADS, but is considered suspicious or high-risk, it may meet criteria for US surveillance [</w:t>
      </w:r>
      <w:r w:rsidR="003A6F6B">
        <w:rPr>
          <w:rFonts w:ascii="Times New Roman" w:hAnsi="Times New Roman" w:cs="Times New Roman"/>
        </w:rPr>
        <w:t>3</w:t>
      </w:r>
      <w:r>
        <w:rPr>
          <w:rFonts w:ascii="Times New Roman" w:hAnsi="Times New Roman" w:cs="Times New Roman"/>
        </w:rPr>
        <w:t>][</w:t>
      </w:r>
      <w:r w:rsidR="003A6F6B">
        <w:rPr>
          <w:rFonts w:ascii="Times New Roman" w:hAnsi="Times New Roman" w:cs="Times New Roman"/>
        </w:rPr>
        <w:t>4</w:t>
      </w:r>
      <w:r>
        <w:rPr>
          <w:rFonts w:ascii="Times New Roman" w:hAnsi="Times New Roman" w:cs="Times New Roman"/>
        </w:rPr>
        <w:t>]. The ACR</w:t>
      </w:r>
      <w:r w:rsidR="00291B69">
        <w:rPr>
          <w:rFonts w:ascii="Times New Roman" w:hAnsi="Times New Roman" w:cs="Times New Roman"/>
        </w:rPr>
        <w:t>-</w:t>
      </w:r>
      <w:r>
        <w:rPr>
          <w:rFonts w:ascii="Times New Roman" w:hAnsi="Times New Roman" w:cs="Times New Roman"/>
        </w:rPr>
        <w:t>TIRADS classification was revised in 2019 using an AI algorithm to optimise diagnostic performance</w:t>
      </w:r>
      <w:r w:rsidR="00A0197D">
        <w:rPr>
          <w:rFonts w:ascii="Times New Roman" w:hAnsi="Times New Roman" w:cs="Times New Roman"/>
        </w:rPr>
        <w:t xml:space="preserve"> and simplify characterisation</w:t>
      </w:r>
      <w:r>
        <w:rPr>
          <w:rFonts w:ascii="Times New Roman" w:hAnsi="Times New Roman" w:cs="Times New Roman"/>
        </w:rPr>
        <w:t xml:space="preserve">. The domains for ultrasound scoring remained unchanged, but </w:t>
      </w:r>
      <w:r w:rsidR="00A0197D">
        <w:rPr>
          <w:rFonts w:ascii="Times New Roman" w:hAnsi="Times New Roman" w:cs="Times New Roman"/>
        </w:rPr>
        <w:t>eight ACR</w:t>
      </w:r>
      <w:r w:rsidR="00291B69">
        <w:rPr>
          <w:rFonts w:ascii="Times New Roman" w:hAnsi="Times New Roman" w:cs="Times New Roman"/>
        </w:rPr>
        <w:t>-</w:t>
      </w:r>
      <w:r w:rsidR="00A0197D">
        <w:rPr>
          <w:rFonts w:ascii="Times New Roman" w:hAnsi="Times New Roman" w:cs="Times New Roman"/>
        </w:rPr>
        <w:t xml:space="preserve">TIRADS features were assigned new point </w:t>
      </w:r>
      <w:r w:rsidR="00CE77C1">
        <w:rPr>
          <w:rFonts w:ascii="Times New Roman" w:hAnsi="Times New Roman" w:cs="Times New Roman"/>
        </w:rPr>
        <w:t>values,</w:t>
      </w:r>
      <w:r w:rsidR="00A0197D">
        <w:rPr>
          <w:rFonts w:ascii="Times New Roman" w:hAnsi="Times New Roman" w:cs="Times New Roman"/>
        </w:rPr>
        <w:t xml:space="preserve"> and </w:t>
      </w:r>
      <w:r w:rsidR="00291B69">
        <w:rPr>
          <w:rFonts w:ascii="Times New Roman" w:hAnsi="Times New Roman" w:cs="Times New Roman"/>
        </w:rPr>
        <w:t xml:space="preserve">it </w:t>
      </w:r>
      <w:r w:rsidR="00A0197D">
        <w:rPr>
          <w:rFonts w:ascii="Times New Roman" w:hAnsi="Times New Roman" w:cs="Times New Roman"/>
        </w:rPr>
        <w:t xml:space="preserve">was </w:t>
      </w:r>
      <w:r w:rsidR="00291B69">
        <w:rPr>
          <w:rFonts w:ascii="Times New Roman" w:hAnsi="Times New Roman" w:cs="Times New Roman"/>
        </w:rPr>
        <w:t>re</w:t>
      </w:r>
      <w:r w:rsidR="00A0197D">
        <w:rPr>
          <w:rFonts w:ascii="Times New Roman" w:hAnsi="Times New Roman" w:cs="Times New Roman"/>
        </w:rPr>
        <w:t>named AI-TIRADS</w:t>
      </w:r>
      <w:r>
        <w:rPr>
          <w:rFonts w:ascii="Times New Roman" w:hAnsi="Times New Roman" w:cs="Times New Roman"/>
        </w:rPr>
        <w:t xml:space="preserve"> </w:t>
      </w:r>
      <w:proofErr w:type="gramStart"/>
      <w:r w:rsidR="00A0197D">
        <w:rPr>
          <w:rFonts w:ascii="Times New Roman" w:hAnsi="Times New Roman" w:cs="Times New Roman"/>
        </w:rPr>
        <w:t>in order to</w:t>
      </w:r>
      <w:proofErr w:type="gramEnd"/>
      <w:r w:rsidR="00A0197D">
        <w:rPr>
          <w:rFonts w:ascii="Times New Roman" w:hAnsi="Times New Roman" w:cs="Times New Roman"/>
        </w:rPr>
        <w:t xml:space="preserve"> differentiate it from the original guideline </w:t>
      </w:r>
      <w:r>
        <w:rPr>
          <w:rFonts w:ascii="Times New Roman" w:hAnsi="Times New Roman" w:cs="Times New Roman"/>
        </w:rPr>
        <w:t>[</w:t>
      </w:r>
      <w:r w:rsidR="003A6F6B">
        <w:rPr>
          <w:rFonts w:ascii="Times New Roman" w:hAnsi="Times New Roman" w:cs="Times New Roman"/>
        </w:rPr>
        <w:t>5</w:t>
      </w:r>
      <w:r>
        <w:rPr>
          <w:rFonts w:ascii="Times New Roman" w:hAnsi="Times New Roman" w:cs="Times New Roman"/>
        </w:rPr>
        <w:t>](</w:t>
      </w:r>
      <w:proofErr w:type="spellStart"/>
      <w:r w:rsidR="003016E0">
        <w:rPr>
          <w:rFonts w:ascii="Times New Roman" w:hAnsi="Times New Roman" w:cs="Times New Roman"/>
        </w:rPr>
        <w:t>Suppl</w:t>
      </w:r>
      <w:proofErr w:type="spellEnd"/>
      <w:r w:rsidR="003016E0">
        <w:rPr>
          <w:rFonts w:ascii="Times New Roman" w:hAnsi="Times New Roman" w:cs="Times New Roman"/>
        </w:rPr>
        <w:t xml:space="preserve"> </w:t>
      </w:r>
      <w:r w:rsidR="00D81774">
        <w:rPr>
          <w:rFonts w:ascii="Times New Roman" w:hAnsi="Times New Roman" w:cs="Times New Roman"/>
        </w:rPr>
        <w:t>1</w:t>
      </w:r>
      <w:r>
        <w:rPr>
          <w:rFonts w:ascii="Times New Roman" w:hAnsi="Times New Roman" w:cs="Times New Roman"/>
        </w:rPr>
        <w:t xml:space="preserve">). </w:t>
      </w:r>
    </w:p>
    <w:p w14:paraId="5CCF509A" w14:textId="230B6AAF" w:rsidR="00A0197D" w:rsidRDefault="00A0197D" w:rsidP="001361CF">
      <w:pPr>
        <w:spacing w:line="480" w:lineRule="auto"/>
        <w:rPr>
          <w:rFonts w:ascii="Times New Roman" w:hAnsi="Times New Roman" w:cs="Times New Roman"/>
        </w:rPr>
      </w:pPr>
    </w:p>
    <w:p w14:paraId="23319E69" w14:textId="316C0CE0" w:rsidR="00912166" w:rsidRDefault="00912166" w:rsidP="001361CF">
      <w:pPr>
        <w:spacing w:line="480" w:lineRule="auto"/>
        <w:rPr>
          <w:rFonts w:ascii="Times New Roman" w:hAnsi="Times New Roman" w:cs="Times New Roman"/>
        </w:rPr>
      </w:pPr>
      <w:r>
        <w:rPr>
          <w:rFonts w:ascii="Times New Roman" w:hAnsi="Times New Roman" w:cs="Times New Roman"/>
        </w:rPr>
        <w:t xml:space="preserve">Which risk stratification system (RSS) is considered most appropriate in assessing and managing potential thyroid malignant nodules is an important consideration. Incidence rates of thyroid malignancy have increased by </w:t>
      </w:r>
      <w:r w:rsidR="007F3CAB">
        <w:rPr>
          <w:rFonts w:ascii="Times New Roman" w:hAnsi="Times New Roman" w:cs="Times New Roman"/>
        </w:rPr>
        <w:t>175</w:t>
      </w:r>
      <w:r>
        <w:rPr>
          <w:rFonts w:ascii="Times New Roman" w:hAnsi="Times New Roman" w:cs="Times New Roman"/>
        </w:rPr>
        <w:t xml:space="preserve">% in the UK </w:t>
      </w:r>
      <w:r w:rsidR="007F3CAB">
        <w:rPr>
          <w:rFonts w:ascii="Times New Roman" w:hAnsi="Times New Roman" w:cs="Times New Roman"/>
        </w:rPr>
        <w:t>since the early 1990’s and are continuing to rise,</w:t>
      </w:r>
      <w:r>
        <w:rPr>
          <w:rFonts w:ascii="Times New Roman" w:hAnsi="Times New Roman" w:cs="Times New Roman"/>
        </w:rPr>
        <w:t xml:space="preserve"> </w:t>
      </w:r>
      <w:r w:rsidR="007F3CAB">
        <w:rPr>
          <w:rFonts w:ascii="Times New Roman" w:hAnsi="Times New Roman" w:cs="Times New Roman"/>
        </w:rPr>
        <w:t>with a further</w:t>
      </w:r>
      <w:r>
        <w:rPr>
          <w:rFonts w:ascii="Times New Roman" w:hAnsi="Times New Roman" w:cs="Times New Roman"/>
        </w:rPr>
        <w:t xml:space="preserve"> rise </w:t>
      </w:r>
      <w:r w:rsidR="007F3CAB">
        <w:rPr>
          <w:rFonts w:ascii="Times New Roman" w:hAnsi="Times New Roman" w:cs="Times New Roman"/>
        </w:rPr>
        <w:t xml:space="preserve">of </w:t>
      </w:r>
      <w:r>
        <w:rPr>
          <w:rFonts w:ascii="Times New Roman" w:hAnsi="Times New Roman" w:cs="Times New Roman"/>
        </w:rPr>
        <w:t>74%</w:t>
      </w:r>
      <w:r w:rsidR="00291B69">
        <w:rPr>
          <w:rFonts w:ascii="Times New Roman" w:hAnsi="Times New Roman" w:cs="Times New Roman"/>
        </w:rPr>
        <w:t xml:space="preserve"> increase</w:t>
      </w:r>
      <w:r>
        <w:rPr>
          <w:rFonts w:ascii="Times New Roman" w:hAnsi="Times New Roman" w:cs="Times New Roman"/>
        </w:rPr>
        <w:t xml:space="preserve"> </w:t>
      </w:r>
      <w:r w:rsidR="007F3CAB">
        <w:rPr>
          <w:rFonts w:ascii="Times New Roman" w:hAnsi="Times New Roman" w:cs="Times New Roman"/>
        </w:rPr>
        <w:t xml:space="preserve">expected </w:t>
      </w:r>
      <w:r>
        <w:rPr>
          <w:rFonts w:ascii="Times New Roman" w:hAnsi="Times New Roman" w:cs="Times New Roman"/>
        </w:rPr>
        <w:t>between 2014-2035</w:t>
      </w:r>
      <w:r w:rsidR="00517FE3">
        <w:rPr>
          <w:rFonts w:ascii="Times New Roman" w:hAnsi="Times New Roman" w:cs="Times New Roman"/>
        </w:rPr>
        <w:t xml:space="preserve"> </w:t>
      </w:r>
      <w:r>
        <w:rPr>
          <w:rFonts w:ascii="Times New Roman" w:hAnsi="Times New Roman" w:cs="Times New Roman"/>
        </w:rPr>
        <w:t>[</w:t>
      </w:r>
      <w:r w:rsidR="003A6F6B">
        <w:rPr>
          <w:rFonts w:ascii="Times New Roman" w:hAnsi="Times New Roman" w:cs="Times New Roman"/>
        </w:rPr>
        <w:t>6</w:t>
      </w:r>
      <w:r>
        <w:rPr>
          <w:rFonts w:ascii="Times New Roman" w:hAnsi="Times New Roman" w:cs="Times New Roman"/>
        </w:rPr>
        <w:t xml:space="preserve">]. Despite this significant rise in the </w:t>
      </w:r>
      <w:r>
        <w:rPr>
          <w:rFonts w:ascii="Times New Roman" w:hAnsi="Times New Roman" w:cs="Times New Roman"/>
        </w:rPr>
        <w:lastRenderedPageBreak/>
        <w:t xml:space="preserve">incidence of thyroid malignancy, mortality rates have remained broadly stable. The increased incidence is largely due to an increase in </w:t>
      </w:r>
      <w:r w:rsidR="007F3CAB">
        <w:rPr>
          <w:rFonts w:ascii="Times New Roman" w:hAnsi="Times New Roman" w:cs="Times New Roman"/>
        </w:rPr>
        <w:t xml:space="preserve">demand for </w:t>
      </w:r>
      <w:r>
        <w:rPr>
          <w:rFonts w:ascii="Times New Roman" w:hAnsi="Times New Roman" w:cs="Times New Roman"/>
        </w:rPr>
        <w:t>US assessment of the neck, and the subsequent diagnosis of small, often incidentally found, low-risk malignancies which may have remained undetected and non-troublesome previously [</w:t>
      </w:r>
      <w:r w:rsidR="003A6F6B">
        <w:rPr>
          <w:rFonts w:ascii="Times New Roman" w:hAnsi="Times New Roman" w:cs="Times New Roman"/>
        </w:rPr>
        <w:t>7</w:t>
      </w:r>
      <w:r>
        <w:rPr>
          <w:rFonts w:ascii="Times New Roman" w:hAnsi="Times New Roman" w:cs="Times New Roman"/>
        </w:rPr>
        <w:t>][</w:t>
      </w:r>
      <w:r w:rsidR="003A6F6B">
        <w:rPr>
          <w:rFonts w:ascii="Times New Roman" w:hAnsi="Times New Roman" w:cs="Times New Roman"/>
        </w:rPr>
        <w:t>8</w:t>
      </w:r>
      <w:r>
        <w:rPr>
          <w:rFonts w:ascii="Times New Roman" w:hAnsi="Times New Roman" w:cs="Times New Roman"/>
        </w:rPr>
        <w:t>][</w:t>
      </w:r>
      <w:r w:rsidR="003A6F6B">
        <w:rPr>
          <w:rFonts w:ascii="Times New Roman" w:hAnsi="Times New Roman" w:cs="Times New Roman"/>
        </w:rPr>
        <w:t>9</w:t>
      </w:r>
      <w:r>
        <w:rPr>
          <w:rFonts w:ascii="Times New Roman" w:hAnsi="Times New Roman" w:cs="Times New Roman"/>
        </w:rPr>
        <w:t>].</w:t>
      </w:r>
    </w:p>
    <w:p w14:paraId="3F0E510F" w14:textId="3E2D627F" w:rsidR="00912166" w:rsidRDefault="007F3CAB" w:rsidP="001361CF">
      <w:pPr>
        <w:spacing w:line="480" w:lineRule="auto"/>
        <w:rPr>
          <w:rFonts w:ascii="Times New Roman" w:hAnsi="Times New Roman" w:cs="Times New Roman"/>
        </w:rPr>
      </w:pPr>
      <w:r>
        <w:rPr>
          <w:rFonts w:ascii="Times New Roman" w:hAnsi="Times New Roman" w:cs="Times New Roman"/>
        </w:rPr>
        <w:t>This i</w:t>
      </w:r>
      <w:r w:rsidR="00912166">
        <w:rPr>
          <w:rFonts w:ascii="Times New Roman" w:hAnsi="Times New Roman" w:cs="Times New Roman"/>
        </w:rPr>
        <w:t>ncreased demand on US services have far reaching consequences</w:t>
      </w:r>
      <w:r>
        <w:rPr>
          <w:rFonts w:ascii="Times New Roman" w:hAnsi="Times New Roman" w:cs="Times New Roman"/>
        </w:rPr>
        <w:t xml:space="preserve">. </w:t>
      </w:r>
      <w:r w:rsidR="00912166">
        <w:rPr>
          <w:rFonts w:ascii="Times New Roman" w:hAnsi="Times New Roman" w:cs="Times New Roman"/>
        </w:rPr>
        <w:t>U</w:t>
      </w:r>
      <w:r w:rsidR="00CE77C1">
        <w:rPr>
          <w:rFonts w:ascii="Times New Roman" w:hAnsi="Times New Roman" w:cs="Times New Roman"/>
        </w:rPr>
        <w:t xml:space="preserve">pskilling </w:t>
      </w:r>
      <w:r w:rsidR="00912166">
        <w:rPr>
          <w:rFonts w:ascii="Times New Roman" w:hAnsi="Times New Roman" w:cs="Times New Roman"/>
        </w:rPr>
        <w:t>of specialist head and neck sonographers have been required to help shorten waiting lists and improve service efficiency, and worldwide demand for thyroidectomy</w:t>
      </w:r>
      <w:r>
        <w:rPr>
          <w:rFonts w:ascii="Times New Roman" w:hAnsi="Times New Roman" w:cs="Times New Roman"/>
        </w:rPr>
        <w:t xml:space="preserve"> (diagnostic and therapeutic)</w:t>
      </w:r>
      <w:r w:rsidR="00912166">
        <w:rPr>
          <w:rFonts w:ascii="Times New Roman" w:hAnsi="Times New Roman" w:cs="Times New Roman"/>
        </w:rPr>
        <w:t xml:space="preserve"> services </w:t>
      </w:r>
      <w:r>
        <w:rPr>
          <w:rFonts w:ascii="Times New Roman" w:hAnsi="Times New Roman" w:cs="Times New Roman"/>
        </w:rPr>
        <w:t>have reported</w:t>
      </w:r>
      <w:r w:rsidR="00912166">
        <w:rPr>
          <w:rFonts w:ascii="Times New Roman" w:hAnsi="Times New Roman" w:cs="Times New Roman"/>
        </w:rPr>
        <w:t xml:space="preserve"> </w:t>
      </w:r>
      <w:r>
        <w:rPr>
          <w:rFonts w:ascii="Times New Roman" w:hAnsi="Times New Roman" w:cs="Times New Roman"/>
        </w:rPr>
        <w:t xml:space="preserve">a 3-4-fold </w:t>
      </w:r>
      <w:r w:rsidR="00912166">
        <w:rPr>
          <w:rFonts w:ascii="Times New Roman" w:hAnsi="Times New Roman" w:cs="Times New Roman"/>
        </w:rPr>
        <w:t>increase, with</w:t>
      </w:r>
      <w:r w:rsidR="00601235">
        <w:rPr>
          <w:rFonts w:ascii="Times New Roman" w:hAnsi="Times New Roman" w:cs="Times New Roman"/>
        </w:rPr>
        <w:t xml:space="preserve"> little impact on</w:t>
      </w:r>
      <w:r w:rsidR="00912166">
        <w:rPr>
          <w:rFonts w:ascii="Times New Roman" w:hAnsi="Times New Roman" w:cs="Times New Roman"/>
        </w:rPr>
        <w:t xml:space="preserve"> </w:t>
      </w:r>
      <w:r w:rsidR="00601235">
        <w:rPr>
          <w:rFonts w:ascii="Times New Roman" w:hAnsi="Times New Roman" w:cs="Times New Roman"/>
        </w:rPr>
        <w:t>stable mortality rates</w:t>
      </w:r>
      <w:r w:rsidR="00912166">
        <w:rPr>
          <w:rFonts w:ascii="Times New Roman" w:hAnsi="Times New Roman" w:cs="Times New Roman"/>
        </w:rPr>
        <w:t xml:space="preserve"> </w:t>
      </w:r>
      <w:r>
        <w:rPr>
          <w:rFonts w:ascii="Times New Roman" w:hAnsi="Times New Roman" w:cs="Times New Roman"/>
        </w:rPr>
        <w:t>[1</w:t>
      </w:r>
      <w:r w:rsidR="003A6F6B">
        <w:rPr>
          <w:rFonts w:ascii="Times New Roman" w:hAnsi="Times New Roman" w:cs="Times New Roman"/>
        </w:rPr>
        <w:t>0</w:t>
      </w:r>
      <w:r w:rsidR="00601235">
        <w:rPr>
          <w:rFonts w:ascii="Times New Roman" w:hAnsi="Times New Roman" w:cs="Times New Roman"/>
        </w:rPr>
        <w:t>]</w:t>
      </w:r>
      <w:r>
        <w:rPr>
          <w:rFonts w:ascii="Times New Roman" w:hAnsi="Times New Roman" w:cs="Times New Roman"/>
        </w:rPr>
        <w:t>[1</w:t>
      </w:r>
      <w:r w:rsidR="003A6F6B">
        <w:rPr>
          <w:rFonts w:ascii="Times New Roman" w:hAnsi="Times New Roman" w:cs="Times New Roman"/>
        </w:rPr>
        <w:t>1</w:t>
      </w:r>
      <w:r w:rsidR="00912166">
        <w:rPr>
          <w:rFonts w:ascii="Times New Roman" w:hAnsi="Times New Roman" w:cs="Times New Roman"/>
        </w:rPr>
        <w:t>][</w:t>
      </w:r>
      <w:r>
        <w:rPr>
          <w:rFonts w:ascii="Times New Roman" w:hAnsi="Times New Roman" w:cs="Times New Roman"/>
        </w:rPr>
        <w:t>1</w:t>
      </w:r>
      <w:r w:rsidR="003A6F6B">
        <w:rPr>
          <w:rFonts w:ascii="Times New Roman" w:hAnsi="Times New Roman" w:cs="Times New Roman"/>
        </w:rPr>
        <w:t>2</w:t>
      </w:r>
      <w:r w:rsidR="00912166">
        <w:rPr>
          <w:rFonts w:ascii="Times New Roman" w:hAnsi="Times New Roman" w:cs="Times New Roman"/>
        </w:rPr>
        <w:t>]</w:t>
      </w:r>
      <w:r w:rsidR="00601235">
        <w:rPr>
          <w:rFonts w:ascii="Times New Roman" w:hAnsi="Times New Roman" w:cs="Times New Roman"/>
        </w:rPr>
        <w:t>[1</w:t>
      </w:r>
      <w:r w:rsidR="003A6F6B">
        <w:rPr>
          <w:rFonts w:ascii="Times New Roman" w:hAnsi="Times New Roman" w:cs="Times New Roman"/>
        </w:rPr>
        <w:t>3</w:t>
      </w:r>
      <w:r w:rsidR="00601235">
        <w:rPr>
          <w:rFonts w:ascii="Times New Roman" w:hAnsi="Times New Roman" w:cs="Times New Roman"/>
        </w:rPr>
        <w:t>]</w:t>
      </w:r>
      <w:r w:rsidR="00912166">
        <w:rPr>
          <w:rFonts w:ascii="Times New Roman" w:hAnsi="Times New Roman" w:cs="Times New Roman"/>
        </w:rPr>
        <w:t>. Over-diagnosis is therefore a tangible concern with impact on patients and NHS services alike</w:t>
      </w:r>
      <w:r w:rsidR="003016E0">
        <w:rPr>
          <w:rFonts w:ascii="Times New Roman" w:hAnsi="Times New Roman" w:cs="Times New Roman"/>
        </w:rPr>
        <w:t>.</w:t>
      </w:r>
    </w:p>
    <w:p w14:paraId="2348707C" w14:textId="5F820366" w:rsidR="00912166" w:rsidRDefault="00601235" w:rsidP="001361CF">
      <w:pPr>
        <w:spacing w:line="480" w:lineRule="auto"/>
        <w:rPr>
          <w:rFonts w:ascii="Times New Roman" w:hAnsi="Times New Roman" w:cs="Times New Roman"/>
        </w:rPr>
      </w:pPr>
      <w:r>
        <w:rPr>
          <w:rFonts w:ascii="Times New Roman" w:hAnsi="Times New Roman" w:cs="Times New Roman"/>
        </w:rPr>
        <w:t xml:space="preserve">As a result of concern regarding over-sampling and subsequent over-diagnosis of indolent thyroid cancers, particularly those deemed indeterminate at ultrasound evaluation, the impact of RSS choice in this nodule subset is of clinical interest. </w:t>
      </w:r>
      <w:r w:rsidR="00912166">
        <w:rPr>
          <w:rFonts w:ascii="Times New Roman" w:hAnsi="Times New Roman" w:cs="Times New Roman"/>
        </w:rPr>
        <w:t>The aims of this paper are to:</w:t>
      </w:r>
    </w:p>
    <w:p w14:paraId="2D101C31" w14:textId="50820694" w:rsidR="00912166" w:rsidRPr="00162C67" w:rsidRDefault="00912166" w:rsidP="001361CF">
      <w:pPr>
        <w:pStyle w:val="ListParagraph"/>
        <w:numPr>
          <w:ilvl w:val="0"/>
          <w:numId w:val="2"/>
        </w:numPr>
        <w:spacing w:line="480" w:lineRule="auto"/>
        <w:rPr>
          <w:rFonts w:ascii="Times New Roman" w:hAnsi="Times New Roman" w:cs="Times New Roman"/>
        </w:rPr>
      </w:pPr>
      <w:r>
        <w:rPr>
          <w:rFonts w:ascii="Times New Roman" w:hAnsi="Times New Roman" w:cs="Times New Roman"/>
        </w:rPr>
        <w:t>Compare differences in FNA</w:t>
      </w:r>
      <w:r w:rsidR="00291B69">
        <w:rPr>
          <w:rFonts w:ascii="Times New Roman" w:hAnsi="Times New Roman" w:cs="Times New Roman"/>
        </w:rPr>
        <w:t>C</w:t>
      </w:r>
      <w:r>
        <w:rPr>
          <w:rFonts w:ascii="Times New Roman" w:hAnsi="Times New Roman" w:cs="Times New Roman"/>
        </w:rPr>
        <w:t xml:space="preserve"> rate between BTA guidance and a retrospectively applied ACR</w:t>
      </w:r>
      <w:r w:rsidR="00291B69">
        <w:rPr>
          <w:rFonts w:ascii="Times New Roman" w:hAnsi="Times New Roman" w:cs="Times New Roman"/>
        </w:rPr>
        <w:t>-</w:t>
      </w:r>
      <w:r w:rsidRPr="00162C67">
        <w:rPr>
          <w:rFonts w:ascii="Times New Roman" w:hAnsi="Times New Roman" w:cs="Times New Roman"/>
        </w:rPr>
        <w:t>TIRADS</w:t>
      </w:r>
      <w:r w:rsidR="00601235">
        <w:rPr>
          <w:rFonts w:ascii="Times New Roman" w:hAnsi="Times New Roman" w:cs="Times New Roman"/>
        </w:rPr>
        <w:t>, EU-TIRADS and AI-TIRADS</w:t>
      </w:r>
      <w:r w:rsidRPr="00162C67">
        <w:rPr>
          <w:rFonts w:ascii="Times New Roman" w:hAnsi="Times New Roman" w:cs="Times New Roman"/>
        </w:rPr>
        <w:t xml:space="preserve"> guidance</w:t>
      </w:r>
      <w:r w:rsidR="00601235">
        <w:rPr>
          <w:rFonts w:ascii="Times New Roman" w:hAnsi="Times New Roman" w:cs="Times New Roman"/>
        </w:rPr>
        <w:t xml:space="preserve"> for indeterminate (U3) thyroid nodules</w:t>
      </w:r>
      <w:r w:rsidR="00E7196D">
        <w:rPr>
          <w:rFonts w:ascii="Times New Roman" w:hAnsi="Times New Roman" w:cs="Times New Roman"/>
        </w:rPr>
        <w:t xml:space="preserve"> at our institution</w:t>
      </w:r>
      <w:r w:rsidRPr="00162C67">
        <w:rPr>
          <w:rFonts w:ascii="Times New Roman" w:hAnsi="Times New Roman" w:cs="Times New Roman"/>
        </w:rPr>
        <w:t>.</w:t>
      </w:r>
    </w:p>
    <w:p w14:paraId="5E1640CA" w14:textId="7EF9A057" w:rsidR="00912166" w:rsidRDefault="00912166" w:rsidP="001361CF">
      <w:pPr>
        <w:pStyle w:val="ListParagraph"/>
        <w:numPr>
          <w:ilvl w:val="0"/>
          <w:numId w:val="2"/>
        </w:numPr>
        <w:spacing w:line="480" w:lineRule="auto"/>
        <w:rPr>
          <w:rFonts w:ascii="Times New Roman" w:hAnsi="Times New Roman" w:cs="Times New Roman"/>
        </w:rPr>
      </w:pPr>
      <w:r>
        <w:rPr>
          <w:rFonts w:ascii="Times New Roman" w:hAnsi="Times New Roman" w:cs="Times New Roman"/>
        </w:rPr>
        <w:t xml:space="preserve">Consider the </w:t>
      </w:r>
      <w:r w:rsidR="00903A63">
        <w:rPr>
          <w:rFonts w:ascii="Times New Roman" w:hAnsi="Times New Roman" w:cs="Times New Roman"/>
        </w:rPr>
        <w:t xml:space="preserve">potential </w:t>
      </w:r>
      <w:r>
        <w:rPr>
          <w:rFonts w:ascii="Times New Roman" w:hAnsi="Times New Roman" w:cs="Times New Roman"/>
        </w:rPr>
        <w:t xml:space="preserve">significance of any downstream impact on frequency of </w:t>
      </w:r>
      <w:r w:rsidR="003016E0">
        <w:rPr>
          <w:rFonts w:ascii="Times New Roman" w:hAnsi="Times New Roman" w:cs="Times New Roman"/>
        </w:rPr>
        <w:t>surgical activity</w:t>
      </w:r>
      <w:r>
        <w:rPr>
          <w:rFonts w:ascii="Times New Roman" w:hAnsi="Times New Roman" w:cs="Times New Roman"/>
        </w:rPr>
        <w:t xml:space="preserve"> as a direct result of guideline choice.</w:t>
      </w:r>
    </w:p>
    <w:p w14:paraId="116A4D08" w14:textId="6E23154F" w:rsidR="00601235" w:rsidRDefault="00601235" w:rsidP="001361CF">
      <w:pPr>
        <w:pStyle w:val="ListParagraph"/>
        <w:numPr>
          <w:ilvl w:val="0"/>
          <w:numId w:val="2"/>
        </w:numPr>
        <w:spacing w:line="480" w:lineRule="auto"/>
        <w:rPr>
          <w:rFonts w:ascii="Times New Roman" w:hAnsi="Times New Roman" w:cs="Times New Roman"/>
        </w:rPr>
      </w:pPr>
      <w:r>
        <w:rPr>
          <w:rFonts w:ascii="Times New Roman" w:hAnsi="Times New Roman" w:cs="Times New Roman"/>
        </w:rPr>
        <w:t xml:space="preserve">Compare the cancer detection rate of each retrospectively applied </w:t>
      </w:r>
      <w:r w:rsidR="00291B69">
        <w:rPr>
          <w:rFonts w:ascii="Times New Roman" w:hAnsi="Times New Roman" w:cs="Times New Roman"/>
        </w:rPr>
        <w:t>RSS</w:t>
      </w:r>
      <w:r>
        <w:rPr>
          <w:rFonts w:ascii="Times New Roman" w:hAnsi="Times New Roman" w:cs="Times New Roman"/>
        </w:rPr>
        <w:t xml:space="preserve"> for indeterminate (U3) thyroid nodules removed locally under BTA guidance</w:t>
      </w:r>
      <w:r w:rsidR="00E7196D">
        <w:rPr>
          <w:rFonts w:ascii="Times New Roman" w:hAnsi="Times New Roman" w:cs="Times New Roman"/>
        </w:rPr>
        <w:t xml:space="preserve"> </w:t>
      </w:r>
      <w:r w:rsidR="003016E0">
        <w:rPr>
          <w:rFonts w:ascii="Times New Roman" w:hAnsi="Times New Roman" w:cs="Times New Roman"/>
        </w:rPr>
        <w:t xml:space="preserve">within </w:t>
      </w:r>
      <w:r w:rsidR="00E7196D">
        <w:rPr>
          <w:rFonts w:ascii="Times New Roman" w:hAnsi="Times New Roman" w:cs="Times New Roman"/>
        </w:rPr>
        <w:t>our cohort</w:t>
      </w:r>
      <w:r>
        <w:rPr>
          <w:rFonts w:ascii="Times New Roman" w:hAnsi="Times New Roman" w:cs="Times New Roman"/>
        </w:rPr>
        <w:t>.</w:t>
      </w:r>
    </w:p>
    <w:p w14:paraId="054C4FA2" w14:textId="133BEB5C" w:rsidR="00713020" w:rsidRDefault="00912166" w:rsidP="001361CF">
      <w:pPr>
        <w:pStyle w:val="ListParagraph"/>
        <w:numPr>
          <w:ilvl w:val="0"/>
          <w:numId w:val="2"/>
        </w:numPr>
        <w:spacing w:line="480" w:lineRule="auto"/>
        <w:rPr>
          <w:rFonts w:ascii="Times New Roman" w:hAnsi="Times New Roman" w:cs="Times New Roman"/>
        </w:rPr>
      </w:pPr>
      <w:r>
        <w:rPr>
          <w:rFonts w:ascii="Times New Roman" w:hAnsi="Times New Roman" w:cs="Times New Roman"/>
        </w:rPr>
        <w:t>Compare interobserver variability between radiologists/practitioners performing retrospective ACR TI-RADS</w:t>
      </w:r>
      <w:r w:rsidR="00601235">
        <w:rPr>
          <w:rFonts w:ascii="Times New Roman" w:hAnsi="Times New Roman" w:cs="Times New Roman"/>
        </w:rPr>
        <w:t>, EU-TIRADS and AI-TIRADS</w:t>
      </w:r>
      <w:r>
        <w:rPr>
          <w:rFonts w:ascii="Times New Roman" w:hAnsi="Times New Roman" w:cs="Times New Roman"/>
        </w:rPr>
        <w:t xml:space="preserve"> application and comparison with published interobserver variability</w:t>
      </w:r>
      <w:r w:rsidR="003016E0">
        <w:rPr>
          <w:rFonts w:ascii="Times New Roman" w:hAnsi="Times New Roman" w:cs="Times New Roman"/>
        </w:rPr>
        <w:t xml:space="preserve"> results.</w:t>
      </w:r>
      <w:r>
        <w:rPr>
          <w:rFonts w:ascii="Times New Roman" w:hAnsi="Times New Roman" w:cs="Times New Roman"/>
        </w:rPr>
        <w:t xml:space="preserve"> </w:t>
      </w:r>
    </w:p>
    <w:p w14:paraId="16D7EB8D" w14:textId="77777777" w:rsidR="00291B69" w:rsidRPr="00291B69" w:rsidRDefault="00291B69" w:rsidP="001361CF">
      <w:pPr>
        <w:pStyle w:val="ListParagraph"/>
        <w:spacing w:line="480" w:lineRule="auto"/>
        <w:ind w:left="1080"/>
        <w:rPr>
          <w:rFonts w:ascii="Times New Roman" w:hAnsi="Times New Roman" w:cs="Times New Roman"/>
        </w:rPr>
      </w:pPr>
    </w:p>
    <w:p w14:paraId="12C0FE40" w14:textId="77777777" w:rsidR="00713020" w:rsidRDefault="00713020" w:rsidP="001361CF">
      <w:pPr>
        <w:spacing w:line="480" w:lineRule="auto"/>
        <w:rPr>
          <w:rFonts w:ascii="Times New Roman" w:hAnsi="Times New Roman" w:cs="Times New Roman"/>
          <w:b/>
          <w:bCs/>
        </w:rPr>
      </w:pPr>
      <w:r w:rsidRPr="003B6288">
        <w:rPr>
          <w:rFonts w:ascii="Times New Roman" w:hAnsi="Times New Roman" w:cs="Times New Roman"/>
          <w:b/>
          <w:bCs/>
        </w:rPr>
        <w:t>Methods</w:t>
      </w:r>
    </w:p>
    <w:p w14:paraId="10E694B3" w14:textId="77777777" w:rsidR="00713020" w:rsidRPr="00E65753" w:rsidRDefault="00713020" w:rsidP="001361CF">
      <w:pPr>
        <w:spacing w:line="480" w:lineRule="auto"/>
        <w:rPr>
          <w:rFonts w:ascii="Times New Roman" w:hAnsi="Times New Roman" w:cs="Times New Roman"/>
          <w:u w:val="single"/>
        </w:rPr>
      </w:pPr>
      <w:r w:rsidRPr="00E65753">
        <w:rPr>
          <w:rFonts w:ascii="Times New Roman" w:hAnsi="Times New Roman" w:cs="Times New Roman"/>
          <w:u w:val="single"/>
        </w:rPr>
        <w:t>Patient selection</w:t>
      </w:r>
    </w:p>
    <w:p w14:paraId="450F6D1E" w14:textId="19F30843" w:rsidR="00713020" w:rsidRDefault="00713020" w:rsidP="001361CF">
      <w:pPr>
        <w:spacing w:line="480" w:lineRule="auto"/>
        <w:rPr>
          <w:rFonts w:ascii="Times New Roman" w:hAnsi="Times New Roman" w:cs="Times New Roman"/>
        </w:rPr>
      </w:pPr>
      <w:r>
        <w:rPr>
          <w:rFonts w:ascii="Times New Roman" w:hAnsi="Times New Roman" w:cs="Times New Roman"/>
        </w:rPr>
        <w:lastRenderedPageBreak/>
        <w:t xml:space="preserve">Patients who had undergone an ultrasound at </w:t>
      </w:r>
      <w:r w:rsidR="000227AE">
        <w:rPr>
          <w:rFonts w:ascii="Times New Roman" w:hAnsi="Times New Roman" w:cs="Times New Roman"/>
        </w:rPr>
        <w:t>[</w:t>
      </w:r>
      <w:proofErr w:type="spellStart"/>
      <w:r w:rsidR="000227AE">
        <w:rPr>
          <w:rFonts w:ascii="Times New Roman" w:hAnsi="Times New Roman" w:cs="Times New Roman"/>
        </w:rPr>
        <w:t>xxxxxxxxxxxxxx</w:t>
      </w:r>
      <w:proofErr w:type="spellEnd"/>
      <w:r w:rsidR="000227AE">
        <w:rPr>
          <w:rFonts w:ascii="Times New Roman" w:hAnsi="Times New Roman" w:cs="Times New Roman"/>
        </w:rPr>
        <w:t>]</w:t>
      </w:r>
      <w:r>
        <w:rPr>
          <w:rFonts w:ascii="Times New Roman" w:hAnsi="Times New Roman" w:cs="Times New Roman"/>
        </w:rPr>
        <w:t xml:space="preserve"> coded on CRIS© as ‘UNECK’ or ‘UTHYD’ between 01/11/2021 and 31/10/2022 were identified retrospectively. All patients who were</w:t>
      </w:r>
      <w:r w:rsidR="00C536A5">
        <w:rPr>
          <w:rFonts w:ascii="Times New Roman" w:hAnsi="Times New Roman" w:cs="Times New Roman"/>
        </w:rPr>
        <w:t xml:space="preserve"> reported</w:t>
      </w:r>
      <w:r>
        <w:rPr>
          <w:rFonts w:ascii="Times New Roman" w:hAnsi="Times New Roman" w:cs="Times New Roman"/>
        </w:rPr>
        <w:t xml:space="preserve"> to have an indeterminate U3 thyroid nodule according to the British Thyroid Association guidelines were included</w:t>
      </w:r>
      <w:r w:rsidR="00843E48">
        <w:rPr>
          <w:rFonts w:ascii="Times New Roman" w:hAnsi="Times New Roman" w:cs="Times New Roman"/>
        </w:rPr>
        <w:t xml:space="preserve"> </w:t>
      </w:r>
      <w:r>
        <w:rPr>
          <w:rFonts w:ascii="Times New Roman" w:hAnsi="Times New Roman" w:cs="Times New Roman"/>
        </w:rPr>
        <w:t xml:space="preserve"> [1]. Exclusion criteria were – non-indeterminate (U3) nodules, U3 nodules which did not receive an FNA, repeat US or FNA of the same nodule and patients receiving post-op imaging. All patients were scanned by either a consultant head and neck radiologist, radiology registrar undergoing head and neck radiology sub-specialist training or a specialist head and neck sonographer. Registrar and sonographer scans were overseen by a head and neck radiology consultant and their input sought if deemed necessary at the time of scanning. </w:t>
      </w:r>
    </w:p>
    <w:p w14:paraId="7BD9F9FA" w14:textId="77777777" w:rsidR="00713020" w:rsidRPr="00E65753" w:rsidRDefault="00713020" w:rsidP="001361CF">
      <w:pPr>
        <w:spacing w:line="480" w:lineRule="auto"/>
        <w:rPr>
          <w:rFonts w:ascii="Times New Roman" w:hAnsi="Times New Roman" w:cs="Times New Roman"/>
          <w:u w:val="single"/>
        </w:rPr>
      </w:pPr>
      <w:r w:rsidRPr="00E65753">
        <w:rPr>
          <w:rFonts w:ascii="Times New Roman" w:hAnsi="Times New Roman" w:cs="Times New Roman"/>
          <w:u w:val="single"/>
        </w:rPr>
        <w:t>Data collection and analysis</w:t>
      </w:r>
    </w:p>
    <w:p w14:paraId="7457E31A" w14:textId="3E76A225" w:rsidR="00713020" w:rsidRDefault="003016E0" w:rsidP="001361CF">
      <w:pPr>
        <w:spacing w:line="480" w:lineRule="auto"/>
        <w:rPr>
          <w:rFonts w:ascii="Times New Roman" w:hAnsi="Times New Roman" w:cs="Times New Roman"/>
        </w:rPr>
      </w:pPr>
      <w:r>
        <w:rPr>
          <w:rFonts w:ascii="Times New Roman" w:hAnsi="Times New Roman" w:cs="Times New Roman"/>
        </w:rPr>
        <w:t>Basic demographics, histology</w:t>
      </w:r>
      <w:r w:rsidR="00713020">
        <w:rPr>
          <w:rFonts w:ascii="Times New Roman" w:hAnsi="Times New Roman" w:cs="Times New Roman"/>
        </w:rPr>
        <w:t xml:space="preserve"> and </w:t>
      </w:r>
      <w:r w:rsidR="00C536A5">
        <w:rPr>
          <w:rFonts w:ascii="Times New Roman" w:hAnsi="Times New Roman" w:cs="Times New Roman"/>
        </w:rPr>
        <w:t>Multidisciplinary Team (</w:t>
      </w:r>
      <w:r w:rsidR="00713020">
        <w:rPr>
          <w:rFonts w:ascii="Times New Roman" w:hAnsi="Times New Roman" w:cs="Times New Roman"/>
        </w:rPr>
        <w:t>MDT</w:t>
      </w:r>
      <w:r w:rsidR="00C536A5">
        <w:rPr>
          <w:rFonts w:ascii="Times New Roman" w:hAnsi="Times New Roman" w:cs="Times New Roman"/>
        </w:rPr>
        <w:t>)</w:t>
      </w:r>
      <w:r w:rsidR="00713020">
        <w:rPr>
          <w:rFonts w:ascii="Times New Roman" w:hAnsi="Times New Roman" w:cs="Times New Roman"/>
        </w:rPr>
        <w:t>/clinical outcomes were retrieved retrospectively via Minestrone©, the hospital record keeping software. BTA U3 nodules were retrospectively rescored using the ACR-TIRADS</w:t>
      </w:r>
      <w:r w:rsidR="00452D51">
        <w:rPr>
          <w:rFonts w:ascii="Times New Roman" w:hAnsi="Times New Roman" w:cs="Times New Roman"/>
        </w:rPr>
        <w:t>,</w:t>
      </w:r>
      <w:r w:rsidR="00713020">
        <w:rPr>
          <w:rFonts w:ascii="Times New Roman" w:hAnsi="Times New Roman" w:cs="Times New Roman"/>
        </w:rPr>
        <w:t xml:space="preserve"> </w:t>
      </w:r>
      <w:r w:rsidR="00452D51">
        <w:rPr>
          <w:rFonts w:ascii="Times New Roman" w:hAnsi="Times New Roman" w:cs="Times New Roman"/>
        </w:rPr>
        <w:t xml:space="preserve">EU-TIRADS and AI-TIRADS </w:t>
      </w:r>
      <w:r w:rsidR="00713020">
        <w:rPr>
          <w:rFonts w:ascii="Times New Roman" w:hAnsi="Times New Roman" w:cs="Times New Roman"/>
        </w:rPr>
        <w:t>classification</w:t>
      </w:r>
      <w:r w:rsidR="00452D51">
        <w:rPr>
          <w:rFonts w:ascii="Times New Roman" w:hAnsi="Times New Roman" w:cs="Times New Roman"/>
        </w:rPr>
        <w:t>s</w:t>
      </w:r>
      <w:r w:rsidR="00713020">
        <w:rPr>
          <w:rFonts w:ascii="Times New Roman" w:hAnsi="Times New Roman" w:cs="Times New Roman"/>
        </w:rPr>
        <w:t xml:space="preserve"> with the Picture Archiving and Communication System (PACS©) and using a DICOM standard monitor [</w:t>
      </w:r>
      <w:r w:rsidR="003A6F6B">
        <w:rPr>
          <w:rFonts w:ascii="Times New Roman" w:hAnsi="Times New Roman" w:cs="Times New Roman"/>
        </w:rPr>
        <w:t>3</w:t>
      </w:r>
      <w:r w:rsidR="00713020">
        <w:rPr>
          <w:rFonts w:ascii="Times New Roman" w:hAnsi="Times New Roman" w:cs="Times New Roman"/>
        </w:rPr>
        <w:t>]</w:t>
      </w:r>
      <w:r w:rsidR="00452D51">
        <w:rPr>
          <w:rFonts w:ascii="Times New Roman" w:hAnsi="Times New Roman" w:cs="Times New Roman"/>
        </w:rPr>
        <w:t>[</w:t>
      </w:r>
      <w:r w:rsidR="003A6F6B">
        <w:rPr>
          <w:rFonts w:ascii="Times New Roman" w:hAnsi="Times New Roman" w:cs="Times New Roman"/>
        </w:rPr>
        <w:t>4</w:t>
      </w:r>
      <w:r w:rsidR="00452D51">
        <w:rPr>
          <w:rFonts w:ascii="Times New Roman" w:hAnsi="Times New Roman" w:cs="Times New Roman"/>
        </w:rPr>
        <w:t>][</w:t>
      </w:r>
      <w:r w:rsidR="003A6F6B">
        <w:rPr>
          <w:rFonts w:ascii="Times New Roman" w:hAnsi="Times New Roman" w:cs="Times New Roman"/>
        </w:rPr>
        <w:t>5</w:t>
      </w:r>
      <w:r w:rsidR="00452D51">
        <w:rPr>
          <w:rFonts w:ascii="Times New Roman" w:hAnsi="Times New Roman" w:cs="Times New Roman"/>
        </w:rPr>
        <w:t>]</w:t>
      </w:r>
      <w:r w:rsidR="00713020">
        <w:rPr>
          <w:rFonts w:ascii="Times New Roman" w:hAnsi="Times New Roman" w:cs="Times New Roman"/>
        </w:rPr>
        <w:t xml:space="preserve">. Rescoring </w:t>
      </w:r>
      <w:r w:rsidR="00452D51">
        <w:rPr>
          <w:rFonts w:ascii="Times New Roman" w:hAnsi="Times New Roman" w:cs="Times New Roman"/>
        </w:rPr>
        <w:t>was</w:t>
      </w:r>
      <w:r w:rsidR="00713020">
        <w:rPr>
          <w:rFonts w:ascii="Times New Roman" w:hAnsi="Times New Roman" w:cs="Times New Roman"/>
        </w:rPr>
        <w:t xml:space="preserve"> completed independently by a radiology registrar, specialist head and neck sonographer and consultant head and neck radiologist. Observers were blinded to the histopathology</w:t>
      </w:r>
      <w:r>
        <w:rPr>
          <w:rFonts w:ascii="Times New Roman" w:hAnsi="Times New Roman" w:cs="Times New Roman"/>
        </w:rPr>
        <w:t xml:space="preserve"> and clinical course</w:t>
      </w:r>
      <w:r w:rsidR="00713020">
        <w:rPr>
          <w:rFonts w:ascii="Times New Roman" w:hAnsi="Times New Roman" w:cs="Times New Roman"/>
        </w:rPr>
        <w:t xml:space="preserve">. The mode was taken as the average ACR-TIRADS, EU-TIRADS and AI-TIRADS score and where the mode was more than one value, a consensus meeting was undertaken to decide. </w:t>
      </w:r>
    </w:p>
    <w:p w14:paraId="6AB0633D" w14:textId="412CA8F1" w:rsidR="00713020" w:rsidRDefault="00713020" w:rsidP="001361CF">
      <w:pPr>
        <w:spacing w:line="480" w:lineRule="auto"/>
        <w:rPr>
          <w:rFonts w:ascii="Times New Roman" w:hAnsi="Times New Roman" w:cs="Times New Roman"/>
          <w:shd w:val="clear" w:color="auto" w:fill="FFFFFF"/>
        </w:rPr>
      </w:pPr>
      <w:r w:rsidRPr="00E65753">
        <w:rPr>
          <w:rFonts w:ascii="Times New Roman" w:hAnsi="Times New Roman" w:cs="Times New Roman"/>
        </w:rPr>
        <w:t>Data w</w:t>
      </w:r>
      <w:r w:rsidR="00903A63">
        <w:rPr>
          <w:rFonts w:ascii="Times New Roman" w:hAnsi="Times New Roman" w:cs="Times New Roman"/>
        </w:rPr>
        <w:t>ere</w:t>
      </w:r>
      <w:r w:rsidRPr="00E65753">
        <w:rPr>
          <w:rFonts w:ascii="Times New Roman" w:hAnsi="Times New Roman" w:cs="Times New Roman"/>
        </w:rPr>
        <w:t xml:space="preserve"> analysed using SPSS© </w:t>
      </w:r>
      <w:r>
        <w:rPr>
          <w:rFonts w:ascii="Times New Roman" w:hAnsi="Times New Roman" w:cs="Times New Roman"/>
        </w:rPr>
        <w:t xml:space="preserve">(IBM Corp) </w:t>
      </w:r>
      <w:r w:rsidRPr="00E65753">
        <w:rPr>
          <w:rFonts w:ascii="Times New Roman" w:hAnsi="Times New Roman" w:cs="Times New Roman"/>
        </w:rPr>
        <w:t>version 2</w:t>
      </w:r>
      <w:r>
        <w:rPr>
          <w:rFonts w:ascii="Times New Roman" w:hAnsi="Times New Roman" w:cs="Times New Roman"/>
        </w:rPr>
        <w:t>8</w:t>
      </w:r>
      <w:r w:rsidRPr="00E65753">
        <w:rPr>
          <w:rFonts w:ascii="Times New Roman" w:hAnsi="Times New Roman" w:cs="Times New Roman"/>
        </w:rPr>
        <w:t xml:space="preserve">. </w:t>
      </w:r>
      <w:r>
        <w:rPr>
          <w:rFonts w:ascii="Times New Roman" w:hAnsi="Times New Roman" w:cs="Times New Roman"/>
        </w:rPr>
        <w:t xml:space="preserve">Shapiro-Wilk test of normal distribution was applied to the continuous variables with averages expressed as mean </w:t>
      </w:r>
      <w:r w:rsidRPr="00E65753">
        <w:rPr>
          <w:rFonts w:ascii="Times New Roman" w:hAnsi="Times New Roman" w:cs="Times New Roman"/>
          <w:shd w:val="clear" w:color="auto" w:fill="FFFFFF"/>
        </w:rPr>
        <w:t>± standard deviation</w:t>
      </w:r>
      <w:r>
        <w:rPr>
          <w:rFonts w:ascii="Times New Roman" w:hAnsi="Times New Roman" w:cs="Times New Roman"/>
          <w:shd w:val="clear" w:color="auto" w:fill="FFFFFF"/>
        </w:rPr>
        <w:t xml:space="preserve"> for normally distributed data and median </w:t>
      </w:r>
      <w:r w:rsidRPr="00E65753">
        <w:rPr>
          <w:rFonts w:ascii="Times New Roman" w:hAnsi="Times New Roman" w:cs="Times New Roman"/>
          <w:shd w:val="clear" w:color="auto" w:fill="FFFFFF"/>
        </w:rPr>
        <w:t>±</w:t>
      </w:r>
      <w:r>
        <w:rPr>
          <w:rFonts w:ascii="Times New Roman" w:hAnsi="Times New Roman" w:cs="Times New Roman"/>
          <w:shd w:val="clear" w:color="auto" w:fill="FFFFFF"/>
        </w:rPr>
        <w:t xml:space="preserve"> interquartile range for non-normally distributed data. Mean ages were compared using a two-tailed independent t-test. Equal variances were assumed. Median nodule diameters were compared using a Mann-Whitney U test. P values were considered significant if &lt;0.05. Cochran’s Q test was applied to the dichotomous paired data with post-hoc analysis with </w:t>
      </w:r>
      <w:proofErr w:type="spellStart"/>
      <w:r w:rsidRPr="00A4510A">
        <w:rPr>
          <w:rFonts w:ascii="Times New Roman" w:hAnsi="Times New Roman" w:cs="Times New Roman"/>
          <w:color w:val="000000" w:themeColor="text1"/>
          <w:shd w:val="clear" w:color="auto" w:fill="FFFFFF"/>
        </w:rPr>
        <w:t>McNemar’s</w:t>
      </w:r>
      <w:proofErr w:type="spellEnd"/>
      <w:r w:rsidRPr="00A4510A">
        <w:rPr>
          <w:rFonts w:ascii="Times New Roman" w:hAnsi="Times New Roman" w:cs="Times New Roman"/>
          <w:color w:val="000000" w:themeColor="text1"/>
          <w:shd w:val="clear" w:color="auto" w:fill="FFFFFF"/>
        </w:rPr>
        <w:t xml:space="preserve"> test provided. Bonferroni correction was applied, giving an alpha value of 0.01</w:t>
      </w:r>
      <w:r w:rsidR="00AA4E4F" w:rsidRPr="00A4510A">
        <w:rPr>
          <w:rFonts w:ascii="Times New Roman" w:hAnsi="Times New Roman" w:cs="Times New Roman"/>
          <w:color w:val="000000" w:themeColor="text1"/>
          <w:shd w:val="clear" w:color="auto" w:fill="FFFFFF"/>
        </w:rPr>
        <w:t>25</w:t>
      </w:r>
      <w:r w:rsidR="00C536A5" w:rsidRPr="00A4510A">
        <w:rPr>
          <w:rFonts w:ascii="Times New Roman" w:hAnsi="Times New Roman" w:cs="Times New Roman"/>
          <w:color w:val="000000" w:themeColor="text1"/>
          <w:shd w:val="clear" w:color="auto" w:fill="FFFFFF"/>
        </w:rPr>
        <w:t xml:space="preserve"> for the post-hoc analysis</w:t>
      </w:r>
      <w:r w:rsidRPr="00A4510A">
        <w:rPr>
          <w:rFonts w:ascii="Times New Roman" w:hAnsi="Times New Roman" w:cs="Times New Roman"/>
          <w:color w:val="000000" w:themeColor="text1"/>
          <w:shd w:val="clear" w:color="auto" w:fill="FFFFFF"/>
        </w:rPr>
        <w:t xml:space="preserve">. Interobserver variability for each </w:t>
      </w:r>
      <w:r w:rsidR="003016E0" w:rsidRPr="00A4510A">
        <w:rPr>
          <w:rFonts w:ascii="Times New Roman" w:hAnsi="Times New Roman" w:cs="Times New Roman"/>
          <w:color w:val="000000" w:themeColor="text1"/>
          <w:shd w:val="clear" w:color="auto" w:fill="FFFFFF"/>
        </w:rPr>
        <w:t xml:space="preserve">RSS </w:t>
      </w:r>
      <w:r w:rsidRPr="00A4510A">
        <w:rPr>
          <w:rFonts w:ascii="Times New Roman" w:hAnsi="Times New Roman" w:cs="Times New Roman"/>
          <w:color w:val="000000" w:themeColor="text1"/>
          <w:shd w:val="clear" w:color="auto" w:fill="FFFFFF"/>
        </w:rPr>
        <w:t xml:space="preserve">was calculated using </w:t>
      </w:r>
      <w:r w:rsidR="006F455D" w:rsidRPr="00A4510A">
        <w:rPr>
          <w:rFonts w:ascii="Times New Roman" w:hAnsi="Times New Roman" w:cs="Times New Roman"/>
          <w:color w:val="000000" w:themeColor="text1"/>
          <w:shd w:val="clear" w:color="auto" w:fill="FFFFFF"/>
        </w:rPr>
        <w:t xml:space="preserve">Fleiss’ kappa (overall) </w:t>
      </w:r>
      <w:r w:rsidR="006F455D" w:rsidRPr="00A4510A">
        <w:rPr>
          <w:rFonts w:ascii="Times New Roman" w:hAnsi="Times New Roman" w:cs="Times New Roman"/>
          <w:color w:val="000000" w:themeColor="text1"/>
          <w:shd w:val="clear" w:color="auto" w:fill="FFFFFF"/>
        </w:rPr>
        <w:lastRenderedPageBreak/>
        <w:t xml:space="preserve">and weighted </w:t>
      </w:r>
      <w:r w:rsidRPr="00A4510A">
        <w:rPr>
          <w:rFonts w:ascii="Times New Roman" w:hAnsi="Times New Roman" w:cs="Times New Roman"/>
          <w:color w:val="000000" w:themeColor="text1"/>
          <w:shd w:val="clear" w:color="auto" w:fill="FFFFFF"/>
        </w:rPr>
        <w:t>Cohen’s kappa</w:t>
      </w:r>
      <w:r w:rsidR="006F455D" w:rsidRPr="00A4510A">
        <w:rPr>
          <w:rFonts w:ascii="Times New Roman" w:hAnsi="Times New Roman" w:cs="Times New Roman"/>
          <w:color w:val="000000" w:themeColor="text1"/>
          <w:shd w:val="clear" w:color="auto" w:fill="FFFFFF"/>
        </w:rPr>
        <w:t xml:space="preserve"> (between 2 </w:t>
      </w:r>
      <w:proofErr w:type="spellStart"/>
      <w:r w:rsidR="00AC699B" w:rsidRPr="00A4510A">
        <w:rPr>
          <w:rFonts w:ascii="Times New Roman" w:hAnsi="Times New Roman" w:cs="Times New Roman"/>
          <w:color w:val="000000" w:themeColor="text1"/>
          <w:shd w:val="clear" w:color="auto" w:fill="FFFFFF"/>
        </w:rPr>
        <w:t>raters</w:t>
      </w:r>
      <w:proofErr w:type="spellEnd"/>
      <w:r w:rsidR="006F455D" w:rsidRPr="00A4510A">
        <w:rPr>
          <w:rFonts w:ascii="Times New Roman" w:hAnsi="Times New Roman" w:cs="Times New Roman"/>
          <w:color w:val="000000" w:themeColor="text1"/>
          <w:shd w:val="clear" w:color="auto" w:fill="FFFFFF"/>
        </w:rPr>
        <w:t>)</w:t>
      </w:r>
      <w:r w:rsidRPr="00A4510A">
        <w:rPr>
          <w:rFonts w:ascii="Times New Roman" w:hAnsi="Times New Roman" w:cs="Times New Roman"/>
          <w:color w:val="000000" w:themeColor="text1"/>
          <w:shd w:val="clear" w:color="auto" w:fill="FFFFFF"/>
        </w:rPr>
        <w:t xml:space="preserve">. Interpretation thresholds for Cohen’s kappa are provided in </w:t>
      </w:r>
      <w:r w:rsidR="007A1EB5" w:rsidRPr="00A4510A">
        <w:rPr>
          <w:rFonts w:ascii="Times New Roman" w:hAnsi="Times New Roman" w:cs="Times New Roman"/>
          <w:color w:val="000000" w:themeColor="text1"/>
          <w:shd w:val="clear" w:color="auto" w:fill="FFFFFF"/>
        </w:rPr>
        <w:t>Supplementary</w:t>
      </w:r>
      <w:r w:rsidR="008D0C01" w:rsidRPr="00A4510A">
        <w:rPr>
          <w:rFonts w:ascii="Times New Roman" w:hAnsi="Times New Roman" w:cs="Times New Roman"/>
          <w:color w:val="000000" w:themeColor="text1"/>
          <w:shd w:val="clear" w:color="auto" w:fill="FFFFFF"/>
        </w:rPr>
        <w:t xml:space="preserve"> 2</w:t>
      </w:r>
      <w:r w:rsidRPr="00A4510A">
        <w:rPr>
          <w:rFonts w:ascii="Times New Roman" w:hAnsi="Times New Roman" w:cs="Times New Roman"/>
          <w:color w:val="000000" w:themeColor="text1"/>
          <w:shd w:val="clear" w:color="auto" w:fill="FFFFFF"/>
        </w:rPr>
        <w:t xml:space="preserve">. </w:t>
      </w:r>
    </w:p>
    <w:p w14:paraId="74868FB2" w14:textId="4B4B7D6D" w:rsidR="00EC2C95" w:rsidRDefault="00EC2C95" w:rsidP="001361CF">
      <w:pPr>
        <w:spacing w:line="480" w:lineRule="auto"/>
        <w:rPr>
          <w:rFonts w:ascii="Times New Roman" w:hAnsi="Times New Roman" w:cs="Times New Roman"/>
          <w:u w:val="single"/>
          <w:shd w:val="clear" w:color="auto" w:fill="FFFFFF"/>
        </w:rPr>
      </w:pPr>
      <w:r w:rsidRPr="00EC2C95">
        <w:rPr>
          <w:rFonts w:ascii="Times New Roman" w:hAnsi="Times New Roman" w:cs="Times New Roman"/>
          <w:u w:val="single"/>
          <w:shd w:val="clear" w:color="auto" w:fill="FFFFFF"/>
        </w:rPr>
        <w:t>Ethical approval</w:t>
      </w:r>
    </w:p>
    <w:p w14:paraId="3F5AFC46" w14:textId="55CBB698" w:rsidR="00EC2C95" w:rsidRPr="00EC2C95" w:rsidRDefault="00EC2C95" w:rsidP="001361CF">
      <w:pPr>
        <w:spacing w:line="480" w:lineRule="auto"/>
        <w:rPr>
          <w:rFonts w:ascii="Times New Roman" w:hAnsi="Times New Roman" w:cs="Times New Roman"/>
          <w:shd w:val="clear" w:color="auto" w:fill="FFFFFF"/>
        </w:rPr>
      </w:pPr>
      <w:r>
        <w:rPr>
          <w:rFonts w:ascii="Times New Roman" w:hAnsi="Times New Roman" w:cs="Times New Roman"/>
          <w:shd w:val="clear" w:color="auto" w:fill="FFFFFF"/>
        </w:rPr>
        <w:t xml:space="preserve">The NHS HRA (Health and Research Authority Tool) was used to determine that no ethical approval was needed for this </w:t>
      </w:r>
      <w:r w:rsidR="00E7196D">
        <w:rPr>
          <w:rFonts w:ascii="Times New Roman" w:hAnsi="Times New Roman" w:cs="Times New Roman"/>
          <w:shd w:val="clear" w:color="auto" w:fill="FFFFFF"/>
        </w:rPr>
        <w:t xml:space="preserve">single-centre </w:t>
      </w:r>
      <w:r>
        <w:rPr>
          <w:rFonts w:ascii="Times New Roman" w:hAnsi="Times New Roman" w:cs="Times New Roman"/>
          <w:shd w:val="clear" w:color="auto" w:fill="FFFFFF"/>
        </w:rPr>
        <w:t xml:space="preserve">retrospective service analysis. </w:t>
      </w:r>
    </w:p>
    <w:p w14:paraId="12A8F88D" w14:textId="0FD75C4E" w:rsidR="00D000C5" w:rsidRPr="00D000C5" w:rsidRDefault="00D000C5" w:rsidP="001361CF">
      <w:pPr>
        <w:spacing w:line="480" w:lineRule="auto"/>
        <w:rPr>
          <w:rFonts w:ascii="Times New Roman" w:hAnsi="Times New Roman" w:cs="Times New Roman"/>
          <w:u w:val="single"/>
        </w:rPr>
      </w:pPr>
      <w:r w:rsidRPr="00D000C5">
        <w:rPr>
          <w:rFonts w:ascii="Times New Roman" w:hAnsi="Times New Roman" w:cs="Times New Roman"/>
          <w:u w:val="single"/>
          <w:shd w:val="clear" w:color="auto" w:fill="FFFFFF"/>
        </w:rPr>
        <w:t>Definitions</w:t>
      </w:r>
    </w:p>
    <w:p w14:paraId="573EE1AD" w14:textId="315D7C62" w:rsidR="00D000C5" w:rsidRPr="007A691E" w:rsidRDefault="007A691E" w:rsidP="001361CF">
      <w:pPr>
        <w:spacing w:line="480" w:lineRule="auto"/>
        <w:rPr>
          <w:rFonts w:ascii="Times New Roman" w:hAnsi="Times New Roman" w:cs="Times New Roman"/>
          <w:color w:val="000000" w:themeColor="text1"/>
          <w:shd w:val="clear" w:color="auto" w:fill="FFFFFF"/>
        </w:rPr>
      </w:pPr>
      <w:r w:rsidRPr="00A4510A">
        <w:rPr>
          <w:rStyle w:val="apple-converted-space"/>
          <w:rFonts w:ascii="Times New Roman" w:hAnsi="Times New Roman" w:cs="Times New Roman"/>
          <w:color w:val="000000" w:themeColor="text1"/>
          <w:shd w:val="clear" w:color="auto" w:fill="FFFFFF"/>
        </w:rPr>
        <w:t>‘</w:t>
      </w:r>
      <w:r w:rsidR="00CE77C1" w:rsidRPr="00A4510A">
        <w:rPr>
          <w:rStyle w:val="apple-converted-space"/>
          <w:rFonts w:ascii="Times New Roman" w:hAnsi="Times New Roman" w:cs="Times New Roman"/>
          <w:color w:val="000000" w:themeColor="text1"/>
          <w:shd w:val="clear" w:color="auto" w:fill="FFFFFF"/>
        </w:rPr>
        <w:t xml:space="preserve">Benign </w:t>
      </w:r>
      <w:r w:rsidR="00D000C5" w:rsidRPr="00A4510A">
        <w:rPr>
          <w:rFonts w:ascii="Times New Roman" w:hAnsi="Times New Roman" w:cs="Times New Roman"/>
          <w:color w:val="000000" w:themeColor="text1"/>
          <w:shd w:val="clear" w:color="auto" w:fill="FFFFFF"/>
        </w:rPr>
        <w:t>FNA</w:t>
      </w:r>
      <w:r w:rsidRPr="00A4510A">
        <w:rPr>
          <w:rFonts w:ascii="Times New Roman" w:hAnsi="Times New Roman" w:cs="Times New Roman"/>
          <w:color w:val="000000" w:themeColor="text1"/>
          <w:shd w:val="clear" w:color="auto" w:fill="FFFFFF"/>
        </w:rPr>
        <w:t xml:space="preserve">C’ </w:t>
      </w:r>
      <w:r w:rsidR="00D000C5" w:rsidRPr="00A4510A">
        <w:rPr>
          <w:rFonts w:ascii="Times New Roman" w:hAnsi="Times New Roman" w:cs="Times New Roman"/>
          <w:color w:val="000000" w:themeColor="text1"/>
          <w:shd w:val="clear" w:color="auto" w:fill="FFFFFF"/>
        </w:rPr>
        <w:t>refers to FNA</w:t>
      </w:r>
      <w:r w:rsidRPr="00A4510A">
        <w:rPr>
          <w:rFonts w:ascii="Times New Roman" w:hAnsi="Times New Roman" w:cs="Times New Roman"/>
          <w:color w:val="000000" w:themeColor="text1"/>
          <w:shd w:val="clear" w:color="auto" w:fill="FFFFFF"/>
        </w:rPr>
        <w:t>C</w:t>
      </w:r>
      <w:r w:rsidR="00D000C5" w:rsidRPr="00A4510A">
        <w:rPr>
          <w:rFonts w:ascii="Times New Roman" w:hAnsi="Times New Roman" w:cs="Times New Roman"/>
          <w:color w:val="000000" w:themeColor="text1"/>
          <w:shd w:val="clear" w:color="auto" w:fill="FFFFFF"/>
        </w:rPr>
        <w:t xml:space="preserve"> being recommended in an ultimately benign nodule. The </w:t>
      </w:r>
      <w:r w:rsidR="005C730B" w:rsidRPr="00A4510A">
        <w:rPr>
          <w:rFonts w:ascii="Times New Roman" w:hAnsi="Times New Roman" w:cs="Times New Roman"/>
          <w:color w:val="000000" w:themeColor="text1"/>
          <w:shd w:val="clear" w:color="auto" w:fill="FFFFFF"/>
        </w:rPr>
        <w:t xml:space="preserve">benign </w:t>
      </w:r>
      <w:r w:rsidR="00CA4DDA" w:rsidRPr="00A4510A">
        <w:rPr>
          <w:rFonts w:ascii="Times New Roman" w:hAnsi="Times New Roman" w:cs="Times New Roman"/>
          <w:color w:val="000000" w:themeColor="text1"/>
          <w:shd w:val="clear" w:color="auto" w:fill="FFFFFF"/>
        </w:rPr>
        <w:t xml:space="preserve">FNAC </w:t>
      </w:r>
      <w:r w:rsidR="00D000C5" w:rsidRPr="00A4510A">
        <w:rPr>
          <w:rFonts w:ascii="Times New Roman" w:hAnsi="Times New Roman" w:cs="Times New Roman"/>
          <w:color w:val="000000" w:themeColor="text1"/>
          <w:shd w:val="clear" w:color="auto" w:fill="FFFFFF"/>
        </w:rPr>
        <w:t>rate was</w:t>
      </w:r>
      <w:r w:rsidRPr="00A4510A">
        <w:rPr>
          <w:rFonts w:ascii="Times New Roman" w:hAnsi="Times New Roman" w:cs="Times New Roman"/>
          <w:color w:val="000000" w:themeColor="text1"/>
          <w:shd w:val="clear" w:color="auto" w:fill="FFFFFF"/>
        </w:rPr>
        <w:t xml:space="preserve"> </w:t>
      </w:r>
      <w:r w:rsidR="00D000C5" w:rsidRPr="00A4510A">
        <w:rPr>
          <w:rFonts w:ascii="Times New Roman" w:hAnsi="Times New Roman" w:cs="Times New Roman"/>
          <w:color w:val="000000" w:themeColor="text1"/>
          <w:shd w:val="clear" w:color="auto" w:fill="FFFFFF"/>
        </w:rPr>
        <w:t xml:space="preserve">calculated as the number </w:t>
      </w:r>
      <w:r w:rsidR="00D000C5" w:rsidRPr="007A691E">
        <w:rPr>
          <w:rFonts w:ascii="Times New Roman" w:hAnsi="Times New Roman" w:cs="Times New Roman"/>
          <w:color w:val="000000" w:themeColor="text1"/>
          <w:shd w:val="clear" w:color="auto" w:fill="FFFFFF"/>
        </w:rPr>
        <w:t xml:space="preserve">of histologically benign nodules </w:t>
      </w:r>
      <w:r w:rsidRPr="007A691E">
        <w:rPr>
          <w:rFonts w:ascii="Times New Roman" w:hAnsi="Times New Roman" w:cs="Times New Roman"/>
          <w:color w:val="000000" w:themeColor="text1"/>
          <w:shd w:val="clear" w:color="auto" w:fill="FFFFFF"/>
        </w:rPr>
        <w:t xml:space="preserve">undergoing FNAC </w:t>
      </w:r>
      <w:r w:rsidR="00D000C5" w:rsidRPr="007A691E">
        <w:rPr>
          <w:rFonts w:ascii="Times New Roman" w:hAnsi="Times New Roman" w:cs="Times New Roman"/>
          <w:color w:val="000000" w:themeColor="text1"/>
          <w:shd w:val="clear" w:color="auto" w:fill="FFFFFF"/>
        </w:rPr>
        <w:t>divided by the total number of nodules.</w:t>
      </w:r>
    </w:p>
    <w:p w14:paraId="17AA60BC" w14:textId="1B661EC3" w:rsidR="007A691E" w:rsidRPr="007A691E" w:rsidRDefault="007A691E" w:rsidP="001361CF">
      <w:pPr>
        <w:spacing w:line="480" w:lineRule="auto"/>
        <w:rPr>
          <w:rFonts w:ascii="Times New Roman" w:hAnsi="Times New Roman" w:cs="Times New Roman"/>
          <w:b/>
          <w:bCs/>
          <w:color w:val="FF0000"/>
        </w:rPr>
      </w:pPr>
      <w:r>
        <w:rPr>
          <w:rFonts w:ascii="Times New Roman" w:hAnsi="Times New Roman" w:cs="Times New Roman"/>
        </w:rPr>
        <w:t>‘</w:t>
      </w:r>
      <w:r w:rsidRPr="007A691E">
        <w:rPr>
          <w:rFonts w:ascii="Times New Roman" w:hAnsi="Times New Roman" w:cs="Times New Roman"/>
        </w:rPr>
        <w:t>Avoidable surgical cases</w:t>
      </w:r>
      <w:r>
        <w:rPr>
          <w:rFonts w:ascii="Times New Roman" w:hAnsi="Times New Roman" w:cs="Times New Roman"/>
        </w:rPr>
        <w:t>’</w:t>
      </w:r>
      <w:r w:rsidRPr="007A691E">
        <w:rPr>
          <w:rFonts w:ascii="Times New Roman" w:hAnsi="Times New Roman" w:cs="Times New Roman"/>
        </w:rPr>
        <w:t xml:space="preserve"> are defined as histologically proven benign pathology</w:t>
      </w:r>
      <w:r w:rsidR="00C5138E">
        <w:rPr>
          <w:rFonts w:ascii="Times New Roman" w:hAnsi="Times New Roman" w:cs="Times New Roman"/>
        </w:rPr>
        <w:t xml:space="preserve"> </w:t>
      </w:r>
      <w:r w:rsidRPr="007A691E">
        <w:rPr>
          <w:rFonts w:ascii="Times New Roman" w:hAnsi="Times New Roman" w:cs="Times New Roman"/>
        </w:rPr>
        <w:t xml:space="preserve">which would not have been recommended for FNAC </w:t>
      </w:r>
      <w:r w:rsidR="00C5138E">
        <w:rPr>
          <w:rFonts w:ascii="Times New Roman" w:hAnsi="Times New Roman" w:cs="Times New Roman"/>
        </w:rPr>
        <w:t xml:space="preserve">(and then undergone surgery) </w:t>
      </w:r>
      <w:r w:rsidRPr="007A691E">
        <w:rPr>
          <w:rFonts w:ascii="Times New Roman" w:hAnsi="Times New Roman" w:cs="Times New Roman"/>
        </w:rPr>
        <w:t xml:space="preserve">at time of ultrasound under </w:t>
      </w:r>
      <w:r w:rsidR="00C5138E">
        <w:rPr>
          <w:rFonts w:ascii="Times New Roman" w:hAnsi="Times New Roman" w:cs="Times New Roman"/>
        </w:rPr>
        <w:t>an alternative</w:t>
      </w:r>
      <w:r w:rsidRPr="007A691E">
        <w:rPr>
          <w:rFonts w:ascii="Times New Roman" w:hAnsi="Times New Roman" w:cs="Times New Roman"/>
        </w:rPr>
        <w:t xml:space="preserve"> RSS. Patients with malignant disease and lesions of malignant potential were considered unavoidable. Surgery with a documented influence outside of risk based on ultrasound and cytolog</w:t>
      </w:r>
      <w:r w:rsidR="003016E0">
        <w:rPr>
          <w:rFonts w:ascii="Times New Roman" w:hAnsi="Times New Roman" w:cs="Times New Roman"/>
        </w:rPr>
        <w:t>ical</w:t>
      </w:r>
      <w:r w:rsidRPr="007A691E">
        <w:rPr>
          <w:rFonts w:ascii="Times New Roman" w:hAnsi="Times New Roman" w:cs="Times New Roman"/>
        </w:rPr>
        <w:t xml:space="preserve"> findings were </w:t>
      </w:r>
      <w:r w:rsidR="00CA4DDA">
        <w:rPr>
          <w:rFonts w:ascii="Times New Roman" w:hAnsi="Times New Roman" w:cs="Times New Roman"/>
        </w:rPr>
        <w:t xml:space="preserve">also </w:t>
      </w:r>
      <w:r w:rsidRPr="007A691E">
        <w:rPr>
          <w:rFonts w:ascii="Times New Roman" w:hAnsi="Times New Roman" w:cs="Times New Roman"/>
        </w:rPr>
        <w:t xml:space="preserve">considered unavoidable. These include positive family history, compressive symptoms or strong patient preference despite benign </w:t>
      </w:r>
      <w:r w:rsidR="003016E0">
        <w:rPr>
          <w:rFonts w:ascii="Times New Roman" w:hAnsi="Times New Roman" w:cs="Times New Roman"/>
        </w:rPr>
        <w:t xml:space="preserve">ultrasound </w:t>
      </w:r>
      <w:r w:rsidR="00C5138E">
        <w:rPr>
          <w:rFonts w:ascii="Times New Roman" w:hAnsi="Times New Roman" w:cs="Times New Roman"/>
        </w:rPr>
        <w:t xml:space="preserve">appearance or </w:t>
      </w:r>
      <w:r>
        <w:rPr>
          <w:rFonts w:ascii="Times New Roman" w:hAnsi="Times New Roman" w:cs="Times New Roman"/>
        </w:rPr>
        <w:t>cytology</w:t>
      </w:r>
      <w:r w:rsidRPr="007A691E">
        <w:rPr>
          <w:rFonts w:ascii="Times New Roman" w:hAnsi="Times New Roman" w:cs="Times New Roman"/>
        </w:rPr>
        <w:t xml:space="preserve">. </w:t>
      </w:r>
    </w:p>
    <w:p w14:paraId="50D3F457" w14:textId="6CAA2AF5" w:rsidR="0096426F" w:rsidRDefault="0096426F" w:rsidP="001361CF">
      <w:pPr>
        <w:spacing w:line="480" w:lineRule="auto"/>
        <w:rPr>
          <w:rFonts w:ascii="Times New Roman" w:hAnsi="Times New Roman" w:cs="Times New Roman"/>
          <w:b/>
          <w:bCs/>
        </w:rPr>
      </w:pPr>
      <w:r w:rsidRPr="004672E0">
        <w:rPr>
          <w:rFonts w:ascii="Times New Roman" w:hAnsi="Times New Roman" w:cs="Times New Roman"/>
          <w:b/>
          <w:bCs/>
        </w:rPr>
        <w:t>Results</w:t>
      </w:r>
    </w:p>
    <w:p w14:paraId="36CADABF" w14:textId="77777777" w:rsidR="0096426F" w:rsidRPr="00884873" w:rsidRDefault="0096426F" w:rsidP="001361CF">
      <w:pPr>
        <w:spacing w:line="480" w:lineRule="auto"/>
        <w:rPr>
          <w:rFonts w:ascii="Times New Roman" w:hAnsi="Times New Roman" w:cs="Times New Roman"/>
          <w:u w:val="single"/>
        </w:rPr>
      </w:pPr>
      <w:r w:rsidRPr="00884873">
        <w:rPr>
          <w:rFonts w:ascii="Times New Roman" w:hAnsi="Times New Roman" w:cs="Times New Roman"/>
          <w:u w:val="single"/>
        </w:rPr>
        <w:t>Cohort overview</w:t>
      </w:r>
    </w:p>
    <w:p w14:paraId="01928541" w14:textId="11C85119" w:rsidR="00E0379D" w:rsidRDefault="00E0379D" w:rsidP="001361CF">
      <w:pPr>
        <w:spacing w:line="480" w:lineRule="auto"/>
        <w:rPr>
          <w:rFonts w:ascii="Times New Roman" w:hAnsi="Times New Roman" w:cs="Times New Roman"/>
        </w:rPr>
      </w:pPr>
      <w:r>
        <w:rPr>
          <w:rFonts w:ascii="Times New Roman" w:hAnsi="Times New Roman" w:cs="Times New Roman"/>
        </w:rPr>
        <w:t xml:space="preserve">96 indeterminate (U3) nodules were reported in 95 patients between 01/11/2021 and 31/10/2022. Two nodules were excluded as the patient did not consent to FNA. 80.0% (76) of patients were female. Mean age of the cohort was </w:t>
      </w:r>
      <w:r w:rsidRPr="00E0379D">
        <w:rPr>
          <w:rFonts w:ascii="Times New Roman" w:hAnsi="Times New Roman" w:cs="Times New Roman"/>
        </w:rPr>
        <w:t>55.3 (±16.3)</w:t>
      </w:r>
      <w:r>
        <w:rPr>
          <w:rFonts w:ascii="Times New Roman" w:hAnsi="Times New Roman" w:cs="Times New Roman"/>
        </w:rPr>
        <w:t xml:space="preserve"> years. </w:t>
      </w:r>
    </w:p>
    <w:p w14:paraId="6D0EB08E" w14:textId="54A56132" w:rsidR="00E0379D" w:rsidRDefault="00E0379D" w:rsidP="001361CF">
      <w:pPr>
        <w:spacing w:line="480" w:lineRule="auto"/>
        <w:rPr>
          <w:rFonts w:ascii="Times New Roman" w:hAnsi="Times New Roman" w:cs="Times New Roman"/>
        </w:rPr>
      </w:pPr>
      <w:r>
        <w:rPr>
          <w:rFonts w:ascii="Times New Roman" w:hAnsi="Times New Roman" w:cs="Times New Roman"/>
        </w:rPr>
        <w:t xml:space="preserve">Median nodule diameter was 26.0 mm (IQR, 18-37). Median nodule diameter was significantly larger in the male cohort, compared to female (31.5 v 26.0) (p=0.049). 53.1% </w:t>
      </w:r>
      <w:r w:rsidR="00C536A5">
        <w:rPr>
          <w:rFonts w:ascii="Times New Roman" w:hAnsi="Times New Roman" w:cs="Times New Roman"/>
        </w:rPr>
        <w:t>(</w:t>
      </w:r>
      <w:r>
        <w:rPr>
          <w:rFonts w:ascii="Times New Roman" w:hAnsi="Times New Roman" w:cs="Times New Roman"/>
        </w:rPr>
        <w:t>51</w:t>
      </w:r>
      <w:r w:rsidR="00C536A5">
        <w:rPr>
          <w:rFonts w:ascii="Times New Roman" w:hAnsi="Times New Roman" w:cs="Times New Roman"/>
        </w:rPr>
        <w:t>/96</w:t>
      </w:r>
      <w:r>
        <w:rPr>
          <w:rFonts w:ascii="Times New Roman" w:hAnsi="Times New Roman" w:cs="Times New Roman"/>
        </w:rPr>
        <w:t xml:space="preserve">) of the nodules </w:t>
      </w:r>
      <w:proofErr w:type="gramStart"/>
      <w:r>
        <w:rPr>
          <w:rFonts w:ascii="Times New Roman" w:hAnsi="Times New Roman" w:cs="Times New Roman"/>
        </w:rPr>
        <w:t>were located in</w:t>
      </w:r>
      <w:proofErr w:type="gramEnd"/>
      <w:r>
        <w:rPr>
          <w:rFonts w:ascii="Times New Roman" w:hAnsi="Times New Roman" w:cs="Times New Roman"/>
        </w:rPr>
        <w:t xml:space="preserve"> the right lobe of the thyroid with 40.6% (39</w:t>
      </w:r>
      <w:r w:rsidR="00C536A5">
        <w:rPr>
          <w:rFonts w:ascii="Times New Roman" w:hAnsi="Times New Roman" w:cs="Times New Roman"/>
        </w:rPr>
        <w:t>/96</w:t>
      </w:r>
      <w:r>
        <w:rPr>
          <w:rFonts w:ascii="Times New Roman" w:hAnsi="Times New Roman" w:cs="Times New Roman"/>
        </w:rPr>
        <w:t>) located in the left lobe, and 6.3% (6</w:t>
      </w:r>
      <w:r w:rsidR="00C536A5">
        <w:rPr>
          <w:rFonts w:ascii="Times New Roman" w:hAnsi="Times New Roman" w:cs="Times New Roman"/>
        </w:rPr>
        <w:t>/96</w:t>
      </w:r>
      <w:r>
        <w:rPr>
          <w:rFonts w:ascii="Times New Roman" w:hAnsi="Times New Roman" w:cs="Times New Roman"/>
        </w:rPr>
        <w:t xml:space="preserve">) found in the thyroid isthmus [Table 1].      </w:t>
      </w:r>
    </w:p>
    <w:p w14:paraId="27CC101B" w14:textId="7C59B2CA" w:rsidR="0096426F" w:rsidRDefault="0096426F" w:rsidP="00E0379D">
      <w:pPr>
        <w:spacing w:after="0" w:line="240" w:lineRule="auto"/>
        <w:rPr>
          <w:rFonts w:ascii="Times New Roman" w:hAnsi="Times New Roman" w:cs="Times New Roman"/>
          <w:b/>
          <w:bCs/>
        </w:rPr>
      </w:pPr>
      <w:r w:rsidRPr="00777D2F">
        <w:rPr>
          <w:rFonts w:ascii="Times New Roman" w:hAnsi="Times New Roman" w:cs="Times New Roman"/>
          <w:b/>
          <w:bCs/>
        </w:rPr>
        <w:lastRenderedPageBreak/>
        <w:t xml:space="preserve">Table 1. </w:t>
      </w:r>
      <w:r w:rsidRPr="00777D2F">
        <w:rPr>
          <w:rFonts w:ascii="Times New Roman" w:hAnsi="Times New Roman" w:cs="Times New Roman"/>
        </w:rPr>
        <w:t xml:space="preserve">Basic patient demographics and nodule characteristics. </w:t>
      </w:r>
    </w:p>
    <w:tbl>
      <w:tblPr>
        <w:tblStyle w:val="TableGrid"/>
        <w:tblW w:w="0" w:type="auto"/>
        <w:tblLook w:val="04A0" w:firstRow="1" w:lastRow="0" w:firstColumn="1" w:lastColumn="0" w:noHBand="0" w:noVBand="1"/>
      </w:tblPr>
      <w:tblGrid>
        <w:gridCol w:w="2547"/>
        <w:gridCol w:w="1701"/>
        <w:gridCol w:w="1701"/>
        <w:gridCol w:w="1701"/>
        <w:gridCol w:w="1366"/>
      </w:tblGrid>
      <w:tr w:rsidR="0096426F" w:rsidRPr="00777D2F" w14:paraId="788F21B3" w14:textId="77777777" w:rsidTr="0096426F">
        <w:trPr>
          <w:trHeight w:val="189"/>
        </w:trPr>
        <w:tc>
          <w:tcPr>
            <w:tcW w:w="2547" w:type="dxa"/>
          </w:tcPr>
          <w:p w14:paraId="18246ED0" w14:textId="77777777" w:rsidR="0096426F" w:rsidRPr="004C5E73" w:rsidRDefault="0096426F" w:rsidP="0096426F">
            <w:pPr>
              <w:spacing w:line="240" w:lineRule="auto"/>
              <w:jc w:val="center"/>
              <w:rPr>
                <w:rFonts w:ascii="Calibri" w:hAnsi="Calibri" w:cs="Calibri"/>
              </w:rPr>
            </w:pPr>
          </w:p>
        </w:tc>
        <w:tc>
          <w:tcPr>
            <w:tcW w:w="1701" w:type="dxa"/>
          </w:tcPr>
          <w:p w14:paraId="48BBDBB5" w14:textId="77777777" w:rsidR="0096426F" w:rsidRPr="004C5E73" w:rsidRDefault="0096426F" w:rsidP="0096426F">
            <w:pPr>
              <w:spacing w:line="240" w:lineRule="auto"/>
              <w:jc w:val="center"/>
              <w:rPr>
                <w:rFonts w:ascii="Calibri" w:hAnsi="Calibri" w:cs="Calibri"/>
                <w:b/>
                <w:bCs/>
              </w:rPr>
            </w:pPr>
            <w:r w:rsidRPr="004C5E73">
              <w:rPr>
                <w:rFonts w:ascii="Calibri" w:hAnsi="Calibri" w:cs="Calibri"/>
                <w:b/>
                <w:bCs/>
              </w:rPr>
              <w:t>Female</w:t>
            </w:r>
          </w:p>
        </w:tc>
        <w:tc>
          <w:tcPr>
            <w:tcW w:w="1701" w:type="dxa"/>
          </w:tcPr>
          <w:p w14:paraId="69E886CB" w14:textId="77777777" w:rsidR="0096426F" w:rsidRPr="004C5E73" w:rsidRDefault="0096426F" w:rsidP="0096426F">
            <w:pPr>
              <w:spacing w:line="240" w:lineRule="auto"/>
              <w:jc w:val="center"/>
              <w:rPr>
                <w:rFonts w:ascii="Calibri" w:hAnsi="Calibri" w:cs="Calibri"/>
                <w:b/>
                <w:bCs/>
              </w:rPr>
            </w:pPr>
            <w:r w:rsidRPr="004C5E73">
              <w:rPr>
                <w:rFonts w:ascii="Calibri" w:hAnsi="Calibri" w:cs="Calibri"/>
                <w:b/>
                <w:bCs/>
              </w:rPr>
              <w:t>Male</w:t>
            </w:r>
          </w:p>
        </w:tc>
        <w:tc>
          <w:tcPr>
            <w:tcW w:w="1701" w:type="dxa"/>
          </w:tcPr>
          <w:p w14:paraId="188803FF" w14:textId="77777777" w:rsidR="0096426F" w:rsidRPr="004C5E73" w:rsidRDefault="0096426F" w:rsidP="0096426F">
            <w:pPr>
              <w:spacing w:line="240" w:lineRule="auto"/>
              <w:jc w:val="center"/>
              <w:rPr>
                <w:rFonts w:ascii="Calibri" w:hAnsi="Calibri" w:cs="Calibri"/>
                <w:b/>
                <w:bCs/>
              </w:rPr>
            </w:pPr>
            <w:r w:rsidRPr="004C5E73">
              <w:rPr>
                <w:rFonts w:ascii="Calibri" w:hAnsi="Calibri" w:cs="Calibri"/>
                <w:b/>
                <w:bCs/>
              </w:rPr>
              <w:t>Total</w:t>
            </w:r>
          </w:p>
        </w:tc>
        <w:tc>
          <w:tcPr>
            <w:tcW w:w="1366" w:type="dxa"/>
          </w:tcPr>
          <w:p w14:paraId="350E16D8" w14:textId="302A0FD1" w:rsidR="0096426F" w:rsidRPr="004C5E73" w:rsidRDefault="00C536A5" w:rsidP="0096426F">
            <w:pPr>
              <w:spacing w:line="240" w:lineRule="auto"/>
              <w:jc w:val="center"/>
              <w:rPr>
                <w:rFonts w:ascii="Calibri" w:hAnsi="Calibri" w:cs="Calibri"/>
                <w:b/>
                <w:bCs/>
                <w:i/>
                <w:iCs/>
              </w:rPr>
            </w:pPr>
            <w:r>
              <w:rPr>
                <w:rFonts w:ascii="Calibri" w:hAnsi="Calibri" w:cs="Calibri"/>
                <w:b/>
                <w:bCs/>
                <w:i/>
                <w:iCs/>
              </w:rPr>
              <w:t>P</w:t>
            </w:r>
          </w:p>
        </w:tc>
      </w:tr>
      <w:tr w:rsidR="0096426F" w:rsidRPr="00777D2F" w14:paraId="4853D2B9" w14:textId="77777777" w:rsidTr="00120609">
        <w:trPr>
          <w:trHeight w:val="295"/>
        </w:trPr>
        <w:tc>
          <w:tcPr>
            <w:tcW w:w="2547" w:type="dxa"/>
            <w:vAlign w:val="center"/>
          </w:tcPr>
          <w:p w14:paraId="260CC9F0" w14:textId="77777777" w:rsidR="0096426F" w:rsidRPr="004C5E73" w:rsidRDefault="0096426F" w:rsidP="0024174C">
            <w:pPr>
              <w:spacing w:line="240" w:lineRule="auto"/>
              <w:jc w:val="center"/>
              <w:rPr>
                <w:rFonts w:ascii="Calibri" w:hAnsi="Calibri" w:cs="Calibri"/>
                <w:b/>
                <w:bCs/>
              </w:rPr>
            </w:pPr>
            <w:r w:rsidRPr="004C5E73">
              <w:rPr>
                <w:rFonts w:ascii="Calibri" w:hAnsi="Calibri" w:cs="Calibri"/>
                <w:b/>
                <w:bCs/>
              </w:rPr>
              <w:t>N</w:t>
            </w:r>
          </w:p>
        </w:tc>
        <w:tc>
          <w:tcPr>
            <w:tcW w:w="1701" w:type="dxa"/>
            <w:vAlign w:val="center"/>
          </w:tcPr>
          <w:p w14:paraId="53ABC40B" w14:textId="77777777" w:rsidR="0096426F" w:rsidRPr="004C5E73" w:rsidRDefault="0096426F" w:rsidP="0024174C">
            <w:pPr>
              <w:spacing w:line="240" w:lineRule="auto"/>
              <w:jc w:val="center"/>
              <w:rPr>
                <w:rFonts w:ascii="Calibri" w:hAnsi="Calibri" w:cs="Calibri"/>
              </w:rPr>
            </w:pPr>
            <w:r w:rsidRPr="004C5E73">
              <w:rPr>
                <w:rFonts w:ascii="Calibri" w:hAnsi="Calibri" w:cs="Calibri"/>
              </w:rPr>
              <w:t>76</w:t>
            </w:r>
          </w:p>
        </w:tc>
        <w:tc>
          <w:tcPr>
            <w:tcW w:w="1701" w:type="dxa"/>
            <w:vAlign w:val="center"/>
          </w:tcPr>
          <w:p w14:paraId="7F8CBB40" w14:textId="77777777" w:rsidR="0096426F" w:rsidRPr="004C5E73" w:rsidRDefault="0096426F" w:rsidP="0024174C">
            <w:pPr>
              <w:spacing w:line="240" w:lineRule="auto"/>
              <w:jc w:val="center"/>
              <w:rPr>
                <w:rFonts w:ascii="Calibri" w:hAnsi="Calibri" w:cs="Calibri"/>
              </w:rPr>
            </w:pPr>
            <w:r w:rsidRPr="004C5E73">
              <w:rPr>
                <w:rFonts w:ascii="Calibri" w:hAnsi="Calibri" w:cs="Calibri"/>
              </w:rPr>
              <w:t>19</w:t>
            </w:r>
          </w:p>
        </w:tc>
        <w:tc>
          <w:tcPr>
            <w:tcW w:w="1701" w:type="dxa"/>
            <w:vAlign w:val="center"/>
          </w:tcPr>
          <w:p w14:paraId="54F87D9C" w14:textId="77777777" w:rsidR="0096426F" w:rsidRPr="004C5E73" w:rsidRDefault="0096426F" w:rsidP="0024174C">
            <w:pPr>
              <w:spacing w:line="240" w:lineRule="auto"/>
              <w:jc w:val="center"/>
              <w:rPr>
                <w:rFonts w:ascii="Calibri" w:hAnsi="Calibri" w:cs="Calibri"/>
              </w:rPr>
            </w:pPr>
            <w:r w:rsidRPr="004C5E73">
              <w:rPr>
                <w:rFonts w:ascii="Calibri" w:hAnsi="Calibri" w:cs="Calibri"/>
              </w:rPr>
              <w:t>95</w:t>
            </w:r>
          </w:p>
        </w:tc>
        <w:tc>
          <w:tcPr>
            <w:tcW w:w="1366" w:type="dxa"/>
          </w:tcPr>
          <w:p w14:paraId="5BF7B125" w14:textId="13B3FF1A" w:rsidR="0096426F" w:rsidRPr="004C5E73" w:rsidRDefault="0096426F" w:rsidP="00120609">
            <w:pPr>
              <w:spacing w:after="0" w:line="240" w:lineRule="auto"/>
              <w:jc w:val="center"/>
              <w:rPr>
                <w:rFonts w:ascii="Calibri" w:hAnsi="Calibri" w:cs="Calibri"/>
              </w:rPr>
            </w:pPr>
          </w:p>
        </w:tc>
      </w:tr>
      <w:tr w:rsidR="0096426F" w:rsidRPr="00777D2F" w14:paraId="6A5AF428" w14:textId="77777777" w:rsidTr="00120609">
        <w:trPr>
          <w:trHeight w:val="250"/>
        </w:trPr>
        <w:tc>
          <w:tcPr>
            <w:tcW w:w="2547" w:type="dxa"/>
            <w:vAlign w:val="center"/>
          </w:tcPr>
          <w:p w14:paraId="52C7EDD4" w14:textId="77777777" w:rsidR="0096426F" w:rsidRPr="004C5E73" w:rsidRDefault="0096426F" w:rsidP="0024174C">
            <w:pPr>
              <w:spacing w:line="240" w:lineRule="auto"/>
              <w:jc w:val="center"/>
              <w:rPr>
                <w:rFonts w:ascii="Calibri" w:hAnsi="Calibri" w:cs="Calibri"/>
                <w:b/>
                <w:bCs/>
              </w:rPr>
            </w:pPr>
            <w:r w:rsidRPr="004C5E73">
              <w:rPr>
                <w:rFonts w:ascii="Calibri" w:hAnsi="Calibri" w:cs="Calibri"/>
                <w:b/>
                <w:bCs/>
              </w:rPr>
              <w:t>Mean Age (SD)</w:t>
            </w:r>
          </w:p>
        </w:tc>
        <w:tc>
          <w:tcPr>
            <w:tcW w:w="1701" w:type="dxa"/>
            <w:vAlign w:val="center"/>
          </w:tcPr>
          <w:p w14:paraId="5AFBCA10" w14:textId="77777777" w:rsidR="0096426F" w:rsidRPr="004C5E73" w:rsidRDefault="0096426F" w:rsidP="0024174C">
            <w:pPr>
              <w:spacing w:line="240" w:lineRule="auto"/>
              <w:jc w:val="center"/>
              <w:rPr>
                <w:rFonts w:ascii="Calibri" w:hAnsi="Calibri" w:cs="Calibri"/>
              </w:rPr>
            </w:pPr>
            <w:r w:rsidRPr="004C5E73">
              <w:rPr>
                <w:rFonts w:ascii="Calibri" w:hAnsi="Calibri" w:cs="Calibri"/>
              </w:rPr>
              <w:t>54.1 (±16.4)</w:t>
            </w:r>
          </w:p>
        </w:tc>
        <w:tc>
          <w:tcPr>
            <w:tcW w:w="1701" w:type="dxa"/>
            <w:vAlign w:val="center"/>
          </w:tcPr>
          <w:p w14:paraId="08839ECF" w14:textId="77777777" w:rsidR="0096426F" w:rsidRPr="004C5E73" w:rsidRDefault="0096426F" w:rsidP="0024174C">
            <w:pPr>
              <w:spacing w:line="240" w:lineRule="auto"/>
              <w:jc w:val="center"/>
              <w:rPr>
                <w:rFonts w:ascii="Calibri" w:hAnsi="Calibri" w:cs="Calibri"/>
              </w:rPr>
            </w:pPr>
            <w:r w:rsidRPr="004C5E73">
              <w:rPr>
                <w:rFonts w:ascii="Calibri" w:hAnsi="Calibri" w:cs="Calibri"/>
              </w:rPr>
              <w:t>60.4 (±15.7)</w:t>
            </w:r>
          </w:p>
        </w:tc>
        <w:tc>
          <w:tcPr>
            <w:tcW w:w="1701" w:type="dxa"/>
            <w:vAlign w:val="center"/>
          </w:tcPr>
          <w:p w14:paraId="3C701A41" w14:textId="77777777" w:rsidR="0096426F" w:rsidRPr="004C5E73" w:rsidRDefault="0096426F" w:rsidP="0024174C">
            <w:pPr>
              <w:spacing w:line="240" w:lineRule="auto"/>
              <w:jc w:val="center"/>
              <w:rPr>
                <w:rFonts w:ascii="Calibri" w:hAnsi="Calibri" w:cs="Calibri"/>
              </w:rPr>
            </w:pPr>
            <w:r w:rsidRPr="004C5E73">
              <w:rPr>
                <w:rFonts w:ascii="Calibri" w:hAnsi="Calibri" w:cs="Calibri"/>
              </w:rPr>
              <w:t>55.3 (±16.3)</w:t>
            </w:r>
          </w:p>
        </w:tc>
        <w:tc>
          <w:tcPr>
            <w:tcW w:w="1366" w:type="dxa"/>
          </w:tcPr>
          <w:p w14:paraId="33AC0C27" w14:textId="7B4E41E9" w:rsidR="0096426F" w:rsidRPr="004C5E73" w:rsidRDefault="003016E0" w:rsidP="00120609">
            <w:pPr>
              <w:spacing w:line="240" w:lineRule="auto"/>
              <w:jc w:val="center"/>
              <w:rPr>
                <w:rFonts w:ascii="Calibri" w:hAnsi="Calibri" w:cs="Calibri"/>
              </w:rPr>
            </w:pPr>
            <w:r w:rsidRPr="004C5E73">
              <w:rPr>
                <w:rFonts w:ascii="Calibri" w:hAnsi="Calibri" w:cs="Calibri"/>
              </w:rPr>
              <w:t>0.132</w:t>
            </w:r>
          </w:p>
        </w:tc>
      </w:tr>
      <w:tr w:rsidR="0096426F" w:rsidRPr="00777D2F" w14:paraId="78727B0A" w14:textId="77777777" w:rsidTr="00BE06CE">
        <w:tc>
          <w:tcPr>
            <w:tcW w:w="2547" w:type="dxa"/>
            <w:shd w:val="clear" w:color="auto" w:fill="auto"/>
            <w:vAlign w:val="center"/>
          </w:tcPr>
          <w:p w14:paraId="3E558104" w14:textId="77777777" w:rsidR="0096426F" w:rsidRPr="004C5E73" w:rsidRDefault="0096426F" w:rsidP="0024174C">
            <w:pPr>
              <w:spacing w:line="240" w:lineRule="auto"/>
              <w:jc w:val="center"/>
              <w:rPr>
                <w:rFonts w:ascii="Calibri" w:hAnsi="Calibri" w:cs="Calibri"/>
                <w:b/>
                <w:bCs/>
              </w:rPr>
            </w:pPr>
          </w:p>
        </w:tc>
        <w:tc>
          <w:tcPr>
            <w:tcW w:w="1701" w:type="dxa"/>
            <w:shd w:val="clear" w:color="auto" w:fill="auto"/>
            <w:vAlign w:val="center"/>
          </w:tcPr>
          <w:p w14:paraId="7143522A" w14:textId="77777777" w:rsidR="0096426F" w:rsidRPr="004C5E73" w:rsidRDefault="0096426F" w:rsidP="0024174C">
            <w:pPr>
              <w:spacing w:line="240" w:lineRule="auto"/>
              <w:jc w:val="center"/>
              <w:rPr>
                <w:rFonts w:ascii="Calibri" w:hAnsi="Calibri" w:cs="Calibri"/>
              </w:rPr>
            </w:pPr>
          </w:p>
        </w:tc>
        <w:tc>
          <w:tcPr>
            <w:tcW w:w="1701" w:type="dxa"/>
            <w:shd w:val="clear" w:color="auto" w:fill="auto"/>
            <w:vAlign w:val="center"/>
          </w:tcPr>
          <w:p w14:paraId="3EB3FBAF" w14:textId="77777777" w:rsidR="0096426F" w:rsidRPr="004C5E73" w:rsidRDefault="0096426F" w:rsidP="0024174C">
            <w:pPr>
              <w:spacing w:line="240" w:lineRule="auto"/>
              <w:jc w:val="center"/>
              <w:rPr>
                <w:rFonts w:ascii="Calibri" w:hAnsi="Calibri" w:cs="Calibri"/>
              </w:rPr>
            </w:pPr>
          </w:p>
        </w:tc>
        <w:tc>
          <w:tcPr>
            <w:tcW w:w="1701" w:type="dxa"/>
            <w:shd w:val="clear" w:color="auto" w:fill="auto"/>
            <w:vAlign w:val="center"/>
          </w:tcPr>
          <w:p w14:paraId="19CB4E1B" w14:textId="77777777" w:rsidR="0096426F" w:rsidRPr="004C5E73" w:rsidRDefault="0096426F" w:rsidP="0024174C">
            <w:pPr>
              <w:spacing w:line="240" w:lineRule="auto"/>
              <w:jc w:val="center"/>
              <w:rPr>
                <w:rFonts w:ascii="Calibri" w:hAnsi="Calibri" w:cs="Calibri"/>
              </w:rPr>
            </w:pPr>
          </w:p>
        </w:tc>
        <w:tc>
          <w:tcPr>
            <w:tcW w:w="1366" w:type="dxa"/>
            <w:shd w:val="clear" w:color="auto" w:fill="auto"/>
          </w:tcPr>
          <w:p w14:paraId="27801A02" w14:textId="77777777" w:rsidR="0096426F" w:rsidRPr="004C5E73" w:rsidRDefault="0096426F" w:rsidP="00120609">
            <w:pPr>
              <w:spacing w:line="240" w:lineRule="auto"/>
              <w:jc w:val="center"/>
              <w:rPr>
                <w:rFonts w:ascii="Calibri" w:hAnsi="Calibri" w:cs="Calibri"/>
              </w:rPr>
            </w:pPr>
          </w:p>
        </w:tc>
      </w:tr>
      <w:tr w:rsidR="0096426F" w:rsidRPr="00777D2F" w14:paraId="6C5F018C" w14:textId="77777777" w:rsidTr="00120609">
        <w:tc>
          <w:tcPr>
            <w:tcW w:w="2547" w:type="dxa"/>
            <w:vAlign w:val="center"/>
          </w:tcPr>
          <w:p w14:paraId="5AE7374D" w14:textId="77777777" w:rsidR="0096426F" w:rsidRPr="004C5E73" w:rsidRDefault="0096426F" w:rsidP="0024174C">
            <w:pPr>
              <w:spacing w:line="240" w:lineRule="auto"/>
              <w:jc w:val="center"/>
              <w:rPr>
                <w:rFonts w:ascii="Calibri" w:hAnsi="Calibri" w:cs="Calibri"/>
                <w:b/>
                <w:bCs/>
              </w:rPr>
            </w:pPr>
            <w:r w:rsidRPr="004C5E73">
              <w:rPr>
                <w:rFonts w:ascii="Calibri" w:hAnsi="Calibri" w:cs="Calibri"/>
                <w:b/>
                <w:bCs/>
              </w:rPr>
              <w:t>N</w:t>
            </w:r>
          </w:p>
        </w:tc>
        <w:tc>
          <w:tcPr>
            <w:tcW w:w="1701" w:type="dxa"/>
            <w:vAlign w:val="center"/>
          </w:tcPr>
          <w:p w14:paraId="73416ACC" w14:textId="77777777" w:rsidR="0096426F" w:rsidRPr="004C5E73" w:rsidRDefault="0096426F" w:rsidP="0024174C">
            <w:pPr>
              <w:spacing w:line="240" w:lineRule="auto"/>
              <w:jc w:val="center"/>
              <w:rPr>
                <w:rFonts w:ascii="Calibri" w:hAnsi="Calibri" w:cs="Calibri"/>
              </w:rPr>
            </w:pPr>
            <w:r w:rsidRPr="004C5E73">
              <w:rPr>
                <w:rFonts w:ascii="Calibri" w:hAnsi="Calibri" w:cs="Calibri"/>
              </w:rPr>
              <w:t>76</w:t>
            </w:r>
          </w:p>
        </w:tc>
        <w:tc>
          <w:tcPr>
            <w:tcW w:w="1701" w:type="dxa"/>
            <w:vAlign w:val="center"/>
          </w:tcPr>
          <w:p w14:paraId="2FAB0E8B" w14:textId="77777777" w:rsidR="0096426F" w:rsidRPr="004C5E73" w:rsidRDefault="0096426F" w:rsidP="0024174C">
            <w:pPr>
              <w:spacing w:line="240" w:lineRule="auto"/>
              <w:jc w:val="center"/>
              <w:rPr>
                <w:rFonts w:ascii="Calibri" w:hAnsi="Calibri" w:cs="Calibri"/>
              </w:rPr>
            </w:pPr>
            <w:r w:rsidRPr="004C5E73">
              <w:rPr>
                <w:rFonts w:ascii="Calibri" w:hAnsi="Calibri" w:cs="Calibri"/>
              </w:rPr>
              <w:t>20</w:t>
            </w:r>
          </w:p>
        </w:tc>
        <w:tc>
          <w:tcPr>
            <w:tcW w:w="1701" w:type="dxa"/>
            <w:vAlign w:val="center"/>
          </w:tcPr>
          <w:p w14:paraId="5059BCB1" w14:textId="77777777" w:rsidR="0096426F" w:rsidRPr="004C5E73" w:rsidRDefault="0096426F" w:rsidP="0024174C">
            <w:pPr>
              <w:spacing w:line="240" w:lineRule="auto"/>
              <w:jc w:val="center"/>
              <w:rPr>
                <w:rFonts w:ascii="Calibri" w:hAnsi="Calibri" w:cs="Calibri"/>
              </w:rPr>
            </w:pPr>
            <w:r w:rsidRPr="004C5E73">
              <w:rPr>
                <w:rFonts w:ascii="Calibri" w:hAnsi="Calibri" w:cs="Calibri"/>
              </w:rPr>
              <w:t>96</w:t>
            </w:r>
          </w:p>
        </w:tc>
        <w:tc>
          <w:tcPr>
            <w:tcW w:w="1366" w:type="dxa"/>
          </w:tcPr>
          <w:p w14:paraId="1DA8B61C" w14:textId="7D670F52" w:rsidR="0096426F" w:rsidRPr="004C5E73" w:rsidRDefault="0096426F" w:rsidP="00120609">
            <w:pPr>
              <w:spacing w:after="0" w:line="240" w:lineRule="auto"/>
              <w:jc w:val="center"/>
              <w:rPr>
                <w:rFonts w:ascii="Calibri" w:hAnsi="Calibri" w:cs="Calibri"/>
              </w:rPr>
            </w:pPr>
          </w:p>
        </w:tc>
      </w:tr>
      <w:tr w:rsidR="0096426F" w:rsidRPr="00777D2F" w14:paraId="2B0A3F22" w14:textId="77777777" w:rsidTr="0024174C">
        <w:tc>
          <w:tcPr>
            <w:tcW w:w="2547" w:type="dxa"/>
            <w:vAlign w:val="center"/>
          </w:tcPr>
          <w:p w14:paraId="13CB4C9A" w14:textId="77777777" w:rsidR="0096426F" w:rsidRPr="004C5E73" w:rsidRDefault="0096426F" w:rsidP="0024174C">
            <w:pPr>
              <w:spacing w:line="240" w:lineRule="auto"/>
              <w:jc w:val="center"/>
              <w:rPr>
                <w:rFonts w:ascii="Calibri" w:hAnsi="Calibri" w:cs="Calibri"/>
                <w:b/>
                <w:bCs/>
              </w:rPr>
            </w:pPr>
            <w:r w:rsidRPr="004C5E73">
              <w:rPr>
                <w:rFonts w:ascii="Calibri" w:hAnsi="Calibri" w:cs="Calibri"/>
                <w:b/>
                <w:bCs/>
              </w:rPr>
              <w:t>Median Diameter (mm)</w:t>
            </w:r>
          </w:p>
        </w:tc>
        <w:tc>
          <w:tcPr>
            <w:tcW w:w="1701" w:type="dxa"/>
            <w:vAlign w:val="center"/>
          </w:tcPr>
          <w:p w14:paraId="79466345" w14:textId="5E47CE0B" w:rsidR="0096426F" w:rsidRPr="004C5E73" w:rsidRDefault="0096426F" w:rsidP="0024174C">
            <w:pPr>
              <w:spacing w:line="240" w:lineRule="auto"/>
              <w:jc w:val="center"/>
              <w:rPr>
                <w:rFonts w:ascii="Calibri" w:hAnsi="Calibri" w:cs="Calibri"/>
              </w:rPr>
            </w:pPr>
            <w:r w:rsidRPr="004C5E73">
              <w:rPr>
                <w:rFonts w:ascii="Calibri" w:hAnsi="Calibri" w:cs="Calibri"/>
              </w:rPr>
              <w:t>26</w:t>
            </w:r>
            <w:r w:rsidR="00120609" w:rsidRPr="004C5E73">
              <w:rPr>
                <w:rFonts w:ascii="Calibri" w:hAnsi="Calibri" w:cs="Calibri"/>
              </w:rPr>
              <w:t>.0</w:t>
            </w:r>
          </w:p>
        </w:tc>
        <w:tc>
          <w:tcPr>
            <w:tcW w:w="1701" w:type="dxa"/>
            <w:vAlign w:val="center"/>
          </w:tcPr>
          <w:p w14:paraId="1C5B382B" w14:textId="77777777" w:rsidR="0096426F" w:rsidRPr="004C5E73" w:rsidRDefault="0096426F" w:rsidP="0024174C">
            <w:pPr>
              <w:spacing w:line="240" w:lineRule="auto"/>
              <w:jc w:val="center"/>
              <w:rPr>
                <w:rFonts w:ascii="Calibri" w:hAnsi="Calibri" w:cs="Calibri"/>
              </w:rPr>
            </w:pPr>
            <w:r w:rsidRPr="004C5E73">
              <w:rPr>
                <w:rFonts w:ascii="Calibri" w:hAnsi="Calibri" w:cs="Calibri"/>
              </w:rPr>
              <w:t>31.5</w:t>
            </w:r>
          </w:p>
        </w:tc>
        <w:tc>
          <w:tcPr>
            <w:tcW w:w="1701" w:type="dxa"/>
            <w:vAlign w:val="center"/>
          </w:tcPr>
          <w:p w14:paraId="728684E3" w14:textId="5337739A" w:rsidR="0096426F" w:rsidRPr="004C5E73" w:rsidRDefault="0096426F" w:rsidP="0024174C">
            <w:pPr>
              <w:spacing w:line="240" w:lineRule="auto"/>
              <w:jc w:val="center"/>
              <w:rPr>
                <w:rFonts w:ascii="Calibri" w:hAnsi="Calibri" w:cs="Calibri"/>
              </w:rPr>
            </w:pPr>
            <w:r w:rsidRPr="004C5E73">
              <w:rPr>
                <w:rFonts w:ascii="Calibri" w:hAnsi="Calibri" w:cs="Calibri"/>
              </w:rPr>
              <w:t>26</w:t>
            </w:r>
            <w:r w:rsidR="00120609" w:rsidRPr="004C5E73">
              <w:rPr>
                <w:rFonts w:ascii="Calibri" w:hAnsi="Calibri" w:cs="Calibri"/>
              </w:rPr>
              <w:t>.0</w:t>
            </w:r>
          </w:p>
        </w:tc>
        <w:tc>
          <w:tcPr>
            <w:tcW w:w="1366" w:type="dxa"/>
          </w:tcPr>
          <w:p w14:paraId="2DA4EC4E" w14:textId="75C3A589" w:rsidR="0096426F" w:rsidRPr="004C5E73" w:rsidRDefault="003016E0" w:rsidP="0096426F">
            <w:pPr>
              <w:spacing w:after="0" w:line="240" w:lineRule="auto"/>
              <w:jc w:val="center"/>
              <w:rPr>
                <w:rFonts w:ascii="Calibri" w:hAnsi="Calibri" w:cs="Calibri"/>
              </w:rPr>
            </w:pPr>
            <w:r w:rsidRPr="004C5E73">
              <w:rPr>
                <w:rFonts w:ascii="Calibri" w:hAnsi="Calibri" w:cs="Calibri"/>
              </w:rPr>
              <w:t>0.049</w:t>
            </w:r>
          </w:p>
        </w:tc>
      </w:tr>
      <w:tr w:rsidR="0096426F" w:rsidRPr="00777D2F" w14:paraId="589DC3FE" w14:textId="77777777" w:rsidTr="0024174C">
        <w:tc>
          <w:tcPr>
            <w:tcW w:w="2547" w:type="dxa"/>
            <w:vAlign w:val="center"/>
          </w:tcPr>
          <w:p w14:paraId="4324CA2D" w14:textId="77777777" w:rsidR="0096426F" w:rsidRPr="004C5E73" w:rsidRDefault="0096426F" w:rsidP="0024174C">
            <w:pPr>
              <w:spacing w:line="240" w:lineRule="auto"/>
              <w:jc w:val="center"/>
              <w:rPr>
                <w:rFonts w:ascii="Calibri" w:hAnsi="Calibri" w:cs="Calibri"/>
                <w:b/>
                <w:bCs/>
              </w:rPr>
            </w:pPr>
            <w:r w:rsidRPr="004C5E73">
              <w:rPr>
                <w:rFonts w:ascii="Calibri" w:hAnsi="Calibri" w:cs="Calibri"/>
                <w:b/>
                <w:bCs/>
              </w:rPr>
              <w:t>IQR</w:t>
            </w:r>
          </w:p>
        </w:tc>
        <w:tc>
          <w:tcPr>
            <w:tcW w:w="1701" w:type="dxa"/>
            <w:vAlign w:val="center"/>
          </w:tcPr>
          <w:p w14:paraId="756CFD7B" w14:textId="77777777" w:rsidR="0096426F" w:rsidRPr="004C5E73" w:rsidRDefault="0096426F" w:rsidP="0024174C">
            <w:pPr>
              <w:spacing w:line="240" w:lineRule="auto"/>
              <w:jc w:val="center"/>
              <w:rPr>
                <w:rFonts w:ascii="Calibri" w:hAnsi="Calibri" w:cs="Calibri"/>
              </w:rPr>
            </w:pPr>
            <w:r w:rsidRPr="004C5E73">
              <w:rPr>
                <w:rFonts w:ascii="Calibri" w:hAnsi="Calibri" w:cs="Calibri"/>
              </w:rPr>
              <w:t>18-33</w:t>
            </w:r>
          </w:p>
        </w:tc>
        <w:tc>
          <w:tcPr>
            <w:tcW w:w="1701" w:type="dxa"/>
            <w:vAlign w:val="center"/>
          </w:tcPr>
          <w:p w14:paraId="71454F6B" w14:textId="77777777" w:rsidR="0096426F" w:rsidRPr="004C5E73" w:rsidRDefault="0096426F" w:rsidP="0024174C">
            <w:pPr>
              <w:spacing w:line="240" w:lineRule="auto"/>
              <w:jc w:val="center"/>
              <w:rPr>
                <w:rFonts w:ascii="Calibri" w:hAnsi="Calibri" w:cs="Calibri"/>
              </w:rPr>
            </w:pPr>
            <w:r w:rsidRPr="004C5E73">
              <w:rPr>
                <w:rFonts w:ascii="Calibri" w:hAnsi="Calibri" w:cs="Calibri"/>
              </w:rPr>
              <w:t>24-51</w:t>
            </w:r>
          </w:p>
        </w:tc>
        <w:tc>
          <w:tcPr>
            <w:tcW w:w="1701" w:type="dxa"/>
            <w:vAlign w:val="center"/>
          </w:tcPr>
          <w:p w14:paraId="0B049FC1" w14:textId="77777777" w:rsidR="0096426F" w:rsidRPr="004C5E73" w:rsidRDefault="0096426F" w:rsidP="0024174C">
            <w:pPr>
              <w:spacing w:line="240" w:lineRule="auto"/>
              <w:jc w:val="center"/>
              <w:rPr>
                <w:rFonts w:ascii="Calibri" w:hAnsi="Calibri" w:cs="Calibri"/>
              </w:rPr>
            </w:pPr>
            <w:r w:rsidRPr="004C5E73">
              <w:rPr>
                <w:rFonts w:ascii="Calibri" w:hAnsi="Calibri" w:cs="Calibri"/>
              </w:rPr>
              <w:t>18-37</w:t>
            </w:r>
          </w:p>
        </w:tc>
        <w:tc>
          <w:tcPr>
            <w:tcW w:w="1366" w:type="dxa"/>
          </w:tcPr>
          <w:p w14:paraId="4B716789" w14:textId="77777777" w:rsidR="0096426F" w:rsidRPr="004C5E73" w:rsidRDefault="0096426F" w:rsidP="0096426F">
            <w:pPr>
              <w:spacing w:line="240" w:lineRule="auto"/>
              <w:jc w:val="center"/>
              <w:rPr>
                <w:rFonts w:ascii="Calibri" w:hAnsi="Calibri" w:cs="Calibri"/>
              </w:rPr>
            </w:pPr>
          </w:p>
        </w:tc>
      </w:tr>
      <w:tr w:rsidR="0096426F" w:rsidRPr="00777D2F" w14:paraId="5C3471CA" w14:textId="77777777" w:rsidTr="00BE06CE">
        <w:trPr>
          <w:trHeight w:val="73"/>
        </w:trPr>
        <w:tc>
          <w:tcPr>
            <w:tcW w:w="2547" w:type="dxa"/>
            <w:tcBorders>
              <w:bottom w:val="single" w:sz="4" w:space="0" w:color="auto"/>
            </w:tcBorders>
            <w:shd w:val="clear" w:color="auto" w:fill="auto"/>
            <w:vAlign w:val="center"/>
          </w:tcPr>
          <w:p w14:paraId="3774BD38" w14:textId="77777777" w:rsidR="0096426F" w:rsidRPr="004C5E73" w:rsidRDefault="0096426F" w:rsidP="0024174C">
            <w:pPr>
              <w:spacing w:line="240" w:lineRule="auto"/>
              <w:jc w:val="center"/>
              <w:rPr>
                <w:rFonts w:ascii="Calibri" w:hAnsi="Calibri" w:cs="Calibri"/>
                <w:b/>
                <w:bCs/>
              </w:rPr>
            </w:pPr>
          </w:p>
        </w:tc>
        <w:tc>
          <w:tcPr>
            <w:tcW w:w="1701" w:type="dxa"/>
            <w:tcBorders>
              <w:bottom w:val="single" w:sz="4" w:space="0" w:color="auto"/>
            </w:tcBorders>
            <w:shd w:val="clear" w:color="auto" w:fill="auto"/>
            <w:vAlign w:val="center"/>
          </w:tcPr>
          <w:p w14:paraId="148BCDEF" w14:textId="77777777" w:rsidR="0096426F" w:rsidRPr="004C5E73" w:rsidRDefault="0096426F" w:rsidP="0024174C">
            <w:pPr>
              <w:spacing w:line="240" w:lineRule="auto"/>
              <w:jc w:val="center"/>
              <w:rPr>
                <w:rFonts w:ascii="Calibri" w:hAnsi="Calibri" w:cs="Calibri"/>
              </w:rPr>
            </w:pPr>
          </w:p>
        </w:tc>
        <w:tc>
          <w:tcPr>
            <w:tcW w:w="1701" w:type="dxa"/>
            <w:tcBorders>
              <w:bottom w:val="single" w:sz="4" w:space="0" w:color="auto"/>
            </w:tcBorders>
            <w:shd w:val="clear" w:color="auto" w:fill="auto"/>
            <w:vAlign w:val="center"/>
          </w:tcPr>
          <w:p w14:paraId="52681354" w14:textId="77777777" w:rsidR="0096426F" w:rsidRPr="004C5E73" w:rsidRDefault="0096426F" w:rsidP="0024174C">
            <w:pPr>
              <w:spacing w:line="240" w:lineRule="auto"/>
              <w:jc w:val="center"/>
              <w:rPr>
                <w:rFonts w:ascii="Calibri" w:hAnsi="Calibri" w:cs="Calibri"/>
              </w:rPr>
            </w:pPr>
          </w:p>
        </w:tc>
        <w:tc>
          <w:tcPr>
            <w:tcW w:w="1701" w:type="dxa"/>
            <w:tcBorders>
              <w:bottom w:val="single" w:sz="4" w:space="0" w:color="auto"/>
            </w:tcBorders>
            <w:shd w:val="clear" w:color="auto" w:fill="auto"/>
            <w:vAlign w:val="center"/>
          </w:tcPr>
          <w:p w14:paraId="7DBA5E9F" w14:textId="77777777" w:rsidR="0096426F" w:rsidRPr="004C5E73" w:rsidRDefault="0096426F" w:rsidP="0024174C">
            <w:pPr>
              <w:spacing w:line="240" w:lineRule="auto"/>
              <w:jc w:val="center"/>
              <w:rPr>
                <w:rFonts w:ascii="Calibri" w:hAnsi="Calibri" w:cs="Calibri"/>
              </w:rPr>
            </w:pPr>
          </w:p>
        </w:tc>
        <w:tc>
          <w:tcPr>
            <w:tcW w:w="1366" w:type="dxa"/>
            <w:tcBorders>
              <w:bottom w:val="single" w:sz="4" w:space="0" w:color="auto"/>
            </w:tcBorders>
            <w:shd w:val="clear" w:color="auto" w:fill="auto"/>
          </w:tcPr>
          <w:p w14:paraId="71CCE32F" w14:textId="77777777" w:rsidR="0096426F" w:rsidRPr="004C5E73" w:rsidRDefault="0096426F" w:rsidP="0096426F">
            <w:pPr>
              <w:spacing w:line="240" w:lineRule="auto"/>
              <w:jc w:val="center"/>
              <w:rPr>
                <w:rFonts w:ascii="Calibri" w:hAnsi="Calibri" w:cs="Calibri"/>
              </w:rPr>
            </w:pPr>
          </w:p>
        </w:tc>
      </w:tr>
      <w:tr w:rsidR="0096426F" w:rsidRPr="00777D2F" w14:paraId="1C41922F" w14:textId="77777777" w:rsidTr="00E14F81">
        <w:tc>
          <w:tcPr>
            <w:tcW w:w="2547" w:type="dxa"/>
            <w:tcBorders>
              <w:bottom w:val="single" w:sz="4" w:space="0" w:color="auto"/>
            </w:tcBorders>
            <w:vAlign w:val="center"/>
          </w:tcPr>
          <w:p w14:paraId="62FE4BFD" w14:textId="2BC8C7AB" w:rsidR="0096426F" w:rsidRPr="004C5E73" w:rsidRDefault="0096426F" w:rsidP="0024174C">
            <w:pPr>
              <w:spacing w:line="240" w:lineRule="auto"/>
              <w:jc w:val="center"/>
              <w:rPr>
                <w:rFonts w:ascii="Calibri" w:hAnsi="Calibri" w:cs="Calibri"/>
                <w:b/>
                <w:bCs/>
              </w:rPr>
            </w:pPr>
            <w:r w:rsidRPr="004C5E73">
              <w:rPr>
                <w:rFonts w:ascii="Calibri" w:hAnsi="Calibri" w:cs="Calibri"/>
                <w:b/>
                <w:bCs/>
              </w:rPr>
              <w:t>Nodule location (</w:t>
            </w:r>
            <w:r w:rsidR="00E0379D">
              <w:rPr>
                <w:rFonts w:ascii="Calibri" w:hAnsi="Calibri" w:cs="Calibri"/>
                <w:b/>
                <w:bCs/>
              </w:rPr>
              <w:t>N</w:t>
            </w:r>
            <w:r w:rsidRPr="004C5E73">
              <w:rPr>
                <w:rFonts w:ascii="Calibri" w:hAnsi="Calibri" w:cs="Calibri"/>
                <w:b/>
                <w:bCs/>
              </w:rPr>
              <w:t>) (%)</w:t>
            </w:r>
          </w:p>
        </w:tc>
        <w:tc>
          <w:tcPr>
            <w:tcW w:w="1701" w:type="dxa"/>
            <w:tcBorders>
              <w:bottom w:val="single" w:sz="4" w:space="0" w:color="auto"/>
            </w:tcBorders>
            <w:vAlign w:val="center"/>
          </w:tcPr>
          <w:p w14:paraId="50B6218B" w14:textId="77777777" w:rsidR="0096426F" w:rsidRPr="004C5E73" w:rsidRDefault="0096426F" w:rsidP="0024174C">
            <w:pPr>
              <w:spacing w:line="240" w:lineRule="auto"/>
              <w:jc w:val="center"/>
              <w:rPr>
                <w:rFonts w:ascii="Calibri" w:hAnsi="Calibri" w:cs="Calibri"/>
              </w:rPr>
            </w:pPr>
            <w:r w:rsidRPr="004C5E73">
              <w:rPr>
                <w:rFonts w:ascii="Calibri" w:hAnsi="Calibri" w:cs="Calibri"/>
              </w:rPr>
              <w:t>RL: 38 (50.0)</w:t>
            </w:r>
            <w:r w:rsidRPr="004C5E73">
              <w:rPr>
                <w:rFonts w:ascii="Calibri" w:hAnsi="Calibri" w:cs="Calibri"/>
              </w:rPr>
              <w:br/>
              <w:t>LL: 32 (42.1)</w:t>
            </w:r>
            <w:r w:rsidRPr="004C5E73">
              <w:rPr>
                <w:rFonts w:ascii="Calibri" w:hAnsi="Calibri" w:cs="Calibri"/>
              </w:rPr>
              <w:br/>
              <w:t>TI: 6 (7.9)</w:t>
            </w:r>
          </w:p>
        </w:tc>
        <w:tc>
          <w:tcPr>
            <w:tcW w:w="1701" w:type="dxa"/>
            <w:tcBorders>
              <w:bottom w:val="single" w:sz="4" w:space="0" w:color="auto"/>
            </w:tcBorders>
            <w:vAlign w:val="center"/>
          </w:tcPr>
          <w:p w14:paraId="7631BC44" w14:textId="77777777" w:rsidR="0096426F" w:rsidRPr="004C5E73" w:rsidRDefault="0096426F" w:rsidP="0024174C">
            <w:pPr>
              <w:spacing w:line="240" w:lineRule="auto"/>
              <w:jc w:val="center"/>
              <w:rPr>
                <w:rFonts w:ascii="Calibri" w:hAnsi="Calibri" w:cs="Calibri"/>
              </w:rPr>
            </w:pPr>
            <w:r w:rsidRPr="004C5E73">
              <w:rPr>
                <w:rFonts w:ascii="Calibri" w:hAnsi="Calibri" w:cs="Calibri"/>
              </w:rPr>
              <w:t>RL: 13 (65.0)</w:t>
            </w:r>
            <w:r w:rsidRPr="004C5E73">
              <w:rPr>
                <w:rFonts w:ascii="Calibri" w:hAnsi="Calibri" w:cs="Calibri"/>
              </w:rPr>
              <w:br/>
              <w:t>LL: 7 (35.0)</w:t>
            </w:r>
            <w:r w:rsidRPr="004C5E73">
              <w:rPr>
                <w:rFonts w:ascii="Calibri" w:hAnsi="Calibri" w:cs="Calibri"/>
              </w:rPr>
              <w:br/>
              <w:t>TI:  0 (0.0)</w:t>
            </w:r>
          </w:p>
        </w:tc>
        <w:tc>
          <w:tcPr>
            <w:tcW w:w="1701" w:type="dxa"/>
            <w:tcBorders>
              <w:bottom w:val="single" w:sz="4" w:space="0" w:color="auto"/>
            </w:tcBorders>
            <w:vAlign w:val="center"/>
          </w:tcPr>
          <w:p w14:paraId="6D1076AF" w14:textId="77777777" w:rsidR="0096426F" w:rsidRPr="004C5E73" w:rsidRDefault="0096426F" w:rsidP="0024174C">
            <w:pPr>
              <w:spacing w:line="240" w:lineRule="auto"/>
              <w:jc w:val="center"/>
              <w:rPr>
                <w:rFonts w:ascii="Calibri" w:hAnsi="Calibri" w:cs="Calibri"/>
              </w:rPr>
            </w:pPr>
            <w:r w:rsidRPr="004C5E73">
              <w:rPr>
                <w:rFonts w:ascii="Calibri" w:hAnsi="Calibri" w:cs="Calibri"/>
              </w:rPr>
              <w:t>RL: 51 (53.1)</w:t>
            </w:r>
            <w:r w:rsidRPr="004C5E73">
              <w:rPr>
                <w:rFonts w:ascii="Calibri" w:hAnsi="Calibri" w:cs="Calibri"/>
              </w:rPr>
              <w:br/>
              <w:t>LL: 39 (40.6)</w:t>
            </w:r>
            <w:r w:rsidRPr="004C5E73">
              <w:rPr>
                <w:rFonts w:ascii="Calibri" w:hAnsi="Calibri" w:cs="Calibri"/>
              </w:rPr>
              <w:br/>
              <w:t>TI: 6 (6.3)</w:t>
            </w:r>
          </w:p>
        </w:tc>
        <w:tc>
          <w:tcPr>
            <w:tcW w:w="1366" w:type="dxa"/>
            <w:tcBorders>
              <w:bottom w:val="single" w:sz="4" w:space="0" w:color="auto"/>
            </w:tcBorders>
          </w:tcPr>
          <w:p w14:paraId="2BA60CB0" w14:textId="77777777" w:rsidR="0096426F" w:rsidRPr="004C5E73" w:rsidRDefault="0096426F" w:rsidP="0096426F">
            <w:pPr>
              <w:spacing w:line="240" w:lineRule="auto"/>
              <w:jc w:val="center"/>
              <w:rPr>
                <w:rFonts w:ascii="Calibri" w:hAnsi="Calibri" w:cs="Calibri"/>
              </w:rPr>
            </w:pPr>
          </w:p>
        </w:tc>
      </w:tr>
    </w:tbl>
    <w:p w14:paraId="30CA8371" w14:textId="77777777" w:rsidR="0096426F" w:rsidRDefault="0096426F" w:rsidP="0096426F">
      <w:pPr>
        <w:rPr>
          <w:rFonts w:ascii="Times New Roman" w:hAnsi="Times New Roman" w:cs="Times New Roman"/>
          <w:color w:val="000000" w:themeColor="text1"/>
          <w:sz w:val="20"/>
          <w:szCs w:val="20"/>
        </w:rPr>
      </w:pPr>
      <w:r w:rsidRPr="00301D93">
        <w:rPr>
          <w:rFonts w:ascii="Times New Roman" w:hAnsi="Times New Roman" w:cs="Times New Roman"/>
          <w:color w:val="000000" w:themeColor="text1"/>
          <w:sz w:val="20"/>
          <w:szCs w:val="20"/>
        </w:rPr>
        <w:t>All ages given in years (y).</w:t>
      </w:r>
      <w:r w:rsidRPr="00301D93">
        <w:rPr>
          <w:color w:val="000000" w:themeColor="text1"/>
          <w:sz w:val="18"/>
          <w:szCs w:val="18"/>
        </w:rPr>
        <w:br/>
      </w:r>
      <w:r w:rsidRPr="00301D93">
        <w:rPr>
          <w:rFonts w:ascii="Times New Roman" w:hAnsi="Times New Roman" w:cs="Times New Roman"/>
          <w:color w:val="000000" w:themeColor="text1"/>
          <w:sz w:val="20"/>
          <w:szCs w:val="20"/>
        </w:rPr>
        <w:t>All diameters given in millimetres (mm).</w:t>
      </w:r>
      <w:r w:rsidRPr="00301D93">
        <w:rPr>
          <w:rFonts w:ascii="Times New Roman" w:hAnsi="Times New Roman" w:cs="Times New Roman"/>
          <w:color w:val="000000" w:themeColor="text1"/>
          <w:sz w:val="20"/>
          <w:szCs w:val="20"/>
        </w:rPr>
        <w:br/>
        <w:t xml:space="preserve">Nodule location: RL – Right lobe, LL – Left lobe or TI - Thyroid isthmus. </w:t>
      </w:r>
      <w:r w:rsidRPr="00301D93">
        <w:rPr>
          <w:rFonts w:ascii="Times New Roman" w:hAnsi="Times New Roman" w:cs="Times New Roman"/>
          <w:color w:val="000000" w:themeColor="text1"/>
          <w:sz w:val="20"/>
          <w:szCs w:val="20"/>
        </w:rPr>
        <w:br/>
        <w:t>SD - Standard Deviation</w:t>
      </w:r>
      <w:r>
        <w:rPr>
          <w:rFonts w:ascii="Times New Roman" w:hAnsi="Times New Roman" w:cs="Times New Roman"/>
          <w:color w:val="000000" w:themeColor="text1"/>
          <w:sz w:val="20"/>
          <w:szCs w:val="20"/>
        </w:rPr>
        <w:br/>
        <w:t>IQR – Interquartile Range</w:t>
      </w:r>
    </w:p>
    <w:p w14:paraId="1CB69279" w14:textId="77777777" w:rsidR="00796CBF" w:rsidRDefault="00796CBF" w:rsidP="0096426F">
      <w:pPr>
        <w:rPr>
          <w:rFonts w:ascii="Times New Roman" w:hAnsi="Times New Roman" w:cs="Times New Roman"/>
          <w:color w:val="000000" w:themeColor="text1"/>
          <w:sz w:val="20"/>
          <w:szCs w:val="20"/>
        </w:rPr>
      </w:pPr>
    </w:p>
    <w:p w14:paraId="3E0A8315" w14:textId="0FB596FD" w:rsidR="0096426F" w:rsidRPr="00D8488D" w:rsidRDefault="0096426F" w:rsidP="001361CF">
      <w:pPr>
        <w:spacing w:line="480" w:lineRule="auto"/>
        <w:rPr>
          <w:rFonts w:ascii="Times New Roman" w:hAnsi="Times New Roman" w:cs="Times New Roman"/>
          <w:color w:val="000000" w:themeColor="text1"/>
          <w:u w:val="single"/>
        </w:rPr>
      </w:pPr>
      <w:r w:rsidRPr="00D8488D">
        <w:rPr>
          <w:rFonts w:ascii="Times New Roman" w:hAnsi="Times New Roman" w:cs="Times New Roman"/>
          <w:color w:val="000000" w:themeColor="text1"/>
          <w:u w:val="single"/>
        </w:rPr>
        <w:t xml:space="preserve">Fine Needle Aspiration </w:t>
      </w:r>
      <w:r w:rsidR="0020774F">
        <w:rPr>
          <w:rFonts w:ascii="Times New Roman" w:hAnsi="Times New Roman" w:cs="Times New Roman"/>
          <w:color w:val="000000" w:themeColor="text1"/>
          <w:u w:val="single"/>
        </w:rPr>
        <w:t xml:space="preserve">Cytology </w:t>
      </w:r>
      <w:r w:rsidRPr="00D8488D">
        <w:rPr>
          <w:rFonts w:ascii="Times New Roman" w:hAnsi="Times New Roman" w:cs="Times New Roman"/>
          <w:color w:val="000000" w:themeColor="text1"/>
          <w:u w:val="single"/>
        </w:rPr>
        <w:t>(FNA</w:t>
      </w:r>
      <w:r w:rsidR="0020774F">
        <w:rPr>
          <w:rFonts w:ascii="Times New Roman" w:hAnsi="Times New Roman" w:cs="Times New Roman"/>
          <w:color w:val="000000" w:themeColor="text1"/>
          <w:u w:val="single"/>
        </w:rPr>
        <w:t>C</w:t>
      </w:r>
      <w:r w:rsidRPr="00D8488D">
        <w:rPr>
          <w:rFonts w:ascii="Times New Roman" w:hAnsi="Times New Roman" w:cs="Times New Roman"/>
          <w:color w:val="000000" w:themeColor="text1"/>
          <w:u w:val="single"/>
        </w:rPr>
        <w:t>)</w:t>
      </w:r>
    </w:p>
    <w:p w14:paraId="47711908" w14:textId="413CCC3E" w:rsidR="00796CBF" w:rsidRDefault="00796CBF" w:rsidP="001361CF">
      <w:pPr>
        <w:spacing w:line="480" w:lineRule="auto"/>
        <w:rPr>
          <w:rFonts w:ascii="Times New Roman" w:hAnsi="Times New Roman" w:cs="Times New Roman"/>
        </w:rPr>
      </w:pPr>
      <w:r>
        <w:rPr>
          <w:rFonts w:ascii="Times New Roman" w:hAnsi="Times New Roman" w:cs="Times New Roman"/>
        </w:rPr>
        <w:t>100% (n=96) of included U3 nodules received an FNA, in keeping with BTA guidance. Of the 96 nodules determined as indeterminate/U3 according to BTA guidelines, 57 (60%) nodules were rescored as TR3 and above according to ACR</w:t>
      </w:r>
      <w:r w:rsidR="003E2457">
        <w:rPr>
          <w:rFonts w:ascii="Times New Roman" w:hAnsi="Times New Roman" w:cs="Times New Roman"/>
        </w:rPr>
        <w:t>-TIRADS</w:t>
      </w:r>
      <w:r>
        <w:rPr>
          <w:rFonts w:ascii="Times New Roman" w:hAnsi="Times New Roman" w:cs="Times New Roman"/>
        </w:rPr>
        <w:t>, 73 (76%) were rescored as EUTI3 and above according to the EU</w:t>
      </w:r>
      <w:r w:rsidR="003E2457">
        <w:rPr>
          <w:rFonts w:ascii="Times New Roman" w:hAnsi="Times New Roman" w:cs="Times New Roman"/>
        </w:rPr>
        <w:t>-TIRADS</w:t>
      </w:r>
      <w:r>
        <w:rPr>
          <w:rFonts w:ascii="Times New Roman" w:hAnsi="Times New Roman" w:cs="Times New Roman"/>
        </w:rPr>
        <w:t xml:space="preserve"> and 70 nodules (73%) were rescored as TR3 and above according to the AI</w:t>
      </w:r>
      <w:r w:rsidR="003E2457">
        <w:rPr>
          <w:rFonts w:ascii="Times New Roman" w:hAnsi="Times New Roman" w:cs="Times New Roman"/>
        </w:rPr>
        <w:t>-TIRADS</w:t>
      </w:r>
      <w:r>
        <w:rPr>
          <w:rFonts w:ascii="Times New Roman" w:hAnsi="Times New Roman" w:cs="Times New Roman"/>
        </w:rPr>
        <w:t xml:space="preserve">. Nodules TR2 and below are considered </w:t>
      </w:r>
      <w:r w:rsidR="008E3D6D">
        <w:rPr>
          <w:rFonts w:ascii="Times New Roman" w:hAnsi="Times New Roman" w:cs="Times New Roman"/>
        </w:rPr>
        <w:t>‘</w:t>
      </w:r>
      <w:r>
        <w:rPr>
          <w:rFonts w:ascii="Times New Roman" w:hAnsi="Times New Roman" w:cs="Times New Roman"/>
        </w:rPr>
        <w:t>not suspicious</w:t>
      </w:r>
      <w:r w:rsidR="008E3D6D">
        <w:rPr>
          <w:rFonts w:ascii="Times New Roman" w:hAnsi="Times New Roman" w:cs="Times New Roman"/>
        </w:rPr>
        <w:t>’</w:t>
      </w:r>
      <w:r>
        <w:rPr>
          <w:rFonts w:ascii="Times New Roman" w:hAnsi="Times New Roman" w:cs="Times New Roman"/>
        </w:rPr>
        <w:t xml:space="preserve"> and EUTI2 considered </w:t>
      </w:r>
      <w:r w:rsidR="008E3D6D">
        <w:rPr>
          <w:rFonts w:ascii="Times New Roman" w:hAnsi="Times New Roman" w:cs="Times New Roman"/>
        </w:rPr>
        <w:t>‘</w:t>
      </w:r>
      <w:r>
        <w:rPr>
          <w:rFonts w:ascii="Times New Roman" w:hAnsi="Times New Roman" w:cs="Times New Roman"/>
        </w:rPr>
        <w:t>benign</w:t>
      </w:r>
      <w:r w:rsidR="008E3D6D">
        <w:rPr>
          <w:rFonts w:ascii="Times New Roman" w:hAnsi="Times New Roman" w:cs="Times New Roman"/>
        </w:rPr>
        <w:t>’</w:t>
      </w:r>
      <w:r>
        <w:rPr>
          <w:rFonts w:ascii="Times New Roman" w:hAnsi="Times New Roman" w:cs="Times New Roman"/>
        </w:rPr>
        <w:t xml:space="preserve">. </w:t>
      </w:r>
      <w:r w:rsidR="003016E0">
        <w:rPr>
          <w:rFonts w:ascii="Times New Roman" w:hAnsi="Times New Roman" w:cs="Times New Roman"/>
        </w:rPr>
        <w:t>These</w:t>
      </w:r>
      <w:r>
        <w:rPr>
          <w:rFonts w:ascii="Times New Roman" w:hAnsi="Times New Roman" w:cs="Times New Roman"/>
        </w:rPr>
        <w:t xml:space="preserve"> nodules would</w:t>
      </w:r>
      <w:r w:rsidR="003016E0">
        <w:rPr>
          <w:rFonts w:ascii="Times New Roman" w:hAnsi="Times New Roman" w:cs="Times New Roman"/>
        </w:rPr>
        <w:t xml:space="preserve"> not</w:t>
      </w:r>
      <w:r>
        <w:rPr>
          <w:rFonts w:ascii="Times New Roman" w:hAnsi="Times New Roman" w:cs="Times New Roman"/>
        </w:rPr>
        <w:t xml:space="preserve"> have received an FNA according to their corresponding guideline [Table 2]. </w:t>
      </w:r>
    </w:p>
    <w:p w14:paraId="77DF95A7" w14:textId="346C07D4" w:rsidR="00796CBF" w:rsidRPr="005C730B" w:rsidRDefault="00796CBF" w:rsidP="001361CF">
      <w:pPr>
        <w:spacing w:line="480" w:lineRule="auto"/>
        <w:rPr>
          <w:rFonts w:ascii="Times New Roman" w:hAnsi="Times New Roman" w:cs="Times New Roman"/>
          <w:color w:val="FF0000"/>
        </w:rPr>
      </w:pPr>
      <w:r>
        <w:rPr>
          <w:rFonts w:ascii="Times New Roman" w:hAnsi="Times New Roman" w:cs="Times New Roman"/>
        </w:rPr>
        <w:t xml:space="preserve">Of the nodules rescored as TR3/EUTI3 and above, 43 nodules, 53 nodules and 48 nodules would have received FNAC, giving total FNAC rates of 44.8%, 55.2% and 50.0 for ACR-TIRADS, EU-TIRADS and AI-TIRADS, </w:t>
      </w:r>
      <w:r w:rsidRPr="00A4510A">
        <w:rPr>
          <w:rFonts w:ascii="Times New Roman" w:hAnsi="Times New Roman" w:cs="Times New Roman"/>
          <w:color w:val="000000" w:themeColor="text1"/>
        </w:rPr>
        <w:t xml:space="preserve">respectively [Table 2]. </w:t>
      </w:r>
      <w:r w:rsidR="00CE77C1" w:rsidRPr="00A4510A">
        <w:rPr>
          <w:rFonts w:ascii="Times New Roman" w:hAnsi="Times New Roman" w:cs="Times New Roman"/>
          <w:color w:val="000000" w:themeColor="text1"/>
        </w:rPr>
        <w:t>Benign</w:t>
      </w:r>
      <w:r w:rsidR="00CA4DDA" w:rsidRPr="00A4510A">
        <w:rPr>
          <w:rFonts w:ascii="Times New Roman" w:hAnsi="Times New Roman" w:cs="Times New Roman"/>
          <w:color w:val="000000" w:themeColor="text1"/>
        </w:rPr>
        <w:t xml:space="preserve"> FNAC rates (as defined </w:t>
      </w:r>
      <w:r w:rsidR="00CA4DDA">
        <w:rPr>
          <w:rFonts w:ascii="Times New Roman" w:hAnsi="Times New Roman" w:cs="Times New Roman"/>
        </w:rPr>
        <w:t xml:space="preserve">above) were 40.6% (BTA), 22.9% (ACR), 26.0% (EU) and 25.0% (AI), respectively. </w:t>
      </w:r>
    </w:p>
    <w:p w14:paraId="6A1F3394" w14:textId="6C078754" w:rsidR="0096426F" w:rsidRPr="003329AA" w:rsidRDefault="0096426F" w:rsidP="00796CBF">
      <w:pPr>
        <w:spacing w:line="360" w:lineRule="auto"/>
        <w:rPr>
          <w:rFonts w:ascii="Times New Roman" w:hAnsi="Times New Roman" w:cs="Times New Roman"/>
        </w:rPr>
      </w:pPr>
      <w:r w:rsidRPr="003329AA">
        <w:rPr>
          <w:rFonts w:ascii="Times New Roman" w:hAnsi="Times New Roman" w:cs="Times New Roman"/>
          <w:b/>
          <w:bCs/>
        </w:rPr>
        <w:t xml:space="preserve">Table </w:t>
      </w:r>
      <w:r>
        <w:rPr>
          <w:rFonts w:ascii="Times New Roman" w:hAnsi="Times New Roman" w:cs="Times New Roman"/>
          <w:b/>
          <w:bCs/>
        </w:rPr>
        <w:t>2</w:t>
      </w:r>
      <w:r w:rsidRPr="003329AA">
        <w:rPr>
          <w:rFonts w:ascii="Times New Roman" w:hAnsi="Times New Roman" w:cs="Times New Roman"/>
          <w:b/>
          <w:bCs/>
        </w:rPr>
        <w:t>.</w:t>
      </w:r>
      <w:r w:rsidRPr="003329AA">
        <w:rPr>
          <w:rFonts w:ascii="Times New Roman" w:hAnsi="Times New Roman" w:cs="Times New Roman"/>
        </w:rPr>
        <w:t xml:space="preserve"> Comparison of rate of fine-needle aspiration following application of the BTA, ACR-TI, EU-TI and AI-TI guidelines. </w:t>
      </w:r>
    </w:p>
    <w:tbl>
      <w:tblPr>
        <w:tblStyle w:val="TableGrid"/>
        <w:tblW w:w="9782" w:type="dxa"/>
        <w:tblInd w:w="-431" w:type="dxa"/>
        <w:tblLook w:val="04A0" w:firstRow="1" w:lastRow="0" w:firstColumn="1" w:lastColumn="0" w:noHBand="0" w:noVBand="1"/>
      </w:tblPr>
      <w:tblGrid>
        <w:gridCol w:w="852"/>
        <w:gridCol w:w="1701"/>
        <w:gridCol w:w="708"/>
        <w:gridCol w:w="1701"/>
        <w:gridCol w:w="993"/>
        <w:gridCol w:w="1559"/>
        <w:gridCol w:w="850"/>
        <w:gridCol w:w="1418"/>
      </w:tblGrid>
      <w:tr w:rsidR="0096426F" w:rsidRPr="00F33FCE" w14:paraId="71FD93F6" w14:textId="77777777" w:rsidTr="00BE06CE">
        <w:trPr>
          <w:trHeight w:val="273"/>
        </w:trPr>
        <w:tc>
          <w:tcPr>
            <w:tcW w:w="852" w:type="dxa"/>
            <w:shd w:val="clear" w:color="auto" w:fill="auto"/>
          </w:tcPr>
          <w:p w14:paraId="4E5C04A7" w14:textId="77777777" w:rsidR="0096426F" w:rsidRPr="00912166" w:rsidRDefault="0096426F" w:rsidP="003E0FFD">
            <w:pPr>
              <w:jc w:val="center"/>
              <w:rPr>
                <w:rFonts w:ascii="Calibri" w:hAnsi="Calibri" w:cs="Calibri"/>
                <w:b/>
                <w:bCs/>
                <w:sz w:val="20"/>
                <w:szCs w:val="20"/>
              </w:rPr>
            </w:pPr>
            <w:r w:rsidRPr="00912166">
              <w:rPr>
                <w:rFonts w:ascii="Calibri" w:hAnsi="Calibri" w:cs="Calibri"/>
                <w:b/>
                <w:bCs/>
                <w:sz w:val="20"/>
                <w:szCs w:val="20"/>
              </w:rPr>
              <w:lastRenderedPageBreak/>
              <w:t>BTA</w:t>
            </w:r>
          </w:p>
        </w:tc>
        <w:tc>
          <w:tcPr>
            <w:tcW w:w="1701" w:type="dxa"/>
            <w:shd w:val="clear" w:color="auto" w:fill="auto"/>
          </w:tcPr>
          <w:p w14:paraId="3B2B6225" w14:textId="77777777" w:rsidR="0096426F" w:rsidRPr="00912166" w:rsidRDefault="0096426F" w:rsidP="003E0FFD">
            <w:pPr>
              <w:jc w:val="center"/>
              <w:rPr>
                <w:rFonts w:ascii="Calibri" w:hAnsi="Calibri" w:cs="Calibri"/>
                <w:b/>
                <w:bCs/>
                <w:sz w:val="20"/>
                <w:szCs w:val="20"/>
              </w:rPr>
            </w:pPr>
            <w:r w:rsidRPr="00912166">
              <w:rPr>
                <w:rFonts w:ascii="Calibri" w:hAnsi="Calibri" w:cs="Calibri"/>
                <w:b/>
                <w:bCs/>
                <w:sz w:val="20"/>
                <w:szCs w:val="20"/>
              </w:rPr>
              <w:t>N</w:t>
            </w:r>
          </w:p>
        </w:tc>
        <w:tc>
          <w:tcPr>
            <w:tcW w:w="708" w:type="dxa"/>
            <w:shd w:val="clear" w:color="auto" w:fill="auto"/>
          </w:tcPr>
          <w:p w14:paraId="0A60F95D" w14:textId="77777777" w:rsidR="0096426F" w:rsidRPr="00912166" w:rsidRDefault="0096426F" w:rsidP="003E0FFD">
            <w:pPr>
              <w:jc w:val="center"/>
              <w:rPr>
                <w:rFonts w:ascii="Calibri" w:hAnsi="Calibri" w:cs="Calibri"/>
                <w:b/>
                <w:bCs/>
                <w:sz w:val="20"/>
                <w:szCs w:val="20"/>
              </w:rPr>
            </w:pPr>
            <w:r w:rsidRPr="00912166">
              <w:rPr>
                <w:rFonts w:ascii="Calibri" w:hAnsi="Calibri" w:cs="Calibri"/>
                <w:b/>
                <w:bCs/>
                <w:sz w:val="20"/>
                <w:szCs w:val="20"/>
              </w:rPr>
              <w:t>ACR-TI</w:t>
            </w:r>
          </w:p>
        </w:tc>
        <w:tc>
          <w:tcPr>
            <w:tcW w:w="1701" w:type="dxa"/>
            <w:shd w:val="clear" w:color="auto" w:fill="auto"/>
          </w:tcPr>
          <w:p w14:paraId="454B290B" w14:textId="77777777" w:rsidR="0096426F" w:rsidRPr="00912166" w:rsidRDefault="0096426F" w:rsidP="003E0FFD">
            <w:pPr>
              <w:jc w:val="center"/>
              <w:rPr>
                <w:rFonts w:ascii="Calibri" w:hAnsi="Calibri" w:cs="Calibri"/>
                <w:b/>
                <w:bCs/>
                <w:sz w:val="20"/>
                <w:szCs w:val="20"/>
              </w:rPr>
            </w:pPr>
            <w:r w:rsidRPr="00912166">
              <w:rPr>
                <w:rFonts w:ascii="Calibri" w:hAnsi="Calibri" w:cs="Calibri"/>
                <w:b/>
                <w:bCs/>
                <w:sz w:val="20"/>
                <w:szCs w:val="20"/>
              </w:rPr>
              <w:t>N</w:t>
            </w:r>
          </w:p>
        </w:tc>
        <w:tc>
          <w:tcPr>
            <w:tcW w:w="993" w:type="dxa"/>
            <w:shd w:val="clear" w:color="auto" w:fill="auto"/>
          </w:tcPr>
          <w:p w14:paraId="6F72770A" w14:textId="77777777" w:rsidR="0096426F" w:rsidRPr="00912166" w:rsidRDefault="0096426F" w:rsidP="003E0FFD">
            <w:pPr>
              <w:jc w:val="center"/>
              <w:rPr>
                <w:rFonts w:ascii="Calibri" w:hAnsi="Calibri" w:cs="Calibri"/>
                <w:b/>
                <w:bCs/>
                <w:sz w:val="20"/>
                <w:szCs w:val="20"/>
              </w:rPr>
            </w:pPr>
            <w:r w:rsidRPr="00912166">
              <w:rPr>
                <w:rFonts w:ascii="Calibri" w:hAnsi="Calibri" w:cs="Calibri"/>
                <w:b/>
                <w:bCs/>
                <w:sz w:val="20"/>
                <w:szCs w:val="20"/>
              </w:rPr>
              <w:t>EU-TI</w:t>
            </w:r>
          </w:p>
        </w:tc>
        <w:tc>
          <w:tcPr>
            <w:tcW w:w="1559" w:type="dxa"/>
            <w:shd w:val="clear" w:color="auto" w:fill="auto"/>
          </w:tcPr>
          <w:p w14:paraId="154DB7FE" w14:textId="77777777" w:rsidR="0096426F" w:rsidRPr="00912166" w:rsidRDefault="0096426F" w:rsidP="003E0FFD">
            <w:pPr>
              <w:jc w:val="center"/>
              <w:rPr>
                <w:rFonts w:ascii="Calibri" w:hAnsi="Calibri" w:cs="Calibri"/>
                <w:b/>
                <w:bCs/>
                <w:sz w:val="20"/>
                <w:szCs w:val="20"/>
              </w:rPr>
            </w:pPr>
            <w:r w:rsidRPr="00912166">
              <w:rPr>
                <w:rFonts w:ascii="Calibri" w:hAnsi="Calibri" w:cs="Calibri"/>
                <w:b/>
                <w:bCs/>
                <w:sz w:val="20"/>
                <w:szCs w:val="20"/>
              </w:rPr>
              <w:t>N</w:t>
            </w:r>
          </w:p>
        </w:tc>
        <w:tc>
          <w:tcPr>
            <w:tcW w:w="850" w:type="dxa"/>
            <w:shd w:val="clear" w:color="auto" w:fill="auto"/>
          </w:tcPr>
          <w:p w14:paraId="61983A67" w14:textId="77777777" w:rsidR="0096426F" w:rsidRPr="00912166" w:rsidRDefault="0096426F" w:rsidP="003E0FFD">
            <w:pPr>
              <w:jc w:val="center"/>
              <w:rPr>
                <w:rFonts w:ascii="Calibri" w:hAnsi="Calibri" w:cs="Calibri"/>
                <w:b/>
                <w:bCs/>
                <w:sz w:val="20"/>
                <w:szCs w:val="20"/>
              </w:rPr>
            </w:pPr>
            <w:r w:rsidRPr="00912166">
              <w:rPr>
                <w:rFonts w:ascii="Calibri" w:hAnsi="Calibri" w:cs="Calibri"/>
                <w:b/>
                <w:bCs/>
                <w:sz w:val="20"/>
                <w:szCs w:val="20"/>
              </w:rPr>
              <w:t>AI-TI</w:t>
            </w:r>
          </w:p>
        </w:tc>
        <w:tc>
          <w:tcPr>
            <w:tcW w:w="1418" w:type="dxa"/>
            <w:shd w:val="clear" w:color="auto" w:fill="auto"/>
          </w:tcPr>
          <w:p w14:paraId="280564ED" w14:textId="77777777" w:rsidR="0096426F" w:rsidRPr="00912166" w:rsidRDefault="0096426F" w:rsidP="003E0FFD">
            <w:pPr>
              <w:jc w:val="center"/>
              <w:rPr>
                <w:rFonts w:ascii="Calibri" w:hAnsi="Calibri" w:cs="Calibri"/>
                <w:b/>
                <w:bCs/>
                <w:sz w:val="20"/>
                <w:szCs w:val="20"/>
              </w:rPr>
            </w:pPr>
            <w:r w:rsidRPr="00912166">
              <w:rPr>
                <w:rFonts w:ascii="Calibri" w:hAnsi="Calibri" w:cs="Calibri"/>
                <w:b/>
                <w:bCs/>
                <w:sz w:val="20"/>
                <w:szCs w:val="20"/>
              </w:rPr>
              <w:t>N</w:t>
            </w:r>
          </w:p>
        </w:tc>
      </w:tr>
      <w:tr w:rsidR="0096426F" w:rsidRPr="00F33FCE" w14:paraId="2D2E2141" w14:textId="77777777" w:rsidTr="00BE06CE">
        <w:trPr>
          <w:trHeight w:val="399"/>
        </w:trPr>
        <w:tc>
          <w:tcPr>
            <w:tcW w:w="852" w:type="dxa"/>
            <w:vMerge w:val="restart"/>
          </w:tcPr>
          <w:p w14:paraId="28224997" w14:textId="77777777" w:rsidR="0096426F" w:rsidRPr="00912166" w:rsidRDefault="0096426F" w:rsidP="00E464AE">
            <w:pPr>
              <w:jc w:val="center"/>
              <w:rPr>
                <w:rFonts w:ascii="Calibri" w:hAnsi="Calibri" w:cs="Calibri"/>
                <w:sz w:val="20"/>
                <w:szCs w:val="20"/>
              </w:rPr>
            </w:pPr>
          </w:p>
          <w:p w14:paraId="466DFE0C" w14:textId="77777777" w:rsidR="0096426F" w:rsidRPr="00912166" w:rsidRDefault="0096426F" w:rsidP="00E464AE">
            <w:pPr>
              <w:jc w:val="center"/>
              <w:rPr>
                <w:rFonts w:ascii="Calibri" w:hAnsi="Calibri" w:cs="Calibri"/>
                <w:sz w:val="20"/>
                <w:szCs w:val="20"/>
              </w:rPr>
            </w:pPr>
          </w:p>
          <w:p w14:paraId="04B7E42F" w14:textId="77777777" w:rsidR="0096426F" w:rsidRPr="00912166" w:rsidRDefault="0096426F" w:rsidP="00E464AE">
            <w:pPr>
              <w:jc w:val="center"/>
              <w:rPr>
                <w:rFonts w:ascii="Calibri" w:hAnsi="Calibri" w:cs="Calibri"/>
                <w:sz w:val="20"/>
                <w:szCs w:val="20"/>
              </w:rPr>
            </w:pPr>
            <w:r w:rsidRPr="00912166">
              <w:rPr>
                <w:rFonts w:ascii="Calibri" w:hAnsi="Calibri" w:cs="Calibri"/>
                <w:sz w:val="20"/>
                <w:szCs w:val="20"/>
              </w:rPr>
              <w:t>U3</w:t>
            </w:r>
          </w:p>
        </w:tc>
        <w:tc>
          <w:tcPr>
            <w:tcW w:w="1701" w:type="dxa"/>
            <w:vMerge w:val="restart"/>
          </w:tcPr>
          <w:p w14:paraId="1DB9A00A" w14:textId="77777777" w:rsidR="0096426F" w:rsidRPr="00912166" w:rsidRDefault="0096426F" w:rsidP="00E464AE">
            <w:pPr>
              <w:jc w:val="center"/>
              <w:rPr>
                <w:rFonts w:ascii="Calibri" w:hAnsi="Calibri" w:cs="Calibri"/>
                <w:sz w:val="20"/>
                <w:szCs w:val="20"/>
              </w:rPr>
            </w:pPr>
          </w:p>
          <w:p w14:paraId="753D659D" w14:textId="77777777" w:rsidR="0096426F" w:rsidRPr="00912166" w:rsidRDefault="0096426F" w:rsidP="00E464AE">
            <w:pPr>
              <w:jc w:val="center"/>
              <w:rPr>
                <w:rFonts w:ascii="Calibri" w:hAnsi="Calibri" w:cs="Calibri"/>
                <w:sz w:val="20"/>
                <w:szCs w:val="20"/>
              </w:rPr>
            </w:pPr>
          </w:p>
          <w:p w14:paraId="4F702AE6" w14:textId="77777777" w:rsidR="0096426F" w:rsidRPr="00912166" w:rsidRDefault="0096426F" w:rsidP="00E464AE">
            <w:pPr>
              <w:jc w:val="center"/>
              <w:rPr>
                <w:rFonts w:ascii="Calibri" w:hAnsi="Calibri" w:cs="Calibri"/>
                <w:sz w:val="20"/>
                <w:szCs w:val="20"/>
              </w:rPr>
            </w:pPr>
            <w:r w:rsidRPr="00912166">
              <w:rPr>
                <w:rFonts w:ascii="Calibri" w:hAnsi="Calibri" w:cs="Calibri"/>
                <w:sz w:val="20"/>
                <w:szCs w:val="20"/>
              </w:rPr>
              <w:t>96</w:t>
            </w:r>
          </w:p>
        </w:tc>
        <w:tc>
          <w:tcPr>
            <w:tcW w:w="708" w:type="dxa"/>
            <w:vAlign w:val="center"/>
          </w:tcPr>
          <w:p w14:paraId="1D2AA4EE" w14:textId="77777777" w:rsidR="0096426F" w:rsidRPr="00912166" w:rsidRDefault="0096426F" w:rsidP="003E0FFD">
            <w:pPr>
              <w:jc w:val="center"/>
              <w:rPr>
                <w:rFonts w:ascii="Calibri" w:hAnsi="Calibri" w:cs="Calibri"/>
                <w:sz w:val="20"/>
                <w:szCs w:val="20"/>
              </w:rPr>
            </w:pPr>
            <w:r w:rsidRPr="00912166">
              <w:rPr>
                <w:rFonts w:ascii="Calibri" w:hAnsi="Calibri" w:cs="Calibri"/>
                <w:sz w:val="20"/>
                <w:szCs w:val="20"/>
              </w:rPr>
              <w:t>TR1</w:t>
            </w:r>
          </w:p>
        </w:tc>
        <w:tc>
          <w:tcPr>
            <w:tcW w:w="1701" w:type="dxa"/>
            <w:vAlign w:val="center"/>
          </w:tcPr>
          <w:p w14:paraId="0805FD1B" w14:textId="77777777" w:rsidR="0096426F" w:rsidRPr="00912166" w:rsidRDefault="0096426F" w:rsidP="003E0FFD">
            <w:pPr>
              <w:jc w:val="center"/>
              <w:rPr>
                <w:rFonts w:ascii="Calibri" w:hAnsi="Calibri" w:cs="Calibri"/>
                <w:sz w:val="20"/>
                <w:szCs w:val="20"/>
              </w:rPr>
            </w:pPr>
            <w:r w:rsidRPr="00912166">
              <w:rPr>
                <w:rFonts w:ascii="Calibri" w:hAnsi="Calibri" w:cs="Calibri"/>
                <w:sz w:val="20"/>
                <w:szCs w:val="20"/>
              </w:rPr>
              <w:t>25</w:t>
            </w:r>
          </w:p>
        </w:tc>
        <w:tc>
          <w:tcPr>
            <w:tcW w:w="993" w:type="dxa"/>
            <w:shd w:val="clear" w:color="auto" w:fill="auto"/>
            <w:vAlign w:val="center"/>
          </w:tcPr>
          <w:p w14:paraId="68CBA296" w14:textId="71722E1D" w:rsidR="0096426F" w:rsidRPr="00912166" w:rsidRDefault="00BE06CE" w:rsidP="003E0FFD">
            <w:pPr>
              <w:jc w:val="center"/>
              <w:rPr>
                <w:rFonts w:ascii="Calibri" w:hAnsi="Calibri" w:cs="Calibri"/>
                <w:sz w:val="20"/>
                <w:szCs w:val="20"/>
              </w:rPr>
            </w:pPr>
            <w:r>
              <w:rPr>
                <w:rFonts w:ascii="Calibri" w:hAnsi="Calibri" w:cs="Calibri"/>
                <w:sz w:val="20"/>
                <w:szCs w:val="20"/>
              </w:rPr>
              <w:t>N/A</w:t>
            </w:r>
          </w:p>
        </w:tc>
        <w:tc>
          <w:tcPr>
            <w:tcW w:w="1559" w:type="dxa"/>
            <w:shd w:val="clear" w:color="auto" w:fill="auto"/>
            <w:vAlign w:val="center"/>
          </w:tcPr>
          <w:p w14:paraId="67295405" w14:textId="4A4538E0" w:rsidR="0096426F" w:rsidRPr="00912166" w:rsidRDefault="00BE06CE" w:rsidP="003E0FFD">
            <w:pPr>
              <w:jc w:val="center"/>
              <w:rPr>
                <w:rFonts w:ascii="Calibri" w:hAnsi="Calibri" w:cs="Calibri"/>
                <w:sz w:val="20"/>
                <w:szCs w:val="20"/>
              </w:rPr>
            </w:pPr>
            <w:r>
              <w:rPr>
                <w:rFonts w:ascii="Calibri" w:hAnsi="Calibri" w:cs="Calibri"/>
                <w:sz w:val="20"/>
                <w:szCs w:val="20"/>
              </w:rPr>
              <w:t>N/A</w:t>
            </w:r>
          </w:p>
        </w:tc>
        <w:tc>
          <w:tcPr>
            <w:tcW w:w="850" w:type="dxa"/>
            <w:vAlign w:val="center"/>
          </w:tcPr>
          <w:p w14:paraId="37892380" w14:textId="77777777" w:rsidR="0096426F" w:rsidRPr="00912166" w:rsidRDefault="0096426F" w:rsidP="003E0FFD">
            <w:pPr>
              <w:jc w:val="center"/>
              <w:rPr>
                <w:rFonts w:ascii="Calibri" w:hAnsi="Calibri" w:cs="Calibri"/>
                <w:sz w:val="20"/>
                <w:szCs w:val="20"/>
              </w:rPr>
            </w:pPr>
            <w:r w:rsidRPr="00912166">
              <w:rPr>
                <w:rFonts w:ascii="Calibri" w:hAnsi="Calibri" w:cs="Calibri"/>
                <w:sz w:val="20"/>
                <w:szCs w:val="20"/>
              </w:rPr>
              <w:t>TR1</w:t>
            </w:r>
          </w:p>
        </w:tc>
        <w:tc>
          <w:tcPr>
            <w:tcW w:w="1418" w:type="dxa"/>
            <w:vAlign w:val="center"/>
          </w:tcPr>
          <w:p w14:paraId="2323BD9E" w14:textId="77777777" w:rsidR="0096426F" w:rsidRPr="00912166" w:rsidRDefault="0096426F" w:rsidP="003E0FFD">
            <w:pPr>
              <w:jc w:val="center"/>
              <w:rPr>
                <w:rFonts w:ascii="Calibri" w:hAnsi="Calibri" w:cs="Calibri"/>
                <w:sz w:val="20"/>
                <w:szCs w:val="20"/>
              </w:rPr>
            </w:pPr>
            <w:r w:rsidRPr="00912166">
              <w:rPr>
                <w:rFonts w:ascii="Calibri" w:hAnsi="Calibri" w:cs="Calibri"/>
                <w:sz w:val="20"/>
                <w:szCs w:val="20"/>
              </w:rPr>
              <w:t>26</w:t>
            </w:r>
          </w:p>
        </w:tc>
      </w:tr>
      <w:tr w:rsidR="0096426F" w:rsidRPr="00F33FCE" w14:paraId="7BF75B60" w14:textId="77777777" w:rsidTr="007A691E">
        <w:trPr>
          <w:trHeight w:val="406"/>
        </w:trPr>
        <w:tc>
          <w:tcPr>
            <w:tcW w:w="852" w:type="dxa"/>
            <w:vMerge/>
            <w:vAlign w:val="center"/>
          </w:tcPr>
          <w:p w14:paraId="5DBE7FB2" w14:textId="77777777" w:rsidR="0096426F" w:rsidRPr="00912166" w:rsidRDefault="0096426F" w:rsidP="003E0FFD">
            <w:pPr>
              <w:jc w:val="center"/>
              <w:rPr>
                <w:rFonts w:ascii="Calibri" w:hAnsi="Calibri" w:cs="Calibri"/>
                <w:sz w:val="20"/>
                <w:szCs w:val="20"/>
              </w:rPr>
            </w:pPr>
          </w:p>
        </w:tc>
        <w:tc>
          <w:tcPr>
            <w:tcW w:w="1701" w:type="dxa"/>
            <w:vMerge/>
            <w:vAlign w:val="center"/>
          </w:tcPr>
          <w:p w14:paraId="7035BBA2" w14:textId="77777777" w:rsidR="0096426F" w:rsidRPr="00912166" w:rsidRDefault="0096426F" w:rsidP="003E0FFD">
            <w:pPr>
              <w:jc w:val="center"/>
              <w:rPr>
                <w:rFonts w:ascii="Calibri" w:hAnsi="Calibri" w:cs="Calibri"/>
                <w:sz w:val="20"/>
                <w:szCs w:val="20"/>
              </w:rPr>
            </w:pPr>
          </w:p>
        </w:tc>
        <w:tc>
          <w:tcPr>
            <w:tcW w:w="708" w:type="dxa"/>
            <w:vAlign w:val="center"/>
          </w:tcPr>
          <w:p w14:paraId="586C2C3D" w14:textId="77777777" w:rsidR="0096426F" w:rsidRPr="00912166" w:rsidRDefault="0096426F" w:rsidP="003E0FFD">
            <w:pPr>
              <w:jc w:val="center"/>
              <w:rPr>
                <w:rFonts w:ascii="Calibri" w:hAnsi="Calibri" w:cs="Calibri"/>
                <w:sz w:val="20"/>
                <w:szCs w:val="20"/>
              </w:rPr>
            </w:pPr>
            <w:r w:rsidRPr="00912166">
              <w:rPr>
                <w:rFonts w:ascii="Calibri" w:hAnsi="Calibri" w:cs="Calibri"/>
                <w:sz w:val="20"/>
                <w:szCs w:val="20"/>
              </w:rPr>
              <w:t>TR2</w:t>
            </w:r>
          </w:p>
        </w:tc>
        <w:tc>
          <w:tcPr>
            <w:tcW w:w="1701" w:type="dxa"/>
            <w:vAlign w:val="center"/>
          </w:tcPr>
          <w:p w14:paraId="48E9F9B3" w14:textId="77777777" w:rsidR="0096426F" w:rsidRPr="00912166" w:rsidRDefault="0096426F" w:rsidP="003E0FFD">
            <w:pPr>
              <w:jc w:val="center"/>
              <w:rPr>
                <w:rFonts w:ascii="Calibri" w:hAnsi="Calibri" w:cs="Calibri"/>
                <w:sz w:val="20"/>
                <w:szCs w:val="20"/>
              </w:rPr>
            </w:pPr>
            <w:r w:rsidRPr="00912166">
              <w:rPr>
                <w:rFonts w:ascii="Calibri" w:hAnsi="Calibri" w:cs="Calibri"/>
                <w:sz w:val="20"/>
                <w:szCs w:val="20"/>
              </w:rPr>
              <w:t>14</w:t>
            </w:r>
          </w:p>
        </w:tc>
        <w:tc>
          <w:tcPr>
            <w:tcW w:w="993" w:type="dxa"/>
            <w:vAlign w:val="center"/>
          </w:tcPr>
          <w:p w14:paraId="531D2430" w14:textId="77777777" w:rsidR="0096426F" w:rsidRPr="00912166" w:rsidRDefault="0096426F" w:rsidP="003E0FFD">
            <w:pPr>
              <w:jc w:val="center"/>
              <w:rPr>
                <w:rFonts w:ascii="Calibri" w:hAnsi="Calibri" w:cs="Calibri"/>
                <w:sz w:val="20"/>
                <w:szCs w:val="20"/>
              </w:rPr>
            </w:pPr>
            <w:r w:rsidRPr="00912166">
              <w:rPr>
                <w:rFonts w:ascii="Calibri" w:hAnsi="Calibri" w:cs="Calibri"/>
                <w:sz w:val="20"/>
                <w:szCs w:val="20"/>
              </w:rPr>
              <w:t>EUTI2</w:t>
            </w:r>
          </w:p>
        </w:tc>
        <w:tc>
          <w:tcPr>
            <w:tcW w:w="1559" w:type="dxa"/>
            <w:vAlign w:val="center"/>
          </w:tcPr>
          <w:p w14:paraId="20022F50" w14:textId="77777777" w:rsidR="0096426F" w:rsidRPr="00912166" w:rsidRDefault="0096426F" w:rsidP="003E0FFD">
            <w:pPr>
              <w:jc w:val="center"/>
              <w:rPr>
                <w:rFonts w:ascii="Calibri" w:hAnsi="Calibri" w:cs="Calibri"/>
                <w:sz w:val="20"/>
                <w:szCs w:val="20"/>
              </w:rPr>
            </w:pPr>
            <w:r w:rsidRPr="00912166">
              <w:rPr>
                <w:rFonts w:ascii="Calibri" w:hAnsi="Calibri" w:cs="Calibri"/>
                <w:sz w:val="20"/>
                <w:szCs w:val="20"/>
              </w:rPr>
              <w:t>23</w:t>
            </w:r>
          </w:p>
        </w:tc>
        <w:tc>
          <w:tcPr>
            <w:tcW w:w="850" w:type="dxa"/>
            <w:vAlign w:val="center"/>
          </w:tcPr>
          <w:p w14:paraId="0EDDDCCB" w14:textId="77777777" w:rsidR="0096426F" w:rsidRPr="00912166" w:rsidRDefault="0096426F" w:rsidP="003E0FFD">
            <w:pPr>
              <w:jc w:val="center"/>
              <w:rPr>
                <w:rFonts w:ascii="Calibri" w:hAnsi="Calibri" w:cs="Calibri"/>
                <w:sz w:val="20"/>
                <w:szCs w:val="20"/>
              </w:rPr>
            </w:pPr>
            <w:r w:rsidRPr="00912166">
              <w:rPr>
                <w:rFonts w:ascii="Calibri" w:hAnsi="Calibri" w:cs="Calibri"/>
                <w:sz w:val="20"/>
                <w:szCs w:val="20"/>
              </w:rPr>
              <w:t>TR2</w:t>
            </w:r>
          </w:p>
        </w:tc>
        <w:tc>
          <w:tcPr>
            <w:tcW w:w="1418" w:type="dxa"/>
            <w:vAlign w:val="center"/>
          </w:tcPr>
          <w:p w14:paraId="706C0B38" w14:textId="77777777" w:rsidR="0096426F" w:rsidRPr="00912166" w:rsidRDefault="0096426F" w:rsidP="003E0FFD">
            <w:pPr>
              <w:jc w:val="center"/>
              <w:rPr>
                <w:rFonts w:ascii="Calibri" w:hAnsi="Calibri" w:cs="Calibri"/>
                <w:sz w:val="20"/>
                <w:szCs w:val="20"/>
              </w:rPr>
            </w:pPr>
            <w:r w:rsidRPr="00912166">
              <w:rPr>
                <w:rFonts w:ascii="Calibri" w:hAnsi="Calibri" w:cs="Calibri"/>
                <w:sz w:val="20"/>
                <w:szCs w:val="20"/>
              </w:rPr>
              <w:t>0</w:t>
            </w:r>
          </w:p>
        </w:tc>
      </w:tr>
      <w:tr w:rsidR="0096426F" w:rsidRPr="00F33FCE" w14:paraId="3B82AD24" w14:textId="77777777" w:rsidTr="007A691E">
        <w:trPr>
          <w:trHeight w:val="407"/>
        </w:trPr>
        <w:tc>
          <w:tcPr>
            <w:tcW w:w="852" w:type="dxa"/>
            <w:vMerge/>
            <w:vAlign w:val="center"/>
          </w:tcPr>
          <w:p w14:paraId="5B7971A0" w14:textId="77777777" w:rsidR="0096426F" w:rsidRPr="00912166" w:rsidRDefault="0096426F" w:rsidP="003E0FFD">
            <w:pPr>
              <w:jc w:val="center"/>
              <w:rPr>
                <w:rFonts w:ascii="Calibri" w:hAnsi="Calibri" w:cs="Calibri"/>
                <w:sz w:val="20"/>
                <w:szCs w:val="20"/>
              </w:rPr>
            </w:pPr>
          </w:p>
        </w:tc>
        <w:tc>
          <w:tcPr>
            <w:tcW w:w="1701" w:type="dxa"/>
            <w:vMerge/>
            <w:vAlign w:val="center"/>
          </w:tcPr>
          <w:p w14:paraId="5D08FBC9" w14:textId="77777777" w:rsidR="0096426F" w:rsidRPr="00912166" w:rsidRDefault="0096426F" w:rsidP="003E0FFD">
            <w:pPr>
              <w:jc w:val="center"/>
              <w:rPr>
                <w:rFonts w:ascii="Calibri" w:hAnsi="Calibri" w:cs="Calibri"/>
                <w:sz w:val="20"/>
                <w:szCs w:val="20"/>
              </w:rPr>
            </w:pPr>
          </w:p>
        </w:tc>
        <w:tc>
          <w:tcPr>
            <w:tcW w:w="708" w:type="dxa"/>
            <w:vAlign w:val="center"/>
          </w:tcPr>
          <w:p w14:paraId="3CB0471B" w14:textId="77777777" w:rsidR="0096426F" w:rsidRPr="00912166" w:rsidRDefault="0096426F" w:rsidP="003E0FFD">
            <w:pPr>
              <w:jc w:val="center"/>
              <w:rPr>
                <w:rFonts w:ascii="Calibri" w:hAnsi="Calibri" w:cs="Calibri"/>
                <w:sz w:val="20"/>
                <w:szCs w:val="20"/>
              </w:rPr>
            </w:pPr>
            <w:r w:rsidRPr="00912166">
              <w:rPr>
                <w:rFonts w:ascii="Calibri" w:hAnsi="Calibri" w:cs="Calibri"/>
                <w:sz w:val="20"/>
                <w:szCs w:val="20"/>
              </w:rPr>
              <w:t>TR3</w:t>
            </w:r>
          </w:p>
        </w:tc>
        <w:tc>
          <w:tcPr>
            <w:tcW w:w="1701" w:type="dxa"/>
            <w:vAlign w:val="center"/>
          </w:tcPr>
          <w:p w14:paraId="51A49EAA" w14:textId="77777777" w:rsidR="0096426F" w:rsidRPr="00912166" w:rsidRDefault="0096426F" w:rsidP="003E0FFD">
            <w:pPr>
              <w:jc w:val="center"/>
              <w:rPr>
                <w:rFonts w:ascii="Calibri" w:hAnsi="Calibri" w:cs="Calibri"/>
                <w:sz w:val="20"/>
                <w:szCs w:val="20"/>
              </w:rPr>
            </w:pPr>
            <w:r w:rsidRPr="00912166">
              <w:rPr>
                <w:rFonts w:ascii="Calibri" w:hAnsi="Calibri" w:cs="Calibri"/>
                <w:sz w:val="20"/>
                <w:szCs w:val="20"/>
              </w:rPr>
              <w:t>32</w:t>
            </w:r>
          </w:p>
        </w:tc>
        <w:tc>
          <w:tcPr>
            <w:tcW w:w="993" w:type="dxa"/>
            <w:vAlign w:val="center"/>
          </w:tcPr>
          <w:p w14:paraId="3367C104" w14:textId="77777777" w:rsidR="0096426F" w:rsidRPr="00912166" w:rsidRDefault="0096426F" w:rsidP="003E0FFD">
            <w:pPr>
              <w:jc w:val="center"/>
              <w:rPr>
                <w:rFonts w:ascii="Calibri" w:hAnsi="Calibri" w:cs="Calibri"/>
                <w:sz w:val="20"/>
                <w:szCs w:val="20"/>
              </w:rPr>
            </w:pPr>
            <w:r w:rsidRPr="00912166">
              <w:rPr>
                <w:rFonts w:ascii="Calibri" w:hAnsi="Calibri" w:cs="Calibri"/>
                <w:sz w:val="20"/>
                <w:szCs w:val="20"/>
              </w:rPr>
              <w:t>EUTI3</w:t>
            </w:r>
          </w:p>
        </w:tc>
        <w:tc>
          <w:tcPr>
            <w:tcW w:w="1559" w:type="dxa"/>
            <w:vAlign w:val="center"/>
          </w:tcPr>
          <w:p w14:paraId="2E648774" w14:textId="77777777" w:rsidR="0096426F" w:rsidRPr="00912166" w:rsidRDefault="0096426F" w:rsidP="003E0FFD">
            <w:pPr>
              <w:jc w:val="center"/>
              <w:rPr>
                <w:rFonts w:ascii="Calibri" w:hAnsi="Calibri" w:cs="Calibri"/>
                <w:sz w:val="20"/>
                <w:szCs w:val="20"/>
              </w:rPr>
            </w:pPr>
            <w:r w:rsidRPr="00912166">
              <w:rPr>
                <w:rFonts w:ascii="Calibri" w:hAnsi="Calibri" w:cs="Calibri"/>
                <w:sz w:val="20"/>
                <w:szCs w:val="20"/>
              </w:rPr>
              <w:t>45</w:t>
            </w:r>
          </w:p>
        </w:tc>
        <w:tc>
          <w:tcPr>
            <w:tcW w:w="850" w:type="dxa"/>
            <w:vAlign w:val="center"/>
          </w:tcPr>
          <w:p w14:paraId="61AD2E2D" w14:textId="77777777" w:rsidR="0096426F" w:rsidRPr="00912166" w:rsidRDefault="0096426F" w:rsidP="003E0FFD">
            <w:pPr>
              <w:jc w:val="center"/>
              <w:rPr>
                <w:rFonts w:ascii="Calibri" w:hAnsi="Calibri" w:cs="Calibri"/>
                <w:sz w:val="20"/>
                <w:szCs w:val="20"/>
              </w:rPr>
            </w:pPr>
            <w:r w:rsidRPr="00912166">
              <w:rPr>
                <w:rFonts w:ascii="Calibri" w:hAnsi="Calibri" w:cs="Calibri"/>
                <w:sz w:val="20"/>
                <w:szCs w:val="20"/>
              </w:rPr>
              <w:t>TR3</w:t>
            </w:r>
          </w:p>
        </w:tc>
        <w:tc>
          <w:tcPr>
            <w:tcW w:w="1418" w:type="dxa"/>
            <w:vAlign w:val="center"/>
          </w:tcPr>
          <w:p w14:paraId="4BD167A9" w14:textId="77777777" w:rsidR="0096426F" w:rsidRPr="00912166" w:rsidRDefault="0096426F" w:rsidP="003E0FFD">
            <w:pPr>
              <w:jc w:val="center"/>
              <w:rPr>
                <w:rFonts w:ascii="Calibri" w:hAnsi="Calibri" w:cs="Calibri"/>
                <w:sz w:val="20"/>
                <w:szCs w:val="20"/>
              </w:rPr>
            </w:pPr>
            <w:r w:rsidRPr="00912166">
              <w:rPr>
                <w:rFonts w:ascii="Calibri" w:hAnsi="Calibri" w:cs="Calibri"/>
                <w:sz w:val="20"/>
                <w:szCs w:val="20"/>
              </w:rPr>
              <w:t>38</w:t>
            </w:r>
          </w:p>
        </w:tc>
      </w:tr>
      <w:tr w:rsidR="0096426F" w:rsidRPr="00F33FCE" w14:paraId="6F66229C" w14:textId="77777777" w:rsidTr="007A691E">
        <w:trPr>
          <w:trHeight w:val="427"/>
        </w:trPr>
        <w:tc>
          <w:tcPr>
            <w:tcW w:w="852" w:type="dxa"/>
            <w:vMerge/>
            <w:vAlign w:val="center"/>
          </w:tcPr>
          <w:p w14:paraId="1F390364" w14:textId="77777777" w:rsidR="0096426F" w:rsidRPr="00912166" w:rsidRDefault="0096426F" w:rsidP="003E0FFD">
            <w:pPr>
              <w:jc w:val="center"/>
              <w:rPr>
                <w:rFonts w:ascii="Calibri" w:hAnsi="Calibri" w:cs="Calibri"/>
                <w:sz w:val="20"/>
                <w:szCs w:val="20"/>
              </w:rPr>
            </w:pPr>
          </w:p>
        </w:tc>
        <w:tc>
          <w:tcPr>
            <w:tcW w:w="1701" w:type="dxa"/>
            <w:vMerge/>
            <w:vAlign w:val="center"/>
          </w:tcPr>
          <w:p w14:paraId="6943C77A" w14:textId="77777777" w:rsidR="0096426F" w:rsidRPr="00912166" w:rsidRDefault="0096426F" w:rsidP="003E0FFD">
            <w:pPr>
              <w:jc w:val="center"/>
              <w:rPr>
                <w:rFonts w:ascii="Calibri" w:hAnsi="Calibri" w:cs="Calibri"/>
                <w:sz w:val="20"/>
                <w:szCs w:val="20"/>
              </w:rPr>
            </w:pPr>
          </w:p>
        </w:tc>
        <w:tc>
          <w:tcPr>
            <w:tcW w:w="708" w:type="dxa"/>
            <w:vAlign w:val="center"/>
          </w:tcPr>
          <w:p w14:paraId="68487D57" w14:textId="77777777" w:rsidR="0096426F" w:rsidRPr="00912166" w:rsidRDefault="0096426F" w:rsidP="003E0FFD">
            <w:pPr>
              <w:jc w:val="center"/>
              <w:rPr>
                <w:rFonts w:ascii="Calibri" w:hAnsi="Calibri" w:cs="Calibri"/>
                <w:sz w:val="20"/>
                <w:szCs w:val="20"/>
              </w:rPr>
            </w:pPr>
            <w:r w:rsidRPr="00912166">
              <w:rPr>
                <w:rFonts w:ascii="Calibri" w:hAnsi="Calibri" w:cs="Calibri"/>
                <w:sz w:val="20"/>
                <w:szCs w:val="20"/>
              </w:rPr>
              <w:t>TR4</w:t>
            </w:r>
          </w:p>
        </w:tc>
        <w:tc>
          <w:tcPr>
            <w:tcW w:w="1701" w:type="dxa"/>
            <w:vAlign w:val="center"/>
          </w:tcPr>
          <w:p w14:paraId="3FFD73A2" w14:textId="77777777" w:rsidR="0096426F" w:rsidRPr="00912166" w:rsidRDefault="0096426F" w:rsidP="003E0FFD">
            <w:pPr>
              <w:jc w:val="center"/>
              <w:rPr>
                <w:rFonts w:ascii="Calibri" w:hAnsi="Calibri" w:cs="Calibri"/>
                <w:sz w:val="20"/>
                <w:szCs w:val="20"/>
              </w:rPr>
            </w:pPr>
            <w:r w:rsidRPr="00912166">
              <w:rPr>
                <w:rFonts w:ascii="Calibri" w:hAnsi="Calibri" w:cs="Calibri"/>
                <w:sz w:val="20"/>
                <w:szCs w:val="20"/>
              </w:rPr>
              <w:t>21</w:t>
            </w:r>
          </w:p>
        </w:tc>
        <w:tc>
          <w:tcPr>
            <w:tcW w:w="993" w:type="dxa"/>
            <w:vAlign w:val="center"/>
          </w:tcPr>
          <w:p w14:paraId="7949DF72" w14:textId="77777777" w:rsidR="0096426F" w:rsidRPr="00912166" w:rsidRDefault="0096426F" w:rsidP="003E0FFD">
            <w:pPr>
              <w:jc w:val="center"/>
              <w:rPr>
                <w:rFonts w:ascii="Calibri" w:hAnsi="Calibri" w:cs="Calibri"/>
                <w:sz w:val="20"/>
                <w:szCs w:val="20"/>
              </w:rPr>
            </w:pPr>
            <w:r w:rsidRPr="00912166">
              <w:rPr>
                <w:rFonts w:ascii="Calibri" w:hAnsi="Calibri" w:cs="Calibri"/>
                <w:sz w:val="20"/>
                <w:szCs w:val="20"/>
              </w:rPr>
              <w:t>EUTI4</w:t>
            </w:r>
          </w:p>
        </w:tc>
        <w:tc>
          <w:tcPr>
            <w:tcW w:w="1559" w:type="dxa"/>
            <w:vAlign w:val="center"/>
          </w:tcPr>
          <w:p w14:paraId="220E1133" w14:textId="77777777" w:rsidR="0096426F" w:rsidRPr="00912166" w:rsidRDefault="0096426F" w:rsidP="003E0FFD">
            <w:pPr>
              <w:jc w:val="center"/>
              <w:rPr>
                <w:rFonts w:ascii="Calibri" w:hAnsi="Calibri" w:cs="Calibri"/>
                <w:sz w:val="20"/>
                <w:szCs w:val="20"/>
              </w:rPr>
            </w:pPr>
            <w:r w:rsidRPr="00912166">
              <w:rPr>
                <w:rFonts w:ascii="Calibri" w:hAnsi="Calibri" w:cs="Calibri"/>
                <w:sz w:val="20"/>
                <w:szCs w:val="20"/>
              </w:rPr>
              <w:t>24</w:t>
            </w:r>
          </w:p>
        </w:tc>
        <w:tc>
          <w:tcPr>
            <w:tcW w:w="850" w:type="dxa"/>
            <w:vAlign w:val="center"/>
          </w:tcPr>
          <w:p w14:paraId="10B6A3E0" w14:textId="77777777" w:rsidR="0096426F" w:rsidRPr="00912166" w:rsidRDefault="0096426F" w:rsidP="003E0FFD">
            <w:pPr>
              <w:jc w:val="center"/>
              <w:rPr>
                <w:rFonts w:ascii="Calibri" w:hAnsi="Calibri" w:cs="Calibri"/>
                <w:sz w:val="20"/>
                <w:szCs w:val="20"/>
              </w:rPr>
            </w:pPr>
            <w:r w:rsidRPr="00912166">
              <w:rPr>
                <w:rFonts w:ascii="Calibri" w:hAnsi="Calibri" w:cs="Calibri"/>
                <w:sz w:val="20"/>
                <w:szCs w:val="20"/>
              </w:rPr>
              <w:t>TR4</w:t>
            </w:r>
          </w:p>
        </w:tc>
        <w:tc>
          <w:tcPr>
            <w:tcW w:w="1418" w:type="dxa"/>
            <w:vAlign w:val="center"/>
          </w:tcPr>
          <w:p w14:paraId="49B993C1" w14:textId="77777777" w:rsidR="0096426F" w:rsidRPr="00912166" w:rsidRDefault="0096426F" w:rsidP="003E0FFD">
            <w:pPr>
              <w:jc w:val="center"/>
              <w:rPr>
                <w:rFonts w:ascii="Calibri" w:hAnsi="Calibri" w:cs="Calibri"/>
                <w:sz w:val="20"/>
                <w:szCs w:val="20"/>
              </w:rPr>
            </w:pPr>
            <w:r w:rsidRPr="00912166">
              <w:rPr>
                <w:rFonts w:ascii="Calibri" w:hAnsi="Calibri" w:cs="Calibri"/>
                <w:sz w:val="20"/>
                <w:szCs w:val="20"/>
              </w:rPr>
              <w:t>30</w:t>
            </w:r>
          </w:p>
        </w:tc>
      </w:tr>
      <w:tr w:rsidR="0096426F" w:rsidRPr="00F33FCE" w14:paraId="66253880" w14:textId="77777777" w:rsidTr="007A691E">
        <w:trPr>
          <w:trHeight w:val="422"/>
        </w:trPr>
        <w:tc>
          <w:tcPr>
            <w:tcW w:w="852" w:type="dxa"/>
            <w:vMerge/>
            <w:vAlign w:val="center"/>
          </w:tcPr>
          <w:p w14:paraId="3C4AB029" w14:textId="77777777" w:rsidR="0096426F" w:rsidRPr="00912166" w:rsidRDefault="0096426F" w:rsidP="003E0FFD">
            <w:pPr>
              <w:jc w:val="center"/>
              <w:rPr>
                <w:rFonts w:ascii="Calibri" w:hAnsi="Calibri" w:cs="Calibri"/>
                <w:sz w:val="20"/>
                <w:szCs w:val="20"/>
              </w:rPr>
            </w:pPr>
          </w:p>
        </w:tc>
        <w:tc>
          <w:tcPr>
            <w:tcW w:w="1701" w:type="dxa"/>
            <w:vMerge/>
            <w:vAlign w:val="center"/>
          </w:tcPr>
          <w:p w14:paraId="1854E78B" w14:textId="77777777" w:rsidR="0096426F" w:rsidRPr="00912166" w:rsidRDefault="0096426F" w:rsidP="003E0FFD">
            <w:pPr>
              <w:jc w:val="center"/>
              <w:rPr>
                <w:rFonts w:ascii="Calibri" w:hAnsi="Calibri" w:cs="Calibri"/>
                <w:sz w:val="20"/>
                <w:szCs w:val="20"/>
              </w:rPr>
            </w:pPr>
          </w:p>
        </w:tc>
        <w:tc>
          <w:tcPr>
            <w:tcW w:w="708" w:type="dxa"/>
            <w:vAlign w:val="center"/>
          </w:tcPr>
          <w:p w14:paraId="0C438063" w14:textId="77777777" w:rsidR="0096426F" w:rsidRPr="00912166" w:rsidRDefault="0096426F" w:rsidP="003E0FFD">
            <w:pPr>
              <w:jc w:val="center"/>
              <w:rPr>
                <w:rFonts w:ascii="Calibri" w:hAnsi="Calibri" w:cs="Calibri"/>
                <w:sz w:val="20"/>
                <w:szCs w:val="20"/>
              </w:rPr>
            </w:pPr>
            <w:r w:rsidRPr="00912166">
              <w:rPr>
                <w:rFonts w:ascii="Calibri" w:hAnsi="Calibri" w:cs="Calibri"/>
                <w:sz w:val="20"/>
                <w:szCs w:val="20"/>
              </w:rPr>
              <w:t>TR5</w:t>
            </w:r>
          </w:p>
        </w:tc>
        <w:tc>
          <w:tcPr>
            <w:tcW w:w="1701" w:type="dxa"/>
            <w:vAlign w:val="center"/>
          </w:tcPr>
          <w:p w14:paraId="14A114FC" w14:textId="77777777" w:rsidR="0096426F" w:rsidRPr="00912166" w:rsidRDefault="0096426F" w:rsidP="003E0FFD">
            <w:pPr>
              <w:jc w:val="center"/>
              <w:rPr>
                <w:rFonts w:ascii="Calibri" w:hAnsi="Calibri" w:cs="Calibri"/>
                <w:sz w:val="20"/>
                <w:szCs w:val="20"/>
              </w:rPr>
            </w:pPr>
            <w:r w:rsidRPr="00912166">
              <w:rPr>
                <w:rFonts w:ascii="Calibri" w:hAnsi="Calibri" w:cs="Calibri"/>
                <w:sz w:val="20"/>
                <w:szCs w:val="20"/>
              </w:rPr>
              <w:t>4</w:t>
            </w:r>
          </w:p>
        </w:tc>
        <w:tc>
          <w:tcPr>
            <w:tcW w:w="993" w:type="dxa"/>
            <w:vAlign w:val="center"/>
          </w:tcPr>
          <w:p w14:paraId="02AEB1CF" w14:textId="77777777" w:rsidR="0096426F" w:rsidRPr="00912166" w:rsidRDefault="0096426F" w:rsidP="003E0FFD">
            <w:pPr>
              <w:jc w:val="center"/>
              <w:rPr>
                <w:rFonts w:ascii="Calibri" w:hAnsi="Calibri" w:cs="Calibri"/>
                <w:sz w:val="20"/>
                <w:szCs w:val="20"/>
              </w:rPr>
            </w:pPr>
            <w:r w:rsidRPr="00912166">
              <w:rPr>
                <w:rFonts w:ascii="Calibri" w:hAnsi="Calibri" w:cs="Calibri"/>
                <w:sz w:val="20"/>
                <w:szCs w:val="20"/>
              </w:rPr>
              <w:t>EUTI5</w:t>
            </w:r>
          </w:p>
        </w:tc>
        <w:tc>
          <w:tcPr>
            <w:tcW w:w="1559" w:type="dxa"/>
            <w:vAlign w:val="center"/>
          </w:tcPr>
          <w:p w14:paraId="02E816C3" w14:textId="77777777" w:rsidR="0096426F" w:rsidRPr="00912166" w:rsidRDefault="0096426F" w:rsidP="003E0FFD">
            <w:pPr>
              <w:jc w:val="center"/>
              <w:rPr>
                <w:rFonts w:ascii="Calibri" w:hAnsi="Calibri" w:cs="Calibri"/>
                <w:sz w:val="20"/>
                <w:szCs w:val="20"/>
              </w:rPr>
            </w:pPr>
            <w:r w:rsidRPr="00912166">
              <w:rPr>
                <w:rFonts w:ascii="Calibri" w:hAnsi="Calibri" w:cs="Calibri"/>
                <w:sz w:val="20"/>
                <w:szCs w:val="20"/>
              </w:rPr>
              <w:t>4</w:t>
            </w:r>
          </w:p>
        </w:tc>
        <w:tc>
          <w:tcPr>
            <w:tcW w:w="850" w:type="dxa"/>
            <w:vAlign w:val="center"/>
          </w:tcPr>
          <w:p w14:paraId="1CBDF20A" w14:textId="77777777" w:rsidR="0096426F" w:rsidRPr="00912166" w:rsidRDefault="0096426F" w:rsidP="003E0FFD">
            <w:pPr>
              <w:jc w:val="center"/>
              <w:rPr>
                <w:rFonts w:ascii="Calibri" w:hAnsi="Calibri" w:cs="Calibri"/>
                <w:sz w:val="20"/>
                <w:szCs w:val="20"/>
              </w:rPr>
            </w:pPr>
            <w:r w:rsidRPr="00912166">
              <w:rPr>
                <w:rFonts w:ascii="Calibri" w:hAnsi="Calibri" w:cs="Calibri"/>
                <w:sz w:val="20"/>
                <w:szCs w:val="20"/>
              </w:rPr>
              <w:t>TR5</w:t>
            </w:r>
          </w:p>
        </w:tc>
        <w:tc>
          <w:tcPr>
            <w:tcW w:w="1418" w:type="dxa"/>
            <w:vAlign w:val="center"/>
          </w:tcPr>
          <w:p w14:paraId="3DFB20C7" w14:textId="77777777" w:rsidR="0096426F" w:rsidRPr="00912166" w:rsidRDefault="0096426F" w:rsidP="003E0FFD">
            <w:pPr>
              <w:jc w:val="center"/>
              <w:rPr>
                <w:rFonts w:ascii="Calibri" w:hAnsi="Calibri" w:cs="Calibri"/>
                <w:sz w:val="20"/>
                <w:szCs w:val="20"/>
              </w:rPr>
            </w:pPr>
            <w:r w:rsidRPr="00912166">
              <w:rPr>
                <w:rFonts w:ascii="Calibri" w:hAnsi="Calibri" w:cs="Calibri"/>
                <w:sz w:val="20"/>
                <w:szCs w:val="20"/>
              </w:rPr>
              <w:t>2</w:t>
            </w:r>
          </w:p>
        </w:tc>
      </w:tr>
      <w:tr w:rsidR="0096426F" w:rsidRPr="00F33FCE" w14:paraId="25AF0970" w14:textId="77777777" w:rsidTr="00BE06CE">
        <w:trPr>
          <w:trHeight w:val="273"/>
        </w:trPr>
        <w:tc>
          <w:tcPr>
            <w:tcW w:w="852" w:type="dxa"/>
            <w:shd w:val="clear" w:color="auto" w:fill="auto"/>
            <w:vAlign w:val="center"/>
          </w:tcPr>
          <w:p w14:paraId="49C12454" w14:textId="1FE3B17C" w:rsidR="0096426F" w:rsidRPr="00912166" w:rsidRDefault="0096426F" w:rsidP="003E0FFD">
            <w:pPr>
              <w:jc w:val="center"/>
              <w:rPr>
                <w:rFonts w:ascii="Calibri" w:hAnsi="Calibri" w:cs="Calibri"/>
                <w:b/>
                <w:bCs/>
                <w:sz w:val="20"/>
                <w:szCs w:val="20"/>
              </w:rPr>
            </w:pPr>
            <w:r w:rsidRPr="00912166">
              <w:rPr>
                <w:rFonts w:ascii="Calibri" w:hAnsi="Calibri" w:cs="Calibri"/>
                <w:b/>
                <w:bCs/>
                <w:sz w:val="20"/>
                <w:szCs w:val="20"/>
              </w:rPr>
              <w:t xml:space="preserve">BTA </w:t>
            </w:r>
          </w:p>
        </w:tc>
        <w:tc>
          <w:tcPr>
            <w:tcW w:w="1701" w:type="dxa"/>
            <w:shd w:val="clear" w:color="auto" w:fill="auto"/>
            <w:vAlign w:val="center"/>
          </w:tcPr>
          <w:p w14:paraId="119B8794" w14:textId="5999F03C" w:rsidR="0096426F" w:rsidRPr="00912166" w:rsidRDefault="0096426F" w:rsidP="003E0FFD">
            <w:pPr>
              <w:jc w:val="center"/>
              <w:rPr>
                <w:rFonts w:ascii="Calibri" w:hAnsi="Calibri" w:cs="Calibri"/>
                <w:b/>
                <w:bCs/>
                <w:sz w:val="20"/>
                <w:szCs w:val="20"/>
              </w:rPr>
            </w:pPr>
            <w:r w:rsidRPr="00912166">
              <w:rPr>
                <w:rFonts w:ascii="Calibri" w:hAnsi="Calibri" w:cs="Calibri"/>
                <w:b/>
                <w:bCs/>
                <w:sz w:val="20"/>
                <w:szCs w:val="20"/>
              </w:rPr>
              <w:t>FNA</w:t>
            </w:r>
            <w:r w:rsidR="00F955F8">
              <w:rPr>
                <w:rFonts w:ascii="Calibri" w:hAnsi="Calibri" w:cs="Calibri"/>
                <w:b/>
                <w:bCs/>
                <w:sz w:val="20"/>
                <w:szCs w:val="20"/>
              </w:rPr>
              <w:t>C</w:t>
            </w:r>
            <w:r w:rsidRPr="00912166">
              <w:rPr>
                <w:rFonts w:ascii="Calibri" w:hAnsi="Calibri" w:cs="Calibri"/>
                <w:b/>
                <w:bCs/>
                <w:sz w:val="20"/>
                <w:szCs w:val="20"/>
              </w:rPr>
              <w:t xml:space="preserve"> Rate (%)</w:t>
            </w:r>
          </w:p>
        </w:tc>
        <w:tc>
          <w:tcPr>
            <w:tcW w:w="708" w:type="dxa"/>
            <w:shd w:val="clear" w:color="auto" w:fill="auto"/>
            <w:vAlign w:val="center"/>
          </w:tcPr>
          <w:p w14:paraId="16AD032C" w14:textId="77777777" w:rsidR="0096426F" w:rsidRPr="00912166" w:rsidRDefault="0096426F" w:rsidP="003E0FFD">
            <w:pPr>
              <w:jc w:val="center"/>
              <w:rPr>
                <w:rFonts w:ascii="Calibri" w:hAnsi="Calibri" w:cs="Calibri"/>
                <w:b/>
                <w:bCs/>
                <w:sz w:val="20"/>
                <w:szCs w:val="20"/>
              </w:rPr>
            </w:pPr>
            <w:r w:rsidRPr="00912166">
              <w:rPr>
                <w:rFonts w:ascii="Calibri" w:hAnsi="Calibri" w:cs="Calibri"/>
                <w:b/>
                <w:bCs/>
                <w:sz w:val="20"/>
                <w:szCs w:val="20"/>
              </w:rPr>
              <w:t>ACR-TI</w:t>
            </w:r>
          </w:p>
        </w:tc>
        <w:tc>
          <w:tcPr>
            <w:tcW w:w="1701" w:type="dxa"/>
            <w:shd w:val="clear" w:color="auto" w:fill="auto"/>
            <w:vAlign w:val="center"/>
          </w:tcPr>
          <w:p w14:paraId="065F70A0" w14:textId="61592ACB" w:rsidR="0096426F" w:rsidRPr="00912166" w:rsidRDefault="0096426F" w:rsidP="003E0FFD">
            <w:pPr>
              <w:jc w:val="center"/>
              <w:rPr>
                <w:rFonts w:ascii="Calibri" w:hAnsi="Calibri" w:cs="Calibri"/>
                <w:b/>
                <w:bCs/>
                <w:sz w:val="20"/>
                <w:szCs w:val="20"/>
              </w:rPr>
            </w:pPr>
            <w:r w:rsidRPr="00912166">
              <w:rPr>
                <w:rFonts w:ascii="Calibri" w:hAnsi="Calibri" w:cs="Calibri"/>
                <w:b/>
                <w:bCs/>
                <w:sz w:val="20"/>
                <w:szCs w:val="20"/>
              </w:rPr>
              <w:t>FNA</w:t>
            </w:r>
            <w:r w:rsidR="00F955F8">
              <w:rPr>
                <w:rFonts w:ascii="Calibri" w:hAnsi="Calibri" w:cs="Calibri"/>
                <w:b/>
                <w:bCs/>
                <w:sz w:val="20"/>
                <w:szCs w:val="20"/>
              </w:rPr>
              <w:t>C</w:t>
            </w:r>
            <w:r w:rsidRPr="00912166">
              <w:rPr>
                <w:rFonts w:ascii="Calibri" w:hAnsi="Calibri" w:cs="Calibri"/>
                <w:b/>
                <w:bCs/>
                <w:sz w:val="20"/>
                <w:szCs w:val="20"/>
              </w:rPr>
              <w:t xml:space="preserve"> Rate (%)</w:t>
            </w:r>
          </w:p>
        </w:tc>
        <w:tc>
          <w:tcPr>
            <w:tcW w:w="993" w:type="dxa"/>
            <w:shd w:val="clear" w:color="auto" w:fill="auto"/>
            <w:vAlign w:val="center"/>
          </w:tcPr>
          <w:p w14:paraId="16706219" w14:textId="77777777" w:rsidR="0096426F" w:rsidRPr="00912166" w:rsidRDefault="0096426F" w:rsidP="003E0FFD">
            <w:pPr>
              <w:jc w:val="center"/>
              <w:rPr>
                <w:rFonts w:ascii="Calibri" w:hAnsi="Calibri" w:cs="Calibri"/>
                <w:b/>
                <w:bCs/>
                <w:sz w:val="20"/>
                <w:szCs w:val="20"/>
              </w:rPr>
            </w:pPr>
            <w:r w:rsidRPr="00912166">
              <w:rPr>
                <w:rFonts w:ascii="Calibri" w:hAnsi="Calibri" w:cs="Calibri"/>
                <w:b/>
                <w:bCs/>
                <w:sz w:val="20"/>
                <w:szCs w:val="20"/>
              </w:rPr>
              <w:t>EU-TI</w:t>
            </w:r>
          </w:p>
        </w:tc>
        <w:tc>
          <w:tcPr>
            <w:tcW w:w="1559" w:type="dxa"/>
            <w:shd w:val="clear" w:color="auto" w:fill="auto"/>
            <w:vAlign w:val="center"/>
          </w:tcPr>
          <w:p w14:paraId="707026DB" w14:textId="77777777" w:rsidR="0096426F" w:rsidRPr="00912166" w:rsidRDefault="0096426F" w:rsidP="003E0FFD">
            <w:pPr>
              <w:jc w:val="center"/>
              <w:rPr>
                <w:rFonts w:ascii="Calibri" w:hAnsi="Calibri" w:cs="Calibri"/>
                <w:b/>
                <w:bCs/>
                <w:sz w:val="20"/>
                <w:szCs w:val="20"/>
              </w:rPr>
            </w:pPr>
            <w:r w:rsidRPr="00912166">
              <w:rPr>
                <w:rFonts w:ascii="Calibri" w:hAnsi="Calibri" w:cs="Calibri"/>
                <w:b/>
                <w:bCs/>
                <w:sz w:val="20"/>
                <w:szCs w:val="20"/>
              </w:rPr>
              <w:t>N</w:t>
            </w:r>
          </w:p>
        </w:tc>
        <w:tc>
          <w:tcPr>
            <w:tcW w:w="850" w:type="dxa"/>
            <w:shd w:val="clear" w:color="auto" w:fill="auto"/>
            <w:vAlign w:val="center"/>
          </w:tcPr>
          <w:p w14:paraId="198F8E3B" w14:textId="77777777" w:rsidR="0096426F" w:rsidRPr="00912166" w:rsidRDefault="0096426F" w:rsidP="003E0FFD">
            <w:pPr>
              <w:jc w:val="center"/>
              <w:rPr>
                <w:rFonts w:ascii="Calibri" w:hAnsi="Calibri" w:cs="Calibri"/>
                <w:b/>
                <w:bCs/>
                <w:sz w:val="20"/>
                <w:szCs w:val="20"/>
              </w:rPr>
            </w:pPr>
            <w:r w:rsidRPr="00912166">
              <w:rPr>
                <w:rFonts w:ascii="Calibri" w:hAnsi="Calibri" w:cs="Calibri"/>
                <w:b/>
                <w:bCs/>
                <w:sz w:val="20"/>
                <w:szCs w:val="20"/>
              </w:rPr>
              <w:t>AI-TI</w:t>
            </w:r>
          </w:p>
        </w:tc>
        <w:tc>
          <w:tcPr>
            <w:tcW w:w="1418" w:type="dxa"/>
            <w:shd w:val="clear" w:color="auto" w:fill="auto"/>
            <w:vAlign w:val="center"/>
          </w:tcPr>
          <w:p w14:paraId="33502BDA" w14:textId="77777777" w:rsidR="0096426F" w:rsidRPr="00912166" w:rsidRDefault="0096426F" w:rsidP="003E0FFD">
            <w:pPr>
              <w:jc w:val="center"/>
              <w:rPr>
                <w:rFonts w:ascii="Calibri" w:hAnsi="Calibri" w:cs="Calibri"/>
                <w:b/>
                <w:bCs/>
                <w:sz w:val="20"/>
                <w:szCs w:val="20"/>
              </w:rPr>
            </w:pPr>
            <w:r w:rsidRPr="00912166">
              <w:rPr>
                <w:rFonts w:ascii="Calibri" w:hAnsi="Calibri" w:cs="Calibri"/>
                <w:b/>
                <w:bCs/>
                <w:sz w:val="20"/>
                <w:szCs w:val="20"/>
              </w:rPr>
              <w:t>N</w:t>
            </w:r>
          </w:p>
        </w:tc>
      </w:tr>
      <w:tr w:rsidR="0096426F" w:rsidRPr="00F33FCE" w14:paraId="0CD1F7A5" w14:textId="77777777" w:rsidTr="00BE06CE">
        <w:trPr>
          <w:trHeight w:val="381"/>
        </w:trPr>
        <w:tc>
          <w:tcPr>
            <w:tcW w:w="852" w:type="dxa"/>
            <w:vMerge w:val="restart"/>
          </w:tcPr>
          <w:p w14:paraId="4709CCDA" w14:textId="77777777" w:rsidR="0096426F" w:rsidRPr="00912166" w:rsidRDefault="0096426F" w:rsidP="00E464AE">
            <w:pPr>
              <w:jc w:val="center"/>
              <w:rPr>
                <w:rFonts w:ascii="Calibri" w:hAnsi="Calibri" w:cs="Calibri"/>
                <w:sz w:val="20"/>
                <w:szCs w:val="20"/>
              </w:rPr>
            </w:pPr>
          </w:p>
          <w:p w14:paraId="5E04A5C1" w14:textId="77777777" w:rsidR="0096426F" w:rsidRPr="00912166" w:rsidRDefault="0096426F" w:rsidP="00E464AE">
            <w:pPr>
              <w:jc w:val="center"/>
              <w:rPr>
                <w:rFonts w:ascii="Calibri" w:hAnsi="Calibri" w:cs="Calibri"/>
                <w:sz w:val="20"/>
                <w:szCs w:val="20"/>
              </w:rPr>
            </w:pPr>
          </w:p>
          <w:p w14:paraId="7357BFCB" w14:textId="77777777" w:rsidR="0096426F" w:rsidRPr="00912166" w:rsidRDefault="0096426F" w:rsidP="00E464AE">
            <w:pPr>
              <w:jc w:val="center"/>
              <w:rPr>
                <w:rFonts w:ascii="Calibri" w:hAnsi="Calibri" w:cs="Calibri"/>
                <w:sz w:val="20"/>
                <w:szCs w:val="20"/>
              </w:rPr>
            </w:pPr>
            <w:r w:rsidRPr="00912166">
              <w:rPr>
                <w:rFonts w:ascii="Calibri" w:hAnsi="Calibri" w:cs="Calibri"/>
                <w:sz w:val="20"/>
                <w:szCs w:val="20"/>
              </w:rPr>
              <w:t>U3</w:t>
            </w:r>
          </w:p>
        </w:tc>
        <w:tc>
          <w:tcPr>
            <w:tcW w:w="1701" w:type="dxa"/>
            <w:vMerge w:val="restart"/>
          </w:tcPr>
          <w:p w14:paraId="0865B10E" w14:textId="77777777" w:rsidR="0096426F" w:rsidRPr="00912166" w:rsidRDefault="0096426F" w:rsidP="00E464AE">
            <w:pPr>
              <w:jc w:val="center"/>
              <w:rPr>
                <w:rFonts w:ascii="Calibri" w:hAnsi="Calibri" w:cs="Calibri"/>
                <w:sz w:val="20"/>
                <w:szCs w:val="20"/>
              </w:rPr>
            </w:pPr>
          </w:p>
          <w:p w14:paraId="4046258D" w14:textId="77777777" w:rsidR="0096426F" w:rsidRPr="00912166" w:rsidRDefault="0096426F" w:rsidP="00E464AE">
            <w:pPr>
              <w:jc w:val="center"/>
              <w:rPr>
                <w:rFonts w:ascii="Calibri" w:hAnsi="Calibri" w:cs="Calibri"/>
                <w:sz w:val="20"/>
                <w:szCs w:val="20"/>
              </w:rPr>
            </w:pPr>
          </w:p>
          <w:p w14:paraId="5E1B664A" w14:textId="77777777" w:rsidR="0096426F" w:rsidRPr="00912166" w:rsidRDefault="0096426F" w:rsidP="00E464AE">
            <w:pPr>
              <w:jc w:val="center"/>
              <w:rPr>
                <w:rFonts w:ascii="Calibri" w:hAnsi="Calibri" w:cs="Calibri"/>
                <w:sz w:val="20"/>
                <w:szCs w:val="20"/>
              </w:rPr>
            </w:pPr>
            <w:r w:rsidRPr="00912166">
              <w:rPr>
                <w:rFonts w:ascii="Calibri" w:hAnsi="Calibri" w:cs="Calibri"/>
                <w:sz w:val="20"/>
                <w:szCs w:val="20"/>
              </w:rPr>
              <w:t>96/96 (100.0)</w:t>
            </w:r>
          </w:p>
        </w:tc>
        <w:tc>
          <w:tcPr>
            <w:tcW w:w="708" w:type="dxa"/>
            <w:vAlign w:val="center"/>
          </w:tcPr>
          <w:p w14:paraId="5C301D71" w14:textId="77777777" w:rsidR="0096426F" w:rsidRPr="00912166" w:rsidRDefault="0096426F" w:rsidP="003E0FFD">
            <w:pPr>
              <w:jc w:val="center"/>
              <w:rPr>
                <w:rFonts w:ascii="Calibri" w:hAnsi="Calibri" w:cs="Calibri"/>
                <w:sz w:val="20"/>
                <w:szCs w:val="20"/>
              </w:rPr>
            </w:pPr>
            <w:r w:rsidRPr="00912166">
              <w:rPr>
                <w:rFonts w:ascii="Calibri" w:hAnsi="Calibri" w:cs="Calibri"/>
                <w:sz w:val="20"/>
                <w:szCs w:val="20"/>
              </w:rPr>
              <w:t>TR1</w:t>
            </w:r>
          </w:p>
        </w:tc>
        <w:tc>
          <w:tcPr>
            <w:tcW w:w="1701" w:type="dxa"/>
            <w:vAlign w:val="center"/>
          </w:tcPr>
          <w:p w14:paraId="3CE65BDB" w14:textId="77777777" w:rsidR="0096426F" w:rsidRPr="00912166" w:rsidRDefault="0096426F" w:rsidP="003E0FFD">
            <w:pPr>
              <w:jc w:val="center"/>
              <w:rPr>
                <w:rFonts w:ascii="Calibri" w:hAnsi="Calibri" w:cs="Calibri"/>
                <w:sz w:val="20"/>
                <w:szCs w:val="20"/>
              </w:rPr>
            </w:pPr>
            <w:r w:rsidRPr="00912166">
              <w:rPr>
                <w:rFonts w:ascii="Calibri" w:hAnsi="Calibri" w:cs="Calibri"/>
                <w:sz w:val="20"/>
                <w:szCs w:val="20"/>
              </w:rPr>
              <w:t>0/25 (0.0)</w:t>
            </w:r>
          </w:p>
        </w:tc>
        <w:tc>
          <w:tcPr>
            <w:tcW w:w="993" w:type="dxa"/>
            <w:shd w:val="clear" w:color="auto" w:fill="auto"/>
            <w:vAlign w:val="center"/>
          </w:tcPr>
          <w:p w14:paraId="6C5EB84C" w14:textId="17364686" w:rsidR="0096426F" w:rsidRPr="00912166" w:rsidRDefault="00BE06CE" w:rsidP="003E0FFD">
            <w:pPr>
              <w:jc w:val="center"/>
              <w:rPr>
                <w:rFonts w:ascii="Calibri" w:hAnsi="Calibri" w:cs="Calibri"/>
                <w:sz w:val="20"/>
                <w:szCs w:val="20"/>
              </w:rPr>
            </w:pPr>
            <w:r>
              <w:rPr>
                <w:rFonts w:ascii="Calibri" w:hAnsi="Calibri" w:cs="Calibri"/>
                <w:sz w:val="20"/>
                <w:szCs w:val="20"/>
              </w:rPr>
              <w:t>N/A</w:t>
            </w:r>
          </w:p>
        </w:tc>
        <w:tc>
          <w:tcPr>
            <w:tcW w:w="1559" w:type="dxa"/>
            <w:shd w:val="clear" w:color="auto" w:fill="auto"/>
            <w:vAlign w:val="center"/>
          </w:tcPr>
          <w:p w14:paraId="08D1305A" w14:textId="4D2C4796" w:rsidR="0096426F" w:rsidRPr="00912166" w:rsidRDefault="00BE06CE" w:rsidP="003E0FFD">
            <w:pPr>
              <w:jc w:val="center"/>
              <w:rPr>
                <w:rFonts w:ascii="Calibri" w:hAnsi="Calibri" w:cs="Calibri"/>
                <w:sz w:val="20"/>
                <w:szCs w:val="20"/>
              </w:rPr>
            </w:pPr>
            <w:r>
              <w:rPr>
                <w:rFonts w:ascii="Calibri" w:hAnsi="Calibri" w:cs="Calibri"/>
                <w:sz w:val="20"/>
                <w:szCs w:val="20"/>
              </w:rPr>
              <w:t>N/A</w:t>
            </w:r>
          </w:p>
        </w:tc>
        <w:tc>
          <w:tcPr>
            <w:tcW w:w="850" w:type="dxa"/>
            <w:vAlign w:val="center"/>
          </w:tcPr>
          <w:p w14:paraId="5C38A005" w14:textId="77777777" w:rsidR="0096426F" w:rsidRPr="00912166" w:rsidRDefault="0096426F" w:rsidP="003E0FFD">
            <w:pPr>
              <w:jc w:val="center"/>
              <w:rPr>
                <w:rFonts w:ascii="Calibri" w:hAnsi="Calibri" w:cs="Calibri"/>
                <w:sz w:val="20"/>
                <w:szCs w:val="20"/>
              </w:rPr>
            </w:pPr>
            <w:r w:rsidRPr="00912166">
              <w:rPr>
                <w:rFonts w:ascii="Calibri" w:hAnsi="Calibri" w:cs="Calibri"/>
                <w:sz w:val="20"/>
                <w:szCs w:val="20"/>
              </w:rPr>
              <w:t>TR1</w:t>
            </w:r>
          </w:p>
        </w:tc>
        <w:tc>
          <w:tcPr>
            <w:tcW w:w="1418" w:type="dxa"/>
            <w:vAlign w:val="center"/>
          </w:tcPr>
          <w:p w14:paraId="035FC9EB" w14:textId="77777777" w:rsidR="0096426F" w:rsidRPr="00912166" w:rsidRDefault="0096426F" w:rsidP="003E0FFD">
            <w:pPr>
              <w:jc w:val="center"/>
              <w:rPr>
                <w:rFonts w:ascii="Calibri" w:hAnsi="Calibri" w:cs="Calibri"/>
                <w:sz w:val="20"/>
                <w:szCs w:val="20"/>
              </w:rPr>
            </w:pPr>
            <w:r w:rsidRPr="00912166">
              <w:rPr>
                <w:rFonts w:ascii="Calibri" w:hAnsi="Calibri" w:cs="Calibri"/>
                <w:sz w:val="20"/>
                <w:szCs w:val="20"/>
              </w:rPr>
              <w:t>0/26 (0.0)</w:t>
            </w:r>
          </w:p>
        </w:tc>
      </w:tr>
      <w:tr w:rsidR="0096426F" w:rsidRPr="00F33FCE" w14:paraId="5A4B863C" w14:textId="77777777" w:rsidTr="007A691E">
        <w:trPr>
          <w:trHeight w:val="419"/>
        </w:trPr>
        <w:tc>
          <w:tcPr>
            <w:tcW w:w="852" w:type="dxa"/>
            <w:vMerge/>
            <w:vAlign w:val="center"/>
          </w:tcPr>
          <w:p w14:paraId="6E161C0D" w14:textId="77777777" w:rsidR="0096426F" w:rsidRPr="00912166" w:rsidRDefault="0096426F" w:rsidP="003E0FFD">
            <w:pPr>
              <w:jc w:val="center"/>
              <w:rPr>
                <w:rFonts w:ascii="Calibri" w:hAnsi="Calibri" w:cs="Calibri"/>
                <w:sz w:val="20"/>
                <w:szCs w:val="20"/>
              </w:rPr>
            </w:pPr>
          </w:p>
        </w:tc>
        <w:tc>
          <w:tcPr>
            <w:tcW w:w="1701" w:type="dxa"/>
            <w:vMerge/>
            <w:vAlign w:val="center"/>
          </w:tcPr>
          <w:p w14:paraId="613F17E1" w14:textId="77777777" w:rsidR="0096426F" w:rsidRPr="00912166" w:rsidRDefault="0096426F" w:rsidP="003E0FFD">
            <w:pPr>
              <w:jc w:val="center"/>
              <w:rPr>
                <w:rFonts w:ascii="Calibri" w:hAnsi="Calibri" w:cs="Calibri"/>
                <w:sz w:val="20"/>
                <w:szCs w:val="20"/>
              </w:rPr>
            </w:pPr>
          </w:p>
        </w:tc>
        <w:tc>
          <w:tcPr>
            <w:tcW w:w="708" w:type="dxa"/>
            <w:vAlign w:val="center"/>
          </w:tcPr>
          <w:p w14:paraId="4C840800" w14:textId="77777777" w:rsidR="0096426F" w:rsidRPr="00912166" w:rsidRDefault="0096426F" w:rsidP="003E0FFD">
            <w:pPr>
              <w:jc w:val="center"/>
              <w:rPr>
                <w:rFonts w:ascii="Calibri" w:hAnsi="Calibri" w:cs="Calibri"/>
                <w:sz w:val="20"/>
                <w:szCs w:val="20"/>
              </w:rPr>
            </w:pPr>
            <w:r w:rsidRPr="00912166">
              <w:rPr>
                <w:rFonts w:ascii="Calibri" w:hAnsi="Calibri" w:cs="Calibri"/>
                <w:sz w:val="20"/>
                <w:szCs w:val="20"/>
              </w:rPr>
              <w:t>TR2</w:t>
            </w:r>
          </w:p>
        </w:tc>
        <w:tc>
          <w:tcPr>
            <w:tcW w:w="1701" w:type="dxa"/>
            <w:vAlign w:val="center"/>
          </w:tcPr>
          <w:p w14:paraId="0033CC1C" w14:textId="77777777" w:rsidR="0096426F" w:rsidRPr="00912166" w:rsidRDefault="0096426F" w:rsidP="003E0FFD">
            <w:pPr>
              <w:jc w:val="center"/>
              <w:rPr>
                <w:rFonts w:ascii="Calibri" w:hAnsi="Calibri" w:cs="Calibri"/>
                <w:sz w:val="20"/>
                <w:szCs w:val="20"/>
              </w:rPr>
            </w:pPr>
            <w:r w:rsidRPr="00912166">
              <w:rPr>
                <w:rFonts w:ascii="Calibri" w:hAnsi="Calibri" w:cs="Calibri"/>
                <w:sz w:val="20"/>
                <w:szCs w:val="20"/>
              </w:rPr>
              <w:t>0/14 (0.0)</w:t>
            </w:r>
          </w:p>
        </w:tc>
        <w:tc>
          <w:tcPr>
            <w:tcW w:w="993" w:type="dxa"/>
            <w:vAlign w:val="center"/>
          </w:tcPr>
          <w:p w14:paraId="5E29F50F" w14:textId="77777777" w:rsidR="0096426F" w:rsidRPr="00912166" w:rsidRDefault="0096426F" w:rsidP="003E0FFD">
            <w:pPr>
              <w:jc w:val="center"/>
              <w:rPr>
                <w:rFonts w:ascii="Calibri" w:hAnsi="Calibri" w:cs="Calibri"/>
                <w:sz w:val="20"/>
                <w:szCs w:val="20"/>
              </w:rPr>
            </w:pPr>
            <w:r w:rsidRPr="00912166">
              <w:rPr>
                <w:rFonts w:ascii="Calibri" w:hAnsi="Calibri" w:cs="Calibri"/>
                <w:sz w:val="20"/>
                <w:szCs w:val="20"/>
              </w:rPr>
              <w:t>EUTI2</w:t>
            </w:r>
          </w:p>
        </w:tc>
        <w:tc>
          <w:tcPr>
            <w:tcW w:w="1559" w:type="dxa"/>
            <w:vAlign w:val="center"/>
          </w:tcPr>
          <w:p w14:paraId="0AAB24B5" w14:textId="77777777" w:rsidR="0096426F" w:rsidRPr="00912166" w:rsidRDefault="0096426F" w:rsidP="003E0FFD">
            <w:pPr>
              <w:jc w:val="center"/>
              <w:rPr>
                <w:rFonts w:ascii="Calibri" w:hAnsi="Calibri" w:cs="Calibri"/>
                <w:sz w:val="20"/>
                <w:szCs w:val="20"/>
              </w:rPr>
            </w:pPr>
            <w:r w:rsidRPr="00912166">
              <w:rPr>
                <w:rFonts w:ascii="Calibri" w:hAnsi="Calibri" w:cs="Calibri"/>
                <w:sz w:val="20"/>
                <w:szCs w:val="20"/>
              </w:rPr>
              <w:t>0/23 (0.0)</w:t>
            </w:r>
          </w:p>
        </w:tc>
        <w:tc>
          <w:tcPr>
            <w:tcW w:w="850" w:type="dxa"/>
            <w:vAlign w:val="center"/>
          </w:tcPr>
          <w:p w14:paraId="62ABF6F6" w14:textId="77777777" w:rsidR="0096426F" w:rsidRPr="00912166" w:rsidRDefault="0096426F" w:rsidP="003E0FFD">
            <w:pPr>
              <w:jc w:val="center"/>
              <w:rPr>
                <w:rFonts w:ascii="Calibri" w:hAnsi="Calibri" w:cs="Calibri"/>
                <w:sz w:val="20"/>
                <w:szCs w:val="20"/>
              </w:rPr>
            </w:pPr>
            <w:r w:rsidRPr="00912166">
              <w:rPr>
                <w:rFonts w:ascii="Calibri" w:hAnsi="Calibri" w:cs="Calibri"/>
                <w:sz w:val="20"/>
                <w:szCs w:val="20"/>
              </w:rPr>
              <w:t>TR2</w:t>
            </w:r>
          </w:p>
        </w:tc>
        <w:tc>
          <w:tcPr>
            <w:tcW w:w="1418" w:type="dxa"/>
            <w:vAlign w:val="center"/>
          </w:tcPr>
          <w:p w14:paraId="7A2E38F2" w14:textId="77777777" w:rsidR="0096426F" w:rsidRPr="00912166" w:rsidRDefault="0096426F" w:rsidP="003E0FFD">
            <w:pPr>
              <w:jc w:val="center"/>
              <w:rPr>
                <w:rFonts w:ascii="Calibri" w:hAnsi="Calibri" w:cs="Calibri"/>
                <w:sz w:val="20"/>
                <w:szCs w:val="20"/>
              </w:rPr>
            </w:pPr>
            <w:r w:rsidRPr="00912166">
              <w:rPr>
                <w:rFonts w:ascii="Calibri" w:hAnsi="Calibri" w:cs="Calibri"/>
                <w:sz w:val="20"/>
                <w:szCs w:val="20"/>
              </w:rPr>
              <w:t>0/0 (0.0)</w:t>
            </w:r>
          </w:p>
        </w:tc>
      </w:tr>
      <w:tr w:rsidR="0096426F" w:rsidRPr="00F33FCE" w14:paraId="552D0A4D" w14:textId="77777777" w:rsidTr="007A691E">
        <w:trPr>
          <w:trHeight w:val="410"/>
        </w:trPr>
        <w:tc>
          <w:tcPr>
            <w:tcW w:w="852" w:type="dxa"/>
            <w:vMerge/>
            <w:vAlign w:val="center"/>
          </w:tcPr>
          <w:p w14:paraId="1E69A269" w14:textId="77777777" w:rsidR="0096426F" w:rsidRPr="00912166" w:rsidRDefault="0096426F" w:rsidP="003E0FFD">
            <w:pPr>
              <w:jc w:val="center"/>
              <w:rPr>
                <w:rFonts w:ascii="Calibri" w:hAnsi="Calibri" w:cs="Calibri"/>
                <w:sz w:val="20"/>
                <w:szCs w:val="20"/>
              </w:rPr>
            </w:pPr>
          </w:p>
        </w:tc>
        <w:tc>
          <w:tcPr>
            <w:tcW w:w="1701" w:type="dxa"/>
            <w:vMerge/>
            <w:vAlign w:val="center"/>
          </w:tcPr>
          <w:p w14:paraId="55885E39" w14:textId="77777777" w:rsidR="0096426F" w:rsidRPr="00912166" w:rsidRDefault="0096426F" w:rsidP="003E0FFD">
            <w:pPr>
              <w:jc w:val="center"/>
              <w:rPr>
                <w:rFonts w:ascii="Calibri" w:hAnsi="Calibri" w:cs="Calibri"/>
                <w:sz w:val="20"/>
                <w:szCs w:val="20"/>
              </w:rPr>
            </w:pPr>
          </w:p>
        </w:tc>
        <w:tc>
          <w:tcPr>
            <w:tcW w:w="708" w:type="dxa"/>
            <w:vAlign w:val="center"/>
          </w:tcPr>
          <w:p w14:paraId="6B93A6DE" w14:textId="77777777" w:rsidR="0096426F" w:rsidRPr="00912166" w:rsidRDefault="0096426F" w:rsidP="003E0FFD">
            <w:pPr>
              <w:jc w:val="center"/>
              <w:rPr>
                <w:rFonts w:ascii="Calibri" w:hAnsi="Calibri" w:cs="Calibri"/>
                <w:sz w:val="20"/>
                <w:szCs w:val="20"/>
              </w:rPr>
            </w:pPr>
            <w:r w:rsidRPr="00912166">
              <w:rPr>
                <w:rFonts w:ascii="Calibri" w:hAnsi="Calibri" w:cs="Calibri"/>
                <w:sz w:val="20"/>
                <w:szCs w:val="20"/>
              </w:rPr>
              <w:t>TR3</w:t>
            </w:r>
          </w:p>
        </w:tc>
        <w:tc>
          <w:tcPr>
            <w:tcW w:w="1701" w:type="dxa"/>
            <w:vAlign w:val="center"/>
          </w:tcPr>
          <w:p w14:paraId="1A757DA6" w14:textId="77777777" w:rsidR="0096426F" w:rsidRPr="00912166" w:rsidRDefault="0096426F" w:rsidP="003E0FFD">
            <w:pPr>
              <w:jc w:val="center"/>
              <w:rPr>
                <w:rFonts w:ascii="Calibri" w:hAnsi="Calibri" w:cs="Calibri"/>
                <w:sz w:val="20"/>
                <w:szCs w:val="20"/>
              </w:rPr>
            </w:pPr>
            <w:r w:rsidRPr="00912166">
              <w:rPr>
                <w:rFonts w:ascii="Calibri" w:hAnsi="Calibri" w:cs="Calibri"/>
                <w:sz w:val="20"/>
                <w:szCs w:val="20"/>
              </w:rPr>
              <w:t>23/32 (71.9)</w:t>
            </w:r>
          </w:p>
        </w:tc>
        <w:tc>
          <w:tcPr>
            <w:tcW w:w="993" w:type="dxa"/>
            <w:vAlign w:val="center"/>
          </w:tcPr>
          <w:p w14:paraId="28620B78" w14:textId="77777777" w:rsidR="0096426F" w:rsidRPr="00912166" w:rsidRDefault="0096426F" w:rsidP="003E0FFD">
            <w:pPr>
              <w:jc w:val="center"/>
              <w:rPr>
                <w:rFonts w:ascii="Calibri" w:hAnsi="Calibri" w:cs="Calibri"/>
                <w:sz w:val="20"/>
                <w:szCs w:val="20"/>
              </w:rPr>
            </w:pPr>
            <w:r w:rsidRPr="00912166">
              <w:rPr>
                <w:rFonts w:ascii="Calibri" w:hAnsi="Calibri" w:cs="Calibri"/>
                <w:sz w:val="20"/>
                <w:szCs w:val="20"/>
              </w:rPr>
              <w:t>EUTI3</w:t>
            </w:r>
          </w:p>
        </w:tc>
        <w:tc>
          <w:tcPr>
            <w:tcW w:w="1559" w:type="dxa"/>
            <w:vAlign w:val="center"/>
          </w:tcPr>
          <w:p w14:paraId="545EBCFB" w14:textId="77777777" w:rsidR="0096426F" w:rsidRPr="00912166" w:rsidRDefault="0096426F" w:rsidP="003E0FFD">
            <w:pPr>
              <w:jc w:val="center"/>
              <w:rPr>
                <w:rFonts w:ascii="Calibri" w:hAnsi="Calibri" w:cs="Calibri"/>
                <w:sz w:val="20"/>
                <w:szCs w:val="20"/>
              </w:rPr>
            </w:pPr>
            <w:r w:rsidRPr="00912166">
              <w:rPr>
                <w:rFonts w:ascii="Calibri" w:hAnsi="Calibri" w:cs="Calibri"/>
                <w:sz w:val="20"/>
                <w:szCs w:val="20"/>
              </w:rPr>
              <w:t>33/45 (73.3)</w:t>
            </w:r>
          </w:p>
        </w:tc>
        <w:tc>
          <w:tcPr>
            <w:tcW w:w="850" w:type="dxa"/>
            <w:vAlign w:val="center"/>
          </w:tcPr>
          <w:p w14:paraId="5184C079" w14:textId="77777777" w:rsidR="0096426F" w:rsidRPr="00912166" w:rsidRDefault="0096426F" w:rsidP="003E0FFD">
            <w:pPr>
              <w:jc w:val="center"/>
              <w:rPr>
                <w:rFonts w:ascii="Calibri" w:hAnsi="Calibri" w:cs="Calibri"/>
                <w:sz w:val="20"/>
                <w:szCs w:val="20"/>
              </w:rPr>
            </w:pPr>
            <w:r w:rsidRPr="00912166">
              <w:rPr>
                <w:rFonts w:ascii="Calibri" w:hAnsi="Calibri" w:cs="Calibri"/>
                <w:sz w:val="20"/>
                <w:szCs w:val="20"/>
              </w:rPr>
              <w:t>TR3</w:t>
            </w:r>
          </w:p>
        </w:tc>
        <w:tc>
          <w:tcPr>
            <w:tcW w:w="1418" w:type="dxa"/>
            <w:vAlign w:val="center"/>
          </w:tcPr>
          <w:p w14:paraId="6CD8D33F" w14:textId="77777777" w:rsidR="0096426F" w:rsidRPr="00912166" w:rsidRDefault="0096426F" w:rsidP="003E0FFD">
            <w:pPr>
              <w:jc w:val="center"/>
              <w:rPr>
                <w:rFonts w:ascii="Calibri" w:hAnsi="Calibri" w:cs="Calibri"/>
                <w:sz w:val="20"/>
                <w:szCs w:val="20"/>
              </w:rPr>
            </w:pPr>
            <w:r w:rsidRPr="00912166">
              <w:rPr>
                <w:rFonts w:ascii="Calibri" w:hAnsi="Calibri" w:cs="Calibri"/>
                <w:sz w:val="20"/>
                <w:szCs w:val="20"/>
              </w:rPr>
              <w:t>25/38 (65.8)</w:t>
            </w:r>
          </w:p>
        </w:tc>
      </w:tr>
      <w:tr w:rsidR="0096426F" w:rsidRPr="00F33FCE" w14:paraId="170FAE3B" w14:textId="77777777" w:rsidTr="007A691E">
        <w:trPr>
          <w:trHeight w:val="416"/>
        </w:trPr>
        <w:tc>
          <w:tcPr>
            <w:tcW w:w="852" w:type="dxa"/>
            <w:vMerge/>
            <w:vAlign w:val="center"/>
          </w:tcPr>
          <w:p w14:paraId="3BF113E6" w14:textId="77777777" w:rsidR="0096426F" w:rsidRPr="00912166" w:rsidRDefault="0096426F" w:rsidP="003E0FFD">
            <w:pPr>
              <w:jc w:val="center"/>
              <w:rPr>
                <w:rFonts w:ascii="Calibri" w:hAnsi="Calibri" w:cs="Calibri"/>
                <w:sz w:val="20"/>
                <w:szCs w:val="20"/>
              </w:rPr>
            </w:pPr>
          </w:p>
        </w:tc>
        <w:tc>
          <w:tcPr>
            <w:tcW w:w="1701" w:type="dxa"/>
            <w:vMerge/>
            <w:vAlign w:val="center"/>
          </w:tcPr>
          <w:p w14:paraId="2A9535EC" w14:textId="77777777" w:rsidR="0096426F" w:rsidRPr="00912166" w:rsidRDefault="0096426F" w:rsidP="003E0FFD">
            <w:pPr>
              <w:jc w:val="center"/>
              <w:rPr>
                <w:rFonts w:ascii="Calibri" w:hAnsi="Calibri" w:cs="Calibri"/>
                <w:sz w:val="20"/>
                <w:szCs w:val="20"/>
              </w:rPr>
            </w:pPr>
          </w:p>
        </w:tc>
        <w:tc>
          <w:tcPr>
            <w:tcW w:w="708" w:type="dxa"/>
            <w:vAlign w:val="center"/>
          </w:tcPr>
          <w:p w14:paraId="394270A2" w14:textId="77777777" w:rsidR="0096426F" w:rsidRPr="00912166" w:rsidRDefault="0096426F" w:rsidP="003E0FFD">
            <w:pPr>
              <w:jc w:val="center"/>
              <w:rPr>
                <w:rFonts w:ascii="Calibri" w:hAnsi="Calibri" w:cs="Calibri"/>
                <w:sz w:val="20"/>
                <w:szCs w:val="20"/>
              </w:rPr>
            </w:pPr>
            <w:r w:rsidRPr="00912166">
              <w:rPr>
                <w:rFonts w:ascii="Calibri" w:hAnsi="Calibri" w:cs="Calibri"/>
                <w:sz w:val="20"/>
                <w:szCs w:val="20"/>
              </w:rPr>
              <w:t>TR4</w:t>
            </w:r>
          </w:p>
        </w:tc>
        <w:tc>
          <w:tcPr>
            <w:tcW w:w="1701" w:type="dxa"/>
            <w:vAlign w:val="center"/>
          </w:tcPr>
          <w:p w14:paraId="44E7BEC8" w14:textId="77777777" w:rsidR="0096426F" w:rsidRPr="00912166" w:rsidRDefault="0096426F" w:rsidP="003E0FFD">
            <w:pPr>
              <w:jc w:val="center"/>
              <w:rPr>
                <w:rFonts w:ascii="Calibri" w:hAnsi="Calibri" w:cs="Calibri"/>
                <w:sz w:val="20"/>
                <w:szCs w:val="20"/>
              </w:rPr>
            </w:pPr>
            <w:r w:rsidRPr="00912166">
              <w:rPr>
                <w:rFonts w:ascii="Calibri" w:hAnsi="Calibri" w:cs="Calibri"/>
                <w:sz w:val="20"/>
                <w:szCs w:val="20"/>
              </w:rPr>
              <w:t>16/21 (76.2)</w:t>
            </w:r>
          </w:p>
        </w:tc>
        <w:tc>
          <w:tcPr>
            <w:tcW w:w="993" w:type="dxa"/>
            <w:vAlign w:val="center"/>
          </w:tcPr>
          <w:p w14:paraId="098EE6E3" w14:textId="77777777" w:rsidR="0096426F" w:rsidRPr="00912166" w:rsidRDefault="0096426F" w:rsidP="003E0FFD">
            <w:pPr>
              <w:jc w:val="center"/>
              <w:rPr>
                <w:rFonts w:ascii="Calibri" w:hAnsi="Calibri" w:cs="Calibri"/>
                <w:sz w:val="20"/>
                <w:szCs w:val="20"/>
              </w:rPr>
            </w:pPr>
            <w:r w:rsidRPr="00912166">
              <w:rPr>
                <w:rFonts w:ascii="Calibri" w:hAnsi="Calibri" w:cs="Calibri"/>
                <w:sz w:val="20"/>
                <w:szCs w:val="20"/>
              </w:rPr>
              <w:t>EUTI4</w:t>
            </w:r>
          </w:p>
        </w:tc>
        <w:tc>
          <w:tcPr>
            <w:tcW w:w="1559" w:type="dxa"/>
            <w:vAlign w:val="center"/>
          </w:tcPr>
          <w:p w14:paraId="4A3C38FA" w14:textId="2A45D035" w:rsidR="0096426F" w:rsidRPr="00912166" w:rsidRDefault="0096426F" w:rsidP="003E0FFD">
            <w:pPr>
              <w:jc w:val="center"/>
              <w:rPr>
                <w:rFonts w:ascii="Calibri" w:hAnsi="Calibri" w:cs="Calibri"/>
                <w:sz w:val="20"/>
                <w:szCs w:val="20"/>
              </w:rPr>
            </w:pPr>
            <w:r w:rsidRPr="00912166">
              <w:rPr>
                <w:rFonts w:ascii="Calibri" w:hAnsi="Calibri" w:cs="Calibri"/>
                <w:sz w:val="20"/>
                <w:szCs w:val="20"/>
              </w:rPr>
              <w:t>16/2</w:t>
            </w:r>
            <w:r w:rsidR="001470AB">
              <w:rPr>
                <w:rFonts w:ascii="Calibri" w:hAnsi="Calibri" w:cs="Calibri"/>
                <w:sz w:val="20"/>
                <w:szCs w:val="20"/>
              </w:rPr>
              <w:t>4</w:t>
            </w:r>
            <w:r w:rsidRPr="00912166">
              <w:rPr>
                <w:rFonts w:ascii="Calibri" w:hAnsi="Calibri" w:cs="Calibri"/>
                <w:sz w:val="20"/>
                <w:szCs w:val="20"/>
              </w:rPr>
              <w:t xml:space="preserve"> (</w:t>
            </w:r>
            <w:r w:rsidR="001470AB">
              <w:rPr>
                <w:rFonts w:ascii="Calibri" w:hAnsi="Calibri" w:cs="Calibri"/>
                <w:sz w:val="20"/>
                <w:szCs w:val="20"/>
              </w:rPr>
              <w:t>66</w:t>
            </w:r>
            <w:r w:rsidRPr="00912166">
              <w:rPr>
                <w:rFonts w:ascii="Calibri" w:hAnsi="Calibri" w:cs="Calibri"/>
                <w:sz w:val="20"/>
                <w:szCs w:val="20"/>
              </w:rPr>
              <w:t>.</w:t>
            </w:r>
            <w:r w:rsidR="001470AB">
              <w:rPr>
                <w:rFonts w:ascii="Calibri" w:hAnsi="Calibri" w:cs="Calibri"/>
                <w:sz w:val="20"/>
                <w:szCs w:val="20"/>
              </w:rPr>
              <w:t>7</w:t>
            </w:r>
            <w:r w:rsidRPr="00912166">
              <w:rPr>
                <w:rFonts w:ascii="Calibri" w:hAnsi="Calibri" w:cs="Calibri"/>
                <w:sz w:val="20"/>
                <w:szCs w:val="20"/>
              </w:rPr>
              <w:t>)</w:t>
            </w:r>
          </w:p>
        </w:tc>
        <w:tc>
          <w:tcPr>
            <w:tcW w:w="850" w:type="dxa"/>
            <w:vAlign w:val="center"/>
          </w:tcPr>
          <w:p w14:paraId="0362B69A" w14:textId="77777777" w:rsidR="0096426F" w:rsidRPr="00912166" w:rsidRDefault="0096426F" w:rsidP="003E0FFD">
            <w:pPr>
              <w:jc w:val="center"/>
              <w:rPr>
                <w:rFonts w:ascii="Calibri" w:hAnsi="Calibri" w:cs="Calibri"/>
                <w:sz w:val="20"/>
                <w:szCs w:val="20"/>
              </w:rPr>
            </w:pPr>
            <w:r w:rsidRPr="00912166">
              <w:rPr>
                <w:rFonts w:ascii="Calibri" w:hAnsi="Calibri" w:cs="Calibri"/>
                <w:sz w:val="20"/>
                <w:szCs w:val="20"/>
              </w:rPr>
              <w:t>TR4</w:t>
            </w:r>
          </w:p>
        </w:tc>
        <w:tc>
          <w:tcPr>
            <w:tcW w:w="1418" w:type="dxa"/>
            <w:vAlign w:val="center"/>
          </w:tcPr>
          <w:p w14:paraId="7D03D502" w14:textId="77777777" w:rsidR="0096426F" w:rsidRPr="00912166" w:rsidRDefault="0096426F" w:rsidP="003E0FFD">
            <w:pPr>
              <w:jc w:val="center"/>
              <w:rPr>
                <w:rFonts w:ascii="Calibri" w:hAnsi="Calibri" w:cs="Calibri"/>
                <w:sz w:val="20"/>
                <w:szCs w:val="20"/>
              </w:rPr>
            </w:pPr>
            <w:r w:rsidRPr="00912166">
              <w:rPr>
                <w:rFonts w:ascii="Calibri" w:hAnsi="Calibri" w:cs="Calibri"/>
                <w:sz w:val="20"/>
                <w:szCs w:val="20"/>
              </w:rPr>
              <w:t>21/30 (70.0)</w:t>
            </w:r>
          </w:p>
        </w:tc>
      </w:tr>
      <w:tr w:rsidR="0096426F" w:rsidRPr="00F33FCE" w14:paraId="5191A996" w14:textId="77777777" w:rsidTr="007A691E">
        <w:trPr>
          <w:trHeight w:val="409"/>
        </w:trPr>
        <w:tc>
          <w:tcPr>
            <w:tcW w:w="852" w:type="dxa"/>
            <w:vMerge/>
            <w:vAlign w:val="center"/>
          </w:tcPr>
          <w:p w14:paraId="4F9BD4B1" w14:textId="77777777" w:rsidR="0096426F" w:rsidRPr="00912166" w:rsidRDefault="0096426F" w:rsidP="003E0FFD">
            <w:pPr>
              <w:jc w:val="center"/>
              <w:rPr>
                <w:rFonts w:ascii="Calibri" w:hAnsi="Calibri" w:cs="Calibri"/>
                <w:sz w:val="20"/>
                <w:szCs w:val="20"/>
              </w:rPr>
            </w:pPr>
          </w:p>
        </w:tc>
        <w:tc>
          <w:tcPr>
            <w:tcW w:w="1701" w:type="dxa"/>
            <w:vMerge/>
            <w:vAlign w:val="center"/>
          </w:tcPr>
          <w:p w14:paraId="283B5A2D" w14:textId="77777777" w:rsidR="0096426F" w:rsidRPr="00912166" w:rsidRDefault="0096426F" w:rsidP="003E0FFD">
            <w:pPr>
              <w:jc w:val="center"/>
              <w:rPr>
                <w:rFonts w:ascii="Calibri" w:hAnsi="Calibri" w:cs="Calibri"/>
                <w:sz w:val="20"/>
                <w:szCs w:val="20"/>
              </w:rPr>
            </w:pPr>
          </w:p>
        </w:tc>
        <w:tc>
          <w:tcPr>
            <w:tcW w:w="708" w:type="dxa"/>
            <w:vAlign w:val="center"/>
          </w:tcPr>
          <w:p w14:paraId="07FF3BF4" w14:textId="77777777" w:rsidR="0096426F" w:rsidRPr="00912166" w:rsidRDefault="0096426F" w:rsidP="003E0FFD">
            <w:pPr>
              <w:jc w:val="center"/>
              <w:rPr>
                <w:rFonts w:ascii="Calibri" w:hAnsi="Calibri" w:cs="Calibri"/>
                <w:sz w:val="20"/>
                <w:szCs w:val="20"/>
              </w:rPr>
            </w:pPr>
            <w:r w:rsidRPr="00912166">
              <w:rPr>
                <w:rFonts w:ascii="Calibri" w:hAnsi="Calibri" w:cs="Calibri"/>
                <w:sz w:val="20"/>
                <w:szCs w:val="20"/>
              </w:rPr>
              <w:t>TR5</w:t>
            </w:r>
          </w:p>
        </w:tc>
        <w:tc>
          <w:tcPr>
            <w:tcW w:w="1701" w:type="dxa"/>
            <w:vAlign w:val="center"/>
          </w:tcPr>
          <w:p w14:paraId="65ABBDAE" w14:textId="77777777" w:rsidR="0096426F" w:rsidRPr="00912166" w:rsidRDefault="0096426F" w:rsidP="003E0FFD">
            <w:pPr>
              <w:jc w:val="center"/>
              <w:rPr>
                <w:rFonts w:ascii="Calibri" w:hAnsi="Calibri" w:cs="Calibri"/>
                <w:sz w:val="20"/>
                <w:szCs w:val="20"/>
              </w:rPr>
            </w:pPr>
            <w:r w:rsidRPr="00912166">
              <w:rPr>
                <w:rFonts w:ascii="Calibri" w:hAnsi="Calibri" w:cs="Calibri"/>
                <w:sz w:val="20"/>
                <w:szCs w:val="20"/>
              </w:rPr>
              <w:t>4/4 (100.0)</w:t>
            </w:r>
          </w:p>
        </w:tc>
        <w:tc>
          <w:tcPr>
            <w:tcW w:w="993" w:type="dxa"/>
            <w:vAlign w:val="center"/>
          </w:tcPr>
          <w:p w14:paraId="0898A557" w14:textId="77777777" w:rsidR="0096426F" w:rsidRPr="00912166" w:rsidRDefault="0096426F" w:rsidP="003E0FFD">
            <w:pPr>
              <w:jc w:val="center"/>
              <w:rPr>
                <w:rFonts w:ascii="Calibri" w:hAnsi="Calibri" w:cs="Calibri"/>
                <w:sz w:val="20"/>
                <w:szCs w:val="20"/>
              </w:rPr>
            </w:pPr>
            <w:r w:rsidRPr="00912166">
              <w:rPr>
                <w:rFonts w:ascii="Calibri" w:hAnsi="Calibri" w:cs="Calibri"/>
                <w:sz w:val="20"/>
                <w:szCs w:val="20"/>
              </w:rPr>
              <w:t>EUTI5</w:t>
            </w:r>
          </w:p>
        </w:tc>
        <w:tc>
          <w:tcPr>
            <w:tcW w:w="1559" w:type="dxa"/>
            <w:vAlign w:val="center"/>
          </w:tcPr>
          <w:p w14:paraId="630BA803" w14:textId="77777777" w:rsidR="0096426F" w:rsidRPr="00912166" w:rsidRDefault="0096426F" w:rsidP="003E0FFD">
            <w:pPr>
              <w:jc w:val="center"/>
              <w:rPr>
                <w:rFonts w:ascii="Calibri" w:hAnsi="Calibri" w:cs="Calibri"/>
                <w:sz w:val="20"/>
                <w:szCs w:val="20"/>
              </w:rPr>
            </w:pPr>
            <w:r w:rsidRPr="00912166">
              <w:rPr>
                <w:rFonts w:ascii="Calibri" w:hAnsi="Calibri" w:cs="Calibri"/>
                <w:sz w:val="20"/>
                <w:szCs w:val="20"/>
              </w:rPr>
              <w:t>4/4 (100.0)</w:t>
            </w:r>
          </w:p>
        </w:tc>
        <w:tc>
          <w:tcPr>
            <w:tcW w:w="850" w:type="dxa"/>
            <w:vAlign w:val="center"/>
          </w:tcPr>
          <w:p w14:paraId="513957C7" w14:textId="77777777" w:rsidR="0096426F" w:rsidRPr="00912166" w:rsidRDefault="0096426F" w:rsidP="003E0FFD">
            <w:pPr>
              <w:jc w:val="center"/>
              <w:rPr>
                <w:rFonts w:ascii="Calibri" w:hAnsi="Calibri" w:cs="Calibri"/>
                <w:sz w:val="20"/>
                <w:szCs w:val="20"/>
              </w:rPr>
            </w:pPr>
            <w:r w:rsidRPr="00912166">
              <w:rPr>
                <w:rFonts w:ascii="Calibri" w:hAnsi="Calibri" w:cs="Calibri"/>
                <w:sz w:val="20"/>
                <w:szCs w:val="20"/>
              </w:rPr>
              <w:t>TR5</w:t>
            </w:r>
          </w:p>
        </w:tc>
        <w:tc>
          <w:tcPr>
            <w:tcW w:w="1418" w:type="dxa"/>
            <w:vAlign w:val="center"/>
          </w:tcPr>
          <w:p w14:paraId="1FE93B38" w14:textId="77777777" w:rsidR="0096426F" w:rsidRPr="00912166" w:rsidRDefault="0096426F" w:rsidP="003E0FFD">
            <w:pPr>
              <w:jc w:val="center"/>
              <w:rPr>
                <w:rFonts w:ascii="Calibri" w:hAnsi="Calibri" w:cs="Calibri"/>
                <w:sz w:val="20"/>
                <w:szCs w:val="20"/>
              </w:rPr>
            </w:pPr>
            <w:r w:rsidRPr="00912166">
              <w:rPr>
                <w:rFonts w:ascii="Calibri" w:hAnsi="Calibri" w:cs="Calibri"/>
                <w:sz w:val="20"/>
                <w:szCs w:val="20"/>
              </w:rPr>
              <w:t>2/2 (100.0)</w:t>
            </w:r>
          </w:p>
        </w:tc>
      </w:tr>
      <w:tr w:rsidR="002F386C" w:rsidRPr="00F33FCE" w14:paraId="0168DFB3" w14:textId="77777777" w:rsidTr="007A691E">
        <w:trPr>
          <w:trHeight w:val="1259"/>
        </w:trPr>
        <w:tc>
          <w:tcPr>
            <w:tcW w:w="2553" w:type="dxa"/>
            <w:gridSpan w:val="2"/>
            <w:shd w:val="clear" w:color="auto" w:fill="FFFFFF" w:themeFill="background1"/>
            <w:vAlign w:val="center"/>
          </w:tcPr>
          <w:p w14:paraId="73ED8101" w14:textId="6C09907C" w:rsidR="002F386C" w:rsidRPr="00912166" w:rsidRDefault="002F386C" w:rsidP="003E0FFD">
            <w:pPr>
              <w:jc w:val="center"/>
              <w:rPr>
                <w:rFonts w:ascii="Calibri" w:hAnsi="Calibri" w:cs="Calibri"/>
                <w:b/>
                <w:bCs/>
                <w:sz w:val="20"/>
                <w:szCs w:val="20"/>
              </w:rPr>
            </w:pPr>
            <w:r w:rsidRPr="00912166">
              <w:rPr>
                <w:rFonts w:ascii="Calibri" w:hAnsi="Calibri" w:cs="Calibri"/>
                <w:b/>
                <w:bCs/>
                <w:sz w:val="20"/>
                <w:szCs w:val="20"/>
              </w:rPr>
              <w:t>Total FNA</w:t>
            </w:r>
            <w:r w:rsidR="007A691E">
              <w:rPr>
                <w:rFonts w:ascii="Calibri" w:hAnsi="Calibri" w:cs="Calibri"/>
                <w:b/>
                <w:bCs/>
                <w:sz w:val="20"/>
                <w:szCs w:val="20"/>
              </w:rPr>
              <w:t>C</w:t>
            </w:r>
            <w:r w:rsidRPr="00912166">
              <w:rPr>
                <w:rFonts w:ascii="Calibri" w:hAnsi="Calibri" w:cs="Calibri"/>
                <w:b/>
                <w:bCs/>
                <w:sz w:val="20"/>
                <w:szCs w:val="20"/>
              </w:rPr>
              <w:t xml:space="preserve"> Rate (%)</w:t>
            </w:r>
          </w:p>
          <w:p w14:paraId="61EE5F06" w14:textId="797AF780" w:rsidR="002F386C" w:rsidRPr="00912166" w:rsidRDefault="002F386C" w:rsidP="003E0FFD">
            <w:pPr>
              <w:jc w:val="center"/>
              <w:rPr>
                <w:rFonts w:ascii="Calibri" w:hAnsi="Calibri" w:cs="Calibri"/>
                <w:b/>
                <w:bCs/>
                <w:sz w:val="20"/>
                <w:szCs w:val="20"/>
              </w:rPr>
            </w:pPr>
            <w:r w:rsidRPr="00912166">
              <w:rPr>
                <w:rFonts w:ascii="Calibri" w:hAnsi="Calibri" w:cs="Calibri"/>
                <w:sz w:val="20"/>
                <w:szCs w:val="20"/>
              </w:rPr>
              <w:t>96/96 (100.0)</w:t>
            </w:r>
          </w:p>
        </w:tc>
        <w:tc>
          <w:tcPr>
            <w:tcW w:w="2409" w:type="dxa"/>
            <w:gridSpan w:val="2"/>
            <w:shd w:val="clear" w:color="auto" w:fill="FFFFFF" w:themeFill="background1"/>
            <w:vAlign w:val="center"/>
          </w:tcPr>
          <w:p w14:paraId="6F22E0AF" w14:textId="45F8C960" w:rsidR="002F386C" w:rsidRPr="00912166" w:rsidRDefault="002F386C" w:rsidP="003E0FFD">
            <w:pPr>
              <w:jc w:val="center"/>
              <w:rPr>
                <w:rFonts w:ascii="Calibri" w:hAnsi="Calibri" w:cs="Calibri"/>
                <w:b/>
                <w:bCs/>
                <w:sz w:val="20"/>
                <w:szCs w:val="20"/>
              </w:rPr>
            </w:pPr>
            <w:r w:rsidRPr="00912166">
              <w:rPr>
                <w:rFonts w:ascii="Calibri" w:hAnsi="Calibri" w:cs="Calibri"/>
                <w:b/>
                <w:bCs/>
                <w:sz w:val="20"/>
                <w:szCs w:val="20"/>
              </w:rPr>
              <w:t>Total FNA</w:t>
            </w:r>
            <w:r w:rsidR="007A691E">
              <w:rPr>
                <w:rFonts w:ascii="Calibri" w:hAnsi="Calibri" w:cs="Calibri"/>
                <w:b/>
                <w:bCs/>
                <w:sz w:val="20"/>
                <w:szCs w:val="20"/>
              </w:rPr>
              <w:t>C</w:t>
            </w:r>
            <w:r w:rsidRPr="00912166">
              <w:rPr>
                <w:rFonts w:ascii="Calibri" w:hAnsi="Calibri" w:cs="Calibri"/>
                <w:b/>
                <w:bCs/>
                <w:sz w:val="20"/>
                <w:szCs w:val="20"/>
              </w:rPr>
              <w:t xml:space="preserve"> Rate (%)</w:t>
            </w:r>
          </w:p>
          <w:p w14:paraId="3C28395C" w14:textId="28127C08" w:rsidR="002F386C" w:rsidRPr="00912166" w:rsidRDefault="002F386C" w:rsidP="003E0FFD">
            <w:pPr>
              <w:jc w:val="center"/>
              <w:rPr>
                <w:rFonts w:ascii="Calibri" w:hAnsi="Calibri" w:cs="Calibri"/>
                <w:b/>
                <w:bCs/>
                <w:sz w:val="20"/>
                <w:szCs w:val="20"/>
              </w:rPr>
            </w:pPr>
            <w:r w:rsidRPr="00912166">
              <w:rPr>
                <w:rFonts w:ascii="Calibri" w:hAnsi="Calibri" w:cs="Calibri"/>
                <w:sz w:val="20"/>
                <w:szCs w:val="20"/>
              </w:rPr>
              <w:t>43/96 (44.8)</w:t>
            </w:r>
          </w:p>
        </w:tc>
        <w:tc>
          <w:tcPr>
            <w:tcW w:w="2552" w:type="dxa"/>
            <w:gridSpan w:val="2"/>
            <w:shd w:val="clear" w:color="auto" w:fill="FFFFFF" w:themeFill="background1"/>
            <w:vAlign w:val="center"/>
          </w:tcPr>
          <w:p w14:paraId="420030B4" w14:textId="74524A1A" w:rsidR="002F386C" w:rsidRPr="00912166" w:rsidRDefault="002F386C" w:rsidP="003E0FFD">
            <w:pPr>
              <w:jc w:val="center"/>
              <w:rPr>
                <w:rFonts w:ascii="Calibri" w:hAnsi="Calibri" w:cs="Calibri"/>
                <w:b/>
                <w:bCs/>
                <w:sz w:val="20"/>
                <w:szCs w:val="20"/>
              </w:rPr>
            </w:pPr>
            <w:r w:rsidRPr="00912166">
              <w:rPr>
                <w:rFonts w:ascii="Calibri" w:hAnsi="Calibri" w:cs="Calibri"/>
                <w:b/>
                <w:bCs/>
                <w:sz w:val="20"/>
                <w:szCs w:val="20"/>
              </w:rPr>
              <w:t>Total FNA</w:t>
            </w:r>
            <w:r w:rsidR="007A691E">
              <w:rPr>
                <w:rFonts w:ascii="Calibri" w:hAnsi="Calibri" w:cs="Calibri"/>
                <w:b/>
                <w:bCs/>
                <w:sz w:val="20"/>
                <w:szCs w:val="20"/>
              </w:rPr>
              <w:t>C</w:t>
            </w:r>
            <w:r w:rsidRPr="00912166">
              <w:rPr>
                <w:rFonts w:ascii="Calibri" w:hAnsi="Calibri" w:cs="Calibri"/>
                <w:b/>
                <w:bCs/>
                <w:sz w:val="20"/>
                <w:szCs w:val="20"/>
              </w:rPr>
              <w:t xml:space="preserve"> Rate (%)</w:t>
            </w:r>
          </w:p>
          <w:p w14:paraId="594A1A6C" w14:textId="1C593C0A" w:rsidR="002F386C" w:rsidRPr="00912166" w:rsidRDefault="002F386C" w:rsidP="003E0FFD">
            <w:pPr>
              <w:jc w:val="center"/>
              <w:rPr>
                <w:rFonts w:ascii="Calibri" w:hAnsi="Calibri" w:cs="Calibri"/>
                <w:b/>
                <w:bCs/>
                <w:sz w:val="20"/>
                <w:szCs w:val="20"/>
              </w:rPr>
            </w:pPr>
            <w:r w:rsidRPr="00912166">
              <w:rPr>
                <w:rFonts w:ascii="Calibri" w:hAnsi="Calibri" w:cs="Calibri"/>
                <w:sz w:val="20"/>
                <w:szCs w:val="20"/>
              </w:rPr>
              <w:t>53/96 (55.2)</w:t>
            </w:r>
          </w:p>
        </w:tc>
        <w:tc>
          <w:tcPr>
            <w:tcW w:w="2268" w:type="dxa"/>
            <w:gridSpan w:val="2"/>
            <w:shd w:val="clear" w:color="auto" w:fill="FFFFFF" w:themeFill="background1"/>
            <w:vAlign w:val="center"/>
          </w:tcPr>
          <w:p w14:paraId="705F5C47" w14:textId="13F1CCAC" w:rsidR="002F386C" w:rsidRPr="00912166" w:rsidRDefault="002F386C" w:rsidP="003E0FFD">
            <w:pPr>
              <w:jc w:val="center"/>
              <w:rPr>
                <w:rFonts w:ascii="Calibri" w:hAnsi="Calibri" w:cs="Calibri"/>
                <w:b/>
                <w:bCs/>
                <w:sz w:val="20"/>
                <w:szCs w:val="20"/>
              </w:rPr>
            </w:pPr>
            <w:r w:rsidRPr="00912166">
              <w:rPr>
                <w:rFonts w:ascii="Calibri" w:hAnsi="Calibri" w:cs="Calibri"/>
                <w:b/>
                <w:bCs/>
                <w:sz w:val="20"/>
                <w:szCs w:val="20"/>
              </w:rPr>
              <w:t>Total FNA</w:t>
            </w:r>
            <w:r w:rsidR="007A691E">
              <w:rPr>
                <w:rFonts w:ascii="Calibri" w:hAnsi="Calibri" w:cs="Calibri"/>
                <w:b/>
                <w:bCs/>
                <w:sz w:val="20"/>
                <w:szCs w:val="20"/>
              </w:rPr>
              <w:t>C</w:t>
            </w:r>
            <w:r w:rsidRPr="00912166">
              <w:rPr>
                <w:rFonts w:ascii="Calibri" w:hAnsi="Calibri" w:cs="Calibri"/>
                <w:b/>
                <w:bCs/>
                <w:sz w:val="20"/>
                <w:szCs w:val="20"/>
              </w:rPr>
              <w:t xml:space="preserve"> Rate (%)</w:t>
            </w:r>
          </w:p>
          <w:p w14:paraId="79B7208E" w14:textId="15640C54" w:rsidR="002F386C" w:rsidRPr="00912166" w:rsidRDefault="002F386C" w:rsidP="003E0FFD">
            <w:pPr>
              <w:jc w:val="center"/>
              <w:rPr>
                <w:rFonts w:ascii="Calibri" w:hAnsi="Calibri" w:cs="Calibri"/>
                <w:b/>
                <w:bCs/>
                <w:sz w:val="20"/>
                <w:szCs w:val="20"/>
              </w:rPr>
            </w:pPr>
            <w:r w:rsidRPr="00912166">
              <w:rPr>
                <w:rFonts w:ascii="Calibri" w:hAnsi="Calibri" w:cs="Calibri"/>
                <w:sz w:val="20"/>
                <w:szCs w:val="20"/>
              </w:rPr>
              <w:t>48/96 (50.0)</w:t>
            </w:r>
          </w:p>
        </w:tc>
      </w:tr>
      <w:tr w:rsidR="00D000C5" w:rsidRPr="00F33FCE" w14:paraId="5A3D56D4" w14:textId="77777777" w:rsidTr="007A691E">
        <w:trPr>
          <w:trHeight w:val="1259"/>
        </w:trPr>
        <w:tc>
          <w:tcPr>
            <w:tcW w:w="2553" w:type="dxa"/>
            <w:gridSpan w:val="2"/>
            <w:shd w:val="clear" w:color="auto" w:fill="FFFFFF" w:themeFill="background1"/>
            <w:vAlign w:val="center"/>
          </w:tcPr>
          <w:p w14:paraId="28687DFD" w14:textId="08448A81" w:rsidR="00D000C5" w:rsidRPr="00A4510A" w:rsidRDefault="00CE77C1" w:rsidP="003E0FFD">
            <w:pPr>
              <w:jc w:val="center"/>
              <w:rPr>
                <w:rFonts w:ascii="Calibri" w:hAnsi="Calibri" w:cs="Calibri"/>
                <w:b/>
                <w:bCs/>
                <w:color w:val="000000" w:themeColor="text1"/>
                <w:sz w:val="20"/>
                <w:szCs w:val="20"/>
              </w:rPr>
            </w:pPr>
            <w:r w:rsidRPr="00A4510A">
              <w:rPr>
                <w:rFonts w:ascii="Calibri" w:hAnsi="Calibri" w:cs="Calibri"/>
                <w:b/>
                <w:bCs/>
                <w:color w:val="000000" w:themeColor="text1"/>
                <w:sz w:val="20"/>
                <w:szCs w:val="20"/>
              </w:rPr>
              <w:t>Benign</w:t>
            </w:r>
            <w:r w:rsidR="00D000C5" w:rsidRPr="00A4510A">
              <w:rPr>
                <w:rFonts w:ascii="Calibri" w:hAnsi="Calibri" w:cs="Calibri"/>
                <w:b/>
                <w:bCs/>
                <w:color w:val="000000" w:themeColor="text1"/>
                <w:sz w:val="20"/>
                <w:szCs w:val="20"/>
              </w:rPr>
              <w:t xml:space="preserve"> FNA</w:t>
            </w:r>
            <w:r w:rsidR="007A691E" w:rsidRPr="00A4510A">
              <w:rPr>
                <w:rFonts w:ascii="Calibri" w:hAnsi="Calibri" w:cs="Calibri"/>
                <w:b/>
                <w:bCs/>
                <w:color w:val="000000" w:themeColor="text1"/>
                <w:sz w:val="20"/>
                <w:szCs w:val="20"/>
              </w:rPr>
              <w:t>C</w:t>
            </w:r>
            <w:r w:rsidR="00D000C5" w:rsidRPr="00A4510A">
              <w:rPr>
                <w:rFonts w:ascii="Calibri" w:hAnsi="Calibri" w:cs="Calibri"/>
                <w:b/>
                <w:bCs/>
                <w:color w:val="000000" w:themeColor="text1"/>
                <w:sz w:val="20"/>
                <w:szCs w:val="20"/>
              </w:rPr>
              <w:t xml:space="preserve"> Rate (%)</w:t>
            </w:r>
          </w:p>
          <w:p w14:paraId="4C07AA5C" w14:textId="1B228276" w:rsidR="00D000C5" w:rsidRPr="00A4510A" w:rsidRDefault="00D000C5" w:rsidP="003E0FFD">
            <w:pPr>
              <w:jc w:val="center"/>
              <w:rPr>
                <w:rFonts w:ascii="Calibri" w:hAnsi="Calibri" w:cs="Calibri"/>
                <w:color w:val="000000" w:themeColor="text1"/>
                <w:sz w:val="20"/>
                <w:szCs w:val="20"/>
              </w:rPr>
            </w:pPr>
            <w:r w:rsidRPr="00A4510A">
              <w:rPr>
                <w:rFonts w:ascii="Calibri" w:hAnsi="Calibri" w:cs="Calibri"/>
                <w:color w:val="000000" w:themeColor="text1"/>
                <w:sz w:val="20"/>
                <w:szCs w:val="20"/>
              </w:rPr>
              <w:t>39/96 (40.6)</w:t>
            </w:r>
          </w:p>
        </w:tc>
        <w:tc>
          <w:tcPr>
            <w:tcW w:w="2409" w:type="dxa"/>
            <w:gridSpan w:val="2"/>
            <w:shd w:val="clear" w:color="auto" w:fill="FFFFFF" w:themeFill="background1"/>
            <w:vAlign w:val="center"/>
          </w:tcPr>
          <w:p w14:paraId="203DD869" w14:textId="1AF79142" w:rsidR="00D000C5" w:rsidRPr="00A4510A" w:rsidRDefault="00CE77C1" w:rsidP="00D000C5">
            <w:pPr>
              <w:jc w:val="center"/>
              <w:rPr>
                <w:rFonts w:ascii="Calibri" w:hAnsi="Calibri" w:cs="Calibri"/>
                <w:b/>
                <w:bCs/>
                <w:color w:val="000000" w:themeColor="text1"/>
                <w:sz w:val="20"/>
                <w:szCs w:val="20"/>
              </w:rPr>
            </w:pPr>
            <w:r w:rsidRPr="00A4510A">
              <w:rPr>
                <w:rFonts w:ascii="Calibri" w:hAnsi="Calibri" w:cs="Calibri"/>
                <w:b/>
                <w:bCs/>
                <w:color w:val="000000" w:themeColor="text1"/>
                <w:sz w:val="20"/>
                <w:szCs w:val="20"/>
              </w:rPr>
              <w:t>Benign</w:t>
            </w:r>
            <w:r w:rsidR="00D000C5" w:rsidRPr="00A4510A">
              <w:rPr>
                <w:rFonts w:ascii="Calibri" w:hAnsi="Calibri" w:cs="Calibri"/>
                <w:b/>
                <w:bCs/>
                <w:color w:val="000000" w:themeColor="text1"/>
                <w:sz w:val="20"/>
                <w:szCs w:val="20"/>
              </w:rPr>
              <w:t xml:space="preserve"> FNA</w:t>
            </w:r>
            <w:r w:rsidR="007A691E" w:rsidRPr="00A4510A">
              <w:rPr>
                <w:rFonts w:ascii="Calibri" w:hAnsi="Calibri" w:cs="Calibri"/>
                <w:b/>
                <w:bCs/>
                <w:color w:val="000000" w:themeColor="text1"/>
                <w:sz w:val="20"/>
                <w:szCs w:val="20"/>
              </w:rPr>
              <w:t>C</w:t>
            </w:r>
            <w:r w:rsidR="00D000C5" w:rsidRPr="00A4510A">
              <w:rPr>
                <w:rFonts w:ascii="Calibri" w:hAnsi="Calibri" w:cs="Calibri"/>
                <w:b/>
                <w:bCs/>
                <w:color w:val="000000" w:themeColor="text1"/>
                <w:sz w:val="20"/>
                <w:szCs w:val="20"/>
              </w:rPr>
              <w:t xml:space="preserve"> Rate (%)</w:t>
            </w:r>
          </w:p>
          <w:p w14:paraId="5D1F688E" w14:textId="7FA3EECF" w:rsidR="00D000C5" w:rsidRPr="00A4510A" w:rsidRDefault="00D000C5" w:rsidP="00D000C5">
            <w:pPr>
              <w:jc w:val="center"/>
              <w:rPr>
                <w:rFonts w:ascii="Calibri" w:hAnsi="Calibri" w:cs="Calibri"/>
                <w:b/>
                <w:bCs/>
                <w:color w:val="000000" w:themeColor="text1"/>
                <w:sz w:val="20"/>
                <w:szCs w:val="20"/>
              </w:rPr>
            </w:pPr>
            <w:r w:rsidRPr="00A4510A">
              <w:rPr>
                <w:rFonts w:ascii="Calibri" w:hAnsi="Calibri" w:cs="Calibri"/>
                <w:color w:val="000000" w:themeColor="text1"/>
                <w:sz w:val="20"/>
                <w:szCs w:val="20"/>
              </w:rPr>
              <w:t>22/96 (22.9)</w:t>
            </w:r>
          </w:p>
        </w:tc>
        <w:tc>
          <w:tcPr>
            <w:tcW w:w="2552" w:type="dxa"/>
            <w:gridSpan w:val="2"/>
            <w:shd w:val="clear" w:color="auto" w:fill="FFFFFF" w:themeFill="background1"/>
            <w:vAlign w:val="center"/>
          </w:tcPr>
          <w:p w14:paraId="0324B028" w14:textId="1AF1F5F6" w:rsidR="00D000C5" w:rsidRPr="00A4510A" w:rsidRDefault="00CE77C1" w:rsidP="00D000C5">
            <w:pPr>
              <w:jc w:val="center"/>
              <w:rPr>
                <w:rFonts w:ascii="Calibri" w:hAnsi="Calibri" w:cs="Calibri"/>
                <w:b/>
                <w:bCs/>
                <w:color w:val="000000" w:themeColor="text1"/>
                <w:sz w:val="20"/>
                <w:szCs w:val="20"/>
              </w:rPr>
            </w:pPr>
            <w:r w:rsidRPr="00A4510A">
              <w:rPr>
                <w:rFonts w:ascii="Calibri" w:hAnsi="Calibri" w:cs="Calibri"/>
                <w:b/>
                <w:bCs/>
                <w:color w:val="000000" w:themeColor="text1"/>
                <w:sz w:val="20"/>
                <w:szCs w:val="20"/>
              </w:rPr>
              <w:t xml:space="preserve">Benign </w:t>
            </w:r>
            <w:r w:rsidR="00D000C5" w:rsidRPr="00A4510A">
              <w:rPr>
                <w:rFonts w:ascii="Calibri" w:hAnsi="Calibri" w:cs="Calibri"/>
                <w:b/>
                <w:bCs/>
                <w:color w:val="000000" w:themeColor="text1"/>
                <w:sz w:val="20"/>
                <w:szCs w:val="20"/>
              </w:rPr>
              <w:t>FNA</w:t>
            </w:r>
            <w:r w:rsidR="007A691E" w:rsidRPr="00A4510A">
              <w:rPr>
                <w:rFonts w:ascii="Calibri" w:hAnsi="Calibri" w:cs="Calibri"/>
                <w:b/>
                <w:bCs/>
                <w:color w:val="000000" w:themeColor="text1"/>
                <w:sz w:val="20"/>
                <w:szCs w:val="20"/>
              </w:rPr>
              <w:t>C</w:t>
            </w:r>
            <w:r w:rsidR="00D000C5" w:rsidRPr="00A4510A">
              <w:rPr>
                <w:rFonts w:ascii="Calibri" w:hAnsi="Calibri" w:cs="Calibri"/>
                <w:b/>
                <w:bCs/>
                <w:color w:val="000000" w:themeColor="text1"/>
                <w:sz w:val="20"/>
                <w:szCs w:val="20"/>
              </w:rPr>
              <w:t xml:space="preserve"> Rate (%)</w:t>
            </w:r>
          </w:p>
          <w:p w14:paraId="18FB0753" w14:textId="5B3D7E1B" w:rsidR="00D000C5" w:rsidRPr="00A4510A" w:rsidRDefault="00D000C5" w:rsidP="00D000C5">
            <w:pPr>
              <w:jc w:val="center"/>
              <w:rPr>
                <w:rFonts w:ascii="Calibri" w:hAnsi="Calibri" w:cs="Calibri"/>
                <w:b/>
                <w:bCs/>
                <w:color w:val="000000" w:themeColor="text1"/>
                <w:sz w:val="20"/>
                <w:szCs w:val="20"/>
              </w:rPr>
            </w:pPr>
            <w:r w:rsidRPr="00A4510A">
              <w:rPr>
                <w:rFonts w:ascii="Calibri" w:hAnsi="Calibri" w:cs="Calibri"/>
                <w:color w:val="000000" w:themeColor="text1"/>
                <w:sz w:val="20"/>
                <w:szCs w:val="20"/>
              </w:rPr>
              <w:t>25/96 (26.0)</w:t>
            </w:r>
          </w:p>
        </w:tc>
        <w:tc>
          <w:tcPr>
            <w:tcW w:w="2268" w:type="dxa"/>
            <w:gridSpan w:val="2"/>
            <w:shd w:val="clear" w:color="auto" w:fill="FFFFFF" w:themeFill="background1"/>
            <w:vAlign w:val="center"/>
          </w:tcPr>
          <w:p w14:paraId="62C681E6" w14:textId="2F3D2A47" w:rsidR="00D000C5" w:rsidRPr="00A4510A" w:rsidRDefault="00CE77C1" w:rsidP="00D000C5">
            <w:pPr>
              <w:jc w:val="center"/>
              <w:rPr>
                <w:rFonts w:ascii="Calibri" w:hAnsi="Calibri" w:cs="Calibri"/>
                <w:b/>
                <w:bCs/>
                <w:color w:val="000000" w:themeColor="text1"/>
                <w:sz w:val="20"/>
                <w:szCs w:val="20"/>
              </w:rPr>
            </w:pPr>
            <w:r w:rsidRPr="00A4510A">
              <w:rPr>
                <w:rFonts w:ascii="Calibri" w:hAnsi="Calibri" w:cs="Calibri"/>
                <w:b/>
                <w:bCs/>
                <w:color w:val="000000" w:themeColor="text1"/>
                <w:sz w:val="20"/>
                <w:szCs w:val="20"/>
              </w:rPr>
              <w:t xml:space="preserve">Benign </w:t>
            </w:r>
            <w:r w:rsidR="00D000C5" w:rsidRPr="00A4510A">
              <w:rPr>
                <w:rFonts w:ascii="Calibri" w:hAnsi="Calibri" w:cs="Calibri"/>
                <w:b/>
                <w:bCs/>
                <w:color w:val="000000" w:themeColor="text1"/>
                <w:sz w:val="20"/>
                <w:szCs w:val="20"/>
              </w:rPr>
              <w:t>FNA</w:t>
            </w:r>
            <w:r w:rsidR="007A691E" w:rsidRPr="00A4510A">
              <w:rPr>
                <w:rFonts w:ascii="Calibri" w:hAnsi="Calibri" w:cs="Calibri"/>
                <w:b/>
                <w:bCs/>
                <w:color w:val="000000" w:themeColor="text1"/>
                <w:sz w:val="20"/>
                <w:szCs w:val="20"/>
              </w:rPr>
              <w:t>C</w:t>
            </w:r>
            <w:r w:rsidR="00D000C5" w:rsidRPr="00A4510A">
              <w:rPr>
                <w:rFonts w:ascii="Calibri" w:hAnsi="Calibri" w:cs="Calibri"/>
                <w:b/>
                <w:bCs/>
                <w:color w:val="000000" w:themeColor="text1"/>
                <w:sz w:val="20"/>
                <w:szCs w:val="20"/>
              </w:rPr>
              <w:t xml:space="preserve"> Rate (%)</w:t>
            </w:r>
          </w:p>
          <w:p w14:paraId="7154B8AA" w14:textId="7CD9C30F" w:rsidR="00D000C5" w:rsidRPr="00A4510A" w:rsidRDefault="00D000C5" w:rsidP="00D000C5">
            <w:pPr>
              <w:jc w:val="center"/>
              <w:rPr>
                <w:rFonts w:ascii="Calibri" w:hAnsi="Calibri" w:cs="Calibri"/>
                <w:b/>
                <w:bCs/>
                <w:color w:val="000000" w:themeColor="text1"/>
                <w:sz w:val="20"/>
                <w:szCs w:val="20"/>
              </w:rPr>
            </w:pPr>
            <w:r w:rsidRPr="00A4510A">
              <w:rPr>
                <w:rFonts w:ascii="Calibri" w:hAnsi="Calibri" w:cs="Calibri"/>
                <w:color w:val="000000" w:themeColor="text1"/>
                <w:sz w:val="20"/>
                <w:szCs w:val="20"/>
              </w:rPr>
              <w:t>24/96 (25.0)</w:t>
            </w:r>
          </w:p>
        </w:tc>
      </w:tr>
    </w:tbl>
    <w:p w14:paraId="3758EA34" w14:textId="4EF4F754" w:rsidR="0096426F" w:rsidRPr="005D3686" w:rsidRDefault="0096426F" w:rsidP="0096426F">
      <w:pPr>
        <w:rPr>
          <w:rFonts w:ascii="Times New Roman" w:hAnsi="Times New Roman" w:cs="Times New Roman"/>
          <w:sz w:val="18"/>
          <w:szCs w:val="18"/>
        </w:rPr>
      </w:pPr>
      <w:r>
        <w:rPr>
          <w:rFonts w:ascii="Times New Roman" w:hAnsi="Times New Roman" w:cs="Times New Roman"/>
          <w:sz w:val="18"/>
          <w:szCs w:val="18"/>
        </w:rPr>
        <w:t>FNA</w:t>
      </w:r>
      <w:r w:rsidR="00F955F8">
        <w:rPr>
          <w:rFonts w:ascii="Times New Roman" w:hAnsi="Times New Roman" w:cs="Times New Roman"/>
          <w:sz w:val="18"/>
          <w:szCs w:val="18"/>
        </w:rPr>
        <w:t>C</w:t>
      </w:r>
      <w:r>
        <w:rPr>
          <w:rFonts w:ascii="Times New Roman" w:hAnsi="Times New Roman" w:cs="Times New Roman"/>
          <w:sz w:val="18"/>
          <w:szCs w:val="18"/>
        </w:rPr>
        <w:t xml:space="preserve"> – Fine needle aspiration</w:t>
      </w:r>
      <w:r w:rsidR="00F955F8">
        <w:rPr>
          <w:rFonts w:ascii="Times New Roman" w:hAnsi="Times New Roman" w:cs="Times New Roman"/>
          <w:sz w:val="18"/>
          <w:szCs w:val="18"/>
        </w:rPr>
        <w:t xml:space="preserve"> cytology</w:t>
      </w:r>
      <w:r>
        <w:rPr>
          <w:rFonts w:ascii="Times New Roman" w:hAnsi="Times New Roman" w:cs="Times New Roman"/>
          <w:sz w:val="18"/>
          <w:szCs w:val="18"/>
        </w:rPr>
        <w:br/>
      </w:r>
      <w:r w:rsidRPr="005D3686">
        <w:rPr>
          <w:rFonts w:ascii="Times New Roman" w:hAnsi="Times New Roman" w:cs="Times New Roman"/>
          <w:sz w:val="18"/>
          <w:szCs w:val="18"/>
        </w:rPr>
        <w:t>BTA – British Thyroid Association U Classification</w:t>
      </w:r>
      <w:r w:rsidRPr="005D3686">
        <w:rPr>
          <w:rFonts w:ascii="Times New Roman" w:hAnsi="Times New Roman" w:cs="Times New Roman"/>
          <w:sz w:val="18"/>
          <w:szCs w:val="18"/>
        </w:rPr>
        <w:br/>
        <w:t>ACR – American College of Radiology-TIRADS</w:t>
      </w:r>
      <w:r>
        <w:rPr>
          <w:rFonts w:ascii="Times New Roman" w:hAnsi="Times New Roman" w:cs="Times New Roman"/>
          <w:sz w:val="18"/>
          <w:szCs w:val="18"/>
        </w:rPr>
        <w:br/>
      </w:r>
      <w:r w:rsidRPr="005D3686">
        <w:rPr>
          <w:rFonts w:ascii="Times New Roman" w:hAnsi="Times New Roman" w:cs="Times New Roman"/>
          <w:sz w:val="18"/>
          <w:szCs w:val="18"/>
        </w:rPr>
        <w:t>EU – European Thyroid Association-TIRADS</w:t>
      </w:r>
      <w:r>
        <w:rPr>
          <w:rFonts w:ascii="Times New Roman" w:hAnsi="Times New Roman" w:cs="Times New Roman"/>
          <w:sz w:val="18"/>
          <w:szCs w:val="18"/>
        </w:rPr>
        <w:br/>
      </w:r>
      <w:r w:rsidRPr="005D3686">
        <w:rPr>
          <w:rFonts w:ascii="Times New Roman" w:hAnsi="Times New Roman" w:cs="Times New Roman"/>
          <w:sz w:val="18"/>
          <w:szCs w:val="18"/>
        </w:rPr>
        <w:t xml:space="preserve">AI – </w:t>
      </w:r>
      <w:r w:rsidR="00EA3B5A">
        <w:rPr>
          <w:rFonts w:ascii="Times New Roman" w:hAnsi="Times New Roman" w:cs="Times New Roman"/>
          <w:sz w:val="18"/>
          <w:szCs w:val="18"/>
        </w:rPr>
        <w:t>Artificial Intelligence</w:t>
      </w:r>
      <w:r w:rsidRPr="005D3686">
        <w:rPr>
          <w:rFonts w:ascii="Times New Roman" w:hAnsi="Times New Roman" w:cs="Times New Roman"/>
          <w:sz w:val="18"/>
          <w:szCs w:val="18"/>
        </w:rPr>
        <w:t>-TIRADS</w:t>
      </w:r>
    </w:p>
    <w:p w14:paraId="4A21241F" w14:textId="63ECF6F3" w:rsidR="003E2457" w:rsidRPr="00136CE7" w:rsidRDefault="003E2457" w:rsidP="001361CF">
      <w:pPr>
        <w:spacing w:line="480" w:lineRule="auto"/>
        <w:rPr>
          <w:rFonts w:ascii="Times New Roman" w:hAnsi="Times New Roman" w:cs="Times New Roman"/>
        </w:rPr>
      </w:pPr>
      <w:r>
        <w:rPr>
          <w:rFonts w:ascii="Times New Roman" w:hAnsi="Times New Roman" w:cs="Times New Roman"/>
        </w:rPr>
        <w:t>Cytologically</w:t>
      </w:r>
      <w:r w:rsidRPr="00136CE7">
        <w:rPr>
          <w:rFonts w:ascii="Times New Roman" w:hAnsi="Times New Roman" w:cs="Times New Roman"/>
        </w:rPr>
        <w:t>,</w:t>
      </w:r>
      <w:r>
        <w:rPr>
          <w:rFonts w:ascii="Times New Roman" w:hAnsi="Times New Roman" w:cs="Times New Roman"/>
        </w:rPr>
        <w:t xml:space="preserve"> </w:t>
      </w:r>
      <w:r w:rsidRPr="00136CE7">
        <w:rPr>
          <w:rFonts w:ascii="Times New Roman" w:hAnsi="Times New Roman" w:cs="Times New Roman"/>
        </w:rPr>
        <w:t>43 (44.8%) nodules had a</w:t>
      </w:r>
      <w:r>
        <w:rPr>
          <w:rFonts w:ascii="Times New Roman" w:hAnsi="Times New Roman" w:cs="Times New Roman"/>
        </w:rPr>
        <w:t>n initial</w:t>
      </w:r>
      <w:r w:rsidRPr="00136CE7">
        <w:rPr>
          <w:rFonts w:ascii="Times New Roman" w:hAnsi="Times New Roman" w:cs="Times New Roman"/>
        </w:rPr>
        <w:t xml:space="preserve"> non-diagnostic or unsatisfactory result (Thy 1</w:t>
      </w:r>
      <w:r w:rsidR="00CE77C1">
        <w:rPr>
          <w:rFonts w:ascii="Times New Roman" w:hAnsi="Times New Roman" w:cs="Times New Roman"/>
        </w:rPr>
        <w:t>/Thy 1c</w:t>
      </w:r>
      <w:r w:rsidRPr="00136CE7">
        <w:rPr>
          <w:rFonts w:ascii="Times New Roman" w:hAnsi="Times New Roman" w:cs="Times New Roman"/>
        </w:rPr>
        <w:t>). 24 (25%) were deemed benign</w:t>
      </w:r>
      <w:r>
        <w:rPr>
          <w:rFonts w:ascii="Times New Roman" w:hAnsi="Times New Roman" w:cs="Times New Roman"/>
        </w:rPr>
        <w:t xml:space="preserve"> (Thy 2)</w:t>
      </w:r>
      <w:r w:rsidRPr="00136CE7">
        <w:rPr>
          <w:rFonts w:ascii="Times New Roman" w:hAnsi="Times New Roman" w:cs="Times New Roman"/>
        </w:rPr>
        <w:t xml:space="preserve">. </w:t>
      </w:r>
      <w:r>
        <w:rPr>
          <w:rFonts w:ascii="Times New Roman" w:hAnsi="Times New Roman" w:cs="Times New Roman"/>
        </w:rPr>
        <w:t xml:space="preserve">10 (10.4%) showed atypia/possible neoplasm (Thy 3a) and 16 (16.7%) showed possible follicular neoplasm (Thy 3f). 2 nodules were graded as suspicious for malignancy (Thy 4) and 1 nodule as malignant (Thy 5) </w:t>
      </w:r>
      <w:r w:rsidRPr="00136CE7">
        <w:rPr>
          <w:rFonts w:ascii="Times New Roman" w:hAnsi="Times New Roman" w:cs="Times New Roman"/>
        </w:rPr>
        <w:t>[Table 3].</w:t>
      </w:r>
      <w:r>
        <w:rPr>
          <w:rFonts w:ascii="Times New Roman" w:hAnsi="Times New Roman" w:cs="Times New Roman"/>
        </w:rPr>
        <w:t xml:space="preserve"> Of those patients undergoing a repeat FNAC, 53.8%</w:t>
      </w:r>
      <w:r w:rsidR="00E7196D">
        <w:rPr>
          <w:rFonts w:ascii="Times New Roman" w:hAnsi="Times New Roman" w:cs="Times New Roman"/>
        </w:rPr>
        <w:t xml:space="preserve"> (n=22)</w:t>
      </w:r>
      <w:r>
        <w:rPr>
          <w:rFonts w:ascii="Times New Roman" w:hAnsi="Times New Roman" w:cs="Times New Roman"/>
        </w:rPr>
        <w:t xml:space="preserve"> were non-diagnostic (Thy 1).</w:t>
      </w:r>
      <w:r w:rsidR="00ED7522">
        <w:rPr>
          <w:rFonts w:ascii="Times New Roman" w:hAnsi="Times New Roman" w:cs="Times New Roman"/>
        </w:rPr>
        <w:t xml:space="preserve"> </w:t>
      </w:r>
      <w:r>
        <w:rPr>
          <w:rFonts w:ascii="Times New Roman" w:hAnsi="Times New Roman" w:cs="Times New Roman"/>
        </w:rPr>
        <w:t xml:space="preserve"> </w:t>
      </w:r>
    </w:p>
    <w:p w14:paraId="3F5CB54D" w14:textId="77777777" w:rsidR="00C81A3A" w:rsidRDefault="00C81A3A" w:rsidP="00C81A3A">
      <w:pPr>
        <w:rPr>
          <w:rFonts w:ascii="Times New Roman" w:hAnsi="Times New Roman" w:cs="Times New Roman"/>
          <w:b/>
          <w:bCs/>
        </w:rPr>
      </w:pPr>
    </w:p>
    <w:p w14:paraId="0C500685" w14:textId="24221752" w:rsidR="00C81A3A" w:rsidRPr="00EA4E3D" w:rsidRDefault="00C81A3A" w:rsidP="00C81A3A">
      <w:pPr>
        <w:rPr>
          <w:rFonts w:ascii="Times New Roman" w:hAnsi="Times New Roman" w:cs="Times New Roman"/>
        </w:rPr>
      </w:pPr>
      <w:r w:rsidRPr="00EA4E3D">
        <w:rPr>
          <w:rFonts w:ascii="Times New Roman" w:hAnsi="Times New Roman" w:cs="Times New Roman"/>
          <w:b/>
          <w:bCs/>
        </w:rPr>
        <w:t>Table 3.</w:t>
      </w:r>
      <w:r w:rsidRPr="00EA4E3D">
        <w:rPr>
          <w:rFonts w:ascii="Times New Roman" w:hAnsi="Times New Roman" w:cs="Times New Roman"/>
        </w:rPr>
        <w:t xml:space="preserve"> </w:t>
      </w:r>
      <w:r>
        <w:rPr>
          <w:rFonts w:ascii="Times New Roman" w:hAnsi="Times New Roman" w:cs="Times New Roman"/>
        </w:rPr>
        <w:t>Royal College of Pathologists Thy</w:t>
      </w:r>
      <w:r w:rsidRPr="00EA4E3D">
        <w:rPr>
          <w:rFonts w:ascii="Times New Roman" w:hAnsi="Times New Roman" w:cs="Times New Roman"/>
        </w:rPr>
        <w:t xml:space="preserve"> </w:t>
      </w:r>
      <w:r w:rsidR="00CB588E">
        <w:rPr>
          <w:rFonts w:ascii="Times New Roman" w:hAnsi="Times New Roman" w:cs="Times New Roman"/>
        </w:rPr>
        <w:t>classification</w:t>
      </w:r>
      <w:r w:rsidRPr="00EA4E3D">
        <w:rPr>
          <w:rFonts w:ascii="Times New Roman" w:hAnsi="Times New Roman" w:cs="Times New Roman"/>
        </w:rPr>
        <w:t xml:space="preserve"> for </w:t>
      </w:r>
      <w:r>
        <w:rPr>
          <w:rFonts w:ascii="Times New Roman" w:hAnsi="Times New Roman" w:cs="Times New Roman"/>
        </w:rPr>
        <w:t>r</w:t>
      </w:r>
      <w:r w:rsidRPr="00EA4E3D">
        <w:rPr>
          <w:rFonts w:ascii="Times New Roman" w:hAnsi="Times New Roman" w:cs="Times New Roman"/>
        </w:rPr>
        <w:t xml:space="preserve">eporting </w:t>
      </w:r>
      <w:r>
        <w:rPr>
          <w:rFonts w:ascii="Times New Roman" w:hAnsi="Times New Roman" w:cs="Times New Roman"/>
        </w:rPr>
        <w:t>t</w:t>
      </w:r>
      <w:r w:rsidRPr="00EA4E3D">
        <w:rPr>
          <w:rFonts w:ascii="Times New Roman" w:hAnsi="Times New Roman" w:cs="Times New Roman"/>
        </w:rPr>
        <w:t xml:space="preserve">hyroid </w:t>
      </w:r>
      <w:r>
        <w:rPr>
          <w:rFonts w:ascii="Times New Roman" w:hAnsi="Times New Roman" w:cs="Times New Roman"/>
        </w:rPr>
        <w:t>cytology and corresponding number of patients by FNAC result [</w:t>
      </w:r>
      <w:r w:rsidR="008E6A88">
        <w:rPr>
          <w:rFonts w:ascii="Times New Roman" w:hAnsi="Times New Roman" w:cs="Times New Roman"/>
        </w:rPr>
        <w:t>1</w:t>
      </w:r>
      <w:r w:rsidR="003A6F6B">
        <w:rPr>
          <w:rFonts w:ascii="Times New Roman" w:hAnsi="Times New Roman" w:cs="Times New Roman"/>
        </w:rPr>
        <w:t>4</w:t>
      </w:r>
      <w:r>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2254"/>
        <w:gridCol w:w="3411"/>
        <w:gridCol w:w="1701"/>
        <w:gridCol w:w="1650"/>
      </w:tblGrid>
      <w:tr w:rsidR="00C81A3A" w14:paraId="73FCBBEF" w14:textId="77777777" w:rsidTr="00BE06CE">
        <w:tc>
          <w:tcPr>
            <w:tcW w:w="2254" w:type="dxa"/>
            <w:shd w:val="clear" w:color="auto" w:fill="auto"/>
          </w:tcPr>
          <w:p w14:paraId="305EDE90" w14:textId="43D8BAE8" w:rsidR="00C81A3A" w:rsidRPr="00C81A3A" w:rsidRDefault="00C81A3A" w:rsidP="00C81A3A">
            <w:pPr>
              <w:jc w:val="center"/>
              <w:rPr>
                <w:b/>
                <w:bCs/>
              </w:rPr>
            </w:pPr>
            <w:r w:rsidRPr="00C81A3A">
              <w:rPr>
                <w:b/>
                <w:bCs/>
              </w:rPr>
              <w:t>Diagnostic Category</w:t>
            </w:r>
          </w:p>
        </w:tc>
        <w:tc>
          <w:tcPr>
            <w:tcW w:w="3411" w:type="dxa"/>
            <w:shd w:val="clear" w:color="auto" w:fill="auto"/>
          </w:tcPr>
          <w:p w14:paraId="428CFDD3" w14:textId="5AA1AE7F" w:rsidR="00C81A3A" w:rsidRPr="00C81A3A" w:rsidRDefault="00C81A3A" w:rsidP="00C81A3A">
            <w:pPr>
              <w:jc w:val="center"/>
              <w:rPr>
                <w:b/>
                <w:bCs/>
              </w:rPr>
            </w:pPr>
            <w:r w:rsidRPr="00C81A3A">
              <w:rPr>
                <w:b/>
                <w:bCs/>
              </w:rPr>
              <w:t>Interpretation</w:t>
            </w:r>
          </w:p>
        </w:tc>
        <w:tc>
          <w:tcPr>
            <w:tcW w:w="1701" w:type="dxa"/>
            <w:shd w:val="clear" w:color="auto" w:fill="auto"/>
          </w:tcPr>
          <w:p w14:paraId="35F25461" w14:textId="660F6EF0" w:rsidR="00C81A3A" w:rsidRPr="00C81A3A" w:rsidRDefault="00C81A3A" w:rsidP="00C81A3A">
            <w:pPr>
              <w:jc w:val="center"/>
              <w:rPr>
                <w:b/>
                <w:bCs/>
              </w:rPr>
            </w:pPr>
            <w:r w:rsidRPr="00C81A3A">
              <w:rPr>
                <w:b/>
                <w:bCs/>
              </w:rPr>
              <w:t>N (%)</w:t>
            </w:r>
          </w:p>
        </w:tc>
        <w:tc>
          <w:tcPr>
            <w:tcW w:w="1650" w:type="dxa"/>
            <w:shd w:val="clear" w:color="auto" w:fill="auto"/>
          </w:tcPr>
          <w:p w14:paraId="2C9BE714" w14:textId="7841E460" w:rsidR="00C81A3A" w:rsidRPr="00C81A3A" w:rsidRDefault="00C81A3A" w:rsidP="00C81A3A">
            <w:pPr>
              <w:jc w:val="center"/>
              <w:rPr>
                <w:b/>
                <w:bCs/>
              </w:rPr>
            </w:pPr>
            <w:r w:rsidRPr="00C81A3A">
              <w:rPr>
                <w:b/>
                <w:bCs/>
              </w:rPr>
              <w:t>N (%) Repeat</w:t>
            </w:r>
          </w:p>
        </w:tc>
      </w:tr>
      <w:tr w:rsidR="00C81A3A" w14:paraId="337D2967" w14:textId="77777777" w:rsidTr="0093407C">
        <w:tc>
          <w:tcPr>
            <w:tcW w:w="2254" w:type="dxa"/>
          </w:tcPr>
          <w:p w14:paraId="31A3327A" w14:textId="77777777" w:rsidR="00C81A3A" w:rsidRDefault="00C81A3A" w:rsidP="00C81A3A">
            <w:pPr>
              <w:jc w:val="center"/>
            </w:pPr>
            <w:r>
              <w:lastRenderedPageBreak/>
              <w:t>Thy 1</w:t>
            </w:r>
          </w:p>
          <w:p w14:paraId="41C2BF94" w14:textId="782083B8" w:rsidR="00C81A3A" w:rsidRDefault="00C81A3A" w:rsidP="00C81A3A">
            <w:pPr>
              <w:jc w:val="center"/>
            </w:pPr>
            <w:r>
              <w:br/>
              <w:t>Thy 1c</w:t>
            </w:r>
          </w:p>
        </w:tc>
        <w:tc>
          <w:tcPr>
            <w:tcW w:w="3411" w:type="dxa"/>
          </w:tcPr>
          <w:p w14:paraId="32F18482" w14:textId="77777777" w:rsidR="00C81A3A" w:rsidRDefault="00C81A3A" w:rsidP="00C81A3A">
            <w:pPr>
              <w:jc w:val="center"/>
            </w:pPr>
            <w:r>
              <w:t>Non-diagnostic for cytological diagnosis</w:t>
            </w:r>
          </w:p>
          <w:p w14:paraId="673C5F10" w14:textId="21AA5496" w:rsidR="00C81A3A" w:rsidRDefault="00C81A3A" w:rsidP="00C81A3A">
            <w:pPr>
              <w:jc w:val="center"/>
            </w:pPr>
            <w:r>
              <w:t>Non-diagnostic for cytological diagnosis – cystic lesion</w:t>
            </w:r>
          </w:p>
        </w:tc>
        <w:tc>
          <w:tcPr>
            <w:tcW w:w="1701" w:type="dxa"/>
            <w:vAlign w:val="center"/>
          </w:tcPr>
          <w:p w14:paraId="1217E1E6" w14:textId="626969EB" w:rsidR="00C81A3A" w:rsidRDefault="00C81A3A" w:rsidP="0093407C">
            <w:pPr>
              <w:jc w:val="center"/>
            </w:pPr>
            <w:r>
              <w:rPr>
                <w:rFonts w:cstheme="minorHAnsi"/>
              </w:rPr>
              <w:t>43 (44.8)</w:t>
            </w:r>
          </w:p>
        </w:tc>
        <w:tc>
          <w:tcPr>
            <w:tcW w:w="1650" w:type="dxa"/>
            <w:vAlign w:val="center"/>
          </w:tcPr>
          <w:p w14:paraId="3941FC69" w14:textId="56A05A6E" w:rsidR="00C81A3A" w:rsidRDefault="00C81A3A" w:rsidP="0093407C">
            <w:pPr>
              <w:jc w:val="center"/>
            </w:pPr>
            <w:r>
              <w:rPr>
                <w:rFonts w:cstheme="minorHAnsi"/>
              </w:rPr>
              <w:t>21 (53.8)</w:t>
            </w:r>
          </w:p>
        </w:tc>
      </w:tr>
      <w:tr w:rsidR="00C81A3A" w14:paraId="01FD5B0B" w14:textId="77777777" w:rsidTr="0093407C">
        <w:trPr>
          <w:trHeight w:val="595"/>
        </w:trPr>
        <w:tc>
          <w:tcPr>
            <w:tcW w:w="2254" w:type="dxa"/>
          </w:tcPr>
          <w:p w14:paraId="40C5BBED" w14:textId="77777777" w:rsidR="00C81A3A" w:rsidRDefault="00C81A3A" w:rsidP="00C81A3A">
            <w:pPr>
              <w:jc w:val="center"/>
            </w:pPr>
            <w:r>
              <w:t>Thy 2</w:t>
            </w:r>
          </w:p>
          <w:p w14:paraId="63AA256A" w14:textId="3E2DA829" w:rsidR="00C81A3A" w:rsidRDefault="00C81A3A" w:rsidP="00C81A3A">
            <w:pPr>
              <w:jc w:val="center"/>
            </w:pPr>
            <w:r>
              <w:t>Thy 2c</w:t>
            </w:r>
          </w:p>
        </w:tc>
        <w:tc>
          <w:tcPr>
            <w:tcW w:w="3411" w:type="dxa"/>
          </w:tcPr>
          <w:p w14:paraId="07F7FD9B" w14:textId="77777777" w:rsidR="00C81A3A" w:rsidRDefault="00C81A3A" w:rsidP="00C81A3A">
            <w:pPr>
              <w:jc w:val="center"/>
            </w:pPr>
            <w:r>
              <w:t>Non-neoplastic</w:t>
            </w:r>
          </w:p>
          <w:p w14:paraId="116A3AE9" w14:textId="76E8DD44" w:rsidR="00C81A3A" w:rsidRDefault="00C81A3A" w:rsidP="00C81A3A">
            <w:pPr>
              <w:jc w:val="center"/>
            </w:pPr>
            <w:r>
              <w:t>Non-neoplastic cystic lesion</w:t>
            </w:r>
          </w:p>
        </w:tc>
        <w:tc>
          <w:tcPr>
            <w:tcW w:w="1701" w:type="dxa"/>
            <w:vAlign w:val="center"/>
          </w:tcPr>
          <w:p w14:paraId="3362C999" w14:textId="6997482D" w:rsidR="00C81A3A" w:rsidRDefault="00C81A3A" w:rsidP="0093407C">
            <w:pPr>
              <w:jc w:val="center"/>
            </w:pPr>
            <w:r>
              <w:rPr>
                <w:rFonts w:cstheme="minorHAnsi"/>
              </w:rPr>
              <w:t>24 (25.0)</w:t>
            </w:r>
          </w:p>
        </w:tc>
        <w:tc>
          <w:tcPr>
            <w:tcW w:w="1650" w:type="dxa"/>
            <w:vAlign w:val="center"/>
          </w:tcPr>
          <w:p w14:paraId="6FDCBAF6" w14:textId="2F61AC34" w:rsidR="00C81A3A" w:rsidRDefault="00C81A3A" w:rsidP="0093407C">
            <w:pPr>
              <w:jc w:val="center"/>
            </w:pPr>
            <w:r>
              <w:rPr>
                <w:rFonts w:cstheme="minorHAnsi"/>
              </w:rPr>
              <w:t>6 (15.4)</w:t>
            </w:r>
          </w:p>
        </w:tc>
      </w:tr>
      <w:tr w:rsidR="00C81A3A" w14:paraId="137F44B8" w14:textId="77777777" w:rsidTr="0093407C">
        <w:tc>
          <w:tcPr>
            <w:tcW w:w="2254" w:type="dxa"/>
          </w:tcPr>
          <w:p w14:paraId="6F9A6938" w14:textId="792ED602" w:rsidR="00C81A3A" w:rsidRDefault="00C81A3A" w:rsidP="00C81A3A">
            <w:pPr>
              <w:jc w:val="center"/>
            </w:pPr>
            <w:r>
              <w:t>Thy 3a</w:t>
            </w:r>
          </w:p>
        </w:tc>
        <w:tc>
          <w:tcPr>
            <w:tcW w:w="3411" w:type="dxa"/>
          </w:tcPr>
          <w:p w14:paraId="11C37A57" w14:textId="1A3168D5" w:rsidR="00C81A3A" w:rsidRDefault="00C81A3A" w:rsidP="00C81A3A">
            <w:pPr>
              <w:jc w:val="center"/>
            </w:pPr>
            <w:r>
              <w:t>Neoplasm possible – atypia/non-diagnostic</w:t>
            </w:r>
          </w:p>
        </w:tc>
        <w:tc>
          <w:tcPr>
            <w:tcW w:w="1701" w:type="dxa"/>
            <w:vAlign w:val="center"/>
          </w:tcPr>
          <w:p w14:paraId="133922B7" w14:textId="157D4C4D" w:rsidR="00C81A3A" w:rsidRDefault="0048205A" w:rsidP="0093407C">
            <w:pPr>
              <w:jc w:val="center"/>
            </w:pPr>
            <w:r>
              <w:t>10 (10.4)</w:t>
            </w:r>
          </w:p>
        </w:tc>
        <w:tc>
          <w:tcPr>
            <w:tcW w:w="1650" w:type="dxa"/>
            <w:vAlign w:val="center"/>
          </w:tcPr>
          <w:p w14:paraId="11F5886C" w14:textId="787FD6BF" w:rsidR="00C81A3A" w:rsidRDefault="0048205A" w:rsidP="0093407C">
            <w:pPr>
              <w:jc w:val="center"/>
            </w:pPr>
            <w:r>
              <w:t>7 (18.0)</w:t>
            </w:r>
          </w:p>
        </w:tc>
      </w:tr>
      <w:tr w:rsidR="00C81A3A" w14:paraId="2879E727" w14:textId="77777777" w:rsidTr="0093407C">
        <w:tc>
          <w:tcPr>
            <w:tcW w:w="2254" w:type="dxa"/>
          </w:tcPr>
          <w:p w14:paraId="622F06FB" w14:textId="46041A47" w:rsidR="00C81A3A" w:rsidRDefault="00C81A3A" w:rsidP="00C81A3A">
            <w:pPr>
              <w:jc w:val="center"/>
            </w:pPr>
            <w:r>
              <w:t>Thy 3f</w:t>
            </w:r>
          </w:p>
        </w:tc>
        <w:tc>
          <w:tcPr>
            <w:tcW w:w="3411" w:type="dxa"/>
          </w:tcPr>
          <w:p w14:paraId="412BA5EC" w14:textId="172E312D" w:rsidR="00C81A3A" w:rsidRDefault="00C81A3A" w:rsidP="00C81A3A">
            <w:pPr>
              <w:jc w:val="center"/>
            </w:pPr>
            <w:r>
              <w:t>Neoplasm possible – suggesting follicular neoplasm</w:t>
            </w:r>
          </w:p>
        </w:tc>
        <w:tc>
          <w:tcPr>
            <w:tcW w:w="1701" w:type="dxa"/>
            <w:vAlign w:val="center"/>
          </w:tcPr>
          <w:p w14:paraId="4289274D" w14:textId="3EE9DA69" w:rsidR="00C81A3A" w:rsidRDefault="0048205A" w:rsidP="0093407C">
            <w:pPr>
              <w:jc w:val="center"/>
            </w:pPr>
            <w:r>
              <w:t>16 (16.7)</w:t>
            </w:r>
          </w:p>
        </w:tc>
        <w:tc>
          <w:tcPr>
            <w:tcW w:w="1650" w:type="dxa"/>
            <w:vAlign w:val="center"/>
          </w:tcPr>
          <w:p w14:paraId="22B58346" w14:textId="72D43190" w:rsidR="00C81A3A" w:rsidRDefault="0048205A" w:rsidP="0093407C">
            <w:pPr>
              <w:jc w:val="center"/>
            </w:pPr>
            <w:r>
              <w:t>4 (10.3)</w:t>
            </w:r>
          </w:p>
        </w:tc>
      </w:tr>
      <w:tr w:rsidR="00C81A3A" w14:paraId="1F3F1A30" w14:textId="77777777" w:rsidTr="0093407C">
        <w:tc>
          <w:tcPr>
            <w:tcW w:w="2254" w:type="dxa"/>
          </w:tcPr>
          <w:p w14:paraId="73BB7C8D" w14:textId="56D6F45B" w:rsidR="00C81A3A" w:rsidRDefault="00C81A3A" w:rsidP="00C81A3A">
            <w:pPr>
              <w:jc w:val="center"/>
            </w:pPr>
            <w:r>
              <w:t>Thy 4</w:t>
            </w:r>
          </w:p>
        </w:tc>
        <w:tc>
          <w:tcPr>
            <w:tcW w:w="3411" w:type="dxa"/>
          </w:tcPr>
          <w:p w14:paraId="7AA6252E" w14:textId="10B5F48B" w:rsidR="00C81A3A" w:rsidRDefault="00C81A3A" w:rsidP="00C81A3A">
            <w:pPr>
              <w:jc w:val="center"/>
            </w:pPr>
            <w:r>
              <w:t>Suspicious of malignancy</w:t>
            </w:r>
          </w:p>
        </w:tc>
        <w:tc>
          <w:tcPr>
            <w:tcW w:w="1701" w:type="dxa"/>
            <w:vAlign w:val="center"/>
          </w:tcPr>
          <w:p w14:paraId="52ED4E92" w14:textId="604C9093" w:rsidR="00C81A3A" w:rsidRDefault="00C81A3A" w:rsidP="0093407C">
            <w:pPr>
              <w:jc w:val="center"/>
            </w:pPr>
            <w:r>
              <w:rPr>
                <w:rFonts w:cstheme="minorHAnsi"/>
              </w:rPr>
              <w:t>2 (2.1)</w:t>
            </w:r>
          </w:p>
        </w:tc>
        <w:tc>
          <w:tcPr>
            <w:tcW w:w="1650" w:type="dxa"/>
            <w:vAlign w:val="center"/>
          </w:tcPr>
          <w:p w14:paraId="74EC106D" w14:textId="0C275E8F" w:rsidR="00C81A3A" w:rsidRDefault="00C81A3A" w:rsidP="0093407C">
            <w:pPr>
              <w:jc w:val="center"/>
            </w:pPr>
            <w:r>
              <w:rPr>
                <w:rFonts w:cstheme="minorHAnsi"/>
              </w:rPr>
              <w:t>1 (2.6)</w:t>
            </w:r>
          </w:p>
        </w:tc>
      </w:tr>
      <w:tr w:rsidR="00C81A3A" w14:paraId="483EE518" w14:textId="77777777" w:rsidTr="0093407C">
        <w:tc>
          <w:tcPr>
            <w:tcW w:w="2254" w:type="dxa"/>
          </w:tcPr>
          <w:p w14:paraId="5A213F1F" w14:textId="3E775FF2" w:rsidR="00C81A3A" w:rsidRDefault="00C81A3A" w:rsidP="00C81A3A">
            <w:pPr>
              <w:jc w:val="center"/>
            </w:pPr>
            <w:r>
              <w:t>Thy 5</w:t>
            </w:r>
          </w:p>
        </w:tc>
        <w:tc>
          <w:tcPr>
            <w:tcW w:w="3411" w:type="dxa"/>
          </w:tcPr>
          <w:p w14:paraId="487F61BA" w14:textId="06012F63" w:rsidR="00C81A3A" w:rsidRDefault="00C81A3A" w:rsidP="00C81A3A">
            <w:pPr>
              <w:jc w:val="center"/>
            </w:pPr>
            <w:r>
              <w:t>Malignant</w:t>
            </w:r>
          </w:p>
        </w:tc>
        <w:tc>
          <w:tcPr>
            <w:tcW w:w="1701" w:type="dxa"/>
            <w:vAlign w:val="center"/>
          </w:tcPr>
          <w:p w14:paraId="59D4F1C3" w14:textId="725D1107" w:rsidR="00C81A3A" w:rsidRDefault="00C81A3A" w:rsidP="0093407C">
            <w:pPr>
              <w:jc w:val="center"/>
            </w:pPr>
            <w:r>
              <w:rPr>
                <w:rFonts w:cstheme="minorHAnsi"/>
              </w:rPr>
              <w:t>1 (1.0)</w:t>
            </w:r>
          </w:p>
        </w:tc>
        <w:tc>
          <w:tcPr>
            <w:tcW w:w="1650" w:type="dxa"/>
            <w:vAlign w:val="center"/>
          </w:tcPr>
          <w:p w14:paraId="594BB3D5" w14:textId="15DB2431" w:rsidR="00C81A3A" w:rsidRDefault="00C81A3A" w:rsidP="0093407C">
            <w:pPr>
              <w:jc w:val="center"/>
            </w:pPr>
            <w:r>
              <w:rPr>
                <w:rFonts w:cstheme="minorHAnsi"/>
              </w:rPr>
              <w:t>0 (0.0)</w:t>
            </w:r>
          </w:p>
        </w:tc>
      </w:tr>
      <w:tr w:rsidR="00C81A3A" w14:paraId="7FD8EF96" w14:textId="77777777" w:rsidTr="00BE06CE">
        <w:tc>
          <w:tcPr>
            <w:tcW w:w="2254" w:type="dxa"/>
            <w:shd w:val="clear" w:color="auto" w:fill="auto"/>
          </w:tcPr>
          <w:p w14:paraId="24D2A60B" w14:textId="77777777" w:rsidR="00C81A3A" w:rsidRDefault="00C81A3A" w:rsidP="00C81A3A">
            <w:pPr>
              <w:jc w:val="center"/>
            </w:pPr>
          </w:p>
        </w:tc>
        <w:tc>
          <w:tcPr>
            <w:tcW w:w="3411" w:type="dxa"/>
            <w:shd w:val="clear" w:color="auto" w:fill="auto"/>
          </w:tcPr>
          <w:p w14:paraId="4038BCFB" w14:textId="77777777" w:rsidR="00C81A3A" w:rsidRDefault="00C81A3A" w:rsidP="00C81A3A">
            <w:pPr>
              <w:jc w:val="center"/>
            </w:pPr>
          </w:p>
        </w:tc>
        <w:tc>
          <w:tcPr>
            <w:tcW w:w="1701" w:type="dxa"/>
          </w:tcPr>
          <w:p w14:paraId="5BB6B084" w14:textId="235F5D68" w:rsidR="00C81A3A" w:rsidRDefault="00C81A3A" w:rsidP="00C81A3A">
            <w:pPr>
              <w:jc w:val="center"/>
              <w:rPr>
                <w:rFonts w:cstheme="minorHAnsi"/>
              </w:rPr>
            </w:pPr>
            <w:r>
              <w:rPr>
                <w:rFonts w:cstheme="minorHAnsi"/>
              </w:rPr>
              <w:t>N=96</w:t>
            </w:r>
          </w:p>
        </w:tc>
        <w:tc>
          <w:tcPr>
            <w:tcW w:w="1650" w:type="dxa"/>
          </w:tcPr>
          <w:p w14:paraId="0A9E8ECC" w14:textId="2930485E" w:rsidR="00C81A3A" w:rsidRDefault="00C81A3A" w:rsidP="00C81A3A">
            <w:pPr>
              <w:jc w:val="center"/>
            </w:pPr>
            <w:r>
              <w:t>N=39</w:t>
            </w:r>
          </w:p>
        </w:tc>
      </w:tr>
    </w:tbl>
    <w:p w14:paraId="1EC07CBB" w14:textId="277141F7" w:rsidR="0096426F" w:rsidRPr="003E2457" w:rsidRDefault="003E2457" w:rsidP="00713020">
      <w:pPr>
        <w:rPr>
          <w:rFonts w:ascii="Times New Roman" w:hAnsi="Times New Roman" w:cs="Times New Roman"/>
        </w:rPr>
      </w:pPr>
      <w:r w:rsidRPr="003E2457">
        <w:rPr>
          <w:rFonts w:ascii="Times New Roman" w:hAnsi="Times New Roman" w:cs="Times New Roman"/>
        </w:rPr>
        <w:t>N – number of patients</w:t>
      </w:r>
    </w:p>
    <w:p w14:paraId="2DB9EF9F" w14:textId="77777777" w:rsidR="0096426F" w:rsidRPr="00D8488D" w:rsidRDefault="0096426F" w:rsidP="00A465F3">
      <w:pPr>
        <w:spacing w:line="360" w:lineRule="auto"/>
        <w:rPr>
          <w:rFonts w:ascii="Times New Roman" w:hAnsi="Times New Roman" w:cs="Times New Roman"/>
          <w:u w:val="single"/>
        </w:rPr>
      </w:pPr>
      <w:r w:rsidRPr="00D8488D">
        <w:rPr>
          <w:rFonts w:ascii="Times New Roman" w:hAnsi="Times New Roman" w:cs="Times New Roman"/>
          <w:u w:val="single"/>
        </w:rPr>
        <w:t>Surgical implications</w:t>
      </w:r>
    </w:p>
    <w:p w14:paraId="726A9CD7" w14:textId="478620F8" w:rsidR="003E2457" w:rsidRPr="00A465F3" w:rsidRDefault="003E2457" w:rsidP="001361CF">
      <w:pPr>
        <w:spacing w:line="480" w:lineRule="auto"/>
        <w:rPr>
          <w:rFonts w:ascii="Times New Roman" w:hAnsi="Times New Roman" w:cs="Times New Roman"/>
        </w:rPr>
      </w:pPr>
      <w:r w:rsidRPr="00A465F3">
        <w:rPr>
          <w:rFonts w:ascii="Times New Roman" w:hAnsi="Times New Roman" w:cs="Times New Roman"/>
        </w:rPr>
        <w:t>Following ultrasound and cytology</w:t>
      </w:r>
      <w:r w:rsidR="00852410">
        <w:rPr>
          <w:rFonts w:ascii="Times New Roman" w:hAnsi="Times New Roman" w:cs="Times New Roman"/>
        </w:rPr>
        <w:t xml:space="preserve"> results</w:t>
      </w:r>
      <w:r w:rsidRPr="00A465F3">
        <w:rPr>
          <w:rFonts w:ascii="Times New Roman" w:hAnsi="Times New Roman" w:cs="Times New Roman"/>
        </w:rPr>
        <w:t xml:space="preserve">, patients are seen in the Ear, Nose and Throat surgical clinic. Management decision on discharge, surveillance or surgery are considered based on these results as well as </w:t>
      </w:r>
      <w:r w:rsidR="00ED7522">
        <w:rPr>
          <w:rFonts w:ascii="Times New Roman" w:hAnsi="Times New Roman" w:cs="Times New Roman"/>
        </w:rPr>
        <w:t xml:space="preserve">important </w:t>
      </w:r>
      <w:r w:rsidRPr="00A465F3">
        <w:rPr>
          <w:rFonts w:ascii="Times New Roman" w:hAnsi="Times New Roman" w:cs="Times New Roman"/>
        </w:rPr>
        <w:t>variables such as patient wishes</w:t>
      </w:r>
      <w:r w:rsidR="00852410">
        <w:rPr>
          <w:rFonts w:ascii="Times New Roman" w:hAnsi="Times New Roman" w:cs="Times New Roman"/>
        </w:rPr>
        <w:t>, family history</w:t>
      </w:r>
      <w:r w:rsidRPr="00A465F3">
        <w:rPr>
          <w:rFonts w:ascii="Times New Roman" w:hAnsi="Times New Roman" w:cs="Times New Roman"/>
        </w:rPr>
        <w:t xml:space="preserve"> and surgical risk factors. </w:t>
      </w:r>
    </w:p>
    <w:p w14:paraId="270DBE28" w14:textId="7949F715" w:rsidR="003E2457" w:rsidRPr="00A465F3" w:rsidRDefault="003E2457" w:rsidP="001361CF">
      <w:pPr>
        <w:spacing w:line="480" w:lineRule="auto"/>
        <w:rPr>
          <w:rFonts w:ascii="Times New Roman" w:hAnsi="Times New Roman" w:cs="Times New Roman"/>
        </w:rPr>
      </w:pPr>
      <w:r w:rsidRPr="00A465F3">
        <w:rPr>
          <w:rFonts w:ascii="Times New Roman" w:hAnsi="Times New Roman" w:cs="Times New Roman"/>
        </w:rPr>
        <w:t xml:space="preserve">Of the 96 indeterminate patients in this cohort, 65 (67.7%) underwent discussions regarding the pros and cons of a diagnostic hemithyroidectomy with an ENT surgeon. 45 (46.9%) proceeded to undergo diagnostic hemithyroidectomy for their U3 thyroid nodule. </w:t>
      </w:r>
      <w:r w:rsidR="00A465F3" w:rsidRPr="00A465F3">
        <w:rPr>
          <w:rFonts w:ascii="Times New Roman" w:hAnsi="Times New Roman" w:cs="Times New Roman"/>
        </w:rPr>
        <w:t xml:space="preserve">When retrospective application of TIRADS RSSs were applied, there was a net </w:t>
      </w:r>
      <w:r w:rsidR="00A465F3">
        <w:rPr>
          <w:rFonts w:ascii="Times New Roman" w:hAnsi="Times New Roman" w:cs="Times New Roman"/>
        </w:rPr>
        <w:t xml:space="preserve">hypothetical </w:t>
      </w:r>
      <w:r w:rsidR="00A465F3" w:rsidRPr="00A465F3">
        <w:rPr>
          <w:rFonts w:ascii="Times New Roman" w:hAnsi="Times New Roman" w:cs="Times New Roman"/>
        </w:rPr>
        <w:t>reduction of up to 4</w:t>
      </w:r>
      <w:r w:rsidR="00CA4DDA">
        <w:rPr>
          <w:rFonts w:ascii="Times New Roman" w:hAnsi="Times New Roman" w:cs="Times New Roman"/>
        </w:rPr>
        <w:t>0</w:t>
      </w:r>
      <w:r w:rsidR="00A465F3" w:rsidRPr="00A465F3">
        <w:rPr>
          <w:rFonts w:ascii="Times New Roman" w:hAnsi="Times New Roman" w:cs="Times New Roman"/>
        </w:rPr>
        <w:t xml:space="preserve">% of surgical discussions required. Furthermore, when accounting for </w:t>
      </w:r>
      <w:r w:rsidRPr="00A465F3">
        <w:rPr>
          <w:rFonts w:ascii="Times New Roman" w:hAnsi="Times New Roman" w:cs="Times New Roman"/>
        </w:rPr>
        <w:t xml:space="preserve">documented reasons for or against </w:t>
      </w:r>
      <w:r w:rsidR="00A465F3" w:rsidRPr="00A465F3">
        <w:rPr>
          <w:rFonts w:ascii="Times New Roman" w:hAnsi="Times New Roman" w:cs="Times New Roman"/>
        </w:rPr>
        <w:t xml:space="preserve">surgery, there was up to a </w:t>
      </w:r>
      <w:r w:rsidR="00CA4DDA">
        <w:rPr>
          <w:rFonts w:ascii="Times New Roman" w:hAnsi="Times New Roman" w:cs="Times New Roman"/>
        </w:rPr>
        <w:t>2</w:t>
      </w:r>
      <w:r w:rsidR="008E3D6D">
        <w:rPr>
          <w:rFonts w:ascii="Times New Roman" w:hAnsi="Times New Roman" w:cs="Times New Roman"/>
        </w:rPr>
        <w:t>8</w:t>
      </w:r>
      <w:r w:rsidR="00CA4DDA">
        <w:rPr>
          <w:rFonts w:ascii="Times New Roman" w:hAnsi="Times New Roman" w:cs="Times New Roman"/>
        </w:rPr>
        <w:t>.</w:t>
      </w:r>
      <w:r w:rsidR="008E3D6D">
        <w:rPr>
          <w:rFonts w:ascii="Times New Roman" w:hAnsi="Times New Roman" w:cs="Times New Roman"/>
        </w:rPr>
        <w:t>9</w:t>
      </w:r>
      <w:r w:rsidR="00A465F3" w:rsidRPr="00A465F3">
        <w:rPr>
          <w:rFonts w:ascii="Times New Roman" w:hAnsi="Times New Roman" w:cs="Times New Roman"/>
        </w:rPr>
        <w:t xml:space="preserve">% hypothetical reduction in diagnostic hemithyroidectomies performed under a TIRADS RSS [Table 4]. </w:t>
      </w:r>
    </w:p>
    <w:p w14:paraId="2197EE8C" w14:textId="41CA4D44" w:rsidR="0012456E" w:rsidRPr="00A465F3" w:rsidRDefault="00A465F3" w:rsidP="001361CF">
      <w:pPr>
        <w:spacing w:line="480" w:lineRule="auto"/>
        <w:rPr>
          <w:rFonts w:ascii="Times New Roman" w:hAnsi="Times New Roman" w:cs="Times New Roman"/>
        </w:rPr>
      </w:pPr>
      <w:r w:rsidRPr="00A465F3">
        <w:rPr>
          <w:rFonts w:ascii="Times New Roman" w:hAnsi="Times New Roman" w:cs="Times New Roman"/>
        </w:rPr>
        <w:t>Cochran’s Q test demonstrated a statistically significant difference between increased rates of surgical discussion and surgery performed for indeterminate thyroid nodules between the BTA guidance and ACR-TIRADS (p&lt;0.001), EU-TIRADS (p&lt;0.001) and AI-TIRADS (p&lt;0.001)</w:t>
      </w:r>
      <w:r>
        <w:rPr>
          <w:rFonts w:ascii="Times New Roman" w:hAnsi="Times New Roman" w:cs="Times New Roman"/>
        </w:rPr>
        <w:t>, respectively</w:t>
      </w:r>
      <w:r w:rsidRPr="00A465F3">
        <w:rPr>
          <w:rFonts w:ascii="Times New Roman" w:hAnsi="Times New Roman" w:cs="Times New Roman"/>
        </w:rPr>
        <w:t xml:space="preserve">. There was no statistical difference between the TIRADS guidelines </w:t>
      </w:r>
      <w:proofErr w:type="gramStart"/>
      <w:r w:rsidRPr="00A465F3">
        <w:rPr>
          <w:rFonts w:ascii="Times New Roman" w:hAnsi="Times New Roman" w:cs="Times New Roman"/>
        </w:rPr>
        <w:t>with regard to</w:t>
      </w:r>
      <w:proofErr w:type="gramEnd"/>
      <w:r w:rsidRPr="00A465F3">
        <w:rPr>
          <w:rFonts w:ascii="Times New Roman" w:hAnsi="Times New Roman" w:cs="Times New Roman"/>
        </w:rPr>
        <w:t xml:space="preserve"> surgery discussed or performed [Table 5]. When looking specifically at the nodules which ha</w:t>
      </w:r>
      <w:r>
        <w:rPr>
          <w:rFonts w:ascii="Times New Roman" w:hAnsi="Times New Roman" w:cs="Times New Roman"/>
        </w:rPr>
        <w:t>d</w:t>
      </w:r>
      <w:r w:rsidRPr="00A465F3">
        <w:rPr>
          <w:rFonts w:ascii="Times New Roman" w:hAnsi="Times New Roman" w:cs="Times New Roman"/>
        </w:rPr>
        <w:t xml:space="preserve"> been rescored with an </w:t>
      </w:r>
      <w:r w:rsidRPr="00A465F3">
        <w:rPr>
          <w:rFonts w:ascii="Times New Roman" w:hAnsi="Times New Roman" w:cs="Times New Roman"/>
        </w:rPr>
        <w:lastRenderedPageBreak/>
        <w:t xml:space="preserve">equivalent level of suspicion – TR3 for ACR and AI-TIRADS and EUTI3 for EU-TIRADS, there remained a </w:t>
      </w:r>
      <w:r w:rsidR="00713675" w:rsidRPr="00A465F3">
        <w:rPr>
          <w:rFonts w:ascii="Times New Roman" w:hAnsi="Times New Roman" w:cs="Times New Roman"/>
        </w:rPr>
        <w:t>statistically</w:t>
      </w:r>
      <w:r w:rsidRPr="00A465F3">
        <w:rPr>
          <w:rFonts w:ascii="Times New Roman" w:hAnsi="Times New Roman" w:cs="Times New Roman"/>
        </w:rPr>
        <w:t xml:space="preserve"> significant association between increased surgical discussions</w:t>
      </w:r>
      <w:r w:rsidR="00E7196D">
        <w:rPr>
          <w:rFonts w:ascii="Times New Roman" w:hAnsi="Times New Roman" w:cs="Times New Roman"/>
        </w:rPr>
        <w:t xml:space="preserve"> (all TIRADS v BTA)</w:t>
      </w:r>
      <w:r w:rsidRPr="00A465F3">
        <w:rPr>
          <w:rFonts w:ascii="Times New Roman" w:hAnsi="Times New Roman" w:cs="Times New Roman"/>
        </w:rPr>
        <w:t xml:space="preserve"> and surgery performed </w:t>
      </w:r>
      <w:r w:rsidR="00E7196D">
        <w:rPr>
          <w:rFonts w:ascii="Times New Roman" w:hAnsi="Times New Roman" w:cs="Times New Roman"/>
        </w:rPr>
        <w:t xml:space="preserve">(ACR v BTA) </w:t>
      </w:r>
      <w:r w:rsidRPr="00A465F3">
        <w:rPr>
          <w:rFonts w:ascii="Times New Roman" w:hAnsi="Times New Roman" w:cs="Times New Roman"/>
        </w:rPr>
        <w:t xml:space="preserve">[Table </w:t>
      </w:r>
      <w:r>
        <w:rPr>
          <w:rFonts w:ascii="Times New Roman" w:hAnsi="Times New Roman" w:cs="Times New Roman"/>
        </w:rPr>
        <w:t>5</w:t>
      </w:r>
      <w:r w:rsidRPr="00A465F3">
        <w:rPr>
          <w:rFonts w:ascii="Times New Roman" w:hAnsi="Times New Roman" w:cs="Times New Roman"/>
        </w:rPr>
        <w:t xml:space="preserve">]. </w:t>
      </w:r>
    </w:p>
    <w:p w14:paraId="18DE9DBC" w14:textId="603D0790" w:rsidR="00922E90" w:rsidRPr="00A465F3" w:rsidRDefault="00ED7522" w:rsidP="001361CF">
      <w:pPr>
        <w:spacing w:line="480" w:lineRule="auto"/>
        <w:rPr>
          <w:rFonts w:ascii="Times New Roman" w:hAnsi="Times New Roman" w:cs="Times New Roman"/>
        </w:rPr>
      </w:pPr>
      <w:r>
        <w:rPr>
          <w:rFonts w:ascii="Times New Roman" w:hAnsi="Times New Roman" w:cs="Times New Roman"/>
        </w:rPr>
        <w:t>Up to 9</w:t>
      </w:r>
      <w:r w:rsidR="0012456E" w:rsidRPr="00A465F3">
        <w:rPr>
          <w:rFonts w:ascii="Times New Roman" w:hAnsi="Times New Roman" w:cs="Times New Roman"/>
        </w:rPr>
        <w:t xml:space="preserve"> </w:t>
      </w:r>
      <w:r>
        <w:rPr>
          <w:rFonts w:ascii="Times New Roman" w:hAnsi="Times New Roman" w:cs="Times New Roman"/>
        </w:rPr>
        <w:t xml:space="preserve">(20%) </w:t>
      </w:r>
      <w:r w:rsidR="0012456E" w:rsidRPr="00A465F3">
        <w:rPr>
          <w:rFonts w:ascii="Times New Roman" w:hAnsi="Times New Roman" w:cs="Times New Roman"/>
        </w:rPr>
        <w:t xml:space="preserve">surgical hemithyroidectomy cases for </w:t>
      </w:r>
      <w:r w:rsidR="00A465F3" w:rsidRPr="00A465F3">
        <w:rPr>
          <w:rFonts w:ascii="Times New Roman" w:hAnsi="Times New Roman" w:cs="Times New Roman"/>
        </w:rPr>
        <w:t>indeterminate nodule</w:t>
      </w:r>
      <w:r>
        <w:rPr>
          <w:rFonts w:ascii="Times New Roman" w:hAnsi="Times New Roman" w:cs="Times New Roman"/>
        </w:rPr>
        <w:t>s</w:t>
      </w:r>
      <w:r w:rsidR="00852410">
        <w:rPr>
          <w:rFonts w:ascii="Times New Roman" w:hAnsi="Times New Roman" w:cs="Times New Roman"/>
        </w:rPr>
        <w:t xml:space="preserve"> which ultimately provided</w:t>
      </w:r>
      <w:r w:rsidR="00A465F3" w:rsidRPr="00A465F3">
        <w:rPr>
          <w:rFonts w:ascii="Times New Roman" w:hAnsi="Times New Roman" w:cs="Times New Roman"/>
        </w:rPr>
        <w:t xml:space="preserve"> </w:t>
      </w:r>
      <w:r w:rsidR="0012456E" w:rsidRPr="00A465F3">
        <w:rPr>
          <w:rFonts w:ascii="Times New Roman" w:hAnsi="Times New Roman" w:cs="Times New Roman"/>
        </w:rPr>
        <w:t xml:space="preserve">benign </w:t>
      </w:r>
      <w:r>
        <w:rPr>
          <w:rFonts w:ascii="Times New Roman" w:hAnsi="Times New Roman" w:cs="Times New Roman"/>
        </w:rPr>
        <w:t>may</w:t>
      </w:r>
      <w:r w:rsidR="0012456E" w:rsidRPr="00A465F3">
        <w:rPr>
          <w:rFonts w:ascii="Times New Roman" w:hAnsi="Times New Roman" w:cs="Times New Roman"/>
        </w:rPr>
        <w:t xml:space="preserve"> have been avoided under a TIRADS equivalent RSS</w:t>
      </w:r>
      <w:r w:rsidR="00A465F3" w:rsidRPr="00A465F3">
        <w:rPr>
          <w:rFonts w:ascii="Times New Roman" w:hAnsi="Times New Roman" w:cs="Times New Roman"/>
        </w:rPr>
        <w:t xml:space="preserve"> [Table 4]</w:t>
      </w:r>
      <w:r w:rsidR="0012456E" w:rsidRPr="00A465F3">
        <w:rPr>
          <w:rFonts w:ascii="Times New Roman" w:hAnsi="Times New Roman" w:cs="Times New Roman"/>
        </w:rPr>
        <w:t xml:space="preserve">. </w:t>
      </w:r>
    </w:p>
    <w:p w14:paraId="1ADCCF08" w14:textId="6D6D34E4" w:rsidR="0012456E" w:rsidRPr="00A465F3" w:rsidRDefault="00A465F3" w:rsidP="00713020">
      <w:pPr>
        <w:rPr>
          <w:rFonts w:ascii="Times New Roman" w:hAnsi="Times New Roman" w:cs="Times New Roman"/>
        </w:rPr>
      </w:pPr>
      <w:r w:rsidRPr="00A465F3">
        <w:rPr>
          <w:rFonts w:ascii="Times New Roman" w:hAnsi="Times New Roman" w:cs="Times New Roman"/>
          <w:b/>
          <w:bCs/>
        </w:rPr>
        <w:t>Table 4.</w:t>
      </w:r>
      <w:r w:rsidRPr="00A465F3">
        <w:rPr>
          <w:rFonts w:ascii="Times New Roman" w:hAnsi="Times New Roman" w:cs="Times New Roman"/>
        </w:rPr>
        <w:t xml:space="preserve"> Comparison of BTA, ACR-TIRADS, EU-TIRADS and AI-TIRADS on the impact on surgical discussion and rates of diagnostic hemithyroidectomy for U3 nodules. </w:t>
      </w:r>
    </w:p>
    <w:tbl>
      <w:tblPr>
        <w:tblStyle w:val="TableGrid"/>
        <w:tblW w:w="0" w:type="auto"/>
        <w:tblLook w:val="04A0" w:firstRow="1" w:lastRow="0" w:firstColumn="1" w:lastColumn="0" w:noHBand="0" w:noVBand="1"/>
      </w:tblPr>
      <w:tblGrid>
        <w:gridCol w:w="1714"/>
        <w:gridCol w:w="1800"/>
        <w:gridCol w:w="1880"/>
        <w:gridCol w:w="1826"/>
        <w:gridCol w:w="1796"/>
      </w:tblGrid>
      <w:tr w:rsidR="00474984" w14:paraId="48C1DABE" w14:textId="77777777" w:rsidTr="00474984">
        <w:tc>
          <w:tcPr>
            <w:tcW w:w="1714" w:type="dxa"/>
          </w:tcPr>
          <w:p w14:paraId="7F682B35" w14:textId="77777777" w:rsidR="00474984" w:rsidRPr="00922E90" w:rsidRDefault="00474984" w:rsidP="00922E90">
            <w:pPr>
              <w:jc w:val="center"/>
            </w:pPr>
          </w:p>
        </w:tc>
        <w:tc>
          <w:tcPr>
            <w:tcW w:w="1800" w:type="dxa"/>
          </w:tcPr>
          <w:p w14:paraId="152C69F4" w14:textId="23BCC709" w:rsidR="00474984" w:rsidRPr="00922E90" w:rsidRDefault="00474984" w:rsidP="00922E90">
            <w:pPr>
              <w:jc w:val="center"/>
              <w:rPr>
                <w:b/>
                <w:bCs/>
              </w:rPr>
            </w:pPr>
            <w:r w:rsidRPr="00922E90">
              <w:rPr>
                <w:b/>
                <w:bCs/>
              </w:rPr>
              <w:t>BTA</w:t>
            </w:r>
            <w:r w:rsidR="00922E90" w:rsidRPr="00922E90">
              <w:rPr>
                <w:b/>
                <w:bCs/>
              </w:rPr>
              <w:t xml:space="preserve"> – N</w:t>
            </w:r>
          </w:p>
        </w:tc>
        <w:tc>
          <w:tcPr>
            <w:tcW w:w="1880" w:type="dxa"/>
          </w:tcPr>
          <w:p w14:paraId="7FC4B269" w14:textId="421D137F" w:rsidR="00474984" w:rsidRPr="00922E90" w:rsidRDefault="00474984" w:rsidP="00922E90">
            <w:pPr>
              <w:jc w:val="center"/>
              <w:rPr>
                <w:b/>
                <w:bCs/>
              </w:rPr>
            </w:pPr>
            <w:r w:rsidRPr="00922E90">
              <w:rPr>
                <w:b/>
                <w:bCs/>
              </w:rPr>
              <w:t>ACR</w:t>
            </w:r>
            <w:r w:rsidR="007C77BD">
              <w:rPr>
                <w:b/>
                <w:bCs/>
              </w:rPr>
              <w:t>-TIRADS</w:t>
            </w:r>
            <w:r w:rsidR="00922E90" w:rsidRPr="00922E90">
              <w:rPr>
                <w:b/>
                <w:bCs/>
              </w:rPr>
              <w:t xml:space="preserve"> – N (%)</w:t>
            </w:r>
          </w:p>
        </w:tc>
        <w:tc>
          <w:tcPr>
            <w:tcW w:w="1826" w:type="dxa"/>
          </w:tcPr>
          <w:p w14:paraId="37FD5D5B" w14:textId="675794B8" w:rsidR="00474984" w:rsidRPr="00922E90" w:rsidRDefault="00474984" w:rsidP="00922E90">
            <w:pPr>
              <w:jc w:val="center"/>
              <w:rPr>
                <w:b/>
                <w:bCs/>
              </w:rPr>
            </w:pPr>
            <w:r w:rsidRPr="00922E90">
              <w:rPr>
                <w:b/>
                <w:bCs/>
              </w:rPr>
              <w:t>EU</w:t>
            </w:r>
            <w:r w:rsidR="007C77BD">
              <w:rPr>
                <w:b/>
                <w:bCs/>
              </w:rPr>
              <w:t>-TIRADS</w:t>
            </w:r>
            <w:r w:rsidR="00922E90" w:rsidRPr="00922E90">
              <w:rPr>
                <w:b/>
                <w:bCs/>
              </w:rPr>
              <w:t xml:space="preserve"> – N (%)</w:t>
            </w:r>
          </w:p>
        </w:tc>
        <w:tc>
          <w:tcPr>
            <w:tcW w:w="1796" w:type="dxa"/>
          </w:tcPr>
          <w:p w14:paraId="0DF3459A" w14:textId="126F226E" w:rsidR="00474984" w:rsidRPr="00922E90" w:rsidRDefault="00474984" w:rsidP="00922E90">
            <w:pPr>
              <w:jc w:val="center"/>
              <w:rPr>
                <w:b/>
                <w:bCs/>
              </w:rPr>
            </w:pPr>
            <w:r w:rsidRPr="00922E90">
              <w:rPr>
                <w:b/>
                <w:bCs/>
              </w:rPr>
              <w:t>AI</w:t>
            </w:r>
            <w:r w:rsidR="007C77BD">
              <w:rPr>
                <w:b/>
                <w:bCs/>
              </w:rPr>
              <w:t xml:space="preserve">-TIRADS </w:t>
            </w:r>
            <w:r w:rsidR="00922E90" w:rsidRPr="00922E90">
              <w:rPr>
                <w:b/>
                <w:bCs/>
              </w:rPr>
              <w:t>– N (%)</w:t>
            </w:r>
          </w:p>
        </w:tc>
      </w:tr>
      <w:tr w:rsidR="00474984" w14:paraId="35A38750" w14:textId="77777777" w:rsidTr="00474984">
        <w:tc>
          <w:tcPr>
            <w:tcW w:w="1714" w:type="dxa"/>
          </w:tcPr>
          <w:p w14:paraId="12539254" w14:textId="1A415084" w:rsidR="00474984" w:rsidRPr="00922E90" w:rsidRDefault="00474984" w:rsidP="00922E90">
            <w:pPr>
              <w:jc w:val="center"/>
              <w:rPr>
                <w:b/>
                <w:bCs/>
              </w:rPr>
            </w:pPr>
            <w:r w:rsidRPr="00922E90">
              <w:rPr>
                <w:b/>
                <w:bCs/>
              </w:rPr>
              <w:t>Surgery Discussed</w:t>
            </w:r>
          </w:p>
        </w:tc>
        <w:tc>
          <w:tcPr>
            <w:tcW w:w="1800" w:type="dxa"/>
          </w:tcPr>
          <w:p w14:paraId="0E721E8E" w14:textId="27319741" w:rsidR="00474984" w:rsidRPr="00922E90" w:rsidRDefault="00922E90" w:rsidP="00922E90">
            <w:pPr>
              <w:jc w:val="center"/>
            </w:pPr>
            <w:r w:rsidRPr="00922E90">
              <w:t>65</w:t>
            </w:r>
          </w:p>
        </w:tc>
        <w:tc>
          <w:tcPr>
            <w:tcW w:w="1880" w:type="dxa"/>
          </w:tcPr>
          <w:p w14:paraId="4FF194E5" w14:textId="5F03E878" w:rsidR="00474984" w:rsidRPr="00922E90" w:rsidRDefault="00922E90" w:rsidP="00922E90">
            <w:pPr>
              <w:jc w:val="center"/>
            </w:pPr>
            <w:r w:rsidRPr="00922E90">
              <w:t>3</w:t>
            </w:r>
            <w:r w:rsidR="00622CE0">
              <w:t>9</w:t>
            </w:r>
          </w:p>
        </w:tc>
        <w:tc>
          <w:tcPr>
            <w:tcW w:w="1826" w:type="dxa"/>
          </w:tcPr>
          <w:p w14:paraId="01EA0849" w14:textId="09A8EA84" w:rsidR="00474984" w:rsidRPr="00922E90" w:rsidRDefault="00622CE0" w:rsidP="00922E90">
            <w:pPr>
              <w:jc w:val="center"/>
            </w:pPr>
            <w:r>
              <w:t>42</w:t>
            </w:r>
          </w:p>
        </w:tc>
        <w:tc>
          <w:tcPr>
            <w:tcW w:w="1796" w:type="dxa"/>
          </w:tcPr>
          <w:p w14:paraId="0A4C8C00" w14:textId="6353D1C0" w:rsidR="00474984" w:rsidRPr="00922E90" w:rsidRDefault="00622CE0" w:rsidP="00922E90">
            <w:pPr>
              <w:jc w:val="center"/>
            </w:pPr>
            <w:r>
              <w:t>40</w:t>
            </w:r>
          </w:p>
        </w:tc>
      </w:tr>
      <w:tr w:rsidR="00474984" w14:paraId="2A212582" w14:textId="77777777" w:rsidTr="00922E90">
        <w:tc>
          <w:tcPr>
            <w:tcW w:w="1714" w:type="dxa"/>
          </w:tcPr>
          <w:p w14:paraId="3F05A6AE" w14:textId="43AD967D" w:rsidR="00474984" w:rsidRPr="00922E90" w:rsidRDefault="00474984" w:rsidP="00922E90">
            <w:pPr>
              <w:jc w:val="center"/>
              <w:rPr>
                <w:b/>
                <w:bCs/>
              </w:rPr>
            </w:pPr>
            <w:r w:rsidRPr="00922E90">
              <w:rPr>
                <w:b/>
                <w:bCs/>
              </w:rPr>
              <w:t>Net change</w:t>
            </w:r>
          </w:p>
        </w:tc>
        <w:tc>
          <w:tcPr>
            <w:tcW w:w="1800" w:type="dxa"/>
            <w:shd w:val="clear" w:color="auto" w:fill="FFFFFF" w:themeFill="background1"/>
          </w:tcPr>
          <w:p w14:paraId="56D846AA" w14:textId="1D819FF3" w:rsidR="00474984" w:rsidRPr="00922E90" w:rsidRDefault="00922E90" w:rsidP="00922E90">
            <w:pPr>
              <w:jc w:val="center"/>
            </w:pPr>
            <w:r>
              <w:t>N/A</w:t>
            </w:r>
          </w:p>
        </w:tc>
        <w:tc>
          <w:tcPr>
            <w:tcW w:w="1880" w:type="dxa"/>
          </w:tcPr>
          <w:p w14:paraId="421BBF59" w14:textId="491CAB67" w:rsidR="00474984" w:rsidRPr="00922E90" w:rsidRDefault="003E2457" w:rsidP="00922E90">
            <w:pPr>
              <w:jc w:val="center"/>
            </w:pPr>
            <w:r>
              <w:t>-2</w:t>
            </w:r>
            <w:r w:rsidR="00622CE0">
              <w:t>6</w:t>
            </w:r>
            <w:r w:rsidR="00922E90">
              <w:t xml:space="preserve"> (-</w:t>
            </w:r>
            <w:r>
              <w:t>4</w:t>
            </w:r>
            <w:r w:rsidR="00622CE0">
              <w:t>0</w:t>
            </w:r>
            <w:r>
              <w:t>.</w:t>
            </w:r>
            <w:r w:rsidR="00622CE0">
              <w:t>0</w:t>
            </w:r>
            <w:r w:rsidR="00922E90">
              <w:t>)</w:t>
            </w:r>
          </w:p>
        </w:tc>
        <w:tc>
          <w:tcPr>
            <w:tcW w:w="1826" w:type="dxa"/>
          </w:tcPr>
          <w:p w14:paraId="3D88A022" w14:textId="1625D3BB" w:rsidR="00474984" w:rsidRPr="00922E90" w:rsidRDefault="00922E90" w:rsidP="00922E90">
            <w:pPr>
              <w:jc w:val="center"/>
            </w:pPr>
            <w:r w:rsidRPr="00922E90">
              <w:t>-2</w:t>
            </w:r>
            <w:r w:rsidR="00622CE0">
              <w:t>3</w:t>
            </w:r>
            <w:r>
              <w:t xml:space="preserve"> (-</w:t>
            </w:r>
            <w:r w:rsidR="00622CE0">
              <w:t>35</w:t>
            </w:r>
            <w:r w:rsidR="003E2457">
              <w:t>.</w:t>
            </w:r>
            <w:r w:rsidR="00622CE0">
              <w:t>4</w:t>
            </w:r>
            <w:r>
              <w:t>)</w:t>
            </w:r>
          </w:p>
        </w:tc>
        <w:tc>
          <w:tcPr>
            <w:tcW w:w="1796" w:type="dxa"/>
          </w:tcPr>
          <w:p w14:paraId="3D741A49" w14:textId="23345342" w:rsidR="00474984" w:rsidRPr="00922E90" w:rsidRDefault="00922E90" w:rsidP="00922E90">
            <w:pPr>
              <w:jc w:val="center"/>
            </w:pPr>
            <w:r w:rsidRPr="00922E90">
              <w:t>-2</w:t>
            </w:r>
            <w:r w:rsidR="00622CE0">
              <w:t>5</w:t>
            </w:r>
            <w:r>
              <w:t xml:space="preserve"> (-</w:t>
            </w:r>
            <w:r w:rsidR="00622CE0">
              <w:t>38</w:t>
            </w:r>
            <w:r>
              <w:t>.</w:t>
            </w:r>
            <w:r w:rsidR="00622CE0">
              <w:t>5</w:t>
            </w:r>
            <w:r w:rsidR="003E2457">
              <w:t>)</w:t>
            </w:r>
          </w:p>
        </w:tc>
      </w:tr>
      <w:tr w:rsidR="00474984" w14:paraId="7E1B1097" w14:textId="77777777" w:rsidTr="00474984">
        <w:tc>
          <w:tcPr>
            <w:tcW w:w="1714" w:type="dxa"/>
          </w:tcPr>
          <w:p w14:paraId="3738B91D" w14:textId="6F6483C1" w:rsidR="00474984" w:rsidRPr="00922E90" w:rsidRDefault="00474984" w:rsidP="00922E90">
            <w:pPr>
              <w:jc w:val="center"/>
              <w:rPr>
                <w:b/>
                <w:bCs/>
              </w:rPr>
            </w:pPr>
            <w:r w:rsidRPr="00922E90">
              <w:rPr>
                <w:b/>
                <w:bCs/>
              </w:rPr>
              <w:t>Surgery Performed</w:t>
            </w:r>
          </w:p>
        </w:tc>
        <w:tc>
          <w:tcPr>
            <w:tcW w:w="1800" w:type="dxa"/>
          </w:tcPr>
          <w:p w14:paraId="7AA57D46" w14:textId="0C5B9041" w:rsidR="00474984" w:rsidRPr="00922E90" w:rsidRDefault="00922E90" w:rsidP="00922E90">
            <w:pPr>
              <w:jc w:val="center"/>
            </w:pPr>
            <w:r w:rsidRPr="00922E90">
              <w:t>45</w:t>
            </w:r>
          </w:p>
        </w:tc>
        <w:tc>
          <w:tcPr>
            <w:tcW w:w="1880" w:type="dxa"/>
          </w:tcPr>
          <w:p w14:paraId="5D8AD215" w14:textId="6162F5BD" w:rsidR="00474984" w:rsidRPr="00922E90" w:rsidRDefault="00265092" w:rsidP="00922E90">
            <w:pPr>
              <w:jc w:val="center"/>
            </w:pPr>
            <w:r>
              <w:t>32</w:t>
            </w:r>
          </w:p>
        </w:tc>
        <w:tc>
          <w:tcPr>
            <w:tcW w:w="1826" w:type="dxa"/>
          </w:tcPr>
          <w:p w14:paraId="31AA4BDE" w14:textId="68A5DCD9" w:rsidR="00474984" w:rsidRPr="00922E90" w:rsidRDefault="00922E90" w:rsidP="00922E90">
            <w:pPr>
              <w:jc w:val="center"/>
            </w:pPr>
            <w:r w:rsidRPr="00922E90">
              <w:t>3</w:t>
            </w:r>
            <w:r w:rsidR="00265092">
              <w:t>4</w:t>
            </w:r>
          </w:p>
        </w:tc>
        <w:tc>
          <w:tcPr>
            <w:tcW w:w="1796" w:type="dxa"/>
          </w:tcPr>
          <w:p w14:paraId="6D2D4E20" w14:textId="7AE4BB81" w:rsidR="00474984" w:rsidRPr="00922E90" w:rsidRDefault="003E2457" w:rsidP="00922E90">
            <w:pPr>
              <w:jc w:val="center"/>
            </w:pPr>
            <w:r>
              <w:t>3</w:t>
            </w:r>
            <w:r w:rsidR="00265092">
              <w:t>3</w:t>
            </w:r>
          </w:p>
        </w:tc>
      </w:tr>
      <w:tr w:rsidR="00474984" w14:paraId="00AB53E0" w14:textId="77777777" w:rsidTr="00922E90">
        <w:tc>
          <w:tcPr>
            <w:tcW w:w="1714" w:type="dxa"/>
          </w:tcPr>
          <w:p w14:paraId="3D892637" w14:textId="7C0B9623" w:rsidR="00474984" w:rsidRPr="00922E90" w:rsidRDefault="00474984" w:rsidP="00922E90">
            <w:pPr>
              <w:jc w:val="center"/>
              <w:rPr>
                <w:b/>
                <w:bCs/>
              </w:rPr>
            </w:pPr>
            <w:r w:rsidRPr="00922E90">
              <w:rPr>
                <w:b/>
                <w:bCs/>
              </w:rPr>
              <w:t>Net change</w:t>
            </w:r>
          </w:p>
        </w:tc>
        <w:tc>
          <w:tcPr>
            <w:tcW w:w="1800" w:type="dxa"/>
            <w:shd w:val="clear" w:color="auto" w:fill="FFFFFF" w:themeFill="background1"/>
          </w:tcPr>
          <w:p w14:paraId="2D22D333" w14:textId="11D8CC4D" w:rsidR="00474984" w:rsidRPr="00922E90" w:rsidRDefault="00922E90" w:rsidP="00922E90">
            <w:pPr>
              <w:jc w:val="center"/>
            </w:pPr>
            <w:r>
              <w:t>N/A</w:t>
            </w:r>
          </w:p>
        </w:tc>
        <w:tc>
          <w:tcPr>
            <w:tcW w:w="1880" w:type="dxa"/>
          </w:tcPr>
          <w:p w14:paraId="6F587181" w14:textId="350C1045" w:rsidR="00474984" w:rsidRPr="00922E90" w:rsidRDefault="00922E90" w:rsidP="00922E90">
            <w:pPr>
              <w:jc w:val="center"/>
            </w:pPr>
            <w:r w:rsidRPr="00922E90">
              <w:t>-1</w:t>
            </w:r>
            <w:r w:rsidR="00265092">
              <w:t>3</w:t>
            </w:r>
            <w:r>
              <w:t xml:space="preserve"> (-</w:t>
            </w:r>
            <w:r w:rsidR="00265092">
              <w:t>28</w:t>
            </w:r>
            <w:r>
              <w:t>.</w:t>
            </w:r>
            <w:r w:rsidR="00265092">
              <w:t>9</w:t>
            </w:r>
            <w:r>
              <w:t>)</w:t>
            </w:r>
          </w:p>
        </w:tc>
        <w:tc>
          <w:tcPr>
            <w:tcW w:w="1826" w:type="dxa"/>
          </w:tcPr>
          <w:p w14:paraId="2F075D6C" w14:textId="488EFFE6" w:rsidR="00474984" w:rsidRPr="00922E90" w:rsidRDefault="00922E90" w:rsidP="00922E90">
            <w:pPr>
              <w:jc w:val="center"/>
            </w:pPr>
            <w:r w:rsidRPr="00922E90">
              <w:t>-1</w:t>
            </w:r>
            <w:r w:rsidR="00265092">
              <w:t>1</w:t>
            </w:r>
            <w:r>
              <w:t xml:space="preserve"> (-</w:t>
            </w:r>
            <w:r w:rsidR="00265092">
              <w:t>24</w:t>
            </w:r>
            <w:r>
              <w:t>.</w:t>
            </w:r>
            <w:r w:rsidR="00265092">
              <w:t>4</w:t>
            </w:r>
            <w:r>
              <w:t>)</w:t>
            </w:r>
          </w:p>
        </w:tc>
        <w:tc>
          <w:tcPr>
            <w:tcW w:w="1796" w:type="dxa"/>
          </w:tcPr>
          <w:p w14:paraId="4897BFF1" w14:textId="436679E5" w:rsidR="00474984" w:rsidRPr="00922E90" w:rsidRDefault="00922E90" w:rsidP="00922E90">
            <w:pPr>
              <w:jc w:val="center"/>
            </w:pPr>
            <w:r w:rsidRPr="00922E90">
              <w:t>-1</w:t>
            </w:r>
            <w:r w:rsidR="00265092">
              <w:t>2</w:t>
            </w:r>
            <w:r>
              <w:t xml:space="preserve"> (-</w:t>
            </w:r>
            <w:r w:rsidR="00265092">
              <w:t>26</w:t>
            </w:r>
            <w:r>
              <w:t>.</w:t>
            </w:r>
            <w:r w:rsidR="00265092">
              <w:t>7</w:t>
            </w:r>
            <w:r>
              <w:t>)</w:t>
            </w:r>
          </w:p>
        </w:tc>
      </w:tr>
      <w:tr w:rsidR="00243EC6" w14:paraId="3E2E6195" w14:textId="77777777" w:rsidTr="00BE06CE">
        <w:tc>
          <w:tcPr>
            <w:tcW w:w="1714" w:type="dxa"/>
            <w:shd w:val="clear" w:color="auto" w:fill="auto"/>
          </w:tcPr>
          <w:p w14:paraId="41ADB2BE" w14:textId="19CF8C66" w:rsidR="00243EC6" w:rsidRPr="00922E90" w:rsidRDefault="00243EC6" w:rsidP="00922E90">
            <w:pPr>
              <w:jc w:val="center"/>
              <w:rPr>
                <w:b/>
                <w:bCs/>
              </w:rPr>
            </w:pPr>
          </w:p>
        </w:tc>
        <w:tc>
          <w:tcPr>
            <w:tcW w:w="1800" w:type="dxa"/>
            <w:shd w:val="clear" w:color="auto" w:fill="auto"/>
          </w:tcPr>
          <w:p w14:paraId="3FAF0854" w14:textId="01162CF0" w:rsidR="00243EC6" w:rsidRPr="00922E90" w:rsidRDefault="00243EC6" w:rsidP="00922E90">
            <w:pPr>
              <w:jc w:val="center"/>
            </w:pPr>
          </w:p>
        </w:tc>
        <w:tc>
          <w:tcPr>
            <w:tcW w:w="1880" w:type="dxa"/>
            <w:shd w:val="clear" w:color="auto" w:fill="auto"/>
          </w:tcPr>
          <w:p w14:paraId="38DF482C" w14:textId="614C37BD" w:rsidR="00243EC6" w:rsidRPr="00922E90" w:rsidRDefault="00243EC6" w:rsidP="00922E90">
            <w:pPr>
              <w:jc w:val="center"/>
            </w:pPr>
          </w:p>
        </w:tc>
        <w:tc>
          <w:tcPr>
            <w:tcW w:w="1826" w:type="dxa"/>
            <w:shd w:val="clear" w:color="auto" w:fill="auto"/>
          </w:tcPr>
          <w:p w14:paraId="68E088AA" w14:textId="77777777" w:rsidR="00243EC6" w:rsidRPr="00922E90" w:rsidRDefault="00243EC6" w:rsidP="00922E90">
            <w:pPr>
              <w:jc w:val="center"/>
            </w:pPr>
          </w:p>
        </w:tc>
        <w:tc>
          <w:tcPr>
            <w:tcW w:w="1796" w:type="dxa"/>
            <w:shd w:val="clear" w:color="auto" w:fill="auto"/>
          </w:tcPr>
          <w:p w14:paraId="08E7C2F2" w14:textId="77777777" w:rsidR="00243EC6" w:rsidRPr="00922E90" w:rsidRDefault="00243EC6" w:rsidP="00922E90">
            <w:pPr>
              <w:jc w:val="center"/>
            </w:pPr>
          </w:p>
        </w:tc>
      </w:tr>
      <w:tr w:rsidR="00243EC6" w14:paraId="673C257D" w14:textId="77777777" w:rsidTr="00922E90">
        <w:tc>
          <w:tcPr>
            <w:tcW w:w="1714" w:type="dxa"/>
          </w:tcPr>
          <w:p w14:paraId="033D27D4" w14:textId="120345E6" w:rsidR="00243EC6" w:rsidRPr="00922E90" w:rsidRDefault="00922E90" w:rsidP="00922E90">
            <w:pPr>
              <w:jc w:val="center"/>
              <w:rPr>
                <w:b/>
                <w:bCs/>
              </w:rPr>
            </w:pPr>
            <w:r w:rsidRPr="00922E90">
              <w:rPr>
                <w:b/>
                <w:bCs/>
              </w:rPr>
              <w:t xml:space="preserve">Avoidable </w:t>
            </w:r>
            <w:r w:rsidR="0012456E">
              <w:rPr>
                <w:b/>
                <w:bCs/>
              </w:rPr>
              <w:t>surgical cases</w:t>
            </w:r>
            <w:r w:rsidRPr="00922E90">
              <w:rPr>
                <w:b/>
                <w:bCs/>
              </w:rPr>
              <w:t xml:space="preserve"> (n=45)</w:t>
            </w:r>
          </w:p>
        </w:tc>
        <w:tc>
          <w:tcPr>
            <w:tcW w:w="1800" w:type="dxa"/>
            <w:shd w:val="clear" w:color="auto" w:fill="FFFFFF" w:themeFill="background1"/>
          </w:tcPr>
          <w:p w14:paraId="5C2D9EEB" w14:textId="5BDFBADD" w:rsidR="00243EC6" w:rsidRPr="00922E90" w:rsidRDefault="00922E90" w:rsidP="00922E90">
            <w:pPr>
              <w:jc w:val="center"/>
            </w:pPr>
            <w:r>
              <w:t>0 (0.0)</w:t>
            </w:r>
          </w:p>
        </w:tc>
        <w:tc>
          <w:tcPr>
            <w:tcW w:w="1880" w:type="dxa"/>
          </w:tcPr>
          <w:p w14:paraId="5D369256" w14:textId="544914A4" w:rsidR="00243EC6" w:rsidRPr="00922E90" w:rsidRDefault="00F91DC1" w:rsidP="00922E90">
            <w:pPr>
              <w:jc w:val="center"/>
            </w:pPr>
            <w:r>
              <w:t>9</w:t>
            </w:r>
            <w:r w:rsidR="00922E90">
              <w:t xml:space="preserve"> (</w:t>
            </w:r>
            <w:r w:rsidR="00064C91">
              <w:t>2</w:t>
            </w:r>
            <w:r>
              <w:t>0.0</w:t>
            </w:r>
            <w:r w:rsidR="00922E90">
              <w:t>)</w:t>
            </w:r>
          </w:p>
        </w:tc>
        <w:tc>
          <w:tcPr>
            <w:tcW w:w="1826" w:type="dxa"/>
          </w:tcPr>
          <w:p w14:paraId="1198CC7B" w14:textId="18EBF0D1" w:rsidR="00243EC6" w:rsidRPr="00922E90" w:rsidRDefault="00F91DC1" w:rsidP="00922E90">
            <w:pPr>
              <w:jc w:val="center"/>
            </w:pPr>
            <w:r>
              <w:t>7</w:t>
            </w:r>
            <w:r w:rsidR="00922E90">
              <w:t xml:space="preserve"> (</w:t>
            </w:r>
            <w:r>
              <w:t>15.6</w:t>
            </w:r>
            <w:r w:rsidR="00922E90">
              <w:t>)</w:t>
            </w:r>
          </w:p>
        </w:tc>
        <w:tc>
          <w:tcPr>
            <w:tcW w:w="1796" w:type="dxa"/>
          </w:tcPr>
          <w:p w14:paraId="2DE938FE" w14:textId="4817E3E4" w:rsidR="00243EC6" w:rsidRPr="00922E90" w:rsidRDefault="00F91DC1" w:rsidP="00922E90">
            <w:pPr>
              <w:jc w:val="center"/>
            </w:pPr>
            <w:r>
              <w:t>8</w:t>
            </w:r>
            <w:r w:rsidR="00922E90">
              <w:t xml:space="preserve"> (</w:t>
            </w:r>
            <w:r>
              <w:t>17.8</w:t>
            </w:r>
            <w:r w:rsidR="00922E90">
              <w:t>)</w:t>
            </w:r>
          </w:p>
        </w:tc>
      </w:tr>
    </w:tbl>
    <w:p w14:paraId="7E6E2890" w14:textId="54EEB10E" w:rsidR="00E464AE" w:rsidRPr="007A691E" w:rsidRDefault="007A691E" w:rsidP="00A4727F">
      <w:pPr>
        <w:rPr>
          <w:rFonts w:ascii="Times New Roman" w:hAnsi="Times New Roman" w:cs="Times New Roman"/>
          <w:sz w:val="18"/>
          <w:szCs w:val="18"/>
        </w:rPr>
      </w:pPr>
      <w:r w:rsidRPr="007A691E">
        <w:rPr>
          <w:rFonts w:ascii="Times New Roman" w:hAnsi="Times New Roman" w:cs="Times New Roman"/>
          <w:color w:val="FF0000"/>
        </w:rPr>
        <w:t xml:space="preserve"> </w:t>
      </w:r>
      <w:r w:rsidRPr="007A691E">
        <w:rPr>
          <w:rFonts w:ascii="Times New Roman" w:hAnsi="Times New Roman" w:cs="Times New Roman"/>
          <w:color w:val="000000" w:themeColor="text1"/>
          <w:sz w:val="18"/>
          <w:szCs w:val="18"/>
        </w:rPr>
        <w:t>N – number of patients</w:t>
      </w:r>
      <w:r w:rsidR="00E464AE" w:rsidRPr="007A691E">
        <w:rPr>
          <w:rFonts w:ascii="Times New Roman" w:hAnsi="Times New Roman" w:cs="Times New Roman"/>
          <w:color w:val="FF0000"/>
          <w:sz w:val="18"/>
          <w:szCs w:val="18"/>
        </w:rPr>
        <w:br w:type="page"/>
      </w:r>
    </w:p>
    <w:p w14:paraId="4824D50E" w14:textId="77777777" w:rsidR="00E464AE" w:rsidRDefault="00E464AE" w:rsidP="00E464AE">
      <w:pPr>
        <w:rPr>
          <w:rFonts w:ascii="Times New Roman" w:hAnsi="Times New Roman" w:cs="Times New Roman"/>
          <w:b/>
          <w:bCs/>
        </w:rPr>
        <w:sectPr w:rsidR="00E464AE" w:rsidSect="00D822B3">
          <w:pgSz w:w="11906" w:h="16838"/>
          <w:pgMar w:top="1440" w:right="1440" w:bottom="1440" w:left="1440" w:header="708" w:footer="708" w:gutter="0"/>
          <w:lnNumType w:countBy="1" w:restart="continuous"/>
          <w:cols w:space="708"/>
          <w:docGrid w:linePitch="360"/>
        </w:sectPr>
      </w:pPr>
    </w:p>
    <w:p w14:paraId="6DCCC5C5" w14:textId="3AD9BA42" w:rsidR="00E464AE" w:rsidRPr="00E464AE" w:rsidRDefault="00E464AE" w:rsidP="00E464AE">
      <w:pPr>
        <w:rPr>
          <w:rFonts w:ascii="Times New Roman" w:hAnsi="Times New Roman" w:cs="Times New Roman"/>
        </w:rPr>
      </w:pPr>
      <w:r w:rsidRPr="005D3686">
        <w:rPr>
          <w:rFonts w:ascii="Times New Roman" w:hAnsi="Times New Roman" w:cs="Times New Roman"/>
          <w:b/>
          <w:bCs/>
        </w:rPr>
        <w:lastRenderedPageBreak/>
        <w:t xml:space="preserve">Table </w:t>
      </w:r>
      <w:r w:rsidR="00A465F3">
        <w:rPr>
          <w:rFonts w:ascii="Times New Roman" w:hAnsi="Times New Roman" w:cs="Times New Roman"/>
          <w:b/>
          <w:bCs/>
        </w:rPr>
        <w:t>5</w:t>
      </w:r>
      <w:r w:rsidRPr="005D3686">
        <w:rPr>
          <w:rFonts w:ascii="Times New Roman" w:hAnsi="Times New Roman" w:cs="Times New Roman"/>
          <w:b/>
          <w:bCs/>
        </w:rPr>
        <w:t>.</w:t>
      </w:r>
      <w:r w:rsidRPr="005D3686">
        <w:rPr>
          <w:rFonts w:ascii="Times New Roman" w:hAnsi="Times New Roman" w:cs="Times New Roman"/>
        </w:rPr>
        <w:t xml:space="preserve"> Cochran</w:t>
      </w:r>
      <w:r>
        <w:rPr>
          <w:rFonts w:ascii="Times New Roman" w:hAnsi="Times New Roman" w:cs="Times New Roman"/>
        </w:rPr>
        <w:t>’s</w:t>
      </w:r>
      <w:r w:rsidRPr="005D3686">
        <w:rPr>
          <w:rFonts w:ascii="Times New Roman" w:hAnsi="Times New Roman" w:cs="Times New Roman"/>
        </w:rPr>
        <w:t xml:space="preserve"> Q test and post hoc analysis comparing the impact of BTA, ACR-TIRADS, EU-TIRADS and AI-TIRADS guidelines on surgical discussion and surgical rates. </w:t>
      </w:r>
    </w:p>
    <w:tbl>
      <w:tblPr>
        <w:tblW w:w="13941"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0"/>
        <w:gridCol w:w="829"/>
        <w:gridCol w:w="1086"/>
        <w:gridCol w:w="833"/>
        <w:gridCol w:w="834"/>
        <w:gridCol w:w="806"/>
        <w:gridCol w:w="17"/>
        <w:gridCol w:w="802"/>
        <w:gridCol w:w="21"/>
        <w:gridCol w:w="869"/>
        <w:gridCol w:w="830"/>
        <w:gridCol w:w="828"/>
        <w:gridCol w:w="1069"/>
        <w:gridCol w:w="823"/>
        <w:gridCol w:w="823"/>
        <w:gridCol w:w="792"/>
        <w:gridCol w:w="30"/>
        <w:gridCol w:w="789"/>
        <w:gridCol w:w="31"/>
        <w:gridCol w:w="999"/>
      </w:tblGrid>
      <w:tr w:rsidR="008B6480" w:rsidRPr="008B6480" w14:paraId="2E091541" w14:textId="77777777" w:rsidTr="00474984">
        <w:trPr>
          <w:trHeight w:val="356"/>
        </w:trPr>
        <w:tc>
          <w:tcPr>
            <w:tcW w:w="6927" w:type="dxa"/>
            <w:gridSpan w:val="10"/>
            <w:tcBorders>
              <w:left w:val="nil"/>
              <w:bottom w:val="single" w:sz="4" w:space="0" w:color="auto"/>
            </w:tcBorders>
            <w:vAlign w:val="center"/>
          </w:tcPr>
          <w:p w14:paraId="63CC138C" w14:textId="77777777" w:rsidR="00E464AE" w:rsidRPr="008B6480" w:rsidRDefault="00E464AE" w:rsidP="003E0FFD">
            <w:pPr>
              <w:jc w:val="center"/>
              <w:rPr>
                <w:rFonts w:ascii="Calibri" w:hAnsi="Calibri" w:cs="Calibri"/>
                <w:b/>
                <w:bCs/>
                <w:color w:val="000000" w:themeColor="text1"/>
              </w:rPr>
            </w:pPr>
            <w:r w:rsidRPr="008B6480">
              <w:rPr>
                <w:rFonts w:ascii="Calibri" w:hAnsi="Calibri" w:cs="Calibri"/>
                <w:b/>
                <w:bCs/>
                <w:color w:val="000000" w:themeColor="text1"/>
              </w:rPr>
              <w:t xml:space="preserve">Surgery Discussed (All nodules) </w:t>
            </w:r>
          </w:p>
        </w:tc>
        <w:tc>
          <w:tcPr>
            <w:tcW w:w="7014" w:type="dxa"/>
            <w:gridSpan w:val="10"/>
            <w:tcBorders>
              <w:bottom w:val="single" w:sz="4" w:space="0" w:color="auto"/>
              <w:right w:val="nil"/>
            </w:tcBorders>
            <w:vAlign w:val="center"/>
          </w:tcPr>
          <w:p w14:paraId="2716BACD" w14:textId="77777777" w:rsidR="00E464AE" w:rsidRPr="008B6480" w:rsidRDefault="00E464AE" w:rsidP="003E0FFD">
            <w:pPr>
              <w:jc w:val="center"/>
              <w:rPr>
                <w:rFonts w:ascii="Calibri" w:hAnsi="Calibri" w:cs="Calibri"/>
                <w:b/>
                <w:bCs/>
                <w:color w:val="000000" w:themeColor="text1"/>
              </w:rPr>
            </w:pPr>
            <w:r w:rsidRPr="008B6480">
              <w:rPr>
                <w:rFonts w:ascii="Calibri" w:hAnsi="Calibri" w:cs="Calibri"/>
                <w:b/>
                <w:bCs/>
                <w:color w:val="000000" w:themeColor="text1"/>
              </w:rPr>
              <w:t>Surgery Discussed (U3, TR3, EUTI3) (n=39)</w:t>
            </w:r>
          </w:p>
        </w:tc>
      </w:tr>
      <w:tr w:rsidR="008B6480" w:rsidRPr="008B6480" w14:paraId="5892CADF" w14:textId="77777777" w:rsidTr="00474984">
        <w:trPr>
          <w:trHeight w:val="585"/>
        </w:trPr>
        <w:tc>
          <w:tcPr>
            <w:tcW w:w="1659" w:type="dxa"/>
            <w:gridSpan w:val="2"/>
            <w:tcBorders>
              <w:left w:val="nil"/>
              <w:bottom w:val="single" w:sz="4" w:space="0" w:color="auto"/>
              <w:right w:val="single" w:sz="4" w:space="0" w:color="auto"/>
            </w:tcBorders>
            <w:vAlign w:val="center"/>
          </w:tcPr>
          <w:p w14:paraId="2D811CBB" w14:textId="77777777" w:rsidR="00E464AE" w:rsidRPr="008B6480" w:rsidRDefault="00E464AE" w:rsidP="003E0FFD">
            <w:pPr>
              <w:jc w:val="center"/>
              <w:rPr>
                <w:rFonts w:ascii="Calibri" w:hAnsi="Calibri" w:cs="Calibri"/>
                <w:color w:val="000000" w:themeColor="text1"/>
              </w:rPr>
            </w:pPr>
            <w:r w:rsidRPr="008B6480">
              <w:rPr>
                <w:rFonts w:ascii="Calibri" w:hAnsi="Calibri" w:cs="Calibri"/>
                <w:color w:val="000000" w:themeColor="text1"/>
              </w:rPr>
              <w:t>Cochran’s Q test</w:t>
            </w:r>
          </w:p>
        </w:tc>
        <w:tc>
          <w:tcPr>
            <w:tcW w:w="5268" w:type="dxa"/>
            <w:gridSpan w:val="8"/>
            <w:tcBorders>
              <w:left w:val="single" w:sz="4" w:space="0" w:color="auto"/>
              <w:bottom w:val="single" w:sz="4" w:space="0" w:color="auto"/>
            </w:tcBorders>
            <w:vAlign w:val="center"/>
          </w:tcPr>
          <w:p w14:paraId="4D37FBAA" w14:textId="77777777" w:rsidR="00E464AE" w:rsidRPr="008B6480" w:rsidRDefault="00E464AE" w:rsidP="003E0FFD">
            <w:pPr>
              <w:jc w:val="center"/>
              <w:rPr>
                <w:rFonts w:ascii="Calibri" w:hAnsi="Calibri" w:cs="Calibri"/>
                <w:color w:val="000000" w:themeColor="text1"/>
              </w:rPr>
            </w:pPr>
            <w:r w:rsidRPr="008B6480">
              <w:rPr>
                <w:rFonts w:ascii="Calibri" w:hAnsi="Calibri" w:cs="Calibri"/>
                <w:color w:val="000000" w:themeColor="text1"/>
              </w:rPr>
              <w:t>Post hoc</w:t>
            </w:r>
          </w:p>
        </w:tc>
        <w:tc>
          <w:tcPr>
            <w:tcW w:w="1658" w:type="dxa"/>
            <w:gridSpan w:val="2"/>
            <w:tcBorders>
              <w:bottom w:val="single" w:sz="4" w:space="0" w:color="auto"/>
              <w:right w:val="single" w:sz="4" w:space="0" w:color="auto"/>
            </w:tcBorders>
            <w:vAlign w:val="center"/>
          </w:tcPr>
          <w:p w14:paraId="77BE7867" w14:textId="77777777" w:rsidR="00E464AE" w:rsidRPr="008B6480" w:rsidRDefault="00E464AE" w:rsidP="003E0FFD">
            <w:pPr>
              <w:jc w:val="center"/>
              <w:rPr>
                <w:rFonts w:ascii="Calibri" w:hAnsi="Calibri" w:cs="Calibri"/>
                <w:color w:val="000000" w:themeColor="text1"/>
              </w:rPr>
            </w:pPr>
            <w:r w:rsidRPr="008B6480">
              <w:rPr>
                <w:rFonts w:ascii="Calibri" w:hAnsi="Calibri" w:cs="Calibri"/>
                <w:color w:val="000000" w:themeColor="text1"/>
              </w:rPr>
              <w:t>Cochran’s Q test</w:t>
            </w:r>
          </w:p>
        </w:tc>
        <w:tc>
          <w:tcPr>
            <w:tcW w:w="5356" w:type="dxa"/>
            <w:gridSpan w:val="8"/>
            <w:tcBorders>
              <w:left w:val="single" w:sz="4" w:space="0" w:color="auto"/>
              <w:bottom w:val="single" w:sz="4" w:space="0" w:color="auto"/>
              <w:right w:val="nil"/>
            </w:tcBorders>
            <w:vAlign w:val="center"/>
          </w:tcPr>
          <w:p w14:paraId="611E0AD7" w14:textId="77777777" w:rsidR="00E464AE" w:rsidRPr="008B6480" w:rsidRDefault="00E464AE" w:rsidP="003E0FFD">
            <w:pPr>
              <w:jc w:val="center"/>
              <w:rPr>
                <w:rFonts w:ascii="Calibri" w:hAnsi="Calibri" w:cs="Calibri"/>
                <w:color w:val="000000" w:themeColor="text1"/>
              </w:rPr>
            </w:pPr>
            <w:r w:rsidRPr="008B6480">
              <w:rPr>
                <w:rFonts w:ascii="Calibri" w:hAnsi="Calibri" w:cs="Calibri"/>
                <w:color w:val="000000" w:themeColor="text1"/>
              </w:rPr>
              <w:t>Post hoc</w:t>
            </w:r>
          </w:p>
        </w:tc>
      </w:tr>
      <w:tr w:rsidR="008B6480" w:rsidRPr="008B6480" w14:paraId="1C5118AD" w14:textId="77777777" w:rsidTr="00474984">
        <w:trPr>
          <w:trHeight w:val="601"/>
        </w:trPr>
        <w:tc>
          <w:tcPr>
            <w:tcW w:w="830" w:type="dxa"/>
            <w:tcBorders>
              <w:left w:val="nil"/>
              <w:bottom w:val="single" w:sz="4" w:space="0" w:color="auto"/>
              <w:right w:val="nil"/>
            </w:tcBorders>
            <w:vAlign w:val="center"/>
          </w:tcPr>
          <w:p w14:paraId="127DB504" w14:textId="77777777" w:rsidR="00E464AE" w:rsidRPr="008B6480" w:rsidRDefault="00E464AE" w:rsidP="003E0FFD">
            <w:pPr>
              <w:jc w:val="center"/>
              <w:rPr>
                <w:rFonts w:ascii="Calibri" w:hAnsi="Calibri" w:cs="Calibri"/>
                <w:color w:val="000000" w:themeColor="text1"/>
              </w:rPr>
            </w:pPr>
            <w:r w:rsidRPr="008B6480">
              <w:rPr>
                <w:rFonts w:ascii="Calibri" w:hAnsi="Calibri" w:cs="Calibri"/>
                <w:i/>
                <w:iCs/>
                <w:color w:val="000000" w:themeColor="text1"/>
              </w:rPr>
              <w:t>X</w:t>
            </w:r>
            <w:r w:rsidRPr="008B6480">
              <w:rPr>
                <w:rFonts w:ascii="Calibri" w:hAnsi="Calibri" w:cs="Calibri"/>
                <w:color w:val="000000" w:themeColor="text1"/>
                <w:vertAlign w:val="superscript"/>
              </w:rPr>
              <w:t>2</w:t>
            </w:r>
          </w:p>
        </w:tc>
        <w:tc>
          <w:tcPr>
            <w:tcW w:w="829" w:type="dxa"/>
            <w:tcBorders>
              <w:left w:val="nil"/>
              <w:bottom w:val="single" w:sz="4" w:space="0" w:color="auto"/>
            </w:tcBorders>
            <w:vAlign w:val="center"/>
          </w:tcPr>
          <w:p w14:paraId="7B96126C" w14:textId="0E50B26E" w:rsidR="00E464AE" w:rsidRPr="00C536A5" w:rsidRDefault="00C536A5" w:rsidP="003E0FFD">
            <w:pPr>
              <w:jc w:val="center"/>
              <w:rPr>
                <w:rFonts w:ascii="Calibri" w:hAnsi="Calibri" w:cs="Calibri"/>
                <w:i/>
                <w:iCs/>
                <w:color w:val="000000" w:themeColor="text1"/>
              </w:rPr>
            </w:pPr>
            <w:r w:rsidRPr="00C536A5">
              <w:rPr>
                <w:rFonts w:ascii="Calibri" w:hAnsi="Calibri" w:cs="Calibri"/>
                <w:i/>
                <w:iCs/>
                <w:color w:val="000000" w:themeColor="text1"/>
              </w:rPr>
              <w:t>P</w:t>
            </w:r>
          </w:p>
        </w:tc>
        <w:tc>
          <w:tcPr>
            <w:tcW w:w="1086" w:type="dxa"/>
            <w:tcBorders>
              <w:bottom w:val="single" w:sz="4" w:space="0" w:color="auto"/>
              <w:right w:val="single" w:sz="4" w:space="0" w:color="auto"/>
            </w:tcBorders>
            <w:vAlign w:val="center"/>
          </w:tcPr>
          <w:p w14:paraId="474DAD60" w14:textId="77777777" w:rsidR="00E464AE" w:rsidRPr="008B6480" w:rsidRDefault="00E464AE" w:rsidP="003E0FFD">
            <w:pPr>
              <w:jc w:val="center"/>
              <w:rPr>
                <w:rFonts w:ascii="Calibri" w:hAnsi="Calibri" w:cs="Calibri"/>
                <w:color w:val="000000" w:themeColor="text1"/>
              </w:rPr>
            </w:pPr>
            <w:r w:rsidRPr="008B6480">
              <w:rPr>
                <w:rFonts w:ascii="Calibri" w:hAnsi="Calibri" w:cs="Calibri"/>
                <w:color w:val="000000" w:themeColor="text1"/>
              </w:rPr>
              <w:t>BTA-ACR</w:t>
            </w:r>
          </w:p>
        </w:tc>
        <w:tc>
          <w:tcPr>
            <w:tcW w:w="833" w:type="dxa"/>
            <w:tcBorders>
              <w:left w:val="single" w:sz="4" w:space="0" w:color="auto"/>
              <w:bottom w:val="single" w:sz="4" w:space="0" w:color="auto"/>
              <w:right w:val="single" w:sz="4" w:space="0" w:color="auto"/>
            </w:tcBorders>
            <w:vAlign w:val="center"/>
          </w:tcPr>
          <w:p w14:paraId="0A01042F" w14:textId="77777777" w:rsidR="00E464AE" w:rsidRPr="008B6480" w:rsidRDefault="00E464AE" w:rsidP="003E0FFD">
            <w:pPr>
              <w:jc w:val="center"/>
              <w:rPr>
                <w:rFonts w:ascii="Calibri" w:hAnsi="Calibri" w:cs="Calibri"/>
                <w:color w:val="000000" w:themeColor="text1"/>
              </w:rPr>
            </w:pPr>
            <w:r w:rsidRPr="008B6480">
              <w:rPr>
                <w:rFonts w:ascii="Calibri" w:hAnsi="Calibri" w:cs="Calibri"/>
                <w:color w:val="000000" w:themeColor="text1"/>
              </w:rPr>
              <w:t>BTA-EU</w:t>
            </w:r>
          </w:p>
        </w:tc>
        <w:tc>
          <w:tcPr>
            <w:tcW w:w="834" w:type="dxa"/>
            <w:tcBorders>
              <w:left w:val="single" w:sz="4" w:space="0" w:color="auto"/>
              <w:bottom w:val="single" w:sz="4" w:space="0" w:color="auto"/>
              <w:right w:val="single" w:sz="4" w:space="0" w:color="auto"/>
            </w:tcBorders>
            <w:vAlign w:val="center"/>
          </w:tcPr>
          <w:p w14:paraId="640A3D6A" w14:textId="77777777" w:rsidR="00E464AE" w:rsidRPr="008B6480" w:rsidRDefault="00E464AE" w:rsidP="003E0FFD">
            <w:pPr>
              <w:jc w:val="center"/>
              <w:rPr>
                <w:rFonts w:ascii="Calibri" w:hAnsi="Calibri" w:cs="Calibri"/>
                <w:color w:val="000000" w:themeColor="text1"/>
              </w:rPr>
            </w:pPr>
            <w:r w:rsidRPr="008B6480">
              <w:rPr>
                <w:rFonts w:ascii="Calibri" w:hAnsi="Calibri" w:cs="Calibri"/>
                <w:color w:val="000000" w:themeColor="text1"/>
              </w:rPr>
              <w:t>BTA-AI</w:t>
            </w:r>
          </w:p>
        </w:tc>
        <w:tc>
          <w:tcPr>
            <w:tcW w:w="823" w:type="dxa"/>
            <w:gridSpan w:val="2"/>
            <w:tcBorders>
              <w:left w:val="single" w:sz="4" w:space="0" w:color="auto"/>
              <w:bottom w:val="single" w:sz="4" w:space="0" w:color="auto"/>
              <w:right w:val="single" w:sz="4" w:space="0" w:color="auto"/>
            </w:tcBorders>
            <w:vAlign w:val="center"/>
          </w:tcPr>
          <w:p w14:paraId="77E2EA24" w14:textId="77777777" w:rsidR="00E464AE" w:rsidRPr="008B6480" w:rsidRDefault="00E464AE" w:rsidP="003E0FFD">
            <w:pPr>
              <w:jc w:val="center"/>
              <w:rPr>
                <w:rFonts w:ascii="Calibri" w:hAnsi="Calibri" w:cs="Calibri"/>
                <w:color w:val="000000" w:themeColor="text1"/>
              </w:rPr>
            </w:pPr>
            <w:r w:rsidRPr="008B6480">
              <w:rPr>
                <w:rFonts w:ascii="Calibri" w:hAnsi="Calibri" w:cs="Calibri"/>
                <w:color w:val="000000" w:themeColor="text1"/>
              </w:rPr>
              <w:t>ACR-EU</w:t>
            </w:r>
          </w:p>
        </w:tc>
        <w:tc>
          <w:tcPr>
            <w:tcW w:w="823" w:type="dxa"/>
            <w:gridSpan w:val="2"/>
            <w:tcBorders>
              <w:left w:val="single" w:sz="4" w:space="0" w:color="auto"/>
              <w:bottom w:val="single" w:sz="4" w:space="0" w:color="auto"/>
              <w:right w:val="single" w:sz="4" w:space="0" w:color="auto"/>
            </w:tcBorders>
            <w:vAlign w:val="center"/>
          </w:tcPr>
          <w:p w14:paraId="573D50BA" w14:textId="77777777" w:rsidR="00E464AE" w:rsidRPr="008B6480" w:rsidRDefault="00E464AE" w:rsidP="003E0FFD">
            <w:pPr>
              <w:jc w:val="center"/>
              <w:rPr>
                <w:rFonts w:ascii="Calibri" w:hAnsi="Calibri" w:cs="Calibri"/>
                <w:color w:val="000000" w:themeColor="text1"/>
              </w:rPr>
            </w:pPr>
            <w:r w:rsidRPr="008B6480">
              <w:rPr>
                <w:rFonts w:ascii="Calibri" w:hAnsi="Calibri" w:cs="Calibri"/>
                <w:color w:val="000000" w:themeColor="text1"/>
              </w:rPr>
              <w:t>ACR-AI</w:t>
            </w:r>
          </w:p>
        </w:tc>
        <w:tc>
          <w:tcPr>
            <w:tcW w:w="869" w:type="dxa"/>
            <w:tcBorders>
              <w:left w:val="single" w:sz="4" w:space="0" w:color="auto"/>
              <w:bottom w:val="single" w:sz="4" w:space="0" w:color="auto"/>
            </w:tcBorders>
            <w:vAlign w:val="center"/>
          </w:tcPr>
          <w:p w14:paraId="664ECDC1" w14:textId="77777777" w:rsidR="00E464AE" w:rsidRPr="008B6480" w:rsidRDefault="00E464AE" w:rsidP="003E0FFD">
            <w:pPr>
              <w:jc w:val="center"/>
              <w:rPr>
                <w:rFonts w:ascii="Calibri" w:hAnsi="Calibri" w:cs="Calibri"/>
                <w:color w:val="000000" w:themeColor="text1"/>
              </w:rPr>
            </w:pPr>
            <w:r w:rsidRPr="008B6480">
              <w:rPr>
                <w:rFonts w:ascii="Calibri" w:hAnsi="Calibri" w:cs="Calibri"/>
                <w:color w:val="000000" w:themeColor="text1"/>
              </w:rPr>
              <w:t>EU-AI</w:t>
            </w:r>
          </w:p>
        </w:tc>
        <w:tc>
          <w:tcPr>
            <w:tcW w:w="830" w:type="dxa"/>
            <w:tcBorders>
              <w:bottom w:val="single" w:sz="4" w:space="0" w:color="auto"/>
              <w:right w:val="nil"/>
            </w:tcBorders>
            <w:vAlign w:val="center"/>
          </w:tcPr>
          <w:p w14:paraId="78384B50" w14:textId="77777777" w:rsidR="00E464AE" w:rsidRPr="008B6480" w:rsidRDefault="00E464AE" w:rsidP="003E0FFD">
            <w:pPr>
              <w:jc w:val="center"/>
              <w:rPr>
                <w:rFonts w:ascii="Calibri" w:hAnsi="Calibri" w:cs="Calibri"/>
                <w:color w:val="000000" w:themeColor="text1"/>
              </w:rPr>
            </w:pPr>
            <w:r w:rsidRPr="008B6480">
              <w:rPr>
                <w:rFonts w:ascii="Calibri" w:hAnsi="Calibri" w:cs="Calibri"/>
                <w:i/>
                <w:iCs/>
                <w:color w:val="000000" w:themeColor="text1"/>
              </w:rPr>
              <w:t>X</w:t>
            </w:r>
            <w:r w:rsidRPr="008B6480">
              <w:rPr>
                <w:rFonts w:ascii="Calibri" w:hAnsi="Calibri" w:cs="Calibri"/>
                <w:color w:val="000000" w:themeColor="text1"/>
                <w:vertAlign w:val="superscript"/>
              </w:rPr>
              <w:t>2</w:t>
            </w:r>
          </w:p>
        </w:tc>
        <w:tc>
          <w:tcPr>
            <w:tcW w:w="828" w:type="dxa"/>
            <w:tcBorders>
              <w:left w:val="nil"/>
              <w:bottom w:val="single" w:sz="4" w:space="0" w:color="auto"/>
            </w:tcBorders>
            <w:vAlign w:val="center"/>
          </w:tcPr>
          <w:p w14:paraId="22AE32FA" w14:textId="6DA9DB2C" w:rsidR="00E464AE" w:rsidRPr="00C536A5" w:rsidRDefault="00C536A5" w:rsidP="003E0FFD">
            <w:pPr>
              <w:jc w:val="center"/>
              <w:rPr>
                <w:rFonts w:ascii="Calibri" w:hAnsi="Calibri" w:cs="Calibri"/>
                <w:i/>
                <w:iCs/>
                <w:color w:val="000000" w:themeColor="text1"/>
              </w:rPr>
            </w:pPr>
            <w:r w:rsidRPr="00C536A5">
              <w:rPr>
                <w:rFonts w:ascii="Calibri" w:hAnsi="Calibri" w:cs="Calibri"/>
                <w:i/>
                <w:iCs/>
                <w:color w:val="000000" w:themeColor="text1"/>
              </w:rPr>
              <w:t>P</w:t>
            </w:r>
          </w:p>
        </w:tc>
        <w:tc>
          <w:tcPr>
            <w:tcW w:w="1069" w:type="dxa"/>
            <w:tcBorders>
              <w:bottom w:val="single" w:sz="4" w:space="0" w:color="auto"/>
              <w:right w:val="single" w:sz="4" w:space="0" w:color="auto"/>
            </w:tcBorders>
            <w:vAlign w:val="center"/>
          </w:tcPr>
          <w:p w14:paraId="0FE65E7D" w14:textId="77777777" w:rsidR="00E464AE" w:rsidRPr="008B6480" w:rsidRDefault="00E464AE" w:rsidP="003E0FFD">
            <w:pPr>
              <w:jc w:val="center"/>
              <w:rPr>
                <w:rFonts w:ascii="Calibri" w:hAnsi="Calibri" w:cs="Calibri"/>
                <w:color w:val="000000" w:themeColor="text1"/>
              </w:rPr>
            </w:pPr>
            <w:r w:rsidRPr="008B6480">
              <w:rPr>
                <w:rFonts w:ascii="Calibri" w:hAnsi="Calibri" w:cs="Calibri"/>
                <w:color w:val="000000" w:themeColor="text1"/>
              </w:rPr>
              <w:t>BTA-ACR</w:t>
            </w:r>
          </w:p>
        </w:tc>
        <w:tc>
          <w:tcPr>
            <w:tcW w:w="823" w:type="dxa"/>
            <w:tcBorders>
              <w:left w:val="single" w:sz="4" w:space="0" w:color="auto"/>
              <w:bottom w:val="single" w:sz="4" w:space="0" w:color="auto"/>
              <w:right w:val="single" w:sz="4" w:space="0" w:color="auto"/>
            </w:tcBorders>
            <w:vAlign w:val="center"/>
          </w:tcPr>
          <w:p w14:paraId="13C3A7B2" w14:textId="77777777" w:rsidR="00E464AE" w:rsidRPr="008B6480" w:rsidRDefault="00E464AE" w:rsidP="003E0FFD">
            <w:pPr>
              <w:jc w:val="center"/>
              <w:rPr>
                <w:rFonts w:ascii="Calibri" w:hAnsi="Calibri" w:cs="Calibri"/>
                <w:color w:val="000000" w:themeColor="text1"/>
              </w:rPr>
            </w:pPr>
            <w:r w:rsidRPr="008B6480">
              <w:rPr>
                <w:rFonts w:ascii="Calibri" w:hAnsi="Calibri" w:cs="Calibri"/>
                <w:color w:val="000000" w:themeColor="text1"/>
              </w:rPr>
              <w:t>BTA-EU</w:t>
            </w:r>
          </w:p>
        </w:tc>
        <w:tc>
          <w:tcPr>
            <w:tcW w:w="823" w:type="dxa"/>
            <w:tcBorders>
              <w:left w:val="single" w:sz="4" w:space="0" w:color="auto"/>
              <w:bottom w:val="single" w:sz="4" w:space="0" w:color="auto"/>
              <w:right w:val="single" w:sz="4" w:space="0" w:color="auto"/>
            </w:tcBorders>
            <w:vAlign w:val="center"/>
          </w:tcPr>
          <w:p w14:paraId="540519AD" w14:textId="77777777" w:rsidR="00E464AE" w:rsidRPr="008B6480" w:rsidRDefault="00E464AE" w:rsidP="003E0FFD">
            <w:pPr>
              <w:jc w:val="center"/>
              <w:rPr>
                <w:rFonts w:ascii="Calibri" w:hAnsi="Calibri" w:cs="Calibri"/>
                <w:color w:val="000000" w:themeColor="text1"/>
              </w:rPr>
            </w:pPr>
            <w:r w:rsidRPr="008B6480">
              <w:rPr>
                <w:rFonts w:ascii="Calibri" w:hAnsi="Calibri" w:cs="Calibri"/>
                <w:color w:val="000000" w:themeColor="text1"/>
              </w:rPr>
              <w:t>BTA-AI</w:t>
            </w:r>
          </w:p>
        </w:tc>
        <w:tc>
          <w:tcPr>
            <w:tcW w:w="822" w:type="dxa"/>
            <w:gridSpan w:val="2"/>
            <w:tcBorders>
              <w:left w:val="single" w:sz="4" w:space="0" w:color="auto"/>
              <w:bottom w:val="single" w:sz="4" w:space="0" w:color="auto"/>
              <w:right w:val="single" w:sz="4" w:space="0" w:color="auto"/>
            </w:tcBorders>
            <w:vAlign w:val="center"/>
          </w:tcPr>
          <w:p w14:paraId="62B6DCA9" w14:textId="77777777" w:rsidR="00E464AE" w:rsidRPr="008B6480" w:rsidRDefault="00E464AE" w:rsidP="003E0FFD">
            <w:pPr>
              <w:jc w:val="center"/>
              <w:rPr>
                <w:rFonts w:ascii="Calibri" w:hAnsi="Calibri" w:cs="Calibri"/>
                <w:color w:val="000000" w:themeColor="text1"/>
              </w:rPr>
            </w:pPr>
            <w:r w:rsidRPr="008B6480">
              <w:rPr>
                <w:rFonts w:ascii="Calibri" w:hAnsi="Calibri" w:cs="Calibri"/>
                <w:color w:val="000000" w:themeColor="text1"/>
              </w:rPr>
              <w:t>ACR-EU</w:t>
            </w:r>
          </w:p>
        </w:tc>
        <w:tc>
          <w:tcPr>
            <w:tcW w:w="820" w:type="dxa"/>
            <w:gridSpan w:val="2"/>
            <w:tcBorders>
              <w:left w:val="single" w:sz="4" w:space="0" w:color="auto"/>
              <w:bottom w:val="single" w:sz="4" w:space="0" w:color="auto"/>
              <w:right w:val="single" w:sz="4" w:space="0" w:color="auto"/>
            </w:tcBorders>
            <w:vAlign w:val="center"/>
          </w:tcPr>
          <w:p w14:paraId="1C3C1EEE" w14:textId="77777777" w:rsidR="00E464AE" w:rsidRPr="008B6480" w:rsidRDefault="00E464AE" w:rsidP="003E0FFD">
            <w:pPr>
              <w:jc w:val="center"/>
              <w:rPr>
                <w:rFonts w:ascii="Calibri" w:hAnsi="Calibri" w:cs="Calibri"/>
                <w:color w:val="000000" w:themeColor="text1"/>
              </w:rPr>
            </w:pPr>
            <w:r w:rsidRPr="008B6480">
              <w:rPr>
                <w:rFonts w:ascii="Calibri" w:hAnsi="Calibri" w:cs="Calibri"/>
                <w:color w:val="000000" w:themeColor="text1"/>
              </w:rPr>
              <w:t>ACR-AI</w:t>
            </w:r>
          </w:p>
        </w:tc>
        <w:tc>
          <w:tcPr>
            <w:tcW w:w="999" w:type="dxa"/>
            <w:tcBorders>
              <w:left w:val="single" w:sz="4" w:space="0" w:color="auto"/>
              <w:bottom w:val="single" w:sz="4" w:space="0" w:color="auto"/>
              <w:right w:val="nil"/>
            </w:tcBorders>
            <w:vAlign w:val="center"/>
          </w:tcPr>
          <w:p w14:paraId="497B5AA4" w14:textId="77777777" w:rsidR="00E464AE" w:rsidRPr="008B6480" w:rsidRDefault="00E464AE" w:rsidP="003E0FFD">
            <w:pPr>
              <w:jc w:val="center"/>
              <w:rPr>
                <w:rFonts w:ascii="Calibri" w:hAnsi="Calibri" w:cs="Calibri"/>
                <w:color w:val="000000" w:themeColor="text1"/>
              </w:rPr>
            </w:pPr>
            <w:r w:rsidRPr="008B6480">
              <w:rPr>
                <w:rFonts w:ascii="Calibri" w:hAnsi="Calibri" w:cs="Calibri"/>
                <w:color w:val="000000" w:themeColor="text1"/>
              </w:rPr>
              <w:t>EU-AI</w:t>
            </w:r>
          </w:p>
        </w:tc>
      </w:tr>
      <w:tr w:rsidR="008B6480" w:rsidRPr="008B6480" w14:paraId="7C1E1A1E" w14:textId="77777777" w:rsidTr="00474984">
        <w:trPr>
          <w:trHeight w:val="493"/>
        </w:trPr>
        <w:tc>
          <w:tcPr>
            <w:tcW w:w="830" w:type="dxa"/>
            <w:tcBorders>
              <w:left w:val="nil"/>
              <w:bottom w:val="single" w:sz="4" w:space="0" w:color="auto"/>
              <w:right w:val="nil"/>
            </w:tcBorders>
            <w:vAlign w:val="center"/>
          </w:tcPr>
          <w:p w14:paraId="6E2C692E" w14:textId="0814602A" w:rsidR="00E464AE" w:rsidRPr="008B6480" w:rsidRDefault="00A4727F" w:rsidP="003E0FFD">
            <w:pPr>
              <w:jc w:val="center"/>
              <w:rPr>
                <w:rFonts w:ascii="Calibri" w:hAnsi="Calibri" w:cs="Calibri"/>
                <w:color w:val="000000" w:themeColor="text1"/>
              </w:rPr>
            </w:pPr>
            <w:r w:rsidRPr="008B6480">
              <w:rPr>
                <w:rFonts w:ascii="Calibri" w:hAnsi="Calibri" w:cs="Calibri"/>
                <w:color w:val="000000" w:themeColor="text1"/>
              </w:rPr>
              <w:t>54</w:t>
            </w:r>
            <w:r w:rsidR="00E464AE" w:rsidRPr="008B6480">
              <w:rPr>
                <w:rFonts w:ascii="Calibri" w:hAnsi="Calibri" w:cs="Calibri"/>
                <w:color w:val="000000" w:themeColor="text1"/>
              </w:rPr>
              <w:t>.2</w:t>
            </w:r>
            <w:r w:rsidRPr="008B6480">
              <w:rPr>
                <w:rFonts w:ascii="Calibri" w:hAnsi="Calibri" w:cs="Calibri"/>
                <w:color w:val="000000" w:themeColor="text1"/>
              </w:rPr>
              <w:t>35</w:t>
            </w:r>
          </w:p>
        </w:tc>
        <w:tc>
          <w:tcPr>
            <w:tcW w:w="829" w:type="dxa"/>
            <w:tcBorders>
              <w:left w:val="nil"/>
              <w:bottom w:val="single" w:sz="4" w:space="0" w:color="auto"/>
              <w:right w:val="single" w:sz="4" w:space="0" w:color="auto"/>
            </w:tcBorders>
            <w:vAlign w:val="center"/>
          </w:tcPr>
          <w:p w14:paraId="38CBFCBA" w14:textId="77777777" w:rsidR="00E464AE" w:rsidRPr="008B6480" w:rsidRDefault="00E464AE" w:rsidP="003E0FFD">
            <w:pPr>
              <w:jc w:val="center"/>
              <w:rPr>
                <w:rFonts w:ascii="Calibri" w:hAnsi="Calibri" w:cs="Calibri"/>
                <w:color w:val="000000" w:themeColor="text1"/>
              </w:rPr>
            </w:pPr>
            <w:r w:rsidRPr="008B6480">
              <w:rPr>
                <w:rFonts w:ascii="Calibri" w:hAnsi="Calibri" w:cs="Calibri"/>
                <w:color w:val="000000" w:themeColor="text1"/>
              </w:rPr>
              <w:t>&lt;0.001</w:t>
            </w:r>
          </w:p>
        </w:tc>
        <w:tc>
          <w:tcPr>
            <w:tcW w:w="1086" w:type="dxa"/>
            <w:tcBorders>
              <w:left w:val="single" w:sz="4" w:space="0" w:color="auto"/>
              <w:bottom w:val="single" w:sz="4" w:space="0" w:color="auto"/>
              <w:right w:val="nil"/>
            </w:tcBorders>
            <w:vAlign w:val="center"/>
          </w:tcPr>
          <w:p w14:paraId="04AB3E85" w14:textId="77777777" w:rsidR="00E464AE" w:rsidRPr="008B6480" w:rsidRDefault="00E464AE" w:rsidP="003E0FFD">
            <w:pPr>
              <w:jc w:val="center"/>
              <w:rPr>
                <w:rFonts w:ascii="Calibri" w:hAnsi="Calibri" w:cs="Calibri"/>
                <w:color w:val="000000" w:themeColor="text1"/>
              </w:rPr>
            </w:pPr>
            <w:r w:rsidRPr="008B6480">
              <w:rPr>
                <w:rFonts w:ascii="Calibri" w:hAnsi="Calibri" w:cs="Calibri"/>
                <w:color w:val="000000" w:themeColor="text1"/>
              </w:rPr>
              <w:t>&lt;0.001</w:t>
            </w:r>
          </w:p>
        </w:tc>
        <w:tc>
          <w:tcPr>
            <w:tcW w:w="833" w:type="dxa"/>
            <w:tcBorders>
              <w:left w:val="nil"/>
              <w:bottom w:val="single" w:sz="4" w:space="0" w:color="auto"/>
              <w:right w:val="nil"/>
            </w:tcBorders>
            <w:vAlign w:val="center"/>
          </w:tcPr>
          <w:p w14:paraId="388A2AB7" w14:textId="77777777" w:rsidR="00E464AE" w:rsidRPr="008B6480" w:rsidRDefault="00E464AE" w:rsidP="003E0FFD">
            <w:pPr>
              <w:jc w:val="center"/>
              <w:rPr>
                <w:rFonts w:ascii="Calibri" w:hAnsi="Calibri" w:cs="Calibri"/>
                <w:color w:val="000000" w:themeColor="text1"/>
              </w:rPr>
            </w:pPr>
            <w:r w:rsidRPr="008B6480">
              <w:rPr>
                <w:rFonts w:ascii="Calibri" w:hAnsi="Calibri" w:cs="Calibri"/>
                <w:color w:val="000000" w:themeColor="text1"/>
              </w:rPr>
              <w:t>&lt;0.001</w:t>
            </w:r>
          </w:p>
        </w:tc>
        <w:tc>
          <w:tcPr>
            <w:tcW w:w="834" w:type="dxa"/>
            <w:tcBorders>
              <w:left w:val="nil"/>
              <w:bottom w:val="single" w:sz="4" w:space="0" w:color="auto"/>
              <w:right w:val="nil"/>
            </w:tcBorders>
            <w:vAlign w:val="center"/>
          </w:tcPr>
          <w:p w14:paraId="27958360" w14:textId="77777777" w:rsidR="00E464AE" w:rsidRPr="008B6480" w:rsidRDefault="00E464AE" w:rsidP="003E0FFD">
            <w:pPr>
              <w:jc w:val="center"/>
              <w:rPr>
                <w:rFonts w:ascii="Calibri" w:hAnsi="Calibri" w:cs="Calibri"/>
                <w:color w:val="000000" w:themeColor="text1"/>
              </w:rPr>
            </w:pPr>
            <w:r w:rsidRPr="008B6480">
              <w:rPr>
                <w:rFonts w:ascii="Calibri" w:hAnsi="Calibri" w:cs="Calibri"/>
                <w:color w:val="000000" w:themeColor="text1"/>
              </w:rPr>
              <w:t>&lt;0.001</w:t>
            </w:r>
          </w:p>
        </w:tc>
        <w:tc>
          <w:tcPr>
            <w:tcW w:w="806" w:type="dxa"/>
            <w:tcBorders>
              <w:left w:val="nil"/>
              <w:bottom w:val="single" w:sz="4" w:space="0" w:color="auto"/>
              <w:right w:val="nil"/>
            </w:tcBorders>
            <w:vAlign w:val="center"/>
          </w:tcPr>
          <w:p w14:paraId="2DDDCBFF" w14:textId="77777777" w:rsidR="00E464AE" w:rsidRPr="008B6480" w:rsidRDefault="00E464AE" w:rsidP="003E0FFD">
            <w:pPr>
              <w:jc w:val="center"/>
              <w:rPr>
                <w:rFonts w:ascii="Calibri" w:hAnsi="Calibri" w:cs="Calibri"/>
                <w:color w:val="000000" w:themeColor="text1"/>
              </w:rPr>
            </w:pPr>
            <w:r w:rsidRPr="008B6480">
              <w:rPr>
                <w:rFonts w:ascii="Calibri" w:hAnsi="Calibri" w:cs="Calibri"/>
                <w:color w:val="000000" w:themeColor="text1"/>
              </w:rPr>
              <w:t>0.549</w:t>
            </w:r>
          </w:p>
        </w:tc>
        <w:tc>
          <w:tcPr>
            <w:tcW w:w="819" w:type="dxa"/>
            <w:gridSpan w:val="2"/>
            <w:tcBorders>
              <w:left w:val="nil"/>
              <w:bottom w:val="single" w:sz="4" w:space="0" w:color="auto"/>
              <w:right w:val="nil"/>
            </w:tcBorders>
            <w:vAlign w:val="center"/>
          </w:tcPr>
          <w:p w14:paraId="30E7D279" w14:textId="77777777" w:rsidR="00E464AE" w:rsidRPr="008B6480" w:rsidRDefault="00E464AE" w:rsidP="003E0FFD">
            <w:pPr>
              <w:jc w:val="center"/>
              <w:rPr>
                <w:rFonts w:ascii="Calibri" w:hAnsi="Calibri" w:cs="Calibri"/>
                <w:color w:val="000000" w:themeColor="text1"/>
              </w:rPr>
            </w:pPr>
            <w:r w:rsidRPr="008B6480">
              <w:rPr>
                <w:rFonts w:ascii="Calibri" w:hAnsi="Calibri" w:cs="Calibri"/>
                <w:color w:val="000000" w:themeColor="text1"/>
              </w:rPr>
              <w:t>1.000</w:t>
            </w:r>
          </w:p>
        </w:tc>
        <w:tc>
          <w:tcPr>
            <w:tcW w:w="890" w:type="dxa"/>
            <w:gridSpan w:val="2"/>
            <w:tcBorders>
              <w:left w:val="nil"/>
              <w:bottom w:val="single" w:sz="4" w:space="0" w:color="auto"/>
            </w:tcBorders>
            <w:vAlign w:val="center"/>
          </w:tcPr>
          <w:p w14:paraId="488247D2" w14:textId="77777777" w:rsidR="00E464AE" w:rsidRPr="008B6480" w:rsidRDefault="00E464AE" w:rsidP="003E0FFD">
            <w:pPr>
              <w:jc w:val="center"/>
              <w:rPr>
                <w:rFonts w:ascii="Calibri" w:hAnsi="Calibri" w:cs="Calibri"/>
                <w:color w:val="000000" w:themeColor="text1"/>
              </w:rPr>
            </w:pPr>
            <w:r w:rsidRPr="008B6480">
              <w:rPr>
                <w:rFonts w:ascii="Calibri" w:hAnsi="Calibri" w:cs="Calibri"/>
                <w:color w:val="000000" w:themeColor="text1"/>
              </w:rPr>
              <w:t>0.727</w:t>
            </w:r>
          </w:p>
        </w:tc>
        <w:tc>
          <w:tcPr>
            <w:tcW w:w="830" w:type="dxa"/>
            <w:tcBorders>
              <w:bottom w:val="single" w:sz="4" w:space="0" w:color="auto"/>
              <w:right w:val="nil"/>
            </w:tcBorders>
            <w:vAlign w:val="center"/>
          </w:tcPr>
          <w:p w14:paraId="490A114A" w14:textId="77777777" w:rsidR="00E464AE" w:rsidRPr="008B6480" w:rsidRDefault="00E464AE" w:rsidP="003E0FFD">
            <w:pPr>
              <w:jc w:val="center"/>
              <w:rPr>
                <w:rFonts w:ascii="Calibri" w:hAnsi="Calibri" w:cs="Calibri"/>
                <w:color w:val="000000" w:themeColor="text1"/>
              </w:rPr>
            </w:pPr>
            <w:r w:rsidRPr="008B6480">
              <w:rPr>
                <w:rFonts w:ascii="Calibri" w:hAnsi="Calibri" w:cs="Calibri"/>
                <w:color w:val="000000" w:themeColor="text1"/>
              </w:rPr>
              <w:t>21.000</w:t>
            </w:r>
          </w:p>
        </w:tc>
        <w:tc>
          <w:tcPr>
            <w:tcW w:w="828" w:type="dxa"/>
            <w:tcBorders>
              <w:left w:val="nil"/>
              <w:bottom w:val="single" w:sz="4" w:space="0" w:color="auto"/>
              <w:right w:val="single" w:sz="4" w:space="0" w:color="auto"/>
            </w:tcBorders>
            <w:vAlign w:val="center"/>
          </w:tcPr>
          <w:p w14:paraId="22462119" w14:textId="77777777" w:rsidR="00E464AE" w:rsidRPr="008B6480" w:rsidRDefault="00E464AE" w:rsidP="003E0FFD">
            <w:pPr>
              <w:jc w:val="center"/>
              <w:rPr>
                <w:rFonts w:ascii="Calibri" w:hAnsi="Calibri" w:cs="Calibri"/>
                <w:color w:val="000000" w:themeColor="text1"/>
              </w:rPr>
            </w:pPr>
            <w:r w:rsidRPr="008B6480">
              <w:rPr>
                <w:rFonts w:ascii="Calibri" w:hAnsi="Calibri" w:cs="Calibri"/>
                <w:color w:val="000000" w:themeColor="text1"/>
              </w:rPr>
              <w:t>&lt;0.001</w:t>
            </w:r>
          </w:p>
        </w:tc>
        <w:tc>
          <w:tcPr>
            <w:tcW w:w="1069" w:type="dxa"/>
            <w:tcBorders>
              <w:left w:val="single" w:sz="4" w:space="0" w:color="auto"/>
              <w:bottom w:val="single" w:sz="4" w:space="0" w:color="auto"/>
              <w:right w:val="nil"/>
            </w:tcBorders>
            <w:vAlign w:val="center"/>
          </w:tcPr>
          <w:p w14:paraId="77706E0E" w14:textId="77777777" w:rsidR="00E464AE" w:rsidRPr="008B6480" w:rsidRDefault="00E464AE" w:rsidP="003E0FFD">
            <w:pPr>
              <w:jc w:val="center"/>
              <w:rPr>
                <w:rFonts w:ascii="Calibri" w:hAnsi="Calibri" w:cs="Calibri"/>
                <w:color w:val="000000" w:themeColor="text1"/>
              </w:rPr>
            </w:pPr>
            <w:r w:rsidRPr="008B6480">
              <w:rPr>
                <w:rFonts w:ascii="Calibri" w:hAnsi="Calibri" w:cs="Calibri"/>
                <w:color w:val="000000" w:themeColor="text1"/>
              </w:rPr>
              <w:t>&lt;0.001</w:t>
            </w:r>
          </w:p>
        </w:tc>
        <w:tc>
          <w:tcPr>
            <w:tcW w:w="823" w:type="dxa"/>
            <w:tcBorders>
              <w:left w:val="nil"/>
              <w:bottom w:val="single" w:sz="4" w:space="0" w:color="auto"/>
              <w:right w:val="nil"/>
            </w:tcBorders>
            <w:vAlign w:val="center"/>
          </w:tcPr>
          <w:p w14:paraId="2F3B1535" w14:textId="77777777" w:rsidR="00E464AE" w:rsidRPr="008B6480" w:rsidRDefault="00E464AE" w:rsidP="003E0FFD">
            <w:pPr>
              <w:jc w:val="center"/>
              <w:rPr>
                <w:rFonts w:ascii="Calibri" w:hAnsi="Calibri" w:cs="Calibri"/>
                <w:color w:val="000000" w:themeColor="text1"/>
              </w:rPr>
            </w:pPr>
            <w:r w:rsidRPr="008B6480">
              <w:rPr>
                <w:rFonts w:ascii="Calibri" w:hAnsi="Calibri" w:cs="Calibri"/>
                <w:color w:val="000000" w:themeColor="text1"/>
              </w:rPr>
              <w:t>0.008</w:t>
            </w:r>
          </w:p>
        </w:tc>
        <w:tc>
          <w:tcPr>
            <w:tcW w:w="823" w:type="dxa"/>
            <w:tcBorders>
              <w:left w:val="nil"/>
              <w:bottom w:val="single" w:sz="4" w:space="0" w:color="auto"/>
              <w:right w:val="nil"/>
            </w:tcBorders>
            <w:vAlign w:val="center"/>
          </w:tcPr>
          <w:p w14:paraId="08A97157" w14:textId="77777777" w:rsidR="00E464AE" w:rsidRPr="008B6480" w:rsidRDefault="00E464AE" w:rsidP="003E0FFD">
            <w:pPr>
              <w:jc w:val="center"/>
              <w:rPr>
                <w:rFonts w:ascii="Calibri" w:hAnsi="Calibri" w:cs="Calibri"/>
                <w:color w:val="000000" w:themeColor="text1"/>
              </w:rPr>
            </w:pPr>
            <w:r w:rsidRPr="008B6480">
              <w:rPr>
                <w:rFonts w:ascii="Calibri" w:hAnsi="Calibri" w:cs="Calibri"/>
                <w:color w:val="000000" w:themeColor="text1"/>
              </w:rPr>
              <w:t>0.004</w:t>
            </w:r>
          </w:p>
        </w:tc>
        <w:tc>
          <w:tcPr>
            <w:tcW w:w="792" w:type="dxa"/>
            <w:tcBorders>
              <w:left w:val="nil"/>
              <w:bottom w:val="single" w:sz="4" w:space="0" w:color="auto"/>
              <w:right w:val="nil"/>
            </w:tcBorders>
            <w:vAlign w:val="center"/>
          </w:tcPr>
          <w:p w14:paraId="676DDD56" w14:textId="77777777" w:rsidR="00E464AE" w:rsidRPr="008B6480" w:rsidRDefault="00E464AE" w:rsidP="003E0FFD">
            <w:pPr>
              <w:jc w:val="center"/>
              <w:rPr>
                <w:rFonts w:ascii="Calibri" w:hAnsi="Calibri" w:cs="Calibri"/>
                <w:color w:val="000000" w:themeColor="text1"/>
              </w:rPr>
            </w:pPr>
            <w:r w:rsidRPr="008B6480">
              <w:rPr>
                <w:rFonts w:ascii="Calibri" w:hAnsi="Calibri" w:cs="Calibri"/>
                <w:color w:val="000000" w:themeColor="text1"/>
              </w:rPr>
              <w:t>0.375</w:t>
            </w:r>
          </w:p>
        </w:tc>
        <w:tc>
          <w:tcPr>
            <w:tcW w:w="819" w:type="dxa"/>
            <w:gridSpan w:val="2"/>
            <w:tcBorders>
              <w:left w:val="nil"/>
              <w:bottom w:val="single" w:sz="4" w:space="0" w:color="auto"/>
              <w:right w:val="nil"/>
            </w:tcBorders>
            <w:vAlign w:val="center"/>
          </w:tcPr>
          <w:p w14:paraId="7CD11810" w14:textId="77777777" w:rsidR="00E464AE" w:rsidRPr="008B6480" w:rsidRDefault="00E464AE" w:rsidP="003E0FFD">
            <w:pPr>
              <w:jc w:val="center"/>
              <w:rPr>
                <w:rFonts w:ascii="Calibri" w:hAnsi="Calibri" w:cs="Calibri"/>
                <w:color w:val="000000" w:themeColor="text1"/>
              </w:rPr>
            </w:pPr>
            <w:r w:rsidRPr="008B6480">
              <w:rPr>
                <w:rFonts w:ascii="Calibri" w:hAnsi="Calibri" w:cs="Calibri"/>
                <w:color w:val="000000" w:themeColor="text1"/>
              </w:rPr>
              <w:t>0.625</w:t>
            </w:r>
          </w:p>
        </w:tc>
        <w:tc>
          <w:tcPr>
            <w:tcW w:w="1030" w:type="dxa"/>
            <w:gridSpan w:val="2"/>
            <w:tcBorders>
              <w:left w:val="nil"/>
              <w:bottom w:val="single" w:sz="4" w:space="0" w:color="auto"/>
              <w:right w:val="nil"/>
            </w:tcBorders>
            <w:vAlign w:val="center"/>
          </w:tcPr>
          <w:p w14:paraId="7C950642" w14:textId="77777777" w:rsidR="00E464AE" w:rsidRPr="008B6480" w:rsidRDefault="00E464AE" w:rsidP="003E0FFD">
            <w:pPr>
              <w:jc w:val="center"/>
              <w:rPr>
                <w:rFonts w:ascii="Calibri" w:hAnsi="Calibri" w:cs="Calibri"/>
                <w:color w:val="000000" w:themeColor="text1"/>
              </w:rPr>
            </w:pPr>
            <w:r w:rsidRPr="008B6480">
              <w:rPr>
                <w:rFonts w:ascii="Calibri" w:hAnsi="Calibri" w:cs="Calibri"/>
                <w:color w:val="000000" w:themeColor="text1"/>
              </w:rPr>
              <w:t>1.000</w:t>
            </w:r>
          </w:p>
        </w:tc>
      </w:tr>
    </w:tbl>
    <w:p w14:paraId="29DCF2C0" w14:textId="77777777" w:rsidR="00E464AE" w:rsidRPr="008B6480" w:rsidRDefault="00E464AE" w:rsidP="00E464AE">
      <w:pPr>
        <w:rPr>
          <w:rFonts w:ascii="Calibri" w:hAnsi="Calibri" w:cs="Calibri"/>
          <w:color w:val="000000" w:themeColor="text1"/>
        </w:rPr>
      </w:pPr>
    </w:p>
    <w:tbl>
      <w:tblPr>
        <w:tblW w:w="13941"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0"/>
        <w:gridCol w:w="828"/>
        <w:gridCol w:w="1098"/>
        <w:gridCol w:w="833"/>
        <w:gridCol w:w="834"/>
        <w:gridCol w:w="809"/>
        <w:gridCol w:w="17"/>
        <w:gridCol w:w="806"/>
        <w:gridCol w:w="21"/>
        <w:gridCol w:w="875"/>
        <w:gridCol w:w="830"/>
        <w:gridCol w:w="774"/>
        <w:gridCol w:w="1069"/>
        <w:gridCol w:w="827"/>
        <w:gridCol w:w="828"/>
        <w:gridCol w:w="795"/>
        <w:gridCol w:w="31"/>
        <w:gridCol w:w="792"/>
        <w:gridCol w:w="32"/>
        <w:gridCol w:w="1012"/>
      </w:tblGrid>
      <w:tr w:rsidR="008B6480" w:rsidRPr="008B6480" w14:paraId="6B1D8F75" w14:textId="77777777" w:rsidTr="00474984">
        <w:trPr>
          <w:trHeight w:val="356"/>
        </w:trPr>
        <w:tc>
          <w:tcPr>
            <w:tcW w:w="6951" w:type="dxa"/>
            <w:gridSpan w:val="10"/>
            <w:tcBorders>
              <w:left w:val="nil"/>
              <w:bottom w:val="single" w:sz="4" w:space="0" w:color="auto"/>
            </w:tcBorders>
            <w:vAlign w:val="center"/>
          </w:tcPr>
          <w:p w14:paraId="1C598159" w14:textId="77777777" w:rsidR="00E464AE" w:rsidRPr="008B6480" w:rsidRDefault="00E464AE" w:rsidP="003E0FFD">
            <w:pPr>
              <w:jc w:val="center"/>
              <w:rPr>
                <w:rFonts w:ascii="Calibri" w:hAnsi="Calibri" w:cs="Calibri"/>
                <w:b/>
                <w:bCs/>
                <w:color w:val="000000" w:themeColor="text1"/>
              </w:rPr>
            </w:pPr>
            <w:r w:rsidRPr="008B6480">
              <w:rPr>
                <w:rFonts w:ascii="Calibri" w:hAnsi="Calibri" w:cs="Calibri"/>
                <w:b/>
                <w:bCs/>
                <w:color w:val="000000" w:themeColor="text1"/>
              </w:rPr>
              <w:t>Surgery Performed (All nodules)</w:t>
            </w:r>
          </w:p>
        </w:tc>
        <w:tc>
          <w:tcPr>
            <w:tcW w:w="6990" w:type="dxa"/>
            <w:gridSpan w:val="10"/>
            <w:tcBorders>
              <w:bottom w:val="single" w:sz="4" w:space="0" w:color="auto"/>
              <w:right w:val="nil"/>
            </w:tcBorders>
            <w:vAlign w:val="center"/>
          </w:tcPr>
          <w:p w14:paraId="30C405C1" w14:textId="739A6460" w:rsidR="00E464AE" w:rsidRPr="008B6480" w:rsidRDefault="00E464AE" w:rsidP="003E0FFD">
            <w:pPr>
              <w:jc w:val="center"/>
              <w:rPr>
                <w:rFonts w:ascii="Calibri" w:hAnsi="Calibri" w:cs="Calibri"/>
                <w:b/>
                <w:bCs/>
                <w:color w:val="000000" w:themeColor="text1"/>
              </w:rPr>
            </w:pPr>
            <w:r w:rsidRPr="008B6480">
              <w:rPr>
                <w:rFonts w:ascii="Calibri" w:hAnsi="Calibri" w:cs="Calibri"/>
                <w:b/>
                <w:bCs/>
                <w:color w:val="000000" w:themeColor="text1"/>
              </w:rPr>
              <w:t>Surgery Performed (U3, TR3, EUTI3) (n=39)</w:t>
            </w:r>
          </w:p>
        </w:tc>
      </w:tr>
      <w:tr w:rsidR="008B6480" w:rsidRPr="008B6480" w14:paraId="0881C241" w14:textId="77777777" w:rsidTr="00474984">
        <w:trPr>
          <w:trHeight w:val="585"/>
        </w:trPr>
        <w:tc>
          <w:tcPr>
            <w:tcW w:w="1658" w:type="dxa"/>
            <w:gridSpan w:val="2"/>
            <w:tcBorders>
              <w:left w:val="nil"/>
              <w:bottom w:val="single" w:sz="4" w:space="0" w:color="auto"/>
              <w:right w:val="single" w:sz="4" w:space="0" w:color="auto"/>
            </w:tcBorders>
            <w:vAlign w:val="center"/>
          </w:tcPr>
          <w:p w14:paraId="68156D3E" w14:textId="77777777" w:rsidR="00E464AE" w:rsidRPr="008B6480" w:rsidRDefault="00E464AE" w:rsidP="003E0FFD">
            <w:pPr>
              <w:jc w:val="center"/>
              <w:rPr>
                <w:rFonts w:ascii="Calibri" w:hAnsi="Calibri" w:cs="Calibri"/>
                <w:color w:val="000000" w:themeColor="text1"/>
              </w:rPr>
            </w:pPr>
            <w:r w:rsidRPr="008B6480">
              <w:rPr>
                <w:rFonts w:ascii="Calibri" w:hAnsi="Calibri" w:cs="Calibri"/>
                <w:color w:val="000000" w:themeColor="text1"/>
              </w:rPr>
              <w:t>Cochran’s Q test</w:t>
            </w:r>
          </w:p>
        </w:tc>
        <w:tc>
          <w:tcPr>
            <w:tcW w:w="5293" w:type="dxa"/>
            <w:gridSpan w:val="8"/>
            <w:tcBorders>
              <w:left w:val="single" w:sz="4" w:space="0" w:color="auto"/>
              <w:bottom w:val="single" w:sz="4" w:space="0" w:color="auto"/>
            </w:tcBorders>
            <w:vAlign w:val="center"/>
          </w:tcPr>
          <w:p w14:paraId="190CD963" w14:textId="77777777" w:rsidR="00E464AE" w:rsidRPr="008B6480" w:rsidRDefault="00E464AE" w:rsidP="003E0FFD">
            <w:pPr>
              <w:jc w:val="center"/>
              <w:rPr>
                <w:rFonts w:ascii="Calibri" w:hAnsi="Calibri" w:cs="Calibri"/>
                <w:color w:val="000000" w:themeColor="text1"/>
              </w:rPr>
            </w:pPr>
            <w:r w:rsidRPr="008B6480">
              <w:rPr>
                <w:rFonts w:ascii="Calibri" w:hAnsi="Calibri" w:cs="Calibri"/>
                <w:color w:val="000000" w:themeColor="text1"/>
              </w:rPr>
              <w:t>Post hoc</w:t>
            </w:r>
          </w:p>
        </w:tc>
        <w:tc>
          <w:tcPr>
            <w:tcW w:w="1604" w:type="dxa"/>
            <w:gridSpan w:val="2"/>
            <w:tcBorders>
              <w:bottom w:val="single" w:sz="4" w:space="0" w:color="auto"/>
              <w:right w:val="single" w:sz="4" w:space="0" w:color="auto"/>
            </w:tcBorders>
            <w:vAlign w:val="center"/>
          </w:tcPr>
          <w:p w14:paraId="1CFC7A17" w14:textId="77777777" w:rsidR="00E464AE" w:rsidRPr="008B6480" w:rsidRDefault="00E464AE" w:rsidP="003E0FFD">
            <w:pPr>
              <w:jc w:val="center"/>
              <w:rPr>
                <w:rFonts w:ascii="Calibri" w:hAnsi="Calibri" w:cs="Calibri"/>
                <w:color w:val="000000" w:themeColor="text1"/>
              </w:rPr>
            </w:pPr>
            <w:r w:rsidRPr="008B6480">
              <w:rPr>
                <w:rFonts w:ascii="Calibri" w:hAnsi="Calibri" w:cs="Calibri"/>
                <w:color w:val="000000" w:themeColor="text1"/>
              </w:rPr>
              <w:t>Cochran’s Q test</w:t>
            </w:r>
          </w:p>
        </w:tc>
        <w:tc>
          <w:tcPr>
            <w:tcW w:w="5386" w:type="dxa"/>
            <w:gridSpan w:val="8"/>
            <w:tcBorders>
              <w:left w:val="single" w:sz="4" w:space="0" w:color="auto"/>
              <w:bottom w:val="single" w:sz="4" w:space="0" w:color="auto"/>
              <w:right w:val="nil"/>
            </w:tcBorders>
            <w:vAlign w:val="center"/>
          </w:tcPr>
          <w:p w14:paraId="1CE49701" w14:textId="77777777" w:rsidR="00E464AE" w:rsidRPr="008B6480" w:rsidRDefault="00E464AE" w:rsidP="003E0FFD">
            <w:pPr>
              <w:jc w:val="center"/>
              <w:rPr>
                <w:rFonts w:ascii="Calibri" w:hAnsi="Calibri" w:cs="Calibri"/>
                <w:color w:val="000000" w:themeColor="text1"/>
              </w:rPr>
            </w:pPr>
            <w:r w:rsidRPr="008B6480">
              <w:rPr>
                <w:rFonts w:ascii="Calibri" w:hAnsi="Calibri" w:cs="Calibri"/>
                <w:color w:val="000000" w:themeColor="text1"/>
              </w:rPr>
              <w:t>Post hoc</w:t>
            </w:r>
          </w:p>
        </w:tc>
      </w:tr>
      <w:tr w:rsidR="008B6480" w:rsidRPr="008B6480" w14:paraId="0EB8E383" w14:textId="77777777" w:rsidTr="00474984">
        <w:trPr>
          <w:trHeight w:val="601"/>
        </w:trPr>
        <w:tc>
          <w:tcPr>
            <w:tcW w:w="830" w:type="dxa"/>
            <w:tcBorders>
              <w:left w:val="nil"/>
              <w:bottom w:val="single" w:sz="4" w:space="0" w:color="auto"/>
              <w:right w:val="nil"/>
            </w:tcBorders>
            <w:vAlign w:val="center"/>
          </w:tcPr>
          <w:p w14:paraId="7505F6A0" w14:textId="77777777" w:rsidR="00E464AE" w:rsidRPr="008B6480" w:rsidRDefault="00E464AE" w:rsidP="003E0FFD">
            <w:pPr>
              <w:jc w:val="center"/>
              <w:rPr>
                <w:rFonts w:ascii="Calibri" w:hAnsi="Calibri" w:cs="Calibri"/>
                <w:color w:val="000000" w:themeColor="text1"/>
              </w:rPr>
            </w:pPr>
            <w:r w:rsidRPr="008B6480">
              <w:rPr>
                <w:rFonts w:ascii="Calibri" w:hAnsi="Calibri" w:cs="Calibri"/>
                <w:i/>
                <w:iCs/>
                <w:color w:val="000000" w:themeColor="text1"/>
              </w:rPr>
              <w:t>X</w:t>
            </w:r>
            <w:r w:rsidRPr="008B6480">
              <w:rPr>
                <w:rFonts w:ascii="Calibri" w:hAnsi="Calibri" w:cs="Calibri"/>
                <w:color w:val="000000" w:themeColor="text1"/>
                <w:vertAlign w:val="superscript"/>
              </w:rPr>
              <w:t>2</w:t>
            </w:r>
          </w:p>
        </w:tc>
        <w:tc>
          <w:tcPr>
            <w:tcW w:w="828" w:type="dxa"/>
            <w:tcBorders>
              <w:left w:val="nil"/>
              <w:bottom w:val="single" w:sz="4" w:space="0" w:color="auto"/>
            </w:tcBorders>
            <w:vAlign w:val="center"/>
          </w:tcPr>
          <w:p w14:paraId="00D34F1E" w14:textId="679A1951" w:rsidR="00E464AE" w:rsidRPr="00C536A5" w:rsidRDefault="00C536A5" w:rsidP="003E0FFD">
            <w:pPr>
              <w:jc w:val="center"/>
              <w:rPr>
                <w:rFonts w:ascii="Calibri" w:hAnsi="Calibri" w:cs="Calibri"/>
                <w:i/>
                <w:iCs/>
                <w:color w:val="000000" w:themeColor="text1"/>
              </w:rPr>
            </w:pPr>
            <w:r w:rsidRPr="00C536A5">
              <w:rPr>
                <w:rFonts w:ascii="Calibri" w:hAnsi="Calibri" w:cs="Calibri"/>
                <w:i/>
                <w:iCs/>
                <w:color w:val="000000" w:themeColor="text1"/>
              </w:rPr>
              <w:t>P</w:t>
            </w:r>
          </w:p>
        </w:tc>
        <w:tc>
          <w:tcPr>
            <w:tcW w:w="1098" w:type="dxa"/>
            <w:tcBorders>
              <w:bottom w:val="single" w:sz="4" w:space="0" w:color="auto"/>
              <w:right w:val="single" w:sz="4" w:space="0" w:color="auto"/>
            </w:tcBorders>
            <w:vAlign w:val="center"/>
          </w:tcPr>
          <w:p w14:paraId="458ED018" w14:textId="77777777" w:rsidR="00E464AE" w:rsidRPr="008B6480" w:rsidRDefault="00E464AE" w:rsidP="003E0FFD">
            <w:pPr>
              <w:jc w:val="center"/>
              <w:rPr>
                <w:rFonts w:ascii="Calibri" w:hAnsi="Calibri" w:cs="Calibri"/>
                <w:color w:val="000000" w:themeColor="text1"/>
              </w:rPr>
            </w:pPr>
            <w:r w:rsidRPr="008B6480">
              <w:rPr>
                <w:rFonts w:ascii="Calibri" w:hAnsi="Calibri" w:cs="Calibri"/>
                <w:color w:val="000000" w:themeColor="text1"/>
              </w:rPr>
              <w:t>BTA-ACR</w:t>
            </w:r>
          </w:p>
        </w:tc>
        <w:tc>
          <w:tcPr>
            <w:tcW w:w="833" w:type="dxa"/>
            <w:tcBorders>
              <w:left w:val="single" w:sz="4" w:space="0" w:color="auto"/>
              <w:bottom w:val="single" w:sz="4" w:space="0" w:color="auto"/>
              <w:right w:val="single" w:sz="4" w:space="0" w:color="auto"/>
            </w:tcBorders>
            <w:vAlign w:val="center"/>
          </w:tcPr>
          <w:p w14:paraId="12D20A48" w14:textId="77777777" w:rsidR="00E464AE" w:rsidRPr="008B6480" w:rsidRDefault="00E464AE" w:rsidP="003E0FFD">
            <w:pPr>
              <w:jc w:val="center"/>
              <w:rPr>
                <w:rFonts w:ascii="Calibri" w:hAnsi="Calibri" w:cs="Calibri"/>
                <w:color w:val="000000" w:themeColor="text1"/>
              </w:rPr>
            </w:pPr>
            <w:r w:rsidRPr="008B6480">
              <w:rPr>
                <w:rFonts w:ascii="Calibri" w:hAnsi="Calibri" w:cs="Calibri"/>
                <w:color w:val="000000" w:themeColor="text1"/>
              </w:rPr>
              <w:t>BTA-EU</w:t>
            </w:r>
          </w:p>
        </w:tc>
        <w:tc>
          <w:tcPr>
            <w:tcW w:w="834" w:type="dxa"/>
            <w:tcBorders>
              <w:left w:val="single" w:sz="4" w:space="0" w:color="auto"/>
              <w:bottom w:val="single" w:sz="4" w:space="0" w:color="auto"/>
              <w:right w:val="single" w:sz="4" w:space="0" w:color="auto"/>
            </w:tcBorders>
            <w:vAlign w:val="center"/>
          </w:tcPr>
          <w:p w14:paraId="1EE117C4" w14:textId="77777777" w:rsidR="00E464AE" w:rsidRPr="008B6480" w:rsidRDefault="00E464AE" w:rsidP="003E0FFD">
            <w:pPr>
              <w:jc w:val="center"/>
              <w:rPr>
                <w:rFonts w:ascii="Calibri" w:hAnsi="Calibri" w:cs="Calibri"/>
                <w:color w:val="000000" w:themeColor="text1"/>
              </w:rPr>
            </w:pPr>
            <w:r w:rsidRPr="008B6480">
              <w:rPr>
                <w:rFonts w:ascii="Calibri" w:hAnsi="Calibri" w:cs="Calibri"/>
                <w:color w:val="000000" w:themeColor="text1"/>
              </w:rPr>
              <w:t>BTA-AI</w:t>
            </w:r>
          </w:p>
        </w:tc>
        <w:tc>
          <w:tcPr>
            <w:tcW w:w="826" w:type="dxa"/>
            <w:gridSpan w:val="2"/>
            <w:tcBorders>
              <w:left w:val="single" w:sz="4" w:space="0" w:color="auto"/>
              <w:bottom w:val="single" w:sz="4" w:space="0" w:color="auto"/>
              <w:right w:val="single" w:sz="4" w:space="0" w:color="auto"/>
            </w:tcBorders>
            <w:vAlign w:val="center"/>
          </w:tcPr>
          <w:p w14:paraId="3C59891A" w14:textId="77777777" w:rsidR="00E464AE" w:rsidRPr="008B6480" w:rsidRDefault="00E464AE" w:rsidP="003E0FFD">
            <w:pPr>
              <w:jc w:val="center"/>
              <w:rPr>
                <w:rFonts w:ascii="Calibri" w:hAnsi="Calibri" w:cs="Calibri"/>
                <w:color w:val="000000" w:themeColor="text1"/>
              </w:rPr>
            </w:pPr>
            <w:r w:rsidRPr="008B6480">
              <w:rPr>
                <w:rFonts w:ascii="Calibri" w:hAnsi="Calibri" w:cs="Calibri"/>
                <w:color w:val="000000" w:themeColor="text1"/>
              </w:rPr>
              <w:t>ACR-EU</w:t>
            </w:r>
          </w:p>
        </w:tc>
        <w:tc>
          <w:tcPr>
            <w:tcW w:w="827" w:type="dxa"/>
            <w:gridSpan w:val="2"/>
            <w:tcBorders>
              <w:left w:val="single" w:sz="4" w:space="0" w:color="auto"/>
              <w:bottom w:val="single" w:sz="4" w:space="0" w:color="auto"/>
              <w:right w:val="single" w:sz="4" w:space="0" w:color="auto"/>
            </w:tcBorders>
            <w:vAlign w:val="center"/>
          </w:tcPr>
          <w:p w14:paraId="51ED8E8C" w14:textId="77777777" w:rsidR="00E464AE" w:rsidRPr="008B6480" w:rsidRDefault="00E464AE" w:rsidP="003E0FFD">
            <w:pPr>
              <w:jc w:val="center"/>
              <w:rPr>
                <w:rFonts w:ascii="Calibri" w:hAnsi="Calibri" w:cs="Calibri"/>
                <w:color w:val="000000" w:themeColor="text1"/>
              </w:rPr>
            </w:pPr>
            <w:r w:rsidRPr="008B6480">
              <w:rPr>
                <w:rFonts w:ascii="Calibri" w:hAnsi="Calibri" w:cs="Calibri"/>
                <w:color w:val="000000" w:themeColor="text1"/>
              </w:rPr>
              <w:t>ACR-AI</w:t>
            </w:r>
          </w:p>
        </w:tc>
        <w:tc>
          <w:tcPr>
            <w:tcW w:w="875" w:type="dxa"/>
            <w:tcBorders>
              <w:left w:val="single" w:sz="4" w:space="0" w:color="auto"/>
              <w:bottom w:val="single" w:sz="4" w:space="0" w:color="auto"/>
            </w:tcBorders>
            <w:vAlign w:val="center"/>
          </w:tcPr>
          <w:p w14:paraId="2182847A" w14:textId="77777777" w:rsidR="00E464AE" w:rsidRPr="008B6480" w:rsidRDefault="00E464AE" w:rsidP="003E0FFD">
            <w:pPr>
              <w:jc w:val="center"/>
              <w:rPr>
                <w:rFonts w:ascii="Calibri" w:hAnsi="Calibri" w:cs="Calibri"/>
                <w:color w:val="000000" w:themeColor="text1"/>
              </w:rPr>
            </w:pPr>
            <w:r w:rsidRPr="008B6480">
              <w:rPr>
                <w:rFonts w:ascii="Calibri" w:hAnsi="Calibri" w:cs="Calibri"/>
                <w:color w:val="000000" w:themeColor="text1"/>
              </w:rPr>
              <w:t>EU-AI</w:t>
            </w:r>
          </w:p>
        </w:tc>
        <w:tc>
          <w:tcPr>
            <w:tcW w:w="830" w:type="dxa"/>
            <w:tcBorders>
              <w:bottom w:val="single" w:sz="4" w:space="0" w:color="auto"/>
              <w:right w:val="nil"/>
            </w:tcBorders>
            <w:vAlign w:val="center"/>
          </w:tcPr>
          <w:p w14:paraId="2720FA37" w14:textId="77777777" w:rsidR="00E464AE" w:rsidRPr="008B6480" w:rsidRDefault="00E464AE" w:rsidP="003E0FFD">
            <w:pPr>
              <w:jc w:val="center"/>
              <w:rPr>
                <w:rFonts w:ascii="Calibri" w:hAnsi="Calibri" w:cs="Calibri"/>
                <w:color w:val="000000" w:themeColor="text1"/>
              </w:rPr>
            </w:pPr>
            <w:r w:rsidRPr="008B6480">
              <w:rPr>
                <w:rFonts w:ascii="Calibri" w:hAnsi="Calibri" w:cs="Calibri"/>
                <w:i/>
                <w:iCs/>
                <w:color w:val="000000" w:themeColor="text1"/>
              </w:rPr>
              <w:t>X</w:t>
            </w:r>
            <w:r w:rsidRPr="008B6480">
              <w:rPr>
                <w:rFonts w:ascii="Calibri" w:hAnsi="Calibri" w:cs="Calibri"/>
                <w:color w:val="000000" w:themeColor="text1"/>
                <w:vertAlign w:val="superscript"/>
              </w:rPr>
              <w:t>2</w:t>
            </w:r>
          </w:p>
        </w:tc>
        <w:tc>
          <w:tcPr>
            <w:tcW w:w="774" w:type="dxa"/>
            <w:tcBorders>
              <w:left w:val="nil"/>
              <w:bottom w:val="single" w:sz="4" w:space="0" w:color="auto"/>
            </w:tcBorders>
            <w:vAlign w:val="center"/>
          </w:tcPr>
          <w:p w14:paraId="372BC4CE" w14:textId="3E1661E6" w:rsidR="00E464AE" w:rsidRPr="00C536A5" w:rsidRDefault="00C536A5" w:rsidP="003E0FFD">
            <w:pPr>
              <w:jc w:val="center"/>
              <w:rPr>
                <w:rFonts w:ascii="Calibri" w:hAnsi="Calibri" w:cs="Calibri"/>
                <w:i/>
                <w:iCs/>
                <w:color w:val="000000" w:themeColor="text1"/>
              </w:rPr>
            </w:pPr>
            <w:r w:rsidRPr="00C536A5">
              <w:rPr>
                <w:rFonts w:ascii="Calibri" w:hAnsi="Calibri" w:cs="Calibri"/>
                <w:i/>
                <w:iCs/>
                <w:color w:val="000000" w:themeColor="text1"/>
              </w:rPr>
              <w:t>P</w:t>
            </w:r>
          </w:p>
        </w:tc>
        <w:tc>
          <w:tcPr>
            <w:tcW w:w="1069" w:type="dxa"/>
            <w:tcBorders>
              <w:bottom w:val="single" w:sz="4" w:space="0" w:color="auto"/>
              <w:right w:val="single" w:sz="4" w:space="0" w:color="auto"/>
            </w:tcBorders>
            <w:vAlign w:val="center"/>
          </w:tcPr>
          <w:p w14:paraId="2529EEDA" w14:textId="77777777" w:rsidR="00E464AE" w:rsidRPr="008B6480" w:rsidRDefault="00E464AE" w:rsidP="003E0FFD">
            <w:pPr>
              <w:jc w:val="center"/>
              <w:rPr>
                <w:rFonts w:ascii="Calibri" w:hAnsi="Calibri" w:cs="Calibri"/>
                <w:color w:val="000000" w:themeColor="text1"/>
              </w:rPr>
            </w:pPr>
            <w:r w:rsidRPr="008B6480">
              <w:rPr>
                <w:rFonts w:ascii="Calibri" w:hAnsi="Calibri" w:cs="Calibri"/>
                <w:color w:val="000000" w:themeColor="text1"/>
              </w:rPr>
              <w:t>BTA-ACR</w:t>
            </w:r>
          </w:p>
        </w:tc>
        <w:tc>
          <w:tcPr>
            <w:tcW w:w="827" w:type="dxa"/>
            <w:tcBorders>
              <w:left w:val="single" w:sz="4" w:space="0" w:color="auto"/>
              <w:bottom w:val="single" w:sz="4" w:space="0" w:color="auto"/>
              <w:right w:val="single" w:sz="4" w:space="0" w:color="auto"/>
            </w:tcBorders>
            <w:vAlign w:val="center"/>
          </w:tcPr>
          <w:p w14:paraId="54BCD6C5" w14:textId="77777777" w:rsidR="00E464AE" w:rsidRPr="008B6480" w:rsidRDefault="00E464AE" w:rsidP="003E0FFD">
            <w:pPr>
              <w:jc w:val="center"/>
              <w:rPr>
                <w:rFonts w:ascii="Calibri" w:hAnsi="Calibri" w:cs="Calibri"/>
                <w:color w:val="000000" w:themeColor="text1"/>
              </w:rPr>
            </w:pPr>
            <w:r w:rsidRPr="008B6480">
              <w:rPr>
                <w:rFonts w:ascii="Calibri" w:hAnsi="Calibri" w:cs="Calibri"/>
                <w:color w:val="000000" w:themeColor="text1"/>
              </w:rPr>
              <w:t>BTA-EU</w:t>
            </w:r>
          </w:p>
        </w:tc>
        <w:tc>
          <w:tcPr>
            <w:tcW w:w="828" w:type="dxa"/>
            <w:tcBorders>
              <w:left w:val="single" w:sz="4" w:space="0" w:color="auto"/>
              <w:bottom w:val="single" w:sz="4" w:space="0" w:color="auto"/>
              <w:right w:val="single" w:sz="4" w:space="0" w:color="auto"/>
            </w:tcBorders>
            <w:vAlign w:val="center"/>
          </w:tcPr>
          <w:p w14:paraId="6B881888" w14:textId="77777777" w:rsidR="00E464AE" w:rsidRPr="008B6480" w:rsidRDefault="00E464AE" w:rsidP="003E0FFD">
            <w:pPr>
              <w:jc w:val="center"/>
              <w:rPr>
                <w:rFonts w:ascii="Calibri" w:hAnsi="Calibri" w:cs="Calibri"/>
                <w:color w:val="000000" w:themeColor="text1"/>
              </w:rPr>
            </w:pPr>
            <w:r w:rsidRPr="008B6480">
              <w:rPr>
                <w:rFonts w:ascii="Calibri" w:hAnsi="Calibri" w:cs="Calibri"/>
                <w:color w:val="000000" w:themeColor="text1"/>
              </w:rPr>
              <w:t>BTA-AI</w:t>
            </w:r>
          </w:p>
        </w:tc>
        <w:tc>
          <w:tcPr>
            <w:tcW w:w="826" w:type="dxa"/>
            <w:gridSpan w:val="2"/>
            <w:tcBorders>
              <w:left w:val="single" w:sz="4" w:space="0" w:color="auto"/>
              <w:bottom w:val="single" w:sz="4" w:space="0" w:color="auto"/>
              <w:right w:val="single" w:sz="4" w:space="0" w:color="auto"/>
            </w:tcBorders>
            <w:vAlign w:val="center"/>
          </w:tcPr>
          <w:p w14:paraId="5F2218DC" w14:textId="77777777" w:rsidR="00E464AE" w:rsidRPr="008B6480" w:rsidRDefault="00E464AE" w:rsidP="003E0FFD">
            <w:pPr>
              <w:jc w:val="center"/>
              <w:rPr>
                <w:rFonts w:ascii="Calibri" w:hAnsi="Calibri" w:cs="Calibri"/>
                <w:color w:val="000000" w:themeColor="text1"/>
              </w:rPr>
            </w:pPr>
            <w:r w:rsidRPr="008B6480">
              <w:rPr>
                <w:rFonts w:ascii="Calibri" w:hAnsi="Calibri" w:cs="Calibri"/>
                <w:color w:val="000000" w:themeColor="text1"/>
              </w:rPr>
              <w:t>ACR-EU</w:t>
            </w:r>
          </w:p>
        </w:tc>
        <w:tc>
          <w:tcPr>
            <w:tcW w:w="824" w:type="dxa"/>
            <w:gridSpan w:val="2"/>
            <w:tcBorders>
              <w:left w:val="single" w:sz="4" w:space="0" w:color="auto"/>
              <w:bottom w:val="single" w:sz="4" w:space="0" w:color="auto"/>
              <w:right w:val="single" w:sz="4" w:space="0" w:color="auto"/>
            </w:tcBorders>
            <w:vAlign w:val="center"/>
          </w:tcPr>
          <w:p w14:paraId="3A2088B6" w14:textId="77777777" w:rsidR="00E464AE" w:rsidRPr="008B6480" w:rsidRDefault="00E464AE" w:rsidP="003E0FFD">
            <w:pPr>
              <w:jc w:val="center"/>
              <w:rPr>
                <w:rFonts w:ascii="Calibri" w:hAnsi="Calibri" w:cs="Calibri"/>
                <w:color w:val="000000" w:themeColor="text1"/>
              </w:rPr>
            </w:pPr>
            <w:r w:rsidRPr="008B6480">
              <w:rPr>
                <w:rFonts w:ascii="Calibri" w:hAnsi="Calibri" w:cs="Calibri"/>
                <w:color w:val="000000" w:themeColor="text1"/>
              </w:rPr>
              <w:t>ACR-AI</w:t>
            </w:r>
          </w:p>
        </w:tc>
        <w:tc>
          <w:tcPr>
            <w:tcW w:w="1012" w:type="dxa"/>
            <w:tcBorders>
              <w:left w:val="single" w:sz="4" w:space="0" w:color="auto"/>
              <w:bottom w:val="single" w:sz="4" w:space="0" w:color="auto"/>
              <w:right w:val="nil"/>
            </w:tcBorders>
            <w:vAlign w:val="center"/>
          </w:tcPr>
          <w:p w14:paraId="0D299153" w14:textId="77777777" w:rsidR="00E464AE" w:rsidRPr="008B6480" w:rsidRDefault="00E464AE" w:rsidP="003E0FFD">
            <w:pPr>
              <w:jc w:val="center"/>
              <w:rPr>
                <w:rFonts w:ascii="Calibri" w:hAnsi="Calibri" w:cs="Calibri"/>
                <w:color w:val="000000" w:themeColor="text1"/>
              </w:rPr>
            </w:pPr>
            <w:r w:rsidRPr="008B6480">
              <w:rPr>
                <w:rFonts w:ascii="Calibri" w:hAnsi="Calibri" w:cs="Calibri"/>
                <w:color w:val="000000" w:themeColor="text1"/>
              </w:rPr>
              <w:t>EU-AI</w:t>
            </w:r>
          </w:p>
        </w:tc>
      </w:tr>
      <w:tr w:rsidR="008B6480" w:rsidRPr="008B6480" w14:paraId="19103999" w14:textId="77777777" w:rsidTr="00474984">
        <w:trPr>
          <w:trHeight w:val="493"/>
        </w:trPr>
        <w:tc>
          <w:tcPr>
            <w:tcW w:w="830" w:type="dxa"/>
            <w:tcBorders>
              <w:left w:val="nil"/>
              <w:bottom w:val="single" w:sz="4" w:space="0" w:color="auto"/>
              <w:right w:val="nil"/>
            </w:tcBorders>
            <w:vAlign w:val="center"/>
          </w:tcPr>
          <w:p w14:paraId="65FCE191" w14:textId="3D60E9AB" w:rsidR="00E464AE" w:rsidRPr="008B6480" w:rsidRDefault="008B6480" w:rsidP="003E0FFD">
            <w:pPr>
              <w:jc w:val="center"/>
              <w:rPr>
                <w:rFonts w:ascii="Calibri" w:hAnsi="Calibri" w:cs="Calibri"/>
                <w:color w:val="000000" w:themeColor="text1"/>
              </w:rPr>
            </w:pPr>
            <w:r w:rsidRPr="008B6480">
              <w:rPr>
                <w:rFonts w:ascii="Calibri" w:hAnsi="Calibri" w:cs="Calibri"/>
                <w:color w:val="000000" w:themeColor="text1"/>
              </w:rPr>
              <w:t>25</w:t>
            </w:r>
            <w:r w:rsidR="00E464AE" w:rsidRPr="008B6480">
              <w:rPr>
                <w:rFonts w:ascii="Calibri" w:hAnsi="Calibri" w:cs="Calibri"/>
                <w:color w:val="000000" w:themeColor="text1"/>
              </w:rPr>
              <w:t>.3</w:t>
            </w:r>
            <w:r w:rsidRPr="008B6480">
              <w:rPr>
                <w:rFonts w:ascii="Calibri" w:hAnsi="Calibri" w:cs="Calibri"/>
                <w:color w:val="000000" w:themeColor="text1"/>
              </w:rPr>
              <w:t>8</w:t>
            </w:r>
            <w:r w:rsidR="00E464AE" w:rsidRPr="008B6480">
              <w:rPr>
                <w:rFonts w:ascii="Calibri" w:hAnsi="Calibri" w:cs="Calibri"/>
                <w:color w:val="000000" w:themeColor="text1"/>
              </w:rPr>
              <w:t>5</w:t>
            </w:r>
          </w:p>
        </w:tc>
        <w:tc>
          <w:tcPr>
            <w:tcW w:w="828" w:type="dxa"/>
            <w:tcBorders>
              <w:left w:val="nil"/>
              <w:bottom w:val="single" w:sz="4" w:space="0" w:color="auto"/>
              <w:right w:val="single" w:sz="4" w:space="0" w:color="auto"/>
            </w:tcBorders>
            <w:vAlign w:val="center"/>
          </w:tcPr>
          <w:p w14:paraId="316674BB" w14:textId="77777777" w:rsidR="00E464AE" w:rsidRPr="008B6480" w:rsidRDefault="00E464AE" w:rsidP="003E0FFD">
            <w:pPr>
              <w:jc w:val="center"/>
              <w:rPr>
                <w:rFonts w:ascii="Calibri" w:hAnsi="Calibri" w:cs="Calibri"/>
                <w:color w:val="000000" w:themeColor="text1"/>
              </w:rPr>
            </w:pPr>
            <w:r w:rsidRPr="008B6480">
              <w:rPr>
                <w:rFonts w:ascii="Calibri" w:hAnsi="Calibri" w:cs="Calibri"/>
                <w:color w:val="000000" w:themeColor="text1"/>
              </w:rPr>
              <w:t>&lt;0.001</w:t>
            </w:r>
          </w:p>
        </w:tc>
        <w:tc>
          <w:tcPr>
            <w:tcW w:w="1098" w:type="dxa"/>
            <w:tcBorders>
              <w:left w:val="single" w:sz="4" w:space="0" w:color="auto"/>
              <w:bottom w:val="single" w:sz="4" w:space="0" w:color="auto"/>
              <w:right w:val="nil"/>
            </w:tcBorders>
            <w:vAlign w:val="center"/>
          </w:tcPr>
          <w:p w14:paraId="429909D8" w14:textId="77777777" w:rsidR="00E464AE" w:rsidRPr="008B6480" w:rsidRDefault="00E464AE" w:rsidP="003E0FFD">
            <w:pPr>
              <w:jc w:val="center"/>
              <w:rPr>
                <w:rFonts w:ascii="Calibri" w:hAnsi="Calibri" w:cs="Calibri"/>
                <w:color w:val="000000" w:themeColor="text1"/>
              </w:rPr>
            </w:pPr>
            <w:r w:rsidRPr="008B6480">
              <w:rPr>
                <w:rFonts w:ascii="Calibri" w:hAnsi="Calibri" w:cs="Calibri"/>
                <w:color w:val="000000" w:themeColor="text1"/>
              </w:rPr>
              <w:t>&lt;0.001</w:t>
            </w:r>
          </w:p>
        </w:tc>
        <w:tc>
          <w:tcPr>
            <w:tcW w:w="833" w:type="dxa"/>
            <w:tcBorders>
              <w:left w:val="nil"/>
              <w:bottom w:val="single" w:sz="4" w:space="0" w:color="auto"/>
              <w:right w:val="nil"/>
            </w:tcBorders>
            <w:vAlign w:val="center"/>
          </w:tcPr>
          <w:p w14:paraId="041B6A21" w14:textId="77777777" w:rsidR="00E464AE" w:rsidRPr="008B6480" w:rsidRDefault="00E464AE" w:rsidP="003E0FFD">
            <w:pPr>
              <w:jc w:val="center"/>
              <w:rPr>
                <w:rFonts w:ascii="Calibri" w:hAnsi="Calibri" w:cs="Calibri"/>
                <w:color w:val="000000" w:themeColor="text1"/>
              </w:rPr>
            </w:pPr>
            <w:r w:rsidRPr="008B6480">
              <w:rPr>
                <w:rFonts w:ascii="Calibri" w:hAnsi="Calibri" w:cs="Calibri"/>
                <w:color w:val="000000" w:themeColor="text1"/>
              </w:rPr>
              <w:t>&lt;0.001</w:t>
            </w:r>
          </w:p>
        </w:tc>
        <w:tc>
          <w:tcPr>
            <w:tcW w:w="834" w:type="dxa"/>
            <w:tcBorders>
              <w:left w:val="nil"/>
              <w:bottom w:val="single" w:sz="4" w:space="0" w:color="auto"/>
              <w:right w:val="nil"/>
            </w:tcBorders>
            <w:vAlign w:val="center"/>
          </w:tcPr>
          <w:p w14:paraId="2AC3327B" w14:textId="77777777" w:rsidR="00E464AE" w:rsidRPr="008B6480" w:rsidRDefault="00E464AE" w:rsidP="003E0FFD">
            <w:pPr>
              <w:jc w:val="center"/>
              <w:rPr>
                <w:rFonts w:ascii="Calibri" w:hAnsi="Calibri" w:cs="Calibri"/>
                <w:color w:val="000000" w:themeColor="text1"/>
              </w:rPr>
            </w:pPr>
            <w:r w:rsidRPr="008B6480">
              <w:rPr>
                <w:rFonts w:ascii="Calibri" w:hAnsi="Calibri" w:cs="Calibri"/>
                <w:color w:val="000000" w:themeColor="text1"/>
              </w:rPr>
              <w:t>&lt;0.001</w:t>
            </w:r>
          </w:p>
        </w:tc>
        <w:tc>
          <w:tcPr>
            <w:tcW w:w="809" w:type="dxa"/>
            <w:tcBorders>
              <w:left w:val="nil"/>
              <w:bottom w:val="single" w:sz="4" w:space="0" w:color="auto"/>
              <w:right w:val="nil"/>
            </w:tcBorders>
            <w:vAlign w:val="center"/>
          </w:tcPr>
          <w:p w14:paraId="1D745EE5" w14:textId="77777777" w:rsidR="00E464AE" w:rsidRPr="008B6480" w:rsidRDefault="00E464AE" w:rsidP="003E0FFD">
            <w:pPr>
              <w:jc w:val="center"/>
              <w:rPr>
                <w:rFonts w:ascii="Calibri" w:hAnsi="Calibri" w:cs="Calibri"/>
                <w:color w:val="000000" w:themeColor="text1"/>
              </w:rPr>
            </w:pPr>
            <w:r w:rsidRPr="008B6480">
              <w:rPr>
                <w:rFonts w:ascii="Calibri" w:hAnsi="Calibri" w:cs="Calibri"/>
                <w:color w:val="000000" w:themeColor="text1"/>
              </w:rPr>
              <w:t>0.727</w:t>
            </w:r>
          </w:p>
        </w:tc>
        <w:tc>
          <w:tcPr>
            <w:tcW w:w="823" w:type="dxa"/>
            <w:gridSpan w:val="2"/>
            <w:tcBorders>
              <w:left w:val="nil"/>
              <w:bottom w:val="single" w:sz="4" w:space="0" w:color="auto"/>
              <w:right w:val="nil"/>
            </w:tcBorders>
            <w:vAlign w:val="center"/>
          </w:tcPr>
          <w:p w14:paraId="1469323D" w14:textId="77777777" w:rsidR="00E464AE" w:rsidRPr="008B6480" w:rsidRDefault="00E464AE" w:rsidP="003E0FFD">
            <w:pPr>
              <w:jc w:val="center"/>
              <w:rPr>
                <w:rFonts w:ascii="Calibri" w:hAnsi="Calibri" w:cs="Calibri"/>
                <w:color w:val="000000" w:themeColor="text1"/>
              </w:rPr>
            </w:pPr>
            <w:r w:rsidRPr="008B6480">
              <w:rPr>
                <w:rFonts w:ascii="Calibri" w:hAnsi="Calibri" w:cs="Calibri"/>
                <w:color w:val="000000" w:themeColor="text1"/>
              </w:rPr>
              <w:t>1.000</w:t>
            </w:r>
          </w:p>
        </w:tc>
        <w:tc>
          <w:tcPr>
            <w:tcW w:w="896" w:type="dxa"/>
            <w:gridSpan w:val="2"/>
            <w:tcBorders>
              <w:left w:val="nil"/>
              <w:bottom w:val="single" w:sz="4" w:space="0" w:color="auto"/>
            </w:tcBorders>
            <w:vAlign w:val="center"/>
          </w:tcPr>
          <w:p w14:paraId="22B906BC" w14:textId="77777777" w:rsidR="00E464AE" w:rsidRPr="008B6480" w:rsidRDefault="00E464AE" w:rsidP="003E0FFD">
            <w:pPr>
              <w:jc w:val="center"/>
              <w:rPr>
                <w:rFonts w:ascii="Calibri" w:hAnsi="Calibri" w:cs="Calibri"/>
                <w:color w:val="000000" w:themeColor="text1"/>
              </w:rPr>
            </w:pPr>
            <w:r w:rsidRPr="008B6480">
              <w:rPr>
                <w:rFonts w:ascii="Calibri" w:hAnsi="Calibri" w:cs="Calibri"/>
                <w:color w:val="000000" w:themeColor="text1"/>
              </w:rPr>
              <w:t>1.000</w:t>
            </w:r>
          </w:p>
        </w:tc>
        <w:tc>
          <w:tcPr>
            <w:tcW w:w="830" w:type="dxa"/>
            <w:tcBorders>
              <w:bottom w:val="single" w:sz="4" w:space="0" w:color="auto"/>
              <w:right w:val="nil"/>
            </w:tcBorders>
            <w:vAlign w:val="center"/>
          </w:tcPr>
          <w:p w14:paraId="2F441318" w14:textId="77777777" w:rsidR="00E464AE" w:rsidRPr="008B6480" w:rsidRDefault="00E464AE" w:rsidP="003E0FFD">
            <w:pPr>
              <w:jc w:val="center"/>
              <w:rPr>
                <w:rFonts w:ascii="Calibri" w:hAnsi="Calibri" w:cs="Calibri"/>
                <w:color w:val="000000" w:themeColor="text1"/>
              </w:rPr>
            </w:pPr>
            <w:r w:rsidRPr="008B6480">
              <w:rPr>
                <w:rFonts w:ascii="Calibri" w:hAnsi="Calibri" w:cs="Calibri"/>
                <w:color w:val="000000" w:themeColor="text1"/>
              </w:rPr>
              <w:t>15.429</w:t>
            </w:r>
          </w:p>
        </w:tc>
        <w:tc>
          <w:tcPr>
            <w:tcW w:w="774" w:type="dxa"/>
            <w:tcBorders>
              <w:left w:val="nil"/>
              <w:bottom w:val="single" w:sz="4" w:space="0" w:color="auto"/>
              <w:right w:val="single" w:sz="4" w:space="0" w:color="auto"/>
            </w:tcBorders>
            <w:vAlign w:val="center"/>
          </w:tcPr>
          <w:p w14:paraId="619D4D6B" w14:textId="77777777" w:rsidR="00E464AE" w:rsidRPr="008B6480" w:rsidRDefault="00E464AE" w:rsidP="003E0FFD">
            <w:pPr>
              <w:jc w:val="center"/>
              <w:rPr>
                <w:rFonts w:ascii="Calibri" w:hAnsi="Calibri" w:cs="Calibri"/>
                <w:color w:val="000000" w:themeColor="text1"/>
              </w:rPr>
            </w:pPr>
            <w:r w:rsidRPr="008B6480">
              <w:rPr>
                <w:rFonts w:ascii="Calibri" w:hAnsi="Calibri" w:cs="Calibri"/>
                <w:color w:val="000000" w:themeColor="text1"/>
              </w:rPr>
              <w:t>0.001</w:t>
            </w:r>
          </w:p>
        </w:tc>
        <w:tc>
          <w:tcPr>
            <w:tcW w:w="1069" w:type="dxa"/>
            <w:tcBorders>
              <w:left w:val="single" w:sz="4" w:space="0" w:color="auto"/>
              <w:bottom w:val="single" w:sz="4" w:space="0" w:color="auto"/>
              <w:right w:val="nil"/>
            </w:tcBorders>
            <w:vAlign w:val="center"/>
          </w:tcPr>
          <w:p w14:paraId="6AAFE992" w14:textId="77777777" w:rsidR="00E464AE" w:rsidRPr="008B6480" w:rsidRDefault="00E464AE" w:rsidP="003E0FFD">
            <w:pPr>
              <w:jc w:val="center"/>
              <w:rPr>
                <w:rFonts w:ascii="Calibri" w:hAnsi="Calibri" w:cs="Calibri"/>
                <w:color w:val="000000" w:themeColor="text1"/>
              </w:rPr>
            </w:pPr>
            <w:r w:rsidRPr="008B6480">
              <w:rPr>
                <w:rFonts w:ascii="Calibri" w:hAnsi="Calibri" w:cs="Calibri"/>
                <w:color w:val="000000" w:themeColor="text1"/>
              </w:rPr>
              <w:t>0.008</w:t>
            </w:r>
          </w:p>
        </w:tc>
        <w:tc>
          <w:tcPr>
            <w:tcW w:w="827" w:type="dxa"/>
            <w:tcBorders>
              <w:left w:val="nil"/>
              <w:bottom w:val="single" w:sz="4" w:space="0" w:color="auto"/>
              <w:right w:val="nil"/>
            </w:tcBorders>
            <w:vAlign w:val="center"/>
          </w:tcPr>
          <w:p w14:paraId="79A06EDC" w14:textId="77777777" w:rsidR="00E464AE" w:rsidRPr="008B6480" w:rsidRDefault="00E464AE" w:rsidP="003E0FFD">
            <w:pPr>
              <w:jc w:val="center"/>
              <w:rPr>
                <w:rFonts w:ascii="Calibri" w:hAnsi="Calibri" w:cs="Calibri"/>
                <w:color w:val="000000" w:themeColor="text1"/>
              </w:rPr>
            </w:pPr>
            <w:r w:rsidRPr="008B6480">
              <w:rPr>
                <w:rFonts w:ascii="Calibri" w:hAnsi="Calibri" w:cs="Calibri"/>
                <w:color w:val="000000" w:themeColor="text1"/>
              </w:rPr>
              <w:t>0.031</w:t>
            </w:r>
          </w:p>
        </w:tc>
        <w:tc>
          <w:tcPr>
            <w:tcW w:w="828" w:type="dxa"/>
            <w:tcBorders>
              <w:left w:val="nil"/>
              <w:bottom w:val="single" w:sz="4" w:space="0" w:color="auto"/>
              <w:right w:val="nil"/>
            </w:tcBorders>
            <w:vAlign w:val="center"/>
          </w:tcPr>
          <w:p w14:paraId="1AC9F28C" w14:textId="77777777" w:rsidR="00E464AE" w:rsidRPr="008B6480" w:rsidRDefault="00E464AE" w:rsidP="003E0FFD">
            <w:pPr>
              <w:jc w:val="center"/>
              <w:rPr>
                <w:rFonts w:ascii="Calibri" w:hAnsi="Calibri" w:cs="Calibri"/>
                <w:color w:val="000000" w:themeColor="text1"/>
              </w:rPr>
            </w:pPr>
            <w:r w:rsidRPr="008B6480">
              <w:rPr>
                <w:rFonts w:ascii="Calibri" w:hAnsi="Calibri" w:cs="Calibri"/>
                <w:color w:val="000000" w:themeColor="text1"/>
              </w:rPr>
              <w:t>0.031</w:t>
            </w:r>
          </w:p>
        </w:tc>
        <w:tc>
          <w:tcPr>
            <w:tcW w:w="795" w:type="dxa"/>
            <w:tcBorders>
              <w:left w:val="nil"/>
              <w:bottom w:val="single" w:sz="4" w:space="0" w:color="auto"/>
              <w:right w:val="nil"/>
            </w:tcBorders>
            <w:vAlign w:val="center"/>
          </w:tcPr>
          <w:p w14:paraId="506AABAA" w14:textId="77777777" w:rsidR="00E464AE" w:rsidRPr="008B6480" w:rsidRDefault="00E464AE" w:rsidP="003E0FFD">
            <w:pPr>
              <w:jc w:val="center"/>
              <w:rPr>
                <w:rFonts w:ascii="Calibri" w:hAnsi="Calibri" w:cs="Calibri"/>
                <w:color w:val="000000" w:themeColor="text1"/>
              </w:rPr>
            </w:pPr>
            <w:r w:rsidRPr="008B6480">
              <w:rPr>
                <w:rFonts w:ascii="Calibri" w:hAnsi="Calibri" w:cs="Calibri"/>
                <w:color w:val="000000" w:themeColor="text1"/>
              </w:rPr>
              <w:t>0.625</w:t>
            </w:r>
          </w:p>
        </w:tc>
        <w:tc>
          <w:tcPr>
            <w:tcW w:w="823" w:type="dxa"/>
            <w:gridSpan w:val="2"/>
            <w:tcBorders>
              <w:left w:val="nil"/>
              <w:bottom w:val="single" w:sz="4" w:space="0" w:color="auto"/>
              <w:right w:val="nil"/>
            </w:tcBorders>
            <w:vAlign w:val="center"/>
          </w:tcPr>
          <w:p w14:paraId="27488B8D" w14:textId="77777777" w:rsidR="00E464AE" w:rsidRPr="008B6480" w:rsidRDefault="00E464AE" w:rsidP="003E0FFD">
            <w:pPr>
              <w:jc w:val="center"/>
              <w:rPr>
                <w:rFonts w:ascii="Calibri" w:hAnsi="Calibri" w:cs="Calibri"/>
                <w:color w:val="000000" w:themeColor="text1"/>
              </w:rPr>
            </w:pPr>
            <w:r w:rsidRPr="008B6480">
              <w:rPr>
                <w:rFonts w:ascii="Calibri" w:hAnsi="Calibri" w:cs="Calibri"/>
                <w:color w:val="000000" w:themeColor="text1"/>
              </w:rPr>
              <w:t>0.500</w:t>
            </w:r>
          </w:p>
        </w:tc>
        <w:tc>
          <w:tcPr>
            <w:tcW w:w="1044" w:type="dxa"/>
            <w:gridSpan w:val="2"/>
            <w:tcBorders>
              <w:left w:val="nil"/>
              <w:bottom w:val="single" w:sz="4" w:space="0" w:color="auto"/>
              <w:right w:val="nil"/>
            </w:tcBorders>
            <w:vAlign w:val="center"/>
          </w:tcPr>
          <w:p w14:paraId="251E5E31" w14:textId="77777777" w:rsidR="00E464AE" w:rsidRPr="008B6480" w:rsidRDefault="00E464AE" w:rsidP="003E0FFD">
            <w:pPr>
              <w:jc w:val="center"/>
              <w:rPr>
                <w:rFonts w:ascii="Calibri" w:hAnsi="Calibri" w:cs="Calibri"/>
                <w:color w:val="000000" w:themeColor="text1"/>
              </w:rPr>
            </w:pPr>
            <w:r w:rsidRPr="008B6480">
              <w:rPr>
                <w:rFonts w:ascii="Calibri" w:hAnsi="Calibri" w:cs="Calibri"/>
                <w:color w:val="000000" w:themeColor="text1"/>
              </w:rPr>
              <w:t>1.000</w:t>
            </w:r>
          </w:p>
        </w:tc>
      </w:tr>
    </w:tbl>
    <w:p w14:paraId="480E5068" w14:textId="7BC180B0" w:rsidR="00E464AE" w:rsidRDefault="00E464AE" w:rsidP="00E464AE">
      <w:pPr>
        <w:rPr>
          <w:rFonts w:ascii="Times New Roman" w:hAnsi="Times New Roman" w:cs="Times New Roman"/>
          <w:sz w:val="18"/>
          <w:szCs w:val="18"/>
        </w:rPr>
        <w:sectPr w:rsidR="00E464AE" w:rsidSect="00D822B3">
          <w:pgSz w:w="16838" w:h="11906" w:orient="landscape"/>
          <w:pgMar w:top="1440" w:right="1440" w:bottom="1440" w:left="1440" w:header="709" w:footer="709" w:gutter="0"/>
          <w:lnNumType w:countBy="1" w:restart="continuous"/>
          <w:cols w:space="708"/>
          <w:docGrid w:linePitch="360"/>
        </w:sectPr>
      </w:pPr>
      <w:r w:rsidRPr="005D3686">
        <w:rPr>
          <w:rFonts w:ascii="Times New Roman" w:hAnsi="Times New Roman" w:cs="Times New Roman"/>
          <w:sz w:val="18"/>
          <w:szCs w:val="18"/>
        </w:rPr>
        <w:t>BTA – British Thyroid Association U Classification</w:t>
      </w:r>
      <w:r w:rsidRPr="005D3686">
        <w:rPr>
          <w:rFonts w:ascii="Times New Roman" w:hAnsi="Times New Roman" w:cs="Times New Roman"/>
          <w:sz w:val="18"/>
          <w:szCs w:val="18"/>
        </w:rPr>
        <w:br/>
        <w:t>ACR – American College of Radiology-TIRADS</w:t>
      </w:r>
      <w:r>
        <w:rPr>
          <w:rFonts w:ascii="Times New Roman" w:hAnsi="Times New Roman" w:cs="Times New Roman"/>
          <w:sz w:val="18"/>
          <w:szCs w:val="18"/>
        </w:rPr>
        <w:br/>
      </w:r>
      <w:r w:rsidRPr="005D3686">
        <w:rPr>
          <w:rFonts w:ascii="Times New Roman" w:hAnsi="Times New Roman" w:cs="Times New Roman"/>
          <w:sz w:val="18"/>
          <w:szCs w:val="18"/>
        </w:rPr>
        <w:t>EU – European Thyroid Association-TIRADS</w:t>
      </w:r>
      <w:r>
        <w:rPr>
          <w:rFonts w:ascii="Times New Roman" w:hAnsi="Times New Roman" w:cs="Times New Roman"/>
          <w:sz w:val="18"/>
          <w:szCs w:val="18"/>
        </w:rPr>
        <w:br/>
      </w:r>
      <w:r w:rsidRPr="005D3686">
        <w:rPr>
          <w:rFonts w:ascii="Times New Roman" w:hAnsi="Times New Roman" w:cs="Times New Roman"/>
          <w:sz w:val="18"/>
          <w:szCs w:val="18"/>
        </w:rPr>
        <w:t xml:space="preserve">AI – </w:t>
      </w:r>
      <w:r w:rsidR="00EA3B5A">
        <w:rPr>
          <w:rFonts w:ascii="Times New Roman" w:hAnsi="Times New Roman" w:cs="Times New Roman"/>
          <w:sz w:val="18"/>
          <w:szCs w:val="18"/>
        </w:rPr>
        <w:t>Artificial Intelligence</w:t>
      </w:r>
      <w:r w:rsidRPr="005D3686">
        <w:rPr>
          <w:rFonts w:ascii="Times New Roman" w:hAnsi="Times New Roman" w:cs="Times New Roman"/>
          <w:sz w:val="18"/>
          <w:szCs w:val="18"/>
        </w:rPr>
        <w:t>-TIRADS</w:t>
      </w:r>
      <w:r>
        <w:rPr>
          <w:rFonts w:ascii="Times New Roman" w:hAnsi="Times New Roman" w:cs="Times New Roman"/>
          <w:sz w:val="18"/>
          <w:szCs w:val="18"/>
        </w:rPr>
        <w:br/>
      </w:r>
      <w:r w:rsidRPr="005D3686">
        <w:rPr>
          <w:rFonts w:ascii="Times New Roman" w:hAnsi="Times New Roman" w:cs="Times New Roman"/>
          <w:i/>
          <w:iCs/>
          <w:sz w:val="18"/>
          <w:szCs w:val="18"/>
        </w:rPr>
        <w:t>X</w:t>
      </w:r>
      <w:r w:rsidRPr="005D3686">
        <w:rPr>
          <w:rFonts w:ascii="Times New Roman" w:hAnsi="Times New Roman" w:cs="Times New Roman"/>
          <w:sz w:val="18"/>
          <w:szCs w:val="18"/>
          <w:vertAlign w:val="superscript"/>
        </w:rPr>
        <w:t>2</w:t>
      </w:r>
      <w:r w:rsidRPr="005D3686">
        <w:rPr>
          <w:rFonts w:ascii="Times New Roman" w:hAnsi="Times New Roman" w:cs="Times New Roman"/>
          <w:sz w:val="18"/>
          <w:szCs w:val="18"/>
        </w:rPr>
        <w:t xml:space="preserve"> – Cochran’s Q value</w:t>
      </w:r>
      <w:r>
        <w:rPr>
          <w:rFonts w:ascii="Times New Roman" w:hAnsi="Times New Roman" w:cs="Times New Roman"/>
          <w:sz w:val="18"/>
          <w:szCs w:val="18"/>
        </w:rPr>
        <w:br/>
      </w:r>
      <m:oMath>
        <m:r>
          <w:rPr>
            <w:rFonts w:ascii="Cambria Math" w:hAnsi="Cambria Math" w:cs="Times New Roman"/>
            <w:sz w:val="18"/>
            <w:szCs w:val="18"/>
          </w:rPr>
          <m:t>a</m:t>
        </m:r>
      </m:oMath>
      <w:r w:rsidRPr="005D3686">
        <w:rPr>
          <w:rFonts w:ascii="Times New Roman" w:hAnsi="Times New Roman" w:cs="Times New Roman"/>
          <w:sz w:val="18"/>
          <w:szCs w:val="18"/>
        </w:rPr>
        <w:t xml:space="preserve"> = 0.0125 following the application of the </w:t>
      </w:r>
      <w:proofErr w:type="spellStart"/>
      <w:r w:rsidRPr="005D3686">
        <w:rPr>
          <w:rFonts w:ascii="Times New Roman" w:hAnsi="Times New Roman" w:cs="Times New Roman"/>
          <w:sz w:val="18"/>
          <w:szCs w:val="18"/>
        </w:rPr>
        <w:t>Bonferonni</w:t>
      </w:r>
      <w:proofErr w:type="spellEnd"/>
      <w:r w:rsidRPr="005D3686">
        <w:rPr>
          <w:rFonts w:ascii="Times New Roman" w:hAnsi="Times New Roman" w:cs="Times New Roman"/>
          <w:sz w:val="18"/>
          <w:szCs w:val="18"/>
        </w:rPr>
        <w:t xml:space="preserve"> correction</w:t>
      </w:r>
    </w:p>
    <w:p w14:paraId="29C775DC" w14:textId="0174EDB8" w:rsidR="00A465F3" w:rsidRPr="00D8488D" w:rsidRDefault="00A465F3" w:rsidP="00A465F3">
      <w:pPr>
        <w:spacing w:line="360" w:lineRule="auto"/>
        <w:rPr>
          <w:rFonts w:ascii="Times New Roman" w:hAnsi="Times New Roman" w:cs="Times New Roman"/>
          <w:u w:val="single"/>
        </w:rPr>
      </w:pPr>
      <w:r>
        <w:rPr>
          <w:rFonts w:ascii="Times New Roman" w:hAnsi="Times New Roman" w:cs="Times New Roman"/>
          <w:u w:val="single"/>
        </w:rPr>
        <w:lastRenderedPageBreak/>
        <w:t>Cancer detection</w:t>
      </w:r>
    </w:p>
    <w:p w14:paraId="076833D8" w14:textId="51DA27D5" w:rsidR="00A465F3" w:rsidRPr="00A465F3" w:rsidRDefault="00A465F3" w:rsidP="001361CF">
      <w:pPr>
        <w:spacing w:line="480" w:lineRule="auto"/>
        <w:rPr>
          <w:rFonts w:ascii="Times New Roman" w:hAnsi="Times New Roman" w:cs="Times New Roman"/>
        </w:rPr>
      </w:pPr>
      <w:r w:rsidRPr="00A53D11">
        <w:rPr>
          <w:rFonts w:ascii="Times New Roman" w:hAnsi="Times New Roman" w:cs="Times New Roman"/>
        </w:rPr>
        <w:t>Of the 4</w:t>
      </w:r>
      <w:r>
        <w:rPr>
          <w:rFonts w:ascii="Times New Roman" w:hAnsi="Times New Roman" w:cs="Times New Roman"/>
        </w:rPr>
        <w:t>5</w:t>
      </w:r>
      <w:r w:rsidRPr="00A53D11">
        <w:rPr>
          <w:rFonts w:ascii="Times New Roman" w:hAnsi="Times New Roman" w:cs="Times New Roman"/>
        </w:rPr>
        <w:t xml:space="preserve"> patients who underwent surgery, </w:t>
      </w:r>
      <w:r w:rsidR="008E3D6D">
        <w:rPr>
          <w:rFonts w:ascii="Times New Roman" w:hAnsi="Times New Roman" w:cs="Times New Roman"/>
        </w:rPr>
        <w:t>4</w:t>
      </w:r>
      <w:r w:rsidRPr="00A53D11">
        <w:rPr>
          <w:rFonts w:ascii="Times New Roman" w:hAnsi="Times New Roman" w:cs="Times New Roman"/>
        </w:rPr>
        <w:t xml:space="preserve"> (</w:t>
      </w:r>
      <w:r w:rsidR="008E3D6D">
        <w:rPr>
          <w:rFonts w:ascii="Times New Roman" w:hAnsi="Times New Roman" w:cs="Times New Roman"/>
        </w:rPr>
        <w:t>8</w:t>
      </w:r>
      <w:r w:rsidRPr="00A53D11">
        <w:rPr>
          <w:rFonts w:ascii="Times New Roman" w:hAnsi="Times New Roman" w:cs="Times New Roman"/>
        </w:rPr>
        <w:t>.</w:t>
      </w:r>
      <w:r w:rsidR="008E3D6D">
        <w:rPr>
          <w:rFonts w:ascii="Times New Roman" w:hAnsi="Times New Roman" w:cs="Times New Roman"/>
        </w:rPr>
        <w:t>9</w:t>
      </w:r>
      <w:r w:rsidRPr="00A53D11">
        <w:rPr>
          <w:rFonts w:ascii="Times New Roman" w:hAnsi="Times New Roman" w:cs="Times New Roman"/>
        </w:rPr>
        <w:t>%) cancer</w:t>
      </w:r>
      <w:r w:rsidR="008E3D6D">
        <w:rPr>
          <w:rFonts w:ascii="Times New Roman" w:hAnsi="Times New Roman" w:cs="Times New Roman"/>
        </w:rPr>
        <w:t>ous nodules</w:t>
      </w:r>
      <w:r w:rsidRPr="00A53D11">
        <w:rPr>
          <w:rFonts w:ascii="Times New Roman" w:hAnsi="Times New Roman" w:cs="Times New Roman"/>
        </w:rPr>
        <w:t xml:space="preserve"> were detected following histological analysis of the resected specimens – </w:t>
      </w:r>
      <w:r w:rsidR="008E3D6D">
        <w:rPr>
          <w:rFonts w:ascii="Times New Roman" w:hAnsi="Times New Roman" w:cs="Times New Roman"/>
        </w:rPr>
        <w:t>3</w:t>
      </w:r>
      <w:r w:rsidRPr="00A53D11">
        <w:rPr>
          <w:rFonts w:ascii="Times New Roman" w:hAnsi="Times New Roman" w:cs="Times New Roman"/>
        </w:rPr>
        <w:t xml:space="preserve"> papillary carcinomas and </w:t>
      </w:r>
      <w:r>
        <w:rPr>
          <w:rFonts w:ascii="Times New Roman" w:hAnsi="Times New Roman" w:cs="Times New Roman"/>
        </w:rPr>
        <w:t>1</w:t>
      </w:r>
      <w:r w:rsidRPr="00A53D11">
        <w:rPr>
          <w:rFonts w:ascii="Times New Roman" w:hAnsi="Times New Roman" w:cs="Times New Roman"/>
        </w:rPr>
        <w:t xml:space="preserve"> follicular carcinoma. </w:t>
      </w:r>
      <w:r>
        <w:rPr>
          <w:rFonts w:ascii="Times New Roman" w:hAnsi="Times New Roman" w:cs="Times New Roman"/>
        </w:rPr>
        <w:t xml:space="preserve">When retrospective application of TIRADS guidance was applied, ACR, EU </w:t>
      </w:r>
      <w:r w:rsidR="00ED7522">
        <w:rPr>
          <w:rFonts w:ascii="Times New Roman" w:hAnsi="Times New Roman" w:cs="Times New Roman"/>
        </w:rPr>
        <w:t>and</w:t>
      </w:r>
      <w:r>
        <w:rPr>
          <w:rFonts w:ascii="Times New Roman" w:hAnsi="Times New Roman" w:cs="Times New Roman"/>
        </w:rPr>
        <w:t xml:space="preserve"> AI-TIRADS </w:t>
      </w:r>
      <w:r w:rsidR="00ED7522">
        <w:rPr>
          <w:rFonts w:ascii="Times New Roman" w:hAnsi="Times New Roman" w:cs="Times New Roman"/>
        </w:rPr>
        <w:t xml:space="preserve">unanimously </w:t>
      </w:r>
      <w:r>
        <w:rPr>
          <w:rFonts w:ascii="Times New Roman" w:hAnsi="Times New Roman" w:cs="Times New Roman"/>
        </w:rPr>
        <w:t>recommended FNA</w:t>
      </w:r>
      <w:r w:rsidR="00ED7522">
        <w:rPr>
          <w:rFonts w:ascii="Times New Roman" w:hAnsi="Times New Roman" w:cs="Times New Roman"/>
        </w:rPr>
        <w:t xml:space="preserve">C </w:t>
      </w:r>
      <w:r>
        <w:rPr>
          <w:rFonts w:ascii="Times New Roman" w:hAnsi="Times New Roman" w:cs="Times New Roman"/>
        </w:rPr>
        <w:t>in 3 (</w:t>
      </w:r>
      <w:r w:rsidR="008E3D6D">
        <w:rPr>
          <w:rFonts w:ascii="Times New Roman" w:hAnsi="Times New Roman" w:cs="Times New Roman"/>
        </w:rPr>
        <w:t>75</w:t>
      </w:r>
      <w:r>
        <w:rPr>
          <w:rFonts w:ascii="Times New Roman" w:hAnsi="Times New Roman" w:cs="Times New Roman"/>
        </w:rPr>
        <w:t>%) of the cases. ACR-TIRADS</w:t>
      </w:r>
      <w:r w:rsidR="008E3D6D">
        <w:rPr>
          <w:rFonts w:ascii="Times New Roman" w:hAnsi="Times New Roman" w:cs="Times New Roman"/>
        </w:rPr>
        <w:t xml:space="preserve"> and AI-TIRADS</w:t>
      </w:r>
      <w:r>
        <w:rPr>
          <w:rFonts w:ascii="Times New Roman" w:hAnsi="Times New Roman" w:cs="Times New Roman"/>
        </w:rPr>
        <w:t xml:space="preserve"> would have suggested active US surveillance in </w:t>
      </w:r>
      <w:r w:rsidR="008E3D6D">
        <w:rPr>
          <w:rFonts w:ascii="Times New Roman" w:hAnsi="Times New Roman" w:cs="Times New Roman"/>
        </w:rPr>
        <w:t xml:space="preserve">the </w:t>
      </w:r>
      <w:r>
        <w:rPr>
          <w:rFonts w:ascii="Times New Roman" w:hAnsi="Times New Roman" w:cs="Times New Roman"/>
        </w:rPr>
        <w:t xml:space="preserve">1 </w:t>
      </w:r>
      <w:r w:rsidR="008E3D6D">
        <w:rPr>
          <w:rFonts w:ascii="Times New Roman" w:hAnsi="Times New Roman" w:cs="Times New Roman"/>
        </w:rPr>
        <w:t xml:space="preserve">remaining </w:t>
      </w:r>
      <w:r>
        <w:rPr>
          <w:rFonts w:ascii="Times New Roman" w:hAnsi="Times New Roman" w:cs="Times New Roman"/>
        </w:rPr>
        <w:t xml:space="preserve">case, with </w:t>
      </w:r>
      <w:r w:rsidR="008E3D6D">
        <w:rPr>
          <w:rFonts w:ascii="Times New Roman" w:hAnsi="Times New Roman" w:cs="Times New Roman"/>
        </w:rPr>
        <w:t>EU</w:t>
      </w:r>
      <w:r>
        <w:rPr>
          <w:rFonts w:ascii="Times New Roman" w:hAnsi="Times New Roman" w:cs="Times New Roman"/>
        </w:rPr>
        <w:t xml:space="preserve">-TIRADS recommending </w:t>
      </w:r>
      <w:r w:rsidR="008E3D6D">
        <w:rPr>
          <w:rFonts w:ascii="Times New Roman" w:hAnsi="Times New Roman" w:cs="Times New Roman"/>
        </w:rPr>
        <w:t>no further action</w:t>
      </w:r>
      <w:r>
        <w:rPr>
          <w:rFonts w:ascii="Times New Roman" w:hAnsi="Times New Roman" w:cs="Times New Roman"/>
        </w:rPr>
        <w:t xml:space="preserve"> [Table 6]. </w:t>
      </w:r>
    </w:p>
    <w:p w14:paraId="6ED5C1B1" w14:textId="17447C71" w:rsidR="0096426F" w:rsidRPr="003329AA" w:rsidRDefault="0096426F" w:rsidP="0096426F">
      <w:pPr>
        <w:rPr>
          <w:rFonts w:ascii="Times New Roman" w:hAnsi="Times New Roman" w:cs="Times New Roman"/>
        </w:rPr>
      </w:pPr>
      <w:r w:rsidRPr="003329AA">
        <w:rPr>
          <w:rFonts w:ascii="Times New Roman" w:hAnsi="Times New Roman" w:cs="Times New Roman"/>
          <w:b/>
          <w:bCs/>
        </w:rPr>
        <w:t xml:space="preserve">Table </w:t>
      </w:r>
      <w:r w:rsidR="00A465F3">
        <w:rPr>
          <w:rFonts w:ascii="Times New Roman" w:hAnsi="Times New Roman" w:cs="Times New Roman"/>
          <w:b/>
          <w:bCs/>
        </w:rPr>
        <w:t>6</w:t>
      </w:r>
      <w:r w:rsidRPr="003329AA">
        <w:rPr>
          <w:rFonts w:ascii="Times New Roman" w:hAnsi="Times New Roman" w:cs="Times New Roman"/>
          <w:b/>
          <w:bCs/>
        </w:rPr>
        <w:t>.</w:t>
      </w:r>
      <w:r w:rsidRPr="003329AA">
        <w:rPr>
          <w:rFonts w:ascii="Times New Roman" w:hAnsi="Times New Roman" w:cs="Times New Roman"/>
        </w:rPr>
        <w:t xml:space="preserve"> </w:t>
      </w:r>
      <w:r>
        <w:rPr>
          <w:rFonts w:ascii="Times New Roman" w:hAnsi="Times New Roman" w:cs="Times New Roman"/>
        </w:rPr>
        <w:t xml:space="preserve">Management of histology proven malignant thyroid nodules according to each guideline. </w:t>
      </w:r>
      <w:r w:rsidRPr="003329AA">
        <w:rPr>
          <w:rFonts w:ascii="Times New Roman" w:hAnsi="Times New Roman" w:cs="Times New Roman"/>
        </w:rPr>
        <w:t xml:space="preserve"> </w:t>
      </w:r>
    </w:p>
    <w:tbl>
      <w:tblPr>
        <w:tblStyle w:val="TableGrid"/>
        <w:tblW w:w="9116" w:type="dxa"/>
        <w:tblLook w:val="04A0" w:firstRow="1" w:lastRow="0" w:firstColumn="1" w:lastColumn="0" w:noHBand="0" w:noVBand="1"/>
      </w:tblPr>
      <w:tblGrid>
        <w:gridCol w:w="1768"/>
        <w:gridCol w:w="1534"/>
        <w:gridCol w:w="1453"/>
        <w:gridCol w:w="1453"/>
        <w:gridCol w:w="1454"/>
        <w:gridCol w:w="1454"/>
      </w:tblGrid>
      <w:tr w:rsidR="0096426F" w14:paraId="0B41C730" w14:textId="77777777" w:rsidTr="00BE06CE">
        <w:trPr>
          <w:trHeight w:val="380"/>
        </w:trPr>
        <w:tc>
          <w:tcPr>
            <w:tcW w:w="3302" w:type="dxa"/>
            <w:gridSpan w:val="2"/>
            <w:shd w:val="clear" w:color="auto" w:fill="auto"/>
          </w:tcPr>
          <w:p w14:paraId="19748E4D" w14:textId="77777777" w:rsidR="0096426F" w:rsidRPr="00912166" w:rsidRDefault="0096426F" w:rsidP="003E0FFD">
            <w:pPr>
              <w:rPr>
                <w:rFonts w:ascii="Calibri" w:hAnsi="Calibri" w:cs="Calibri"/>
                <w:sz w:val="20"/>
                <w:szCs w:val="20"/>
              </w:rPr>
            </w:pPr>
          </w:p>
        </w:tc>
        <w:tc>
          <w:tcPr>
            <w:tcW w:w="5814" w:type="dxa"/>
            <w:gridSpan w:val="4"/>
          </w:tcPr>
          <w:p w14:paraId="2783EDAD" w14:textId="77777777" w:rsidR="0096426F" w:rsidRPr="00912166" w:rsidRDefault="0096426F" w:rsidP="003E0FFD">
            <w:pPr>
              <w:jc w:val="center"/>
              <w:rPr>
                <w:rFonts w:ascii="Calibri" w:hAnsi="Calibri" w:cs="Calibri"/>
                <w:b/>
                <w:bCs/>
                <w:sz w:val="20"/>
                <w:szCs w:val="20"/>
              </w:rPr>
            </w:pPr>
            <w:r w:rsidRPr="00912166">
              <w:rPr>
                <w:rFonts w:ascii="Calibri" w:hAnsi="Calibri" w:cs="Calibri"/>
                <w:b/>
                <w:bCs/>
                <w:sz w:val="20"/>
                <w:szCs w:val="20"/>
              </w:rPr>
              <w:t>Management</w:t>
            </w:r>
          </w:p>
        </w:tc>
      </w:tr>
      <w:tr w:rsidR="0096426F" w14:paraId="4158F4FD" w14:textId="77777777" w:rsidTr="008E3D6D">
        <w:trPr>
          <w:trHeight w:val="333"/>
        </w:trPr>
        <w:tc>
          <w:tcPr>
            <w:tcW w:w="1768" w:type="dxa"/>
          </w:tcPr>
          <w:p w14:paraId="75833EE5" w14:textId="7ECF37F4" w:rsidR="0096426F" w:rsidRPr="00912166" w:rsidRDefault="0096426F" w:rsidP="003E0FFD">
            <w:pPr>
              <w:jc w:val="center"/>
              <w:rPr>
                <w:rFonts w:ascii="Calibri" w:hAnsi="Calibri" w:cs="Calibri"/>
                <w:b/>
                <w:bCs/>
                <w:sz w:val="20"/>
                <w:szCs w:val="20"/>
              </w:rPr>
            </w:pPr>
            <w:r w:rsidRPr="00912166">
              <w:rPr>
                <w:rFonts w:ascii="Calibri" w:hAnsi="Calibri" w:cs="Calibri"/>
                <w:b/>
                <w:bCs/>
                <w:sz w:val="20"/>
                <w:szCs w:val="20"/>
              </w:rPr>
              <w:t>Histopathology</w:t>
            </w:r>
          </w:p>
        </w:tc>
        <w:tc>
          <w:tcPr>
            <w:tcW w:w="1534" w:type="dxa"/>
          </w:tcPr>
          <w:p w14:paraId="4710DBD0" w14:textId="77777777" w:rsidR="0096426F" w:rsidRPr="00912166" w:rsidRDefault="0096426F" w:rsidP="003E0FFD">
            <w:pPr>
              <w:jc w:val="center"/>
              <w:rPr>
                <w:rFonts w:ascii="Calibri" w:hAnsi="Calibri" w:cs="Calibri"/>
                <w:b/>
                <w:bCs/>
                <w:sz w:val="20"/>
                <w:szCs w:val="20"/>
              </w:rPr>
            </w:pPr>
            <w:r w:rsidRPr="00912166">
              <w:rPr>
                <w:rFonts w:ascii="Calibri" w:hAnsi="Calibri" w:cs="Calibri"/>
                <w:b/>
                <w:bCs/>
                <w:sz w:val="20"/>
                <w:szCs w:val="20"/>
              </w:rPr>
              <w:t>Size (mm)</w:t>
            </w:r>
          </w:p>
        </w:tc>
        <w:tc>
          <w:tcPr>
            <w:tcW w:w="1453" w:type="dxa"/>
          </w:tcPr>
          <w:p w14:paraId="6CCDA7BB" w14:textId="77777777" w:rsidR="0096426F" w:rsidRPr="00912166" w:rsidRDefault="0096426F" w:rsidP="003E0FFD">
            <w:pPr>
              <w:jc w:val="center"/>
              <w:rPr>
                <w:rFonts w:ascii="Calibri" w:hAnsi="Calibri" w:cs="Calibri"/>
                <w:b/>
                <w:bCs/>
                <w:sz w:val="20"/>
                <w:szCs w:val="20"/>
              </w:rPr>
            </w:pPr>
            <w:r w:rsidRPr="00912166">
              <w:rPr>
                <w:rFonts w:ascii="Calibri" w:hAnsi="Calibri" w:cs="Calibri"/>
                <w:b/>
                <w:bCs/>
                <w:sz w:val="20"/>
                <w:szCs w:val="20"/>
              </w:rPr>
              <w:t>BTA</w:t>
            </w:r>
          </w:p>
        </w:tc>
        <w:tc>
          <w:tcPr>
            <w:tcW w:w="1453" w:type="dxa"/>
          </w:tcPr>
          <w:p w14:paraId="28A8A3BA" w14:textId="42077BAF" w:rsidR="0096426F" w:rsidRPr="00912166" w:rsidRDefault="0096426F" w:rsidP="003E0FFD">
            <w:pPr>
              <w:jc w:val="center"/>
              <w:rPr>
                <w:rFonts w:ascii="Calibri" w:hAnsi="Calibri" w:cs="Calibri"/>
                <w:b/>
                <w:bCs/>
                <w:sz w:val="20"/>
                <w:szCs w:val="20"/>
              </w:rPr>
            </w:pPr>
            <w:r w:rsidRPr="00912166">
              <w:rPr>
                <w:rFonts w:ascii="Calibri" w:hAnsi="Calibri" w:cs="Calibri"/>
                <w:b/>
                <w:bCs/>
                <w:sz w:val="20"/>
                <w:szCs w:val="20"/>
              </w:rPr>
              <w:t>ACR</w:t>
            </w:r>
            <w:r w:rsidR="007C77BD">
              <w:rPr>
                <w:rFonts w:ascii="Calibri" w:hAnsi="Calibri" w:cs="Calibri"/>
                <w:b/>
                <w:bCs/>
                <w:sz w:val="20"/>
                <w:szCs w:val="20"/>
              </w:rPr>
              <w:t>-TIRADS</w:t>
            </w:r>
          </w:p>
        </w:tc>
        <w:tc>
          <w:tcPr>
            <w:tcW w:w="1454" w:type="dxa"/>
          </w:tcPr>
          <w:p w14:paraId="689DD489" w14:textId="3CDD3192" w:rsidR="0096426F" w:rsidRPr="00912166" w:rsidRDefault="0096426F" w:rsidP="003E0FFD">
            <w:pPr>
              <w:jc w:val="center"/>
              <w:rPr>
                <w:rFonts w:ascii="Calibri" w:hAnsi="Calibri" w:cs="Calibri"/>
                <w:b/>
                <w:bCs/>
                <w:sz w:val="20"/>
                <w:szCs w:val="20"/>
              </w:rPr>
            </w:pPr>
            <w:r w:rsidRPr="00912166">
              <w:rPr>
                <w:rFonts w:ascii="Calibri" w:hAnsi="Calibri" w:cs="Calibri"/>
                <w:b/>
                <w:bCs/>
                <w:sz w:val="20"/>
                <w:szCs w:val="20"/>
              </w:rPr>
              <w:t>EU</w:t>
            </w:r>
            <w:r w:rsidR="007C77BD">
              <w:rPr>
                <w:rFonts w:ascii="Calibri" w:hAnsi="Calibri" w:cs="Calibri"/>
                <w:b/>
                <w:bCs/>
                <w:sz w:val="20"/>
                <w:szCs w:val="20"/>
              </w:rPr>
              <w:t>-TIRADS</w:t>
            </w:r>
          </w:p>
        </w:tc>
        <w:tc>
          <w:tcPr>
            <w:tcW w:w="1454" w:type="dxa"/>
          </w:tcPr>
          <w:p w14:paraId="09EF6DEE" w14:textId="2408957F" w:rsidR="0096426F" w:rsidRPr="00912166" w:rsidRDefault="0096426F" w:rsidP="003E0FFD">
            <w:pPr>
              <w:jc w:val="center"/>
              <w:rPr>
                <w:rFonts w:ascii="Calibri" w:hAnsi="Calibri" w:cs="Calibri"/>
                <w:b/>
                <w:bCs/>
                <w:sz w:val="20"/>
                <w:szCs w:val="20"/>
              </w:rPr>
            </w:pPr>
            <w:r w:rsidRPr="00912166">
              <w:rPr>
                <w:rFonts w:ascii="Calibri" w:hAnsi="Calibri" w:cs="Calibri"/>
                <w:b/>
                <w:bCs/>
                <w:sz w:val="20"/>
                <w:szCs w:val="20"/>
              </w:rPr>
              <w:t>AI</w:t>
            </w:r>
            <w:r w:rsidR="007C77BD">
              <w:rPr>
                <w:rFonts w:ascii="Calibri" w:hAnsi="Calibri" w:cs="Calibri"/>
                <w:b/>
                <w:bCs/>
                <w:sz w:val="20"/>
                <w:szCs w:val="20"/>
              </w:rPr>
              <w:t>-TIRADS</w:t>
            </w:r>
          </w:p>
        </w:tc>
      </w:tr>
      <w:tr w:rsidR="0096426F" w14:paraId="19EAAF92" w14:textId="77777777" w:rsidTr="008E3D6D">
        <w:trPr>
          <w:trHeight w:val="612"/>
        </w:trPr>
        <w:tc>
          <w:tcPr>
            <w:tcW w:w="1768" w:type="dxa"/>
          </w:tcPr>
          <w:p w14:paraId="07593A9F" w14:textId="77777777" w:rsidR="0096426F" w:rsidRPr="00912166" w:rsidRDefault="0096426F" w:rsidP="003E0FFD">
            <w:pPr>
              <w:jc w:val="center"/>
              <w:rPr>
                <w:rFonts w:ascii="Calibri" w:hAnsi="Calibri" w:cs="Calibri"/>
                <w:sz w:val="20"/>
                <w:szCs w:val="20"/>
              </w:rPr>
            </w:pPr>
            <w:r w:rsidRPr="00912166">
              <w:rPr>
                <w:rFonts w:ascii="Calibri" w:hAnsi="Calibri" w:cs="Calibri"/>
                <w:sz w:val="20"/>
                <w:szCs w:val="20"/>
              </w:rPr>
              <w:t>Papillary carcinoma</w:t>
            </w:r>
          </w:p>
        </w:tc>
        <w:tc>
          <w:tcPr>
            <w:tcW w:w="1534" w:type="dxa"/>
          </w:tcPr>
          <w:p w14:paraId="052AA395" w14:textId="2A663B14" w:rsidR="0096426F" w:rsidRPr="00912166" w:rsidRDefault="0096426F" w:rsidP="003E0FFD">
            <w:pPr>
              <w:jc w:val="center"/>
              <w:rPr>
                <w:rFonts w:ascii="Calibri" w:hAnsi="Calibri" w:cs="Calibri"/>
                <w:sz w:val="20"/>
                <w:szCs w:val="20"/>
              </w:rPr>
            </w:pPr>
            <w:r w:rsidRPr="00912166">
              <w:rPr>
                <w:rFonts w:ascii="Calibri" w:hAnsi="Calibri" w:cs="Calibri"/>
                <w:sz w:val="20"/>
                <w:szCs w:val="20"/>
              </w:rPr>
              <w:t>17 x 11</w:t>
            </w:r>
          </w:p>
        </w:tc>
        <w:tc>
          <w:tcPr>
            <w:tcW w:w="1453" w:type="dxa"/>
            <w:shd w:val="clear" w:color="auto" w:fill="00B050"/>
          </w:tcPr>
          <w:p w14:paraId="4FD238FC" w14:textId="77777777" w:rsidR="0096426F" w:rsidRPr="00912166" w:rsidRDefault="0096426F" w:rsidP="003E0FFD">
            <w:pPr>
              <w:rPr>
                <w:rFonts w:ascii="Calibri" w:hAnsi="Calibri" w:cs="Calibri"/>
                <w:sz w:val="20"/>
                <w:szCs w:val="20"/>
              </w:rPr>
            </w:pPr>
          </w:p>
        </w:tc>
        <w:tc>
          <w:tcPr>
            <w:tcW w:w="1453" w:type="dxa"/>
            <w:shd w:val="clear" w:color="auto" w:fill="FFFF00"/>
          </w:tcPr>
          <w:p w14:paraId="4EE0FBAE" w14:textId="541671A5" w:rsidR="0096426F" w:rsidRPr="00912166" w:rsidRDefault="0096426F" w:rsidP="003E0FFD">
            <w:pPr>
              <w:rPr>
                <w:rFonts w:ascii="Calibri" w:hAnsi="Calibri" w:cs="Calibri"/>
                <w:sz w:val="20"/>
                <w:szCs w:val="20"/>
              </w:rPr>
            </w:pPr>
          </w:p>
        </w:tc>
        <w:tc>
          <w:tcPr>
            <w:tcW w:w="1454" w:type="dxa"/>
            <w:shd w:val="clear" w:color="auto" w:fill="FF0000"/>
          </w:tcPr>
          <w:p w14:paraId="28241DC6" w14:textId="77777777" w:rsidR="0096426F" w:rsidRPr="00912166" w:rsidRDefault="0096426F" w:rsidP="003E0FFD">
            <w:pPr>
              <w:rPr>
                <w:rFonts w:ascii="Calibri" w:hAnsi="Calibri" w:cs="Calibri"/>
                <w:sz w:val="20"/>
                <w:szCs w:val="20"/>
              </w:rPr>
            </w:pPr>
          </w:p>
        </w:tc>
        <w:tc>
          <w:tcPr>
            <w:tcW w:w="1454" w:type="dxa"/>
            <w:shd w:val="clear" w:color="auto" w:fill="FFFF00"/>
          </w:tcPr>
          <w:p w14:paraId="0C970D6C" w14:textId="73AAA99F" w:rsidR="0096426F" w:rsidRPr="00912166" w:rsidRDefault="0096426F" w:rsidP="003E0FFD">
            <w:pPr>
              <w:rPr>
                <w:rFonts w:ascii="Calibri" w:hAnsi="Calibri" w:cs="Calibri"/>
                <w:sz w:val="20"/>
                <w:szCs w:val="20"/>
              </w:rPr>
            </w:pPr>
          </w:p>
        </w:tc>
      </w:tr>
      <w:tr w:rsidR="0096426F" w14:paraId="1478FDD5" w14:textId="77777777" w:rsidTr="008E3D6D">
        <w:trPr>
          <w:trHeight w:val="180"/>
        </w:trPr>
        <w:tc>
          <w:tcPr>
            <w:tcW w:w="1768" w:type="dxa"/>
          </w:tcPr>
          <w:p w14:paraId="5B5E2484" w14:textId="77777777" w:rsidR="0096426F" w:rsidRPr="00912166" w:rsidRDefault="0096426F" w:rsidP="003E0FFD">
            <w:pPr>
              <w:jc w:val="center"/>
              <w:rPr>
                <w:rFonts w:ascii="Calibri" w:hAnsi="Calibri" w:cs="Calibri"/>
                <w:sz w:val="20"/>
                <w:szCs w:val="20"/>
              </w:rPr>
            </w:pPr>
            <w:r w:rsidRPr="00912166">
              <w:rPr>
                <w:rFonts w:ascii="Calibri" w:hAnsi="Calibri" w:cs="Calibri"/>
                <w:sz w:val="20"/>
                <w:szCs w:val="20"/>
              </w:rPr>
              <w:t>Papillary carcinoma</w:t>
            </w:r>
          </w:p>
        </w:tc>
        <w:tc>
          <w:tcPr>
            <w:tcW w:w="1534" w:type="dxa"/>
          </w:tcPr>
          <w:p w14:paraId="45ABC9CC" w14:textId="77777777" w:rsidR="0096426F" w:rsidRPr="00912166" w:rsidRDefault="0096426F" w:rsidP="003E0FFD">
            <w:pPr>
              <w:jc w:val="center"/>
              <w:rPr>
                <w:rFonts w:ascii="Calibri" w:hAnsi="Calibri" w:cs="Calibri"/>
                <w:sz w:val="20"/>
                <w:szCs w:val="20"/>
              </w:rPr>
            </w:pPr>
            <w:r w:rsidRPr="00912166">
              <w:rPr>
                <w:rFonts w:ascii="Calibri" w:hAnsi="Calibri" w:cs="Calibri"/>
                <w:sz w:val="20"/>
                <w:szCs w:val="20"/>
              </w:rPr>
              <w:t>27 x 17</w:t>
            </w:r>
          </w:p>
        </w:tc>
        <w:tc>
          <w:tcPr>
            <w:tcW w:w="1453" w:type="dxa"/>
            <w:shd w:val="clear" w:color="auto" w:fill="00B050"/>
          </w:tcPr>
          <w:p w14:paraId="6A697BE3" w14:textId="20E5F322" w:rsidR="0096426F" w:rsidRPr="00912166" w:rsidRDefault="0096426F" w:rsidP="003E0FFD">
            <w:pPr>
              <w:rPr>
                <w:rFonts w:ascii="Calibri" w:hAnsi="Calibri" w:cs="Calibri"/>
                <w:sz w:val="20"/>
                <w:szCs w:val="20"/>
              </w:rPr>
            </w:pPr>
          </w:p>
        </w:tc>
        <w:tc>
          <w:tcPr>
            <w:tcW w:w="1453" w:type="dxa"/>
            <w:shd w:val="clear" w:color="auto" w:fill="00B050"/>
          </w:tcPr>
          <w:p w14:paraId="6BC29911" w14:textId="77777777" w:rsidR="0096426F" w:rsidRPr="00912166" w:rsidRDefault="0096426F" w:rsidP="003E0FFD">
            <w:pPr>
              <w:rPr>
                <w:rFonts w:ascii="Calibri" w:hAnsi="Calibri" w:cs="Calibri"/>
                <w:sz w:val="20"/>
                <w:szCs w:val="20"/>
              </w:rPr>
            </w:pPr>
          </w:p>
        </w:tc>
        <w:tc>
          <w:tcPr>
            <w:tcW w:w="1454" w:type="dxa"/>
            <w:shd w:val="clear" w:color="auto" w:fill="00B050"/>
          </w:tcPr>
          <w:p w14:paraId="237706B5" w14:textId="3BD3099B" w:rsidR="0096426F" w:rsidRPr="00912166" w:rsidRDefault="0096426F" w:rsidP="003E0FFD">
            <w:pPr>
              <w:rPr>
                <w:rFonts w:ascii="Calibri" w:hAnsi="Calibri" w:cs="Calibri"/>
                <w:sz w:val="20"/>
                <w:szCs w:val="20"/>
              </w:rPr>
            </w:pPr>
          </w:p>
        </w:tc>
        <w:tc>
          <w:tcPr>
            <w:tcW w:w="1454" w:type="dxa"/>
            <w:shd w:val="clear" w:color="auto" w:fill="00B050"/>
          </w:tcPr>
          <w:p w14:paraId="28490607" w14:textId="1598BFD0" w:rsidR="0096426F" w:rsidRPr="00912166" w:rsidRDefault="0096426F" w:rsidP="003E0FFD">
            <w:pPr>
              <w:rPr>
                <w:rFonts w:ascii="Calibri" w:hAnsi="Calibri" w:cs="Calibri"/>
                <w:sz w:val="20"/>
                <w:szCs w:val="20"/>
              </w:rPr>
            </w:pPr>
          </w:p>
        </w:tc>
      </w:tr>
      <w:tr w:rsidR="0096426F" w14:paraId="7F56B49C" w14:textId="77777777" w:rsidTr="008E3D6D">
        <w:trPr>
          <w:trHeight w:val="612"/>
        </w:trPr>
        <w:tc>
          <w:tcPr>
            <w:tcW w:w="1768" w:type="dxa"/>
          </w:tcPr>
          <w:p w14:paraId="00AE8C34" w14:textId="77777777" w:rsidR="0096426F" w:rsidRPr="00912166" w:rsidRDefault="0096426F" w:rsidP="003E0FFD">
            <w:pPr>
              <w:jc w:val="center"/>
              <w:rPr>
                <w:rFonts w:ascii="Calibri" w:hAnsi="Calibri" w:cs="Calibri"/>
                <w:sz w:val="20"/>
                <w:szCs w:val="20"/>
              </w:rPr>
            </w:pPr>
            <w:r w:rsidRPr="00912166">
              <w:rPr>
                <w:rFonts w:ascii="Calibri" w:hAnsi="Calibri" w:cs="Calibri"/>
                <w:sz w:val="20"/>
                <w:szCs w:val="20"/>
              </w:rPr>
              <w:t>Papillary carcinoma</w:t>
            </w:r>
          </w:p>
        </w:tc>
        <w:tc>
          <w:tcPr>
            <w:tcW w:w="1534" w:type="dxa"/>
          </w:tcPr>
          <w:p w14:paraId="434566BB" w14:textId="77777777" w:rsidR="0096426F" w:rsidRPr="00912166" w:rsidRDefault="0096426F" w:rsidP="003E0FFD">
            <w:pPr>
              <w:jc w:val="center"/>
              <w:rPr>
                <w:rFonts w:ascii="Calibri" w:hAnsi="Calibri" w:cs="Calibri"/>
                <w:sz w:val="20"/>
                <w:szCs w:val="20"/>
              </w:rPr>
            </w:pPr>
            <w:r w:rsidRPr="00912166">
              <w:rPr>
                <w:rFonts w:ascii="Calibri" w:hAnsi="Calibri" w:cs="Calibri"/>
                <w:sz w:val="20"/>
                <w:szCs w:val="20"/>
              </w:rPr>
              <w:t>10 x 9</w:t>
            </w:r>
          </w:p>
        </w:tc>
        <w:tc>
          <w:tcPr>
            <w:tcW w:w="1453" w:type="dxa"/>
            <w:shd w:val="clear" w:color="auto" w:fill="00B050"/>
          </w:tcPr>
          <w:p w14:paraId="5882E47B" w14:textId="77777777" w:rsidR="0096426F" w:rsidRPr="00912166" w:rsidRDefault="0096426F" w:rsidP="003E0FFD">
            <w:pPr>
              <w:rPr>
                <w:rFonts w:ascii="Calibri" w:hAnsi="Calibri" w:cs="Calibri"/>
                <w:sz w:val="20"/>
                <w:szCs w:val="20"/>
              </w:rPr>
            </w:pPr>
          </w:p>
        </w:tc>
        <w:tc>
          <w:tcPr>
            <w:tcW w:w="1453" w:type="dxa"/>
            <w:shd w:val="clear" w:color="auto" w:fill="00B050"/>
          </w:tcPr>
          <w:p w14:paraId="3084321A" w14:textId="61926AD2" w:rsidR="0096426F" w:rsidRPr="00912166" w:rsidRDefault="0096426F" w:rsidP="003E0FFD">
            <w:pPr>
              <w:rPr>
                <w:rFonts w:ascii="Calibri" w:hAnsi="Calibri" w:cs="Calibri"/>
                <w:sz w:val="20"/>
                <w:szCs w:val="20"/>
              </w:rPr>
            </w:pPr>
          </w:p>
        </w:tc>
        <w:tc>
          <w:tcPr>
            <w:tcW w:w="1454" w:type="dxa"/>
            <w:shd w:val="clear" w:color="auto" w:fill="00B050"/>
          </w:tcPr>
          <w:p w14:paraId="5A82ED1B" w14:textId="77777777" w:rsidR="0096426F" w:rsidRPr="00912166" w:rsidRDefault="0096426F" w:rsidP="003E0FFD">
            <w:pPr>
              <w:rPr>
                <w:rFonts w:ascii="Calibri" w:hAnsi="Calibri" w:cs="Calibri"/>
                <w:sz w:val="20"/>
                <w:szCs w:val="20"/>
              </w:rPr>
            </w:pPr>
          </w:p>
        </w:tc>
        <w:tc>
          <w:tcPr>
            <w:tcW w:w="1454" w:type="dxa"/>
            <w:shd w:val="clear" w:color="auto" w:fill="00B050"/>
          </w:tcPr>
          <w:p w14:paraId="6BCF0098" w14:textId="77777777" w:rsidR="0096426F" w:rsidRPr="00912166" w:rsidRDefault="0096426F" w:rsidP="003E0FFD">
            <w:pPr>
              <w:rPr>
                <w:rFonts w:ascii="Calibri" w:hAnsi="Calibri" w:cs="Calibri"/>
                <w:sz w:val="20"/>
                <w:szCs w:val="20"/>
              </w:rPr>
            </w:pPr>
          </w:p>
        </w:tc>
      </w:tr>
      <w:tr w:rsidR="0096426F" w14:paraId="45A0948C" w14:textId="77777777" w:rsidTr="008E3D6D">
        <w:trPr>
          <w:trHeight w:val="612"/>
        </w:trPr>
        <w:tc>
          <w:tcPr>
            <w:tcW w:w="1768" w:type="dxa"/>
          </w:tcPr>
          <w:p w14:paraId="3C5BCC5E" w14:textId="77777777" w:rsidR="0096426F" w:rsidRPr="00912166" w:rsidRDefault="0096426F" w:rsidP="003E0FFD">
            <w:pPr>
              <w:jc w:val="center"/>
              <w:rPr>
                <w:rFonts w:ascii="Calibri" w:hAnsi="Calibri" w:cs="Calibri"/>
                <w:sz w:val="20"/>
                <w:szCs w:val="20"/>
              </w:rPr>
            </w:pPr>
            <w:r w:rsidRPr="00912166">
              <w:rPr>
                <w:rFonts w:ascii="Calibri" w:hAnsi="Calibri" w:cs="Calibri"/>
                <w:sz w:val="20"/>
                <w:szCs w:val="20"/>
              </w:rPr>
              <w:t>Follicular carcinoma</w:t>
            </w:r>
          </w:p>
        </w:tc>
        <w:tc>
          <w:tcPr>
            <w:tcW w:w="1534" w:type="dxa"/>
          </w:tcPr>
          <w:p w14:paraId="28BC0A31" w14:textId="77777777" w:rsidR="0096426F" w:rsidRPr="00912166" w:rsidRDefault="0096426F" w:rsidP="003E0FFD">
            <w:pPr>
              <w:jc w:val="center"/>
              <w:rPr>
                <w:rFonts w:ascii="Calibri" w:hAnsi="Calibri" w:cs="Calibri"/>
                <w:sz w:val="20"/>
                <w:szCs w:val="20"/>
              </w:rPr>
            </w:pPr>
            <w:r w:rsidRPr="00912166">
              <w:rPr>
                <w:rFonts w:ascii="Calibri" w:hAnsi="Calibri" w:cs="Calibri"/>
                <w:sz w:val="20"/>
                <w:szCs w:val="20"/>
              </w:rPr>
              <w:t>44 x 31</w:t>
            </w:r>
          </w:p>
        </w:tc>
        <w:tc>
          <w:tcPr>
            <w:tcW w:w="1453" w:type="dxa"/>
            <w:shd w:val="clear" w:color="auto" w:fill="00B050"/>
          </w:tcPr>
          <w:p w14:paraId="50DFBDAF" w14:textId="77777777" w:rsidR="0096426F" w:rsidRPr="00912166" w:rsidRDefault="0096426F" w:rsidP="003E0FFD">
            <w:pPr>
              <w:rPr>
                <w:rFonts w:ascii="Calibri" w:hAnsi="Calibri" w:cs="Calibri"/>
                <w:sz w:val="20"/>
                <w:szCs w:val="20"/>
              </w:rPr>
            </w:pPr>
          </w:p>
        </w:tc>
        <w:tc>
          <w:tcPr>
            <w:tcW w:w="1453" w:type="dxa"/>
            <w:shd w:val="clear" w:color="auto" w:fill="00B050"/>
          </w:tcPr>
          <w:p w14:paraId="327CD225" w14:textId="77777777" w:rsidR="0096426F" w:rsidRPr="00912166" w:rsidRDefault="0096426F" w:rsidP="003E0FFD">
            <w:pPr>
              <w:rPr>
                <w:rFonts w:ascii="Calibri" w:hAnsi="Calibri" w:cs="Calibri"/>
                <w:sz w:val="20"/>
                <w:szCs w:val="20"/>
              </w:rPr>
            </w:pPr>
          </w:p>
        </w:tc>
        <w:tc>
          <w:tcPr>
            <w:tcW w:w="1454" w:type="dxa"/>
            <w:shd w:val="clear" w:color="auto" w:fill="00B050"/>
          </w:tcPr>
          <w:p w14:paraId="79969AAC" w14:textId="3799E262" w:rsidR="0096426F" w:rsidRPr="00912166" w:rsidRDefault="0096426F" w:rsidP="003E0FFD">
            <w:pPr>
              <w:rPr>
                <w:rFonts w:ascii="Calibri" w:hAnsi="Calibri" w:cs="Calibri"/>
                <w:sz w:val="20"/>
                <w:szCs w:val="20"/>
              </w:rPr>
            </w:pPr>
          </w:p>
        </w:tc>
        <w:tc>
          <w:tcPr>
            <w:tcW w:w="1454" w:type="dxa"/>
            <w:shd w:val="clear" w:color="auto" w:fill="00B050"/>
          </w:tcPr>
          <w:p w14:paraId="21B8B265" w14:textId="02695E86" w:rsidR="0096426F" w:rsidRPr="00912166" w:rsidRDefault="0096426F" w:rsidP="003E0FFD">
            <w:pPr>
              <w:rPr>
                <w:rFonts w:ascii="Calibri" w:hAnsi="Calibri" w:cs="Calibri"/>
                <w:sz w:val="20"/>
                <w:szCs w:val="20"/>
              </w:rPr>
            </w:pPr>
          </w:p>
        </w:tc>
      </w:tr>
    </w:tbl>
    <w:p w14:paraId="050BD33F" w14:textId="4BC51362" w:rsidR="0012456E" w:rsidRPr="00843E48" w:rsidRDefault="0096426F" w:rsidP="00843E48">
      <w:pPr>
        <w:rPr>
          <w:rFonts w:ascii="Times New Roman" w:hAnsi="Times New Roman" w:cs="Times New Roman"/>
          <w:sz w:val="20"/>
          <w:szCs w:val="20"/>
        </w:rPr>
      </w:pPr>
      <w:r w:rsidRPr="003329AA">
        <w:rPr>
          <w:rFonts w:ascii="Times New Roman" w:hAnsi="Times New Roman" w:cs="Times New Roman"/>
          <w:sz w:val="20"/>
          <w:szCs w:val="20"/>
        </w:rPr>
        <w:t>Green – Fine needle aspiration</w:t>
      </w:r>
      <w:r w:rsidRPr="003329AA">
        <w:rPr>
          <w:rFonts w:ascii="Times New Roman" w:hAnsi="Times New Roman" w:cs="Times New Roman"/>
          <w:sz w:val="20"/>
          <w:szCs w:val="20"/>
        </w:rPr>
        <w:br/>
        <w:t>Yellow – Surveillance/follow up</w:t>
      </w:r>
      <w:r w:rsidRPr="003329AA">
        <w:rPr>
          <w:rFonts w:ascii="Times New Roman" w:hAnsi="Times New Roman" w:cs="Times New Roman"/>
          <w:sz w:val="20"/>
          <w:szCs w:val="20"/>
        </w:rPr>
        <w:br/>
        <w:t>Red – No action</w:t>
      </w:r>
      <w:r w:rsidR="0013667F">
        <w:br w:type="page"/>
      </w:r>
    </w:p>
    <w:p w14:paraId="7AC95E88" w14:textId="5411F247" w:rsidR="0096426F" w:rsidRPr="00A4510A" w:rsidRDefault="0096426F" w:rsidP="0096426F">
      <w:pPr>
        <w:rPr>
          <w:rFonts w:ascii="Times New Roman" w:hAnsi="Times New Roman" w:cs="Times New Roman"/>
          <w:color w:val="000000" w:themeColor="text1"/>
          <w:u w:val="single"/>
        </w:rPr>
      </w:pPr>
      <w:r w:rsidRPr="00A4510A">
        <w:rPr>
          <w:rFonts w:ascii="Times New Roman" w:hAnsi="Times New Roman" w:cs="Times New Roman"/>
          <w:color w:val="000000" w:themeColor="text1"/>
          <w:u w:val="single"/>
        </w:rPr>
        <w:lastRenderedPageBreak/>
        <w:t xml:space="preserve">Interobserver </w:t>
      </w:r>
      <w:r w:rsidR="00A4510A">
        <w:rPr>
          <w:rFonts w:ascii="Times New Roman" w:hAnsi="Times New Roman" w:cs="Times New Roman"/>
          <w:color w:val="000000" w:themeColor="text1"/>
          <w:u w:val="single"/>
        </w:rPr>
        <w:t>agreement</w:t>
      </w:r>
    </w:p>
    <w:p w14:paraId="7B68E8DB" w14:textId="1F4D24D8" w:rsidR="0096426F" w:rsidRPr="00A4510A" w:rsidRDefault="00A465F3" w:rsidP="001361CF">
      <w:pPr>
        <w:spacing w:line="480" w:lineRule="auto"/>
        <w:rPr>
          <w:rFonts w:ascii="Times New Roman" w:hAnsi="Times New Roman" w:cs="Times New Roman"/>
          <w:color w:val="000000" w:themeColor="text1"/>
        </w:rPr>
      </w:pPr>
      <w:r w:rsidRPr="00A4510A">
        <w:rPr>
          <w:rFonts w:ascii="Times New Roman" w:hAnsi="Times New Roman" w:cs="Times New Roman"/>
          <w:color w:val="000000" w:themeColor="text1"/>
        </w:rPr>
        <w:t>Interobserver variability for each TIRADS guideline was calculated and demonstrated</w:t>
      </w:r>
      <w:r w:rsidR="00855C62" w:rsidRPr="00A4510A">
        <w:rPr>
          <w:rFonts w:ascii="Times New Roman" w:hAnsi="Times New Roman" w:cs="Times New Roman"/>
          <w:color w:val="000000" w:themeColor="text1"/>
        </w:rPr>
        <w:t xml:space="preserve"> overall</w:t>
      </w:r>
      <w:r w:rsidRPr="00A4510A">
        <w:rPr>
          <w:rFonts w:ascii="Times New Roman" w:hAnsi="Times New Roman" w:cs="Times New Roman"/>
          <w:color w:val="000000" w:themeColor="text1"/>
        </w:rPr>
        <w:t xml:space="preserve"> fair agreement for EU-TIRADS, </w:t>
      </w:r>
      <w:r w:rsidR="00855C62" w:rsidRPr="00A4510A">
        <w:rPr>
          <w:rFonts w:ascii="Times New Roman" w:hAnsi="Times New Roman" w:cs="Times New Roman"/>
          <w:color w:val="000000" w:themeColor="text1"/>
        </w:rPr>
        <w:t xml:space="preserve">and </w:t>
      </w:r>
      <w:r w:rsidRPr="00A4510A">
        <w:rPr>
          <w:rFonts w:ascii="Times New Roman" w:hAnsi="Times New Roman" w:cs="Times New Roman"/>
          <w:color w:val="000000" w:themeColor="text1"/>
        </w:rPr>
        <w:t>moderate</w:t>
      </w:r>
      <w:r w:rsidR="00855C62" w:rsidRPr="00A4510A">
        <w:rPr>
          <w:rFonts w:ascii="Times New Roman" w:hAnsi="Times New Roman" w:cs="Times New Roman"/>
          <w:color w:val="000000" w:themeColor="text1"/>
        </w:rPr>
        <w:t xml:space="preserve"> </w:t>
      </w:r>
      <w:r w:rsidRPr="00A4510A">
        <w:rPr>
          <w:rFonts w:ascii="Times New Roman" w:hAnsi="Times New Roman" w:cs="Times New Roman"/>
          <w:color w:val="000000" w:themeColor="text1"/>
        </w:rPr>
        <w:t xml:space="preserve">agreement for ACR-TIRADS and AI-TIRADS. Statistically, AI-TIRADS demonstrated </w:t>
      </w:r>
      <w:r w:rsidR="00907DAD" w:rsidRPr="00A4510A">
        <w:rPr>
          <w:rFonts w:ascii="Times New Roman" w:hAnsi="Times New Roman" w:cs="Times New Roman"/>
          <w:color w:val="000000" w:themeColor="text1"/>
        </w:rPr>
        <w:t>highest</w:t>
      </w:r>
      <w:r w:rsidRPr="00A4510A">
        <w:rPr>
          <w:rFonts w:ascii="Times New Roman" w:hAnsi="Times New Roman" w:cs="Times New Roman"/>
          <w:color w:val="000000" w:themeColor="text1"/>
        </w:rPr>
        <w:t xml:space="preserve"> overall interobserver agreement [Table 7]. </w:t>
      </w:r>
    </w:p>
    <w:p w14:paraId="48C26950" w14:textId="722B140D" w:rsidR="0096426F" w:rsidRPr="00A4510A" w:rsidRDefault="0096426F" w:rsidP="0096426F">
      <w:pPr>
        <w:rPr>
          <w:rFonts w:ascii="Times New Roman" w:hAnsi="Times New Roman" w:cs="Times New Roman"/>
          <w:color w:val="000000" w:themeColor="text1"/>
        </w:rPr>
      </w:pPr>
      <w:r w:rsidRPr="00A4510A">
        <w:rPr>
          <w:rFonts w:ascii="Times New Roman" w:hAnsi="Times New Roman" w:cs="Times New Roman"/>
          <w:b/>
          <w:bCs/>
          <w:color w:val="000000" w:themeColor="text1"/>
        </w:rPr>
        <w:t xml:space="preserve">Table </w:t>
      </w:r>
      <w:r w:rsidR="00A465F3" w:rsidRPr="00A4510A">
        <w:rPr>
          <w:rFonts w:ascii="Times New Roman" w:hAnsi="Times New Roman" w:cs="Times New Roman"/>
          <w:b/>
          <w:bCs/>
          <w:color w:val="000000" w:themeColor="text1"/>
        </w:rPr>
        <w:t>7</w:t>
      </w:r>
      <w:r w:rsidRPr="00A4510A">
        <w:rPr>
          <w:rFonts w:ascii="Times New Roman" w:hAnsi="Times New Roman" w:cs="Times New Roman"/>
          <w:b/>
          <w:bCs/>
          <w:color w:val="000000" w:themeColor="text1"/>
        </w:rPr>
        <w:t>.</w:t>
      </w:r>
      <w:r w:rsidRPr="00A4510A">
        <w:rPr>
          <w:rFonts w:ascii="Times New Roman" w:hAnsi="Times New Roman" w:cs="Times New Roman"/>
          <w:color w:val="000000" w:themeColor="text1"/>
        </w:rPr>
        <w:t xml:space="preserve"> Interobserver </w:t>
      </w:r>
      <w:r w:rsidR="00F67FC3" w:rsidRPr="00A4510A">
        <w:rPr>
          <w:rFonts w:ascii="Times New Roman" w:hAnsi="Times New Roman" w:cs="Times New Roman"/>
          <w:color w:val="000000" w:themeColor="text1"/>
        </w:rPr>
        <w:t>agreement</w:t>
      </w:r>
      <w:r w:rsidRPr="00A4510A">
        <w:rPr>
          <w:rFonts w:ascii="Times New Roman" w:hAnsi="Times New Roman" w:cs="Times New Roman"/>
          <w:color w:val="000000" w:themeColor="text1"/>
        </w:rPr>
        <w:t>.</w:t>
      </w:r>
    </w:p>
    <w:tbl>
      <w:tblPr>
        <w:tblStyle w:val="TableGrid"/>
        <w:tblW w:w="0" w:type="auto"/>
        <w:tblLook w:val="04A0" w:firstRow="1" w:lastRow="0" w:firstColumn="1" w:lastColumn="0" w:noHBand="0" w:noVBand="1"/>
      </w:tblPr>
      <w:tblGrid>
        <w:gridCol w:w="2254"/>
        <w:gridCol w:w="2254"/>
        <w:gridCol w:w="2254"/>
        <w:gridCol w:w="2254"/>
      </w:tblGrid>
      <w:tr w:rsidR="00A4510A" w:rsidRPr="00A4510A" w14:paraId="3CB83FA7" w14:textId="77777777" w:rsidTr="00BE06CE">
        <w:tc>
          <w:tcPr>
            <w:tcW w:w="2254" w:type="dxa"/>
            <w:shd w:val="clear" w:color="auto" w:fill="auto"/>
            <w:vAlign w:val="center"/>
          </w:tcPr>
          <w:p w14:paraId="654EFF0C" w14:textId="77777777" w:rsidR="0096426F" w:rsidRPr="00A4510A" w:rsidRDefault="0096426F" w:rsidP="003E0FFD">
            <w:pPr>
              <w:jc w:val="center"/>
              <w:rPr>
                <w:rFonts w:ascii="Calibri" w:hAnsi="Calibri" w:cs="Calibri"/>
                <w:b/>
                <w:bCs/>
                <w:color w:val="000000" w:themeColor="text1"/>
                <w:sz w:val="20"/>
                <w:szCs w:val="20"/>
              </w:rPr>
            </w:pPr>
          </w:p>
        </w:tc>
        <w:tc>
          <w:tcPr>
            <w:tcW w:w="6762" w:type="dxa"/>
            <w:gridSpan w:val="3"/>
            <w:shd w:val="clear" w:color="auto" w:fill="auto"/>
            <w:vAlign w:val="center"/>
          </w:tcPr>
          <w:p w14:paraId="229B5929" w14:textId="77777777" w:rsidR="0096426F" w:rsidRPr="00A4510A" w:rsidRDefault="0096426F" w:rsidP="003E0FFD">
            <w:pPr>
              <w:jc w:val="center"/>
              <w:rPr>
                <w:rFonts w:ascii="Calibri" w:hAnsi="Calibri" w:cs="Calibri"/>
                <w:b/>
                <w:bCs/>
                <w:color w:val="000000" w:themeColor="text1"/>
                <w:sz w:val="20"/>
                <w:szCs w:val="20"/>
              </w:rPr>
            </w:pPr>
            <w:r w:rsidRPr="00A4510A">
              <w:rPr>
                <w:rFonts w:ascii="Calibri" w:hAnsi="Calibri" w:cs="Calibri"/>
                <w:b/>
                <w:bCs/>
                <w:color w:val="000000" w:themeColor="text1"/>
                <w:sz w:val="20"/>
                <w:szCs w:val="20"/>
              </w:rPr>
              <w:t>Kappa</w:t>
            </w:r>
          </w:p>
        </w:tc>
      </w:tr>
      <w:tr w:rsidR="00A4510A" w:rsidRPr="00A4510A" w14:paraId="4C397F20" w14:textId="77777777" w:rsidTr="003E0FFD">
        <w:trPr>
          <w:trHeight w:val="330"/>
        </w:trPr>
        <w:tc>
          <w:tcPr>
            <w:tcW w:w="2254" w:type="dxa"/>
            <w:shd w:val="clear" w:color="auto" w:fill="FFFFFF" w:themeFill="background1"/>
            <w:vAlign w:val="center"/>
          </w:tcPr>
          <w:p w14:paraId="036EC7A2" w14:textId="77777777" w:rsidR="0096426F" w:rsidRPr="00A4510A" w:rsidRDefault="0096426F" w:rsidP="003E0FFD">
            <w:pPr>
              <w:jc w:val="center"/>
              <w:rPr>
                <w:rFonts w:ascii="Calibri" w:hAnsi="Calibri" w:cs="Calibri"/>
                <w:color w:val="000000" w:themeColor="text1"/>
                <w:sz w:val="20"/>
                <w:szCs w:val="20"/>
              </w:rPr>
            </w:pPr>
            <w:r w:rsidRPr="00A4510A">
              <w:rPr>
                <w:rFonts w:ascii="Calibri" w:hAnsi="Calibri" w:cs="Calibri"/>
                <w:b/>
                <w:bCs/>
                <w:color w:val="000000" w:themeColor="text1"/>
                <w:sz w:val="20"/>
                <w:szCs w:val="20"/>
              </w:rPr>
              <w:t>Observers</w:t>
            </w:r>
          </w:p>
        </w:tc>
        <w:tc>
          <w:tcPr>
            <w:tcW w:w="2254" w:type="dxa"/>
            <w:shd w:val="clear" w:color="auto" w:fill="FFFFFF" w:themeFill="background1"/>
            <w:vAlign w:val="center"/>
          </w:tcPr>
          <w:p w14:paraId="4BED3CC9" w14:textId="77777777" w:rsidR="0096426F" w:rsidRPr="00A4510A" w:rsidRDefault="0096426F" w:rsidP="003E0FFD">
            <w:pPr>
              <w:jc w:val="center"/>
              <w:rPr>
                <w:rFonts w:ascii="Calibri" w:hAnsi="Calibri" w:cs="Calibri"/>
                <w:b/>
                <w:bCs/>
                <w:color w:val="000000" w:themeColor="text1"/>
                <w:sz w:val="20"/>
                <w:szCs w:val="20"/>
              </w:rPr>
            </w:pPr>
            <w:r w:rsidRPr="00A4510A">
              <w:rPr>
                <w:rFonts w:ascii="Calibri" w:hAnsi="Calibri" w:cs="Calibri"/>
                <w:b/>
                <w:bCs/>
                <w:color w:val="000000" w:themeColor="text1"/>
                <w:sz w:val="20"/>
                <w:szCs w:val="20"/>
              </w:rPr>
              <w:t>ACR-TIRADS</w:t>
            </w:r>
          </w:p>
        </w:tc>
        <w:tc>
          <w:tcPr>
            <w:tcW w:w="2254" w:type="dxa"/>
            <w:shd w:val="clear" w:color="auto" w:fill="FFFFFF" w:themeFill="background1"/>
            <w:vAlign w:val="center"/>
          </w:tcPr>
          <w:p w14:paraId="6741C7EE" w14:textId="77777777" w:rsidR="0096426F" w:rsidRPr="00A4510A" w:rsidRDefault="0096426F" w:rsidP="003E0FFD">
            <w:pPr>
              <w:jc w:val="center"/>
              <w:rPr>
                <w:rFonts w:ascii="Calibri" w:hAnsi="Calibri" w:cs="Calibri"/>
                <w:b/>
                <w:bCs/>
                <w:color w:val="000000" w:themeColor="text1"/>
                <w:sz w:val="20"/>
                <w:szCs w:val="20"/>
              </w:rPr>
            </w:pPr>
            <w:r w:rsidRPr="00A4510A">
              <w:rPr>
                <w:rFonts w:ascii="Calibri" w:hAnsi="Calibri" w:cs="Calibri"/>
                <w:b/>
                <w:bCs/>
                <w:color w:val="000000" w:themeColor="text1"/>
                <w:sz w:val="20"/>
                <w:szCs w:val="20"/>
              </w:rPr>
              <w:t>EU-TIRADS</w:t>
            </w:r>
          </w:p>
        </w:tc>
        <w:tc>
          <w:tcPr>
            <w:tcW w:w="2254" w:type="dxa"/>
            <w:shd w:val="clear" w:color="auto" w:fill="FFFFFF" w:themeFill="background1"/>
            <w:vAlign w:val="center"/>
          </w:tcPr>
          <w:p w14:paraId="619FD84A" w14:textId="77777777" w:rsidR="0096426F" w:rsidRPr="00A4510A" w:rsidRDefault="0096426F" w:rsidP="003E0FFD">
            <w:pPr>
              <w:jc w:val="center"/>
              <w:rPr>
                <w:rFonts w:ascii="Calibri" w:hAnsi="Calibri" w:cs="Calibri"/>
                <w:b/>
                <w:bCs/>
                <w:color w:val="000000" w:themeColor="text1"/>
                <w:sz w:val="20"/>
                <w:szCs w:val="20"/>
              </w:rPr>
            </w:pPr>
            <w:r w:rsidRPr="00A4510A">
              <w:rPr>
                <w:rFonts w:ascii="Calibri" w:hAnsi="Calibri" w:cs="Calibri"/>
                <w:b/>
                <w:bCs/>
                <w:color w:val="000000" w:themeColor="text1"/>
                <w:sz w:val="20"/>
                <w:szCs w:val="20"/>
              </w:rPr>
              <w:t>AI-TIRADS</w:t>
            </w:r>
          </w:p>
        </w:tc>
      </w:tr>
      <w:tr w:rsidR="00A4510A" w:rsidRPr="00A4510A" w14:paraId="4D97E94D" w14:textId="77777777" w:rsidTr="003E0FFD">
        <w:trPr>
          <w:trHeight w:val="376"/>
        </w:trPr>
        <w:tc>
          <w:tcPr>
            <w:tcW w:w="2254" w:type="dxa"/>
            <w:vAlign w:val="center"/>
          </w:tcPr>
          <w:p w14:paraId="54CECC36" w14:textId="77777777" w:rsidR="0096426F" w:rsidRPr="00A4510A" w:rsidRDefault="0096426F" w:rsidP="003E0FFD">
            <w:pPr>
              <w:jc w:val="center"/>
              <w:rPr>
                <w:rFonts w:ascii="Calibri" w:hAnsi="Calibri" w:cs="Calibri"/>
                <w:color w:val="000000" w:themeColor="text1"/>
                <w:sz w:val="20"/>
                <w:szCs w:val="20"/>
              </w:rPr>
            </w:pPr>
            <w:proofErr w:type="spellStart"/>
            <w:r w:rsidRPr="00A4510A">
              <w:rPr>
                <w:rFonts w:ascii="Calibri" w:hAnsi="Calibri" w:cs="Calibri"/>
                <w:color w:val="000000" w:themeColor="text1"/>
                <w:sz w:val="20"/>
                <w:szCs w:val="20"/>
              </w:rPr>
              <w:t>SpR</w:t>
            </w:r>
            <w:proofErr w:type="spellEnd"/>
            <w:r w:rsidRPr="00A4510A">
              <w:rPr>
                <w:rFonts w:ascii="Calibri" w:hAnsi="Calibri" w:cs="Calibri"/>
                <w:color w:val="000000" w:themeColor="text1"/>
                <w:sz w:val="20"/>
                <w:szCs w:val="20"/>
              </w:rPr>
              <w:t xml:space="preserve"> + SHNS</w:t>
            </w:r>
          </w:p>
        </w:tc>
        <w:tc>
          <w:tcPr>
            <w:tcW w:w="2254" w:type="dxa"/>
            <w:vAlign w:val="center"/>
          </w:tcPr>
          <w:p w14:paraId="1C7D0870" w14:textId="1D6D6338" w:rsidR="0096426F" w:rsidRPr="00A4510A" w:rsidRDefault="0096426F" w:rsidP="003E0FFD">
            <w:pPr>
              <w:jc w:val="center"/>
              <w:rPr>
                <w:rFonts w:ascii="Calibri" w:hAnsi="Calibri" w:cs="Calibri"/>
                <w:color w:val="000000" w:themeColor="text1"/>
                <w:sz w:val="20"/>
                <w:szCs w:val="20"/>
              </w:rPr>
            </w:pPr>
            <w:r w:rsidRPr="00A4510A">
              <w:rPr>
                <w:rFonts w:ascii="Calibri" w:hAnsi="Calibri" w:cs="Calibri"/>
                <w:color w:val="000000" w:themeColor="text1"/>
                <w:sz w:val="20"/>
                <w:szCs w:val="20"/>
              </w:rPr>
              <w:t>0.</w:t>
            </w:r>
            <w:r w:rsidR="00855C62" w:rsidRPr="00A4510A">
              <w:rPr>
                <w:rFonts w:ascii="Calibri" w:hAnsi="Calibri" w:cs="Calibri"/>
                <w:color w:val="000000" w:themeColor="text1"/>
                <w:sz w:val="20"/>
                <w:szCs w:val="20"/>
              </w:rPr>
              <w:t>753</w:t>
            </w:r>
          </w:p>
        </w:tc>
        <w:tc>
          <w:tcPr>
            <w:tcW w:w="2254" w:type="dxa"/>
            <w:vAlign w:val="center"/>
          </w:tcPr>
          <w:p w14:paraId="03B97BD8" w14:textId="5ECBE0FE" w:rsidR="0096426F" w:rsidRPr="00A4510A" w:rsidRDefault="0096426F" w:rsidP="003E0FFD">
            <w:pPr>
              <w:jc w:val="center"/>
              <w:rPr>
                <w:rFonts w:ascii="Calibri" w:hAnsi="Calibri" w:cs="Calibri"/>
                <w:color w:val="000000" w:themeColor="text1"/>
                <w:sz w:val="20"/>
                <w:szCs w:val="20"/>
              </w:rPr>
            </w:pPr>
            <w:r w:rsidRPr="00A4510A">
              <w:rPr>
                <w:rFonts w:ascii="Calibri" w:hAnsi="Calibri" w:cs="Calibri"/>
                <w:color w:val="000000" w:themeColor="text1"/>
                <w:sz w:val="20"/>
                <w:szCs w:val="20"/>
              </w:rPr>
              <w:t>0.</w:t>
            </w:r>
            <w:r w:rsidR="00855C62" w:rsidRPr="00A4510A">
              <w:rPr>
                <w:rFonts w:ascii="Calibri" w:hAnsi="Calibri" w:cs="Calibri"/>
                <w:color w:val="000000" w:themeColor="text1"/>
                <w:sz w:val="20"/>
                <w:szCs w:val="20"/>
              </w:rPr>
              <w:t>582</w:t>
            </w:r>
          </w:p>
        </w:tc>
        <w:tc>
          <w:tcPr>
            <w:tcW w:w="2254" w:type="dxa"/>
            <w:vAlign w:val="center"/>
          </w:tcPr>
          <w:p w14:paraId="7DD0C80F" w14:textId="67A847FD" w:rsidR="0096426F" w:rsidRPr="00A4510A" w:rsidRDefault="0096426F" w:rsidP="003E0FFD">
            <w:pPr>
              <w:jc w:val="center"/>
              <w:rPr>
                <w:rFonts w:ascii="Calibri" w:hAnsi="Calibri" w:cs="Calibri"/>
                <w:color w:val="000000" w:themeColor="text1"/>
                <w:sz w:val="20"/>
                <w:szCs w:val="20"/>
              </w:rPr>
            </w:pPr>
            <w:r w:rsidRPr="00A4510A">
              <w:rPr>
                <w:rFonts w:ascii="Calibri" w:hAnsi="Calibri" w:cs="Calibri"/>
                <w:color w:val="000000" w:themeColor="text1"/>
                <w:sz w:val="20"/>
                <w:szCs w:val="20"/>
              </w:rPr>
              <w:t>0.6</w:t>
            </w:r>
            <w:r w:rsidR="00855C62" w:rsidRPr="00A4510A">
              <w:rPr>
                <w:rFonts w:ascii="Calibri" w:hAnsi="Calibri" w:cs="Calibri"/>
                <w:color w:val="000000" w:themeColor="text1"/>
                <w:sz w:val="20"/>
                <w:szCs w:val="20"/>
              </w:rPr>
              <w:t>93</w:t>
            </w:r>
          </w:p>
        </w:tc>
      </w:tr>
      <w:tr w:rsidR="00A4510A" w:rsidRPr="00A4510A" w14:paraId="5B0B85CB" w14:textId="77777777" w:rsidTr="003E0FFD">
        <w:trPr>
          <w:trHeight w:val="311"/>
        </w:trPr>
        <w:tc>
          <w:tcPr>
            <w:tcW w:w="2254" w:type="dxa"/>
            <w:vAlign w:val="center"/>
          </w:tcPr>
          <w:p w14:paraId="57DE0092" w14:textId="77777777" w:rsidR="0096426F" w:rsidRPr="00A4510A" w:rsidRDefault="0096426F" w:rsidP="003E0FFD">
            <w:pPr>
              <w:jc w:val="center"/>
              <w:rPr>
                <w:rFonts w:ascii="Calibri" w:hAnsi="Calibri" w:cs="Calibri"/>
                <w:color w:val="000000" w:themeColor="text1"/>
                <w:sz w:val="20"/>
                <w:szCs w:val="20"/>
              </w:rPr>
            </w:pPr>
            <w:proofErr w:type="spellStart"/>
            <w:r w:rsidRPr="00A4510A">
              <w:rPr>
                <w:rFonts w:ascii="Calibri" w:hAnsi="Calibri" w:cs="Calibri"/>
                <w:color w:val="000000" w:themeColor="text1"/>
                <w:sz w:val="20"/>
                <w:szCs w:val="20"/>
              </w:rPr>
              <w:t>SpR</w:t>
            </w:r>
            <w:proofErr w:type="spellEnd"/>
            <w:r w:rsidRPr="00A4510A">
              <w:rPr>
                <w:rFonts w:ascii="Calibri" w:hAnsi="Calibri" w:cs="Calibri"/>
                <w:color w:val="000000" w:themeColor="text1"/>
                <w:sz w:val="20"/>
                <w:szCs w:val="20"/>
              </w:rPr>
              <w:t xml:space="preserve"> + Cons</w:t>
            </w:r>
          </w:p>
        </w:tc>
        <w:tc>
          <w:tcPr>
            <w:tcW w:w="2254" w:type="dxa"/>
            <w:vAlign w:val="center"/>
          </w:tcPr>
          <w:p w14:paraId="7AC8B375" w14:textId="385953BB" w:rsidR="0096426F" w:rsidRPr="00A4510A" w:rsidRDefault="0096426F" w:rsidP="003E0FFD">
            <w:pPr>
              <w:jc w:val="center"/>
              <w:rPr>
                <w:rFonts w:ascii="Calibri" w:hAnsi="Calibri" w:cs="Calibri"/>
                <w:color w:val="000000" w:themeColor="text1"/>
                <w:sz w:val="20"/>
                <w:szCs w:val="20"/>
              </w:rPr>
            </w:pPr>
            <w:r w:rsidRPr="00A4510A">
              <w:rPr>
                <w:rFonts w:ascii="Calibri" w:hAnsi="Calibri" w:cs="Calibri"/>
                <w:color w:val="000000" w:themeColor="text1"/>
                <w:sz w:val="20"/>
                <w:szCs w:val="20"/>
              </w:rPr>
              <w:t>0.4</w:t>
            </w:r>
            <w:r w:rsidR="00855C62" w:rsidRPr="00A4510A">
              <w:rPr>
                <w:rFonts w:ascii="Calibri" w:hAnsi="Calibri" w:cs="Calibri"/>
                <w:color w:val="000000" w:themeColor="text1"/>
                <w:sz w:val="20"/>
                <w:szCs w:val="20"/>
              </w:rPr>
              <w:t>96</w:t>
            </w:r>
          </w:p>
        </w:tc>
        <w:tc>
          <w:tcPr>
            <w:tcW w:w="2254" w:type="dxa"/>
            <w:vAlign w:val="center"/>
          </w:tcPr>
          <w:p w14:paraId="00998838" w14:textId="72123DF1" w:rsidR="0096426F" w:rsidRPr="00A4510A" w:rsidRDefault="0096426F" w:rsidP="003E0FFD">
            <w:pPr>
              <w:jc w:val="center"/>
              <w:rPr>
                <w:rFonts w:ascii="Calibri" w:hAnsi="Calibri" w:cs="Calibri"/>
                <w:color w:val="000000" w:themeColor="text1"/>
                <w:sz w:val="20"/>
                <w:szCs w:val="20"/>
              </w:rPr>
            </w:pPr>
            <w:r w:rsidRPr="00A4510A">
              <w:rPr>
                <w:rFonts w:ascii="Calibri" w:hAnsi="Calibri" w:cs="Calibri"/>
                <w:color w:val="000000" w:themeColor="text1"/>
                <w:sz w:val="20"/>
                <w:szCs w:val="20"/>
              </w:rPr>
              <w:t>0.</w:t>
            </w:r>
            <w:r w:rsidR="00855C62" w:rsidRPr="00A4510A">
              <w:rPr>
                <w:rFonts w:ascii="Calibri" w:hAnsi="Calibri" w:cs="Calibri"/>
                <w:color w:val="000000" w:themeColor="text1"/>
                <w:sz w:val="20"/>
                <w:szCs w:val="20"/>
              </w:rPr>
              <w:t>518</w:t>
            </w:r>
          </w:p>
        </w:tc>
        <w:tc>
          <w:tcPr>
            <w:tcW w:w="2254" w:type="dxa"/>
            <w:vAlign w:val="center"/>
          </w:tcPr>
          <w:p w14:paraId="1D0B7170" w14:textId="0E68D402" w:rsidR="0096426F" w:rsidRPr="00A4510A" w:rsidRDefault="0096426F" w:rsidP="003E0FFD">
            <w:pPr>
              <w:jc w:val="center"/>
              <w:rPr>
                <w:rFonts w:ascii="Calibri" w:hAnsi="Calibri" w:cs="Calibri"/>
                <w:color w:val="000000" w:themeColor="text1"/>
                <w:sz w:val="20"/>
                <w:szCs w:val="20"/>
              </w:rPr>
            </w:pPr>
            <w:r w:rsidRPr="00A4510A">
              <w:rPr>
                <w:rFonts w:ascii="Calibri" w:hAnsi="Calibri" w:cs="Calibri"/>
                <w:color w:val="000000" w:themeColor="text1"/>
                <w:sz w:val="20"/>
                <w:szCs w:val="20"/>
              </w:rPr>
              <w:t>0.7</w:t>
            </w:r>
            <w:r w:rsidR="00855C62" w:rsidRPr="00A4510A">
              <w:rPr>
                <w:rFonts w:ascii="Calibri" w:hAnsi="Calibri" w:cs="Calibri"/>
                <w:color w:val="000000" w:themeColor="text1"/>
                <w:sz w:val="20"/>
                <w:szCs w:val="20"/>
              </w:rPr>
              <w:t>87</w:t>
            </w:r>
          </w:p>
        </w:tc>
      </w:tr>
      <w:tr w:rsidR="00A4510A" w:rsidRPr="00A4510A" w14:paraId="056E5158" w14:textId="77777777" w:rsidTr="003E0FFD">
        <w:trPr>
          <w:trHeight w:val="311"/>
        </w:trPr>
        <w:tc>
          <w:tcPr>
            <w:tcW w:w="2254" w:type="dxa"/>
            <w:vAlign w:val="center"/>
          </w:tcPr>
          <w:p w14:paraId="64189340" w14:textId="77777777" w:rsidR="0096426F" w:rsidRPr="00A4510A" w:rsidRDefault="0096426F" w:rsidP="003E0FFD">
            <w:pPr>
              <w:jc w:val="center"/>
              <w:rPr>
                <w:rFonts w:ascii="Calibri" w:hAnsi="Calibri" w:cs="Calibri"/>
                <w:color w:val="000000" w:themeColor="text1"/>
                <w:sz w:val="20"/>
                <w:szCs w:val="20"/>
              </w:rPr>
            </w:pPr>
            <w:r w:rsidRPr="00A4510A">
              <w:rPr>
                <w:rFonts w:ascii="Calibri" w:hAnsi="Calibri" w:cs="Calibri"/>
                <w:color w:val="000000" w:themeColor="text1"/>
                <w:sz w:val="20"/>
                <w:szCs w:val="20"/>
              </w:rPr>
              <w:t>SHNS + Cons</w:t>
            </w:r>
          </w:p>
        </w:tc>
        <w:tc>
          <w:tcPr>
            <w:tcW w:w="2254" w:type="dxa"/>
            <w:vAlign w:val="center"/>
          </w:tcPr>
          <w:p w14:paraId="1DD5DFF5" w14:textId="3E9EB954" w:rsidR="0096426F" w:rsidRPr="00A4510A" w:rsidRDefault="00855C62" w:rsidP="003E0FFD">
            <w:pPr>
              <w:jc w:val="center"/>
              <w:rPr>
                <w:rFonts w:ascii="Calibri" w:hAnsi="Calibri" w:cs="Calibri"/>
                <w:color w:val="000000" w:themeColor="text1"/>
                <w:sz w:val="20"/>
                <w:szCs w:val="20"/>
              </w:rPr>
            </w:pPr>
            <w:r w:rsidRPr="00A4510A">
              <w:rPr>
                <w:rFonts w:ascii="Calibri" w:hAnsi="Calibri" w:cs="Calibri"/>
                <w:color w:val="000000" w:themeColor="text1"/>
                <w:sz w:val="20"/>
                <w:szCs w:val="20"/>
              </w:rPr>
              <w:t>0.507</w:t>
            </w:r>
          </w:p>
        </w:tc>
        <w:tc>
          <w:tcPr>
            <w:tcW w:w="2254" w:type="dxa"/>
            <w:vAlign w:val="center"/>
          </w:tcPr>
          <w:p w14:paraId="30FD8E73" w14:textId="4ECB5480" w:rsidR="0096426F" w:rsidRPr="00A4510A" w:rsidRDefault="0096426F" w:rsidP="003E0FFD">
            <w:pPr>
              <w:jc w:val="center"/>
              <w:rPr>
                <w:rFonts w:ascii="Calibri" w:hAnsi="Calibri" w:cs="Calibri"/>
                <w:color w:val="000000" w:themeColor="text1"/>
                <w:sz w:val="20"/>
                <w:szCs w:val="20"/>
              </w:rPr>
            </w:pPr>
            <w:r w:rsidRPr="00A4510A">
              <w:rPr>
                <w:rFonts w:ascii="Calibri" w:hAnsi="Calibri" w:cs="Calibri"/>
                <w:color w:val="000000" w:themeColor="text1"/>
                <w:sz w:val="20"/>
                <w:szCs w:val="20"/>
              </w:rPr>
              <w:t>0.</w:t>
            </w:r>
            <w:r w:rsidR="00855C62" w:rsidRPr="00A4510A">
              <w:rPr>
                <w:rFonts w:ascii="Calibri" w:hAnsi="Calibri" w:cs="Calibri"/>
                <w:color w:val="000000" w:themeColor="text1"/>
                <w:sz w:val="20"/>
                <w:szCs w:val="20"/>
              </w:rPr>
              <w:t>308</w:t>
            </w:r>
          </w:p>
        </w:tc>
        <w:tc>
          <w:tcPr>
            <w:tcW w:w="2254" w:type="dxa"/>
            <w:vAlign w:val="center"/>
          </w:tcPr>
          <w:p w14:paraId="0A4EA075" w14:textId="552ADC65" w:rsidR="0096426F" w:rsidRPr="00A4510A" w:rsidRDefault="0096426F" w:rsidP="003E0FFD">
            <w:pPr>
              <w:jc w:val="center"/>
              <w:rPr>
                <w:rFonts w:ascii="Calibri" w:hAnsi="Calibri" w:cs="Calibri"/>
                <w:color w:val="000000" w:themeColor="text1"/>
                <w:sz w:val="20"/>
                <w:szCs w:val="20"/>
              </w:rPr>
            </w:pPr>
            <w:r w:rsidRPr="00A4510A">
              <w:rPr>
                <w:rFonts w:ascii="Calibri" w:hAnsi="Calibri" w:cs="Calibri"/>
                <w:color w:val="000000" w:themeColor="text1"/>
                <w:sz w:val="20"/>
                <w:szCs w:val="20"/>
              </w:rPr>
              <w:t>0.4</w:t>
            </w:r>
            <w:r w:rsidR="00855C62" w:rsidRPr="00A4510A">
              <w:rPr>
                <w:rFonts w:ascii="Calibri" w:hAnsi="Calibri" w:cs="Calibri"/>
                <w:color w:val="000000" w:themeColor="text1"/>
                <w:sz w:val="20"/>
                <w:szCs w:val="20"/>
              </w:rPr>
              <w:t>83</w:t>
            </w:r>
          </w:p>
        </w:tc>
      </w:tr>
      <w:tr w:rsidR="00A4510A" w:rsidRPr="00A4510A" w14:paraId="72C08102" w14:textId="77777777" w:rsidTr="003E0FFD">
        <w:trPr>
          <w:trHeight w:val="311"/>
        </w:trPr>
        <w:tc>
          <w:tcPr>
            <w:tcW w:w="2254" w:type="dxa"/>
            <w:vAlign w:val="center"/>
          </w:tcPr>
          <w:p w14:paraId="79D3634F" w14:textId="01837CB9" w:rsidR="005B2D56" w:rsidRPr="00A4510A" w:rsidRDefault="005B2D56" w:rsidP="003E0FFD">
            <w:pPr>
              <w:jc w:val="center"/>
              <w:rPr>
                <w:rFonts w:ascii="Calibri" w:hAnsi="Calibri" w:cs="Calibri"/>
                <w:b/>
                <w:bCs/>
                <w:color w:val="000000" w:themeColor="text1"/>
                <w:sz w:val="20"/>
                <w:szCs w:val="20"/>
              </w:rPr>
            </w:pPr>
            <w:r w:rsidRPr="00A4510A">
              <w:rPr>
                <w:rFonts w:ascii="Calibri" w:hAnsi="Calibri" w:cs="Calibri"/>
                <w:b/>
                <w:bCs/>
                <w:color w:val="000000" w:themeColor="text1"/>
                <w:sz w:val="20"/>
                <w:szCs w:val="20"/>
              </w:rPr>
              <w:t>Overall</w:t>
            </w:r>
          </w:p>
        </w:tc>
        <w:tc>
          <w:tcPr>
            <w:tcW w:w="2254" w:type="dxa"/>
            <w:vAlign w:val="center"/>
          </w:tcPr>
          <w:p w14:paraId="3D95D8FE" w14:textId="6B8D33CB" w:rsidR="005B2D56" w:rsidRPr="00A4510A" w:rsidRDefault="00855C62" w:rsidP="003E0FFD">
            <w:pPr>
              <w:jc w:val="center"/>
              <w:rPr>
                <w:rFonts w:ascii="Calibri" w:hAnsi="Calibri" w:cs="Calibri"/>
                <w:color w:val="000000" w:themeColor="text1"/>
                <w:sz w:val="20"/>
                <w:szCs w:val="20"/>
              </w:rPr>
            </w:pPr>
            <w:r w:rsidRPr="00A4510A">
              <w:rPr>
                <w:rFonts w:ascii="Calibri" w:hAnsi="Calibri" w:cs="Calibri"/>
                <w:color w:val="000000" w:themeColor="text1"/>
                <w:sz w:val="20"/>
                <w:szCs w:val="20"/>
              </w:rPr>
              <w:t>0.490</w:t>
            </w:r>
          </w:p>
        </w:tc>
        <w:tc>
          <w:tcPr>
            <w:tcW w:w="2254" w:type="dxa"/>
            <w:vAlign w:val="center"/>
          </w:tcPr>
          <w:p w14:paraId="38B25586" w14:textId="0F836B59" w:rsidR="005B2D56" w:rsidRPr="00A4510A" w:rsidRDefault="00855C62" w:rsidP="003E0FFD">
            <w:pPr>
              <w:jc w:val="center"/>
              <w:rPr>
                <w:rFonts w:ascii="Calibri" w:hAnsi="Calibri" w:cs="Calibri"/>
                <w:color w:val="000000" w:themeColor="text1"/>
                <w:sz w:val="20"/>
                <w:szCs w:val="20"/>
              </w:rPr>
            </w:pPr>
            <w:r w:rsidRPr="00A4510A">
              <w:rPr>
                <w:rFonts w:ascii="Calibri" w:hAnsi="Calibri" w:cs="Calibri"/>
                <w:color w:val="000000" w:themeColor="text1"/>
                <w:sz w:val="20"/>
                <w:szCs w:val="20"/>
              </w:rPr>
              <w:t>0.373</w:t>
            </w:r>
          </w:p>
        </w:tc>
        <w:tc>
          <w:tcPr>
            <w:tcW w:w="2254" w:type="dxa"/>
            <w:vAlign w:val="center"/>
          </w:tcPr>
          <w:p w14:paraId="2C87D9EF" w14:textId="28C8F6F4" w:rsidR="005B2D56" w:rsidRPr="00A4510A" w:rsidRDefault="00855C62" w:rsidP="003E0FFD">
            <w:pPr>
              <w:jc w:val="center"/>
              <w:rPr>
                <w:rFonts w:ascii="Calibri" w:hAnsi="Calibri" w:cs="Calibri"/>
                <w:color w:val="000000" w:themeColor="text1"/>
                <w:sz w:val="20"/>
                <w:szCs w:val="20"/>
              </w:rPr>
            </w:pPr>
            <w:r w:rsidRPr="00A4510A">
              <w:rPr>
                <w:rFonts w:ascii="Calibri" w:hAnsi="Calibri" w:cs="Calibri"/>
                <w:color w:val="000000" w:themeColor="text1"/>
                <w:sz w:val="20"/>
                <w:szCs w:val="20"/>
              </w:rPr>
              <w:t>0.603</w:t>
            </w:r>
          </w:p>
        </w:tc>
      </w:tr>
      <w:tr w:rsidR="00A4510A" w:rsidRPr="00A4510A" w14:paraId="753D9D6B" w14:textId="77777777" w:rsidTr="003E0FFD">
        <w:trPr>
          <w:trHeight w:val="357"/>
        </w:trPr>
        <w:tc>
          <w:tcPr>
            <w:tcW w:w="2254" w:type="dxa"/>
            <w:vAlign w:val="center"/>
          </w:tcPr>
          <w:p w14:paraId="74335038" w14:textId="77777777" w:rsidR="0096426F" w:rsidRPr="00A4510A" w:rsidRDefault="0096426F" w:rsidP="003E0FFD">
            <w:pPr>
              <w:jc w:val="center"/>
              <w:rPr>
                <w:rFonts w:ascii="Calibri" w:hAnsi="Calibri" w:cs="Calibri"/>
                <w:b/>
                <w:bCs/>
                <w:color w:val="000000" w:themeColor="text1"/>
                <w:sz w:val="20"/>
                <w:szCs w:val="20"/>
              </w:rPr>
            </w:pPr>
            <w:r w:rsidRPr="00A4510A">
              <w:rPr>
                <w:rFonts w:ascii="Calibri" w:hAnsi="Calibri" w:cs="Calibri"/>
                <w:b/>
                <w:bCs/>
                <w:color w:val="000000" w:themeColor="text1"/>
                <w:sz w:val="20"/>
                <w:szCs w:val="20"/>
              </w:rPr>
              <w:t>Interpretation</w:t>
            </w:r>
          </w:p>
        </w:tc>
        <w:tc>
          <w:tcPr>
            <w:tcW w:w="2254" w:type="dxa"/>
            <w:shd w:val="clear" w:color="auto" w:fill="FFFFFF" w:themeFill="background1"/>
            <w:vAlign w:val="center"/>
          </w:tcPr>
          <w:p w14:paraId="6F995779" w14:textId="7412A18B" w:rsidR="0096426F" w:rsidRPr="00A4510A" w:rsidRDefault="0096426F" w:rsidP="003E0FFD">
            <w:pPr>
              <w:jc w:val="center"/>
              <w:rPr>
                <w:rFonts w:ascii="Calibri" w:hAnsi="Calibri" w:cs="Calibri"/>
                <w:color w:val="000000" w:themeColor="text1"/>
                <w:sz w:val="20"/>
                <w:szCs w:val="20"/>
              </w:rPr>
            </w:pPr>
            <w:r w:rsidRPr="00A4510A">
              <w:rPr>
                <w:rFonts w:ascii="Calibri" w:hAnsi="Calibri" w:cs="Calibri"/>
                <w:color w:val="000000" w:themeColor="text1"/>
                <w:sz w:val="20"/>
                <w:szCs w:val="20"/>
              </w:rPr>
              <w:t>Moderate</w:t>
            </w:r>
            <w:r w:rsidR="00855C62" w:rsidRPr="00A4510A">
              <w:rPr>
                <w:rFonts w:ascii="Calibri" w:hAnsi="Calibri" w:cs="Calibri"/>
                <w:color w:val="000000" w:themeColor="text1"/>
                <w:sz w:val="20"/>
                <w:szCs w:val="20"/>
              </w:rPr>
              <w:t xml:space="preserve"> Agreement</w:t>
            </w:r>
          </w:p>
        </w:tc>
        <w:tc>
          <w:tcPr>
            <w:tcW w:w="2254" w:type="dxa"/>
            <w:shd w:val="clear" w:color="auto" w:fill="FFFFFF" w:themeFill="background1"/>
            <w:vAlign w:val="center"/>
          </w:tcPr>
          <w:p w14:paraId="68BDA2C8" w14:textId="1C0C29D2" w:rsidR="0096426F" w:rsidRPr="00A4510A" w:rsidRDefault="0096426F" w:rsidP="003E0FFD">
            <w:pPr>
              <w:jc w:val="center"/>
              <w:rPr>
                <w:rFonts w:ascii="Calibri" w:hAnsi="Calibri" w:cs="Calibri"/>
                <w:color w:val="000000" w:themeColor="text1"/>
                <w:sz w:val="20"/>
                <w:szCs w:val="20"/>
              </w:rPr>
            </w:pPr>
            <w:r w:rsidRPr="00A4510A">
              <w:rPr>
                <w:rFonts w:ascii="Calibri" w:hAnsi="Calibri" w:cs="Calibri"/>
                <w:color w:val="000000" w:themeColor="text1"/>
                <w:sz w:val="20"/>
                <w:szCs w:val="20"/>
              </w:rPr>
              <w:t>Fair</w:t>
            </w:r>
            <w:r w:rsidR="00855C62" w:rsidRPr="00A4510A">
              <w:rPr>
                <w:rFonts w:ascii="Calibri" w:hAnsi="Calibri" w:cs="Calibri"/>
                <w:color w:val="000000" w:themeColor="text1"/>
                <w:sz w:val="20"/>
                <w:szCs w:val="20"/>
              </w:rPr>
              <w:t xml:space="preserve"> Agreement</w:t>
            </w:r>
          </w:p>
        </w:tc>
        <w:tc>
          <w:tcPr>
            <w:tcW w:w="2254" w:type="dxa"/>
            <w:shd w:val="clear" w:color="auto" w:fill="FFFFFF" w:themeFill="background1"/>
            <w:vAlign w:val="center"/>
          </w:tcPr>
          <w:p w14:paraId="4E1ACD2A" w14:textId="7A0EA3BF" w:rsidR="0096426F" w:rsidRPr="00A4510A" w:rsidRDefault="0096426F" w:rsidP="003E0FFD">
            <w:pPr>
              <w:jc w:val="center"/>
              <w:rPr>
                <w:rFonts w:ascii="Calibri" w:hAnsi="Calibri" w:cs="Calibri"/>
                <w:color w:val="000000" w:themeColor="text1"/>
                <w:sz w:val="20"/>
                <w:szCs w:val="20"/>
              </w:rPr>
            </w:pPr>
            <w:r w:rsidRPr="00A4510A">
              <w:rPr>
                <w:rFonts w:ascii="Calibri" w:hAnsi="Calibri" w:cs="Calibri"/>
                <w:color w:val="000000" w:themeColor="text1"/>
                <w:sz w:val="20"/>
                <w:szCs w:val="20"/>
              </w:rPr>
              <w:t>Moderate</w:t>
            </w:r>
            <w:r w:rsidR="00855C62" w:rsidRPr="00A4510A">
              <w:rPr>
                <w:rFonts w:ascii="Calibri" w:hAnsi="Calibri" w:cs="Calibri"/>
                <w:color w:val="000000" w:themeColor="text1"/>
                <w:sz w:val="20"/>
                <w:szCs w:val="20"/>
              </w:rPr>
              <w:t xml:space="preserve"> Agreement</w:t>
            </w:r>
          </w:p>
        </w:tc>
      </w:tr>
    </w:tbl>
    <w:p w14:paraId="3F5AFFD7" w14:textId="77777777" w:rsidR="00E464AE" w:rsidRDefault="0096426F" w:rsidP="00E464AE">
      <w:pPr>
        <w:rPr>
          <w:rFonts w:ascii="Times New Roman" w:hAnsi="Times New Roman" w:cs="Times New Roman"/>
          <w:b/>
          <w:bCs/>
        </w:rPr>
      </w:pPr>
      <w:proofErr w:type="spellStart"/>
      <w:r w:rsidRPr="003329AA">
        <w:rPr>
          <w:rFonts w:ascii="Times New Roman" w:hAnsi="Times New Roman" w:cs="Times New Roman"/>
          <w:sz w:val="20"/>
          <w:szCs w:val="20"/>
        </w:rPr>
        <w:t>SpR</w:t>
      </w:r>
      <w:proofErr w:type="spellEnd"/>
      <w:r w:rsidRPr="003329AA">
        <w:rPr>
          <w:rFonts w:ascii="Times New Roman" w:hAnsi="Times New Roman" w:cs="Times New Roman"/>
          <w:sz w:val="20"/>
          <w:szCs w:val="20"/>
        </w:rPr>
        <w:t xml:space="preserve"> – </w:t>
      </w:r>
      <w:r>
        <w:rPr>
          <w:rFonts w:ascii="Times New Roman" w:hAnsi="Times New Roman" w:cs="Times New Roman"/>
          <w:sz w:val="20"/>
          <w:szCs w:val="20"/>
        </w:rPr>
        <w:t xml:space="preserve">Clinical </w:t>
      </w:r>
      <w:r w:rsidRPr="003329AA">
        <w:rPr>
          <w:rFonts w:ascii="Times New Roman" w:hAnsi="Times New Roman" w:cs="Times New Roman"/>
          <w:sz w:val="20"/>
          <w:szCs w:val="20"/>
        </w:rPr>
        <w:t>Radiology Specialist Registrar</w:t>
      </w:r>
      <w:r w:rsidRPr="003329AA">
        <w:rPr>
          <w:rFonts w:ascii="Times New Roman" w:hAnsi="Times New Roman" w:cs="Times New Roman"/>
          <w:sz w:val="20"/>
          <w:szCs w:val="20"/>
        </w:rPr>
        <w:br/>
        <w:t>SHNS – Specialist Head &amp; Neck Sonographer</w:t>
      </w:r>
      <w:r w:rsidRPr="003329AA">
        <w:rPr>
          <w:rFonts w:ascii="Times New Roman" w:hAnsi="Times New Roman" w:cs="Times New Roman"/>
          <w:sz w:val="20"/>
          <w:szCs w:val="20"/>
        </w:rPr>
        <w:br/>
        <w:t>Cons – Consultant Head &amp; Neck Radiologist</w:t>
      </w:r>
      <w:r w:rsidRPr="003329AA">
        <w:rPr>
          <w:rFonts w:ascii="Times New Roman" w:hAnsi="Times New Roman" w:cs="Times New Roman"/>
          <w:sz w:val="20"/>
          <w:szCs w:val="20"/>
        </w:rPr>
        <w:br/>
      </w:r>
    </w:p>
    <w:p w14:paraId="29D95654" w14:textId="258A2285" w:rsidR="00E464AE" w:rsidRPr="00045A7F" w:rsidRDefault="00E464AE" w:rsidP="00E464AE">
      <w:r w:rsidRPr="004B62B6">
        <w:rPr>
          <w:rFonts w:ascii="Times New Roman" w:hAnsi="Times New Roman" w:cs="Times New Roman"/>
          <w:b/>
          <w:bCs/>
        </w:rPr>
        <w:t>Discussion</w:t>
      </w:r>
    </w:p>
    <w:p w14:paraId="095BC9A5" w14:textId="37CBCCD4" w:rsidR="00852410" w:rsidRPr="00B871EA" w:rsidRDefault="00852410" w:rsidP="001361CF">
      <w:pPr>
        <w:spacing w:line="480" w:lineRule="auto"/>
        <w:rPr>
          <w:rFonts w:ascii="Times New Roman" w:hAnsi="Times New Roman" w:cs="Times New Roman"/>
        </w:rPr>
      </w:pPr>
      <w:r w:rsidRPr="00B871EA">
        <w:rPr>
          <w:rFonts w:ascii="Times New Roman" w:hAnsi="Times New Roman" w:cs="Times New Roman"/>
        </w:rPr>
        <w:t xml:space="preserve">This </w:t>
      </w:r>
      <w:r w:rsidR="00E7196D">
        <w:rPr>
          <w:rFonts w:ascii="Times New Roman" w:hAnsi="Times New Roman" w:cs="Times New Roman"/>
        </w:rPr>
        <w:t xml:space="preserve">analysis </w:t>
      </w:r>
      <w:r w:rsidRPr="00B871EA">
        <w:rPr>
          <w:rFonts w:ascii="Times New Roman" w:hAnsi="Times New Roman" w:cs="Times New Roman"/>
        </w:rPr>
        <w:t>evaluates the</w:t>
      </w:r>
      <w:r>
        <w:rPr>
          <w:rFonts w:ascii="Times New Roman" w:hAnsi="Times New Roman" w:cs="Times New Roman"/>
        </w:rPr>
        <w:t xml:space="preserve"> potential</w:t>
      </w:r>
      <w:r w:rsidRPr="00B871EA">
        <w:rPr>
          <w:rFonts w:ascii="Times New Roman" w:hAnsi="Times New Roman" w:cs="Times New Roman"/>
        </w:rPr>
        <w:t xml:space="preserve"> differences in radiological and surgical management of indeterminate U3 thyroid nodules when using </w:t>
      </w:r>
      <w:r>
        <w:rPr>
          <w:rFonts w:ascii="Times New Roman" w:hAnsi="Times New Roman" w:cs="Times New Roman"/>
        </w:rPr>
        <w:t>ACR, EU and AI-</w:t>
      </w:r>
      <w:r w:rsidRPr="00B871EA">
        <w:rPr>
          <w:rFonts w:ascii="Times New Roman" w:hAnsi="Times New Roman" w:cs="Times New Roman"/>
        </w:rPr>
        <w:t>TIRADS classification</w:t>
      </w:r>
      <w:r>
        <w:rPr>
          <w:rFonts w:ascii="Times New Roman" w:hAnsi="Times New Roman" w:cs="Times New Roman"/>
        </w:rPr>
        <w:t>s</w:t>
      </w:r>
      <w:r w:rsidRPr="00B871EA">
        <w:rPr>
          <w:rFonts w:ascii="Times New Roman" w:hAnsi="Times New Roman" w:cs="Times New Roman"/>
        </w:rPr>
        <w:t xml:space="preserve"> as an alternative to BTA</w:t>
      </w:r>
      <w:r w:rsidR="00E7196D">
        <w:rPr>
          <w:rFonts w:ascii="Times New Roman" w:hAnsi="Times New Roman" w:cs="Times New Roman"/>
        </w:rPr>
        <w:t xml:space="preserve"> at our centre</w:t>
      </w:r>
      <w:r w:rsidRPr="00B871EA">
        <w:rPr>
          <w:rFonts w:ascii="Times New Roman" w:hAnsi="Times New Roman" w:cs="Times New Roman"/>
        </w:rPr>
        <w:t xml:space="preserve">. Few papers looking specifically at this indeterminate group exist to date. </w:t>
      </w:r>
    </w:p>
    <w:p w14:paraId="524CA111" w14:textId="77777777" w:rsidR="00852410" w:rsidRDefault="00852410" w:rsidP="001361CF">
      <w:pPr>
        <w:spacing w:line="480" w:lineRule="auto"/>
        <w:rPr>
          <w:rFonts w:ascii="Times New Roman" w:hAnsi="Times New Roman" w:cs="Times New Roman"/>
        </w:rPr>
      </w:pPr>
      <w:r w:rsidRPr="00B871EA">
        <w:rPr>
          <w:rFonts w:ascii="Times New Roman" w:hAnsi="Times New Roman" w:cs="Times New Roman"/>
        </w:rPr>
        <w:t xml:space="preserve">Our principal findings are: </w:t>
      </w:r>
    </w:p>
    <w:p w14:paraId="44EC87A6" w14:textId="0AF35CA6" w:rsidR="009924F8" w:rsidRDefault="00852410" w:rsidP="001361CF">
      <w:pPr>
        <w:pStyle w:val="ListParagraph"/>
        <w:numPr>
          <w:ilvl w:val="0"/>
          <w:numId w:val="6"/>
        </w:numPr>
        <w:spacing w:line="480" w:lineRule="auto"/>
        <w:rPr>
          <w:rFonts w:ascii="Times New Roman" w:hAnsi="Times New Roman" w:cs="Times New Roman"/>
        </w:rPr>
      </w:pPr>
      <w:r>
        <w:rPr>
          <w:rFonts w:ascii="Times New Roman" w:hAnsi="Times New Roman" w:cs="Times New Roman"/>
        </w:rPr>
        <w:t xml:space="preserve">45-55% of </w:t>
      </w:r>
      <w:r w:rsidR="009F3EAA">
        <w:rPr>
          <w:rFonts w:ascii="Times New Roman" w:hAnsi="Times New Roman" w:cs="Times New Roman"/>
        </w:rPr>
        <w:t>U3</w:t>
      </w:r>
      <w:r>
        <w:rPr>
          <w:rFonts w:ascii="Times New Roman" w:hAnsi="Times New Roman" w:cs="Times New Roman"/>
        </w:rPr>
        <w:t xml:space="preserve"> nodules undergoing FNAC at the time of ultrasound </w:t>
      </w:r>
      <w:r w:rsidR="009924F8">
        <w:rPr>
          <w:rFonts w:ascii="Times New Roman" w:hAnsi="Times New Roman" w:cs="Times New Roman"/>
        </w:rPr>
        <w:t>would have been performed under a TIRADS RSS, as opposed to 100% under BTA guidance.</w:t>
      </w:r>
    </w:p>
    <w:p w14:paraId="0ADCE4E3" w14:textId="2A97F602" w:rsidR="00852410" w:rsidRDefault="009924F8" w:rsidP="001361CF">
      <w:pPr>
        <w:pStyle w:val="ListParagraph"/>
        <w:numPr>
          <w:ilvl w:val="0"/>
          <w:numId w:val="6"/>
        </w:numPr>
        <w:spacing w:line="480" w:lineRule="auto"/>
        <w:rPr>
          <w:rFonts w:ascii="Times New Roman" w:hAnsi="Times New Roman" w:cs="Times New Roman"/>
        </w:rPr>
      </w:pPr>
      <w:r>
        <w:rPr>
          <w:rFonts w:ascii="Times New Roman" w:hAnsi="Times New Roman" w:cs="Times New Roman"/>
        </w:rPr>
        <w:t xml:space="preserve">High rates of non-diagnostic and equivocal FNAC </w:t>
      </w:r>
      <w:r w:rsidR="00E7196D">
        <w:rPr>
          <w:rFonts w:ascii="Times New Roman" w:hAnsi="Times New Roman" w:cs="Times New Roman"/>
        </w:rPr>
        <w:t>led to</w:t>
      </w:r>
      <w:r>
        <w:rPr>
          <w:rFonts w:ascii="Times New Roman" w:hAnsi="Times New Roman" w:cs="Times New Roman"/>
        </w:rPr>
        <w:t xml:space="preserve"> significant increases in surgical discussions and ultimately increases in diagnostic surgery for </w:t>
      </w:r>
      <w:r w:rsidR="009D487E">
        <w:rPr>
          <w:rFonts w:ascii="Times New Roman" w:hAnsi="Times New Roman" w:cs="Times New Roman"/>
        </w:rPr>
        <w:t>indeterminate nodules</w:t>
      </w:r>
      <w:r>
        <w:rPr>
          <w:rFonts w:ascii="Times New Roman" w:hAnsi="Times New Roman" w:cs="Times New Roman"/>
        </w:rPr>
        <w:t xml:space="preserve"> under BTA compared to</w:t>
      </w:r>
      <w:r w:rsidR="00E7196D">
        <w:rPr>
          <w:rFonts w:ascii="Times New Roman" w:hAnsi="Times New Roman" w:cs="Times New Roman"/>
        </w:rPr>
        <w:t xml:space="preserve"> retrospective</w:t>
      </w:r>
      <w:r>
        <w:rPr>
          <w:rFonts w:ascii="Times New Roman" w:hAnsi="Times New Roman" w:cs="Times New Roman"/>
        </w:rPr>
        <w:t xml:space="preserve"> TIRADS </w:t>
      </w:r>
      <w:r w:rsidR="00E7196D">
        <w:rPr>
          <w:rFonts w:ascii="Times New Roman" w:hAnsi="Times New Roman" w:cs="Times New Roman"/>
        </w:rPr>
        <w:t>application.</w:t>
      </w:r>
    </w:p>
    <w:p w14:paraId="4E046227" w14:textId="2616B8EA" w:rsidR="00642E78" w:rsidRPr="009D487E" w:rsidRDefault="009C69C4" w:rsidP="001361CF">
      <w:pPr>
        <w:pStyle w:val="ListParagraph"/>
        <w:numPr>
          <w:ilvl w:val="0"/>
          <w:numId w:val="6"/>
        </w:numPr>
        <w:spacing w:line="480" w:lineRule="auto"/>
        <w:rPr>
          <w:rFonts w:ascii="Times New Roman" w:hAnsi="Times New Roman" w:cs="Times New Roman"/>
        </w:rPr>
      </w:pPr>
      <w:r>
        <w:rPr>
          <w:rFonts w:ascii="Times New Roman" w:hAnsi="Times New Roman" w:cs="Times New Roman"/>
        </w:rPr>
        <w:t>Up to 20% of</w:t>
      </w:r>
      <w:r w:rsidR="009924F8">
        <w:rPr>
          <w:rFonts w:ascii="Times New Roman" w:hAnsi="Times New Roman" w:cs="Times New Roman"/>
        </w:rPr>
        <w:t xml:space="preserve"> surg</w:t>
      </w:r>
      <w:r>
        <w:rPr>
          <w:rFonts w:ascii="Times New Roman" w:hAnsi="Times New Roman" w:cs="Times New Roman"/>
        </w:rPr>
        <w:t>ical cases</w:t>
      </w:r>
      <w:r w:rsidR="009924F8">
        <w:rPr>
          <w:rFonts w:ascii="Times New Roman" w:hAnsi="Times New Roman" w:cs="Times New Roman"/>
        </w:rPr>
        <w:t xml:space="preserve"> for benign pathology in this </w:t>
      </w:r>
      <w:r>
        <w:rPr>
          <w:rFonts w:ascii="Times New Roman" w:hAnsi="Times New Roman" w:cs="Times New Roman"/>
        </w:rPr>
        <w:t>challenging</w:t>
      </w:r>
      <w:r w:rsidR="009924F8">
        <w:rPr>
          <w:rFonts w:ascii="Times New Roman" w:hAnsi="Times New Roman" w:cs="Times New Roman"/>
        </w:rPr>
        <w:t xml:space="preserve"> subgroup may have been averted using a TIRADS RSS. However,</w:t>
      </w:r>
      <w:r w:rsidR="00E7196D">
        <w:rPr>
          <w:rFonts w:ascii="Times New Roman" w:hAnsi="Times New Roman" w:cs="Times New Roman"/>
        </w:rPr>
        <w:t xml:space="preserve"> 1 of the 4</w:t>
      </w:r>
      <w:r w:rsidR="008E3D6D">
        <w:rPr>
          <w:rFonts w:ascii="Times New Roman" w:hAnsi="Times New Roman" w:cs="Times New Roman"/>
        </w:rPr>
        <w:t xml:space="preserve"> </w:t>
      </w:r>
      <w:r w:rsidR="009924F8">
        <w:rPr>
          <w:rFonts w:ascii="Times New Roman" w:hAnsi="Times New Roman" w:cs="Times New Roman"/>
        </w:rPr>
        <w:t xml:space="preserve">cancers removed following BTA guidance would have been subject to </w:t>
      </w:r>
      <w:r w:rsidR="008E3D6D">
        <w:rPr>
          <w:rFonts w:ascii="Times New Roman" w:hAnsi="Times New Roman" w:cs="Times New Roman"/>
        </w:rPr>
        <w:t xml:space="preserve">active </w:t>
      </w:r>
      <w:r w:rsidR="009924F8">
        <w:rPr>
          <w:rFonts w:ascii="Times New Roman" w:hAnsi="Times New Roman" w:cs="Times New Roman"/>
        </w:rPr>
        <w:t xml:space="preserve">surveillance or no further action. </w:t>
      </w:r>
    </w:p>
    <w:p w14:paraId="1697A524" w14:textId="79F36046" w:rsidR="00642E78" w:rsidRPr="00E253D1" w:rsidRDefault="00642E78" w:rsidP="001361CF">
      <w:pPr>
        <w:spacing w:line="480" w:lineRule="auto"/>
        <w:rPr>
          <w:rFonts w:ascii="Times New Roman" w:hAnsi="Times New Roman" w:cs="Times New Roman"/>
        </w:rPr>
      </w:pPr>
      <w:r w:rsidRPr="00E253D1">
        <w:rPr>
          <w:rFonts w:ascii="Times New Roman" w:hAnsi="Times New Roman" w:cs="Times New Roman"/>
        </w:rPr>
        <w:lastRenderedPageBreak/>
        <w:t xml:space="preserve">Indeterminate (U3) thyroid nodules comprise a small subset of total thyroid nodules imaged across a radiology service. However, these nodules </w:t>
      </w:r>
      <w:r w:rsidR="00E253D1">
        <w:rPr>
          <w:rFonts w:ascii="Times New Roman" w:hAnsi="Times New Roman" w:cs="Times New Roman"/>
        </w:rPr>
        <w:t>produce</w:t>
      </w:r>
      <w:r w:rsidRPr="00E253D1">
        <w:rPr>
          <w:rFonts w:ascii="Times New Roman" w:hAnsi="Times New Roman" w:cs="Times New Roman"/>
        </w:rPr>
        <w:t xml:space="preserve"> a diagnostic dilemma in comparison to more convincingly benign (U1/U2) or malignant (U4/U5) imaging appearances. </w:t>
      </w:r>
    </w:p>
    <w:p w14:paraId="1E7CEDF5" w14:textId="02880B2C" w:rsidR="00642E78" w:rsidRDefault="00642E78" w:rsidP="001361CF">
      <w:pPr>
        <w:spacing w:line="480" w:lineRule="auto"/>
        <w:rPr>
          <w:rFonts w:ascii="Times New Roman" w:hAnsi="Times New Roman" w:cs="Times New Roman"/>
        </w:rPr>
      </w:pPr>
      <w:r w:rsidRPr="00E253D1">
        <w:rPr>
          <w:rFonts w:ascii="Times New Roman" w:hAnsi="Times New Roman" w:cs="Times New Roman"/>
        </w:rPr>
        <w:t xml:space="preserve">Risk stratification systems are designed to help clinicians with managing uncertainty in the face of </w:t>
      </w:r>
      <w:r w:rsidR="00E253D1">
        <w:rPr>
          <w:rFonts w:ascii="Times New Roman" w:hAnsi="Times New Roman" w:cs="Times New Roman"/>
        </w:rPr>
        <w:t>equivocal</w:t>
      </w:r>
      <w:r w:rsidRPr="00E253D1">
        <w:rPr>
          <w:rFonts w:ascii="Times New Roman" w:hAnsi="Times New Roman" w:cs="Times New Roman"/>
        </w:rPr>
        <w:t xml:space="preserve"> ultrasound appearances, and which RSS is superior is both widely debated and by no means conclusive. With that said, the decision whether to undertake an FNAC is not without consequence and will trigger a diagnostic cascade which, </w:t>
      </w:r>
      <w:proofErr w:type="gramStart"/>
      <w:r w:rsidRPr="00E253D1">
        <w:rPr>
          <w:rFonts w:ascii="Times New Roman" w:hAnsi="Times New Roman" w:cs="Times New Roman"/>
        </w:rPr>
        <w:t>as a result of</w:t>
      </w:r>
      <w:proofErr w:type="gramEnd"/>
      <w:r w:rsidRPr="00E253D1">
        <w:rPr>
          <w:rFonts w:ascii="Times New Roman" w:hAnsi="Times New Roman" w:cs="Times New Roman"/>
        </w:rPr>
        <w:t xml:space="preserve"> often non-diagnostic or</w:t>
      </w:r>
      <w:r w:rsidR="00E253D1">
        <w:rPr>
          <w:rFonts w:ascii="Times New Roman" w:hAnsi="Times New Roman" w:cs="Times New Roman"/>
        </w:rPr>
        <w:t xml:space="preserve"> ambigious</w:t>
      </w:r>
      <w:r w:rsidRPr="00E253D1">
        <w:rPr>
          <w:rFonts w:ascii="Times New Roman" w:hAnsi="Times New Roman" w:cs="Times New Roman"/>
        </w:rPr>
        <w:t xml:space="preserve"> cytology, can </w:t>
      </w:r>
      <w:r w:rsidRPr="00A4510A">
        <w:rPr>
          <w:rFonts w:ascii="Times New Roman" w:hAnsi="Times New Roman" w:cs="Times New Roman"/>
          <w:color w:val="000000" w:themeColor="text1"/>
        </w:rPr>
        <w:t xml:space="preserve">lead to the patient discussing the pros and cons </w:t>
      </w:r>
      <w:r w:rsidR="00E253D1" w:rsidRPr="00A4510A">
        <w:rPr>
          <w:rFonts w:ascii="Times New Roman" w:hAnsi="Times New Roman" w:cs="Times New Roman"/>
          <w:color w:val="000000" w:themeColor="text1"/>
        </w:rPr>
        <w:t>of</w:t>
      </w:r>
      <w:r w:rsidRPr="00A4510A">
        <w:rPr>
          <w:rFonts w:ascii="Times New Roman" w:hAnsi="Times New Roman" w:cs="Times New Roman"/>
          <w:color w:val="000000" w:themeColor="text1"/>
        </w:rPr>
        <w:t xml:space="preserve"> a diagnostic hemithyroidectomy with our surgical colleagues - having </w:t>
      </w:r>
      <w:r w:rsidR="00E7196D" w:rsidRPr="00A4510A">
        <w:rPr>
          <w:rFonts w:ascii="Times New Roman" w:hAnsi="Times New Roman" w:cs="Times New Roman"/>
          <w:color w:val="000000" w:themeColor="text1"/>
        </w:rPr>
        <w:t>sometimes</w:t>
      </w:r>
      <w:r w:rsidRPr="00A4510A">
        <w:rPr>
          <w:rFonts w:ascii="Times New Roman" w:hAnsi="Times New Roman" w:cs="Times New Roman"/>
          <w:color w:val="000000" w:themeColor="text1"/>
        </w:rPr>
        <w:t xml:space="preserve"> provided them less-than-conclusive imaging and</w:t>
      </w:r>
      <w:r w:rsidR="00E7196D" w:rsidRPr="00A4510A">
        <w:rPr>
          <w:rFonts w:ascii="Times New Roman" w:hAnsi="Times New Roman" w:cs="Times New Roman"/>
          <w:color w:val="000000" w:themeColor="text1"/>
        </w:rPr>
        <w:t xml:space="preserve"> non-diagnostic</w:t>
      </w:r>
      <w:r w:rsidRPr="00A4510A">
        <w:rPr>
          <w:rFonts w:ascii="Times New Roman" w:hAnsi="Times New Roman" w:cs="Times New Roman"/>
          <w:color w:val="000000" w:themeColor="text1"/>
        </w:rPr>
        <w:t xml:space="preserve"> </w:t>
      </w:r>
      <w:r w:rsidR="009F3EAA" w:rsidRPr="00A4510A">
        <w:rPr>
          <w:rFonts w:ascii="Times New Roman" w:hAnsi="Times New Roman" w:cs="Times New Roman"/>
          <w:color w:val="000000" w:themeColor="text1"/>
        </w:rPr>
        <w:t>cytology</w:t>
      </w:r>
      <w:r w:rsidRPr="00A4510A">
        <w:rPr>
          <w:rFonts w:ascii="Times New Roman" w:hAnsi="Times New Roman" w:cs="Times New Roman"/>
          <w:color w:val="000000" w:themeColor="text1"/>
        </w:rPr>
        <w:t xml:space="preserve">. </w:t>
      </w:r>
      <w:r w:rsidR="00E7196D" w:rsidRPr="00A4510A">
        <w:rPr>
          <w:rFonts w:ascii="Times New Roman" w:hAnsi="Times New Roman" w:cs="Times New Roman"/>
          <w:color w:val="000000" w:themeColor="text1"/>
        </w:rPr>
        <w:t xml:space="preserve">In these instances, patient choice is key and </w:t>
      </w:r>
      <w:r w:rsidRPr="00A4510A">
        <w:rPr>
          <w:rFonts w:ascii="Times New Roman" w:hAnsi="Times New Roman" w:cs="Times New Roman"/>
          <w:color w:val="000000" w:themeColor="text1"/>
        </w:rPr>
        <w:t xml:space="preserve">patients </w:t>
      </w:r>
      <w:r w:rsidR="00E7196D" w:rsidRPr="00A4510A">
        <w:rPr>
          <w:rFonts w:ascii="Times New Roman" w:hAnsi="Times New Roman" w:cs="Times New Roman"/>
          <w:color w:val="000000" w:themeColor="text1"/>
        </w:rPr>
        <w:t xml:space="preserve">at our centre </w:t>
      </w:r>
      <w:r w:rsidR="008B3669" w:rsidRPr="00A4510A">
        <w:rPr>
          <w:rFonts w:ascii="Times New Roman" w:hAnsi="Times New Roman" w:cs="Times New Roman"/>
          <w:color w:val="000000" w:themeColor="text1"/>
        </w:rPr>
        <w:t>frequently</w:t>
      </w:r>
      <w:r w:rsidRPr="00A4510A">
        <w:rPr>
          <w:rFonts w:ascii="Times New Roman" w:hAnsi="Times New Roman" w:cs="Times New Roman"/>
          <w:color w:val="000000" w:themeColor="text1"/>
        </w:rPr>
        <w:t xml:space="preserve"> opt</w:t>
      </w:r>
      <w:r w:rsidR="00E7196D" w:rsidRPr="00A4510A">
        <w:rPr>
          <w:rFonts w:ascii="Times New Roman" w:hAnsi="Times New Roman" w:cs="Times New Roman"/>
          <w:color w:val="000000" w:themeColor="text1"/>
        </w:rPr>
        <w:t>ed</w:t>
      </w:r>
      <w:r w:rsidRPr="00A4510A">
        <w:rPr>
          <w:rFonts w:ascii="Times New Roman" w:hAnsi="Times New Roman" w:cs="Times New Roman"/>
          <w:color w:val="000000" w:themeColor="text1"/>
        </w:rPr>
        <w:t xml:space="preserve"> to have their nodule removed as opposed to ultrasound surveillance</w:t>
      </w:r>
      <w:r w:rsidR="00E7196D" w:rsidRPr="00A4510A">
        <w:rPr>
          <w:rFonts w:ascii="Times New Roman" w:hAnsi="Times New Roman" w:cs="Times New Roman"/>
          <w:color w:val="000000" w:themeColor="text1"/>
        </w:rPr>
        <w:t xml:space="preserve"> following informed discussions with the surgical team</w:t>
      </w:r>
      <w:r w:rsidR="00E253D1" w:rsidRPr="00A4510A">
        <w:rPr>
          <w:rFonts w:ascii="Times New Roman" w:hAnsi="Times New Roman" w:cs="Times New Roman"/>
          <w:color w:val="000000" w:themeColor="text1"/>
        </w:rPr>
        <w:t xml:space="preserve">. </w:t>
      </w:r>
    </w:p>
    <w:p w14:paraId="7E4FC540" w14:textId="7FF5413A" w:rsidR="00D000C5" w:rsidRDefault="00E253D1" w:rsidP="001361CF">
      <w:pPr>
        <w:spacing w:line="480" w:lineRule="auto"/>
        <w:rPr>
          <w:rFonts w:ascii="Times New Roman" w:hAnsi="Times New Roman" w:cs="Times New Roman"/>
        </w:rPr>
      </w:pPr>
      <w:r>
        <w:rPr>
          <w:rFonts w:ascii="Times New Roman" w:hAnsi="Times New Roman" w:cs="Times New Roman"/>
        </w:rPr>
        <w:t>Our results show that between 45-55% of the nodules classified as U3, and therefore requiring FNA</w:t>
      </w:r>
      <w:r w:rsidR="008E0E18">
        <w:rPr>
          <w:rFonts w:ascii="Times New Roman" w:hAnsi="Times New Roman" w:cs="Times New Roman"/>
        </w:rPr>
        <w:t>C</w:t>
      </w:r>
      <w:r w:rsidR="009C69C4">
        <w:rPr>
          <w:rFonts w:ascii="Times New Roman" w:hAnsi="Times New Roman" w:cs="Times New Roman"/>
        </w:rPr>
        <w:t xml:space="preserve"> under BTA</w:t>
      </w:r>
      <w:r>
        <w:rPr>
          <w:rFonts w:ascii="Times New Roman" w:hAnsi="Times New Roman" w:cs="Times New Roman"/>
        </w:rPr>
        <w:t xml:space="preserve">, would have met the criteria for FNAC under a TIRADS guideline, </w:t>
      </w:r>
      <w:r w:rsidR="009C69C4">
        <w:rPr>
          <w:rFonts w:ascii="Times New Roman" w:hAnsi="Times New Roman" w:cs="Times New Roman"/>
        </w:rPr>
        <w:t>demonstrating a hypothetical</w:t>
      </w:r>
      <w:r>
        <w:rPr>
          <w:rFonts w:ascii="Times New Roman" w:hAnsi="Times New Roman" w:cs="Times New Roman"/>
        </w:rPr>
        <w:t xml:space="preserve"> </w:t>
      </w:r>
      <w:r w:rsidR="009C69C4">
        <w:rPr>
          <w:rFonts w:ascii="Times New Roman" w:hAnsi="Times New Roman" w:cs="Times New Roman"/>
        </w:rPr>
        <w:t>decrease</w:t>
      </w:r>
      <w:r>
        <w:rPr>
          <w:rFonts w:ascii="Times New Roman" w:hAnsi="Times New Roman" w:cs="Times New Roman"/>
        </w:rPr>
        <w:t xml:space="preserve"> in time and workload for radiology and histo</w:t>
      </w:r>
      <w:r w:rsidR="00835DC5">
        <w:rPr>
          <w:rFonts w:ascii="Times New Roman" w:hAnsi="Times New Roman" w:cs="Times New Roman"/>
        </w:rPr>
        <w:t>pathology</w:t>
      </w:r>
      <w:r>
        <w:rPr>
          <w:rFonts w:ascii="Times New Roman" w:hAnsi="Times New Roman" w:cs="Times New Roman"/>
        </w:rPr>
        <w:t xml:space="preserve"> departments. </w:t>
      </w:r>
      <w:r w:rsidR="00D000C5">
        <w:rPr>
          <w:rFonts w:ascii="Times New Roman" w:hAnsi="Times New Roman" w:cs="Times New Roman"/>
        </w:rPr>
        <w:t xml:space="preserve">Our </w:t>
      </w:r>
      <w:r w:rsidR="00FC0372">
        <w:rPr>
          <w:rFonts w:ascii="Times New Roman" w:hAnsi="Times New Roman" w:cs="Times New Roman"/>
        </w:rPr>
        <w:t>centre</w:t>
      </w:r>
      <w:r w:rsidR="00D000C5">
        <w:rPr>
          <w:rFonts w:ascii="Times New Roman" w:hAnsi="Times New Roman" w:cs="Times New Roman"/>
        </w:rPr>
        <w:t xml:space="preserve"> found that the </w:t>
      </w:r>
      <w:r w:rsidR="005C730B">
        <w:rPr>
          <w:rFonts w:ascii="Times New Roman" w:hAnsi="Times New Roman" w:cs="Times New Roman"/>
        </w:rPr>
        <w:t xml:space="preserve">benign </w:t>
      </w:r>
      <w:r w:rsidR="00D000C5">
        <w:rPr>
          <w:rFonts w:ascii="Times New Roman" w:hAnsi="Times New Roman" w:cs="Times New Roman"/>
        </w:rPr>
        <w:t>FNA</w:t>
      </w:r>
      <w:r w:rsidR="009F3EAA">
        <w:rPr>
          <w:rFonts w:ascii="Times New Roman" w:hAnsi="Times New Roman" w:cs="Times New Roman"/>
        </w:rPr>
        <w:t>C</w:t>
      </w:r>
      <w:r w:rsidR="00D000C5">
        <w:rPr>
          <w:rFonts w:ascii="Times New Roman" w:hAnsi="Times New Roman" w:cs="Times New Roman"/>
        </w:rPr>
        <w:t xml:space="preserve"> rate for BTA </w:t>
      </w:r>
      <w:r w:rsidR="00835DC5">
        <w:rPr>
          <w:rFonts w:ascii="Times New Roman" w:hAnsi="Times New Roman" w:cs="Times New Roman"/>
        </w:rPr>
        <w:t>for indeterminate nodules was</w:t>
      </w:r>
      <w:r w:rsidR="00D000C5">
        <w:rPr>
          <w:rFonts w:ascii="Times New Roman" w:hAnsi="Times New Roman" w:cs="Times New Roman"/>
        </w:rPr>
        <w:t xml:space="preserve"> 40</w:t>
      </w:r>
      <w:r w:rsidR="005C730B">
        <w:rPr>
          <w:rFonts w:ascii="Times New Roman" w:hAnsi="Times New Roman" w:cs="Times New Roman"/>
        </w:rPr>
        <w:t>.6</w:t>
      </w:r>
      <w:r w:rsidR="00D000C5">
        <w:rPr>
          <w:rFonts w:ascii="Times New Roman" w:hAnsi="Times New Roman" w:cs="Times New Roman"/>
        </w:rPr>
        <w:t xml:space="preserve">% compared with 26.0% (EU-TIRADS), 25.0% (AI-TIRADS) and 22.9% (ACR-TIRADS). These results echo the literature base to date with Watkins et al finding </w:t>
      </w:r>
      <w:r w:rsidR="005C730B">
        <w:rPr>
          <w:rFonts w:ascii="Times New Roman" w:hAnsi="Times New Roman" w:cs="Times New Roman"/>
        </w:rPr>
        <w:t>‘</w:t>
      </w:r>
      <w:r w:rsidR="00D000C5">
        <w:rPr>
          <w:rFonts w:ascii="Times New Roman" w:hAnsi="Times New Roman" w:cs="Times New Roman"/>
        </w:rPr>
        <w:t>unnecessary</w:t>
      </w:r>
      <w:r w:rsidR="005C730B">
        <w:rPr>
          <w:rFonts w:ascii="Times New Roman" w:hAnsi="Times New Roman" w:cs="Times New Roman"/>
        </w:rPr>
        <w:t>’</w:t>
      </w:r>
      <w:r w:rsidR="00D000C5">
        <w:rPr>
          <w:rFonts w:ascii="Times New Roman" w:hAnsi="Times New Roman" w:cs="Times New Roman"/>
        </w:rPr>
        <w:t xml:space="preserve"> FNA rates for BTA, ACR-TIRADS and AI-TIRADS to be 46.3%, 30.7% and 29.8% respectively</w:t>
      </w:r>
      <w:r w:rsidR="00835DC5">
        <w:rPr>
          <w:rFonts w:ascii="Times New Roman" w:hAnsi="Times New Roman" w:cs="Times New Roman"/>
        </w:rPr>
        <w:t xml:space="preserve"> across all nodule subsets</w:t>
      </w:r>
      <w:r w:rsidR="00D000C5">
        <w:rPr>
          <w:rFonts w:ascii="Times New Roman" w:hAnsi="Times New Roman" w:cs="Times New Roman"/>
        </w:rPr>
        <w:t xml:space="preserve"> [</w:t>
      </w:r>
      <w:r w:rsidR="003A6F6B" w:rsidRPr="003A6F6B">
        <w:rPr>
          <w:rFonts w:ascii="Times New Roman" w:hAnsi="Times New Roman" w:cs="Times New Roman"/>
          <w:color w:val="000000" w:themeColor="text1"/>
        </w:rPr>
        <w:t>15</w:t>
      </w:r>
      <w:r w:rsidR="00D000C5">
        <w:rPr>
          <w:rFonts w:ascii="Times New Roman" w:hAnsi="Times New Roman" w:cs="Times New Roman"/>
        </w:rPr>
        <w:t xml:space="preserve">]. </w:t>
      </w:r>
    </w:p>
    <w:p w14:paraId="53ED33A7" w14:textId="4F34F329" w:rsidR="00835DC5" w:rsidRDefault="00FC0372" w:rsidP="001361CF">
      <w:pPr>
        <w:spacing w:line="480" w:lineRule="auto"/>
        <w:rPr>
          <w:rFonts w:ascii="Times New Roman" w:hAnsi="Times New Roman" w:cs="Times New Roman"/>
        </w:rPr>
      </w:pPr>
      <w:r w:rsidRPr="00A4510A">
        <w:rPr>
          <w:rFonts w:ascii="Times New Roman" w:hAnsi="Times New Roman" w:cs="Times New Roman"/>
          <w:color w:val="000000" w:themeColor="text1"/>
        </w:rPr>
        <w:t xml:space="preserve">We </w:t>
      </w:r>
      <w:r w:rsidR="00835DC5" w:rsidRPr="00A4510A">
        <w:rPr>
          <w:rFonts w:ascii="Times New Roman" w:hAnsi="Times New Roman" w:cs="Times New Roman"/>
          <w:color w:val="000000" w:themeColor="text1"/>
        </w:rPr>
        <w:t xml:space="preserve">report a high number of non-diagnostic FNAC samples with 44.8% of </w:t>
      </w:r>
      <w:r w:rsidR="00E7196D" w:rsidRPr="00A4510A">
        <w:rPr>
          <w:rFonts w:ascii="Times New Roman" w:hAnsi="Times New Roman" w:cs="Times New Roman"/>
          <w:color w:val="000000" w:themeColor="text1"/>
        </w:rPr>
        <w:t xml:space="preserve">initial </w:t>
      </w:r>
      <w:r w:rsidR="00835DC5" w:rsidRPr="00A4510A">
        <w:rPr>
          <w:rFonts w:ascii="Times New Roman" w:hAnsi="Times New Roman" w:cs="Times New Roman"/>
          <w:color w:val="000000" w:themeColor="text1"/>
        </w:rPr>
        <w:t xml:space="preserve">samples reported as Thy </w:t>
      </w:r>
      <w:r w:rsidRPr="00A4510A">
        <w:rPr>
          <w:rFonts w:ascii="Times New Roman" w:hAnsi="Times New Roman" w:cs="Times New Roman"/>
          <w:color w:val="000000" w:themeColor="text1"/>
        </w:rPr>
        <w:t>1/Thy 1c</w:t>
      </w:r>
      <w:r w:rsidR="00E7196D" w:rsidRPr="00A4510A">
        <w:rPr>
          <w:rFonts w:ascii="Times New Roman" w:hAnsi="Times New Roman" w:cs="Times New Roman"/>
          <w:color w:val="000000" w:themeColor="text1"/>
        </w:rPr>
        <w:t>, and a further half on repeat, leaving 21.9% of nodules with two non-diagnostic samples</w:t>
      </w:r>
      <w:r w:rsidR="00835DC5" w:rsidRPr="00A4510A">
        <w:rPr>
          <w:rFonts w:ascii="Times New Roman" w:hAnsi="Times New Roman" w:cs="Times New Roman"/>
          <w:color w:val="000000" w:themeColor="text1"/>
        </w:rPr>
        <w:t xml:space="preserve">. A systematic review published by </w:t>
      </w:r>
      <w:proofErr w:type="spellStart"/>
      <w:r w:rsidR="00835DC5" w:rsidRPr="00A4510A">
        <w:rPr>
          <w:rFonts w:ascii="Times New Roman" w:hAnsi="Times New Roman" w:cs="Times New Roman"/>
          <w:color w:val="000000" w:themeColor="text1"/>
        </w:rPr>
        <w:t>Poller</w:t>
      </w:r>
      <w:proofErr w:type="spellEnd"/>
      <w:r w:rsidR="00835DC5" w:rsidRPr="00A4510A">
        <w:rPr>
          <w:rFonts w:ascii="Times New Roman" w:hAnsi="Times New Roman" w:cs="Times New Roman"/>
          <w:color w:val="000000" w:themeColor="text1"/>
        </w:rPr>
        <w:t xml:space="preserve"> et al, reported a non-diagnostic cytology rate ranging from 3.0 to 43.3</w:t>
      </w:r>
      <w:r w:rsidR="00835DC5">
        <w:rPr>
          <w:rFonts w:ascii="Times New Roman" w:hAnsi="Times New Roman" w:cs="Times New Roman"/>
        </w:rPr>
        <w:t xml:space="preserve">% [16]. National figures report a Thy 1 rate of up to 29% [17]. Our high </w:t>
      </w:r>
      <w:r w:rsidR="00CA4DDA">
        <w:rPr>
          <w:rFonts w:ascii="Times New Roman" w:hAnsi="Times New Roman" w:cs="Times New Roman"/>
        </w:rPr>
        <w:t xml:space="preserve">non-diagnostic </w:t>
      </w:r>
      <w:r w:rsidR="00835DC5">
        <w:rPr>
          <w:rFonts w:ascii="Times New Roman" w:hAnsi="Times New Roman" w:cs="Times New Roman"/>
        </w:rPr>
        <w:t xml:space="preserve">rate is likely compounded by assessing indeterminate nodules specifically in this </w:t>
      </w:r>
      <w:r w:rsidR="00E7196D">
        <w:rPr>
          <w:rFonts w:ascii="Times New Roman" w:hAnsi="Times New Roman" w:cs="Times New Roman"/>
        </w:rPr>
        <w:t>paper</w:t>
      </w:r>
      <w:r w:rsidR="00835DC5">
        <w:rPr>
          <w:rFonts w:ascii="Times New Roman" w:hAnsi="Times New Roman" w:cs="Times New Roman"/>
        </w:rPr>
        <w:t xml:space="preserve"> and this rate would likely drop in the context of nodules which are suspicious (U4) or malignant (U5) with a greater solid component. </w:t>
      </w:r>
      <w:r w:rsidR="008D76CA">
        <w:rPr>
          <w:rFonts w:ascii="Times New Roman" w:hAnsi="Times New Roman" w:cs="Times New Roman"/>
        </w:rPr>
        <w:t xml:space="preserve">A core biopsy service has been established but was not commonly offered in this cohort. </w:t>
      </w:r>
      <w:r w:rsidR="00835DC5">
        <w:rPr>
          <w:rFonts w:ascii="Times New Roman" w:hAnsi="Times New Roman" w:cs="Times New Roman"/>
        </w:rPr>
        <w:t xml:space="preserve">The use of rapid on-site evaluation (ROSE) has been successfully demonstrated to </w:t>
      </w:r>
      <w:r w:rsidR="00835DC5">
        <w:rPr>
          <w:rFonts w:ascii="Times New Roman" w:hAnsi="Times New Roman" w:cs="Times New Roman"/>
        </w:rPr>
        <w:lastRenderedPageBreak/>
        <w:t>significantly reduce rates of non-diagnostic FNAC samples and may be of consideration in this indeterminate group, who appear at higher risk of an inappropriate diagnostic cascade than others [16].</w:t>
      </w:r>
      <w:r w:rsidR="0001416F">
        <w:rPr>
          <w:rFonts w:ascii="Times New Roman" w:hAnsi="Times New Roman" w:cs="Times New Roman"/>
        </w:rPr>
        <w:t xml:space="preserve"> </w:t>
      </w:r>
      <w:r w:rsidR="00BB7628">
        <w:rPr>
          <w:rFonts w:ascii="Times New Roman" w:hAnsi="Times New Roman" w:cs="Times New Roman"/>
        </w:rPr>
        <w:t xml:space="preserve">Updated NICE guidance recommends ROSE where thy 1 rate exceeds 15%, although this excludes thy 1c patients [18]. </w:t>
      </w:r>
    </w:p>
    <w:p w14:paraId="2F491614" w14:textId="717C9E17" w:rsidR="00835DC5" w:rsidRPr="00A4510A" w:rsidRDefault="00835DC5" w:rsidP="001361CF">
      <w:pPr>
        <w:spacing w:line="480" w:lineRule="auto"/>
        <w:rPr>
          <w:rFonts w:ascii="Times New Roman" w:hAnsi="Times New Roman" w:cs="Times New Roman"/>
          <w:color w:val="000000" w:themeColor="text1"/>
        </w:rPr>
      </w:pPr>
      <w:r w:rsidRPr="009F3EAA">
        <w:rPr>
          <w:rFonts w:ascii="Times New Roman" w:hAnsi="Times New Roman" w:cs="Times New Roman"/>
          <w:color w:val="000000" w:themeColor="text1"/>
        </w:rPr>
        <w:t xml:space="preserve">Reported figures of PPV for malignancy for BTA range from 30-32% when U3 nodules are </w:t>
      </w:r>
      <w:r w:rsidR="009F3EAA" w:rsidRPr="009F3EAA">
        <w:rPr>
          <w:rFonts w:ascii="Times New Roman" w:hAnsi="Times New Roman" w:cs="Times New Roman"/>
          <w:color w:val="000000" w:themeColor="text1"/>
        </w:rPr>
        <w:t>grouped with</w:t>
      </w:r>
      <w:r w:rsidRPr="009F3EAA">
        <w:rPr>
          <w:rFonts w:ascii="Times New Roman" w:hAnsi="Times New Roman" w:cs="Times New Roman"/>
          <w:color w:val="000000" w:themeColor="text1"/>
        </w:rPr>
        <w:t xml:space="preserve"> high-risk </w:t>
      </w:r>
      <w:r w:rsidR="009F3EAA" w:rsidRPr="009F3EAA">
        <w:rPr>
          <w:rFonts w:ascii="Times New Roman" w:hAnsi="Times New Roman" w:cs="Times New Roman"/>
          <w:color w:val="000000" w:themeColor="text1"/>
        </w:rPr>
        <w:t>nodules</w:t>
      </w:r>
      <w:r w:rsidRPr="009F3EAA">
        <w:rPr>
          <w:rFonts w:ascii="Times New Roman" w:hAnsi="Times New Roman" w:cs="Times New Roman"/>
          <w:color w:val="000000" w:themeColor="text1"/>
        </w:rPr>
        <w:t>, and</w:t>
      </w:r>
      <w:r w:rsidR="009F3EAA" w:rsidRPr="009F3EAA">
        <w:rPr>
          <w:rFonts w:ascii="Times New Roman" w:hAnsi="Times New Roman" w:cs="Times New Roman"/>
          <w:color w:val="000000" w:themeColor="text1"/>
        </w:rPr>
        <w:t xml:space="preserve"> </w:t>
      </w:r>
      <w:r w:rsidRPr="009F3EAA">
        <w:rPr>
          <w:rFonts w:ascii="Times New Roman" w:hAnsi="Times New Roman" w:cs="Times New Roman"/>
          <w:color w:val="000000" w:themeColor="text1"/>
        </w:rPr>
        <w:t xml:space="preserve">62% when U3 nodules are </w:t>
      </w:r>
      <w:r w:rsidR="009F3EAA" w:rsidRPr="009F3EAA">
        <w:rPr>
          <w:rFonts w:ascii="Times New Roman" w:hAnsi="Times New Roman" w:cs="Times New Roman"/>
          <w:color w:val="000000" w:themeColor="text1"/>
        </w:rPr>
        <w:t>grouped with</w:t>
      </w:r>
      <w:r w:rsidRPr="009F3EAA">
        <w:rPr>
          <w:rFonts w:ascii="Times New Roman" w:hAnsi="Times New Roman" w:cs="Times New Roman"/>
          <w:color w:val="000000" w:themeColor="text1"/>
        </w:rPr>
        <w:t xml:space="preserve"> low</w:t>
      </w:r>
      <w:r w:rsidR="009F3EAA" w:rsidRPr="009F3EAA">
        <w:rPr>
          <w:rFonts w:ascii="Times New Roman" w:hAnsi="Times New Roman" w:cs="Times New Roman"/>
          <w:color w:val="000000" w:themeColor="text1"/>
        </w:rPr>
        <w:t>-</w:t>
      </w:r>
      <w:r w:rsidRPr="009F3EAA">
        <w:rPr>
          <w:rFonts w:ascii="Times New Roman" w:hAnsi="Times New Roman" w:cs="Times New Roman"/>
          <w:color w:val="000000" w:themeColor="text1"/>
        </w:rPr>
        <w:t>risk</w:t>
      </w:r>
      <w:r w:rsidR="009F3EAA" w:rsidRPr="009F3EAA">
        <w:rPr>
          <w:rFonts w:ascii="Times New Roman" w:hAnsi="Times New Roman" w:cs="Times New Roman"/>
          <w:color w:val="000000" w:themeColor="text1"/>
        </w:rPr>
        <w:t xml:space="preserve"> nodules</w:t>
      </w:r>
      <w:r w:rsidRPr="009F3EAA">
        <w:rPr>
          <w:rFonts w:ascii="Times New Roman" w:hAnsi="Times New Roman" w:cs="Times New Roman"/>
          <w:color w:val="000000" w:themeColor="text1"/>
        </w:rPr>
        <w:t xml:space="preserve"> [1</w:t>
      </w:r>
      <w:r w:rsidR="00BB7628" w:rsidRPr="009F3EAA">
        <w:rPr>
          <w:rFonts w:ascii="Times New Roman" w:hAnsi="Times New Roman" w:cs="Times New Roman"/>
          <w:color w:val="000000" w:themeColor="text1"/>
        </w:rPr>
        <w:t>9</w:t>
      </w:r>
      <w:r w:rsidRPr="009F3EAA">
        <w:rPr>
          <w:rFonts w:ascii="Times New Roman" w:hAnsi="Times New Roman" w:cs="Times New Roman"/>
          <w:color w:val="000000" w:themeColor="text1"/>
        </w:rPr>
        <w:t>][</w:t>
      </w:r>
      <w:r w:rsidR="00BB7628" w:rsidRPr="009F3EAA">
        <w:rPr>
          <w:rFonts w:ascii="Times New Roman" w:hAnsi="Times New Roman" w:cs="Times New Roman"/>
          <w:color w:val="000000" w:themeColor="text1"/>
        </w:rPr>
        <w:t>20</w:t>
      </w:r>
      <w:r w:rsidRPr="009F3EAA">
        <w:rPr>
          <w:rFonts w:ascii="Times New Roman" w:hAnsi="Times New Roman" w:cs="Times New Roman"/>
          <w:color w:val="000000" w:themeColor="text1"/>
        </w:rPr>
        <w:t xml:space="preserve">]. </w:t>
      </w:r>
      <w:r>
        <w:rPr>
          <w:rFonts w:ascii="Times New Roman" w:hAnsi="Times New Roman" w:cs="Times New Roman"/>
        </w:rPr>
        <w:t>Possible explanations for increased FNA</w:t>
      </w:r>
      <w:r w:rsidR="00CA4DDA">
        <w:rPr>
          <w:rFonts w:ascii="Times New Roman" w:hAnsi="Times New Roman" w:cs="Times New Roman"/>
        </w:rPr>
        <w:t>C</w:t>
      </w:r>
      <w:r>
        <w:rPr>
          <w:rFonts w:ascii="Times New Roman" w:hAnsi="Times New Roman" w:cs="Times New Roman"/>
        </w:rPr>
        <w:t xml:space="preserve"> rates, and subsequent poorer PPV, </w:t>
      </w:r>
      <w:r w:rsidR="009C69C4">
        <w:rPr>
          <w:rFonts w:ascii="Times New Roman" w:hAnsi="Times New Roman" w:cs="Times New Roman"/>
        </w:rPr>
        <w:t>may</w:t>
      </w:r>
      <w:r>
        <w:rPr>
          <w:rFonts w:ascii="Times New Roman" w:hAnsi="Times New Roman" w:cs="Times New Roman"/>
        </w:rPr>
        <w:t xml:space="preserve"> include the addition of ‘mixed/central vascularity’ to the U3 criteria, which is absent from TIRADS criteria altogether. </w:t>
      </w:r>
      <w:r w:rsidRPr="00A4510A">
        <w:rPr>
          <w:rFonts w:ascii="Times New Roman" w:hAnsi="Times New Roman" w:cs="Times New Roman"/>
          <w:color w:val="000000" w:themeColor="text1"/>
        </w:rPr>
        <w:t>The mention of increased vascularity can increase an otherwise innocuous U2 lesion to U3 and therefore requiring FNA</w:t>
      </w:r>
      <w:r w:rsidR="00CA4DDA" w:rsidRPr="00A4510A">
        <w:rPr>
          <w:rFonts w:ascii="Times New Roman" w:hAnsi="Times New Roman" w:cs="Times New Roman"/>
          <w:color w:val="000000" w:themeColor="text1"/>
        </w:rPr>
        <w:t>C</w:t>
      </w:r>
      <w:r w:rsidRPr="00A4510A">
        <w:rPr>
          <w:rFonts w:ascii="Times New Roman" w:hAnsi="Times New Roman" w:cs="Times New Roman"/>
          <w:color w:val="000000" w:themeColor="text1"/>
        </w:rPr>
        <w:t xml:space="preserve">. </w:t>
      </w:r>
      <w:r w:rsidR="005C730B" w:rsidRPr="00A4510A">
        <w:rPr>
          <w:rFonts w:ascii="Times New Roman" w:hAnsi="Times New Roman" w:cs="Times New Roman"/>
          <w:color w:val="000000" w:themeColor="text1"/>
        </w:rPr>
        <w:t xml:space="preserve">Improved sensitivity of colour doppler tools on modern ultrasound machines may be compounding this problem by detecting doppler flow which would have been previously undetectable. </w:t>
      </w:r>
      <w:r w:rsidRPr="00A4510A">
        <w:rPr>
          <w:rFonts w:ascii="Times New Roman" w:hAnsi="Times New Roman" w:cs="Times New Roman"/>
          <w:color w:val="000000" w:themeColor="text1"/>
        </w:rPr>
        <w:t xml:space="preserve">Weller et al noted </w:t>
      </w:r>
      <w:proofErr w:type="gramStart"/>
      <w:r w:rsidRPr="00A4510A">
        <w:rPr>
          <w:rFonts w:ascii="Times New Roman" w:hAnsi="Times New Roman" w:cs="Times New Roman"/>
          <w:color w:val="000000" w:themeColor="text1"/>
        </w:rPr>
        <w:t>a number of</w:t>
      </w:r>
      <w:proofErr w:type="gramEnd"/>
      <w:r w:rsidRPr="00A4510A">
        <w:rPr>
          <w:rFonts w:ascii="Times New Roman" w:hAnsi="Times New Roman" w:cs="Times New Roman"/>
          <w:color w:val="000000" w:themeColor="text1"/>
        </w:rPr>
        <w:t xml:space="preserve"> nodules were graded U3 on the basis of vascularity alone, and when excluded, saw an increase in PPV </w:t>
      </w:r>
      <w:r w:rsidR="009F3EAA" w:rsidRPr="00A4510A">
        <w:rPr>
          <w:rFonts w:ascii="Times New Roman" w:hAnsi="Times New Roman" w:cs="Times New Roman"/>
          <w:color w:val="000000" w:themeColor="text1"/>
        </w:rPr>
        <w:t>and specificity albeit with a considerable reduction in sensitivity - highlighting the difficulty in creating an optimal RSS</w:t>
      </w:r>
      <w:r w:rsidRPr="00A4510A">
        <w:rPr>
          <w:rFonts w:ascii="Times New Roman" w:hAnsi="Times New Roman" w:cs="Times New Roman"/>
          <w:color w:val="000000" w:themeColor="text1"/>
        </w:rPr>
        <w:t xml:space="preserve"> [</w:t>
      </w:r>
      <w:r w:rsidR="00BB7628" w:rsidRPr="00A4510A">
        <w:rPr>
          <w:rFonts w:ascii="Times New Roman" w:hAnsi="Times New Roman" w:cs="Times New Roman"/>
          <w:color w:val="000000" w:themeColor="text1"/>
        </w:rPr>
        <w:t>20</w:t>
      </w:r>
      <w:r w:rsidRPr="00A4510A">
        <w:rPr>
          <w:rFonts w:ascii="Times New Roman" w:hAnsi="Times New Roman" w:cs="Times New Roman"/>
          <w:color w:val="000000" w:themeColor="text1"/>
        </w:rPr>
        <w:t>].</w:t>
      </w:r>
      <w:r w:rsidR="009F3EAA" w:rsidRPr="00A4510A">
        <w:rPr>
          <w:rFonts w:ascii="Times New Roman" w:hAnsi="Times New Roman" w:cs="Times New Roman"/>
          <w:color w:val="000000" w:themeColor="text1"/>
        </w:rPr>
        <w:t xml:space="preserve"> </w:t>
      </w:r>
    </w:p>
    <w:p w14:paraId="5FA296BA" w14:textId="75298405" w:rsidR="00E464AE" w:rsidRDefault="00BE51EF" w:rsidP="001361CF">
      <w:pPr>
        <w:spacing w:line="480" w:lineRule="auto"/>
        <w:rPr>
          <w:rFonts w:ascii="Times New Roman" w:hAnsi="Times New Roman" w:cs="Times New Roman"/>
        </w:rPr>
      </w:pPr>
      <w:r w:rsidRPr="00A4510A">
        <w:rPr>
          <w:rFonts w:ascii="Times New Roman" w:hAnsi="Times New Roman" w:cs="Times New Roman"/>
          <w:color w:val="000000" w:themeColor="text1"/>
        </w:rPr>
        <w:t>High rates of non-diagnostic and</w:t>
      </w:r>
      <w:r w:rsidR="005C730B" w:rsidRPr="00A4510A">
        <w:rPr>
          <w:rFonts w:ascii="Times New Roman" w:hAnsi="Times New Roman" w:cs="Times New Roman"/>
          <w:color w:val="000000" w:themeColor="text1"/>
        </w:rPr>
        <w:t xml:space="preserve"> </w:t>
      </w:r>
      <w:r w:rsidR="009C69C4" w:rsidRPr="00A4510A">
        <w:rPr>
          <w:rFonts w:ascii="Times New Roman" w:hAnsi="Times New Roman" w:cs="Times New Roman"/>
          <w:color w:val="000000" w:themeColor="text1"/>
        </w:rPr>
        <w:t xml:space="preserve">non-conclusive </w:t>
      </w:r>
      <w:r w:rsidRPr="00A4510A">
        <w:rPr>
          <w:rFonts w:ascii="Times New Roman" w:hAnsi="Times New Roman" w:cs="Times New Roman"/>
          <w:color w:val="000000" w:themeColor="text1"/>
        </w:rPr>
        <w:t>cytology</w:t>
      </w:r>
      <w:r>
        <w:rPr>
          <w:rFonts w:ascii="Times New Roman" w:hAnsi="Times New Roman" w:cs="Times New Roman"/>
        </w:rPr>
        <w:t xml:space="preserve">, in combination with equivocal ultrasound findings, are likely responsible for the downstream effect on rates of surgical discussions and diagnostic surgical procedures noted in our cohort. Our results demonstrate a significant difference between BTA and retrospective application of all TIRADS guidance in terms of increased surgical discussions (p&lt;0.001) and surgery performed (p&lt;0.001). When looking specifically at nodules rescored with an equivalent degree of suspicion (TR3, EUTI3), the significant association persisted for surgical discussions (p&lt;0.001 ACR, p=0.008 EU, p=0.004 AI) and for surgery performed compared to ACR-TIRADS (p=0.008) </w:t>
      </w:r>
      <w:r w:rsidRPr="001B3134">
        <w:rPr>
          <w:rFonts w:ascii="Times New Roman" w:hAnsi="Times New Roman" w:cs="Times New Roman"/>
          <w:color w:val="000000" w:themeColor="text1"/>
        </w:rPr>
        <w:t xml:space="preserve">but </w:t>
      </w:r>
      <w:r w:rsidR="009F3EAA">
        <w:rPr>
          <w:rFonts w:ascii="Times New Roman" w:hAnsi="Times New Roman" w:cs="Times New Roman"/>
          <w:color w:val="000000" w:themeColor="text1"/>
        </w:rPr>
        <w:t xml:space="preserve">was </w:t>
      </w:r>
      <w:r w:rsidRPr="001B3134">
        <w:rPr>
          <w:rFonts w:ascii="Times New Roman" w:hAnsi="Times New Roman" w:cs="Times New Roman"/>
          <w:color w:val="000000" w:themeColor="text1"/>
        </w:rPr>
        <w:t>non-significant with EU and AI-TIRADS following Bonferroni correction (p=0.031)</w:t>
      </w:r>
      <w:r w:rsidR="00E7196D">
        <w:rPr>
          <w:rFonts w:ascii="Times New Roman" w:hAnsi="Times New Roman" w:cs="Times New Roman"/>
          <w:color w:val="000000" w:themeColor="text1"/>
        </w:rPr>
        <w:t xml:space="preserve">. </w:t>
      </w:r>
      <w:r>
        <w:rPr>
          <w:rFonts w:ascii="Times New Roman" w:hAnsi="Times New Roman" w:cs="Times New Roman"/>
        </w:rPr>
        <w:t xml:space="preserve">These results suggest </w:t>
      </w:r>
      <w:r w:rsidR="009F3EAA">
        <w:rPr>
          <w:rFonts w:ascii="Times New Roman" w:hAnsi="Times New Roman" w:cs="Times New Roman"/>
        </w:rPr>
        <w:t xml:space="preserve">that </w:t>
      </w:r>
      <w:r>
        <w:rPr>
          <w:rFonts w:ascii="Times New Roman" w:hAnsi="Times New Roman" w:cs="Times New Roman"/>
        </w:rPr>
        <w:t xml:space="preserve">it is </w:t>
      </w:r>
      <w:r w:rsidR="00054F9B">
        <w:rPr>
          <w:rFonts w:ascii="Times New Roman" w:hAnsi="Times New Roman" w:cs="Times New Roman"/>
        </w:rPr>
        <w:t>less</w:t>
      </w:r>
      <w:r>
        <w:rPr>
          <w:rFonts w:ascii="Times New Roman" w:hAnsi="Times New Roman" w:cs="Times New Roman"/>
        </w:rPr>
        <w:t xml:space="preserve"> the nature of being ‘indeterminate’ which is responsible for increased surgical activity</w:t>
      </w:r>
      <w:r w:rsidR="00E7196D">
        <w:rPr>
          <w:rFonts w:ascii="Times New Roman" w:hAnsi="Times New Roman" w:cs="Times New Roman"/>
        </w:rPr>
        <w:t xml:space="preserve"> in our cohort</w:t>
      </w:r>
      <w:r>
        <w:rPr>
          <w:rFonts w:ascii="Times New Roman" w:hAnsi="Times New Roman" w:cs="Times New Roman"/>
        </w:rPr>
        <w:t xml:space="preserve"> but rather the willingness of the guideline to trigger the diagnostic cascade with a FNAC to begin with. We found that up to 20% (n=9) of the indeterminate nodule</w:t>
      </w:r>
      <w:r w:rsidR="009C69C4">
        <w:rPr>
          <w:rFonts w:ascii="Times New Roman" w:hAnsi="Times New Roman" w:cs="Times New Roman"/>
        </w:rPr>
        <w:t>s</w:t>
      </w:r>
      <w:r>
        <w:rPr>
          <w:rFonts w:ascii="Times New Roman" w:hAnsi="Times New Roman" w:cs="Times New Roman"/>
        </w:rPr>
        <w:t xml:space="preserve"> which underwent surgery in this cohort had benign pathology which would not have received FNAC under a TIRADS RSS. Although this represents a </w:t>
      </w:r>
      <w:r>
        <w:rPr>
          <w:rFonts w:ascii="Times New Roman" w:hAnsi="Times New Roman" w:cs="Times New Roman"/>
        </w:rPr>
        <w:lastRenderedPageBreak/>
        <w:t>small number of patients in the context of an entire service</w:t>
      </w:r>
      <w:r w:rsidR="008E0E18">
        <w:rPr>
          <w:rFonts w:ascii="Times New Roman" w:hAnsi="Times New Roman" w:cs="Times New Roman"/>
        </w:rPr>
        <w:t xml:space="preserve"> (9 patients in our 12-month period)</w:t>
      </w:r>
      <w:r>
        <w:rPr>
          <w:rFonts w:ascii="Times New Roman" w:hAnsi="Times New Roman" w:cs="Times New Roman"/>
        </w:rPr>
        <w:t xml:space="preserve"> and is </w:t>
      </w:r>
      <w:r w:rsidR="00CA4DDA">
        <w:rPr>
          <w:rFonts w:ascii="Times New Roman" w:hAnsi="Times New Roman" w:cs="Times New Roman"/>
        </w:rPr>
        <w:t>exaggerated</w:t>
      </w:r>
      <w:r>
        <w:rPr>
          <w:rFonts w:ascii="Times New Roman" w:hAnsi="Times New Roman" w:cs="Times New Roman"/>
        </w:rPr>
        <w:t xml:space="preserve"> in this subset of diagnostically challenging nodules, it does demonstrate the impact that guideline choice has on exposing patients to avoidable risks of surgery, which in the case of a diagnostic hemithyroidectomy includes bleeding, infection, recurrent laryngeal nerve injury and post-op hypothyroidism [2</w:t>
      </w:r>
      <w:r w:rsidR="00BB7628">
        <w:rPr>
          <w:rFonts w:ascii="Times New Roman" w:hAnsi="Times New Roman" w:cs="Times New Roman"/>
        </w:rPr>
        <w:t>1</w:t>
      </w:r>
      <w:r>
        <w:rPr>
          <w:rFonts w:ascii="Times New Roman" w:hAnsi="Times New Roman" w:cs="Times New Roman"/>
        </w:rPr>
        <w:t>][2</w:t>
      </w:r>
      <w:r w:rsidR="00BB7628">
        <w:rPr>
          <w:rFonts w:ascii="Times New Roman" w:hAnsi="Times New Roman" w:cs="Times New Roman"/>
        </w:rPr>
        <w:t>2</w:t>
      </w:r>
      <w:r>
        <w:rPr>
          <w:rFonts w:ascii="Times New Roman" w:hAnsi="Times New Roman" w:cs="Times New Roman"/>
        </w:rPr>
        <w:t xml:space="preserve">]. There is increased time and cost to surgical services to consider also. </w:t>
      </w:r>
    </w:p>
    <w:p w14:paraId="75D18590" w14:textId="477C009A" w:rsidR="000C4C2A" w:rsidRDefault="00BE51EF" w:rsidP="001361CF">
      <w:pPr>
        <w:spacing w:line="480" w:lineRule="auto"/>
        <w:rPr>
          <w:rFonts w:ascii="Times New Roman" w:hAnsi="Times New Roman" w:cs="Times New Roman"/>
        </w:rPr>
      </w:pPr>
      <w:r>
        <w:rPr>
          <w:rFonts w:ascii="Times New Roman" w:hAnsi="Times New Roman" w:cs="Times New Roman"/>
        </w:rPr>
        <w:t xml:space="preserve">While an ideal RSS would recommend fewer FNAC in benign disease, with subsequent lower rates of </w:t>
      </w:r>
      <w:r w:rsidRPr="00A4510A">
        <w:rPr>
          <w:rFonts w:ascii="Times New Roman" w:hAnsi="Times New Roman" w:cs="Times New Roman"/>
          <w:color w:val="000000" w:themeColor="text1"/>
        </w:rPr>
        <w:t xml:space="preserve">avoidable surgery, it would also have a high detection rate for malignancy. </w:t>
      </w:r>
      <w:r w:rsidR="008E0E18" w:rsidRPr="00A4510A">
        <w:rPr>
          <w:rFonts w:ascii="Times New Roman" w:hAnsi="Times New Roman" w:cs="Times New Roman"/>
          <w:color w:val="000000" w:themeColor="text1"/>
        </w:rPr>
        <w:t>W</w:t>
      </w:r>
      <w:r w:rsidRPr="00A4510A">
        <w:rPr>
          <w:rFonts w:ascii="Times New Roman" w:hAnsi="Times New Roman" w:cs="Times New Roman"/>
          <w:color w:val="000000" w:themeColor="text1"/>
        </w:rPr>
        <w:t xml:space="preserve">hen retrospective application of TIRADS guidance was applied to this indeterminate nodule cohort, </w:t>
      </w:r>
      <w:r w:rsidR="008E0E18" w:rsidRPr="00A4510A">
        <w:rPr>
          <w:rFonts w:ascii="Times New Roman" w:hAnsi="Times New Roman" w:cs="Times New Roman"/>
          <w:color w:val="000000" w:themeColor="text1"/>
        </w:rPr>
        <w:t>25</w:t>
      </w:r>
      <w:r w:rsidRPr="00A4510A">
        <w:rPr>
          <w:rFonts w:ascii="Times New Roman" w:hAnsi="Times New Roman" w:cs="Times New Roman"/>
          <w:color w:val="000000" w:themeColor="text1"/>
        </w:rPr>
        <w:t>%</w:t>
      </w:r>
      <w:r w:rsidR="000C4C2A" w:rsidRPr="00A4510A">
        <w:rPr>
          <w:rFonts w:ascii="Times New Roman" w:hAnsi="Times New Roman" w:cs="Times New Roman"/>
          <w:color w:val="000000" w:themeColor="text1"/>
        </w:rPr>
        <w:t xml:space="preserve"> (n=1)</w:t>
      </w:r>
      <w:r w:rsidRPr="00A4510A">
        <w:rPr>
          <w:rFonts w:ascii="Times New Roman" w:hAnsi="Times New Roman" w:cs="Times New Roman"/>
          <w:color w:val="000000" w:themeColor="text1"/>
        </w:rPr>
        <w:t xml:space="preserve"> of the malignant nodules were subject to no further action at the time of ultrasound </w:t>
      </w:r>
      <w:r w:rsidR="008E0E18" w:rsidRPr="00A4510A">
        <w:rPr>
          <w:rFonts w:ascii="Times New Roman" w:hAnsi="Times New Roman" w:cs="Times New Roman"/>
          <w:color w:val="000000" w:themeColor="text1"/>
        </w:rPr>
        <w:t xml:space="preserve">under EU-TIRADS </w:t>
      </w:r>
      <w:r w:rsidRPr="00A4510A">
        <w:rPr>
          <w:rFonts w:ascii="Times New Roman" w:hAnsi="Times New Roman" w:cs="Times New Roman"/>
          <w:color w:val="000000" w:themeColor="text1"/>
        </w:rPr>
        <w:t xml:space="preserve">[Table 6]. </w:t>
      </w:r>
      <w:r w:rsidR="000C4C2A" w:rsidRPr="00A4510A">
        <w:rPr>
          <w:rFonts w:ascii="Times New Roman" w:hAnsi="Times New Roman" w:cs="Times New Roman"/>
          <w:color w:val="000000" w:themeColor="text1"/>
        </w:rPr>
        <w:t xml:space="preserve">However, </w:t>
      </w:r>
      <w:r w:rsidRPr="00A4510A">
        <w:rPr>
          <w:rFonts w:ascii="Times New Roman" w:hAnsi="Times New Roman" w:cs="Times New Roman"/>
          <w:color w:val="000000" w:themeColor="text1"/>
        </w:rPr>
        <w:t>ACR</w:t>
      </w:r>
      <w:r w:rsidR="0001416F" w:rsidRPr="00A4510A">
        <w:rPr>
          <w:rFonts w:ascii="Times New Roman" w:hAnsi="Times New Roman" w:cs="Times New Roman"/>
          <w:color w:val="000000" w:themeColor="text1"/>
        </w:rPr>
        <w:t xml:space="preserve">-TIRADS </w:t>
      </w:r>
      <w:r w:rsidR="008E0E18" w:rsidRPr="00A4510A">
        <w:rPr>
          <w:rFonts w:ascii="Times New Roman" w:hAnsi="Times New Roman" w:cs="Times New Roman"/>
          <w:color w:val="000000" w:themeColor="text1"/>
        </w:rPr>
        <w:t xml:space="preserve">and AI-TIRADS </w:t>
      </w:r>
      <w:r w:rsidRPr="00A4510A">
        <w:rPr>
          <w:rFonts w:ascii="Times New Roman" w:hAnsi="Times New Roman" w:cs="Times New Roman"/>
          <w:color w:val="000000" w:themeColor="text1"/>
        </w:rPr>
        <w:t>w</w:t>
      </w:r>
      <w:r w:rsidR="000C4C2A" w:rsidRPr="00A4510A">
        <w:rPr>
          <w:rFonts w:ascii="Times New Roman" w:hAnsi="Times New Roman" w:cs="Times New Roman"/>
          <w:color w:val="000000" w:themeColor="text1"/>
        </w:rPr>
        <w:t>ere</w:t>
      </w:r>
      <w:r w:rsidRPr="00A4510A">
        <w:rPr>
          <w:rFonts w:ascii="Times New Roman" w:hAnsi="Times New Roman" w:cs="Times New Roman"/>
          <w:color w:val="000000" w:themeColor="text1"/>
        </w:rPr>
        <w:t xml:space="preserve"> able to recommend</w:t>
      </w:r>
      <w:r w:rsidR="008E0E18" w:rsidRPr="00A4510A">
        <w:rPr>
          <w:rFonts w:ascii="Times New Roman" w:hAnsi="Times New Roman" w:cs="Times New Roman"/>
          <w:color w:val="000000" w:themeColor="text1"/>
        </w:rPr>
        <w:t xml:space="preserve"> FNAC for 75% (n=3) of the cancerous nodules and</w:t>
      </w:r>
      <w:r w:rsidRPr="00A4510A">
        <w:rPr>
          <w:rFonts w:ascii="Times New Roman" w:hAnsi="Times New Roman" w:cs="Times New Roman"/>
          <w:color w:val="000000" w:themeColor="text1"/>
        </w:rPr>
        <w:t xml:space="preserve"> active surveillance for</w:t>
      </w:r>
      <w:r w:rsidR="008E0E18" w:rsidRPr="00A4510A">
        <w:rPr>
          <w:rFonts w:ascii="Times New Roman" w:hAnsi="Times New Roman" w:cs="Times New Roman"/>
          <w:color w:val="000000" w:themeColor="text1"/>
        </w:rPr>
        <w:t xml:space="preserve"> 25% (n=1)</w:t>
      </w:r>
      <w:r w:rsidRPr="00A4510A">
        <w:rPr>
          <w:rFonts w:ascii="Times New Roman" w:hAnsi="Times New Roman" w:cs="Times New Roman"/>
          <w:color w:val="000000" w:themeColor="text1"/>
        </w:rPr>
        <w:t xml:space="preserve">. </w:t>
      </w:r>
      <w:r w:rsidR="000C4C2A" w:rsidRPr="00A4510A">
        <w:rPr>
          <w:rFonts w:ascii="Times New Roman" w:hAnsi="Times New Roman" w:cs="Times New Roman"/>
          <w:color w:val="000000" w:themeColor="text1"/>
        </w:rPr>
        <w:t>Overall, a TIRADS RSS recommended removal or safe follow up on 11/12 occasions for the 4 detected cancers</w:t>
      </w:r>
      <w:r w:rsidR="00E7196D" w:rsidRPr="00A4510A">
        <w:rPr>
          <w:rFonts w:ascii="Times New Roman" w:hAnsi="Times New Roman" w:cs="Times New Roman"/>
          <w:color w:val="000000" w:themeColor="text1"/>
        </w:rPr>
        <w:t xml:space="preserve"> in our patient group</w:t>
      </w:r>
      <w:r w:rsidR="000C4C2A" w:rsidRPr="00A4510A">
        <w:rPr>
          <w:rFonts w:ascii="Times New Roman" w:hAnsi="Times New Roman" w:cs="Times New Roman"/>
          <w:color w:val="000000" w:themeColor="text1"/>
        </w:rPr>
        <w:t xml:space="preserve">. </w:t>
      </w:r>
    </w:p>
    <w:p w14:paraId="01EBD178" w14:textId="45B67D38" w:rsidR="00BE51EF" w:rsidRPr="00A4510A" w:rsidRDefault="000C4C2A" w:rsidP="001361CF">
      <w:pPr>
        <w:spacing w:line="480" w:lineRule="auto"/>
        <w:rPr>
          <w:rFonts w:ascii="Times New Roman" w:hAnsi="Times New Roman" w:cs="Times New Roman"/>
          <w:color w:val="000000" w:themeColor="text1"/>
        </w:rPr>
      </w:pPr>
      <w:r>
        <w:rPr>
          <w:rFonts w:ascii="Times New Roman" w:hAnsi="Times New Roman" w:cs="Times New Roman"/>
        </w:rPr>
        <w:t xml:space="preserve">How </w:t>
      </w:r>
      <w:r w:rsidR="00BE51EF">
        <w:rPr>
          <w:rFonts w:ascii="Times New Roman" w:hAnsi="Times New Roman" w:cs="Times New Roman"/>
        </w:rPr>
        <w:t>significant</w:t>
      </w:r>
      <w:r>
        <w:rPr>
          <w:rFonts w:ascii="Times New Roman" w:hAnsi="Times New Roman" w:cs="Times New Roman"/>
        </w:rPr>
        <w:t xml:space="preserve"> </w:t>
      </w:r>
      <w:r w:rsidR="0001416F">
        <w:rPr>
          <w:rFonts w:ascii="Times New Roman" w:hAnsi="Times New Roman" w:cs="Times New Roman"/>
        </w:rPr>
        <w:t>undetected cancer</w:t>
      </w:r>
      <w:r w:rsidR="008E0E18">
        <w:rPr>
          <w:rFonts w:ascii="Times New Roman" w:hAnsi="Times New Roman" w:cs="Times New Roman"/>
        </w:rPr>
        <w:t>ous nodules</w:t>
      </w:r>
      <w:r w:rsidR="00BE51EF">
        <w:rPr>
          <w:rFonts w:ascii="Times New Roman" w:hAnsi="Times New Roman" w:cs="Times New Roman"/>
        </w:rPr>
        <w:t xml:space="preserve"> </w:t>
      </w:r>
      <w:r w:rsidR="008E0E18">
        <w:rPr>
          <w:rFonts w:ascii="Times New Roman" w:hAnsi="Times New Roman" w:cs="Times New Roman"/>
        </w:rPr>
        <w:t>are to</w:t>
      </w:r>
      <w:r w:rsidR="00BE51EF">
        <w:rPr>
          <w:rFonts w:ascii="Times New Roman" w:hAnsi="Times New Roman" w:cs="Times New Roman"/>
        </w:rPr>
        <w:t xml:space="preserve"> patient outcome vs the need to avoid over-diagnosing indolent lesions is </w:t>
      </w:r>
      <w:r w:rsidR="00E84DC3">
        <w:rPr>
          <w:rFonts w:ascii="Times New Roman" w:hAnsi="Times New Roman" w:cs="Times New Roman"/>
        </w:rPr>
        <w:t xml:space="preserve">an important and long-standing </w:t>
      </w:r>
      <w:r w:rsidR="00BE51EF">
        <w:rPr>
          <w:rFonts w:ascii="Times New Roman" w:hAnsi="Times New Roman" w:cs="Times New Roman"/>
        </w:rPr>
        <w:t>debate</w:t>
      </w:r>
      <w:r w:rsidR="0001416F">
        <w:rPr>
          <w:rFonts w:ascii="Times New Roman" w:hAnsi="Times New Roman" w:cs="Times New Roman"/>
        </w:rPr>
        <w:t xml:space="preserve"> and sub</w:t>
      </w:r>
      <w:r w:rsidR="00CA4DDA">
        <w:rPr>
          <w:rFonts w:ascii="Times New Roman" w:hAnsi="Times New Roman" w:cs="Times New Roman"/>
        </w:rPr>
        <w:t>-</w:t>
      </w:r>
      <w:r w:rsidR="0001416F">
        <w:rPr>
          <w:rFonts w:ascii="Times New Roman" w:hAnsi="Times New Roman" w:cs="Times New Roman"/>
        </w:rPr>
        <w:t xml:space="preserve">1 cm cancers can behave non-aggressively with no perceived impact on mortality </w:t>
      </w:r>
      <w:r w:rsidR="00E84DC3">
        <w:rPr>
          <w:rFonts w:ascii="Times New Roman" w:hAnsi="Times New Roman" w:cs="Times New Roman"/>
        </w:rPr>
        <w:t>[2</w:t>
      </w:r>
      <w:r w:rsidR="00BB7628">
        <w:rPr>
          <w:rFonts w:ascii="Times New Roman" w:hAnsi="Times New Roman" w:cs="Times New Roman"/>
        </w:rPr>
        <w:t>3</w:t>
      </w:r>
      <w:r w:rsidR="00E84DC3">
        <w:rPr>
          <w:rFonts w:ascii="Times New Roman" w:hAnsi="Times New Roman" w:cs="Times New Roman"/>
        </w:rPr>
        <w:t>][2</w:t>
      </w:r>
      <w:r w:rsidR="00BB7628">
        <w:rPr>
          <w:rFonts w:ascii="Times New Roman" w:hAnsi="Times New Roman" w:cs="Times New Roman"/>
        </w:rPr>
        <w:t>4</w:t>
      </w:r>
      <w:r w:rsidR="00E84DC3">
        <w:rPr>
          <w:rFonts w:ascii="Times New Roman" w:hAnsi="Times New Roman" w:cs="Times New Roman"/>
        </w:rPr>
        <w:t>][2</w:t>
      </w:r>
      <w:r w:rsidR="00BB7628">
        <w:rPr>
          <w:rFonts w:ascii="Times New Roman" w:hAnsi="Times New Roman" w:cs="Times New Roman"/>
        </w:rPr>
        <w:t>5</w:t>
      </w:r>
      <w:r w:rsidR="00E84DC3">
        <w:rPr>
          <w:rFonts w:ascii="Times New Roman" w:hAnsi="Times New Roman" w:cs="Times New Roman"/>
        </w:rPr>
        <w:t>]</w:t>
      </w:r>
      <w:r w:rsidR="00BE51EF">
        <w:rPr>
          <w:rFonts w:ascii="Times New Roman" w:hAnsi="Times New Roman" w:cs="Times New Roman"/>
        </w:rPr>
        <w:t>.</w:t>
      </w:r>
      <w:r w:rsidR="0001416F">
        <w:rPr>
          <w:rFonts w:ascii="Times New Roman" w:hAnsi="Times New Roman" w:cs="Times New Roman"/>
        </w:rPr>
        <w:t xml:space="preserve"> </w:t>
      </w:r>
      <w:r w:rsidR="00C536A5" w:rsidRPr="006D6D2B">
        <w:rPr>
          <w:rFonts w:ascii="Times New Roman" w:hAnsi="Times New Roman" w:cs="Times New Roman"/>
        </w:rPr>
        <w:t>Nevertheless, patients' views on the potential for a cancer to go undetected may vary significantly from those of healthcare professionals and hospital managers, despite assurances from empirical evidence.</w:t>
      </w:r>
      <w:r w:rsidR="00C536A5">
        <w:rPr>
          <w:rFonts w:ascii="Times New Roman" w:hAnsi="Times New Roman" w:cs="Times New Roman"/>
        </w:rPr>
        <w:t xml:space="preserve"> </w:t>
      </w:r>
      <w:r w:rsidR="008E0E18">
        <w:rPr>
          <w:rFonts w:ascii="Times New Roman" w:hAnsi="Times New Roman" w:cs="Times New Roman"/>
        </w:rPr>
        <w:t xml:space="preserve">Moreover, the financial </w:t>
      </w:r>
      <w:r w:rsidR="009C69C4">
        <w:rPr>
          <w:rFonts w:ascii="Times New Roman" w:hAnsi="Times New Roman" w:cs="Times New Roman"/>
        </w:rPr>
        <w:t>implications</w:t>
      </w:r>
      <w:r w:rsidR="008E0E18">
        <w:rPr>
          <w:rFonts w:ascii="Times New Roman" w:hAnsi="Times New Roman" w:cs="Times New Roman"/>
        </w:rPr>
        <w:t xml:space="preserve"> </w:t>
      </w:r>
      <w:r w:rsidR="009C69C4">
        <w:rPr>
          <w:rFonts w:ascii="Times New Roman" w:hAnsi="Times New Roman" w:cs="Times New Roman"/>
        </w:rPr>
        <w:t>between</w:t>
      </w:r>
      <w:r w:rsidR="008E0E18">
        <w:rPr>
          <w:rFonts w:ascii="Times New Roman" w:hAnsi="Times New Roman" w:cs="Times New Roman"/>
        </w:rPr>
        <w:t xml:space="preserve"> </w:t>
      </w:r>
      <w:r w:rsidR="009C69C4">
        <w:rPr>
          <w:rFonts w:ascii="Times New Roman" w:hAnsi="Times New Roman" w:cs="Times New Roman"/>
        </w:rPr>
        <w:t xml:space="preserve">opting for a service which promotes </w:t>
      </w:r>
      <w:r w:rsidR="008E0E18">
        <w:rPr>
          <w:rFonts w:ascii="Times New Roman" w:hAnsi="Times New Roman" w:cs="Times New Roman"/>
        </w:rPr>
        <w:t xml:space="preserve">active surveillance for a greater </w:t>
      </w:r>
      <w:r w:rsidR="008E0E18" w:rsidRPr="00A4510A">
        <w:rPr>
          <w:rFonts w:ascii="Times New Roman" w:hAnsi="Times New Roman" w:cs="Times New Roman"/>
          <w:color w:val="000000" w:themeColor="text1"/>
        </w:rPr>
        <w:t xml:space="preserve">number of indeterminate nodules vs FNAC and </w:t>
      </w:r>
      <w:r w:rsidR="009F3EAA" w:rsidRPr="00A4510A">
        <w:rPr>
          <w:rFonts w:ascii="Times New Roman" w:hAnsi="Times New Roman" w:cs="Times New Roman"/>
          <w:color w:val="000000" w:themeColor="text1"/>
        </w:rPr>
        <w:t xml:space="preserve">then </w:t>
      </w:r>
      <w:r w:rsidR="008E0E18" w:rsidRPr="00A4510A">
        <w:rPr>
          <w:rFonts w:ascii="Times New Roman" w:hAnsi="Times New Roman" w:cs="Times New Roman"/>
          <w:color w:val="000000" w:themeColor="text1"/>
        </w:rPr>
        <w:t xml:space="preserve">subsequent discharge or </w:t>
      </w:r>
      <w:r w:rsidR="009C69C4" w:rsidRPr="00A4510A">
        <w:rPr>
          <w:rFonts w:ascii="Times New Roman" w:hAnsi="Times New Roman" w:cs="Times New Roman"/>
          <w:color w:val="000000" w:themeColor="text1"/>
        </w:rPr>
        <w:t xml:space="preserve">surgery </w:t>
      </w:r>
      <w:r w:rsidR="008E0E18" w:rsidRPr="00A4510A">
        <w:rPr>
          <w:rFonts w:ascii="Times New Roman" w:hAnsi="Times New Roman" w:cs="Times New Roman"/>
          <w:color w:val="000000" w:themeColor="text1"/>
        </w:rPr>
        <w:t>is unclear.</w:t>
      </w:r>
      <w:r w:rsidR="009C69C4" w:rsidRPr="00A4510A">
        <w:rPr>
          <w:rFonts w:ascii="Times New Roman" w:hAnsi="Times New Roman" w:cs="Times New Roman"/>
          <w:color w:val="000000" w:themeColor="text1"/>
        </w:rPr>
        <w:t xml:space="preserve"> </w:t>
      </w:r>
    </w:p>
    <w:p w14:paraId="56A7581A" w14:textId="7E3BE718" w:rsidR="0001416F" w:rsidRDefault="00E7196D" w:rsidP="001361CF">
      <w:pPr>
        <w:spacing w:line="480" w:lineRule="auto"/>
        <w:rPr>
          <w:rFonts w:ascii="Times New Roman" w:hAnsi="Times New Roman" w:cs="Times New Roman"/>
        </w:rPr>
      </w:pPr>
      <w:r w:rsidRPr="00A4510A">
        <w:rPr>
          <w:rFonts w:ascii="Times New Roman" w:hAnsi="Times New Roman" w:cs="Times New Roman"/>
          <w:color w:val="000000" w:themeColor="text1"/>
        </w:rPr>
        <w:t>We</w:t>
      </w:r>
      <w:r w:rsidR="0001416F" w:rsidRPr="00A4510A">
        <w:rPr>
          <w:rFonts w:ascii="Times New Roman" w:hAnsi="Times New Roman" w:cs="Times New Roman"/>
          <w:color w:val="000000" w:themeColor="text1"/>
        </w:rPr>
        <w:t xml:space="preserve"> demonstrated moderat</w:t>
      </w:r>
      <w:r w:rsidR="00855C62" w:rsidRPr="00A4510A">
        <w:rPr>
          <w:rFonts w:ascii="Times New Roman" w:hAnsi="Times New Roman" w:cs="Times New Roman"/>
          <w:color w:val="000000" w:themeColor="text1"/>
        </w:rPr>
        <w:t>e</w:t>
      </w:r>
      <w:r w:rsidR="0001416F" w:rsidRPr="00A4510A">
        <w:rPr>
          <w:rFonts w:ascii="Times New Roman" w:hAnsi="Times New Roman" w:cs="Times New Roman"/>
          <w:color w:val="000000" w:themeColor="text1"/>
        </w:rPr>
        <w:t xml:space="preserve"> agreement between observers according to </w:t>
      </w:r>
      <w:r w:rsidR="00855C62" w:rsidRPr="00A4510A">
        <w:rPr>
          <w:rFonts w:ascii="Times New Roman" w:hAnsi="Times New Roman" w:cs="Times New Roman"/>
          <w:color w:val="000000" w:themeColor="text1"/>
        </w:rPr>
        <w:t>Fleiss</w:t>
      </w:r>
      <w:r w:rsidR="0001416F" w:rsidRPr="00A4510A">
        <w:rPr>
          <w:rFonts w:ascii="Times New Roman" w:hAnsi="Times New Roman" w:cs="Times New Roman"/>
          <w:color w:val="000000" w:themeColor="text1"/>
        </w:rPr>
        <w:t>’ kappa coefficient for ACR and AI-TIRADS with fair</w:t>
      </w:r>
      <w:r w:rsidR="00855C62" w:rsidRPr="00A4510A">
        <w:rPr>
          <w:rFonts w:ascii="Times New Roman" w:hAnsi="Times New Roman" w:cs="Times New Roman"/>
          <w:color w:val="000000" w:themeColor="text1"/>
        </w:rPr>
        <w:t xml:space="preserve"> </w:t>
      </w:r>
      <w:r w:rsidR="0001416F" w:rsidRPr="00A4510A">
        <w:rPr>
          <w:rFonts w:ascii="Times New Roman" w:hAnsi="Times New Roman" w:cs="Times New Roman"/>
          <w:color w:val="000000" w:themeColor="text1"/>
        </w:rPr>
        <w:t>agreement for EU-TIRADS. AI-TIRADS had the highest</w:t>
      </w:r>
      <w:r w:rsidR="009C69C4" w:rsidRPr="00A4510A">
        <w:rPr>
          <w:rFonts w:ascii="Times New Roman" w:hAnsi="Times New Roman" w:cs="Times New Roman"/>
          <w:color w:val="000000" w:themeColor="text1"/>
        </w:rPr>
        <w:t xml:space="preserve"> rate of </w:t>
      </w:r>
      <w:r w:rsidR="00C536A5" w:rsidRPr="00A4510A">
        <w:rPr>
          <w:rFonts w:ascii="Times New Roman" w:hAnsi="Times New Roman" w:cs="Times New Roman"/>
          <w:color w:val="000000" w:themeColor="text1"/>
        </w:rPr>
        <w:t>agreement</w:t>
      </w:r>
      <w:r w:rsidR="0001416F" w:rsidRPr="00A4510A">
        <w:rPr>
          <w:rFonts w:ascii="Times New Roman" w:hAnsi="Times New Roman" w:cs="Times New Roman"/>
          <w:color w:val="000000" w:themeColor="text1"/>
        </w:rPr>
        <w:t xml:space="preserve">. These findings </w:t>
      </w:r>
      <w:r w:rsidR="00F22A47" w:rsidRPr="00A4510A">
        <w:rPr>
          <w:rFonts w:ascii="Times New Roman" w:hAnsi="Times New Roman" w:cs="Times New Roman"/>
          <w:color w:val="000000" w:themeColor="text1"/>
        </w:rPr>
        <w:t>are at the lower end of</w:t>
      </w:r>
      <w:r w:rsidR="0001416F" w:rsidRPr="00A4510A">
        <w:rPr>
          <w:rFonts w:ascii="Times New Roman" w:hAnsi="Times New Roman" w:cs="Times New Roman"/>
          <w:color w:val="000000" w:themeColor="text1"/>
        </w:rPr>
        <w:t xml:space="preserve"> report</w:t>
      </w:r>
      <w:r w:rsidR="00F22A47" w:rsidRPr="00A4510A">
        <w:rPr>
          <w:rFonts w:ascii="Times New Roman" w:hAnsi="Times New Roman" w:cs="Times New Roman"/>
          <w:color w:val="000000" w:themeColor="text1"/>
        </w:rPr>
        <w:t>ed</w:t>
      </w:r>
      <w:r w:rsidR="0001416F" w:rsidRPr="00A4510A">
        <w:rPr>
          <w:rFonts w:ascii="Times New Roman" w:hAnsi="Times New Roman" w:cs="Times New Roman"/>
          <w:color w:val="000000" w:themeColor="text1"/>
        </w:rPr>
        <w:t xml:space="preserve"> interobserver agreement for ACR</w:t>
      </w:r>
      <w:r w:rsidR="009F3EAA" w:rsidRPr="00A4510A">
        <w:rPr>
          <w:rFonts w:ascii="Times New Roman" w:hAnsi="Times New Roman" w:cs="Times New Roman"/>
          <w:color w:val="000000" w:themeColor="text1"/>
        </w:rPr>
        <w:t>-</w:t>
      </w:r>
      <w:r w:rsidR="0001416F" w:rsidRPr="00A4510A">
        <w:rPr>
          <w:rFonts w:ascii="Times New Roman" w:hAnsi="Times New Roman" w:cs="Times New Roman"/>
          <w:color w:val="000000" w:themeColor="text1"/>
        </w:rPr>
        <w:t>TIRADS</w:t>
      </w:r>
      <w:r w:rsidR="008F2FE6" w:rsidRPr="00A4510A">
        <w:rPr>
          <w:rFonts w:ascii="Times New Roman" w:hAnsi="Times New Roman" w:cs="Times New Roman"/>
          <w:color w:val="000000" w:themeColor="text1"/>
        </w:rPr>
        <w:t xml:space="preserve"> and EU-TIRADS</w:t>
      </w:r>
      <w:r w:rsidR="00F22A47" w:rsidRPr="00A4510A">
        <w:rPr>
          <w:rFonts w:ascii="Times New Roman" w:hAnsi="Times New Roman" w:cs="Times New Roman"/>
          <w:color w:val="000000" w:themeColor="text1"/>
        </w:rPr>
        <w:t>, likely due to exclusively grading indeterminate nodules</w:t>
      </w:r>
      <w:r w:rsidR="0001416F" w:rsidRPr="00A4510A">
        <w:rPr>
          <w:rFonts w:ascii="Times New Roman" w:hAnsi="Times New Roman" w:cs="Times New Roman"/>
          <w:color w:val="000000" w:themeColor="text1"/>
        </w:rPr>
        <w:t xml:space="preserve"> </w:t>
      </w:r>
      <w:r w:rsidR="00990D48" w:rsidRPr="00A4510A">
        <w:rPr>
          <w:rFonts w:ascii="Times New Roman" w:hAnsi="Times New Roman" w:cs="Times New Roman"/>
          <w:color w:val="000000" w:themeColor="text1"/>
        </w:rPr>
        <w:t>[</w:t>
      </w:r>
      <w:r w:rsidR="0001416F" w:rsidRPr="00A4510A">
        <w:rPr>
          <w:rFonts w:ascii="Times New Roman" w:hAnsi="Times New Roman" w:cs="Times New Roman"/>
          <w:color w:val="000000" w:themeColor="text1"/>
        </w:rPr>
        <w:t>2</w:t>
      </w:r>
      <w:r w:rsidR="00BB7628" w:rsidRPr="00A4510A">
        <w:rPr>
          <w:rFonts w:ascii="Times New Roman" w:hAnsi="Times New Roman" w:cs="Times New Roman"/>
          <w:color w:val="000000" w:themeColor="text1"/>
        </w:rPr>
        <w:t>6</w:t>
      </w:r>
      <w:r w:rsidR="0001416F" w:rsidRPr="00A4510A">
        <w:rPr>
          <w:rFonts w:ascii="Times New Roman" w:hAnsi="Times New Roman" w:cs="Times New Roman"/>
          <w:color w:val="000000" w:themeColor="text1"/>
        </w:rPr>
        <w:t>][2</w:t>
      </w:r>
      <w:r w:rsidR="00BB7628" w:rsidRPr="00A4510A">
        <w:rPr>
          <w:rFonts w:ascii="Times New Roman" w:hAnsi="Times New Roman" w:cs="Times New Roman"/>
          <w:color w:val="000000" w:themeColor="text1"/>
        </w:rPr>
        <w:t>7</w:t>
      </w:r>
      <w:r w:rsidR="0001416F" w:rsidRPr="00A4510A">
        <w:rPr>
          <w:rFonts w:ascii="Times New Roman" w:hAnsi="Times New Roman" w:cs="Times New Roman"/>
          <w:color w:val="000000" w:themeColor="text1"/>
        </w:rPr>
        <w:t xml:space="preserve">]. Published data on interobserver variability for application of BTA guidance is wide ranging with reports </w:t>
      </w:r>
      <w:r w:rsidR="0001416F">
        <w:rPr>
          <w:rFonts w:ascii="Times New Roman" w:hAnsi="Times New Roman" w:cs="Times New Roman"/>
        </w:rPr>
        <w:t xml:space="preserve">from fair to </w:t>
      </w:r>
      <w:r w:rsidR="00F22A47">
        <w:rPr>
          <w:rFonts w:ascii="Times New Roman" w:hAnsi="Times New Roman" w:cs="Times New Roman"/>
        </w:rPr>
        <w:t xml:space="preserve">substantial </w:t>
      </w:r>
      <w:r w:rsidR="0001416F">
        <w:rPr>
          <w:rFonts w:ascii="Times New Roman" w:hAnsi="Times New Roman" w:cs="Times New Roman"/>
        </w:rPr>
        <w:t>agreement [</w:t>
      </w:r>
      <w:r w:rsidR="00BB7628">
        <w:rPr>
          <w:rFonts w:ascii="Times New Roman" w:hAnsi="Times New Roman" w:cs="Times New Roman"/>
        </w:rPr>
        <w:t>20</w:t>
      </w:r>
      <w:r w:rsidR="0001416F">
        <w:rPr>
          <w:rFonts w:ascii="Times New Roman" w:hAnsi="Times New Roman" w:cs="Times New Roman"/>
        </w:rPr>
        <w:t>][2</w:t>
      </w:r>
      <w:r w:rsidR="00BB7628">
        <w:rPr>
          <w:rFonts w:ascii="Times New Roman" w:hAnsi="Times New Roman" w:cs="Times New Roman"/>
        </w:rPr>
        <w:t>8</w:t>
      </w:r>
      <w:r w:rsidR="0001416F">
        <w:rPr>
          <w:rFonts w:ascii="Times New Roman" w:hAnsi="Times New Roman" w:cs="Times New Roman"/>
        </w:rPr>
        <w:t>]. This suggests that interobserver variability alone should not influence choice of RSS</w:t>
      </w:r>
      <w:r w:rsidR="008F2FE6">
        <w:rPr>
          <w:rFonts w:ascii="Times New Roman" w:hAnsi="Times New Roman" w:cs="Times New Roman"/>
        </w:rPr>
        <w:t xml:space="preserve"> </w:t>
      </w:r>
      <w:r w:rsidR="0001416F">
        <w:rPr>
          <w:rFonts w:ascii="Times New Roman" w:hAnsi="Times New Roman" w:cs="Times New Roman"/>
        </w:rPr>
        <w:t>but is an important consideration when selecting and auditing a nodule assessment tool.</w:t>
      </w:r>
    </w:p>
    <w:p w14:paraId="7F04308F" w14:textId="2935055A" w:rsidR="00E7196D" w:rsidRPr="00A4510A" w:rsidRDefault="00CE77C1" w:rsidP="00CE77C1">
      <w:pPr>
        <w:spacing w:line="480" w:lineRule="auto"/>
        <w:rPr>
          <w:rFonts w:ascii="Times New Roman" w:hAnsi="Times New Roman" w:cs="Times New Roman"/>
          <w:color w:val="000000" w:themeColor="text1"/>
        </w:rPr>
      </w:pPr>
      <w:r w:rsidRPr="00A4510A">
        <w:rPr>
          <w:rFonts w:ascii="Times New Roman" w:hAnsi="Times New Roman" w:cs="Times New Roman"/>
          <w:color w:val="000000" w:themeColor="text1"/>
        </w:rPr>
        <w:lastRenderedPageBreak/>
        <w:t xml:space="preserve">We are aware of several limitations with our </w:t>
      </w:r>
      <w:r w:rsidR="00E7196D" w:rsidRPr="00A4510A">
        <w:rPr>
          <w:rFonts w:ascii="Times New Roman" w:hAnsi="Times New Roman" w:cs="Times New Roman"/>
          <w:color w:val="000000" w:themeColor="text1"/>
        </w:rPr>
        <w:t xml:space="preserve">findings. Our results capture the clinical practice and outcomes at a single centre and may not be generalisable to other centres where clinical practice can vary in the work up of thyroid nodules – these include different interpretations of cytology, a more established core biopsy service or institutions with lower non-diagnostic FNAC rates. </w:t>
      </w:r>
    </w:p>
    <w:p w14:paraId="6A9811DE" w14:textId="08979F1F" w:rsidR="00CE77C1" w:rsidRPr="00A4510A" w:rsidRDefault="00E7196D" w:rsidP="00CE77C1">
      <w:pPr>
        <w:spacing w:line="480" w:lineRule="auto"/>
        <w:rPr>
          <w:rFonts w:ascii="Times New Roman" w:hAnsi="Times New Roman" w:cs="Times New Roman"/>
          <w:color w:val="000000" w:themeColor="text1"/>
        </w:rPr>
      </w:pPr>
      <w:r w:rsidRPr="00A4510A">
        <w:rPr>
          <w:rFonts w:ascii="Times New Roman" w:hAnsi="Times New Roman" w:cs="Times New Roman"/>
          <w:color w:val="000000" w:themeColor="text1"/>
        </w:rPr>
        <w:t>Moreover, o</w:t>
      </w:r>
      <w:r w:rsidR="00CE77C1" w:rsidRPr="00A4510A">
        <w:rPr>
          <w:rFonts w:ascii="Times New Roman" w:hAnsi="Times New Roman" w:cs="Times New Roman"/>
          <w:color w:val="000000" w:themeColor="text1"/>
        </w:rPr>
        <w:t>bservers were blinded to the histology</w:t>
      </w:r>
      <w:r w:rsidR="009C69C4" w:rsidRPr="00A4510A">
        <w:rPr>
          <w:rFonts w:ascii="Times New Roman" w:hAnsi="Times New Roman" w:cs="Times New Roman"/>
          <w:color w:val="000000" w:themeColor="text1"/>
        </w:rPr>
        <w:t xml:space="preserve"> and clinical course</w:t>
      </w:r>
      <w:r w:rsidR="00CE77C1" w:rsidRPr="00A4510A">
        <w:rPr>
          <w:rFonts w:ascii="Times New Roman" w:hAnsi="Times New Roman" w:cs="Times New Roman"/>
          <w:color w:val="000000" w:themeColor="text1"/>
        </w:rPr>
        <w:t xml:space="preserve"> when retrospectively applying the TIRADS scoring but were aware that all nodules had been classified as indeterminate (U3) according to BTA. As a result, a degree of bias when scoring the nodules may have occurred. Images were scanned in retrospect from saved ultrasound images. Although these images remain diagnostic, prospective analysis of real-time images would </w:t>
      </w:r>
      <w:r w:rsidR="009C69C4" w:rsidRPr="00A4510A">
        <w:rPr>
          <w:rFonts w:ascii="Times New Roman" w:hAnsi="Times New Roman" w:cs="Times New Roman"/>
          <w:color w:val="000000" w:themeColor="text1"/>
        </w:rPr>
        <w:t xml:space="preserve">heed greater </w:t>
      </w:r>
      <w:r w:rsidR="00CE77C1" w:rsidRPr="00A4510A">
        <w:rPr>
          <w:rFonts w:ascii="Times New Roman" w:hAnsi="Times New Roman" w:cs="Times New Roman"/>
          <w:color w:val="000000" w:themeColor="text1"/>
        </w:rPr>
        <w:t>accura</w:t>
      </w:r>
      <w:r w:rsidR="009C69C4" w:rsidRPr="00A4510A">
        <w:rPr>
          <w:rFonts w:ascii="Times New Roman" w:hAnsi="Times New Roman" w:cs="Times New Roman"/>
          <w:color w:val="000000" w:themeColor="text1"/>
        </w:rPr>
        <w:t>cy</w:t>
      </w:r>
      <w:r w:rsidR="00CE77C1" w:rsidRPr="00A4510A">
        <w:rPr>
          <w:rFonts w:ascii="Times New Roman" w:hAnsi="Times New Roman" w:cs="Times New Roman"/>
          <w:color w:val="000000" w:themeColor="text1"/>
        </w:rPr>
        <w:t xml:space="preserve">. No cases were deemed to have poor image quality or quantity. </w:t>
      </w:r>
    </w:p>
    <w:p w14:paraId="66F26988" w14:textId="77777777" w:rsidR="00CE77C1" w:rsidRPr="00A4510A" w:rsidRDefault="00CE77C1" w:rsidP="00CE77C1">
      <w:pPr>
        <w:spacing w:line="480" w:lineRule="auto"/>
        <w:rPr>
          <w:color w:val="000000" w:themeColor="text1"/>
        </w:rPr>
      </w:pPr>
      <w:r w:rsidRPr="00A4510A">
        <w:rPr>
          <w:rFonts w:ascii="Times New Roman" w:hAnsi="Times New Roman" w:cs="Times New Roman"/>
          <w:color w:val="000000" w:themeColor="text1"/>
        </w:rPr>
        <w:t>Given that these nodules were indeterminate in nature, interobserver variability for each guideline is likely to decrease (and agreement increase) when nodules which are clearly benign or malignant in appearance are included.</w:t>
      </w:r>
    </w:p>
    <w:p w14:paraId="5223CD59" w14:textId="0111F174" w:rsidR="001361CF" w:rsidRPr="00A4510A" w:rsidRDefault="00CE77C1" w:rsidP="001361CF">
      <w:pPr>
        <w:spacing w:line="480" w:lineRule="auto"/>
        <w:rPr>
          <w:rFonts w:ascii="Times New Roman" w:hAnsi="Times New Roman" w:cs="Times New Roman"/>
          <w:color w:val="000000" w:themeColor="text1"/>
        </w:rPr>
      </w:pPr>
      <w:r w:rsidRPr="00A4510A">
        <w:rPr>
          <w:rFonts w:ascii="Times New Roman" w:hAnsi="Times New Roman" w:cs="Times New Roman"/>
          <w:color w:val="000000" w:themeColor="text1"/>
        </w:rPr>
        <w:t xml:space="preserve">Information regarding surgical discussion were gleaned from clinic letter documentation. We note that some of the nuances of these discussions may not have been recorded. </w:t>
      </w:r>
    </w:p>
    <w:p w14:paraId="2D44107A" w14:textId="422CF79B" w:rsidR="00E464AE" w:rsidRPr="00A4510A" w:rsidRDefault="00E464AE" w:rsidP="001361CF">
      <w:pPr>
        <w:spacing w:line="480" w:lineRule="auto"/>
        <w:rPr>
          <w:rFonts w:ascii="Times New Roman" w:hAnsi="Times New Roman" w:cs="Times New Roman"/>
          <w:b/>
          <w:bCs/>
          <w:color w:val="000000" w:themeColor="text1"/>
        </w:rPr>
      </w:pPr>
      <w:r w:rsidRPr="00A4510A">
        <w:rPr>
          <w:rFonts w:ascii="Times New Roman" w:hAnsi="Times New Roman" w:cs="Times New Roman"/>
          <w:b/>
          <w:bCs/>
          <w:color w:val="000000" w:themeColor="text1"/>
        </w:rPr>
        <w:t>Conclusion</w:t>
      </w:r>
    </w:p>
    <w:p w14:paraId="1AF58167" w14:textId="2ED5F5C0" w:rsidR="00BB7628" w:rsidRDefault="00536F65" w:rsidP="001361CF">
      <w:pPr>
        <w:spacing w:line="480" w:lineRule="auto"/>
        <w:rPr>
          <w:rFonts w:ascii="Times New Roman" w:hAnsi="Times New Roman" w:cs="Times New Roman"/>
        </w:rPr>
      </w:pPr>
      <w:r w:rsidRPr="00A4510A">
        <w:rPr>
          <w:rFonts w:ascii="Times New Roman" w:hAnsi="Times New Roman" w:cs="Times New Roman"/>
          <w:color w:val="000000" w:themeColor="text1"/>
        </w:rPr>
        <w:t>Indeterminate thyroid nodules provide a diagnostic</w:t>
      </w:r>
      <w:r w:rsidR="00300BF4" w:rsidRPr="00A4510A">
        <w:rPr>
          <w:rFonts w:ascii="Times New Roman" w:hAnsi="Times New Roman" w:cs="Times New Roman"/>
          <w:color w:val="000000" w:themeColor="text1"/>
        </w:rPr>
        <w:t xml:space="preserve"> dilemma</w:t>
      </w:r>
      <w:r w:rsidR="00DD4CAE" w:rsidRPr="00A4510A">
        <w:rPr>
          <w:rFonts w:ascii="Times New Roman" w:hAnsi="Times New Roman" w:cs="Times New Roman"/>
          <w:color w:val="000000" w:themeColor="text1"/>
        </w:rPr>
        <w:t xml:space="preserve">, with the classification by which they are risk stratified at ultrasound </w:t>
      </w:r>
      <w:r w:rsidR="00CA4DDA" w:rsidRPr="00A4510A">
        <w:rPr>
          <w:rFonts w:ascii="Times New Roman" w:hAnsi="Times New Roman" w:cs="Times New Roman"/>
          <w:color w:val="000000" w:themeColor="text1"/>
        </w:rPr>
        <w:t>proving</w:t>
      </w:r>
      <w:r w:rsidR="00DD4CAE" w:rsidRPr="00A4510A">
        <w:rPr>
          <w:rFonts w:ascii="Times New Roman" w:hAnsi="Times New Roman" w:cs="Times New Roman"/>
          <w:color w:val="000000" w:themeColor="text1"/>
        </w:rPr>
        <w:t xml:space="preserve"> the catalyst for any downstream diagnostic cascade that may follow</w:t>
      </w:r>
      <w:r w:rsidRPr="00A4510A">
        <w:rPr>
          <w:rFonts w:ascii="Times New Roman" w:hAnsi="Times New Roman" w:cs="Times New Roman"/>
          <w:color w:val="000000" w:themeColor="text1"/>
        </w:rPr>
        <w:t xml:space="preserve">. </w:t>
      </w:r>
      <w:r w:rsidR="00B76A81" w:rsidRPr="00A4510A">
        <w:rPr>
          <w:rFonts w:ascii="Times New Roman" w:hAnsi="Times New Roman" w:cs="Times New Roman"/>
          <w:color w:val="000000" w:themeColor="text1"/>
        </w:rPr>
        <w:t xml:space="preserve">In the context of high non-diagnostic sampling rates for indeterminate nodules at our centre, </w:t>
      </w:r>
      <w:r w:rsidR="00B76A81">
        <w:rPr>
          <w:rFonts w:ascii="Times New Roman" w:hAnsi="Times New Roman" w:cs="Times New Roman"/>
        </w:rPr>
        <w:t>l</w:t>
      </w:r>
      <w:r w:rsidR="00FC4E9A" w:rsidRPr="00BB7628">
        <w:rPr>
          <w:rFonts w:ascii="Times New Roman" w:hAnsi="Times New Roman" w:cs="Times New Roman"/>
        </w:rPr>
        <w:t>arge increase</w:t>
      </w:r>
      <w:r w:rsidR="00DD4CAE" w:rsidRPr="00BB7628">
        <w:rPr>
          <w:rFonts w:ascii="Times New Roman" w:hAnsi="Times New Roman" w:cs="Times New Roman"/>
        </w:rPr>
        <w:t>s</w:t>
      </w:r>
      <w:r w:rsidR="00FC4E9A" w:rsidRPr="00BB7628">
        <w:rPr>
          <w:rFonts w:ascii="Times New Roman" w:hAnsi="Times New Roman" w:cs="Times New Roman"/>
        </w:rPr>
        <w:t xml:space="preserve"> in</w:t>
      </w:r>
      <w:r w:rsidR="00CA4DDA">
        <w:rPr>
          <w:rFonts w:ascii="Times New Roman" w:hAnsi="Times New Roman" w:cs="Times New Roman"/>
        </w:rPr>
        <w:t xml:space="preserve"> the</w:t>
      </w:r>
      <w:r w:rsidR="00FC4E9A" w:rsidRPr="00BB7628">
        <w:rPr>
          <w:rFonts w:ascii="Times New Roman" w:hAnsi="Times New Roman" w:cs="Times New Roman"/>
        </w:rPr>
        <w:t xml:space="preserve"> volume of FNA</w:t>
      </w:r>
      <w:r w:rsidR="00DD4CAE" w:rsidRPr="00BB7628">
        <w:rPr>
          <w:rFonts w:ascii="Times New Roman" w:hAnsi="Times New Roman" w:cs="Times New Roman"/>
        </w:rPr>
        <w:t>C</w:t>
      </w:r>
      <w:r w:rsidR="00FC4E9A" w:rsidRPr="00BB7628">
        <w:rPr>
          <w:rFonts w:ascii="Times New Roman" w:hAnsi="Times New Roman" w:cs="Times New Roman"/>
        </w:rPr>
        <w:t xml:space="preserve"> </w:t>
      </w:r>
      <w:r w:rsidR="00B76A81">
        <w:rPr>
          <w:rFonts w:ascii="Times New Roman" w:hAnsi="Times New Roman" w:cs="Times New Roman"/>
        </w:rPr>
        <w:t>performed</w:t>
      </w:r>
      <w:r w:rsidR="00FC4E9A" w:rsidRPr="00BB7628">
        <w:rPr>
          <w:rFonts w:ascii="Times New Roman" w:hAnsi="Times New Roman" w:cs="Times New Roman"/>
        </w:rPr>
        <w:t xml:space="preserve"> under BTA guidance</w:t>
      </w:r>
      <w:r w:rsidR="00DD4CAE" w:rsidRPr="00BB7628">
        <w:rPr>
          <w:rFonts w:ascii="Times New Roman" w:hAnsi="Times New Roman" w:cs="Times New Roman"/>
        </w:rPr>
        <w:t xml:space="preserve"> </w:t>
      </w:r>
      <w:r w:rsidR="00FC4E9A" w:rsidRPr="00BB7628">
        <w:rPr>
          <w:rFonts w:ascii="Times New Roman" w:hAnsi="Times New Roman" w:cs="Times New Roman"/>
        </w:rPr>
        <w:t>when compared to</w:t>
      </w:r>
      <w:r w:rsidR="00B57F58">
        <w:rPr>
          <w:rFonts w:ascii="Times New Roman" w:hAnsi="Times New Roman" w:cs="Times New Roman"/>
        </w:rPr>
        <w:t xml:space="preserve"> retrospective</w:t>
      </w:r>
      <w:r w:rsidR="00FC4E9A" w:rsidRPr="00BB7628">
        <w:rPr>
          <w:rFonts w:ascii="Times New Roman" w:hAnsi="Times New Roman" w:cs="Times New Roman"/>
        </w:rPr>
        <w:t xml:space="preserve"> </w:t>
      </w:r>
      <w:r w:rsidR="00300BF4" w:rsidRPr="00BB7628">
        <w:rPr>
          <w:rFonts w:ascii="Times New Roman" w:hAnsi="Times New Roman" w:cs="Times New Roman"/>
        </w:rPr>
        <w:t>TIRADS</w:t>
      </w:r>
      <w:r w:rsidR="00B57F58">
        <w:rPr>
          <w:rFonts w:ascii="Times New Roman" w:hAnsi="Times New Roman" w:cs="Times New Roman"/>
        </w:rPr>
        <w:t xml:space="preserve"> application</w:t>
      </w:r>
      <w:r w:rsidR="00BB7628">
        <w:rPr>
          <w:rFonts w:ascii="Times New Roman" w:hAnsi="Times New Roman" w:cs="Times New Roman"/>
        </w:rPr>
        <w:t xml:space="preserve"> </w:t>
      </w:r>
      <w:r w:rsidR="00300BF4" w:rsidRPr="00BB7628">
        <w:rPr>
          <w:rFonts w:ascii="Times New Roman" w:hAnsi="Times New Roman" w:cs="Times New Roman"/>
        </w:rPr>
        <w:t>ha</w:t>
      </w:r>
      <w:r w:rsidR="00E7196D">
        <w:rPr>
          <w:rFonts w:ascii="Times New Roman" w:hAnsi="Times New Roman" w:cs="Times New Roman"/>
        </w:rPr>
        <w:t>d</w:t>
      </w:r>
      <w:r w:rsidR="00FC4E9A" w:rsidRPr="00BB7628">
        <w:rPr>
          <w:rFonts w:ascii="Times New Roman" w:hAnsi="Times New Roman" w:cs="Times New Roman"/>
        </w:rPr>
        <w:t xml:space="preserve"> the impact of significant</w:t>
      </w:r>
      <w:r w:rsidR="009C69C4">
        <w:rPr>
          <w:rFonts w:ascii="Times New Roman" w:hAnsi="Times New Roman" w:cs="Times New Roman"/>
        </w:rPr>
        <w:t xml:space="preserve"> </w:t>
      </w:r>
      <w:r w:rsidR="00FC4E9A" w:rsidRPr="00BB7628">
        <w:rPr>
          <w:rFonts w:ascii="Times New Roman" w:hAnsi="Times New Roman" w:cs="Times New Roman"/>
        </w:rPr>
        <w:t>increase</w:t>
      </w:r>
      <w:r w:rsidR="009C69C4">
        <w:rPr>
          <w:rFonts w:ascii="Times New Roman" w:hAnsi="Times New Roman" w:cs="Times New Roman"/>
        </w:rPr>
        <w:t>s in</w:t>
      </w:r>
      <w:r w:rsidR="00FC4E9A" w:rsidRPr="00BB7628">
        <w:rPr>
          <w:rFonts w:ascii="Times New Roman" w:hAnsi="Times New Roman" w:cs="Times New Roman"/>
        </w:rPr>
        <w:t xml:space="preserve"> surgical </w:t>
      </w:r>
      <w:r w:rsidR="00990D48">
        <w:rPr>
          <w:rFonts w:ascii="Times New Roman" w:hAnsi="Times New Roman" w:cs="Times New Roman"/>
        </w:rPr>
        <w:t>activit</w:t>
      </w:r>
      <w:r w:rsidR="00B76A81">
        <w:rPr>
          <w:rFonts w:ascii="Times New Roman" w:hAnsi="Times New Roman" w:cs="Times New Roman"/>
        </w:rPr>
        <w:t>y</w:t>
      </w:r>
      <w:r w:rsidR="00FC4E9A" w:rsidRPr="00B76A81">
        <w:rPr>
          <w:rFonts w:ascii="Times New Roman" w:hAnsi="Times New Roman" w:cs="Times New Roman"/>
          <w:color w:val="000000" w:themeColor="text1"/>
        </w:rPr>
        <w:t>.</w:t>
      </w:r>
      <w:r w:rsidR="00FC4E9A" w:rsidRPr="00FC0372">
        <w:rPr>
          <w:rFonts w:ascii="Times New Roman" w:hAnsi="Times New Roman" w:cs="Times New Roman"/>
          <w:color w:val="FF0000"/>
        </w:rPr>
        <w:t xml:space="preserve"> </w:t>
      </w:r>
    </w:p>
    <w:p w14:paraId="3B506704" w14:textId="36168CDC" w:rsidR="00FF43D2" w:rsidRPr="00CE77C1" w:rsidRDefault="00BB7628" w:rsidP="00CE77C1">
      <w:pPr>
        <w:spacing w:line="480" w:lineRule="auto"/>
        <w:rPr>
          <w:rFonts w:ascii="Times New Roman" w:hAnsi="Times New Roman" w:cs="Times New Roman"/>
        </w:rPr>
      </w:pPr>
      <w:r>
        <w:rPr>
          <w:rFonts w:ascii="Times New Roman" w:hAnsi="Times New Roman" w:cs="Times New Roman"/>
        </w:rPr>
        <w:t>While</w:t>
      </w:r>
      <w:r w:rsidR="00DD4CAE" w:rsidRPr="00BB7628">
        <w:rPr>
          <w:rFonts w:ascii="Times New Roman" w:hAnsi="Times New Roman" w:cs="Times New Roman"/>
        </w:rPr>
        <w:t xml:space="preserve"> the</w:t>
      </w:r>
      <w:r w:rsidR="00FC4E9A" w:rsidRPr="00BB7628">
        <w:rPr>
          <w:rFonts w:ascii="Times New Roman" w:hAnsi="Times New Roman" w:cs="Times New Roman"/>
        </w:rPr>
        <w:t xml:space="preserve"> low</w:t>
      </w:r>
      <w:r w:rsidR="00DD4CAE" w:rsidRPr="00BB7628">
        <w:rPr>
          <w:rFonts w:ascii="Times New Roman" w:hAnsi="Times New Roman" w:cs="Times New Roman"/>
        </w:rPr>
        <w:t>er</w:t>
      </w:r>
      <w:r w:rsidR="00FC4E9A" w:rsidRPr="00BB7628">
        <w:rPr>
          <w:rFonts w:ascii="Times New Roman" w:hAnsi="Times New Roman" w:cs="Times New Roman"/>
        </w:rPr>
        <w:t xml:space="preserve"> threshold approach to performing FNA</w:t>
      </w:r>
      <w:r w:rsidR="00DD4CAE" w:rsidRPr="00BB7628">
        <w:rPr>
          <w:rFonts w:ascii="Times New Roman" w:hAnsi="Times New Roman" w:cs="Times New Roman"/>
        </w:rPr>
        <w:t>C</w:t>
      </w:r>
      <w:r w:rsidR="00FC4E9A" w:rsidRPr="00BB7628">
        <w:rPr>
          <w:rFonts w:ascii="Times New Roman" w:hAnsi="Times New Roman" w:cs="Times New Roman"/>
        </w:rPr>
        <w:t xml:space="preserve"> risks over</w:t>
      </w:r>
      <w:r w:rsidR="004E2948" w:rsidRPr="00BB7628">
        <w:rPr>
          <w:rFonts w:ascii="Times New Roman" w:hAnsi="Times New Roman" w:cs="Times New Roman"/>
        </w:rPr>
        <w:t>-</w:t>
      </w:r>
      <w:r w:rsidR="00FC4E9A" w:rsidRPr="00BB7628">
        <w:rPr>
          <w:rFonts w:ascii="Times New Roman" w:hAnsi="Times New Roman" w:cs="Times New Roman"/>
        </w:rPr>
        <w:t xml:space="preserve">diagnosis </w:t>
      </w:r>
      <w:r w:rsidR="00300BF4" w:rsidRPr="00BB7628">
        <w:rPr>
          <w:rFonts w:ascii="Times New Roman" w:hAnsi="Times New Roman" w:cs="Times New Roman"/>
        </w:rPr>
        <w:t xml:space="preserve">and </w:t>
      </w:r>
      <w:r w:rsidR="00FC4E9A" w:rsidRPr="00BB7628">
        <w:rPr>
          <w:rFonts w:ascii="Times New Roman" w:hAnsi="Times New Roman" w:cs="Times New Roman"/>
        </w:rPr>
        <w:t>avoidable surgery</w:t>
      </w:r>
      <w:r w:rsidR="00D2332B">
        <w:rPr>
          <w:rFonts w:ascii="Times New Roman" w:hAnsi="Times New Roman" w:cs="Times New Roman"/>
        </w:rPr>
        <w:t xml:space="preserve">, </w:t>
      </w:r>
      <w:r>
        <w:rPr>
          <w:rFonts w:ascii="Times New Roman" w:hAnsi="Times New Roman" w:cs="Times New Roman"/>
        </w:rPr>
        <w:t xml:space="preserve">a </w:t>
      </w:r>
      <w:r w:rsidR="00FC4E9A" w:rsidRPr="00BB7628">
        <w:rPr>
          <w:rFonts w:ascii="Times New Roman" w:hAnsi="Times New Roman" w:cs="Times New Roman"/>
        </w:rPr>
        <w:t xml:space="preserve">higher threshold for </w:t>
      </w:r>
      <w:r w:rsidR="00300BF4" w:rsidRPr="00BB7628">
        <w:rPr>
          <w:rFonts w:ascii="Times New Roman" w:hAnsi="Times New Roman" w:cs="Times New Roman"/>
        </w:rPr>
        <w:t xml:space="preserve">FNAC </w:t>
      </w:r>
      <w:r w:rsidR="00B76A81">
        <w:rPr>
          <w:rFonts w:ascii="Times New Roman" w:hAnsi="Times New Roman" w:cs="Times New Roman"/>
        </w:rPr>
        <w:t xml:space="preserve">may infrequently </w:t>
      </w:r>
      <w:r w:rsidR="00FC4E9A" w:rsidRPr="00BB7628">
        <w:rPr>
          <w:rFonts w:ascii="Times New Roman" w:hAnsi="Times New Roman" w:cs="Times New Roman"/>
        </w:rPr>
        <w:t xml:space="preserve">risk missing </w:t>
      </w:r>
      <w:r w:rsidR="008E0E18">
        <w:rPr>
          <w:rFonts w:ascii="Times New Roman" w:hAnsi="Times New Roman" w:cs="Times New Roman"/>
        </w:rPr>
        <w:t xml:space="preserve">or delaying the removal </w:t>
      </w:r>
      <w:r w:rsidR="00FC4E9A" w:rsidRPr="00BB7628">
        <w:rPr>
          <w:rFonts w:ascii="Times New Roman" w:hAnsi="Times New Roman" w:cs="Times New Roman"/>
        </w:rPr>
        <w:t xml:space="preserve">of </w:t>
      </w:r>
      <w:r w:rsidR="008E0E18">
        <w:rPr>
          <w:rFonts w:ascii="Times New Roman" w:hAnsi="Times New Roman" w:cs="Times New Roman"/>
        </w:rPr>
        <w:t xml:space="preserve">small thyroid cancers of </w:t>
      </w:r>
      <w:r w:rsidR="00FC4E9A" w:rsidRPr="00BB7628">
        <w:rPr>
          <w:rFonts w:ascii="Times New Roman" w:hAnsi="Times New Roman" w:cs="Times New Roman"/>
        </w:rPr>
        <w:t xml:space="preserve">which the long-term </w:t>
      </w:r>
      <w:r w:rsidR="00B57F58">
        <w:rPr>
          <w:rFonts w:ascii="Times New Roman" w:hAnsi="Times New Roman" w:cs="Times New Roman"/>
        </w:rPr>
        <w:t>implications</w:t>
      </w:r>
      <w:r w:rsidR="00FC4E9A" w:rsidRPr="00BB7628">
        <w:rPr>
          <w:rFonts w:ascii="Times New Roman" w:hAnsi="Times New Roman" w:cs="Times New Roman"/>
        </w:rPr>
        <w:t xml:space="preserve"> </w:t>
      </w:r>
      <w:r w:rsidR="008E0E18">
        <w:rPr>
          <w:rFonts w:ascii="Times New Roman" w:hAnsi="Times New Roman" w:cs="Times New Roman"/>
        </w:rPr>
        <w:t xml:space="preserve">for patient outcomes </w:t>
      </w:r>
      <w:r w:rsidR="00B57F58">
        <w:rPr>
          <w:rFonts w:ascii="Times New Roman" w:hAnsi="Times New Roman" w:cs="Times New Roman"/>
        </w:rPr>
        <w:t xml:space="preserve">are </w:t>
      </w:r>
      <w:r w:rsidR="008E0E18">
        <w:rPr>
          <w:rFonts w:ascii="Times New Roman" w:hAnsi="Times New Roman" w:cs="Times New Roman"/>
        </w:rPr>
        <w:t>largely unknown</w:t>
      </w:r>
      <w:r w:rsidR="00300BF4" w:rsidRPr="00BB7628">
        <w:rPr>
          <w:rFonts w:ascii="Times New Roman" w:hAnsi="Times New Roman" w:cs="Times New Roman"/>
        </w:rPr>
        <w:t xml:space="preserve">. This highlights the need for ongoing discussion about the most ethical and pragmatic approach to risk </w:t>
      </w:r>
      <w:r w:rsidR="00300BF4" w:rsidRPr="00BB7628">
        <w:rPr>
          <w:rFonts w:ascii="Times New Roman" w:hAnsi="Times New Roman" w:cs="Times New Roman"/>
        </w:rPr>
        <w:lastRenderedPageBreak/>
        <w:t>stratifying</w:t>
      </w:r>
      <w:r w:rsidR="00D2332B">
        <w:rPr>
          <w:rFonts w:ascii="Times New Roman" w:hAnsi="Times New Roman" w:cs="Times New Roman"/>
        </w:rPr>
        <w:t xml:space="preserve"> equivocal</w:t>
      </w:r>
      <w:r w:rsidR="00300BF4" w:rsidRPr="00BB7628">
        <w:rPr>
          <w:rFonts w:ascii="Times New Roman" w:hAnsi="Times New Roman" w:cs="Times New Roman"/>
        </w:rPr>
        <w:t xml:space="preserve"> thyroid nodules and managing </w:t>
      </w:r>
      <w:r w:rsidR="009C69C4">
        <w:rPr>
          <w:rFonts w:ascii="Times New Roman" w:hAnsi="Times New Roman" w:cs="Times New Roman"/>
        </w:rPr>
        <w:t>both the</w:t>
      </w:r>
      <w:r w:rsidR="00300BF4" w:rsidRPr="00BB7628">
        <w:rPr>
          <w:rFonts w:ascii="Times New Roman" w:hAnsi="Times New Roman" w:cs="Times New Roman"/>
        </w:rPr>
        <w:t xml:space="preserve"> increasing demand on radiology and thyroid surgery services</w:t>
      </w:r>
      <w:r w:rsidR="009C69C4">
        <w:rPr>
          <w:rFonts w:ascii="Times New Roman" w:hAnsi="Times New Roman" w:cs="Times New Roman"/>
        </w:rPr>
        <w:t xml:space="preserve"> as well as best clinical practice for patients. </w:t>
      </w:r>
      <w:r w:rsidR="00FF43D2">
        <w:rPr>
          <w:rFonts w:ascii="Times New Roman" w:hAnsi="Times New Roman" w:cs="Times New Roman"/>
          <w:b/>
          <w:bCs/>
        </w:rPr>
        <w:br w:type="page"/>
      </w:r>
    </w:p>
    <w:p w14:paraId="79BE187F" w14:textId="77777777" w:rsidR="00E464AE" w:rsidRPr="005747D1" w:rsidRDefault="00E464AE" w:rsidP="00E464AE">
      <w:pPr>
        <w:tabs>
          <w:tab w:val="left" w:pos="960"/>
        </w:tabs>
        <w:rPr>
          <w:rFonts w:ascii="Times New Roman" w:hAnsi="Times New Roman" w:cs="Times New Roman"/>
          <w:b/>
          <w:bCs/>
        </w:rPr>
      </w:pPr>
      <w:r w:rsidRPr="005747D1">
        <w:rPr>
          <w:rFonts w:ascii="Times New Roman" w:hAnsi="Times New Roman" w:cs="Times New Roman"/>
          <w:b/>
          <w:bCs/>
        </w:rPr>
        <w:lastRenderedPageBreak/>
        <w:t>References</w:t>
      </w:r>
    </w:p>
    <w:p w14:paraId="454043F6" w14:textId="77777777" w:rsidR="00912166" w:rsidRPr="008D70A1" w:rsidRDefault="00912166" w:rsidP="00912166">
      <w:pPr>
        <w:pStyle w:val="ListParagraph"/>
        <w:numPr>
          <w:ilvl w:val="0"/>
          <w:numId w:val="3"/>
        </w:numPr>
        <w:tabs>
          <w:tab w:val="left" w:pos="960"/>
        </w:tabs>
        <w:rPr>
          <w:rFonts w:ascii="Times New Roman" w:hAnsi="Times New Roman" w:cs="Times New Roman"/>
        </w:rPr>
      </w:pPr>
      <w:proofErr w:type="spellStart"/>
      <w:r w:rsidRPr="008D70A1">
        <w:rPr>
          <w:rFonts w:ascii="Times New Roman" w:hAnsi="Times New Roman" w:cs="Times New Roman"/>
        </w:rPr>
        <w:t>Perros</w:t>
      </w:r>
      <w:proofErr w:type="spellEnd"/>
      <w:r w:rsidRPr="008D70A1">
        <w:rPr>
          <w:rFonts w:ascii="Times New Roman" w:hAnsi="Times New Roman" w:cs="Times New Roman"/>
        </w:rPr>
        <w:t xml:space="preserve"> P, Colley S, </w:t>
      </w:r>
      <w:proofErr w:type="spellStart"/>
      <w:r w:rsidRPr="008D70A1">
        <w:rPr>
          <w:rFonts w:ascii="Times New Roman" w:hAnsi="Times New Roman" w:cs="Times New Roman"/>
        </w:rPr>
        <w:t>Boelaert</w:t>
      </w:r>
      <w:proofErr w:type="spellEnd"/>
      <w:r w:rsidRPr="008D70A1">
        <w:rPr>
          <w:rFonts w:ascii="Times New Roman" w:hAnsi="Times New Roman" w:cs="Times New Roman"/>
        </w:rPr>
        <w:t xml:space="preserve"> K, et al. Guidelines for the management of thyroid cancer. </w:t>
      </w:r>
      <w:r w:rsidRPr="007B5A06">
        <w:rPr>
          <w:rFonts w:ascii="Times New Roman" w:hAnsi="Times New Roman" w:cs="Times New Roman"/>
          <w:i/>
          <w:iCs/>
        </w:rPr>
        <w:t>Clinical Endocrinology.</w:t>
      </w:r>
      <w:r w:rsidRPr="008D70A1">
        <w:rPr>
          <w:rFonts w:ascii="Times New Roman" w:hAnsi="Times New Roman" w:cs="Times New Roman"/>
        </w:rPr>
        <w:t xml:space="preserve"> 2014; 81(1). </w:t>
      </w:r>
    </w:p>
    <w:p w14:paraId="4C9AA5EF" w14:textId="0AD631E9" w:rsidR="00E464AE" w:rsidRDefault="00912166" w:rsidP="00912166">
      <w:pPr>
        <w:pStyle w:val="ListParagraph"/>
        <w:numPr>
          <w:ilvl w:val="0"/>
          <w:numId w:val="3"/>
        </w:numPr>
        <w:rPr>
          <w:rFonts w:ascii="Times New Roman" w:hAnsi="Times New Roman" w:cs="Times New Roman"/>
        </w:rPr>
      </w:pPr>
      <w:r w:rsidRPr="00912166">
        <w:rPr>
          <w:rFonts w:ascii="Times New Roman" w:hAnsi="Times New Roman" w:cs="Times New Roman"/>
        </w:rPr>
        <w:t xml:space="preserve">Al-Chalabi H, Karthik S, Vaidyanathan S. Radiological-pathological correlation of the British Thyroid Association ultrasound classification of thyroid nodules: a real-word validation study. </w:t>
      </w:r>
      <w:r w:rsidRPr="007B5A06">
        <w:rPr>
          <w:rFonts w:ascii="Times New Roman" w:hAnsi="Times New Roman" w:cs="Times New Roman"/>
          <w:i/>
          <w:iCs/>
        </w:rPr>
        <w:t>Clinical Radiology.</w:t>
      </w:r>
      <w:r w:rsidRPr="00912166">
        <w:rPr>
          <w:rFonts w:ascii="Times New Roman" w:hAnsi="Times New Roman" w:cs="Times New Roman"/>
        </w:rPr>
        <w:t xml:space="preserve"> 2019; 74(9): 702-711. </w:t>
      </w:r>
    </w:p>
    <w:p w14:paraId="1702D704" w14:textId="77777777" w:rsidR="00912166" w:rsidRPr="008D70A1" w:rsidRDefault="00912166" w:rsidP="00912166">
      <w:pPr>
        <w:pStyle w:val="ListParagraph"/>
        <w:numPr>
          <w:ilvl w:val="0"/>
          <w:numId w:val="3"/>
        </w:numPr>
        <w:tabs>
          <w:tab w:val="left" w:pos="960"/>
        </w:tabs>
        <w:rPr>
          <w:rFonts w:ascii="Times New Roman" w:hAnsi="Times New Roman" w:cs="Times New Roman"/>
        </w:rPr>
      </w:pPr>
      <w:r w:rsidRPr="008D70A1">
        <w:rPr>
          <w:rFonts w:ascii="Times New Roman" w:hAnsi="Times New Roman" w:cs="Times New Roman"/>
        </w:rPr>
        <w:t xml:space="preserve">Tessler FN, Middleton WD, Grant EG, et al. ACR thyroid imaging, reporting and data system (TI-RADS): white paper of the ACR TI-RADS committee. </w:t>
      </w:r>
      <w:r w:rsidRPr="007B5A06">
        <w:rPr>
          <w:rFonts w:ascii="Times New Roman" w:hAnsi="Times New Roman" w:cs="Times New Roman"/>
          <w:i/>
          <w:iCs/>
        </w:rPr>
        <w:t xml:space="preserve">J Am Coll </w:t>
      </w:r>
      <w:proofErr w:type="spellStart"/>
      <w:r w:rsidRPr="007B5A06">
        <w:rPr>
          <w:rFonts w:ascii="Times New Roman" w:hAnsi="Times New Roman" w:cs="Times New Roman"/>
          <w:i/>
          <w:iCs/>
        </w:rPr>
        <w:t>Radiol</w:t>
      </w:r>
      <w:proofErr w:type="spellEnd"/>
      <w:r w:rsidRPr="007B5A06">
        <w:rPr>
          <w:rFonts w:ascii="Times New Roman" w:hAnsi="Times New Roman" w:cs="Times New Roman"/>
          <w:i/>
          <w:iCs/>
        </w:rPr>
        <w:t>.</w:t>
      </w:r>
      <w:r w:rsidRPr="008D70A1">
        <w:rPr>
          <w:rFonts w:ascii="Times New Roman" w:hAnsi="Times New Roman" w:cs="Times New Roman"/>
        </w:rPr>
        <w:t xml:space="preserve"> 2017; 14(5): 587-595.</w:t>
      </w:r>
    </w:p>
    <w:p w14:paraId="129B6310" w14:textId="1FC1CE45" w:rsidR="00912166" w:rsidRDefault="00912166" w:rsidP="00912166">
      <w:pPr>
        <w:pStyle w:val="ListParagraph"/>
        <w:numPr>
          <w:ilvl w:val="0"/>
          <w:numId w:val="3"/>
        </w:numPr>
        <w:rPr>
          <w:rFonts w:ascii="Times New Roman" w:hAnsi="Times New Roman" w:cs="Times New Roman"/>
        </w:rPr>
      </w:pPr>
      <w:r>
        <w:rPr>
          <w:rFonts w:ascii="Times New Roman" w:hAnsi="Times New Roman" w:cs="Times New Roman"/>
        </w:rPr>
        <w:t xml:space="preserve">Russ G, </w:t>
      </w:r>
      <w:proofErr w:type="spellStart"/>
      <w:r>
        <w:rPr>
          <w:rFonts w:ascii="Times New Roman" w:hAnsi="Times New Roman" w:cs="Times New Roman"/>
        </w:rPr>
        <w:t>Bonnema</w:t>
      </w:r>
      <w:proofErr w:type="spellEnd"/>
      <w:r>
        <w:rPr>
          <w:rFonts w:ascii="Times New Roman" w:hAnsi="Times New Roman" w:cs="Times New Roman"/>
        </w:rPr>
        <w:t xml:space="preserve"> SJ, Erdogan MF, et al. European Thyroid Association Guidelines for ultrasound malignancy risk stratification of thyroid nodules in adults: the EU-TIRADS. </w:t>
      </w:r>
      <w:r w:rsidRPr="007B5A06">
        <w:rPr>
          <w:rFonts w:ascii="Times New Roman" w:hAnsi="Times New Roman" w:cs="Times New Roman"/>
          <w:i/>
          <w:iCs/>
        </w:rPr>
        <w:t>European Thyroid Journal.</w:t>
      </w:r>
      <w:r>
        <w:rPr>
          <w:rFonts w:ascii="Times New Roman" w:hAnsi="Times New Roman" w:cs="Times New Roman"/>
        </w:rPr>
        <w:t xml:space="preserve"> 2017; 6(5): 225-237. </w:t>
      </w:r>
    </w:p>
    <w:p w14:paraId="2CC72B54" w14:textId="642C31E1" w:rsidR="00912166" w:rsidRDefault="00912166" w:rsidP="00912166">
      <w:pPr>
        <w:pStyle w:val="ListParagraph"/>
        <w:numPr>
          <w:ilvl w:val="0"/>
          <w:numId w:val="3"/>
        </w:numPr>
        <w:rPr>
          <w:rFonts w:ascii="Times New Roman" w:hAnsi="Times New Roman" w:cs="Times New Roman"/>
        </w:rPr>
      </w:pPr>
      <w:r>
        <w:rPr>
          <w:rFonts w:ascii="Times New Roman" w:hAnsi="Times New Roman" w:cs="Times New Roman"/>
        </w:rPr>
        <w:t>Wildman-</w:t>
      </w:r>
      <w:proofErr w:type="spellStart"/>
      <w:r>
        <w:rPr>
          <w:rFonts w:ascii="Times New Roman" w:hAnsi="Times New Roman" w:cs="Times New Roman"/>
        </w:rPr>
        <w:t>Tobriner</w:t>
      </w:r>
      <w:proofErr w:type="spellEnd"/>
      <w:r>
        <w:rPr>
          <w:rFonts w:ascii="Times New Roman" w:hAnsi="Times New Roman" w:cs="Times New Roman"/>
        </w:rPr>
        <w:t xml:space="preserve"> B, Buda M, Hoang JK, et al. Using artificial intelligence to revise ACR TI-RADS risk stratification of thyroid nodules: diagnostic accuracy and utility. </w:t>
      </w:r>
      <w:r w:rsidRPr="007B5A06">
        <w:rPr>
          <w:rFonts w:ascii="Times New Roman" w:hAnsi="Times New Roman" w:cs="Times New Roman"/>
          <w:i/>
          <w:iCs/>
        </w:rPr>
        <w:t>Radiology.</w:t>
      </w:r>
      <w:r>
        <w:rPr>
          <w:rFonts w:ascii="Times New Roman" w:hAnsi="Times New Roman" w:cs="Times New Roman"/>
        </w:rPr>
        <w:t xml:space="preserve"> 2019; 292(1): 112-119. </w:t>
      </w:r>
    </w:p>
    <w:p w14:paraId="4BFF8871" w14:textId="77FF6C61" w:rsidR="007F3CAB" w:rsidRPr="008D70A1" w:rsidRDefault="007F3CAB" w:rsidP="007F3CAB">
      <w:pPr>
        <w:pStyle w:val="ListParagraph"/>
        <w:numPr>
          <w:ilvl w:val="0"/>
          <w:numId w:val="3"/>
        </w:numPr>
        <w:tabs>
          <w:tab w:val="left" w:pos="960"/>
        </w:tabs>
        <w:rPr>
          <w:rFonts w:ascii="Times New Roman" w:hAnsi="Times New Roman" w:cs="Times New Roman"/>
        </w:rPr>
      </w:pPr>
      <w:r w:rsidRPr="008D70A1">
        <w:rPr>
          <w:rFonts w:ascii="Times New Roman" w:hAnsi="Times New Roman" w:cs="Times New Roman"/>
        </w:rPr>
        <w:t>Cancer Research UK. Thyroid cancer statistics. [Online] Last accessed [21/</w:t>
      </w:r>
      <w:r w:rsidR="00713675">
        <w:rPr>
          <w:rFonts w:ascii="Times New Roman" w:hAnsi="Times New Roman" w:cs="Times New Roman"/>
        </w:rPr>
        <w:t>12</w:t>
      </w:r>
      <w:r w:rsidRPr="008D70A1">
        <w:rPr>
          <w:rFonts w:ascii="Times New Roman" w:hAnsi="Times New Roman" w:cs="Times New Roman"/>
        </w:rPr>
        <w:t xml:space="preserve">/2023]. Available from: </w:t>
      </w:r>
      <w:hyperlink r:id="rId5" w:anchor="heading-One" w:history="1">
        <w:r w:rsidRPr="008D70A1">
          <w:rPr>
            <w:rStyle w:val="Hyperlink"/>
            <w:rFonts w:ascii="Times New Roman" w:hAnsi="Times New Roman" w:cs="Times New Roman"/>
          </w:rPr>
          <w:t>https://www.cancerresearchuk.org/health-professional/cancer-statistics/statistics-by-cancer-type/thyroid-cancer#heading-One</w:t>
        </w:r>
      </w:hyperlink>
    </w:p>
    <w:p w14:paraId="1C80B6DA" w14:textId="4CE73A4B" w:rsidR="007F3CAB" w:rsidRDefault="007F3CAB" w:rsidP="00912166">
      <w:pPr>
        <w:pStyle w:val="ListParagraph"/>
        <w:numPr>
          <w:ilvl w:val="0"/>
          <w:numId w:val="3"/>
        </w:numPr>
        <w:rPr>
          <w:rFonts w:ascii="Times New Roman" w:hAnsi="Times New Roman" w:cs="Times New Roman"/>
        </w:rPr>
      </w:pPr>
      <w:proofErr w:type="spellStart"/>
      <w:r>
        <w:rPr>
          <w:rFonts w:ascii="Times New Roman" w:hAnsi="Times New Roman" w:cs="Times New Roman"/>
        </w:rPr>
        <w:t>Haymart</w:t>
      </w:r>
      <w:proofErr w:type="spellEnd"/>
      <w:r>
        <w:rPr>
          <w:rFonts w:ascii="Times New Roman" w:hAnsi="Times New Roman" w:cs="Times New Roman"/>
        </w:rPr>
        <w:t xml:space="preserve"> M, Banerjee M, Reyes-</w:t>
      </w:r>
      <w:proofErr w:type="spellStart"/>
      <w:r>
        <w:rPr>
          <w:rFonts w:ascii="Times New Roman" w:hAnsi="Times New Roman" w:cs="Times New Roman"/>
        </w:rPr>
        <w:t>Gastelum</w:t>
      </w:r>
      <w:proofErr w:type="spellEnd"/>
      <w:r>
        <w:rPr>
          <w:rFonts w:ascii="Times New Roman" w:hAnsi="Times New Roman" w:cs="Times New Roman"/>
        </w:rPr>
        <w:t xml:space="preserve"> D, et al. Thyroid ultrasound and the increase in diagnosis of low-risk thyroid cancer. </w:t>
      </w:r>
      <w:r w:rsidRPr="007B5A06">
        <w:rPr>
          <w:rFonts w:ascii="Times New Roman" w:hAnsi="Times New Roman" w:cs="Times New Roman"/>
          <w:i/>
          <w:iCs/>
        </w:rPr>
        <w:t xml:space="preserve">J Clin Endocrinol </w:t>
      </w:r>
      <w:proofErr w:type="spellStart"/>
      <w:r w:rsidRPr="007B5A06">
        <w:rPr>
          <w:rFonts w:ascii="Times New Roman" w:hAnsi="Times New Roman" w:cs="Times New Roman"/>
          <w:i/>
          <w:iCs/>
        </w:rPr>
        <w:t>Metab</w:t>
      </w:r>
      <w:proofErr w:type="spellEnd"/>
      <w:r w:rsidRPr="007B5A06">
        <w:rPr>
          <w:rFonts w:ascii="Times New Roman" w:hAnsi="Times New Roman" w:cs="Times New Roman"/>
          <w:i/>
          <w:iCs/>
        </w:rPr>
        <w:t>.</w:t>
      </w:r>
      <w:r>
        <w:rPr>
          <w:rFonts w:ascii="Times New Roman" w:hAnsi="Times New Roman" w:cs="Times New Roman"/>
        </w:rPr>
        <w:t xml:space="preserve"> 2019; 104(3): 785-792. </w:t>
      </w:r>
    </w:p>
    <w:p w14:paraId="57A0918D" w14:textId="77777777" w:rsidR="007F3CAB" w:rsidRPr="008D70A1" w:rsidRDefault="007F3CAB" w:rsidP="007F3CAB">
      <w:pPr>
        <w:pStyle w:val="ListParagraph"/>
        <w:numPr>
          <w:ilvl w:val="0"/>
          <w:numId w:val="3"/>
        </w:numPr>
        <w:tabs>
          <w:tab w:val="left" w:pos="960"/>
        </w:tabs>
        <w:rPr>
          <w:rFonts w:ascii="Times New Roman" w:hAnsi="Times New Roman" w:cs="Times New Roman"/>
        </w:rPr>
      </w:pPr>
      <w:r w:rsidRPr="008D70A1">
        <w:rPr>
          <w:rFonts w:ascii="Times New Roman" w:hAnsi="Times New Roman" w:cs="Times New Roman"/>
          <w:shd w:val="clear" w:color="auto" w:fill="FFFFFF"/>
        </w:rPr>
        <w:t xml:space="preserve">Ito Y, </w:t>
      </w:r>
      <w:proofErr w:type="spellStart"/>
      <w:r w:rsidRPr="008D70A1">
        <w:rPr>
          <w:rFonts w:ascii="Times New Roman" w:hAnsi="Times New Roman" w:cs="Times New Roman"/>
          <w:shd w:val="clear" w:color="auto" w:fill="FFFFFF"/>
        </w:rPr>
        <w:t>Uruno</w:t>
      </w:r>
      <w:proofErr w:type="spellEnd"/>
      <w:r w:rsidRPr="008D70A1">
        <w:rPr>
          <w:rFonts w:ascii="Times New Roman" w:hAnsi="Times New Roman" w:cs="Times New Roman"/>
          <w:shd w:val="clear" w:color="auto" w:fill="FFFFFF"/>
        </w:rPr>
        <w:t xml:space="preserve"> T, Nakano K, et al. </w:t>
      </w:r>
      <w:r w:rsidRPr="008D70A1">
        <w:rPr>
          <w:rStyle w:val="ref-title"/>
          <w:rFonts w:ascii="Times New Roman" w:hAnsi="Times New Roman" w:cs="Times New Roman"/>
          <w:shd w:val="clear" w:color="auto" w:fill="FFFFFF"/>
        </w:rPr>
        <w:t>An observation trial without surgical treatment in patients with papillary microcarcinoma of the thyroid</w:t>
      </w:r>
      <w:r w:rsidRPr="008D70A1">
        <w:rPr>
          <w:rFonts w:ascii="Times New Roman" w:hAnsi="Times New Roman" w:cs="Times New Roman"/>
          <w:shd w:val="clear" w:color="auto" w:fill="FFFFFF"/>
        </w:rPr>
        <w:t>. </w:t>
      </w:r>
      <w:r w:rsidRPr="008D70A1">
        <w:rPr>
          <w:rStyle w:val="ref-journal"/>
          <w:rFonts w:ascii="Times New Roman" w:hAnsi="Times New Roman" w:cs="Times New Roman"/>
          <w:i/>
          <w:iCs/>
          <w:shd w:val="clear" w:color="auto" w:fill="FFFFFF"/>
        </w:rPr>
        <w:t>Thyroid.</w:t>
      </w:r>
      <w:r w:rsidRPr="008D70A1">
        <w:rPr>
          <w:rFonts w:ascii="Times New Roman" w:hAnsi="Times New Roman" w:cs="Times New Roman"/>
          <w:shd w:val="clear" w:color="auto" w:fill="FFFFFF"/>
        </w:rPr>
        <w:t> 2003; </w:t>
      </w:r>
      <w:r w:rsidRPr="008D70A1">
        <w:rPr>
          <w:rStyle w:val="ref-vol"/>
          <w:rFonts w:ascii="Times New Roman" w:hAnsi="Times New Roman" w:cs="Times New Roman"/>
          <w:shd w:val="clear" w:color="auto" w:fill="FFFFFF"/>
        </w:rPr>
        <w:t>13</w:t>
      </w:r>
      <w:r w:rsidRPr="008D70A1">
        <w:rPr>
          <w:rFonts w:ascii="Times New Roman" w:hAnsi="Times New Roman" w:cs="Times New Roman"/>
          <w:shd w:val="clear" w:color="auto" w:fill="FFFFFF"/>
        </w:rPr>
        <w:t xml:space="preserve">:381–7. </w:t>
      </w:r>
    </w:p>
    <w:p w14:paraId="45FCBD1E" w14:textId="77777777" w:rsidR="007F3CAB" w:rsidRPr="007F3CAB" w:rsidRDefault="007F3CAB" w:rsidP="007F3CAB">
      <w:pPr>
        <w:pStyle w:val="ListParagraph"/>
        <w:numPr>
          <w:ilvl w:val="0"/>
          <w:numId w:val="3"/>
        </w:numPr>
        <w:tabs>
          <w:tab w:val="left" w:pos="960"/>
        </w:tabs>
        <w:rPr>
          <w:rStyle w:val="mixed-citation"/>
          <w:rFonts w:ascii="Times New Roman" w:hAnsi="Times New Roman" w:cs="Times New Roman"/>
        </w:rPr>
      </w:pPr>
      <w:r w:rsidRPr="008D70A1">
        <w:rPr>
          <w:rStyle w:val="mixed-citation"/>
          <w:rFonts w:ascii="Times New Roman" w:hAnsi="Times New Roman" w:cs="Times New Roman"/>
          <w:color w:val="212121"/>
          <w:shd w:val="clear" w:color="auto" w:fill="FFFFFF"/>
        </w:rPr>
        <w:t xml:space="preserve">Brito JP, Morris JC, </w:t>
      </w:r>
      <w:proofErr w:type="spellStart"/>
      <w:r w:rsidRPr="008D70A1">
        <w:rPr>
          <w:rStyle w:val="mixed-citation"/>
          <w:rFonts w:ascii="Times New Roman" w:hAnsi="Times New Roman" w:cs="Times New Roman"/>
          <w:color w:val="212121"/>
          <w:shd w:val="clear" w:color="auto" w:fill="FFFFFF"/>
        </w:rPr>
        <w:t>Montori</w:t>
      </w:r>
      <w:proofErr w:type="spellEnd"/>
      <w:r w:rsidRPr="008D70A1">
        <w:rPr>
          <w:rStyle w:val="mixed-citation"/>
          <w:rFonts w:ascii="Times New Roman" w:hAnsi="Times New Roman" w:cs="Times New Roman"/>
          <w:color w:val="212121"/>
          <w:shd w:val="clear" w:color="auto" w:fill="FFFFFF"/>
        </w:rPr>
        <w:t xml:space="preserve"> VM. </w:t>
      </w:r>
      <w:r w:rsidRPr="008D70A1">
        <w:rPr>
          <w:rStyle w:val="ref-title"/>
          <w:rFonts w:ascii="Times New Roman" w:hAnsi="Times New Roman" w:cs="Times New Roman"/>
          <w:color w:val="212121"/>
          <w:shd w:val="clear" w:color="auto" w:fill="FFFFFF"/>
        </w:rPr>
        <w:t xml:space="preserve">Thyroid cancer: zealous imaging has increased detection and treatment of </w:t>
      </w:r>
      <w:proofErr w:type="gramStart"/>
      <w:r w:rsidRPr="008D70A1">
        <w:rPr>
          <w:rStyle w:val="ref-title"/>
          <w:rFonts w:ascii="Times New Roman" w:hAnsi="Times New Roman" w:cs="Times New Roman"/>
          <w:color w:val="212121"/>
          <w:shd w:val="clear" w:color="auto" w:fill="FFFFFF"/>
        </w:rPr>
        <w:t>low risk</w:t>
      </w:r>
      <w:proofErr w:type="gramEnd"/>
      <w:r w:rsidRPr="008D70A1">
        <w:rPr>
          <w:rStyle w:val="ref-title"/>
          <w:rFonts w:ascii="Times New Roman" w:hAnsi="Times New Roman" w:cs="Times New Roman"/>
          <w:color w:val="212121"/>
          <w:shd w:val="clear" w:color="auto" w:fill="FFFFFF"/>
        </w:rPr>
        <w:t xml:space="preserve"> tumours</w:t>
      </w:r>
      <w:r w:rsidRPr="008D70A1">
        <w:rPr>
          <w:rStyle w:val="mixed-citation"/>
          <w:rFonts w:ascii="Times New Roman" w:hAnsi="Times New Roman" w:cs="Times New Roman"/>
          <w:color w:val="212121"/>
          <w:shd w:val="clear" w:color="auto" w:fill="FFFFFF"/>
        </w:rPr>
        <w:t>. </w:t>
      </w:r>
      <w:r w:rsidRPr="008D70A1">
        <w:rPr>
          <w:rStyle w:val="ref-journal"/>
          <w:rFonts w:ascii="Times New Roman" w:hAnsi="Times New Roman" w:cs="Times New Roman"/>
          <w:i/>
          <w:iCs/>
          <w:color w:val="212121"/>
          <w:shd w:val="clear" w:color="auto" w:fill="FFFFFF"/>
        </w:rPr>
        <w:t>BMJ.</w:t>
      </w:r>
      <w:r w:rsidRPr="008D70A1">
        <w:rPr>
          <w:rStyle w:val="mixed-citation"/>
          <w:rFonts w:ascii="Times New Roman" w:hAnsi="Times New Roman" w:cs="Times New Roman"/>
          <w:color w:val="212121"/>
          <w:shd w:val="clear" w:color="auto" w:fill="FFFFFF"/>
        </w:rPr>
        <w:t> 2013; </w:t>
      </w:r>
      <w:r w:rsidRPr="008D70A1">
        <w:rPr>
          <w:rStyle w:val="ref-vol"/>
          <w:rFonts w:ascii="Times New Roman" w:hAnsi="Times New Roman" w:cs="Times New Roman"/>
          <w:color w:val="212121"/>
          <w:shd w:val="clear" w:color="auto" w:fill="FFFFFF"/>
        </w:rPr>
        <w:t>347</w:t>
      </w:r>
      <w:r w:rsidRPr="008D70A1">
        <w:rPr>
          <w:rStyle w:val="mixed-citation"/>
          <w:rFonts w:ascii="Times New Roman" w:hAnsi="Times New Roman" w:cs="Times New Roman"/>
          <w:color w:val="212121"/>
          <w:shd w:val="clear" w:color="auto" w:fill="FFFFFF"/>
        </w:rPr>
        <w:t>: f4706.</w:t>
      </w:r>
    </w:p>
    <w:p w14:paraId="5FCD3576" w14:textId="77777777" w:rsidR="007F3CAB" w:rsidRPr="007F3CAB" w:rsidRDefault="007F3CAB" w:rsidP="007F3CAB">
      <w:pPr>
        <w:pStyle w:val="ListParagraph"/>
        <w:numPr>
          <w:ilvl w:val="0"/>
          <w:numId w:val="3"/>
        </w:numPr>
        <w:tabs>
          <w:tab w:val="left" w:pos="960"/>
        </w:tabs>
        <w:rPr>
          <w:rStyle w:val="mixed-citation"/>
          <w:rFonts w:ascii="Times New Roman" w:hAnsi="Times New Roman" w:cs="Times New Roman"/>
        </w:rPr>
      </w:pPr>
      <w:r w:rsidRPr="008D70A1">
        <w:rPr>
          <w:rStyle w:val="mixed-citation"/>
          <w:rFonts w:ascii="Times New Roman" w:hAnsi="Times New Roman" w:cs="Times New Roman"/>
          <w:color w:val="212121"/>
          <w:shd w:val="clear" w:color="auto" w:fill="FFFFFF"/>
        </w:rPr>
        <w:t xml:space="preserve">Dave R, Roberts S, </w:t>
      </w:r>
      <w:proofErr w:type="spellStart"/>
      <w:r w:rsidRPr="008D70A1">
        <w:rPr>
          <w:rStyle w:val="mixed-citation"/>
          <w:rFonts w:ascii="Times New Roman" w:hAnsi="Times New Roman" w:cs="Times New Roman"/>
          <w:color w:val="212121"/>
          <w:shd w:val="clear" w:color="auto" w:fill="FFFFFF"/>
        </w:rPr>
        <w:t>Bekker</w:t>
      </w:r>
      <w:proofErr w:type="spellEnd"/>
      <w:r w:rsidRPr="008D70A1">
        <w:rPr>
          <w:rStyle w:val="mixed-citation"/>
          <w:rFonts w:ascii="Times New Roman" w:hAnsi="Times New Roman" w:cs="Times New Roman"/>
          <w:color w:val="212121"/>
          <w:shd w:val="clear" w:color="auto" w:fill="FFFFFF"/>
        </w:rPr>
        <w:t xml:space="preserve"> J, et al. Utilisation of specialist sonographers for head and neck ultrasound fine-needle aspiration cytology can help shorten waiting lists and improve efficiency of the service. </w:t>
      </w:r>
      <w:r w:rsidRPr="008D70A1">
        <w:rPr>
          <w:rStyle w:val="mixed-citation"/>
          <w:rFonts w:ascii="Times New Roman" w:hAnsi="Times New Roman" w:cs="Times New Roman"/>
          <w:i/>
          <w:iCs/>
          <w:color w:val="212121"/>
          <w:shd w:val="clear" w:color="auto" w:fill="FFFFFF"/>
        </w:rPr>
        <w:t xml:space="preserve">Br J Oral </w:t>
      </w:r>
      <w:proofErr w:type="spellStart"/>
      <w:r w:rsidRPr="008D70A1">
        <w:rPr>
          <w:rStyle w:val="mixed-citation"/>
          <w:rFonts w:ascii="Times New Roman" w:hAnsi="Times New Roman" w:cs="Times New Roman"/>
          <w:i/>
          <w:iCs/>
          <w:color w:val="212121"/>
          <w:shd w:val="clear" w:color="auto" w:fill="FFFFFF"/>
        </w:rPr>
        <w:t>Maxillofac</w:t>
      </w:r>
      <w:proofErr w:type="spellEnd"/>
      <w:r w:rsidRPr="008D70A1">
        <w:rPr>
          <w:rStyle w:val="mixed-citation"/>
          <w:rFonts w:ascii="Times New Roman" w:hAnsi="Times New Roman" w:cs="Times New Roman"/>
          <w:i/>
          <w:iCs/>
          <w:color w:val="212121"/>
          <w:shd w:val="clear" w:color="auto" w:fill="FFFFFF"/>
        </w:rPr>
        <w:t xml:space="preserve"> Surg.</w:t>
      </w:r>
      <w:r w:rsidRPr="008D70A1">
        <w:rPr>
          <w:rStyle w:val="mixed-citation"/>
          <w:rFonts w:ascii="Times New Roman" w:hAnsi="Times New Roman" w:cs="Times New Roman"/>
          <w:color w:val="212121"/>
          <w:shd w:val="clear" w:color="auto" w:fill="FFFFFF"/>
        </w:rPr>
        <w:t xml:space="preserve"> 2023; 61(1);111-112.</w:t>
      </w:r>
    </w:p>
    <w:p w14:paraId="47320CE4" w14:textId="7FF41FDF" w:rsidR="007F3CAB" w:rsidRPr="007F3CAB" w:rsidRDefault="007F3CAB" w:rsidP="007F3CAB">
      <w:pPr>
        <w:pStyle w:val="ListParagraph"/>
        <w:numPr>
          <w:ilvl w:val="0"/>
          <w:numId w:val="3"/>
        </w:numPr>
        <w:tabs>
          <w:tab w:val="left" w:pos="960"/>
        </w:tabs>
        <w:rPr>
          <w:rStyle w:val="mixed-citation"/>
          <w:rFonts w:ascii="Times New Roman" w:hAnsi="Times New Roman" w:cs="Times New Roman"/>
        </w:rPr>
      </w:pPr>
      <w:proofErr w:type="spellStart"/>
      <w:r>
        <w:rPr>
          <w:rStyle w:val="mixed-citation"/>
          <w:rFonts w:ascii="Times New Roman" w:hAnsi="Times New Roman" w:cs="Times New Roman"/>
        </w:rPr>
        <w:t>Ghai</w:t>
      </w:r>
      <w:proofErr w:type="spellEnd"/>
      <w:r>
        <w:rPr>
          <w:rStyle w:val="mixed-citation"/>
          <w:rFonts w:ascii="Times New Roman" w:hAnsi="Times New Roman" w:cs="Times New Roman"/>
        </w:rPr>
        <w:t xml:space="preserve"> S, Lee SY, Bret PM, et al. Thyroid biopsy specialists: a quality initiative to reduce wait times and improve adequacy rates. </w:t>
      </w:r>
      <w:r w:rsidRPr="007B5A06">
        <w:rPr>
          <w:rStyle w:val="mixed-citation"/>
          <w:rFonts w:ascii="Times New Roman" w:hAnsi="Times New Roman" w:cs="Times New Roman"/>
          <w:i/>
          <w:iCs/>
        </w:rPr>
        <w:t>Radiolog</w:t>
      </w:r>
      <w:r w:rsidR="007B5A06">
        <w:rPr>
          <w:rStyle w:val="mixed-citation"/>
          <w:rFonts w:ascii="Times New Roman" w:hAnsi="Times New Roman" w:cs="Times New Roman"/>
          <w:i/>
          <w:iCs/>
        </w:rPr>
        <w:t>y.</w:t>
      </w:r>
      <w:r>
        <w:rPr>
          <w:rStyle w:val="mixed-citation"/>
          <w:rFonts w:ascii="Times New Roman" w:hAnsi="Times New Roman" w:cs="Times New Roman"/>
        </w:rPr>
        <w:t xml:space="preserve"> 2015</w:t>
      </w:r>
      <w:r w:rsidR="007B5A06">
        <w:rPr>
          <w:rStyle w:val="mixed-citation"/>
          <w:rFonts w:ascii="Times New Roman" w:hAnsi="Times New Roman" w:cs="Times New Roman"/>
        </w:rPr>
        <w:t>;</w:t>
      </w:r>
      <w:r>
        <w:rPr>
          <w:rStyle w:val="mixed-citation"/>
          <w:rFonts w:ascii="Times New Roman" w:hAnsi="Times New Roman" w:cs="Times New Roman"/>
        </w:rPr>
        <w:t xml:space="preserve"> 276(3):894-9. </w:t>
      </w:r>
    </w:p>
    <w:p w14:paraId="5E88E162" w14:textId="77777777" w:rsidR="007F3CAB" w:rsidRDefault="007F3CAB" w:rsidP="007F3CAB">
      <w:pPr>
        <w:pStyle w:val="ListParagraph"/>
        <w:numPr>
          <w:ilvl w:val="0"/>
          <w:numId w:val="3"/>
        </w:numPr>
        <w:tabs>
          <w:tab w:val="left" w:pos="960"/>
        </w:tabs>
        <w:rPr>
          <w:rStyle w:val="mixed-citation"/>
          <w:rFonts w:ascii="Times New Roman" w:hAnsi="Times New Roman" w:cs="Times New Roman"/>
        </w:rPr>
      </w:pPr>
      <w:proofErr w:type="spellStart"/>
      <w:r w:rsidRPr="008D70A1">
        <w:rPr>
          <w:rStyle w:val="mixed-citation"/>
          <w:rFonts w:ascii="Times New Roman" w:hAnsi="Times New Roman" w:cs="Times New Roman"/>
        </w:rPr>
        <w:t>Jegerlehner</w:t>
      </w:r>
      <w:proofErr w:type="spellEnd"/>
      <w:r w:rsidRPr="008D70A1">
        <w:rPr>
          <w:rStyle w:val="mixed-citation"/>
          <w:rFonts w:ascii="Times New Roman" w:hAnsi="Times New Roman" w:cs="Times New Roman"/>
        </w:rPr>
        <w:t xml:space="preserve"> S, </w:t>
      </w:r>
      <w:proofErr w:type="spellStart"/>
      <w:r w:rsidRPr="008D70A1">
        <w:rPr>
          <w:rStyle w:val="mixed-citation"/>
          <w:rFonts w:ascii="Times New Roman" w:hAnsi="Times New Roman" w:cs="Times New Roman"/>
        </w:rPr>
        <w:t>Bulliard</w:t>
      </w:r>
      <w:proofErr w:type="spellEnd"/>
      <w:r w:rsidRPr="008D70A1">
        <w:rPr>
          <w:rStyle w:val="mixed-citation"/>
          <w:rFonts w:ascii="Times New Roman" w:hAnsi="Times New Roman" w:cs="Times New Roman"/>
        </w:rPr>
        <w:t xml:space="preserve"> JL, </w:t>
      </w:r>
      <w:proofErr w:type="spellStart"/>
      <w:r w:rsidRPr="008D70A1">
        <w:rPr>
          <w:rStyle w:val="mixed-citation"/>
          <w:rFonts w:ascii="Times New Roman" w:hAnsi="Times New Roman" w:cs="Times New Roman"/>
        </w:rPr>
        <w:t>Aujesky</w:t>
      </w:r>
      <w:proofErr w:type="spellEnd"/>
      <w:r w:rsidRPr="008D70A1">
        <w:rPr>
          <w:rStyle w:val="mixed-citation"/>
          <w:rFonts w:ascii="Times New Roman" w:hAnsi="Times New Roman" w:cs="Times New Roman"/>
        </w:rPr>
        <w:t xml:space="preserve"> D, et al. Overdiagnosis and overtreatment of thyroid cancer: a population-based temporal trend study. </w:t>
      </w:r>
      <w:r w:rsidRPr="007B5A06">
        <w:rPr>
          <w:rStyle w:val="mixed-citation"/>
          <w:rFonts w:ascii="Times New Roman" w:hAnsi="Times New Roman" w:cs="Times New Roman"/>
          <w:i/>
          <w:iCs/>
        </w:rPr>
        <w:t>PLOS One</w:t>
      </w:r>
      <w:r w:rsidRPr="008D70A1">
        <w:rPr>
          <w:rStyle w:val="mixed-citation"/>
          <w:rFonts w:ascii="Times New Roman" w:hAnsi="Times New Roman" w:cs="Times New Roman"/>
        </w:rPr>
        <w:t>. 2017; 12(6): e0179387.</w:t>
      </w:r>
    </w:p>
    <w:p w14:paraId="3B538255" w14:textId="349F39CB" w:rsidR="007F3CAB" w:rsidRDefault="00601235" w:rsidP="007F3CAB">
      <w:pPr>
        <w:pStyle w:val="ListParagraph"/>
        <w:numPr>
          <w:ilvl w:val="0"/>
          <w:numId w:val="3"/>
        </w:numPr>
        <w:tabs>
          <w:tab w:val="left" w:pos="960"/>
        </w:tabs>
        <w:rPr>
          <w:rStyle w:val="mixed-citation"/>
          <w:rFonts w:ascii="Times New Roman" w:hAnsi="Times New Roman" w:cs="Times New Roman"/>
        </w:rPr>
      </w:pPr>
      <w:r>
        <w:rPr>
          <w:rStyle w:val="mixed-citation"/>
          <w:rFonts w:ascii="Times New Roman" w:hAnsi="Times New Roman" w:cs="Times New Roman"/>
        </w:rPr>
        <w:t xml:space="preserve">Chen DW, Lang BHH, McLeod DSA, et al. Thyroid cancer. </w:t>
      </w:r>
      <w:r w:rsidRPr="007B5A06">
        <w:rPr>
          <w:rStyle w:val="mixed-citation"/>
          <w:rFonts w:ascii="Times New Roman" w:hAnsi="Times New Roman" w:cs="Times New Roman"/>
          <w:i/>
          <w:iCs/>
        </w:rPr>
        <w:t>The Lancet</w:t>
      </w:r>
      <w:r>
        <w:rPr>
          <w:rStyle w:val="mixed-citation"/>
          <w:rFonts w:ascii="Times New Roman" w:hAnsi="Times New Roman" w:cs="Times New Roman"/>
        </w:rPr>
        <w:t xml:space="preserve">. 2023; 401(10387): 1531-1544. </w:t>
      </w:r>
    </w:p>
    <w:p w14:paraId="1C1DAB40" w14:textId="66BEAD4B" w:rsidR="008E6A88" w:rsidRDefault="00713675" w:rsidP="007F3CAB">
      <w:pPr>
        <w:pStyle w:val="ListParagraph"/>
        <w:numPr>
          <w:ilvl w:val="0"/>
          <w:numId w:val="3"/>
        </w:numPr>
        <w:tabs>
          <w:tab w:val="left" w:pos="960"/>
        </w:tabs>
        <w:rPr>
          <w:rStyle w:val="mixed-citation"/>
          <w:rFonts w:ascii="Times New Roman" w:hAnsi="Times New Roman" w:cs="Times New Roman"/>
        </w:rPr>
      </w:pPr>
      <w:r>
        <w:rPr>
          <w:rStyle w:val="mixed-citation"/>
          <w:rFonts w:ascii="Times New Roman" w:hAnsi="Times New Roman" w:cs="Times New Roman"/>
        </w:rPr>
        <w:t xml:space="preserve">Cross P, Chandra A, Giles T, et al. </w:t>
      </w:r>
      <w:r w:rsidR="008E6A88">
        <w:rPr>
          <w:rStyle w:val="mixed-citation"/>
          <w:rFonts w:ascii="Times New Roman" w:hAnsi="Times New Roman" w:cs="Times New Roman"/>
        </w:rPr>
        <w:t>Royal College of Pathologists</w:t>
      </w:r>
      <w:r>
        <w:rPr>
          <w:rStyle w:val="mixed-citation"/>
          <w:rFonts w:ascii="Times New Roman" w:hAnsi="Times New Roman" w:cs="Times New Roman"/>
        </w:rPr>
        <w:t xml:space="preserve"> Guidance on the reporting of thyroid cytology specimens. 2016. [Online] Last accessed [21/12/2023]. Available from: </w:t>
      </w:r>
      <w:hyperlink r:id="rId6" w:history="1">
        <w:r w:rsidRPr="00F20C95">
          <w:rPr>
            <w:rStyle w:val="Hyperlink"/>
            <w:rFonts w:ascii="Times New Roman" w:hAnsi="Times New Roman" w:cs="Times New Roman"/>
          </w:rPr>
          <w:t>https://www.rcpath.org/static/7d693ce4-0091-4621-97f79e2a0d1034d6/g089_guidance_on_reporting_of_thyroid_cytology_specimens.pdf</w:t>
        </w:r>
      </w:hyperlink>
      <w:r>
        <w:rPr>
          <w:rStyle w:val="mixed-citation"/>
          <w:rFonts w:ascii="Times New Roman" w:hAnsi="Times New Roman" w:cs="Times New Roman"/>
        </w:rPr>
        <w:t xml:space="preserve"> </w:t>
      </w:r>
    </w:p>
    <w:p w14:paraId="194F5734" w14:textId="441AD4F2" w:rsidR="003A6F6B" w:rsidRPr="003A6F6B" w:rsidRDefault="003A6F6B" w:rsidP="003A6F6B">
      <w:pPr>
        <w:pStyle w:val="ListParagraph"/>
        <w:numPr>
          <w:ilvl w:val="0"/>
          <w:numId w:val="3"/>
        </w:numPr>
        <w:tabs>
          <w:tab w:val="left" w:pos="960"/>
        </w:tabs>
        <w:rPr>
          <w:rStyle w:val="mixed-citation"/>
          <w:rFonts w:ascii="Times New Roman" w:hAnsi="Times New Roman" w:cs="Times New Roman"/>
        </w:rPr>
      </w:pPr>
      <w:r w:rsidRPr="008D70A1">
        <w:rPr>
          <w:rStyle w:val="mixed-citation"/>
          <w:rFonts w:ascii="Times New Roman" w:hAnsi="Times New Roman" w:cs="Times New Roman"/>
        </w:rPr>
        <w:t xml:space="preserve">Watkins L, O’Neill G, Young D, et al. Comparison of British Thyroid Association, American College of Radiology TIRADS and Artificial Intelligence TIRADS with histological correlation: diagnostic performance for predicting thyroid malignancy and unnecessary fine needle aspiration rate. </w:t>
      </w:r>
      <w:r w:rsidRPr="008D70A1">
        <w:rPr>
          <w:rStyle w:val="mixed-citation"/>
          <w:rFonts w:ascii="Times New Roman" w:hAnsi="Times New Roman" w:cs="Times New Roman"/>
          <w:i/>
          <w:iCs/>
        </w:rPr>
        <w:t xml:space="preserve">Br J </w:t>
      </w:r>
      <w:proofErr w:type="spellStart"/>
      <w:r w:rsidRPr="008D70A1">
        <w:rPr>
          <w:rStyle w:val="mixed-citation"/>
          <w:rFonts w:ascii="Times New Roman" w:hAnsi="Times New Roman" w:cs="Times New Roman"/>
          <w:i/>
          <w:iCs/>
        </w:rPr>
        <w:t>Radiol</w:t>
      </w:r>
      <w:proofErr w:type="spellEnd"/>
      <w:r w:rsidRPr="008D70A1">
        <w:rPr>
          <w:rStyle w:val="mixed-citation"/>
          <w:rFonts w:ascii="Times New Roman" w:hAnsi="Times New Roman" w:cs="Times New Roman"/>
          <w:i/>
          <w:iCs/>
        </w:rPr>
        <w:t>.</w:t>
      </w:r>
      <w:r w:rsidRPr="008D70A1">
        <w:rPr>
          <w:rStyle w:val="mixed-citation"/>
          <w:rFonts w:ascii="Times New Roman" w:hAnsi="Times New Roman" w:cs="Times New Roman"/>
        </w:rPr>
        <w:t xml:space="preserve"> 2021; 94(1123): 20201444. </w:t>
      </w:r>
      <w:r w:rsidRPr="008D70A1">
        <w:rPr>
          <w:rFonts w:ascii="Times New Roman" w:hAnsi="Times New Roman" w:cs="Times New Roman"/>
        </w:rPr>
        <w:t xml:space="preserve"> </w:t>
      </w:r>
    </w:p>
    <w:p w14:paraId="02938A5D" w14:textId="420102DA" w:rsidR="00D000C5" w:rsidRDefault="00835DC5" w:rsidP="007F3CAB">
      <w:pPr>
        <w:pStyle w:val="ListParagraph"/>
        <w:numPr>
          <w:ilvl w:val="0"/>
          <w:numId w:val="3"/>
        </w:numPr>
        <w:tabs>
          <w:tab w:val="left" w:pos="960"/>
        </w:tabs>
        <w:rPr>
          <w:rStyle w:val="mixed-citation"/>
          <w:rFonts w:ascii="Times New Roman" w:hAnsi="Times New Roman" w:cs="Times New Roman"/>
        </w:rPr>
      </w:pPr>
      <w:proofErr w:type="spellStart"/>
      <w:r>
        <w:rPr>
          <w:rStyle w:val="mixed-citation"/>
          <w:rFonts w:ascii="Times New Roman" w:hAnsi="Times New Roman" w:cs="Times New Roman"/>
        </w:rPr>
        <w:t>Poller</w:t>
      </w:r>
      <w:proofErr w:type="spellEnd"/>
      <w:r>
        <w:rPr>
          <w:rStyle w:val="mixed-citation"/>
          <w:rFonts w:ascii="Times New Roman" w:hAnsi="Times New Roman" w:cs="Times New Roman"/>
        </w:rPr>
        <w:t xml:space="preserve"> DN, Doyle V, </w:t>
      </w:r>
      <w:proofErr w:type="spellStart"/>
      <w:r>
        <w:rPr>
          <w:rStyle w:val="mixed-citation"/>
          <w:rFonts w:ascii="Times New Roman" w:hAnsi="Times New Roman" w:cs="Times New Roman"/>
        </w:rPr>
        <w:t>Trimboli</w:t>
      </w:r>
      <w:proofErr w:type="spellEnd"/>
      <w:r>
        <w:rPr>
          <w:rStyle w:val="mixed-citation"/>
          <w:rFonts w:ascii="Times New Roman" w:hAnsi="Times New Roman" w:cs="Times New Roman"/>
        </w:rPr>
        <w:t xml:space="preserve"> P, et al. Rates of thy 1-non-diagnostic thyroid fine needle aspiration using the UK Royal College of Pathologists thy terminology. A systematic review of the literature comparing patients who undergo rapid on-site evaluation and those who do not. </w:t>
      </w:r>
      <w:r w:rsidRPr="00835DC5">
        <w:rPr>
          <w:rStyle w:val="mixed-citation"/>
          <w:rFonts w:ascii="Times New Roman" w:hAnsi="Times New Roman" w:cs="Times New Roman"/>
          <w:i/>
          <w:iCs/>
        </w:rPr>
        <w:t>Cytopathology</w:t>
      </w:r>
      <w:r>
        <w:rPr>
          <w:rStyle w:val="mixed-citation"/>
          <w:rFonts w:ascii="Times New Roman" w:hAnsi="Times New Roman" w:cs="Times New Roman"/>
        </w:rPr>
        <w:t xml:space="preserve">. 2020; 31: 502-8. </w:t>
      </w:r>
    </w:p>
    <w:p w14:paraId="3BEA6CD7" w14:textId="6F94E65E" w:rsidR="00835DC5" w:rsidRPr="00BB7628" w:rsidRDefault="00835DC5" w:rsidP="007F3CAB">
      <w:pPr>
        <w:pStyle w:val="ListParagraph"/>
        <w:numPr>
          <w:ilvl w:val="0"/>
          <w:numId w:val="3"/>
        </w:numPr>
        <w:tabs>
          <w:tab w:val="left" w:pos="960"/>
        </w:tabs>
        <w:rPr>
          <w:rFonts w:ascii="Times New Roman" w:hAnsi="Times New Roman" w:cs="Times New Roman"/>
        </w:rPr>
      </w:pPr>
      <w:r>
        <w:rPr>
          <w:rStyle w:val="mixed-citation"/>
          <w:rFonts w:ascii="Times New Roman" w:hAnsi="Times New Roman" w:cs="Times New Roman"/>
        </w:rPr>
        <w:t xml:space="preserve">National Thyroid Cancer Project, NHS Scotland. Consensus guidance on routine practice for differentiation thyroid cancer in Scotland. 2020. Available from: </w:t>
      </w:r>
      <w:hyperlink r:id="rId7" w:tgtFrame="_blank" w:history="1">
        <w:r w:rsidRPr="00835DC5">
          <w:rPr>
            <w:rStyle w:val="Hyperlink"/>
            <w:rFonts w:ascii="Times New Roman" w:hAnsi="Times New Roman" w:cs="Times New Roman"/>
            <w:color w:val="4C2C92"/>
          </w:rPr>
          <w:t>https://static1.squarespace.com/static/53b1670ee4b0be242b013ed7/t/5ee147f8e01e622952623ee5/1591822342126/Consensus+Guidance+in+Routine+Practice+for+Differentiated+Thyroid+Cancer+in+Scotland+v5.pdf</w:t>
        </w:r>
      </w:hyperlink>
      <w:r w:rsidRPr="00835DC5">
        <w:rPr>
          <w:rFonts w:ascii="Times New Roman" w:hAnsi="Times New Roman" w:cs="Times New Roman"/>
          <w:color w:val="212121"/>
          <w:shd w:val="clear" w:color="auto" w:fill="FFFFFF"/>
        </w:rPr>
        <w:t>.</w:t>
      </w:r>
    </w:p>
    <w:p w14:paraId="61303AF3" w14:textId="54E025F5" w:rsidR="00BB7628" w:rsidRPr="00835DC5" w:rsidRDefault="00BB7628" w:rsidP="007F3CAB">
      <w:pPr>
        <w:pStyle w:val="ListParagraph"/>
        <w:numPr>
          <w:ilvl w:val="0"/>
          <w:numId w:val="3"/>
        </w:numPr>
        <w:tabs>
          <w:tab w:val="left" w:pos="960"/>
        </w:tabs>
        <w:rPr>
          <w:rFonts w:ascii="Times New Roman" w:hAnsi="Times New Roman" w:cs="Times New Roman"/>
        </w:rPr>
      </w:pPr>
      <w:r>
        <w:rPr>
          <w:rFonts w:ascii="Times New Roman" w:hAnsi="Times New Roman" w:cs="Times New Roman"/>
          <w:color w:val="212121"/>
          <w:shd w:val="clear" w:color="auto" w:fill="FFFFFF"/>
        </w:rPr>
        <w:lastRenderedPageBreak/>
        <w:t xml:space="preserve">National Institute for Health and Care Excellence. Thyroid cancer: assessment and management. 2022 [Online]. Last accessed 03/01/2024. Available from: </w:t>
      </w:r>
      <w:hyperlink r:id="rId8" w:anchor="assessment-and-diagnosis" w:history="1">
        <w:r w:rsidRPr="00F20C95">
          <w:rPr>
            <w:rStyle w:val="Hyperlink"/>
            <w:rFonts w:ascii="Times New Roman" w:hAnsi="Times New Roman" w:cs="Times New Roman"/>
            <w:shd w:val="clear" w:color="auto" w:fill="FFFFFF"/>
          </w:rPr>
          <w:t>https://www.nice.org.uk/guidance/ng230/chapter/Recommendations#assessment-and-diagnosis</w:t>
        </w:r>
      </w:hyperlink>
      <w:r>
        <w:rPr>
          <w:rFonts w:ascii="Times New Roman" w:hAnsi="Times New Roman" w:cs="Times New Roman"/>
          <w:color w:val="212121"/>
          <w:shd w:val="clear" w:color="auto" w:fill="FFFFFF"/>
        </w:rPr>
        <w:t xml:space="preserve"> </w:t>
      </w:r>
    </w:p>
    <w:p w14:paraId="0CF3D070" w14:textId="18D051CF" w:rsidR="00835DC5" w:rsidRPr="008D70A1" w:rsidRDefault="00835DC5" w:rsidP="00835DC5">
      <w:pPr>
        <w:pStyle w:val="ListParagraph"/>
        <w:numPr>
          <w:ilvl w:val="0"/>
          <w:numId w:val="3"/>
        </w:numPr>
        <w:tabs>
          <w:tab w:val="left" w:pos="960"/>
        </w:tabs>
        <w:rPr>
          <w:rFonts w:ascii="Times New Roman" w:hAnsi="Times New Roman" w:cs="Times New Roman"/>
        </w:rPr>
      </w:pPr>
      <w:r w:rsidRPr="008D70A1">
        <w:rPr>
          <w:rFonts w:ascii="Times New Roman" w:hAnsi="Times New Roman" w:cs="Times New Roman"/>
        </w:rPr>
        <w:t xml:space="preserve">Persichetti A, Di </w:t>
      </w:r>
      <w:proofErr w:type="spellStart"/>
      <w:r w:rsidRPr="008D70A1">
        <w:rPr>
          <w:rFonts w:ascii="Times New Roman" w:hAnsi="Times New Roman" w:cs="Times New Roman"/>
        </w:rPr>
        <w:t>Stasio</w:t>
      </w:r>
      <w:proofErr w:type="spellEnd"/>
      <w:r w:rsidRPr="008D70A1">
        <w:rPr>
          <w:rFonts w:ascii="Times New Roman" w:hAnsi="Times New Roman" w:cs="Times New Roman"/>
        </w:rPr>
        <w:t xml:space="preserve"> E, </w:t>
      </w:r>
      <w:proofErr w:type="spellStart"/>
      <w:r w:rsidRPr="008D70A1">
        <w:rPr>
          <w:rFonts w:ascii="Times New Roman" w:hAnsi="Times New Roman" w:cs="Times New Roman"/>
        </w:rPr>
        <w:t>Gugliemi</w:t>
      </w:r>
      <w:proofErr w:type="spellEnd"/>
      <w:r w:rsidRPr="008D70A1">
        <w:rPr>
          <w:rFonts w:ascii="Times New Roman" w:hAnsi="Times New Roman" w:cs="Times New Roman"/>
        </w:rPr>
        <w:t xml:space="preserve"> R, et al. Predictive </w:t>
      </w:r>
      <w:r>
        <w:rPr>
          <w:rFonts w:ascii="Times New Roman" w:hAnsi="Times New Roman" w:cs="Times New Roman"/>
        </w:rPr>
        <w:t>v</w:t>
      </w:r>
      <w:r w:rsidRPr="008D70A1">
        <w:rPr>
          <w:rFonts w:ascii="Times New Roman" w:hAnsi="Times New Roman" w:cs="Times New Roman"/>
        </w:rPr>
        <w:t xml:space="preserve">alue of malignancy of thyroid nodule ultrasound classification systems: a prospective study. </w:t>
      </w:r>
      <w:r w:rsidRPr="008D70A1">
        <w:rPr>
          <w:rFonts w:ascii="Times New Roman" w:hAnsi="Times New Roman" w:cs="Times New Roman"/>
          <w:i/>
          <w:iCs/>
        </w:rPr>
        <w:t xml:space="preserve">The Journal of Clinical Endocrinology &amp; Metabolism. </w:t>
      </w:r>
      <w:r w:rsidRPr="00835DC5">
        <w:rPr>
          <w:rFonts w:ascii="Times New Roman" w:hAnsi="Times New Roman" w:cs="Times New Roman"/>
        </w:rPr>
        <w:t>2018</w:t>
      </w:r>
      <w:r w:rsidRPr="008D70A1">
        <w:rPr>
          <w:rFonts w:ascii="Times New Roman" w:hAnsi="Times New Roman" w:cs="Times New Roman"/>
        </w:rPr>
        <w:t xml:space="preserve">; 103(4):1359-1368. </w:t>
      </w:r>
    </w:p>
    <w:p w14:paraId="009005E0" w14:textId="77777777" w:rsidR="00835DC5" w:rsidRPr="008D70A1" w:rsidRDefault="00835DC5" w:rsidP="00835DC5">
      <w:pPr>
        <w:pStyle w:val="ListParagraph"/>
        <w:numPr>
          <w:ilvl w:val="0"/>
          <w:numId w:val="3"/>
        </w:numPr>
        <w:tabs>
          <w:tab w:val="left" w:pos="960"/>
        </w:tabs>
        <w:rPr>
          <w:rFonts w:ascii="Times New Roman" w:hAnsi="Times New Roman" w:cs="Times New Roman"/>
        </w:rPr>
      </w:pPr>
      <w:r w:rsidRPr="008D70A1">
        <w:rPr>
          <w:rFonts w:ascii="Times New Roman" w:hAnsi="Times New Roman" w:cs="Times New Roman"/>
        </w:rPr>
        <w:t xml:space="preserve">Weller A, Sharif B, </w:t>
      </w:r>
      <w:proofErr w:type="spellStart"/>
      <w:r w:rsidRPr="008D70A1">
        <w:rPr>
          <w:rFonts w:ascii="Times New Roman" w:hAnsi="Times New Roman" w:cs="Times New Roman"/>
        </w:rPr>
        <w:t>Qarib</w:t>
      </w:r>
      <w:proofErr w:type="spellEnd"/>
      <w:r w:rsidRPr="008D70A1">
        <w:rPr>
          <w:rFonts w:ascii="Times New Roman" w:hAnsi="Times New Roman" w:cs="Times New Roman"/>
        </w:rPr>
        <w:t xml:space="preserve"> MH, et al. British thyroid association 2014 classification ultrasound scoring of thyroid nodules in predicting malignancy: diagnostic performance and inter-observer agreement. </w:t>
      </w:r>
      <w:r w:rsidRPr="008D70A1">
        <w:rPr>
          <w:rFonts w:ascii="Times New Roman" w:hAnsi="Times New Roman" w:cs="Times New Roman"/>
          <w:i/>
          <w:iCs/>
        </w:rPr>
        <w:t>Ultrasound.</w:t>
      </w:r>
      <w:r w:rsidRPr="008D70A1">
        <w:rPr>
          <w:rFonts w:ascii="Times New Roman" w:hAnsi="Times New Roman" w:cs="Times New Roman"/>
        </w:rPr>
        <w:t xml:space="preserve"> 2020; 28(1):4-13. </w:t>
      </w:r>
    </w:p>
    <w:p w14:paraId="41B0D0EB" w14:textId="77777777" w:rsidR="00BE51EF" w:rsidRPr="008D70A1" w:rsidRDefault="00BE51EF" w:rsidP="00BE51EF">
      <w:pPr>
        <w:pStyle w:val="ListParagraph"/>
        <w:numPr>
          <w:ilvl w:val="0"/>
          <w:numId w:val="3"/>
        </w:numPr>
        <w:tabs>
          <w:tab w:val="left" w:pos="960"/>
        </w:tabs>
        <w:rPr>
          <w:rFonts w:ascii="Times New Roman" w:hAnsi="Times New Roman" w:cs="Times New Roman"/>
        </w:rPr>
      </w:pPr>
      <w:r w:rsidRPr="008D70A1">
        <w:rPr>
          <w:rFonts w:ascii="Times New Roman" w:hAnsi="Times New Roman" w:cs="Times New Roman"/>
        </w:rPr>
        <w:t>Al-</w:t>
      </w:r>
      <w:proofErr w:type="spellStart"/>
      <w:r w:rsidRPr="008D70A1">
        <w:rPr>
          <w:rFonts w:ascii="Times New Roman" w:hAnsi="Times New Roman" w:cs="Times New Roman"/>
        </w:rPr>
        <w:t>Shalhoub</w:t>
      </w:r>
      <w:proofErr w:type="spellEnd"/>
      <w:r w:rsidRPr="008D70A1">
        <w:rPr>
          <w:rFonts w:ascii="Times New Roman" w:hAnsi="Times New Roman" w:cs="Times New Roman"/>
        </w:rPr>
        <w:t xml:space="preserve"> AK, Al-</w:t>
      </w:r>
      <w:proofErr w:type="spellStart"/>
      <w:r w:rsidRPr="008D70A1">
        <w:rPr>
          <w:rFonts w:ascii="Times New Roman" w:hAnsi="Times New Roman" w:cs="Times New Roman"/>
        </w:rPr>
        <w:t>Dhahri</w:t>
      </w:r>
      <w:proofErr w:type="spellEnd"/>
      <w:r w:rsidRPr="008D70A1">
        <w:rPr>
          <w:rFonts w:ascii="Times New Roman" w:hAnsi="Times New Roman" w:cs="Times New Roman"/>
        </w:rPr>
        <w:t xml:space="preserve"> S. Risk factors of post-hemithyroidectomy hypothyroidism. </w:t>
      </w:r>
      <w:r w:rsidRPr="008D70A1">
        <w:rPr>
          <w:rFonts w:ascii="Times New Roman" w:hAnsi="Times New Roman" w:cs="Times New Roman"/>
          <w:i/>
          <w:iCs/>
        </w:rPr>
        <w:t xml:space="preserve">Saudi J Med </w:t>
      </w:r>
      <w:proofErr w:type="spellStart"/>
      <w:r w:rsidRPr="008D70A1">
        <w:rPr>
          <w:rFonts w:ascii="Times New Roman" w:hAnsi="Times New Roman" w:cs="Times New Roman"/>
          <w:i/>
          <w:iCs/>
        </w:rPr>
        <w:t>Med</w:t>
      </w:r>
      <w:proofErr w:type="spellEnd"/>
      <w:r w:rsidRPr="008D70A1">
        <w:rPr>
          <w:rFonts w:ascii="Times New Roman" w:hAnsi="Times New Roman" w:cs="Times New Roman"/>
          <w:i/>
          <w:iCs/>
        </w:rPr>
        <w:t xml:space="preserve"> Sci</w:t>
      </w:r>
      <w:r w:rsidRPr="008D70A1">
        <w:rPr>
          <w:rFonts w:ascii="Times New Roman" w:hAnsi="Times New Roman" w:cs="Times New Roman"/>
        </w:rPr>
        <w:t>. 2017; 5(1):45-58.</w:t>
      </w:r>
    </w:p>
    <w:p w14:paraId="374B9778" w14:textId="77777777" w:rsidR="00BE51EF" w:rsidRPr="008D70A1" w:rsidRDefault="00BE51EF" w:rsidP="00BE51EF">
      <w:pPr>
        <w:pStyle w:val="ListParagraph"/>
        <w:numPr>
          <w:ilvl w:val="0"/>
          <w:numId w:val="3"/>
        </w:numPr>
        <w:tabs>
          <w:tab w:val="left" w:pos="960"/>
        </w:tabs>
        <w:rPr>
          <w:rFonts w:ascii="Times New Roman" w:hAnsi="Times New Roman" w:cs="Times New Roman"/>
        </w:rPr>
      </w:pPr>
      <w:proofErr w:type="spellStart"/>
      <w:r w:rsidRPr="008D70A1">
        <w:rPr>
          <w:rFonts w:ascii="Times New Roman" w:hAnsi="Times New Roman" w:cs="Times New Roman"/>
        </w:rPr>
        <w:t>Verloop</w:t>
      </w:r>
      <w:proofErr w:type="spellEnd"/>
      <w:r w:rsidRPr="008D70A1">
        <w:rPr>
          <w:rFonts w:ascii="Times New Roman" w:hAnsi="Times New Roman" w:cs="Times New Roman"/>
        </w:rPr>
        <w:t xml:space="preserve"> H, </w:t>
      </w:r>
      <w:proofErr w:type="spellStart"/>
      <w:r w:rsidRPr="008D70A1">
        <w:rPr>
          <w:rFonts w:ascii="Times New Roman" w:hAnsi="Times New Roman" w:cs="Times New Roman"/>
        </w:rPr>
        <w:t>Louwerens</w:t>
      </w:r>
      <w:proofErr w:type="spellEnd"/>
      <w:r w:rsidRPr="008D70A1">
        <w:rPr>
          <w:rFonts w:ascii="Times New Roman" w:hAnsi="Times New Roman" w:cs="Times New Roman"/>
        </w:rPr>
        <w:t xml:space="preserve"> M, </w:t>
      </w:r>
      <w:proofErr w:type="spellStart"/>
      <w:r w:rsidRPr="008D70A1">
        <w:rPr>
          <w:rFonts w:ascii="Times New Roman" w:hAnsi="Times New Roman" w:cs="Times New Roman"/>
        </w:rPr>
        <w:t>Schoones</w:t>
      </w:r>
      <w:proofErr w:type="spellEnd"/>
      <w:r w:rsidRPr="008D70A1">
        <w:rPr>
          <w:rFonts w:ascii="Times New Roman" w:hAnsi="Times New Roman" w:cs="Times New Roman"/>
        </w:rPr>
        <w:t xml:space="preserve"> JW, et al. Risk of hypothyroidism following hemithyroidectomy: systematic review and meta-analysis of prognostic studies. </w:t>
      </w:r>
      <w:r w:rsidRPr="008D70A1">
        <w:rPr>
          <w:rFonts w:ascii="Times New Roman" w:hAnsi="Times New Roman" w:cs="Times New Roman"/>
          <w:i/>
          <w:iCs/>
        </w:rPr>
        <w:t xml:space="preserve">The Journal of Clinical Endocrinology &amp; Metabolism. </w:t>
      </w:r>
      <w:r w:rsidRPr="008D70A1">
        <w:rPr>
          <w:rFonts w:ascii="Times New Roman" w:hAnsi="Times New Roman" w:cs="Times New Roman"/>
        </w:rPr>
        <w:t xml:space="preserve">2012; 97(7): 2243-2255. </w:t>
      </w:r>
    </w:p>
    <w:p w14:paraId="69FE9D12" w14:textId="77777777" w:rsidR="0001416F" w:rsidRPr="008D70A1" w:rsidRDefault="0001416F" w:rsidP="0001416F">
      <w:pPr>
        <w:pStyle w:val="ListParagraph"/>
        <w:numPr>
          <w:ilvl w:val="0"/>
          <w:numId w:val="3"/>
        </w:numPr>
        <w:tabs>
          <w:tab w:val="left" w:pos="960"/>
        </w:tabs>
        <w:rPr>
          <w:rFonts w:ascii="Times New Roman" w:hAnsi="Times New Roman" w:cs="Times New Roman"/>
        </w:rPr>
      </w:pPr>
      <w:proofErr w:type="spellStart"/>
      <w:r w:rsidRPr="008D70A1">
        <w:rPr>
          <w:rFonts w:ascii="Times New Roman" w:hAnsi="Times New Roman" w:cs="Times New Roman"/>
        </w:rPr>
        <w:t>Cronan</w:t>
      </w:r>
      <w:proofErr w:type="spellEnd"/>
      <w:r w:rsidRPr="008D70A1">
        <w:rPr>
          <w:rFonts w:ascii="Times New Roman" w:hAnsi="Times New Roman" w:cs="Times New Roman"/>
        </w:rPr>
        <w:t xml:space="preserve"> J. Thyroid nodules: is it time to turn off the US machines? </w:t>
      </w:r>
      <w:r w:rsidRPr="008D70A1">
        <w:rPr>
          <w:rFonts w:ascii="Times New Roman" w:hAnsi="Times New Roman" w:cs="Times New Roman"/>
          <w:i/>
          <w:iCs/>
        </w:rPr>
        <w:t>Radiology.</w:t>
      </w:r>
      <w:r w:rsidRPr="008D70A1">
        <w:rPr>
          <w:rFonts w:ascii="Times New Roman" w:hAnsi="Times New Roman" w:cs="Times New Roman"/>
        </w:rPr>
        <w:t xml:space="preserve"> 2008; 247(3): 603-604. </w:t>
      </w:r>
    </w:p>
    <w:p w14:paraId="67DCBA64" w14:textId="77777777" w:rsidR="0001416F" w:rsidRPr="008D70A1" w:rsidRDefault="0001416F" w:rsidP="0001416F">
      <w:pPr>
        <w:pStyle w:val="ListParagraph"/>
        <w:numPr>
          <w:ilvl w:val="0"/>
          <w:numId w:val="3"/>
        </w:numPr>
        <w:tabs>
          <w:tab w:val="left" w:pos="960"/>
        </w:tabs>
        <w:rPr>
          <w:rFonts w:ascii="Times New Roman" w:hAnsi="Times New Roman" w:cs="Times New Roman"/>
        </w:rPr>
      </w:pPr>
      <w:r w:rsidRPr="008D70A1">
        <w:rPr>
          <w:rFonts w:ascii="Times New Roman" w:hAnsi="Times New Roman" w:cs="Times New Roman"/>
        </w:rPr>
        <w:t xml:space="preserve">Ross DS. Nonpalpable thyroid nodules - managing an epidemic. </w:t>
      </w:r>
      <w:r w:rsidRPr="008D70A1">
        <w:rPr>
          <w:rFonts w:ascii="Times New Roman" w:hAnsi="Times New Roman" w:cs="Times New Roman"/>
          <w:i/>
          <w:iCs/>
        </w:rPr>
        <w:t xml:space="preserve">J Clin Endocrinol </w:t>
      </w:r>
      <w:proofErr w:type="spellStart"/>
      <w:r w:rsidRPr="008D70A1">
        <w:rPr>
          <w:rFonts w:ascii="Times New Roman" w:hAnsi="Times New Roman" w:cs="Times New Roman"/>
          <w:i/>
          <w:iCs/>
        </w:rPr>
        <w:t>Metab</w:t>
      </w:r>
      <w:proofErr w:type="spellEnd"/>
      <w:r w:rsidRPr="008D70A1">
        <w:rPr>
          <w:rFonts w:ascii="Times New Roman" w:hAnsi="Times New Roman" w:cs="Times New Roman"/>
          <w:i/>
          <w:iCs/>
        </w:rPr>
        <w:t>.</w:t>
      </w:r>
      <w:r w:rsidRPr="008D70A1">
        <w:rPr>
          <w:rFonts w:ascii="Times New Roman" w:hAnsi="Times New Roman" w:cs="Times New Roman"/>
        </w:rPr>
        <w:t xml:space="preserve"> 2002; 87(5):1938–194</w:t>
      </w:r>
    </w:p>
    <w:p w14:paraId="4301AD31" w14:textId="5516C145" w:rsidR="00835DC5" w:rsidRDefault="0001416F" w:rsidP="007F3CAB">
      <w:pPr>
        <w:pStyle w:val="ListParagraph"/>
        <w:numPr>
          <w:ilvl w:val="0"/>
          <w:numId w:val="3"/>
        </w:numPr>
        <w:tabs>
          <w:tab w:val="left" w:pos="960"/>
        </w:tabs>
        <w:rPr>
          <w:rStyle w:val="mixed-citation"/>
          <w:rFonts w:ascii="Times New Roman" w:hAnsi="Times New Roman" w:cs="Times New Roman"/>
        </w:rPr>
      </w:pPr>
      <w:r>
        <w:rPr>
          <w:rStyle w:val="mixed-citation"/>
          <w:rFonts w:ascii="Times New Roman" w:hAnsi="Times New Roman" w:cs="Times New Roman"/>
        </w:rPr>
        <w:t xml:space="preserve">Ito Y, </w:t>
      </w:r>
      <w:proofErr w:type="spellStart"/>
      <w:r>
        <w:rPr>
          <w:rStyle w:val="mixed-citation"/>
          <w:rFonts w:ascii="Times New Roman" w:hAnsi="Times New Roman" w:cs="Times New Roman"/>
        </w:rPr>
        <w:t>Uruno</w:t>
      </w:r>
      <w:proofErr w:type="spellEnd"/>
      <w:r>
        <w:rPr>
          <w:rStyle w:val="mixed-citation"/>
          <w:rFonts w:ascii="Times New Roman" w:hAnsi="Times New Roman" w:cs="Times New Roman"/>
        </w:rPr>
        <w:t xml:space="preserve"> T, </w:t>
      </w:r>
      <w:proofErr w:type="spellStart"/>
      <w:r>
        <w:rPr>
          <w:rStyle w:val="mixed-citation"/>
          <w:rFonts w:ascii="Times New Roman" w:hAnsi="Times New Roman" w:cs="Times New Roman"/>
        </w:rPr>
        <w:t>Nakno</w:t>
      </w:r>
      <w:proofErr w:type="spellEnd"/>
      <w:r>
        <w:rPr>
          <w:rStyle w:val="mixed-citation"/>
          <w:rFonts w:ascii="Times New Roman" w:hAnsi="Times New Roman" w:cs="Times New Roman"/>
        </w:rPr>
        <w:t xml:space="preserve"> K, et al. An observation trial without surgical treatment in patients with papillary microcarcinoma of the thyroid. </w:t>
      </w:r>
      <w:r w:rsidRPr="0001416F">
        <w:rPr>
          <w:rStyle w:val="mixed-citation"/>
          <w:rFonts w:ascii="Times New Roman" w:hAnsi="Times New Roman" w:cs="Times New Roman"/>
          <w:i/>
          <w:iCs/>
        </w:rPr>
        <w:t>Thyroid</w:t>
      </w:r>
      <w:r>
        <w:rPr>
          <w:rStyle w:val="mixed-citation"/>
          <w:rFonts w:ascii="Times New Roman" w:hAnsi="Times New Roman" w:cs="Times New Roman"/>
          <w:i/>
          <w:iCs/>
        </w:rPr>
        <w:t xml:space="preserve">. </w:t>
      </w:r>
      <w:r>
        <w:rPr>
          <w:rStyle w:val="mixed-citation"/>
          <w:rFonts w:ascii="Times New Roman" w:hAnsi="Times New Roman" w:cs="Times New Roman"/>
        </w:rPr>
        <w:t xml:space="preserve">2003; 13: 381-387. </w:t>
      </w:r>
    </w:p>
    <w:p w14:paraId="6823CCB1" w14:textId="77777777" w:rsidR="008F2FE6" w:rsidRPr="008D70A1" w:rsidRDefault="008F2FE6" w:rsidP="008F2FE6">
      <w:pPr>
        <w:pStyle w:val="ListParagraph"/>
        <w:numPr>
          <w:ilvl w:val="0"/>
          <w:numId w:val="3"/>
        </w:numPr>
        <w:tabs>
          <w:tab w:val="left" w:pos="960"/>
        </w:tabs>
        <w:rPr>
          <w:rFonts w:ascii="Times New Roman" w:hAnsi="Times New Roman" w:cs="Times New Roman"/>
        </w:rPr>
      </w:pPr>
      <w:proofErr w:type="spellStart"/>
      <w:r w:rsidRPr="008D70A1">
        <w:rPr>
          <w:rFonts w:ascii="Times New Roman" w:hAnsi="Times New Roman" w:cs="Times New Roman"/>
          <w:color w:val="303030"/>
          <w:shd w:val="clear" w:color="auto" w:fill="FFFFFF"/>
        </w:rPr>
        <w:t>Grani</w:t>
      </w:r>
      <w:proofErr w:type="spellEnd"/>
      <w:r w:rsidRPr="008D70A1">
        <w:rPr>
          <w:rFonts w:ascii="Times New Roman" w:hAnsi="Times New Roman" w:cs="Times New Roman"/>
          <w:color w:val="303030"/>
          <w:shd w:val="clear" w:color="auto" w:fill="FFFFFF"/>
        </w:rPr>
        <w:t xml:space="preserve"> G, </w:t>
      </w:r>
      <w:proofErr w:type="spellStart"/>
      <w:r w:rsidRPr="008D70A1">
        <w:rPr>
          <w:rFonts w:ascii="Times New Roman" w:hAnsi="Times New Roman" w:cs="Times New Roman"/>
          <w:color w:val="303030"/>
          <w:shd w:val="clear" w:color="auto" w:fill="FFFFFF"/>
        </w:rPr>
        <w:t>Lamartina</w:t>
      </w:r>
      <w:proofErr w:type="spellEnd"/>
      <w:r w:rsidRPr="008D70A1">
        <w:rPr>
          <w:rFonts w:ascii="Times New Roman" w:hAnsi="Times New Roman" w:cs="Times New Roman"/>
          <w:color w:val="303030"/>
          <w:shd w:val="clear" w:color="auto" w:fill="FFFFFF"/>
        </w:rPr>
        <w:t xml:space="preserve"> L, </w:t>
      </w:r>
      <w:proofErr w:type="spellStart"/>
      <w:r w:rsidRPr="008D70A1">
        <w:rPr>
          <w:rFonts w:ascii="Times New Roman" w:hAnsi="Times New Roman" w:cs="Times New Roman"/>
          <w:color w:val="303030"/>
          <w:shd w:val="clear" w:color="auto" w:fill="FFFFFF"/>
        </w:rPr>
        <w:t>Cantisani</w:t>
      </w:r>
      <w:proofErr w:type="spellEnd"/>
      <w:r w:rsidRPr="008D70A1">
        <w:rPr>
          <w:rFonts w:ascii="Times New Roman" w:hAnsi="Times New Roman" w:cs="Times New Roman"/>
          <w:color w:val="303030"/>
          <w:shd w:val="clear" w:color="auto" w:fill="FFFFFF"/>
        </w:rPr>
        <w:t xml:space="preserve"> V, et al. </w:t>
      </w:r>
      <w:r w:rsidRPr="008D70A1">
        <w:rPr>
          <w:rStyle w:val="ref-title"/>
          <w:rFonts w:ascii="Times New Roman" w:hAnsi="Times New Roman" w:cs="Times New Roman"/>
          <w:color w:val="303030"/>
          <w:shd w:val="clear" w:color="auto" w:fill="FFFFFF"/>
        </w:rPr>
        <w:t>Interobserver agreement of various thyroid imaging reporting and data systems</w:t>
      </w:r>
      <w:r w:rsidRPr="008D70A1">
        <w:rPr>
          <w:rFonts w:ascii="Times New Roman" w:hAnsi="Times New Roman" w:cs="Times New Roman"/>
          <w:color w:val="303030"/>
          <w:shd w:val="clear" w:color="auto" w:fill="FFFFFF"/>
        </w:rPr>
        <w:t>. </w:t>
      </w:r>
      <w:proofErr w:type="spellStart"/>
      <w:r w:rsidRPr="008D70A1">
        <w:rPr>
          <w:rStyle w:val="ref-journal"/>
          <w:rFonts w:ascii="Times New Roman" w:hAnsi="Times New Roman" w:cs="Times New Roman"/>
          <w:i/>
          <w:iCs/>
          <w:color w:val="303030"/>
          <w:shd w:val="clear" w:color="auto" w:fill="FFFFFF"/>
        </w:rPr>
        <w:t>Endocr</w:t>
      </w:r>
      <w:proofErr w:type="spellEnd"/>
      <w:r w:rsidRPr="008D70A1">
        <w:rPr>
          <w:rStyle w:val="ref-journal"/>
          <w:rFonts w:ascii="Times New Roman" w:hAnsi="Times New Roman" w:cs="Times New Roman"/>
          <w:i/>
          <w:iCs/>
          <w:color w:val="303030"/>
          <w:shd w:val="clear" w:color="auto" w:fill="FFFFFF"/>
        </w:rPr>
        <w:t xml:space="preserve"> Connect.</w:t>
      </w:r>
      <w:r w:rsidRPr="008D70A1">
        <w:rPr>
          <w:rFonts w:ascii="Times New Roman" w:hAnsi="Times New Roman" w:cs="Times New Roman"/>
          <w:color w:val="303030"/>
          <w:shd w:val="clear" w:color="auto" w:fill="FFFFFF"/>
        </w:rPr>
        <w:t xml:space="preserve"> 2018; 7(1): 1-7. </w:t>
      </w:r>
    </w:p>
    <w:p w14:paraId="40709CCF" w14:textId="77777777" w:rsidR="008F2FE6" w:rsidRPr="008D70A1" w:rsidRDefault="008F2FE6" w:rsidP="008F2FE6">
      <w:pPr>
        <w:pStyle w:val="ListParagraph"/>
        <w:numPr>
          <w:ilvl w:val="0"/>
          <w:numId w:val="3"/>
        </w:numPr>
        <w:tabs>
          <w:tab w:val="left" w:pos="960"/>
        </w:tabs>
        <w:rPr>
          <w:rStyle w:val="mixed-citation"/>
          <w:rFonts w:ascii="Times New Roman" w:hAnsi="Times New Roman" w:cs="Times New Roman"/>
        </w:rPr>
      </w:pPr>
      <w:proofErr w:type="spellStart"/>
      <w:r w:rsidRPr="008D70A1">
        <w:rPr>
          <w:rStyle w:val="mixed-citation"/>
          <w:rFonts w:ascii="Times New Roman" w:hAnsi="Times New Roman" w:cs="Times New Roman"/>
          <w:color w:val="212121"/>
          <w:shd w:val="clear" w:color="auto" w:fill="FFFFFF"/>
        </w:rPr>
        <w:t>Sahli</w:t>
      </w:r>
      <w:proofErr w:type="spellEnd"/>
      <w:r w:rsidRPr="008D70A1">
        <w:rPr>
          <w:rStyle w:val="mixed-citation"/>
          <w:rFonts w:ascii="Times New Roman" w:hAnsi="Times New Roman" w:cs="Times New Roman"/>
          <w:color w:val="212121"/>
          <w:shd w:val="clear" w:color="auto" w:fill="FFFFFF"/>
        </w:rPr>
        <w:t xml:space="preserve"> ZT, Sharma AK, Canner JK, et al. TIRADS interobserver variability among indeterminate thyroid nodules. </w:t>
      </w:r>
      <w:r w:rsidRPr="008D70A1">
        <w:rPr>
          <w:rStyle w:val="mixed-citation"/>
          <w:rFonts w:ascii="Times New Roman" w:hAnsi="Times New Roman" w:cs="Times New Roman"/>
          <w:i/>
          <w:iCs/>
          <w:color w:val="212121"/>
          <w:shd w:val="clear" w:color="auto" w:fill="FFFFFF"/>
        </w:rPr>
        <w:t>J Ultrasound Med</w:t>
      </w:r>
      <w:r w:rsidRPr="008D70A1">
        <w:rPr>
          <w:rStyle w:val="mixed-citation"/>
          <w:rFonts w:ascii="Times New Roman" w:hAnsi="Times New Roman" w:cs="Times New Roman"/>
          <w:color w:val="212121"/>
          <w:shd w:val="clear" w:color="auto" w:fill="FFFFFF"/>
        </w:rPr>
        <w:t>. 2019; 38(7): 1807-1813.</w:t>
      </w:r>
    </w:p>
    <w:p w14:paraId="37344861" w14:textId="0488323E" w:rsidR="0024174C" w:rsidRPr="00865B22" w:rsidRDefault="008F2FE6" w:rsidP="00865B22">
      <w:pPr>
        <w:pStyle w:val="ListParagraph"/>
        <w:numPr>
          <w:ilvl w:val="0"/>
          <w:numId w:val="3"/>
        </w:numPr>
        <w:tabs>
          <w:tab w:val="left" w:pos="960"/>
        </w:tabs>
      </w:pPr>
      <w:proofErr w:type="spellStart"/>
      <w:r w:rsidRPr="008D70A1">
        <w:rPr>
          <w:rStyle w:val="mixed-citation"/>
          <w:rFonts w:ascii="Times New Roman" w:hAnsi="Times New Roman" w:cs="Times New Roman"/>
          <w:color w:val="212121"/>
          <w:shd w:val="clear" w:color="auto" w:fill="FFFFFF"/>
        </w:rPr>
        <w:t>Couzins</w:t>
      </w:r>
      <w:proofErr w:type="spellEnd"/>
      <w:r w:rsidRPr="008D70A1">
        <w:rPr>
          <w:rStyle w:val="mixed-citation"/>
          <w:rFonts w:ascii="Times New Roman" w:hAnsi="Times New Roman" w:cs="Times New Roman"/>
          <w:color w:val="212121"/>
          <w:shd w:val="clear" w:color="auto" w:fill="FFFFFF"/>
        </w:rPr>
        <w:t xml:space="preserve"> M, Forbes S, Vigneswaran G, et al. Ultrasound grading of thyroid nodules using BTA U-scoring guidelines – is there evidence of intra-and interobserver variability? </w:t>
      </w:r>
      <w:r w:rsidRPr="008D70A1">
        <w:rPr>
          <w:rStyle w:val="mixed-citation"/>
          <w:rFonts w:ascii="Times New Roman" w:hAnsi="Times New Roman" w:cs="Times New Roman"/>
          <w:i/>
          <w:iCs/>
          <w:color w:val="212121"/>
          <w:shd w:val="clear" w:color="auto" w:fill="FFFFFF"/>
        </w:rPr>
        <w:t>Ultrasound</w:t>
      </w:r>
      <w:r w:rsidRPr="008D70A1">
        <w:rPr>
          <w:rStyle w:val="mixed-citation"/>
          <w:rFonts w:ascii="Times New Roman" w:hAnsi="Times New Roman" w:cs="Times New Roman"/>
          <w:color w:val="212121"/>
          <w:shd w:val="clear" w:color="auto" w:fill="FFFFFF"/>
        </w:rPr>
        <w:t>. 2021; 29(2): 100-105.</w:t>
      </w:r>
      <w:r>
        <w:rPr>
          <w:rStyle w:val="mixed-citation"/>
          <w:rFonts w:ascii="Cambria" w:hAnsi="Cambria"/>
          <w:color w:val="212121"/>
          <w:sz w:val="26"/>
          <w:szCs w:val="26"/>
          <w:shd w:val="clear" w:color="auto" w:fill="FFFFFF"/>
        </w:rPr>
        <w:t xml:space="preserve"> </w:t>
      </w:r>
    </w:p>
    <w:sectPr w:rsidR="0024174C" w:rsidRPr="00865B22" w:rsidSect="00D822B3">
      <w:pgSz w:w="11906" w:h="16838"/>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15F05"/>
    <w:multiLevelType w:val="hybridMultilevel"/>
    <w:tmpl w:val="D83C2152"/>
    <w:lvl w:ilvl="0" w:tplc="71DEDD6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9313AC"/>
    <w:multiLevelType w:val="hybridMultilevel"/>
    <w:tmpl w:val="0B1C8C64"/>
    <w:lvl w:ilvl="0" w:tplc="E618A45C">
      <w:start w:val="7"/>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6A5D00"/>
    <w:multiLevelType w:val="hybridMultilevel"/>
    <w:tmpl w:val="1304E6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885369"/>
    <w:multiLevelType w:val="hybridMultilevel"/>
    <w:tmpl w:val="D2EE7218"/>
    <w:lvl w:ilvl="0" w:tplc="82184C98">
      <w:start w:val="3"/>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5E3465"/>
    <w:multiLevelType w:val="multilevel"/>
    <w:tmpl w:val="84C4E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877C77"/>
    <w:multiLevelType w:val="hybridMultilevel"/>
    <w:tmpl w:val="714E4F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382DDC"/>
    <w:multiLevelType w:val="hybridMultilevel"/>
    <w:tmpl w:val="322E64F6"/>
    <w:lvl w:ilvl="0" w:tplc="9F1EA91C">
      <w:start w:val="1"/>
      <w:numFmt w:val="decimal"/>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6046466">
    <w:abstractNumId w:val="5"/>
  </w:num>
  <w:num w:numId="2" w16cid:durableId="172303560">
    <w:abstractNumId w:val="0"/>
  </w:num>
  <w:num w:numId="3" w16cid:durableId="2078169463">
    <w:abstractNumId w:val="6"/>
  </w:num>
  <w:num w:numId="4" w16cid:durableId="1236864277">
    <w:abstractNumId w:val="2"/>
  </w:num>
  <w:num w:numId="5" w16cid:durableId="1168903079">
    <w:abstractNumId w:val="3"/>
  </w:num>
  <w:num w:numId="6" w16cid:durableId="75136134">
    <w:abstractNumId w:val="1"/>
  </w:num>
  <w:num w:numId="7" w16cid:durableId="9638522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24F"/>
    <w:rsid w:val="0001416F"/>
    <w:rsid w:val="000227AE"/>
    <w:rsid w:val="000317A0"/>
    <w:rsid w:val="00054F9B"/>
    <w:rsid w:val="00064C91"/>
    <w:rsid w:val="000C3678"/>
    <w:rsid w:val="000C4C2A"/>
    <w:rsid w:val="000D4BDE"/>
    <w:rsid w:val="00100023"/>
    <w:rsid w:val="001108EB"/>
    <w:rsid w:val="00120609"/>
    <w:rsid w:val="001239AE"/>
    <w:rsid w:val="0012456E"/>
    <w:rsid w:val="001361CF"/>
    <w:rsid w:val="0013667F"/>
    <w:rsid w:val="00142D81"/>
    <w:rsid w:val="00145FB4"/>
    <w:rsid w:val="001470AB"/>
    <w:rsid w:val="001A20F4"/>
    <w:rsid w:val="001B3134"/>
    <w:rsid w:val="001F6FB6"/>
    <w:rsid w:val="001F724F"/>
    <w:rsid w:val="0020774F"/>
    <w:rsid w:val="00211E56"/>
    <w:rsid w:val="002236B4"/>
    <w:rsid w:val="00225BE7"/>
    <w:rsid w:val="0023448D"/>
    <w:rsid w:val="00236648"/>
    <w:rsid w:val="0023770D"/>
    <w:rsid w:val="0024174C"/>
    <w:rsid w:val="00243EC6"/>
    <w:rsid w:val="00255B1B"/>
    <w:rsid w:val="00265092"/>
    <w:rsid w:val="00291B69"/>
    <w:rsid w:val="002F386C"/>
    <w:rsid w:val="00300BF4"/>
    <w:rsid w:val="003016E0"/>
    <w:rsid w:val="003414BF"/>
    <w:rsid w:val="00385731"/>
    <w:rsid w:val="003A6F6B"/>
    <w:rsid w:val="003C3EB0"/>
    <w:rsid w:val="003D216A"/>
    <w:rsid w:val="003E2457"/>
    <w:rsid w:val="003F249F"/>
    <w:rsid w:val="00452D51"/>
    <w:rsid w:val="00454670"/>
    <w:rsid w:val="00454FF5"/>
    <w:rsid w:val="004706D5"/>
    <w:rsid w:val="00474984"/>
    <w:rsid w:val="0048205A"/>
    <w:rsid w:val="0048717D"/>
    <w:rsid w:val="004A51C0"/>
    <w:rsid w:val="004C5E73"/>
    <w:rsid w:val="004E2948"/>
    <w:rsid w:val="004F6697"/>
    <w:rsid w:val="00517FE3"/>
    <w:rsid w:val="00527AAD"/>
    <w:rsid w:val="00536F65"/>
    <w:rsid w:val="00542A6D"/>
    <w:rsid w:val="0054320B"/>
    <w:rsid w:val="005753A9"/>
    <w:rsid w:val="005B2D56"/>
    <w:rsid w:val="005B780B"/>
    <w:rsid w:val="005C3C68"/>
    <w:rsid w:val="005C4542"/>
    <w:rsid w:val="005C730B"/>
    <w:rsid w:val="005D63FA"/>
    <w:rsid w:val="005F4EF5"/>
    <w:rsid w:val="00601235"/>
    <w:rsid w:val="00615F08"/>
    <w:rsid w:val="00622CE0"/>
    <w:rsid w:val="00642E78"/>
    <w:rsid w:val="00647ECD"/>
    <w:rsid w:val="006602CE"/>
    <w:rsid w:val="00665B2B"/>
    <w:rsid w:val="006F455D"/>
    <w:rsid w:val="00713020"/>
    <w:rsid w:val="00713675"/>
    <w:rsid w:val="00746F65"/>
    <w:rsid w:val="00777244"/>
    <w:rsid w:val="00796CBF"/>
    <w:rsid w:val="007A1EB5"/>
    <w:rsid w:val="007A691E"/>
    <w:rsid w:val="007B5A06"/>
    <w:rsid w:val="007C77BD"/>
    <w:rsid w:val="007C7C2D"/>
    <w:rsid w:val="007F3CAB"/>
    <w:rsid w:val="00817533"/>
    <w:rsid w:val="00833210"/>
    <w:rsid w:val="00835DC5"/>
    <w:rsid w:val="00843E48"/>
    <w:rsid w:val="00852410"/>
    <w:rsid w:val="00855C62"/>
    <w:rsid w:val="00865B22"/>
    <w:rsid w:val="008B3669"/>
    <w:rsid w:val="008B6480"/>
    <w:rsid w:val="008D0C01"/>
    <w:rsid w:val="008D650F"/>
    <w:rsid w:val="008D76CA"/>
    <w:rsid w:val="008E0E18"/>
    <w:rsid w:val="008E3D6D"/>
    <w:rsid w:val="008E6A88"/>
    <w:rsid w:val="008F2FE6"/>
    <w:rsid w:val="00903A63"/>
    <w:rsid w:val="00907DAD"/>
    <w:rsid w:val="00912166"/>
    <w:rsid w:val="00922E90"/>
    <w:rsid w:val="0093407C"/>
    <w:rsid w:val="00944450"/>
    <w:rsid w:val="0096426F"/>
    <w:rsid w:val="00990D48"/>
    <w:rsid w:val="00992220"/>
    <w:rsid w:val="009924F8"/>
    <w:rsid w:val="009B3551"/>
    <w:rsid w:val="009C5FF4"/>
    <w:rsid w:val="009C69C4"/>
    <w:rsid w:val="009D487E"/>
    <w:rsid w:val="009D675D"/>
    <w:rsid w:val="009E0C75"/>
    <w:rsid w:val="009E7461"/>
    <w:rsid w:val="009F3EAA"/>
    <w:rsid w:val="00A0197D"/>
    <w:rsid w:val="00A4510A"/>
    <w:rsid w:val="00A465F3"/>
    <w:rsid w:val="00A4727F"/>
    <w:rsid w:val="00A82E68"/>
    <w:rsid w:val="00A85991"/>
    <w:rsid w:val="00AA4E4F"/>
    <w:rsid w:val="00AC699B"/>
    <w:rsid w:val="00AD3D4F"/>
    <w:rsid w:val="00AD5A07"/>
    <w:rsid w:val="00AF2093"/>
    <w:rsid w:val="00B12635"/>
    <w:rsid w:val="00B13EB1"/>
    <w:rsid w:val="00B53225"/>
    <w:rsid w:val="00B57F58"/>
    <w:rsid w:val="00B6328D"/>
    <w:rsid w:val="00B76A81"/>
    <w:rsid w:val="00B86694"/>
    <w:rsid w:val="00BA6627"/>
    <w:rsid w:val="00BB7628"/>
    <w:rsid w:val="00BC6208"/>
    <w:rsid w:val="00BD17A8"/>
    <w:rsid w:val="00BE06CE"/>
    <w:rsid w:val="00BE51EF"/>
    <w:rsid w:val="00BF0B6C"/>
    <w:rsid w:val="00C10FF4"/>
    <w:rsid w:val="00C5138E"/>
    <w:rsid w:val="00C536A5"/>
    <w:rsid w:val="00C81A3A"/>
    <w:rsid w:val="00C978D9"/>
    <w:rsid w:val="00CA4DDA"/>
    <w:rsid w:val="00CB2EE1"/>
    <w:rsid w:val="00CB588E"/>
    <w:rsid w:val="00CC1CF2"/>
    <w:rsid w:val="00CD7B8A"/>
    <w:rsid w:val="00CE77C1"/>
    <w:rsid w:val="00CF30B0"/>
    <w:rsid w:val="00CF4DEF"/>
    <w:rsid w:val="00D000C5"/>
    <w:rsid w:val="00D224F2"/>
    <w:rsid w:val="00D2332B"/>
    <w:rsid w:val="00D337EE"/>
    <w:rsid w:val="00D57E3B"/>
    <w:rsid w:val="00D81774"/>
    <w:rsid w:val="00D822B3"/>
    <w:rsid w:val="00DB0EBB"/>
    <w:rsid w:val="00DD4CAE"/>
    <w:rsid w:val="00E0379D"/>
    <w:rsid w:val="00E14F81"/>
    <w:rsid w:val="00E253D1"/>
    <w:rsid w:val="00E464AE"/>
    <w:rsid w:val="00E7196D"/>
    <w:rsid w:val="00E84DC3"/>
    <w:rsid w:val="00EA3B5A"/>
    <w:rsid w:val="00EC2C95"/>
    <w:rsid w:val="00ED7522"/>
    <w:rsid w:val="00EF0125"/>
    <w:rsid w:val="00F17929"/>
    <w:rsid w:val="00F22A47"/>
    <w:rsid w:val="00F22B9A"/>
    <w:rsid w:val="00F2411B"/>
    <w:rsid w:val="00F50425"/>
    <w:rsid w:val="00F67FC3"/>
    <w:rsid w:val="00F91DC1"/>
    <w:rsid w:val="00F955F8"/>
    <w:rsid w:val="00F97E15"/>
    <w:rsid w:val="00FC0372"/>
    <w:rsid w:val="00FC4E9A"/>
    <w:rsid w:val="00FF43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EC01A"/>
  <w15:chartTrackingRefBased/>
  <w15:docId w15:val="{F419E546-2DA5-AF43-A63C-0121EB33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AAD"/>
    <w:pPr>
      <w:spacing w:after="160" w:line="259" w:lineRule="auto"/>
    </w:pPr>
    <w:rPr>
      <w:rFonts w:eastAsiaTheme="minorEastAsia"/>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7AAD"/>
    <w:pPr>
      <w:ind w:left="720"/>
      <w:contextualSpacing/>
    </w:pPr>
  </w:style>
  <w:style w:type="character" w:styleId="LineNumber">
    <w:name w:val="line number"/>
    <w:basedOn w:val="DefaultParagraphFont"/>
    <w:uiPriority w:val="99"/>
    <w:semiHidden/>
    <w:unhideWhenUsed/>
    <w:rsid w:val="00713020"/>
  </w:style>
  <w:style w:type="table" w:styleId="TableGrid">
    <w:name w:val="Table Grid"/>
    <w:basedOn w:val="TableNormal"/>
    <w:uiPriority w:val="39"/>
    <w:rsid w:val="0096426F"/>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12166"/>
    <w:rPr>
      <w:sz w:val="16"/>
      <w:szCs w:val="16"/>
    </w:rPr>
  </w:style>
  <w:style w:type="paragraph" w:styleId="CommentText">
    <w:name w:val="annotation text"/>
    <w:basedOn w:val="Normal"/>
    <w:link w:val="CommentTextChar"/>
    <w:uiPriority w:val="99"/>
    <w:unhideWhenUsed/>
    <w:rsid w:val="00912166"/>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912166"/>
    <w:rPr>
      <w:kern w:val="0"/>
      <w:sz w:val="20"/>
      <w:szCs w:val="20"/>
      <w14:ligatures w14:val="none"/>
    </w:rPr>
  </w:style>
  <w:style w:type="character" w:styleId="Hyperlink">
    <w:name w:val="Hyperlink"/>
    <w:basedOn w:val="DefaultParagraphFont"/>
    <w:uiPriority w:val="99"/>
    <w:unhideWhenUsed/>
    <w:rsid w:val="007F3CAB"/>
    <w:rPr>
      <w:color w:val="0563C1" w:themeColor="hyperlink"/>
      <w:u w:val="single"/>
    </w:rPr>
  </w:style>
  <w:style w:type="character" w:styleId="FollowedHyperlink">
    <w:name w:val="FollowedHyperlink"/>
    <w:basedOn w:val="DefaultParagraphFont"/>
    <w:uiPriority w:val="99"/>
    <w:semiHidden/>
    <w:unhideWhenUsed/>
    <w:rsid w:val="007F3CAB"/>
    <w:rPr>
      <w:color w:val="954F72" w:themeColor="followedHyperlink"/>
      <w:u w:val="single"/>
    </w:rPr>
  </w:style>
  <w:style w:type="character" w:customStyle="1" w:styleId="ref-title">
    <w:name w:val="ref-title"/>
    <w:basedOn w:val="DefaultParagraphFont"/>
    <w:rsid w:val="007F3CAB"/>
  </w:style>
  <w:style w:type="character" w:customStyle="1" w:styleId="ref-journal">
    <w:name w:val="ref-journal"/>
    <w:basedOn w:val="DefaultParagraphFont"/>
    <w:rsid w:val="007F3CAB"/>
  </w:style>
  <w:style w:type="character" w:customStyle="1" w:styleId="ref-vol">
    <w:name w:val="ref-vol"/>
    <w:basedOn w:val="DefaultParagraphFont"/>
    <w:rsid w:val="007F3CAB"/>
  </w:style>
  <w:style w:type="character" w:customStyle="1" w:styleId="mixed-citation">
    <w:name w:val="mixed-citation"/>
    <w:basedOn w:val="DefaultParagraphFont"/>
    <w:rsid w:val="007F3CAB"/>
  </w:style>
  <w:style w:type="character" w:styleId="UnresolvedMention">
    <w:name w:val="Unresolved Mention"/>
    <w:basedOn w:val="DefaultParagraphFont"/>
    <w:uiPriority w:val="99"/>
    <w:semiHidden/>
    <w:unhideWhenUsed/>
    <w:rsid w:val="00713675"/>
    <w:rPr>
      <w:color w:val="605E5C"/>
      <w:shd w:val="clear" w:color="auto" w:fill="E1DFDD"/>
    </w:rPr>
  </w:style>
  <w:style w:type="character" w:customStyle="1" w:styleId="apple-converted-space">
    <w:name w:val="apple-converted-space"/>
    <w:basedOn w:val="DefaultParagraphFont"/>
    <w:rsid w:val="00D000C5"/>
  </w:style>
  <w:style w:type="paragraph" w:customStyle="1" w:styleId="loaitem">
    <w:name w:val="loa__item"/>
    <w:basedOn w:val="Normal"/>
    <w:rsid w:val="0001416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refseries">
    <w:name w:val="ref__series"/>
    <w:basedOn w:val="DefaultParagraphFont"/>
    <w:rsid w:val="0001416F"/>
  </w:style>
  <w:style w:type="character" w:customStyle="1" w:styleId="refseriesdate">
    <w:name w:val="ref__seriesdate"/>
    <w:basedOn w:val="DefaultParagraphFont"/>
    <w:rsid w:val="0001416F"/>
  </w:style>
  <w:style w:type="character" w:customStyle="1" w:styleId="refseriesvolume">
    <w:name w:val="ref__seriesvolume"/>
    <w:basedOn w:val="DefaultParagraphFont"/>
    <w:rsid w:val="0001416F"/>
  </w:style>
  <w:style w:type="character" w:customStyle="1" w:styleId="refseriespages">
    <w:name w:val="ref__seriespages"/>
    <w:basedOn w:val="DefaultParagraphFont"/>
    <w:rsid w:val="000141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86846">
      <w:bodyDiv w:val="1"/>
      <w:marLeft w:val="0"/>
      <w:marRight w:val="0"/>
      <w:marTop w:val="0"/>
      <w:marBottom w:val="0"/>
      <w:divBdr>
        <w:top w:val="none" w:sz="0" w:space="0" w:color="auto"/>
        <w:left w:val="none" w:sz="0" w:space="0" w:color="auto"/>
        <w:bottom w:val="none" w:sz="0" w:space="0" w:color="auto"/>
        <w:right w:val="none" w:sz="0" w:space="0" w:color="auto"/>
      </w:divBdr>
      <w:divsChild>
        <w:div w:id="1201436814">
          <w:marLeft w:val="0"/>
          <w:marRight w:val="0"/>
          <w:marTop w:val="0"/>
          <w:marBottom w:val="0"/>
          <w:divBdr>
            <w:top w:val="none" w:sz="0" w:space="0" w:color="auto"/>
            <w:left w:val="none" w:sz="0" w:space="0" w:color="auto"/>
            <w:bottom w:val="none" w:sz="0" w:space="0" w:color="auto"/>
            <w:right w:val="none" w:sz="0" w:space="0" w:color="auto"/>
          </w:divBdr>
          <w:divsChild>
            <w:div w:id="1871602970">
              <w:marLeft w:val="0"/>
              <w:marRight w:val="0"/>
              <w:marTop w:val="0"/>
              <w:marBottom w:val="0"/>
              <w:divBdr>
                <w:top w:val="none" w:sz="0" w:space="0" w:color="auto"/>
                <w:left w:val="none" w:sz="0" w:space="0" w:color="auto"/>
                <w:bottom w:val="none" w:sz="0" w:space="0" w:color="auto"/>
                <w:right w:val="none" w:sz="0" w:space="0" w:color="auto"/>
              </w:divBdr>
              <w:divsChild>
                <w:div w:id="1678654541">
                  <w:marLeft w:val="0"/>
                  <w:marRight w:val="0"/>
                  <w:marTop w:val="0"/>
                  <w:marBottom w:val="0"/>
                  <w:divBdr>
                    <w:top w:val="none" w:sz="0" w:space="0" w:color="auto"/>
                    <w:left w:val="none" w:sz="0" w:space="0" w:color="auto"/>
                    <w:bottom w:val="none" w:sz="0" w:space="0" w:color="auto"/>
                    <w:right w:val="none" w:sz="0" w:space="0" w:color="auto"/>
                  </w:divBdr>
                  <w:divsChild>
                    <w:div w:id="167224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488214">
      <w:bodyDiv w:val="1"/>
      <w:marLeft w:val="0"/>
      <w:marRight w:val="0"/>
      <w:marTop w:val="0"/>
      <w:marBottom w:val="0"/>
      <w:divBdr>
        <w:top w:val="none" w:sz="0" w:space="0" w:color="auto"/>
        <w:left w:val="none" w:sz="0" w:space="0" w:color="auto"/>
        <w:bottom w:val="none" w:sz="0" w:space="0" w:color="auto"/>
        <w:right w:val="none" w:sz="0" w:space="0" w:color="auto"/>
      </w:divBdr>
      <w:divsChild>
        <w:div w:id="182211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ng230/chapter/Recommendations" TargetMode="External"/><Relationship Id="rId3" Type="http://schemas.openxmlformats.org/officeDocument/2006/relationships/settings" Target="settings.xml"/><Relationship Id="rId7" Type="http://schemas.openxmlformats.org/officeDocument/2006/relationships/hyperlink" Target="https://static1.squarespace.com/static/53b1670ee4b0be242b013ed7/t/5ee147f8e01e622952623ee5/1591822342126/Consensus+Guidance+in+Routine+Practice+for+Differentiated+Thyroid+Cancer+in+Scotland+v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cpath.org/static/7d693ce4-0091-4621-97f79e2a0d1034d6/g089_guidance_on_reporting_of_thyroid_cytology_specimens.pdf" TargetMode="External"/><Relationship Id="rId5" Type="http://schemas.openxmlformats.org/officeDocument/2006/relationships/hyperlink" Target="https://www.cancerresearchuk.org/health-professional/cancer-statistics/statistics-by-cancer-type/thyroid-cance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5179</Words>
  <Characters>29524</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Cowen Jake - Radiology SPR</dc:creator>
  <cp:keywords/>
  <dc:description/>
  <cp:lastModifiedBy>Cowen Jake - Radiology SPR</cp:lastModifiedBy>
  <cp:revision>2</cp:revision>
  <dcterms:created xsi:type="dcterms:W3CDTF">2025-01-04T13:18:00Z</dcterms:created>
  <dcterms:modified xsi:type="dcterms:W3CDTF">2025-01-04T13:18:00Z</dcterms:modified>
</cp:coreProperties>
</file>