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1D5F" w14:textId="77777777" w:rsidR="00330019" w:rsidRDefault="00330019" w:rsidP="00330019">
      <w:pPr>
        <w:pStyle w:val="Body"/>
        <w:spacing w:after="240" w:line="480" w:lineRule="auto"/>
        <w:rPr>
          <w:rFonts w:ascii="Times New Roman" w:hAnsi="Times New Roman" w:cs="Times New Roman"/>
          <w:b/>
          <w:bCs/>
        </w:rPr>
      </w:pPr>
      <w:r>
        <w:rPr>
          <w:rFonts w:ascii="Times New Roman" w:hAnsi="Times New Roman" w:cs="Times New Roman"/>
          <w:b/>
          <w:bCs/>
        </w:rPr>
        <w:t xml:space="preserve">The (un)lucky country: The problem of the single antipodean case study and what to do about </w:t>
      </w:r>
      <w:proofErr w:type="gramStart"/>
      <w:r>
        <w:rPr>
          <w:rFonts w:ascii="Times New Roman" w:hAnsi="Times New Roman" w:cs="Times New Roman"/>
          <w:b/>
          <w:bCs/>
        </w:rPr>
        <w:t>it</w:t>
      </w:r>
      <w:proofErr w:type="gramEnd"/>
    </w:p>
    <w:p w14:paraId="294A06EE" w14:textId="77777777" w:rsidR="00C17169" w:rsidRPr="009C5AD8" w:rsidRDefault="00C17169">
      <w:pPr>
        <w:pStyle w:val="Body"/>
        <w:spacing w:after="240" w:line="480" w:lineRule="auto"/>
        <w:ind w:firstLine="720"/>
        <w:rPr>
          <w:rFonts w:ascii="Times New Roman" w:eastAsia="Times New Roman" w:hAnsi="Times New Roman" w:cs="Times New Roman"/>
          <w:b/>
          <w:bCs/>
        </w:rPr>
      </w:pPr>
    </w:p>
    <w:p w14:paraId="17F8917C" w14:textId="77777777"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lang w:val="fr-FR"/>
        </w:rPr>
        <w:t xml:space="preserve">Abstract </w:t>
      </w:r>
    </w:p>
    <w:p w14:paraId="35F1FE4A" w14:textId="55502F80"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Single case studies, though once the foundation of political science, have become a high-risk strategy in the discipline. The risk is especially acute for scholars who do rich qualitative work about New Zealand and Australia. There is a double bind. On the one hand, the community studying Antipodean politics is not large enough or sufficiently well-defined to </w:t>
      </w:r>
      <w:r w:rsidR="00CE6DBA">
        <w:rPr>
          <w:rFonts w:ascii="Times New Roman" w:hAnsi="Times New Roman" w:cs="Times New Roman"/>
        </w:rPr>
        <w:t>ignore trends and mores overseas</w:t>
      </w:r>
      <w:r w:rsidRPr="009C5AD8">
        <w:rPr>
          <w:rFonts w:ascii="Times New Roman" w:hAnsi="Times New Roman" w:cs="Times New Roman"/>
        </w:rPr>
        <w:t xml:space="preserve">. On the other hand, Antipodean politics is not exotic or important enough to command the attention of the larger discipline. The danger lies in ‘falling off the map’. We consider the problem this poses for academic careers, highlighting the inbuilt biases of international journals and ranking regimes. We then outline a menu of strategies for </w:t>
      </w:r>
      <w:r w:rsidR="00CE6DBA">
        <w:rPr>
          <w:rFonts w:ascii="Times New Roman" w:hAnsi="Times New Roman" w:cs="Times New Roman"/>
        </w:rPr>
        <w:t>surviving this double bind</w:t>
      </w:r>
      <w:r w:rsidRPr="009C5AD8">
        <w:rPr>
          <w:rFonts w:ascii="Times New Roman" w:hAnsi="Times New Roman" w:cs="Times New Roman"/>
        </w:rPr>
        <w:t xml:space="preserve"> using the practices of comparative interpretive research. These practices </w:t>
      </w:r>
      <w:proofErr w:type="gramStart"/>
      <w:r w:rsidRPr="009C5AD8">
        <w:rPr>
          <w:rFonts w:ascii="Times New Roman" w:hAnsi="Times New Roman" w:cs="Times New Roman"/>
        </w:rPr>
        <w:t>include:</w:t>
      </w:r>
      <w:proofErr w:type="gramEnd"/>
      <w:r w:rsidRPr="009C5AD8">
        <w:rPr>
          <w:rFonts w:ascii="Times New Roman" w:hAnsi="Times New Roman" w:cs="Times New Roman"/>
        </w:rPr>
        <w:t xml:space="preserve"> creative case justification; co-publishing; strategic supplementation; meta-analysis; and cumulative analysis. We posit that a more clear-eyed acknowledgement of the problem can lead to the conscious embracing of these strategies and the potential they offer for </w:t>
      </w:r>
      <w:r w:rsidR="00345571" w:rsidRPr="009C5AD8">
        <w:rPr>
          <w:rFonts w:ascii="Times New Roman" w:hAnsi="Times New Roman" w:cs="Times New Roman"/>
        </w:rPr>
        <w:t>immersive case research</w:t>
      </w:r>
      <w:r w:rsidRPr="009C5AD8">
        <w:rPr>
          <w:rFonts w:ascii="Times New Roman" w:hAnsi="Times New Roman" w:cs="Times New Roman"/>
        </w:rPr>
        <w:t xml:space="preserve">. </w:t>
      </w:r>
    </w:p>
    <w:p w14:paraId="1FB53839" w14:textId="276004E2" w:rsidR="00C17169" w:rsidRPr="00330019" w:rsidRDefault="00330019">
      <w:pPr>
        <w:pStyle w:val="Body"/>
        <w:rPr>
          <w:rFonts w:ascii="Times New Roman" w:hAnsi="Times New Roman" w:cs="Times New Roman"/>
        </w:rPr>
      </w:pPr>
      <w:r w:rsidRPr="00330019">
        <w:rPr>
          <w:rFonts w:ascii="Times New Roman" w:hAnsi="Times New Roman" w:cs="Times New Roman"/>
          <w:b/>
          <w:bCs/>
        </w:rPr>
        <w:t>Keywords:</w:t>
      </w:r>
      <w:r>
        <w:rPr>
          <w:rFonts w:ascii="Times New Roman" w:hAnsi="Times New Roman" w:cs="Times New Roman"/>
        </w:rPr>
        <w:t xml:space="preserve"> case study research; Australian politics; research design; case selection; interpretive comparison</w:t>
      </w:r>
      <w:r w:rsidR="008B22BF" w:rsidRPr="00330019">
        <w:rPr>
          <w:rFonts w:ascii="Times New Roman" w:hAnsi="Times New Roman" w:cs="Times New Roman"/>
        </w:rPr>
        <w:br w:type="page"/>
      </w:r>
    </w:p>
    <w:p w14:paraId="063AA64C" w14:textId="77777777"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lang w:val="fr-FR"/>
        </w:rPr>
        <w:lastRenderedPageBreak/>
        <w:t>Introduction</w:t>
      </w:r>
    </w:p>
    <w:p w14:paraId="130A5EF2" w14:textId="77777777" w:rsidR="00C17169" w:rsidRPr="009C5AD8" w:rsidRDefault="008B22BF" w:rsidP="00330019">
      <w:pPr>
        <w:pStyle w:val="Body"/>
        <w:spacing w:after="240" w:line="480" w:lineRule="auto"/>
        <w:ind w:left="720"/>
        <w:rPr>
          <w:rFonts w:ascii="Times New Roman" w:eastAsia="Times New Roman" w:hAnsi="Times New Roman" w:cs="Times New Roman"/>
          <w:i/>
          <w:iCs/>
        </w:rPr>
      </w:pPr>
      <w:r w:rsidRPr="009C5AD8">
        <w:rPr>
          <w:rFonts w:ascii="Times New Roman" w:hAnsi="Times New Roman" w:cs="Times New Roman"/>
          <w:i/>
          <w:iCs/>
        </w:rPr>
        <w:t>"Your manuscript deals with a single case in one country. And while it certainly engages with relevant debates, the empirical scope is ultimately very narrow from our point of view. We have thus decided not to send it for review on this occasion."</w:t>
      </w:r>
    </w:p>
    <w:p w14:paraId="0FE91946" w14:textId="788E9383"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We expect that many readers of this journal will, like us, be furious at receiving such a desk rejection from an eminent international journal. It is precisely the sort of 'A*' ranked outlet that modern regimes of research oversight </w:t>
      </w:r>
      <w:proofErr w:type="spellStart"/>
      <w:r w:rsidR="00B51B0A">
        <w:rPr>
          <w:rFonts w:ascii="Times New Roman" w:hAnsi="Times New Roman" w:cs="Times New Roman"/>
        </w:rPr>
        <w:t>incentivise</w:t>
      </w:r>
      <w:proofErr w:type="spellEnd"/>
      <w:r w:rsidRPr="009C5AD8">
        <w:rPr>
          <w:rFonts w:ascii="Times New Roman" w:hAnsi="Times New Roman" w:cs="Times New Roman"/>
        </w:rPr>
        <w:t xml:space="preserve"> us to publish in. We might have been less </w:t>
      </w:r>
      <w:r w:rsidR="00345571" w:rsidRPr="009C5AD8">
        <w:rPr>
          <w:rFonts w:ascii="Times New Roman" w:hAnsi="Times New Roman" w:cs="Times New Roman"/>
        </w:rPr>
        <w:t xml:space="preserve">angry </w:t>
      </w:r>
      <w:r w:rsidRPr="009C5AD8">
        <w:rPr>
          <w:rFonts w:ascii="Times New Roman" w:hAnsi="Times New Roman" w:cs="Times New Roman"/>
        </w:rPr>
        <w:t xml:space="preserve">if it were a fair criticism based on the established mores and preferences of the journal in question. But it was not. There were many such ‘single case in one country’ studies in their back issues and even prominent examples among their 'early view' catalogue. The difference was that those studies were </w:t>
      </w:r>
      <w:r w:rsidR="004E7B08" w:rsidRPr="009C5AD8">
        <w:rPr>
          <w:rFonts w:ascii="Times New Roman" w:hAnsi="Times New Roman" w:cs="Times New Roman"/>
        </w:rPr>
        <w:t>centered</w:t>
      </w:r>
      <w:r w:rsidRPr="009C5AD8">
        <w:rPr>
          <w:rFonts w:ascii="Times New Roman" w:hAnsi="Times New Roman" w:cs="Times New Roman"/>
        </w:rPr>
        <w:t xml:space="preserve"> on countries in North America and Western Europe, or occasionally BRICS and MINT countries in the Global South.</w:t>
      </w:r>
      <w:r w:rsidR="00705A7D">
        <w:rPr>
          <w:rFonts w:ascii="Times New Roman" w:hAnsi="Times New Roman" w:cs="Times New Roman"/>
        </w:rPr>
        <w:t xml:space="preserve"> The brute fact is that US journals are US journals in content and authorship</w:t>
      </w:r>
      <w:r w:rsidR="00F37FB4">
        <w:rPr>
          <w:rFonts w:ascii="Times New Roman" w:hAnsi="Times New Roman" w:cs="Times New Roman"/>
        </w:rPr>
        <w:t>,</w:t>
      </w:r>
      <w:r w:rsidR="00A7419F">
        <w:rPr>
          <w:rFonts w:ascii="Times New Roman" w:hAnsi="Times New Roman" w:cs="Times New Roman"/>
        </w:rPr>
        <w:t xml:space="preserve"> and they dominate the field</w:t>
      </w:r>
      <w:r w:rsidR="00EF477C">
        <w:rPr>
          <w:rFonts w:ascii="Times New Roman" w:hAnsi="Times New Roman" w:cs="Times New Roman"/>
        </w:rPr>
        <w:t xml:space="preserve"> </w:t>
      </w:r>
      <w:r w:rsidR="00A7419F">
        <w:rPr>
          <w:rFonts w:ascii="Times New Roman" w:hAnsi="Times New Roman" w:cs="Times New Roman"/>
        </w:rPr>
        <w:t>(Sharman and Weller 2009).</w:t>
      </w:r>
      <w:r w:rsidRPr="009C5AD8">
        <w:rPr>
          <w:rFonts w:ascii="Times New Roman" w:hAnsi="Times New Roman" w:cs="Times New Roman"/>
        </w:rPr>
        <w:t xml:space="preserve"> What the desk rejection really meant was that - in the view of the editors - political scientists across the world don't care about Australia, no matter how interesting or rigorous the work might be. This sense of frustration piqued when, a few weeks later, one of us was invited by the same editors to review a paper that turned out to be a 'single case in one country'. Either there had been a radical shift in editorial policy or, more likely, they regarded this case as more intrinsically important than the one from Australia.  </w:t>
      </w:r>
    </w:p>
    <w:p w14:paraId="7C7B3E1C" w14:textId="438F7408"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We </w:t>
      </w:r>
      <w:r w:rsidR="007077D7" w:rsidRPr="009C5AD8">
        <w:rPr>
          <w:rFonts w:ascii="Times New Roman" w:hAnsi="Times New Roman" w:cs="Times New Roman"/>
        </w:rPr>
        <w:t>channeled</w:t>
      </w:r>
      <w:r w:rsidRPr="009C5AD8">
        <w:rPr>
          <w:rFonts w:ascii="Times New Roman" w:hAnsi="Times New Roman" w:cs="Times New Roman"/>
        </w:rPr>
        <w:t xml:space="preserve"> this sort of frustration into writing a book on </w:t>
      </w:r>
      <w:r w:rsidRPr="009C5AD8">
        <w:rPr>
          <w:rFonts w:ascii="Times New Roman" w:hAnsi="Times New Roman" w:cs="Times New Roman"/>
          <w:i/>
          <w:iCs/>
        </w:rPr>
        <w:t>The</w:t>
      </w:r>
      <w:r w:rsidRPr="009C5AD8">
        <w:rPr>
          <w:rFonts w:ascii="Times New Roman" w:hAnsi="Times New Roman" w:cs="Times New Roman"/>
        </w:rPr>
        <w:t xml:space="preserve"> </w:t>
      </w:r>
      <w:r w:rsidRPr="009C5AD8">
        <w:rPr>
          <w:rFonts w:ascii="Times New Roman" w:hAnsi="Times New Roman" w:cs="Times New Roman"/>
          <w:i/>
          <w:iCs/>
        </w:rPr>
        <w:t>Art and Craft of Comparison</w:t>
      </w:r>
      <w:r w:rsidRPr="009C5AD8">
        <w:rPr>
          <w:rFonts w:ascii="Times New Roman" w:hAnsi="Times New Roman" w:cs="Times New Roman"/>
        </w:rPr>
        <w:t xml:space="preserve"> (Boswell et al. 2019) aimed at helping political scientists develop an approach and set of strategies for overcoming these barriers. We revisit those issues now to speak directly to the audience most affected by this parochial prejudice in the discipline - our fellow political scientists with a professionally inconvenient interest in Australia and New Zealand.</w:t>
      </w:r>
    </w:p>
    <w:p w14:paraId="1F0AB468" w14:textId="10BE0BF2"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lastRenderedPageBreak/>
        <w:t xml:space="preserve">The single case study is perhaps the oldest and most used form of academic analysis in the social sciences and humanities. Its ubiquity reflects the genealogy of these disciplines whose early exponents typically </w:t>
      </w:r>
      <w:r w:rsidR="00BA39EF" w:rsidRPr="009C5AD8">
        <w:rPr>
          <w:rFonts w:ascii="Times New Roman" w:hAnsi="Times New Roman" w:cs="Times New Roman"/>
        </w:rPr>
        <w:t>practiced</w:t>
      </w:r>
      <w:r w:rsidRPr="009C5AD8">
        <w:rPr>
          <w:rFonts w:ascii="Times New Roman" w:hAnsi="Times New Roman" w:cs="Times New Roman"/>
        </w:rPr>
        <w:t xml:space="preserve"> a naive modernist empiricism (Bevir and Rhodes 2006: 38-44). Famous founding examples in political science include Dahl’s (1961) account of ‘Who governs?’ in New Haven or Allison’s (1971) analysis of the Cuban missile crisis in international relations. The single case study remains a mainstay of PhD training and has spawned a litany of books and articles on design, selection, data collection and analysis (see Blatter and </w:t>
      </w:r>
      <w:proofErr w:type="spellStart"/>
      <w:r w:rsidRPr="009C5AD8">
        <w:rPr>
          <w:rFonts w:ascii="Times New Roman" w:hAnsi="Times New Roman" w:cs="Times New Roman"/>
        </w:rPr>
        <w:t>Haverland</w:t>
      </w:r>
      <w:proofErr w:type="spellEnd"/>
      <w:r w:rsidRPr="009C5AD8">
        <w:rPr>
          <w:rFonts w:ascii="Times New Roman" w:hAnsi="Times New Roman" w:cs="Times New Roman"/>
        </w:rPr>
        <w:t xml:space="preserve"> 2014; George and Bennett 2005; Yin 2014). </w:t>
      </w:r>
    </w:p>
    <w:p w14:paraId="78B7B38C" w14:textId="65DCEE72"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Yet, despite this long and storied tradition, the single case study has become a high-risk strategy for the budding political scientist because the discipline has come to treat causation and a logic of confirmation or falsification as the gold standard of empirical research, especially when evidenced statistically (Bevir and Blakely 2018: 32-39). While some leading proponents acknowledge that qualitative data can also offer valid insights, they argue it must conform to the same core tenants of naturalism to be considered robust. The mantra is ‘diverse tools, shared standards’ (Brady and Collier 2010), which is repeated at the leading methods training schools and in the most cited textbooks for graduate students. In practice, this mantra has come to represent an attack on the genre of the single case study. A single case might have value for its ‘mere description’ (</w:t>
      </w:r>
      <w:proofErr w:type="spellStart"/>
      <w:r w:rsidRPr="009C5AD8">
        <w:rPr>
          <w:rFonts w:ascii="Times New Roman" w:hAnsi="Times New Roman" w:cs="Times New Roman"/>
        </w:rPr>
        <w:t>Gerring</w:t>
      </w:r>
      <w:proofErr w:type="spellEnd"/>
      <w:r w:rsidRPr="009C5AD8">
        <w:rPr>
          <w:rFonts w:ascii="Times New Roman" w:hAnsi="Times New Roman" w:cs="Times New Roman"/>
        </w:rPr>
        <w:t xml:space="preserve"> 2012), which generates plausible hypothesis that can then be tested more rigorously by statistical analysis. It could also be used to confirm or falsify under specific circumstances if the case is deemed ‘</w:t>
      </w:r>
      <w:r w:rsidRPr="009C5AD8">
        <w:rPr>
          <w:rFonts w:ascii="Times New Roman" w:hAnsi="Times New Roman" w:cs="Times New Roman"/>
          <w:lang w:val="it-IT"/>
        </w:rPr>
        <w:t>critical</w:t>
      </w:r>
      <w:r w:rsidRPr="009C5AD8">
        <w:rPr>
          <w:rFonts w:ascii="Times New Roman" w:hAnsi="Times New Roman" w:cs="Times New Roman"/>
        </w:rPr>
        <w:t>’ or ‘</w:t>
      </w:r>
      <w:r w:rsidRPr="009C5AD8">
        <w:rPr>
          <w:rFonts w:ascii="Times New Roman" w:hAnsi="Times New Roman" w:cs="Times New Roman"/>
          <w:lang w:val="pt-PT"/>
        </w:rPr>
        <w:t>deviant</w:t>
      </w:r>
      <w:r w:rsidRPr="009C5AD8">
        <w:rPr>
          <w:rFonts w:ascii="Times New Roman" w:hAnsi="Times New Roman" w:cs="Times New Roman"/>
        </w:rPr>
        <w:t xml:space="preserve">’ (see, classically, </w:t>
      </w:r>
      <w:proofErr w:type="spellStart"/>
      <w:r w:rsidRPr="009C5AD8">
        <w:rPr>
          <w:rFonts w:ascii="Times New Roman" w:hAnsi="Times New Roman" w:cs="Times New Roman"/>
        </w:rPr>
        <w:t>Lijphart</w:t>
      </w:r>
      <w:proofErr w:type="spellEnd"/>
      <w:r w:rsidRPr="009C5AD8">
        <w:rPr>
          <w:rFonts w:ascii="Times New Roman" w:hAnsi="Times New Roman" w:cs="Times New Roman"/>
        </w:rPr>
        <w:t xml:space="preserve"> 1971). But beyond these limited functions, it has little value to naturalists because it suffers from an incurable endogeneity problem. Recent defenders of the single case have since argued that it can help us uncover ‘mechanisms’ via a series of tests that uncover why a causal sequence occurred (George and Bennett 2005). But </w:t>
      </w:r>
      <w:r w:rsidRPr="009C5AD8">
        <w:rPr>
          <w:rFonts w:ascii="Times New Roman" w:hAnsi="Times New Roman" w:cs="Times New Roman"/>
        </w:rPr>
        <w:lastRenderedPageBreak/>
        <w:t xml:space="preserve">this is a sleight of hand: analysis that seeks to uncover mechanisms relies on comparison over time. In this tradition, the single case is not singular at all. </w:t>
      </w:r>
    </w:p>
    <w:p w14:paraId="3A7003C9" w14:textId="517DCB80"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A shift in the value of the single case has significant implications for a range of scholars, including most obviously those who work in an interpretive tradition that typically venerates empirical depth over breath. But it also has implications for those working in a range of cognate traditions, many of whom </w:t>
      </w:r>
      <w:proofErr w:type="spellStart"/>
      <w:r w:rsidRPr="009C5AD8">
        <w:rPr>
          <w:rFonts w:ascii="Times New Roman" w:hAnsi="Times New Roman" w:cs="Times New Roman"/>
        </w:rPr>
        <w:t>specialise</w:t>
      </w:r>
      <w:proofErr w:type="spellEnd"/>
      <w:r w:rsidRPr="009C5AD8">
        <w:rPr>
          <w:rFonts w:ascii="Times New Roman" w:hAnsi="Times New Roman" w:cs="Times New Roman"/>
        </w:rPr>
        <w:t xml:space="preserve"> in the politics of a specific country or policy area that is not deemed ‘</w:t>
      </w:r>
      <w:r w:rsidRPr="009C5AD8">
        <w:rPr>
          <w:rFonts w:ascii="Times New Roman" w:hAnsi="Times New Roman" w:cs="Times New Roman"/>
          <w:lang w:val="it-IT"/>
        </w:rPr>
        <w:t>critical</w:t>
      </w:r>
      <w:r w:rsidRPr="009C5AD8">
        <w:rPr>
          <w:rFonts w:ascii="Times New Roman" w:hAnsi="Times New Roman" w:cs="Times New Roman"/>
        </w:rPr>
        <w:t>’, or ‘</w:t>
      </w:r>
      <w:r w:rsidRPr="009C5AD8">
        <w:rPr>
          <w:rFonts w:ascii="Times New Roman" w:hAnsi="Times New Roman" w:cs="Times New Roman"/>
          <w:lang w:val="pt-PT"/>
        </w:rPr>
        <w:t>deviant</w:t>
      </w:r>
      <w:r w:rsidRPr="009C5AD8">
        <w:rPr>
          <w:rFonts w:ascii="Times New Roman" w:hAnsi="Times New Roman" w:cs="Times New Roman"/>
        </w:rPr>
        <w:t>’ as defined</w:t>
      </w:r>
      <w:r w:rsidR="00B51B0A">
        <w:rPr>
          <w:rFonts w:ascii="Times New Roman" w:hAnsi="Times New Roman" w:cs="Times New Roman"/>
        </w:rPr>
        <w:t xml:space="preserve"> parochially</w:t>
      </w:r>
      <w:r w:rsidRPr="009C5AD8">
        <w:rPr>
          <w:rFonts w:ascii="Times New Roman" w:hAnsi="Times New Roman" w:cs="Times New Roman"/>
        </w:rPr>
        <w:t xml:space="preserve"> by US and to a lesser extent European scholars. For these scholars—who represent most political scientists globally—the diminished value of the single case study has become a major barrier to their careers as it </w:t>
      </w:r>
      <w:r w:rsidR="00B51B0A">
        <w:rPr>
          <w:rFonts w:ascii="Times New Roman" w:hAnsi="Times New Roman" w:cs="Times New Roman"/>
        </w:rPr>
        <w:t>makes it hard to publish in the sorts of career-boosting</w:t>
      </w:r>
      <w:r w:rsidR="008B059D">
        <w:rPr>
          <w:rFonts w:ascii="Times New Roman" w:hAnsi="Times New Roman" w:cs="Times New Roman"/>
        </w:rPr>
        <w:t>,</w:t>
      </w:r>
      <w:r w:rsidR="00B51B0A">
        <w:rPr>
          <w:rFonts w:ascii="Times New Roman" w:hAnsi="Times New Roman" w:cs="Times New Roman"/>
        </w:rPr>
        <w:t xml:space="preserve"> </w:t>
      </w:r>
      <w:r w:rsidR="008B059D">
        <w:rPr>
          <w:rFonts w:ascii="Times New Roman" w:hAnsi="Times New Roman" w:cs="Times New Roman"/>
        </w:rPr>
        <w:t xml:space="preserve">so-called </w:t>
      </w:r>
      <w:r w:rsidR="00B51B0A">
        <w:rPr>
          <w:rFonts w:ascii="Times New Roman" w:hAnsi="Times New Roman" w:cs="Times New Roman"/>
        </w:rPr>
        <w:t>top-tier</w:t>
      </w:r>
      <w:r w:rsidRPr="009C5AD8">
        <w:rPr>
          <w:rFonts w:ascii="Times New Roman" w:hAnsi="Times New Roman" w:cs="Times New Roman"/>
        </w:rPr>
        <w:t xml:space="preserve"> journals and book publishers that their universities increasingly hold up as the gold standard of academic excellence. </w:t>
      </w:r>
    </w:p>
    <w:p w14:paraId="764E0EA8" w14:textId="61F4C7A3"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We cannot change this set of circumstances. We are also less concerned about the fate of the single case study than might be assumed from the tone of this piece so far. We accept that single case studies have limits, albeit for different reasons than naturalists. As we have outlined at length elsewhere (Boswell et al</w:t>
      </w:r>
      <w:r w:rsidR="004242B9">
        <w:rPr>
          <w:rFonts w:ascii="Times New Roman" w:hAnsi="Times New Roman" w:cs="Times New Roman"/>
        </w:rPr>
        <w:t>.</w:t>
      </w:r>
      <w:r w:rsidRPr="009C5AD8">
        <w:rPr>
          <w:rFonts w:ascii="Times New Roman" w:hAnsi="Times New Roman" w:cs="Times New Roman"/>
        </w:rPr>
        <w:t xml:space="preserve"> 2019), in the interpretive tradition the single case can often lead to idiographic analysis that struggles to distinguish the wood from the trees. But we also believe that good descriptive work has value irrespective of its contribution to supposedly ‘general’ theory. Indeed, spelling out the value of any case is a key task that all analysis must perform. In this article, we offer strategies for how to demonstrate the value of a case. Our aim is to provide scholars struggling with this problem with a menu of options that will enable them to more easily set out the </w:t>
      </w:r>
      <w:r w:rsidR="00C5626B">
        <w:rPr>
          <w:rFonts w:ascii="Times New Roman" w:hAnsi="Times New Roman" w:cs="Times New Roman"/>
        </w:rPr>
        <w:t>significance</w:t>
      </w:r>
      <w:r w:rsidR="00C5626B" w:rsidRPr="009C5AD8">
        <w:rPr>
          <w:rFonts w:ascii="Times New Roman" w:hAnsi="Times New Roman" w:cs="Times New Roman"/>
        </w:rPr>
        <w:t xml:space="preserve"> </w:t>
      </w:r>
      <w:r w:rsidRPr="009C5AD8">
        <w:rPr>
          <w:rFonts w:ascii="Times New Roman" w:hAnsi="Times New Roman" w:cs="Times New Roman"/>
        </w:rPr>
        <w:t xml:space="preserve">of what they do. Armed with these rhetorical devices, our hope is that the rest of their research practice can remain undisturbed by the broader trends that have captured our discipline. </w:t>
      </w:r>
    </w:p>
    <w:p w14:paraId="2B953EAA" w14:textId="2A148B03"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rPr>
        <w:lastRenderedPageBreak/>
        <w:t xml:space="preserve">The problem of the single, </w:t>
      </w:r>
      <w:r w:rsidR="00B51B0A">
        <w:rPr>
          <w:rFonts w:ascii="Times New Roman" w:hAnsi="Times New Roman" w:cs="Times New Roman"/>
          <w:b/>
          <w:bCs/>
        </w:rPr>
        <w:t>‘</w:t>
      </w:r>
      <w:r w:rsidRPr="009C5AD8">
        <w:rPr>
          <w:rFonts w:ascii="Times New Roman" w:hAnsi="Times New Roman" w:cs="Times New Roman"/>
          <w:b/>
          <w:bCs/>
        </w:rPr>
        <w:t>nondescript</w:t>
      </w:r>
      <w:r w:rsidR="00B51B0A">
        <w:rPr>
          <w:rFonts w:ascii="Times New Roman" w:hAnsi="Times New Roman" w:cs="Times New Roman"/>
          <w:b/>
          <w:bCs/>
        </w:rPr>
        <w:t>’</w:t>
      </w:r>
      <w:r w:rsidRPr="009C5AD8">
        <w:rPr>
          <w:rFonts w:ascii="Times New Roman" w:hAnsi="Times New Roman" w:cs="Times New Roman"/>
          <w:b/>
          <w:bCs/>
        </w:rPr>
        <w:t xml:space="preserve"> case</w:t>
      </w:r>
    </w:p>
    <w:p w14:paraId="1791CE83" w14:textId="069BA5C4"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The problem of the single case does not affect all scholars with a preference for empirical depth over breadth. Some single cases will always be valued. </w:t>
      </w:r>
      <w:r w:rsidR="00B51B0A">
        <w:rPr>
          <w:rFonts w:ascii="Times New Roman" w:hAnsi="Times New Roman" w:cs="Times New Roman"/>
        </w:rPr>
        <w:t xml:space="preserve">There is, simply, a double standard, driven by the parochialism </w:t>
      </w:r>
      <w:r w:rsidR="008B059D">
        <w:rPr>
          <w:rFonts w:ascii="Times New Roman" w:hAnsi="Times New Roman" w:cs="Times New Roman"/>
        </w:rPr>
        <w:t>in</w:t>
      </w:r>
      <w:r w:rsidR="00B51B0A">
        <w:rPr>
          <w:rFonts w:ascii="Times New Roman" w:hAnsi="Times New Roman" w:cs="Times New Roman"/>
        </w:rPr>
        <w:t xml:space="preserve"> the most powerful bases of the discipline. </w:t>
      </w:r>
      <w:r w:rsidRPr="009C5AD8">
        <w:rPr>
          <w:rFonts w:ascii="Times New Roman" w:hAnsi="Times New Roman" w:cs="Times New Roman"/>
        </w:rPr>
        <w:t>Let’s start with countries. There will always be an audience for single case studies of large states such as the US and the UK</w:t>
      </w:r>
      <w:r w:rsidR="00B51B0A">
        <w:rPr>
          <w:rFonts w:ascii="Times New Roman" w:hAnsi="Times New Roman" w:cs="Times New Roman"/>
        </w:rPr>
        <w:t>.</w:t>
      </w:r>
      <w:r w:rsidRPr="009C5AD8">
        <w:rPr>
          <w:rFonts w:ascii="Times New Roman" w:hAnsi="Times New Roman" w:cs="Times New Roman"/>
        </w:rPr>
        <w:t xml:space="preserve"> A conceptual framework with a single case from these countries will be considered of universal interest and publishable because the best journals are typically based in the US and </w:t>
      </w:r>
      <w:r w:rsidR="007077D7" w:rsidRPr="009C5AD8">
        <w:rPr>
          <w:rFonts w:ascii="Times New Roman" w:hAnsi="Times New Roman" w:cs="Times New Roman"/>
        </w:rPr>
        <w:t>UK and</w:t>
      </w:r>
      <w:r w:rsidRPr="009C5AD8">
        <w:rPr>
          <w:rFonts w:ascii="Times New Roman" w:hAnsi="Times New Roman" w:cs="Times New Roman"/>
        </w:rPr>
        <w:t xml:space="preserve"> will be edited and reviewed by their scholars. </w:t>
      </w:r>
      <w:r w:rsidR="00B51B0A">
        <w:rPr>
          <w:rFonts w:ascii="Times New Roman" w:hAnsi="Times New Roman" w:cs="Times New Roman"/>
        </w:rPr>
        <w:t>Indeed, this work can still get published in top tier outlets even if – to outsiders of the parochial bubble – it</w:t>
      </w:r>
      <w:r w:rsidR="008B059D">
        <w:rPr>
          <w:rFonts w:ascii="Times New Roman" w:hAnsi="Times New Roman" w:cs="Times New Roman"/>
        </w:rPr>
        <w:t xml:space="preserve"> </w:t>
      </w:r>
      <w:r w:rsidR="00B51B0A">
        <w:rPr>
          <w:rFonts w:ascii="Times New Roman" w:hAnsi="Times New Roman" w:cs="Times New Roman"/>
        </w:rPr>
        <w:t xml:space="preserve">offers vanishingly little in the way of wider </w:t>
      </w:r>
      <w:r w:rsidR="008B059D">
        <w:rPr>
          <w:rFonts w:ascii="Times New Roman" w:hAnsi="Times New Roman" w:cs="Times New Roman"/>
        </w:rPr>
        <w:t xml:space="preserve">theoretical </w:t>
      </w:r>
      <w:r w:rsidR="00B51B0A">
        <w:rPr>
          <w:rFonts w:ascii="Times New Roman" w:hAnsi="Times New Roman" w:cs="Times New Roman"/>
        </w:rPr>
        <w:t>interest</w:t>
      </w:r>
      <w:r w:rsidR="008B059D">
        <w:rPr>
          <w:rFonts w:ascii="Times New Roman" w:hAnsi="Times New Roman" w:cs="Times New Roman"/>
        </w:rPr>
        <w:t xml:space="preserve"> or substantive contribution to our understanding of any wider political phenomenon</w:t>
      </w:r>
      <w:r w:rsidR="00B51B0A">
        <w:rPr>
          <w:rFonts w:ascii="Times New Roman" w:hAnsi="Times New Roman" w:cs="Times New Roman"/>
        </w:rPr>
        <w:t xml:space="preserve">. </w:t>
      </w:r>
      <w:r w:rsidRPr="009C5AD8">
        <w:rPr>
          <w:rFonts w:ascii="Times New Roman" w:hAnsi="Times New Roman" w:cs="Times New Roman"/>
        </w:rPr>
        <w:t xml:space="preserve">Scholars who work on these countries do not usually have to work hard to justify their case selections. It is tempting to pass this off as a classic example of Eurocentrism—and to an extent it is—but a similar logic justifies work on China, for example. These cases are valued more because they are ‘great’ powers (or used to be, in the case of the UK). </w:t>
      </w:r>
    </w:p>
    <w:p w14:paraId="4FAC2765" w14:textId="1C32F2BF"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Other cases will be justified because they are unique in specific ways. Ethnically divided societies, for example, have long attracted single case study work. Ireland, Cyprus, or Fiji are not great powers by virtually any measure, but their elections take on significance when placed in the context of debates about power sharing and consociationalism (see, for example, McGarry and O’Leary 2006). </w:t>
      </w:r>
      <w:r w:rsidR="009D454F">
        <w:rPr>
          <w:rFonts w:ascii="Times New Roman" w:hAnsi="Times New Roman" w:cs="Times New Roman"/>
        </w:rPr>
        <w:t>Here lies the heart of</w:t>
      </w:r>
      <w:r w:rsidRPr="009C5AD8">
        <w:rPr>
          <w:rFonts w:ascii="Times New Roman" w:hAnsi="Times New Roman" w:cs="Times New Roman"/>
        </w:rPr>
        <w:t xml:space="preserve"> claims about the value of ‘</w:t>
      </w:r>
      <w:r w:rsidRPr="009C5AD8">
        <w:rPr>
          <w:rFonts w:ascii="Times New Roman" w:hAnsi="Times New Roman" w:cs="Times New Roman"/>
          <w:lang w:val="it-IT"/>
        </w:rPr>
        <w:t>critical</w:t>
      </w:r>
      <w:r w:rsidRPr="009C5AD8">
        <w:rPr>
          <w:rFonts w:ascii="Times New Roman" w:hAnsi="Times New Roman" w:cs="Times New Roman"/>
        </w:rPr>
        <w:t xml:space="preserve">’ </w:t>
      </w:r>
      <w:r w:rsidRPr="009C5AD8">
        <w:rPr>
          <w:rFonts w:ascii="Times New Roman" w:hAnsi="Times New Roman" w:cs="Times New Roman"/>
          <w:lang w:val="pt-PT"/>
        </w:rPr>
        <w:t>or deviant</w:t>
      </w:r>
      <w:r w:rsidRPr="009C5AD8">
        <w:rPr>
          <w:rFonts w:ascii="Times New Roman" w:hAnsi="Times New Roman" w:cs="Times New Roman"/>
        </w:rPr>
        <w:t>’ case selection. For scholars who work on or in these countries the key to getting published is to identify what makes their case ‘</w:t>
      </w:r>
      <w:r w:rsidRPr="009C5AD8">
        <w:rPr>
          <w:rFonts w:ascii="Times New Roman" w:hAnsi="Times New Roman" w:cs="Times New Roman"/>
          <w:lang w:val="it-IT"/>
        </w:rPr>
        <w:t>critical</w:t>
      </w:r>
      <w:r w:rsidRPr="009C5AD8">
        <w:rPr>
          <w:rFonts w:ascii="Times New Roman" w:hAnsi="Times New Roman" w:cs="Times New Roman"/>
        </w:rPr>
        <w:t>’ or ‘</w:t>
      </w:r>
      <w:r w:rsidRPr="009C5AD8">
        <w:rPr>
          <w:rFonts w:ascii="Times New Roman" w:hAnsi="Times New Roman" w:cs="Times New Roman"/>
          <w:lang w:val="pt-PT"/>
        </w:rPr>
        <w:t>deviant</w:t>
      </w:r>
      <w:r w:rsidRPr="009C5AD8">
        <w:rPr>
          <w:rFonts w:ascii="Times New Roman" w:hAnsi="Times New Roman" w:cs="Times New Roman"/>
        </w:rPr>
        <w:t xml:space="preserve">’ and to whom. If they can find their hook, then being the global expert on that case can be a successful career strategy. </w:t>
      </w:r>
    </w:p>
    <w:p w14:paraId="1A702330" w14:textId="537492DD" w:rsidR="00C1716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lastRenderedPageBreak/>
        <w:t>The most pressing problem arises when the single case study is not especially critical or deviant in any way. The home of this journal—Australia, where all of us have worked and studied at one time—is a case in point. Australia is usually considered a medium sized, middle power. It is also usually considered a wealthy, advanced liberal democracy. Scholars of federalism have a passing interest in its institutional structure. Scholars who study Westminster systems</w:t>
      </w:r>
      <w:r w:rsidR="00C5626B">
        <w:rPr>
          <w:rFonts w:ascii="Times New Roman" w:hAnsi="Times New Roman" w:cs="Times New Roman"/>
        </w:rPr>
        <w:t xml:space="preserve"> may</w:t>
      </w:r>
      <w:r w:rsidRPr="009C5AD8">
        <w:rPr>
          <w:rFonts w:ascii="Times New Roman" w:hAnsi="Times New Roman" w:cs="Times New Roman"/>
        </w:rPr>
        <w:t xml:space="preserve"> likewise find the contrast with the UK or Canada useful</w:t>
      </w:r>
      <w:r w:rsidR="00C85151" w:rsidRPr="009C5AD8">
        <w:rPr>
          <w:rFonts w:ascii="Times New Roman" w:hAnsi="Times New Roman" w:cs="Times New Roman"/>
        </w:rPr>
        <w:t xml:space="preserve"> (see Rhodes et al. 2009)</w:t>
      </w:r>
      <w:r w:rsidRPr="009C5AD8">
        <w:rPr>
          <w:rFonts w:ascii="Times New Roman" w:hAnsi="Times New Roman" w:cs="Times New Roman"/>
        </w:rPr>
        <w:t>. Scholars o</w:t>
      </w:r>
      <w:r w:rsidR="00C5626B">
        <w:rPr>
          <w:rFonts w:ascii="Times New Roman" w:hAnsi="Times New Roman" w:cs="Times New Roman"/>
        </w:rPr>
        <w:t>f</w:t>
      </w:r>
      <w:r w:rsidRPr="009C5AD8">
        <w:rPr>
          <w:rFonts w:ascii="Times New Roman" w:hAnsi="Times New Roman" w:cs="Times New Roman"/>
        </w:rPr>
        <w:t xml:space="preserve"> immigration policy might find Australia an interesting ‘extreme’ case due to its draconian ‘</w:t>
      </w:r>
      <w:r w:rsidRPr="009C5AD8">
        <w:rPr>
          <w:rFonts w:ascii="Times New Roman" w:hAnsi="Times New Roman" w:cs="Times New Roman"/>
          <w:lang w:val="fr-FR"/>
        </w:rPr>
        <w:t>border protection</w:t>
      </w:r>
      <w:r w:rsidRPr="009C5AD8">
        <w:rPr>
          <w:rFonts w:ascii="Times New Roman" w:hAnsi="Times New Roman" w:cs="Times New Roman"/>
        </w:rPr>
        <w:t>’ regime</w:t>
      </w:r>
      <w:r w:rsidR="00C5626B">
        <w:rPr>
          <w:rFonts w:ascii="Times New Roman" w:hAnsi="Times New Roman" w:cs="Times New Roman"/>
        </w:rPr>
        <w:t>.</w:t>
      </w:r>
      <w:r w:rsidR="00C85151" w:rsidRPr="009C5AD8">
        <w:rPr>
          <w:rFonts w:ascii="Times New Roman" w:hAnsi="Times New Roman" w:cs="Times New Roman"/>
        </w:rPr>
        <w:t xml:space="preserve"> </w:t>
      </w:r>
      <w:r w:rsidR="00C5626B">
        <w:rPr>
          <w:rFonts w:ascii="Times New Roman" w:hAnsi="Times New Roman" w:cs="Times New Roman"/>
        </w:rPr>
        <w:t>It is also</w:t>
      </w:r>
      <w:r w:rsidRPr="009C5AD8">
        <w:rPr>
          <w:rFonts w:ascii="Times New Roman" w:hAnsi="Times New Roman" w:cs="Times New Roman"/>
        </w:rPr>
        <w:t xml:space="preserve"> becoming a ‘frontline state’ for climate impacts. </w:t>
      </w:r>
      <w:r w:rsidR="00C85151" w:rsidRPr="009C5AD8">
        <w:rPr>
          <w:rFonts w:ascii="Times New Roman" w:hAnsi="Times New Roman" w:cs="Times New Roman"/>
        </w:rPr>
        <w:t xml:space="preserve">In IR, Australia has become an object of particular interest in emerging scholarship on race and settler colonialism (see Cotton 2009), and its relationships with China and India can offer fruitful insights for the evolving geo-political order.  </w:t>
      </w:r>
      <w:r w:rsidRPr="009C5AD8">
        <w:rPr>
          <w:rFonts w:ascii="Times New Roman" w:hAnsi="Times New Roman" w:cs="Times New Roman"/>
        </w:rPr>
        <w:t xml:space="preserve">But for the most part, the Australian case is </w:t>
      </w:r>
      <w:r w:rsidR="00B51B0A">
        <w:rPr>
          <w:rFonts w:ascii="Times New Roman" w:hAnsi="Times New Roman" w:cs="Times New Roman"/>
        </w:rPr>
        <w:t>‘</w:t>
      </w:r>
      <w:r w:rsidRPr="009C5AD8">
        <w:rPr>
          <w:rFonts w:ascii="Times New Roman" w:hAnsi="Times New Roman" w:cs="Times New Roman"/>
        </w:rPr>
        <w:t>nondescript</w:t>
      </w:r>
      <w:r w:rsidR="00B51B0A">
        <w:rPr>
          <w:rFonts w:ascii="Times New Roman" w:hAnsi="Times New Roman" w:cs="Times New Roman"/>
        </w:rPr>
        <w:t>’</w:t>
      </w:r>
      <w:r w:rsidR="003C43A5">
        <w:rPr>
          <w:rFonts w:ascii="Times New Roman" w:hAnsi="Times New Roman" w:cs="Times New Roman"/>
        </w:rPr>
        <w:t xml:space="preserve">; it </w:t>
      </w:r>
      <w:r w:rsidR="003E418F">
        <w:rPr>
          <w:rFonts w:ascii="Times New Roman" w:hAnsi="Times New Roman" w:cs="Times New Roman"/>
        </w:rPr>
        <w:t xml:space="preserve">has limited </w:t>
      </w:r>
      <w:r w:rsidR="00B51B0A">
        <w:rPr>
          <w:rFonts w:ascii="Times New Roman" w:hAnsi="Times New Roman" w:cs="Times New Roman"/>
        </w:rPr>
        <w:t xml:space="preserve"> theoretical novelty or import</w:t>
      </w:r>
      <w:r w:rsidR="003E418F">
        <w:rPr>
          <w:rFonts w:ascii="Times New Roman" w:hAnsi="Times New Roman" w:cs="Times New Roman"/>
        </w:rPr>
        <w:t>. T</w:t>
      </w:r>
      <w:r w:rsidRPr="009C5AD8">
        <w:rPr>
          <w:rFonts w:ascii="Times New Roman" w:hAnsi="Times New Roman" w:cs="Times New Roman"/>
        </w:rPr>
        <w:t>ypically</w:t>
      </w:r>
      <w:r w:rsidR="003E418F">
        <w:rPr>
          <w:rFonts w:ascii="Times New Roman" w:hAnsi="Times New Roman" w:cs="Times New Roman"/>
        </w:rPr>
        <w:t xml:space="preserve">, it </w:t>
      </w:r>
      <w:proofErr w:type="gramStart"/>
      <w:r w:rsidR="003E418F">
        <w:rPr>
          <w:rFonts w:ascii="Times New Roman" w:hAnsi="Times New Roman" w:cs="Times New Roman"/>
        </w:rPr>
        <w:t xml:space="preserve">is </w:t>
      </w:r>
      <w:r w:rsidRPr="009C5AD8">
        <w:rPr>
          <w:rFonts w:ascii="Times New Roman" w:hAnsi="Times New Roman" w:cs="Times New Roman"/>
        </w:rPr>
        <w:t xml:space="preserve"> only</w:t>
      </w:r>
      <w:proofErr w:type="gramEnd"/>
      <w:r w:rsidRPr="009C5AD8">
        <w:rPr>
          <w:rFonts w:ascii="Times New Roman" w:hAnsi="Times New Roman" w:cs="Times New Roman"/>
        </w:rPr>
        <w:t xml:space="preserve"> interesting to Australians and Australian journals. Scholars of Australian politics, whose universities want them to teach Australian students and publish in the best international journals, are typically frustrated by how little interest anyone</w:t>
      </w:r>
      <w:r w:rsidR="00B51B0A">
        <w:rPr>
          <w:rFonts w:ascii="Times New Roman" w:hAnsi="Times New Roman" w:cs="Times New Roman"/>
        </w:rPr>
        <w:t xml:space="preserve"> outside Australia</w:t>
      </w:r>
      <w:r w:rsidRPr="009C5AD8">
        <w:rPr>
          <w:rFonts w:ascii="Times New Roman" w:hAnsi="Times New Roman" w:cs="Times New Roman"/>
        </w:rPr>
        <w:t xml:space="preserve"> has in what they do. </w:t>
      </w:r>
    </w:p>
    <w:p w14:paraId="304ACF7F" w14:textId="6DAD642D" w:rsidR="00B51B0A" w:rsidRPr="009C5AD8" w:rsidRDefault="00B51B0A">
      <w:pPr>
        <w:pStyle w:val="Body"/>
        <w:spacing w:after="240" w:line="480" w:lineRule="auto"/>
        <w:ind w:firstLine="720"/>
        <w:rPr>
          <w:rFonts w:ascii="Times New Roman" w:eastAsia="Times New Roman" w:hAnsi="Times New Roman" w:cs="Times New Roman"/>
        </w:rPr>
      </w:pPr>
      <w:r>
        <w:rPr>
          <w:rFonts w:ascii="Times New Roman" w:hAnsi="Times New Roman" w:cs="Times New Roman"/>
        </w:rPr>
        <w:t>The story is little different for New Zealand. As with Australia, there are some theoretically exceptional things about New Zealand that occasionally put it on the map for</w:t>
      </w:r>
      <w:r w:rsidR="00164FD7">
        <w:rPr>
          <w:rFonts w:ascii="Times New Roman" w:hAnsi="Times New Roman" w:cs="Times New Roman"/>
        </w:rPr>
        <w:t xml:space="preserve"> an international audience</w:t>
      </w:r>
      <w:r>
        <w:rPr>
          <w:rFonts w:ascii="Times New Roman" w:hAnsi="Times New Roman" w:cs="Times New Roman"/>
        </w:rPr>
        <w:t xml:space="preserve"> – </w:t>
      </w:r>
      <w:r w:rsidR="0076605E">
        <w:rPr>
          <w:rFonts w:ascii="Times New Roman" w:hAnsi="Times New Roman" w:cs="Times New Roman"/>
        </w:rPr>
        <w:t xml:space="preserve">the </w:t>
      </w:r>
      <w:r w:rsidR="000C51D1">
        <w:rPr>
          <w:rFonts w:ascii="Times New Roman" w:hAnsi="Times New Roman" w:cs="Times New Roman"/>
        </w:rPr>
        <w:t xml:space="preserve">long-standing and increasingly important </w:t>
      </w:r>
      <w:r w:rsidR="0076605E">
        <w:rPr>
          <w:rFonts w:ascii="Times New Roman" w:hAnsi="Times New Roman" w:cs="Times New Roman"/>
        </w:rPr>
        <w:t xml:space="preserve">role of </w:t>
      </w:r>
      <w:proofErr w:type="spellStart"/>
      <w:r w:rsidR="0076605E">
        <w:rPr>
          <w:rFonts w:ascii="Times New Roman" w:hAnsi="Times New Roman" w:cs="Times New Roman"/>
        </w:rPr>
        <w:t>Maori</w:t>
      </w:r>
      <w:proofErr w:type="spellEnd"/>
      <w:r w:rsidR="0076605E">
        <w:rPr>
          <w:rFonts w:ascii="Times New Roman" w:hAnsi="Times New Roman" w:cs="Times New Roman"/>
        </w:rPr>
        <w:t xml:space="preserve"> politics and legal custom in the constitutional settlement (</w:t>
      </w:r>
      <w:r w:rsidR="000C51D1">
        <w:rPr>
          <w:rFonts w:ascii="Times New Roman" w:hAnsi="Times New Roman" w:cs="Times New Roman"/>
        </w:rPr>
        <w:t>Sharp 1999</w:t>
      </w:r>
      <w:r w:rsidR="0076605E">
        <w:rPr>
          <w:rFonts w:ascii="Times New Roman" w:hAnsi="Times New Roman" w:cs="Times New Roman"/>
        </w:rPr>
        <w:t>)</w:t>
      </w:r>
      <w:r>
        <w:rPr>
          <w:rFonts w:ascii="Times New Roman" w:hAnsi="Times New Roman" w:cs="Times New Roman"/>
        </w:rPr>
        <w:t>, the</w:t>
      </w:r>
      <w:r w:rsidR="000C51D1">
        <w:rPr>
          <w:rFonts w:ascii="Times New Roman" w:hAnsi="Times New Roman" w:cs="Times New Roman"/>
        </w:rPr>
        <w:t xml:space="preserve"> tradition of the wage earners’ welfare state swiftly swept aside in the</w:t>
      </w:r>
      <w:r>
        <w:rPr>
          <w:rFonts w:ascii="Times New Roman" w:hAnsi="Times New Roman" w:cs="Times New Roman"/>
        </w:rPr>
        <w:t xml:space="preserve"> early embrace of New Public Management</w:t>
      </w:r>
      <w:r w:rsidR="0076605E">
        <w:rPr>
          <w:rFonts w:ascii="Times New Roman" w:hAnsi="Times New Roman" w:cs="Times New Roman"/>
        </w:rPr>
        <w:t xml:space="preserve"> (</w:t>
      </w:r>
      <w:r w:rsidR="000C51D1">
        <w:rPr>
          <w:rFonts w:ascii="Times New Roman" w:hAnsi="Times New Roman" w:cs="Times New Roman"/>
        </w:rPr>
        <w:t>Chapman and Duncan 2007</w:t>
      </w:r>
      <w:r w:rsidR="0076605E">
        <w:rPr>
          <w:rFonts w:ascii="Times New Roman" w:hAnsi="Times New Roman" w:cs="Times New Roman"/>
        </w:rPr>
        <w:t>)</w:t>
      </w:r>
      <w:r w:rsidR="000C51D1">
        <w:rPr>
          <w:rFonts w:ascii="Times New Roman" w:hAnsi="Times New Roman" w:cs="Times New Roman"/>
        </w:rPr>
        <w:t xml:space="preserve">, </w:t>
      </w:r>
      <w:r>
        <w:rPr>
          <w:rFonts w:ascii="Times New Roman" w:hAnsi="Times New Roman" w:cs="Times New Roman"/>
        </w:rPr>
        <w:t xml:space="preserve">the shift </w:t>
      </w:r>
      <w:r w:rsidR="00A453A2">
        <w:rPr>
          <w:rFonts w:ascii="Times New Roman" w:hAnsi="Times New Roman" w:cs="Times New Roman"/>
        </w:rPr>
        <w:t>t</w:t>
      </w:r>
      <w:r>
        <w:rPr>
          <w:rFonts w:ascii="Times New Roman" w:hAnsi="Times New Roman" w:cs="Times New Roman"/>
        </w:rPr>
        <w:t>o proportional representation in electoral system</w:t>
      </w:r>
      <w:r w:rsidR="0076605E">
        <w:rPr>
          <w:rFonts w:ascii="Times New Roman" w:hAnsi="Times New Roman" w:cs="Times New Roman"/>
        </w:rPr>
        <w:t xml:space="preserve"> (</w:t>
      </w:r>
      <w:r w:rsidR="000C51D1">
        <w:rPr>
          <w:rFonts w:ascii="Times New Roman" w:hAnsi="Times New Roman" w:cs="Times New Roman"/>
        </w:rPr>
        <w:t>Marsh and</w:t>
      </w:r>
      <w:r w:rsidR="0076605E">
        <w:rPr>
          <w:rFonts w:ascii="Times New Roman" w:hAnsi="Times New Roman" w:cs="Times New Roman"/>
        </w:rPr>
        <w:t xml:space="preserve"> </w:t>
      </w:r>
      <w:r w:rsidR="000C51D1">
        <w:rPr>
          <w:rFonts w:ascii="Times New Roman" w:hAnsi="Times New Roman" w:cs="Times New Roman"/>
        </w:rPr>
        <w:t>Miller 2012</w:t>
      </w:r>
      <w:r w:rsidR="0076605E">
        <w:rPr>
          <w:rFonts w:ascii="Times New Roman" w:hAnsi="Times New Roman" w:cs="Times New Roman"/>
        </w:rPr>
        <w:t>)</w:t>
      </w:r>
      <w:r w:rsidR="000C51D1">
        <w:rPr>
          <w:rFonts w:ascii="Times New Roman" w:hAnsi="Times New Roman" w:cs="Times New Roman"/>
        </w:rPr>
        <w:t>, or more recently still – alongside Australia – the extraordinary response to COVID-19 (Bromfield 2021)</w:t>
      </w:r>
      <w:r w:rsidR="0076605E">
        <w:rPr>
          <w:rFonts w:ascii="Times New Roman" w:hAnsi="Times New Roman" w:cs="Times New Roman"/>
        </w:rPr>
        <w:t xml:space="preserve">. But, for the most part, New Zealand sits even further in the periphery than Australia. </w:t>
      </w:r>
      <w:r w:rsidR="00164FD7">
        <w:rPr>
          <w:rFonts w:ascii="Times New Roman" w:hAnsi="Times New Roman" w:cs="Times New Roman"/>
        </w:rPr>
        <w:t>Certainly,</w:t>
      </w:r>
      <w:r w:rsidR="0076605E">
        <w:rPr>
          <w:rFonts w:ascii="Times New Roman" w:hAnsi="Times New Roman" w:cs="Times New Roman"/>
        </w:rPr>
        <w:t xml:space="preserve"> it is hard to publish a typical case study of </w:t>
      </w:r>
      <w:r w:rsidR="0076605E">
        <w:rPr>
          <w:rFonts w:ascii="Times New Roman" w:hAnsi="Times New Roman" w:cs="Times New Roman"/>
        </w:rPr>
        <w:lastRenderedPageBreak/>
        <w:t>public opinion, party identification or policy change in New Zealand in a top tier journal or press</w:t>
      </w:r>
      <w:r w:rsidR="00A453A2">
        <w:rPr>
          <w:rFonts w:ascii="Times New Roman" w:hAnsi="Times New Roman" w:cs="Times New Roman"/>
        </w:rPr>
        <w:t>.</w:t>
      </w:r>
      <w:r w:rsidR="00C5626B">
        <w:rPr>
          <w:rFonts w:ascii="Times New Roman" w:hAnsi="Times New Roman" w:cs="Times New Roman"/>
        </w:rPr>
        <w:t xml:space="preserve"> </w:t>
      </w:r>
      <w:r w:rsidR="00A453A2">
        <w:rPr>
          <w:rFonts w:ascii="Times New Roman" w:hAnsi="Times New Roman" w:cs="Times New Roman"/>
        </w:rPr>
        <w:t>T</w:t>
      </w:r>
      <w:r w:rsidR="00C5626B">
        <w:rPr>
          <w:rFonts w:ascii="Times New Roman" w:hAnsi="Times New Roman" w:cs="Times New Roman"/>
        </w:rPr>
        <w:t>here is no compelling rationale for prioritizing either country over any number of others</w:t>
      </w:r>
      <w:r w:rsidR="0076605E">
        <w:rPr>
          <w:rFonts w:ascii="Times New Roman" w:hAnsi="Times New Roman" w:cs="Times New Roman"/>
        </w:rPr>
        <w:t>.</w:t>
      </w:r>
      <w:r>
        <w:rPr>
          <w:rFonts w:ascii="Times New Roman" w:hAnsi="Times New Roman" w:cs="Times New Roman"/>
        </w:rPr>
        <w:t xml:space="preserve"> </w:t>
      </w:r>
    </w:p>
    <w:p w14:paraId="5B02A594" w14:textId="4780F6BA" w:rsidR="00C17169" w:rsidRPr="009C5AD8" w:rsidRDefault="0076605E" w:rsidP="00330019">
      <w:pPr>
        <w:pStyle w:val="pf0"/>
        <w:spacing w:after="240" w:afterAutospacing="0" w:line="480" w:lineRule="auto"/>
        <w:ind w:firstLine="720"/>
      </w:pPr>
      <w:r>
        <w:t>The Antipodean experience is hardly unique</w:t>
      </w:r>
      <w:r w:rsidR="008B22BF" w:rsidRPr="007077D7">
        <w:t xml:space="preserve"> . The way colonial logics continue to permeate academia are part of this story (</w:t>
      </w:r>
      <w:proofErr w:type="spellStart"/>
      <w:r w:rsidR="008B22BF" w:rsidRPr="007077D7">
        <w:t>Shilliam</w:t>
      </w:r>
      <w:proofErr w:type="spellEnd"/>
      <w:r w:rsidR="008B22BF" w:rsidRPr="007077D7">
        <w:t xml:space="preserve"> 2021) and are apparent in the Australian</w:t>
      </w:r>
      <w:r>
        <w:t xml:space="preserve"> and New Zealand</w:t>
      </w:r>
      <w:r w:rsidR="008B22BF" w:rsidRPr="007077D7">
        <w:t xml:space="preserve"> case</w:t>
      </w:r>
      <w:r>
        <w:t>s</w:t>
      </w:r>
      <w:r w:rsidR="008B22BF" w:rsidRPr="007077D7">
        <w:t>. But scholars of small or medium sized countries from all over the world often express similar frustrations because they are only considered interesting as a counterpoint to the US and UK (</w:t>
      </w:r>
      <w:proofErr w:type="spellStart"/>
      <w:r w:rsidR="008B22BF" w:rsidRPr="007077D7">
        <w:t>Veenendaal</w:t>
      </w:r>
      <w:proofErr w:type="spellEnd"/>
      <w:r w:rsidR="008B22BF" w:rsidRPr="007077D7">
        <w:t xml:space="preserve"> and Corbett 2015). The ‘</w:t>
      </w:r>
      <w:r w:rsidR="008B22BF" w:rsidRPr="007077D7">
        <w:rPr>
          <w:lang w:val="it-IT"/>
        </w:rPr>
        <w:t>Scandinavian model</w:t>
      </w:r>
      <w:r w:rsidR="008B22BF" w:rsidRPr="007077D7">
        <w:t>’, for example, or ‘</w:t>
      </w:r>
      <w:proofErr w:type="spellStart"/>
      <w:r w:rsidR="008B22BF" w:rsidRPr="007077D7">
        <w:rPr>
          <w:lang w:val="fr-FR"/>
        </w:rPr>
        <w:t>post-communist</w:t>
      </w:r>
      <w:proofErr w:type="spellEnd"/>
      <w:r w:rsidR="008B22BF" w:rsidRPr="007077D7">
        <w:rPr>
          <w:lang w:val="fr-FR"/>
        </w:rPr>
        <w:t xml:space="preserve"> transition</w:t>
      </w:r>
      <w:r w:rsidR="008B22BF" w:rsidRPr="007077D7">
        <w:t xml:space="preserve">’ provides a justification for studying much of Europe, although Dutch scholars often complain that they don’t even have these advantages. </w:t>
      </w:r>
      <w:proofErr w:type="spellStart"/>
      <w:r w:rsidR="008B22BF" w:rsidRPr="007077D7">
        <w:t>Lijphart</w:t>
      </w:r>
      <w:proofErr w:type="spellEnd"/>
      <w:r w:rsidR="008B22BF" w:rsidRPr="007077D7">
        <w:t xml:space="preserve"> may have made the country the model for consociationalism, and the Netherlands is at the forefront of numerous debates, from sex work policy (Wagenaar 2006) to assisted dying (Cohen-</w:t>
      </w:r>
      <w:proofErr w:type="spellStart"/>
      <w:r w:rsidR="008B22BF" w:rsidRPr="007077D7">
        <w:t>Almagor</w:t>
      </w:r>
      <w:proofErr w:type="spellEnd"/>
      <w:r w:rsidR="008B22BF" w:rsidRPr="007077D7">
        <w:t xml:space="preserve"> 2008) and drug legalisation (</w:t>
      </w:r>
      <w:proofErr w:type="spellStart"/>
      <w:r w:rsidR="008B22BF" w:rsidRPr="007077D7">
        <w:t>Leuw</w:t>
      </w:r>
      <w:proofErr w:type="spellEnd"/>
      <w:r w:rsidR="008B22BF" w:rsidRPr="007077D7">
        <w:t xml:space="preserve"> and Marshall 1994). But do single Dutch case studies get published in leading journals such as the </w:t>
      </w:r>
      <w:r w:rsidR="007077D7" w:rsidRPr="00E03D56">
        <w:rPr>
          <w:rStyle w:val="cf01"/>
          <w:rFonts w:ascii="Times New Roman" w:hAnsi="Times New Roman" w:cs="Times New Roman"/>
          <w:i/>
          <w:iCs/>
          <w:sz w:val="24"/>
          <w:szCs w:val="24"/>
        </w:rPr>
        <w:t>American Political Science Review</w:t>
      </w:r>
      <w:r w:rsidR="007077D7" w:rsidRPr="00330019">
        <w:rPr>
          <w:rStyle w:val="cf01"/>
          <w:rFonts w:ascii="Times New Roman" w:hAnsi="Times New Roman" w:cs="Times New Roman"/>
          <w:sz w:val="24"/>
          <w:szCs w:val="24"/>
        </w:rPr>
        <w:t xml:space="preserve">, the </w:t>
      </w:r>
      <w:r w:rsidR="007077D7" w:rsidRPr="00E03D56">
        <w:rPr>
          <w:rStyle w:val="cf01"/>
          <w:rFonts w:ascii="Times New Roman" w:hAnsi="Times New Roman" w:cs="Times New Roman"/>
          <w:i/>
          <w:iCs/>
          <w:sz w:val="24"/>
          <w:szCs w:val="24"/>
        </w:rPr>
        <w:t>Journal of Politics</w:t>
      </w:r>
      <w:r w:rsidR="007077D7" w:rsidRPr="00330019">
        <w:rPr>
          <w:rStyle w:val="cf01"/>
          <w:rFonts w:ascii="Times New Roman" w:hAnsi="Times New Roman" w:cs="Times New Roman"/>
          <w:sz w:val="24"/>
          <w:szCs w:val="24"/>
        </w:rPr>
        <w:t xml:space="preserve">, or the </w:t>
      </w:r>
      <w:r w:rsidR="007077D7" w:rsidRPr="00E03D56">
        <w:rPr>
          <w:rStyle w:val="cf01"/>
          <w:rFonts w:ascii="Times New Roman" w:hAnsi="Times New Roman" w:cs="Times New Roman"/>
          <w:i/>
          <w:iCs/>
          <w:sz w:val="24"/>
          <w:szCs w:val="24"/>
        </w:rPr>
        <w:t>British Journal of Political Sc</w:t>
      </w:r>
      <w:r w:rsidR="007077D7" w:rsidRPr="00330019">
        <w:rPr>
          <w:rStyle w:val="cf01"/>
          <w:rFonts w:ascii="Times New Roman" w:hAnsi="Times New Roman" w:cs="Times New Roman"/>
          <w:sz w:val="24"/>
          <w:szCs w:val="24"/>
        </w:rPr>
        <w:t>ience</w:t>
      </w:r>
      <w:r w:rsidR="00330019">
        <w:rPr>
          <w:rStyle w:val="cf01"/>
          <w:rFonts w:ascii="Times New Roman" w:hAnsi="Times New Roman" w:cs="Times New Roman"/>
          <w:sz w:val="24"/>
          <w:szCs w:val="24"/>
        </w:rPr>
        <w:t xml:space="preserve"> </w:t>
      </w:r>
      <w:r w:rsidR="008B22BF" w:rsidRPr="009C5AD8">
        <w:t xml:space="preserve">at the same rate as US and UK case studies </w:t>
      </w:r>
      <w:r w:rsidR="00C5626B">
        <w:t>(Sharman and Weller 2009)?</w:t>
      </w:r>
    </w:p>
    <w:p w14:paraId="0F970100" w14:textId="36C4175E"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The most obvious takeaway from this brief discussion is that the science of politics is not nearly as naturalist as many think it ought to be</w:t>
      </w:r>
      <w:r w:rsidR="0076605E">
        <w:rPr>
          <w:rFonts w:ascii="Times New Roman" w:hAnsi="Times New Roman" w:cs="Times New Roman"/>
        </w:rPr>
        <w:t xml:space="preserve">. </w:t>
      </w:r>
      <w:r w:rsidRPr="009C5AD8">
        <w:rPr>
          <w:rFonts w:ascii="Times New Roman" w:hAnsi="Times New Roman" w:cs="Times New Roman"/>
        </w:rPr>
        <w:t>This situation is both a blessing and a curse for interpretivists. It is a blessing in the sense that</w:t>
      </w:r>
      <w:r w:rsidR="00C5626B">
        <w:rPr>
          <w:rFonts w:ascii="Times New Roman" w:hAnsi="Times New Roman" w:cs="Times New Roman"/>
        </w:rPr>
        <w:t xml:space="preserve"> it</w:t>
      </w:r>
      <w:r w:rsidRPr="009C5AD8">
        <w:rPr>
          <w:rFonts w:ascii="Times New Roman" w:hAnsi="Times New Roman" w:cs="Times New Roman"/>
        </w:rPr>
        <w:t xml:space="preserve"> hints at the pluralism that lurks beneath the surface of the discipline and especially outside the US. We would love to see that pluralism further acknowledged and embraced. We have worked hard to achieve this over many years, although we admit that it often feels like a battle we are losing (see Bevir and Rhodes 2022). It is a curse in the sense that </w:t>
      </w:r>
      <w:r w:rsidR="0076605E">
        <w:rPr>
          <w:rFonts w:ascii="Times New Roman" w:hAnsi="Times New Roman" w:cs="Times New Roman"/>
        </w:rPr>
        <w:t xml:space="preserve">the fundamental parochialism underpinning this </w:t>
      </w:r>
      <w:proofErr w:type="gramStart"/>
      <w:r w:rsidR="0076605E">
        <w:rPr>
          <w:rFonts w:ascii="Times New Roman" w:hAnsi="Times New Roman" w:cs="Times New Roman"/>
        </w:rPr>
        <w:t>state of affairs</w:t>
      </w:r>
      <w:proofErr w:type="gramEnd"/>
      <w:r w:rsidR="0076605E">
        <w:rPr>
          <w:rFonts w:ascii="Times New Roman" w:hAnsi="Times New Roman" w:cs="Times New Roman"/>
        </w:rPr>
        <w:t xml:space="preserve"> reflects and reinforces </w:t>
      </w:r>
      <w:r w:rsidR="000C51D1">
        <w:rPr>
          <w:rFonts w:ascii="Times New Roman" w:hAnsi="Times New Roman" w:cs="Times New Roman"/>
        </w:rPr>
        <w:t>a challenge</w:t>
      </w:r>
      <w:r w:rsidR="00266D8A">
        <w:rPr>
          <w:rFonts w:ascii="Times New Roman" w:hAnsi="Times New Roman" w:cs="Times New Roman"/>
        </w:rPr>
        <w:t xml:space="preserve">. </w:t>
      </w:r>
      <w:r w:rsidR="00164FD7">
        <w:rPr>
          <w:rFonts w:ascii="Times New Roman" w:hAnsi="Times New Roman" w:cs="Times New Roman"/>
        </w:rPr>
        <w:t xml:space="preserve">A relative disadvantage in terms of </w:t>
      </w:r>
      <w:r w:rsidR="00164FD7">
        <w:rPr>
          <w:rFonts w:ascii="Times New Roman" w:hAnsi="Times New Roman" w:cs="Times New Roman"/>
        </w:rPr>
        <w:lastRenderedPageBreak/>
        <w:t>traditional</w:t>
      </w:r>
      <w:r w:rsidR="0076605E">
        <w:rPr>
          <w:rFonts w:ascii="Times New Roman" w:hAnsi="Times New Roman" w:cs="Times New Roman"/>
        </w:rPr>
        <w:t xml:space="preserve"> legacies, </w:t>
      </w:r>
      <w:r w:rsidR="00164FD7">
        <w:rPr>
          <w:rFonts w:ascii="Times New Roman" w:hAnsi="Times New Roman" w:cs="Times New Roman"/>
        </w:rPr>
        <w:t xml:space="preserve">concentration of </w:t>
      </w:r>
      <w:r w:rsidR="0076605E">
        <w:rPr>
          <w:rFonts w:ascii="Times New Roman" w:hAnsi="Times New Roman" w:cs="Times New Roman"/>
        </w:rPr>
        <w:t xml:space="preserve">resources, and sheer size mean that those in the periphery of global political science always have a harder task. Even theoretically unexciting, substantively </w:t>
      </w:r>
      <w:proofErr w:type="gramStart"/>
      <w:r w:rsidR="0076605E">
        <w:rPr>
          <w:rFonts w:ascii="Times New Roman" w:hAnsi="Times New Roman" w:cs="Times New Roman"/>
        </w:rPr>
        <w:t>incremental</w:t>
      </w:r>
      <w:proofErr w:type="gramEnd"/>
      <w:r w:rsidR="0076605E">
        <w:rPr>
          <w:rFonts w:ascii="Times New Roman" w:hAnsi="Times New Roman" w:cs="Times New Roman"/>
        </w:rPr>
        <w:t xml:space="preserve"> and grindingly dull case studies of the US (especially) can gain recognition and esteem internationally. </w:t>
      </w:r>
      <w:r w:rsidR="00266D8A">
        <w:rPr>
          <w:rFonts w:ascii="Times New Roman" w:hAnsi="Times New Roman" w:cs="Times New Roman"/>
        </w:rPr>
        <w:t>Scholars working in and on the Antipodes have to reach a much higher bar.</w:t>
      </w:r>
      <w:r w:rsidRPr="009C5AD8">
        <w:rPr>
          <w:rFonts w:ascii="Times New Roman" w:hAnsi="Times New Roman" w:cs="Times New Roman"/>
        </w:rPr>
        <w:t xml:space="preserve"> </w:t>
      </w:r>
    </w:p>
    <w:p w14:paraId="2F0E157F" w14:textId="50B960A9"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So, what should the rest of us do </w:t>
      </w:r>
      <w:proofErr w:type="gramStart"/>
      <w:r w:rsidRPr="009C5AD8">
        <w:rPr>
          <w:rFonts w:ascii="Times New Roman" w:hAnsi="Times New Roman" w:cs="Times New Roman"/>
        </w:rPr>
        <w:t>given</w:t>
      </w:r>
      <w:proofErr w:type="gramEnd"/>
      <w:r w:rsidRPr="009C5AD8">
        <w:rPr>
          <w:rFonts w:ascii="Times New Roman" w:hAnsi="Times New Roman" w:cs="Times New Roman"/>
        </w:rPr>
        <w:t xml:space="preserve"> our universities </w:t>
      </w:r>
      <w:r w:rsidR="00F274A1" w:rsidRPr="009C5AD8">
        <w:rPr>
          <w:rFonts w:ascii="Times New Roman" w:hAnsi="Times New Roman" w:cs="Times New Roman"/>
        </w:rPr>
        <w:t>incentivize</w:t>
      </w:r>
      <w:r w:rsidRPr="009C5AD8">
        <w:rPr>
          <w:rFonts w:ascii="Times New Roman" w:hAnsi="Times New Roman" w:cs="Times New Roman"/>
        </w:rPr>
        <w:t xml:space="preserve"> us to follow the publishing practices enshrined by global rankings and citations metrics? Our basic argument here is that we have little choice but to </w:t>
      </w:r>
      <w:r w:rsidR="00C5626B">
        <w:rPr>
          <w:rFonts w:ascii="Times New Roman" w:hAnsi="Times New Roman" w:cs="Times New Roman"/>
        </w:rPr>
        <w:t>be</w:t>
      </w:r>
      <w:r w:rsidR="00C5626B" w:rsidRPr="009C5AD8">
        <w:rPr>
          <w:rFonts w:ascii="Times New Roman" w:hAnsi="Times New Roman" w:cs="Times New Roman"/>
        </w:rPr>
        <w:t xml:space="preserve"> </w:t>
      </w:r>
      <w:r w:rsidRPr="009C5AD8">
        <w:rPr>
          <w:rFonts w:ascii="Times New Roman" w:hAnsi="Times New Roman" w:cs="Times New Roman"/>
        </w:rPr>
        <w:t xml:space="preserve">pragmatic and adapt. We can and should publish single case study work on countries such as Australia </w:t>
      </w:r>
      <w:r w:rsidR="00B51B0A">
        <w:rPr>
          <w:rFonts w:ascii="Times New Roman" w:hAnsi="Times New Roman" w:cs="Times New Roman"/>
        </w:rPr>
        <w:t xml:space="preserve">and New Zealand </w:t>
      </w:r>
      <w:r w:rsidRPr="009C5AD8">
        <w:rPr>
          <w:rFonts w:ascii="Times New Roman" w:hAnsi="Times New Roman" w:cs="Times New Roman"/>
        </w:rPr>
        <w:t xml:space="preserve">in journals such as the </w:t>
      </w:r>
      <w:r w:rsidRPr="009C5AD8">
        <w:rPr>
          <w:rFonts w:ascii="Times New Roman" w:hAnsi="Times New Roman" w:cs="Times New Roman"/>
          <w:i/>
          <w:iCs/>
        </w:rPr>
        <w:t>Australian Journal of Political Science</w:t>
      </w:r>
      <w:r w:rsidRPr="009C5AD8">
        <w:rPr>
          <w:rFonts w:ascii="Times New Roman" w:hAnsi="Times New Roman" w:cs="Times New Roman"/>
        </w:rPr>
        <w:t xml:space="preserve">. And we can and should continue to make the case to our institutions that this work has intrinsic value and merit on its own terms, because it </w:t>
      </w:r>
      <w:r w:rsidR="00C5626B">
        <w:rPr>
          <w:rFonts w:ascii="Times New Roman" w:hAnsi="Times New Roman" w:cs="Times New Roman"/>
        </w:rPr>
        <w:t>helps make ‘sense’ of the</w:t>
      </w:r>
      <w:r w:rsidRPr="009C5AD8">
        <w:rPr>
          <w:rFonts w:ascii="Times New Roman" w:hAnsi="Times New Roman" w:cs="Times New Roman"/>
        </w:rPr>
        <w:t xml:space="preserve"> places in which we live. But we also need to find ways to feed the </w:t>
      </w:r>
      <w:r w:rsidR="00C5626B">
        <w:rPr>
          <w:rFonts w:ascii="Times New Roman" w:hAnsi="Times New Roman" w:cs="Times New Roman"/>
        </w:rPr>
        <w:t>metrics and criteria of modern universities to ensure this kind of work survives</w:t>
      </w:r>
      <w:r w:rsidRPr="009C5AD8">
        <w:rPr>
          <w:rFonts w:ascii="Times New Roman" w:hAnsi="Times New Roman" w:cs="Times New Roman"/>
        </w:rPr>
        <w:t xml:space="preserve">. </w:t>
      </w:r>
      <w:r w:rsidR="00266D8A">
        <w:rPr>
          <w:rFonts w:ascii="Times New Roman" w:hAnsi="Times New Roman" w:cs="Times New Roman"/>
        </w:rPr>
        <w:t xml:space="preserve">The key point is that </w:t>
      </w:r>
      <w:r w:rsidR="00C5626B">
        <w:rPr>
          <w:rFonts w:ascii="Times New Roman" w:hAnsi="Times New Roman" w:cs="Times New Roman"/>
        </w:rPr>
        <w:t xml:space="preserve">at times we will </w:t>
      </w:r>
      <w:r w:rsidR="00266D8A">
        <w:rPr>
          <w:rFonts w:ascii="Times New Roman" w:hAnsi="Times New Roman" w:cs="Times New Roman"/>
        </w:rPr>
        <w:t xml:space="preserve">need to make cases from Australia and New Zealand theoretically exciting for an international readership – to make sure </w:t>
      </w:r>
      <w:r w:rsidR="004C5275">
        <w:rPr>
          <w:rFonts w:ascii="Times New Roman" w:hAnsi="Times New Roman" w:cs="Times New Roman"/>
        </w:rPr>
        <w:t>they are</w:t>
      </w:r>
      <w:r w:rsidR="00266D8A">
        <w:rPr>
          <w:rFonts w:ascii="Times New Roman" w:hAnsi="Times New Roman" w:cs="Times New Roman"/>
        </w:rPr>
        <w:t xml:space="preserve"> not </w:t>
      </w:r>
      <w:r w:rsidR="004C5275">
        <w:rPr>
          <w:rFonts w:ascii="Times New Roman" w:hAnsi="Times New Roman" w:cs="Times New Roman"/>
        </w:rPr>
        <w:t xml:space="preserve">always </w:t>
      </w:r>
      <w:r w:rsidR="00266D8A">
        <w:rPr>
          <w:rFonts w:ascii="Times New Roman" w:hAnsi="Times New Roman" w:cs="Times New Roman"/>
        </w:rPr>
        <w:t xml:space="preserve">‘nondescript’. </w:t>
      </w:r>
      <w:r w:rsidRPr="009C5AD8">
        <w:rPr>
          <w:rFonts w:ascii="Times New Roman" w:hAnsi="Times New Roman" w:cs="Times New Roman"/>
        </w:rPr>
        <w:t xml:space="preserve">The rest of this article outlines strategies that we have used and had some success with. </w:t>
      </w:r>
    </w:p>
    <w:p w14:paraId="4A5B8154" w14:textId="77777777"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rPr>
        <w:t>Staying on the Map: Towards an Adaptive Inclination</w:t>
      </w:r>
    </w:p>
    <w:p w14:paraId="337D4557" w14:textId="359843A0"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In this section we outline several strategies we used for broadening the audiences for our work. The list is not exhaustive. But it is indicative of the adaptations necessary to get published in leading journals. We draw on our own experience as authors, editors, and reviewers for these journals. We focus on our attempts to publish work where we sought to make an empirical contribution (an alternative strategy is to ‘bury the case’ completely and write theory). Our main audience are fellow interpretivist scholars who are doubly </w:t>
      </w:r>
      <w:r w:rsidRPr="009C5AD8">
        <w:rPr>
          <w:rFonts w:ascii="Times New Roman" w:hAnsi="Times New Roman" w:cs="Times New Roman"/>
        </w:rPr>
        <w:lastRenderedPageBreak/>
        <w:t xml:space="preserve">disadvantaged when seeking to publish empirical material from </w:t>
      </w:r>
      <w:r w:rsidR="004C5275">
        <w:rPr>
          <w:rFonts w:ascii="Times New Roman" w:hAnsi="Times New Roman" w:cs="Times New Roman"/>
        </w:rPr>
        <w:t>‘</w:t>
      </w:r>
      <w:r w:rsidRPr="009C5AD8">
        <w:rPr>
          <w:rFonts w:ascii="Times New Roman" w:hAnsi="Times New Roman" w:cs="Times New Roman"/>
        </w:rPr>
        <w:t>nondescript</w:t>
      </w:r>
      <w:r w:rsidR="004C5275">
        <w:rPr>
          <w:rFonts w:ascii="Times New Roman" w:hAnsi="Times New Roman" w:cs="Times New Roman"/>
        </w:rPr>
        <w:t>’</w:t>
      </w:r>
      <w:r w:rsidRPr="009C5AD8">
        <w:rPr>
          <w:rFonts w:ascii="Times New Roman" w:hAnsi="Times New Roman" w:cs="Times New Roman"/>
        </w:rPr>
        <w:t xml:space="preserve"> cases in leading international outlets. But we think these strategies will be useful for scholars working in cognate traditions, too. Ultimately our commitment to pluralism means that we want to see journals carry a variety of types of work, including interpretivism. </w:t>
      </w:r>
    </w:p>
    <w:p w14:paraId="67D9DB91" w14:textId="77777777" w:rsidR="00C17169" w:rsidRPr="0033001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Because labels help to get the message across, we refer to ourselves as</w:t>
      </w:r>
      <w:r w:rsidRPr="00330019">
        <w:rPr>
          <w:rFonts w:ascii="Times New Roman" w:hAnsi="Times New Roman" w:cs="Times New Roman"/>
          <w:i/>
          <w:iCs/>
        </w:rPr>
        <w:t xml:space="preserve"> bricoleurs</w:t>
      </w:r>
      <w:r w:rsidRPr="00330019">
        <w:rPr>
          <w:rFonts w:ascii="Times New Roman" w:hAnsi="Times New Roman" w:cs="Times New Roman"/>
        </w:rPr>
        <w:t xml:space="preserve"> </w:t>
      </w:r>
      <w:r w:rsidRPr="009C5AD8">
        <w:rPr>
          <w:rFonts w:ascii="Times New Roman" w:hAnsi="Times New Roman" w:cs="Times New Roman"/>
        </w:rPr>
        <w:t>and our practices as</w:t>
      </w:r>
      <w:r w:rsidRPr="00330019">
        <w:rPr>
          <w:rFonts w:ascii="Times New Roman" w:hAnsi="Times New Roman" w:cs="Times New Roman"/>
        </w:rPr>
        <w:t xml:space="preserve"> </w:t>
      </w:r>
      <w:r w:rsidRPr="00330019">
        <w:rPr>
          <w:rFonts w:ascii="Times New Roman" w:hAnsi="Times New Roman" w:cs="Times New Roman"/>
          <w:i/>
          <w:iCs/>
        </w:rPr>
        <w:t>bricolage</w:t>
      </w:r>
      <w:r w:rsidRPr="00330019">
        <w:rPr>
          <w:rFonts w:ascii="Times New Roman" w:hAnsi="Times New Roman" w:cs="Times New Roman"/>
        </w:rPr>
        <w:t xml:space="preserve">. </w:t>
      </w:r>
      <w:r w:rsidRPr="009C5AD8">
        <w:rPr>
          <w:rFonts w:ascii="Times New Roman" w:hAnsi="Times New Roman" w:cs="Times New Roman"/>
        </w:rPr>
        <w:t>The expression is borrowed from the anthropologist, Levi Strauss (1966: 16-17) and refers to</w:t>
      </w:r>
      <w:r w:rsidRPr="00330019">
        <w:rPr>
          <w:rFonts w:ascii="Times New Roman" w:hAnsi="Times New Roman" w:cs="Times New Roman"/>
        </w:rPr>
        <w:t xml:space="preserve"> someone who uses whatever tools are available and fit the specific situation (Denzin and Lincoln 2011: 4). A bricoleur employs a ragbag of tools; what works is best. The term distances us from the popular multimethod approach, which is firmly embedded in naturalist political science. It also signals that we value qualitative data, observational fieldwork and the many variants associated with ethnography (Fleming and Rhodes 2023). </w:t>
      </w:r>
    </w:p>
    <w:p w14:paraId="2BC93606" w14:textId="77777777" w:rsidR="00C17169" w:rsidRPr="00330019" w:rsidRDefault="008B22BF">
      <w:pPr>
        <w:pStyle w:val="Body"/>
        <w:spacing w:after="240" w:line="480" w:lineRule="auto"/>
        <w:ind w:firstLine="720"/>
        <w:rPr>
          <w:rFonts w:ascii="Times New Roman" w:hAnsi="Times New Roman" w:cs="Times New Roman"/>
        </w:rPr>
      </w:pPr>
      <w:r w:rsidRPr="00330019">
        <w:rPr>
          <w:rFonts w:ascii="Times New Roman" w:hAnsi="Times New Roman" w:cs="Times New Roman"/>
        </w:rPr>
        <w:t xml:space="preserve">We now turn our attention to the several practices that we believe will prevent Antipodean cases falling off the map. We cover </w:t>
      </w:r>
      <w:r w:rsidRPr="009C5AD8">
        <w:rPr>
          <w:rFonts w:ascii="Times New Roman" w:hAnsi="Times New Roman" w:cs="Times New Roman"/>
        </w:rPr>
        <w:t>creative case justification, co-publishing, strategic supplementation, meta-analysis, and cumulative analysis.</w:t>
      </w:r>
    </w:p>
    <w:p w14:paraId="612A50AE" w14:textId="77777777" w:rsidR="00C17169" w:rsidRPr="00330019" w:rsidRDefault="008B22BF" w:rsidP="00330019">
      <w:pPr>
        <w:pStyle w:val="Body"/>
        <w:spacing w:after="240" w:line="480" w:lineRule="auto"/>
        <w:rPr>
          <w:rFonts w:ascii="Times New Roman" w:eastAsia="Times New Roman" w:hAnsi="Times New Roman" w:cs="Times New Roman"/>
          <w:b/>
          <w:bCs/>
          <w:i/>
          <w:iCs/>
        </w:rPr>
      </w:pPr>
      <w:r w:rsidRPr="00330019">
        <w:rPr>
          <w:rFonts w:ascii="Times New Roman" w:hAnsi="Times New Roman" w:cs="Times New Roman"/>
          <w:b/>
          <w:bCs/>
          <w:i/>
          <w:iCs/>
        </w:rPr>
        <w:t xml:space="preserve">Creative case justification </w:t>
      </w:r>
    </w:p>
    <w:p w14:paraId="2F660E82" w14:textId="0E4ED0D4"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The first strategy is one we have already alluded to above: think creatively about what makes your case interesting for different audiences. This is the logic of the naturalist</w:t>
      </w:r>
      <w:r w:rsidR="00864841">
        <w:rPr>
          <w:rFonts w:ascii="Times New Roman" w:hAnsi="Times New Roman" w:cs="Times New Roman"/>
        </w:rPr>
        <w:t xml:space="preserve"> with its</w:t>
      </w:r>
      <w:r w:rsidRPr="009C5AD8">
        <w:rPr>
          <w:rFonts w:ascii="Times New Roman" w:hAnsi="Times New Roman" w:cs="Times New Roman"/>
        </w:rPr>
        <w:t xml:space="preserve"> emphasis on ‘</w:t>
      </w:r>
      <w:r w:rsidRPr="009C5AD8">
        <w:rPr>
          <w:rFonts w:ascii="Times New Roman" w:hAnsi="Times New Roman" w:cs="Times New Roman"/>
          <w:lang w:val="it-IT"/>
        </w:rPr>
        <w:t>critical</w:t>
      </w:r>
      <w:r w:rsidRPr="009C5AD8">
        <w:rPr>
          <w:rFonts w:ascii="Times New Roman" w:hAnsi="Times New Roman" w:cs="Times New Roman"/>
        </w:rPr>
        <w:t>’ or ‘</w:t>
      </w:r>
      <w:r w:rsidRPr="009C5AD8">
        <w:rPr>
          <w:rFonts w:ascii="Times New Roman" w:hAnsi="Times New Roman" w:cs="Times New Roman"/>
          <w:lang w:val="pt-PT"/>
        </w:rPr>
        <w:t>deviant</w:t>
      </w:r>
      <w:r w:rsidRPr="009C5AD8">
        <w:rPr>
          <w:rFonts w:ascii="Times New Roman" w:hAnsi="Times New Roman" w:cs="Times New Roman"/>
        </w:rPr>
        <w:t xml:space="preserve">’ cases. Where we differ is that naturalists typically see the empirical task of establishing whether a case is in fact critical or deviant. Their research design is based on the premise that a case is what they think it is and then they undertake empirical work to confirm their initial selection. Our emphasis, by contrast, is on how we construct or perform case justification. To quote </w:t>
      </w:r>
      <w:proofErr w:type="spellStart"/>
      <w:r w:rsidRPr="009C5AD8">
        <w:rPr>
          <w:rFonts w:ascii="Times New Roman" w:hAnsi="Times New Roman" w:cs="Times New Roman"/>
        </w:rPr>
        <w:t>Soss</w:t>
      </w:r>
      <w:proofErr w:type="spellEnd"/>
      <w:r w:rsidRPr="009C5AD8">
        <w:rPr>
          <w:rFonts w:ascii="Times New Roman" w:hAnsi="Times New Roman" w:cs="Times New Roman"/>
        </w:rPr>
        <w:t xml:space="preserve"> (2018), interpretivists don’t study a case, we case a study. The point is our work can be a case of many different things, some of </w:t>
      </w:r>
      <w:r w:rsidRPr="009C5AD8">
        <w:rPr>
          <w:rFonts w:ascii="Times New Roman" w:hAnsi="Times New Roman" w:cs="Times New Roman"/>
        </w:rPr>
        <w:lastRenderedPageBreak/>
        <w:t xml:space="preserve">which we might have guessed beforehand but often we find out as we go. This ability to engage in creative justification is an advantage that interpretivists have over other traditions. </w:t>
      </w:r>
    </w:p>
    <w:p w14:paraId="79476F42" w14:textId="5490C58B"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Take Corbett (2015) as an exemplar. Corbett studies small island developing states, a topic typically the domain of area specialists with a limited appeal to a generalist audience. Political scientists who have successfully managed to draw the attention of the mainstream to these cases have done so by using them as part of global comparative analysis. Antipodean political scientists Reilly (2002) and Fraenkel (with </w:t>
      </w:r>
      <w:proofErr w:type="spellStart"/>
      <w:r w:rsidRPr="009C5AD8">
        <w:rPr>
          <w:rFonts w:ascii="Times New Roman" w:hAnsi="Times New Roman" w:cs="Times New Roman"/>
        </w:rPr>
        <w:t>Grofman</w:t>
      </w:r>
      <w:proofErr w:type="spellEnd"/>
      <w:r w:rsidRPr="009C5AD8">
        <w:rPr>
          <w:rFonts w:ascii="Times New Roman" w:hAnsi="Times New Roman" w:cs="Times New Roman"/>
        </w:rPr>
        <w:t>, 2006)</w:t>
      </w:r>
      <w:r w:rsidR="004C5275">
        <w:rPr>
          <w:rFonts w:ascii="Times New Roman" w:hAnsi="Times New Roman" w:cs="Times New Roman"/>
        </w:rPr>
        <w:t xml:space="preserve"> </w:t>
      </w:r>
      <w:r w:rsidRPr="009C5AD8">
        <w:rPr>
          <w:rFonts w:ascii="Times New Roman" w:hAnsi="Times New Roman" w:cs="Times New Roman"/>
        </w:rPr>
        <w:t xml:space="preserve">used studies of Papua New Guinea and Fiji to contribute to debates about electoral engineering and deeply divided societies. Corbett and </w:t>
      </w:r>
      <w:proofErr w:type="spellStart"/>
      <w:r w:rsidRPr="009C5AD8">
        <w:rPr>
          <w:rFonts w:ascii="Times New Roman" w:hAnsi="Times New Roman" w:cs="Times New Roman"/>
        </w:rPr>
        <w:t>Veenendaal</w:t>
      </w:r>
      <w:proofErr w:type="spellEnd"/>
      <w:r w:rsidRPr="009C5AD8">
        <w:rPr>
          <w:rFonts w:ascii="Times New Roman" w:hAnsi="Times New Roman" w:cs="Times New Roman"/>
        </w:rPr>
        <w:t xml:space="preserve"> (2018) drew attention to the factor that made small states seemingly irrelevant to the mainstream: their small population size. They employed these cases to test arguments about the impact of population size on democratic function (Their argument was that the discipline had more to learn from understudied cases than it did from revisiting larger states). </w:t>
      </w:r>
    </w:p>
    <w:p w14:paraId="4484359B" w14:textId="50F74255"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Times have changed. A combination of climate change and increased geopolitical competition have made small island </w:t>
      </w:r>
      <w:r w:rsidR="004C5275">
        <w:rPr>
          <w:rFonts w:ascii="Times New Roman" w:hAnsi="Times New Roman" w:cs="Times New Roman"/>
        </w:rPr>
        <w:t xml:space="preserve">developing </w:t>
      </w:r>
      <w:r w:rsidRPr="009C5AD8">
        <w:rPr>
          <w:rFonts w:ascii="Times New Roman" w:hAnsi="Times New Roman" w:cs="Times New Roman"/>
        </w:rPr>
        <w:t xml:space="preserve">states much more interesting to a range of audiences than they were only a decade ago. Indeed, in some disciplines, such as human geography and environmental science, studying climate adaptation in small islands is common enough that </w:t>
      </w:r>
      <w:r w:rsidR="004C5275">
        <w:rPr>
          <w:rFonts w:ascii="Times New Roman" w:hAnsi="Times New Roman" w:cs="Times New Roman"/>
        </w:rPr>
        <w:t>many</w:t>
      </w:r>
      <w:r w:rsidR="004C5275" w:rsidRPr="009C5AD8">
        <w:rPr>
          <w:rFonts w:ascii="Times New Roman" w:hAnsi="Times New Roman" w:cs="Times New Roman"/>
        </w:rPr>
        <w:t xml:space="preserve"> </w:t>
      </w:r>
      <w:r w:rsidRPr="009C5AD8">
        <w:rPr>
          <w:rFonts w:ascii="Times New Roman" w:hAnsi="Times New Roman" w:cs="Times New Roman"/>
        </w:rPr>
        <w:t xml:space="preserve">academic departments would employ scholars who </w:t>
      </w:r>
      <w:proofErr w:type="spellStart"/>
      <w:r w:rsidRPr="009C5AD8">
        <w:rPr>
          <w:rFonts w:ascii="Times New Roman" w:hAnsi="Times New Roman" w:cs="Times New Roman"/>
        </w:rPr>
        <w:t>specialise</w:t>
      </w:r>
      <w:proofErr w:type="spellEnd"/>
      <w:r w:rsidRPr="009C5AD8">
        <w:rPr>
          <w:rFonts w:ascii="Times New Roman" w:hAnsi="Times New Roman" w:cs="Times New Roman"/>
        </w:rPr>
        <w:t xml:space="preserve"> in this </w:t>
      </w:r>
      <w:r w:rsidR="004C5275">
        <w:rPr>
          <w:rFonts w:ascii="Times New Roman" w:hAnsi="Times New Roman" w:cs="Times New Roman"/>
        </w:rPr>
        <w:t xml:space="preserve">type of </w:t>
      </w:r>
      <w:r w:rsidRPr="009C5AD8">
        <w:rPr>
          <w:rFonts w:ascii="Times New Roman" w:hAnsi="Times New Roman" w:cs="Times New Roman"/>
        </w:rPr>
        <w:t xml:space="preserve">work. </w:t>
      </w:r>
    </w:p>
    <w:p w14:paraId="1F095440" w14:textId="559840F0"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Two points stand out for readers of this journal. First, a study is never an </w:t>
      </w:r>
      <w:r w:rsidRPr="009C5AD8">
        <w:rPr>
          <w:rFonts w:ascii="Times New Roman" w:hAnsi="Times New Roman" w:cs="Times New Roman"/>
          <w:i/>
          <w:iCs/>
          <w:lang w:val="it-IT"/>
        </w:rPr>
        <w:t>a priori</w:t>
      </w:r>
      <w:r w:rsidRPr="009C5AD8">
        <w:rPr>
          <w:rFonts w:ascii="Times New Roman" w:hAnsi="Times New Roman" w:cs="Times New Roman"/>
        </w:rPr>
        <w:t xml:space="preserve"> case of anything. We perform a justification. So, we must argue why scholars who know nothing about our study should care about what we are saying. The naturalist language of critical and deviant cases can be helpful in this regard. We can </w:t>
      </w:r>
      <w:r w:rsidR="0080055D" w:rsidRPr="009C5AD8">
        <w:rPr>
          <w:rFonts w:ascii="Times New Roman" w:hAnsi="Times New Roman" w:cs="Times New Roman"/>
        </w:rPr>
        <w:t xml:space="preserve">use language more closely associated with an interpretive orientation, as in Bent </w:t>
      </w:r>
      <w:proofErr w:type="spellStart"/>
      <w:r w:rsidR="0080055D" w:rsidRPr="009C5AD8">
        <w:rPr>
          <w:rFonts w:ascii="Times New Roman" w:hAnsi="Times New Roman" w:cs="Times New Roman"/>
        </w:rPr>
        <w:t>Flyvbjerg’s</w:t>
      </w:r>
      <w:proofErr w:type="spellEnd"/>
      <w:r w:rsidR="0080055D" w:rsidRPr="009C5AD8">
        <w:rPr>
          <w:rFonts w:ascii="Times New Roman" w:hAnsi="Times New Roman" w:cs="Times New Roman"/>
        </w:rPr>
        <w:t xml:space="preserve"> (200</w:t>
      </w:r>
      <w:r w:rsidR="00031571">
        <w:rPr>
          <w:rFonts w:ascii="Times New Roman" w:hAnsi="Times New Roman" w:cs="Times New Roman"/>
        </w:rPr>
        <w:t>6</w:t>
      </w:r>
      <w:r w:rsidR="0080055D" w:rsidRPr="009C5AD8">
        <w:rPr>
          <w:rFonts w:ascii="Times New Roman" w:hAnsi="Times New Roman" w:cs="Times New Roman"/>
        </w:rPr>
        <w:t xml:space="preserve">) highly cited defense of single cases. </w:t>
      </w:r>
      <w:r w:rsidRPr="009C5AD8">
        <w:rPr>
          <w:rFonts w:ascii="Times New Roman" w:hAnsi="Times New Roman" w:cs="Times New Roman"/>
        </w:rPr>
        <w:lastRenderedPageBreak/>
        <w:t>Sometimes</w:t>
      </w:r>
      <w:r w:rsidR="0080055D" w:rsidRPr="009C5AD8">
        <w:rPr>
          <w:rFonts w:ascii="Times New Roman" w:hAnsi="Times New Roman" w:cs="Times New Roman"/>
        </w:rPr>
        <w:t xml:space="preserve"> – following </w:t>
      </w:r>
      <w:proofErr w:type="spellStart"/>
      <w:r w:rsidR="0080055D" w:rsidRPr="009C5AD8">
        <w:rPr>
          <w:rFonts w:ascii="Times New Roman" w:hAnsi="Times New Roman" w:cs="Times New Roman"/>
        </w:rPr>
        <w:t>Soss’s</w:t>
      </w:r>
      <w:proofErr w:type="spellEnd"/>
      <w:r w:rsidR="0080055D" w:rsidRPr="009C5AD8">
        <w:rPr>
          <w:rFonts w:ascii="Times New Roman" w:hAnsi="Times New Roman" w:cs="Times New Roman"/>
        </w:rPr>
        <w:t xml:space="preserve"> exhortation to ‘case a study’ - </w:t>
      </w:r>
      <w:r w:rsidRPr="009C5AD8">
        <w:rPr>
          <w:rFonts w:ascii="Times New Roman" w:hAnsi="Times New Roman" w:cs="Times New Roman"/>
        </w:rPr>
        <w:t xml:space="preserve">we will have to retrofit it to our study after the fact. Either way, and second, we have </w:t>
      </w:r>
      <w:r w:rsidR="007077D7" w:rsidRPr="009C5AD8">
        <w:rPr>
          <w:rFonts w:ascii="Times New Roman" w:hAnsi="Times New Roman" w:cs="Times New Roman"/>
        </w:rPr>
        <w:t>license</w:t>
      </w:r>
      <w:r w:rsidRPr="009C5AD8">
        <w:rPr>
          <w:rFonts w:ascii="Times New Roman" w:hAnsi="Times New Roman" w:cs="Times New Roman"/>
        </w:rPr>
        <w:t xml:space="preserve"> to be creative in how we think about what we do and mindful of the multiple audiences our work might have. Each case has implicit value but that doesn’t mean it has a right to be published and read. We earn that right by our creative justification. </w:t>
      </w:r>
    </w:p>
    <w:p w14:paraId="43F1E607" w14:textId="77777777" w:rsidR="00C17169" w:rsidRPr="00330019" w:rsidRDefault="008B22BF" w:rsidP="00330019">
      <w:pPr>
        <w:pStyle w:val="Body"/>
        <w:spacing w:after="240" w:line="480" w:lineRule="auto"/>
        <w:rPr>
          <w:rFonts w:ascii="Times New Roman" w:eastAsia="Times New Roman" w:hAnsi="Times New Roman" w:cs="Times New Roman"/>
          <w:b/>
          <w:bCs/>
          <w:i/>
          <w:iCs/>
        </w:rPr>
      </w:pPr>
      <w:r w:rsidRPr="00330019">
        <w:rPr>
          <w:rFonts w:ascii="Times New Roman" w:hAnsi="Times New Roman" w:cs="Times New Roman"/>
          <w:b/>
          <w:bCs/>
          <w:i/>
          <w:iCs/>
        </w:rPr>
        <w:t>Co-publishing</w:t>
      </w:r>
    </w:p>
    <w:p w14:paraId="32127F06" w14:textId="544B3064" w:rsidR="00C17169" w:rsidRPr="009C5AD8" w:rsidRDefault="004C5275" w:rsidP="00330019">
      <w:pPr>
        <w:pStyle w:val="Body"/>
        <w:spacing w:after="240" w:line="480" w:lineRule="auto"/>
        <w:rPr>
          <w:rFonts w:ascii="Times New Roman" w:eastAsia="Times New Roman" w:hAnsi="Times New Roman" w:cs="Times New Roman"/>
        </w:rPr>
      </w:pPr>
      <w:r>
        <w:rPr>
          <w:rFonts w:ascii="Times New Roman" w:hAnsi="Times New Roman" w:cs="Times New Roman"/>
        </w:rPr>
        <w:t>Most of us</w:t>
      </w:r>
      <w:r w:rsidRPr="009C5AD8">
        <w:rPr>
          <w:rFonts w:ascii="Times New Roman" w:hAnsi="Times New Roman" w:cs="Times New Roman"/>
        </w:rPr>
        <w:t xml:space="preserve"> </w:t>
      </w:r>
      <w:r w:rsidR="008B22BF" w:rsidRPr="009C5AD8">
        <w:rPr>
          <w:rFonts w:ascii="Times New Roman" w:hAnsi="Times New Roman" w:cs="Times New Roman"/>
        </w:rPr>
        <w:t>are time poor. Reading new literatures to find new audiences for our work might be possible when we are doing our PhD or have a generous fellowship. But amidst what the modern university deems a ‘balanced’ academic pathway that involves teaching and management</w:t>
      </w:r>
      <w:r>
        <w:rPr>
          <w:rFonts w:ascii="Times New Roman" w:hAnsi="Times New Roman" w:cs="Times New Roman"/>
        </w:rPr>
        <w:t xml:space="preserve"> alongside research</w:t>
      </w:r>
      <w:r w:rsidR="008B22BF" w:rsidRPr="009C5AD8">
        <w:rPr>
          <w:rFonts w:ascii="Times New Roman" w:hAnsi="Times New Roman" w:cs="Times New Roman"/>
        </w:rPr>
        <w:t>, finding the time and intellectual space to read widely is difficult. This limits our capacity to engage in creative justification. The easiest way around this obstacle is to co-publish, which has two benefits. First, it allows us to speak to different audiences without having to do the hard work of reading into a specific literature. We rely on our co-authors to do that for us! Second, it enables us to add more cases and turn a single case study into comparative analysis. We have addressed the second strategy at length elsewhere (see Boswell et al</w:t>
      </w:r>
      <w:r w:rsidR="00031571">
        <w:rPr>
          <w:rFonts w:ascii="Times New Roman" w:hAnsi="Times New Roman" w:cs="Times New Roman"/>
        </w:rPr>
        <w:t>.</w:t>
      </w:r>
      <w:r w:rsidR="008B22BF" w:rsidRPr="009C5AD8">
        <w:rPr>
          <w:rFonts w:ascii="Times New Roman" w:hAnsi="Times New Roman" w:cs="Times New Roman"/>
        </w:rPr>
        <w:t xml:space="preserve"> 2019) and so here we focus on the first. The point is that once we </w:t>
      </w:r>
      <w:proofErr w:type="spellStart"/>
      <w:r w:rsidR="008B22BF" w:rsidRPr="009C5AD8">
        <w:rPr>
          <w:rFonts w:ascii="Times New Roman" w:hAnsi="Times New Roman" w:cs="Times New Roman"/>
        </w:rPr>
        <w:t>recognise</w:t>
      </w:r>
      <w:proofErr w:type="spellEnd"/>
      <w:r w:rsidR="008B22BF" w:rsidRPr="009C5AD8">
        <w:rPr>
          <w:rFonts w:ascii="Times New Roman" w:hAnsi="Times New Roman" w:cs="Times New Roman"/>
        </w:rPr>
        <w:t xml:space="preserve"> the potential of creative justification, we can see numerous audiences for work that might otherwise be considered nondescript. </w:t>
      </w:r>
    </w:p>
    <w:p w14:paraId="0A9FD2EA" w14:textId="638C44AB" w:rsidR="00C17169" w:rsidRPr="00330019" w:rsidRDefault="008B22BF" w:rsidP="00330019">
      <w:pPr>
        <w:pStyle w:val="Body"/>
        <w:spacing w:after="240" w:line="480" w:lineRule="auto"/>
        <w:ind w:firstLine="720"/>
        <w:rPr>
          <w:rFonts w:ascii="Times New Roman" w:hAnsi="Times New Roman" w:cs="Times New Roman"/>
        </w:rPr>
      </w:pPr>
      <w:r w:rsidRPr="00330019">
        <w:rPr>
          <w:rFonts w:ascii="Times New Roman" w:hAnsi="Times New Roman" w:cs="Times New Roman"/>
        </w:rPr>
        <w:t>A good illustration is Rhode</w:t>
      </w:r>
      <w:r w:rsidR="0080055D" w:rsidRPr="009C5AD8">
        <w:rPr>
          <w:rFonts w:ascii="Times New Roman" w:hAnsi="Times New Roman" w:cs="Times New Roman"/>
        </w:rPr>
        <w:t>s</w:t>
      </w:r>
      <w:r w:rsidRPr="00330019">
        <w:rPr>
          <w:rFonts w:ascii="Times New Roman" w:hAnsi="Times New Roman" w:cs="Times New Roman"/>
          <w:rtl/>
        </w:rPr>
        <w:t>’</w:t>
      </w:r>
      <w:r w:rsidR="004C5275">
        <w:rPr>
          <w:rFonts w:ascii="Times New Roman" w:hAnsi="Times New Roman" w:cs="Times New Roman"/>
          <w:lang w:val="en-AU"/>
        </w:rPr>
        <w:t xml:space="preserve"> </w:t>
      </w:r>
      <w:r w:rsidR="0080055D" w:rsidRPr="009C5AD8">
        <w:rPr>
          <w:rFonts w:ascii="Times New Roman" w:hAnsi="Times New Roman" w:cs="Times New Roman"/>
        </w:rPr>
        <w:t>(</w:t>
      </w:r>
      <w:r w:rsidRPr="00330019">
        <w:rPr>
          <w:rFonts w:ascii="Times New Roman" w:hAnsi="Times New Roman" w:cs="Times New Roman"/>
        </w:rPr>
        <w:t xml:space="preserve">2011) ethnographic study of three British government departments. The original study was not concerned with gender and how, for example, it influenced the workings of the departmental courts. Mackay and Rhodes (2013) </w:t>
      </w:r>
      <w:proofErr w:type="spellStart"/>
      <w:r w:rsidRPr="00330019">
        <w:rPr>
          <w:rFonts w:ascii="Times New Roman" w:hAnsi="Times New Roman" w:cs="Times New Roman"/>
        </w:rPr>
        <w:t>reanalysed</w:t>
      </w:r>
      <w:proofErr w:type="spellEnd"/>
      <w:r w:rsidRPr="00330019">
        <w:rPr>
          <w:rFonts w:ascii="Times New Roman" w:hAnsi="Times New Roman" w:cs="Times New Roman"/>
        </w:rPr>
        <w:t xml:space="preserve"> the data, but this time using gender identification to explore the practices of the departmental court. They focused on two questions. How did bureaucratic beliefs and practices of the departmental court reproduce gender relations? What were the gendered consequences of </w:t>
      </w:r>
      <w:r w:rsidRPr="00330019">
        <w:rPr>
          <w:rFonts w:ascii="Times New Roman" w:hAnsi="Times New Roman" w:cs="Times New Roman"/>
        </w:rPr>
        <w:lastRenderedPageBreak/>
        <w:t xml:space="preserve">such everyday practices? Their data showed departmental courts were </w:t>
      </w:r>
      <w:r w:rsidRPr="00330019">
        <w:rPr>
          <w:rFonts w:ascii="Times New Roman" w:hAnsi="Times New Roman" w:cs="Times New Roman"/>
          <w:rtl/>
        </w:rPr>
        <w:t>‘</w:t>
      </w:r>
      <w:r w:rsidRPr="00330019">
        <w:rPr>
          <w:rFonts w:ascii="Times New Roman" w:hAnsi="Times New Roman" w:cs="Times New Roman"/>
        </w:rPr>
        <w:t>greedy institutions</w:t>
      </w:r>
      <w:r w:rsidRPr="00330019">
        <w:rPr>
          <w:rFonts w:ascii="Times New Roman" w:hAnsi="Times New Roman" w:cs="Times New Roman"/>
          <w:rtl/>
        </w:rPr>
        <w:t xml:space="preserve">’ </w:t>
      </w:r>
      <w:r w:rsidRPr="00330019">
        <w:rPr>
          <w:rFonts w:ascii="Times New Roman" w:hAnsi="Times New Roman" w:cs="Times New Roman"/>
        </w:rPr>
        <w:t xml:space="preserve">(Coser 1974), which left no space for either family or social life. The protocols and </w:t>
      </w:r>
      <w:proofErr w:type="spellStart"/>
      <w:r w:rsidRPr="00330019">
        <w:rPr>
          <w:rFonts w:ascii="Times New Roman" w:hAnsi="Times New Roman" w:cs="Times New Roman"/>
        </w:rPr>
        <w:t>ritualised</w:t>
      </w:r>
      <w:proofErr w:type="spellEnd"/>
      <w:r w:rsidRPr="00330019">
        <w:rPr>
          <w:rFonts w:ascii="Times New Roman" w:hAnsi="Times New Roman" w:cs="Times New Roman"/>
        </w:rPr>
        <w:t xml:space="preserve"> practices are coping mechanisms through which the departmental court maintains continuity, and through which institutional reform and innovation, including equal opportunity </w:t>
      </w:r>
      <w:r w:rsidRPr="009C5AD8">
        <w:rPr>
          <w:rFonts w:ascii="Times New Roman" w:hAnsi="Times New Roman" w:cs="Times New Roman"/>
        </w:rPr>
        <w:t xml:space="preserve">reforms, can be adopted, adapted, and resisted (see also Annesley and Gains, 2010). </w:t>
      </w:r>
      <w:r w:rsidRPr="00330019">
        <w:rPr>
          <w:rFonts w:ascii="Times New Roman" w:hAnsi="Times New Roman" w:cs="Times New Roman"/>
        </w:rPr>
        <w:t xml:space="preserve">So, the status quo is not challenged. One significant gendered consequence is that women have few institutional options but to </w:t>
      </w:r>
      <w:r w:rsidRPr="00330019">
        <w:rPr>
          <w:rFonts w:ascii="Times New Roman" w:hAnsi="Times New Roman" w:cs="Times New Roman"/>
          <w:rtl/>
        </w:rPr>
        <w:t>‘</w:t>
      </w:r>
      <w:r w:rsidRPr="00330019">
        <w:rPr>
          <w:rFonts w:ascii="Times New Roman" w:hAnsi="Times New Roman" w:cs="Times New Roman"/>
        </w:rPr>
        <w:t>manage like men</w:t>
      </w:r>
      <w:r w:rsidR="004C5275">
        <w:rPr>
          <w:rFonts w:ascii="Times New Roman" w:hAnsi="Times New Roman" w:cs="Times New Roman"/>
        </w:rPr>
        <w:t>’</w:t>
      </w:r>
      <w:r w:rsidRPr="00330019">
        <w:rPr>
          <w:rFonts w:ascii="Times New Roman" w:hAnsi="Times New Roman" w:cs="Times New Roman"/>
          <w:rtl/>
        </w:rPr>
        <w:t xml:space="preserve"> </w:t>
      </w:r>
      <w:r w:rsidRPr="009C5AD8">
        <w:rPr>
          <w:rFonts w:ascii="Times New Roman" w:hAnsi="Times New Roman" w:cs="Times New Roman"/>
        </w:rPr>
        <w:t>(</w:t>
      </w:r>
      <w:proofErr w:type="spellStart"/>
      <w:r w:rsidRPr="009C5AD8">
        <w:rPr>
          <w:rFonts w:ascii="Times New Roman" w:hAnsi="Times New Roman" w:cs="Times New Roman"/>
        </w:rPr>
        <w:t>Wajcman</w:t>
      </w:r>
      <w:proofErr w:type="spellEnd"/>
      <w:r w:rsidRPr="009C5AD8">
        <w:rPr>
          <w:rFonts w:ascii="Times New Roman" w:hAnsi="Times New Roman" w:cs="Times New Roman"/>
        </w:rPr>
        <w:t xml:space="preserve"> 1999). </w:t>
      </w:r>
    </w:p>
    <w:p w14:paraId="306B044B" w14:textId="7777777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Co-publishing is not always straightforward. We have had more and less successful collaborations over our respective careers. Finding substantive connections with other scholars is not usually hard. Finding scholars who have a complementary style can be more difficult. Collaborations in which the sum is greater than the individual parts are the holy grail. Some of the most successful academic careers have been propelled by these sorts of collaborations. But even if you don’t luck out and find such a partnership, the point is that an adaptative inclination towards co-publishing is a pragmatic response to the problem of needing to find new audiences for your work in a time poor world. As a bonus, it can also be generative of great ideas and enriching on a human level, too. </w:t>
      </w:r>
    </w:p>
    <w:p w14:paraId="14908E4F" w14:textId="77777777" w:rsidR="00C17169" w:rsidRPr="00330019" w:rsidRDefault="008B22BF" w:rsidP="00330019">
      <w:pPr>
        <w:pStyle w:val="Body"/>
        <w:spacing w:after="240" w:line="480" w:lineRule="auto"/>
        <w:rPr>
          <w:rFonts w:ascii="Times New Roman" w:eastAsia="Times New Roman" w:hAnsi="Times New Roman" w:cs="Times New Roman"/>
          <w:b/>
          <w:bCs/>
          <w:i/>
          <w:iCs/>
        </w:rPr>
      </w:pPr>
      <w:r w:rsidRPr="00330019">
        <w:rPr>
          <w:rFonts w:ascii="Times New Roman" w:hAnsi="Times New Roman" w:cs="Times New Roman"/>
          <w:b/>
          <w:bCs/>
          <w:i/>
          <w:iCs/>
        </w:rPr>
        <w:t>Strategic supplementation</w:t>
      </w:r>
    </w:p>
    <w:p w14:paraId="08B0371B" w14:textId="77C3C814"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Another approach is to augment a single case study in a country the audience does not intrinsically care about with a strategic supplementary case - a replica of the study deliberately situated in a country that many more in the audience </w:t>
      </w:r>
      <w:r w:rsidRPr="009C5AD8">
        <w:rPr>
          <w:rFonts w:ascii="Times New Roman" w:hAnsi="Times New Roman" w:cs="Times New Roman"/>
          <w:i/>
          <w:iCs/>
        </w:rPr>
        <w:t>do</w:t>
      </w:r>
      <w:r w:rsidRPr="009C5AD8">
        <w:rPr>
          <w:rFonts w:ascii="Times New Roman" w:hAnsi="Times New Roman" w:cs="Times New Roman"/>
        </w:rPr>
        <w:t xml:space="preserve"> intrinsically care about. The logic here is to demonstrate the resonance </w:t>
      </w:r>
      <w:r w:rsidR="00204945">
        <w:rPr>
          <w:rFonts w:ascii="Times New Roman" w:hAnsi="Times New Roman" w:cs="Times New Roman"/>
        </w:rPr>
        <w:t xml:space="preserve">that </w:t>
      </w:r>
      <w:r w:rsidR="005125BF">
        <w:rPr>
          <w:rFonts w:ascii="Times New Roman" w:hAnsi="Times New Roman" w:cs="Times New Roman"/>
        </w:rPr>
        <w:t>‘</w:t>
      </w:r>
      <w:r w:rsidRPr="009C5AD8">
        <w:rPr>
          <w:rFonts w:ascii="Times New Roman" w:hAnsi="Times New Roman" w:cs="Times New Roman"/>
        </w:rPr>
        <w:t>plausible conjectures</w:t>
      </w:r>
      <w:r w:rsidR="005125BF">
        <w:rPr>
          <w:rFonts w:ascii="Times New Roman" w:hAnsi="Times New Roman" w:cs="Times New Roman"/>
        </w:rPr>
        <w:t>’</w:t>
      </w:r>
      <w:r w:rsidRPr="009C5AD8">
        <w:rPr>
          <w:rFonts w:ascii="Times New Roman" w:hAnsi="Times New Roman" w:cs="Times New Roman"/>
        </w:rPr>
        <w:t xml:space="preserve"> from a study in Australia or New Zealand might have, rather than just hint at them. The advantage of this strategy is a pragmatic one in a context of the busy lives of early career academics and the increasingly stringent limits on funding for rich qualitative research. The initial case in </w:t>
      </w:r>
      <w:r w:rsidRPr="009C5AD8">
        <w:rPr>
          <w:rFonts w:ascii="Times New Roman" w:hAnsi="Times New Roman" w:cs="Times New Roman"/>
        </w:rPr>
        <w:lastRenderedPageBreak/>
        <w:t>Australia or New Zealand can be done over a much longer ‘</w:t>
      </w:r>
      <w:r w:rsidRPr="009C5AD8">
        <w:rPr>
          <w:rFonts w:ascii="Times New Roman" w:hAnsi="Times New Roman" w:cs="Times New Roman"/>
          <w:lang w:val="pt-PT"/>
        </w:rPr>
        <w:t>soak</w:t>
      </w:r>
      <w:r w:rsidRPr="009C5AD8">
        <w:rPr>
          <w:rFonts w:ascii="Times New Roman" w:hAnsi="Times New Roman" w:cs="Times New Roman"/>
        </w:rPr>
        <w:t>’, enabled by proximity and access that might necessarily need to be targeted local because of funding restrictions or domestic caring duties. The supplementary case can then follow as a much more intensive and targeted process of data collection, and an analytical emphasis on accounting for similarities and discrepancies. The final comparative product, however, can still speak to and interest that wider audience</w:t>
      </w:r>
      <w:r w:rsidR="0080055D" w:rsidRPr="009C5AD8">
        <w:rPr>
          <w:rFonts w:ascii="Times New Roman" w:hAnsi="Times New Roman" w:cs="Times New Roman"/>
        </w:rPr>
        <w:t xml:space="preserve"> – provided, of course, (and here is the obvious challenge with this approach) that the supplementary case still demonstrates sufficient command of the detail and nuance</w:t>
      </w:r>
      <w:r w:rsidRPr="009C5AD8">
        <w:rPr>
          <w:rFonts w:ascii="Times New Roman" w:hAnsi="Times New Roman" w:cs="Times New Roman"/>
        </w:rPr>
        <w:t>.</w:t>
      </w:r>
    </w:p>
    <w:p w14:paraId="6B3EC872" w14:textId="26592B66"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An example can help to demonstrate this potential - Boswell’s (now long ago) PhD project on the politics of tackling obesity (see Boswell 2016). The initial case in this analysis was Australia, with rapport and understanding developed over a year’s worth of fieldwork in Canberra, </w:t>
      </w:r>
      <w:proofErr w:type="gramStart"/>
      <w:r w:rsidRPr="009C5AD8">
        <w:rPr>
          <w:rFonts w:ascii="Times New Roman" w:hAnsi="Times New Roman" w:cs="Times New Roman"/>
        </w:rPr>
        <w:t>Melbourne</w:t>
      </w:r>
      <w:proofErr w:type="gramEnd"/>
      <w:r w:rsidRPr="009C5AD8">
        <w:rPr>
          <w:rFonts w:ascii="Times New Roman" w:hAnsi="Times New Roman" w:cs="Times New Roman"/>
        </w:rPr>
        <w:t xml:space="preserve"> and Sydney. The supplementary case was the UK, with fieldwork undertaken over a shorter burst of around a few months in London and its surrounds. Because of long-standing professional and political overlaps between the two countries, existing contacts from the Australian fieldwork were able to help direct attention and tee up access to key people in the UK. Analysis was also much quicker because core similarities held, and the emphasis was mainly on illustrating these and teasing out the few discrepancies. The result was a set of findings that resonated sufficiently with policy scholars in the UK and Europe to justify several publications</w:t>
      </w:r>
      <w:r w:rsidR="0080055D" w:rsidRPr="009C5AD8">
        <w:rPr>
          <w:rFonts w:ascii="Times New Roman" w:hAnsi="Times New Roman" w:cs="Times New Roman"/>
        </w:rPr>
        <w:t>.</w:t>
      </w:r>
    </w:p>
    <w:p w14:paraId="629C9BBF" w14:textId="77777777" w:rsidR="00C17169" w:rsidRPr="00330019" w:rsidRDefault="008B22BF" w:rsidP="00330019">
      <w:pPr>
        <w:pStyle w:val="Body"/>
        <w:spacing w:after="240" w:line="480" w:lineRule="auto"/>
        <w:rPr>
          <w:rFonts w:ascii="Times New Roman" w:eastAsia="Times New Roman" w:hAnsi="Times New Roman" w:cs="Times New Roman"/>
          <w:b/>
          <w:bCs/>
          <w:i/>
          <w:iCs/>
        </w:rPr>
      </w:pPr>
      <w:r w:rsidRPr="00330019">
        <w:rPr>
          <w:rFonts w:ascii="Times New Roman" w:hAnsi="Times New Roman" w:cs="Times New Roman"/>
          <w:b/>
          <w:bCs/>
          <w:i/>
          <w:iCs/>
          <w:lang w:val="fr-FR"/>
        </w:rPr>
        <w:t>Meta-</w:t>
      </w:r>
      <w:proofErr w:type="spellStart"/>
      <w:r w:rsidRPr="00330019">
        <w:rPr>
          <w:rFonts w:ascii="Times New Roman" w:hAnsi="Times New Roman" w:cs="Times New Roman"/>
          <w:b/>
          <w:bCs/>
          <w:i/>
          <w:iCs/>
          <w:lang w:val="fr-FR"/>
        </w:rPr>
        <w:t>ethnography</w:t>
      </w:r>
      <w:proofErr w:type="spellEnd"/>
    </w:p>
    <w:p w14:paraId="2D0FE29A" w14:textId="77777777"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An alternative is to situate case study work from Australia and New Zealand in a much wider synthesis. There are several labels for this approach (see Gough 2013). We prefer meta-ethnography – because the label signals both an emphasis on rich qualitative source material and a departure from the rigid strictures of systematic meta-analysis that are beginning to </w:t>
      </w:r>
      <w:r w:rsidRPr="009C5AD8">
        <w:rPr>
          <w:rFonts w:ascii="Times New Roman" w:hAnsi="Times New Roman" w:cs="Times New Roman"/>
        </w:rPr>
        <w:lastRenderedPageBreak/>
        <w:t xml:space="preserve">permeate the discipline from the more dismal sciences. Meta-ethnography entails the creative and generative process of identifying, reading, </w:t>
      </w:r>
      <w:proofErr w:type="gramStart"/>
      <w:r w:rsidRPr="009C5AD8">
        <w:rPr>
          <w:rFonts w:ascii="Times New Roman" w:hAnsi="Times New Roman" w:cs="Times New Roman"/>
        </w:rPr>
        <w:t>relating</w:t>
      </w:r>
      <w:proofErr w:type="gramEnd"/>
      <w:r w:rsidRPr="009C5AD8">
        <w:rPr>
          <w:rFonts w:ascii="Times New Roman" w:hAnsi="Times New Roman" w:cs="Times New Roman"/>
        </w:rPr>
        <w:t xml:space="preserve"> and translating studies of similar phenomena into one another (from </w:t>
      </w:r>
      <w:proofErr w:type="spellStart"/>
      <w:r w:rsidRPr="009C5AD8">
        <w:rPr>
          <w:rFonts w:ascii="Times New Roman" w:hAnsi="Times New Roman" w:cs="Times New Roman"/>
        </w:rPr>
        <w:t>Noblit</w:t>
      </w:r>
      <w:proofErr w:type="spellEnd"/>
      <w:r w:rsidRPr="009C5AD8">
        <w:rPr>
          <w:rFonts w:ascii="Times New Roman" w:hAnsi="Times New Roman" w:cs="Times New Roman"/>
        </w:rPr>
        <w:t xml:space="preserve"> and Hare 1988). It is a systematic method of creatively linking and pooling collective insights from ethnographic studies that each individually provide ‘thick descriptions’ of their own rich contexts. The work of meta-ethnography is both rigorous and creative. The </w:t>
      </w:r>
      <w:proofErr w:type="spellStart"/>
      <w:r w:rsidRPr="009C5AD8">
        <w:rPr>
          <w:rFonts w:ascii="Times New Roman" w:hAnsi="Times New Roman" w:cs="Times New Roman"/>
        </w:rPr>
        <w:t>rigour</w:t>
      </w:r>
      <w:proofErr w:type="spellEnd"/>
      <w:r w:rsidRPr="009C5AD8">
        <w:rPr>
          <w:rFonts w:ascii="Times New Roman" w:hAnsi="Times New Roman" w:cs="Times New Roman"/>
        </w:rPr>
        <w:t xml:space="preserve"> comes in the form of extensive and detailed reading to explore, narrow down, and digest the ethnographic source material. The creativity comes in the form of abstracting insights from across diverse studies to unveil patterns of similarity and difference with potential for theoretical resonance across contexts.</w:t>
      </w:r>
    </w:p>
    <w:p w14:paraId="5574FD38" w14:textId="7777777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In this way, studies of Australia and New Zealand grounded in context can be repurposed and placed alongside studies from a wide variety of other places </w:t>
      </w:r>
      <w:proofErr w:type="gramStart"/>
      <w:r w:rsidRPr="009C5AD8">
        <w:rPr>
          <w:rFonts w:ascii="Times New Roman" w:hAnsi="Times New Roman" w:cs="Times New Roman"/>
        </w:rPr>
        <w:t>in order to</w:t>
      </w:r>
      <w:proofErr w:type="gramEnd"/>
      <w:r w:rsidRPr="009C5AD8">
        <w:rPr>
          <w:rFonts w:ascii="Times New Roman" w:hAnsi="Times New Roman" w:cs="Times New Roman"/>
        </w:rPr>
        <w:t xml:space="preserve"> identify and elucidate broader patterns. For example, in a recent paper, Boswell and Smedley (2023) pool together over 45 interpretive studies to identify a suite of more general ‘weapons of the weak’ (Scott 1985) exercised by targets of welfare policies and </w:t>
      </w:r>
      <w:proofErr w:type="spellStart"/>
      <w:r w:rsidRPr="009C5AD8">
        <w:rPr>
          <w:rFonts w:ascii="Times New Roman" w:hAnsi="Times New Roman" w:cs="Times New Roman"/>
        </w:rPr>
        <w:t>programmes</w:t>
      </w:r>
      <w:proofErr w:type="spellEnd"/>
      <w:r w:rsidRPr="009C5AD8">
        <w:rPr>
          <w:rFonts w:ascii="Times New Roman" w:hAnsi="Times New Roman" w:cs="Times New Roman"/>
        </w:rPr>
        <w:t xml:space="preserve">. In practice, this meant situating insights from contemporary ethnographic work on Australian politics and policymaking – none more revealing than Tess Lea’s (2020) magisterial account of ‘Wild Policy’ in the Northern Territory  - alongside similarly deep and rich accounts of, for instance, daily life on a social housing estate in London (see Koch 2018), the public encounters in welfare offices in France (Dubois 2010) and resistance to workfare </w:t>
      </w:r>
      <w:proofErr w:type="spellStart"/>
      <w:r w:rsidRPr="009C5AD8">
        <w:rPr>
          <w:rFonts w:ascii="Times New Roman" w:hAnsi="Times New Roman" w:cs="Times New Roman"/>
        </w:rPr>
        <w:t>programmes</w:t>
      </w:r>
      <w:proofErr w:type="spellEnd"/>
      <w:r w:rsidRPr="009C5AD8">
        <w:rPr>
          <w:rFonts w:ascii="Times New Roman" w:hAnsi="Times New Roman" w:cs="Times New Roman"/>
        </w:rPr>
        <w:t xml:space="preserve"> in Ireland (Whelan 2022). The purpose is to show idiographic work on places like Australia and New Zealand is generative of wider lesson-drawing and theory-building, rather than peripheral and incidental to it. </w:t>
      </w:r>
    </w:p>
    <w:p w14:paraId="04232DEE" w14:textId="77777777" w:rsidR="00C17169" w:rsidRPr="00330019" w:rsidRDefault="008B22BF" w:rsidP="00330019">
      <w:pPr>
        <w:pStyle w:val="Body"/>
        <w:spacing w:after="240" w:line="480" w:lineRule="auto"/>
        <w:rPr>
          <w:rFonts w:ascii="Times New Roman" w:eastAsia="Times New Roman" w:hAnsi="Times New Roman" w:cs="Times New Roman"/>
          <w:b/>
          <w:bCs/>
          <w:i/>
          <w:iCs/>
        </w:rPr>
      </w:pPr>
      <w:r w:rsidRPr="00330019">
        <w:rPr>
          <w:rFonts w:ascii="Times New Roman" w:hAnsi="Times New Roman" w:cs="Times New Roman"/>
          <w:b/>
          <w:bCs/>
          <w:i/>
          <w:iCs/>
        </w:rPr>
        <w:t>Cumulative analysis</w:t>
      </w:r>
    </w:p>
    <w:p w14:paraId="54A5BC1B" w14:textId="72F98383"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lastRenderedPageBreak/>
        <w:t xml:space="preserve">The final strategy we advocate for here is the tradition to which most scholars engaging in single case study work have gravitated when faced with the ‘diverse tools, shared standards’ movement. </w:t>
      </w:r>
      <w:r w:rsidR="0080055D" w:rsidRPr="009C5AD8">
        <w:rPr>
          <w:rFonts w:ascii="Times New Roman" w:hAnsi="Times New Roman" w:cs="Times New Roman"/>
        </w:rPr>
        <w:t xml:space="preserve">The approach we have in mind here is breaking a </w:t>
      </w:r>
      <w:r w:rsidR="00C85151" w:rsidRPr="009C5AD8">
        <w:rPr>
          <w:rFonts w:ascii="Times New Roman" w:hAnsi="Times New Roman" w:cs="Times New Roman"/>
        </w:rPr>
        <w:t>‘single case’ into multiple units, either via time-bound episodes or subnational comparison</w:t>
      </w:r>
      <w:r w:rsidRPr="009C5AD8">
        <w:rPr>
          <w:rFonts w:ascii="Times New Roman" w:hAnsi="Times New Roman" w:cs="Times New Roman"/>
        </w:rPr>
        <w:t xml:space="preserve">. By doing so, they transform a single case into a comparative study, allowing the author(s) to escape their endogeneity problem. Obviously, interpretivists are not overly concerned by endogeneity problems. But we admire this strategy and think it can be emulated, especially by self-consciously cumulative analysis. This tactic is not typically available to the new entrant in the field. But for the older hand, who has been undertaking similar work over many years, identifying changes over </w:t>
      </w:r>
      <w:r w:rsidR="00C85151" w:rsidRPr="009C5AD8">
        <w:rPr>
          <w:rFonts w:ascii="Times New Roman" w:hAnsi="Times New Roman" w:cs="Times New Roman"/>
        </w:rPr>
        <w:t>more granular time and space</w:t>
      </w:r>
      <w:r w:rsidRPr="009C5AD8">
        <w:rPr>
          <w:rFonts w:ascii="Times New Roman" w:hAnsi="Times New Roman" w:cs="Times New Roman"/>
        </w:rPr>
        <w:t xml:space="preserve"> in their data is a tried and tested way of broadening the appeal of single-case study work, especially when combined with the addition of new cases. </w:t>
      </w:r>
    </w:p>
    <w:p w14:paraId="752E3DEF" w14:textId="7777777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Corbett has slowly but steadily added to his archive of interviews with political elites in small states. His first book relied on over 100 (Corbett 2015). His third, with </w:t>
      </w:r>
      <w:proofErr w:type="spellStart"/>
      <w:r w:rsidRPr="009C5AD8">
        <w:rPr>
          <w:rFonts w:ascii="Times New Roman" w:hAnsi="Times New Roman" w:cs="Times New Roman"/>
        </w:rPr>
        <w:t>Veenendaal</w:t>
      </w:r>
      <w:proofErr w:type="spellEnd"/>
      <w:r w:rsidRPr="009C5AD8">
        <w:rPr>
          <w:rFonts w:ascii="Times New Roman" w:hAnsi="Times New Roman" w:cs="Times New Roman"/>
        </w:rPr>
        <w:t xml:space="preserve">, combined more than 250 (Corbett and </w:t>
      </w:r>
      <w:proofErr w:type="spellStart"/>
      <w:r w:rsidRPr="009C5AD8">
        <w:rPr>
          <w:rFonts w:ascii="Times New Roman" w:hAnsi="Times New Roman" w:cs="Times New Roman"/>
        </w:rPr>
        <w:t>Veenendaal</w:t>
      </w:r>
      <w:proofErr w:type="spellEnd"/>
      <w:r w:rsidRPr="009C5AD8">
        <w:rPr>
          <w:rFonts w:ascii="Times New Roman" w:hAnsi="Times New Roman" w:cs="Times New Roman"/>
        </w:rPr>
        <w:t xml:space="preserve"> 2018). He has since been able to carve out and add to specific sub-groups of interviews to tackle specific topics (see Corbett 2023). Weller, Grube and Rhodes (2022) explored how Cabinet government worked in five countries. As well as the 54 interviews conducted for this book, they also drew on some 400 interviews with ministers and civil servants conducted for previous projects (see for example, Rhodes, Wanna and Weller 2009; and for a more comprehensive listing see Weller, Grube and Rhodes, 2022: 23-7, especially note 57). </w:t>
      </w:r>
    </w:p>
    <w:p w14:paraId="0A0AE9C5" w14:textId="173333E2"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Two points stand out. The first is that even a single nondescript case can be broken down in to increments that enable the author to identify patterns over time. By doing so, they transform their case and what it offers a general audience. The second is that this strategy is </w:t>
      </w:r>
      <w:r w:rsidRPr="009C5AD8">
        <w:rPr>
          <w:rFonts w:ascii="Times New Roman" w:hAnsi="Times New Roman" w:cs="Times New Roman"/>
        </w:rPr>
        <w:lastRenderedPageBreak/>
        <w:t xml:space="preserve">especially effective when data is collected cumulatively and combined with new cases. Small </w:t>
      </w:r>
      <w:proofErr w:type="spellStart"/>
      <w:r w:rsidRPr="009C5AD8">
        <w:rPr>
          <w:rFonts w:ascii="Times New Roman" w:hAnsi="Times New Roman" w:cs="Times New Roman"/>
        </w:rPr>
        <w:t>N</w:t>
      </w:r>
      <w:proofErr w:type="spellEnd"/>
      <w:r w:rsidRPr="009C5AD8">
        <w:rPr>
          <w:rFonts w:ascii="Times New Roman" w:hAnsi="Times New Roman" w:cs="Times New Roman"/>
        </w:rPr>
        <w:t xml:space="preserve"> comparison adds considerable appeal to interpretive work but is especially amenable to general statements when both spatial and temporal dimensions are in play. Of course, this work is no longer strictly a single case study. But that does not preclude the author from publishing the single case as well. Indeed, an effective strategy can be to publish the single case in area studies journals and then comparative analysis in a generalist journal, thus engaging multiple audiences and meeting institutional imperatives to publish regularly, in quality outlets, and engage local policy communities. </w:t>
      </w:r>
    </w:p>
    <w:p w14:paraId="5FB6EC6D" w14:textId="77777777"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lang w:val="it-IT"/>
        </w:rPr>
        <w:t>Conclusion</w:t>
      </w:r>
    </w:p>
    <w:p w14:paraId="079904D7" w14:textId="7636EE62" w:rsidR="00C17169" w:rsidRPr="009C5AD8" w:rsidRDefault="008B22BF" w:rsidP="00330019">
      <w:pPr>
        <w:pStyle w:val="Body"/>
        <w:spacing w:after="240" w:line="480" w:lineRule="auto"/>
        <w:rPr>
          <w:rFonts w:ascii="Times New Roman" w:eastAsia="Times New Roman" w:hAnsi="Times New Roman" w:cs="Times New Roman"/>
        </w:rPr>
      </w:pPr>
      <w:r w:rsidRPr="009C5AD8">
        <w:rPr>
          <w:rFonts w:ascii="Times New Roman" w:hAnsi="Times New Roman" w:cs="Times New Roman"/>
        </w:rPr>
        <w:t xml:space="preserve">The single case study has become much maligned, which is pushing certain types of scholars to the margins of the discipline. Naturalists see the single case study as suffering from an incurable endogeneity problem. Such studies can be valuable for hypothesis generating description. They might be able to test theory in limited ways. They also might be amenable to mechanistic analysis. But that cannot be used to </w:t>
      </w:r>
      <w:proofErr w:type="spellStart"/>
      <w:r w:rsidRPr="009C5AD8">
        <w:rPr>
          <w:rFonts w:ascii="Times New Roman" w:hAnsi="Times New Roman" w:cs="Times New Roman"/>
        </w:rPr>
        <w:t>generalise</w:t>
      </w:r>
      <w:proofErr w:type="spellEnd"/>
      <w:r w:rsidRPr="009C5AD8">
        <w:rPr>
          <w:rFonts w:ascii="Times New Roman" w:hAnsi="Times New Roman" w:cs="Times New Roman"/>
        </w:rPr>
        <w:t xml:space="preserve"> or falsify, unless of course they happen to focus on </w:t>
      </w:r>
      <w:r w:rsidR="002224BC">
        <w:rPr>
          <w:rFonts w:ascii="Times New Roman" w:hAnsi="Times New Roman" w:cs="Times New Roman"/>
        </w:rPr>
        <w:t>‘great’ powers</w:t>
      </w:r>
      <w:r w:rsidRPr="009C5AD8">
        <w:rPr>
          <w:rFonts w:ascii="Times New Roman" w:hAnsi="Times New Roman" w:cs="Times New Roman"/>
        </w:rPr>
        <w:t xml:space="preserve">. The upshot is that scholars who work on seemingly </w:t>
      </w:r>
      <w:r w:rsidR="00266D8A">
        <w:rPr>
          <w:rFonts w:ascii="Times New Roman" w:hAnsi="Times New Roman" w:cs="Times New Roman"/>
        </w:rPr>
        <w:t>‘</w:t>
      </w:r>
      <w:r w:rsidRPr="009C5AD8">
        <w:rPr>
          <w:rFonts w:ascii="Times New Roman" w:hAnsi="Times New Roman" w:cs="Times New Roman"/>
        </w:rPr>
        <w:t>nondescript</w:t>
      </w:r>
      <w:r w:rsidR="00266D8A">
        <w:rPr>
          <w:rFonts w:ascii="Times New Roman" w:hAnsi="Times New Roman" w:cs="Times New Roman"/>
        </w:rPr>
        <w:t>’</w:t>
      </w:r>
      <w:r w:rsidRPr="009C5AD8">
        <w:rPr>
          <w:rFonts w:ascii="Times New Roman" w:hAnsi="Times New Roman" w:cs="Times New Roman"/>
        </w:rPr>
        <w:t xml:space="preserve"> cases will struggle to place their work, no matter how well crafted, in top journal outlets</w:t>
      </w:r>
      <w:r w:rsidR="002224BC">
        <w:rPr>
          <w:rFonts w:ascii="Times New Roman" w:hAnsi="Times New Roman" w:cs="Times New Roman"/>
        </w:rPr>
        <w:t>, which are invariably dominated by scholars from those same large states</w:t>
      </w:r>
      <w:r w:rsidRPr="009C5AD8">
        <w:rPr>
          <w:rFonts w:ascii="Times New Roman" w:hAnsi="Times New Roman" w:cs="Times New Roman"/>
        </w:rPr>
        <w:t xml:space="preserve">. This in turn has impacts for their ability to meet increasingly </w:t>
      </w:r>
      <w:proofErr w:type="spellStart"/>
      <w:r w:rsidRPr="009C5AD8">
        <w:rPr>
          <w:rFonts w:ascii="Times New Roman" w:hAnsi="Times New Roman" w:cs="Times New Roman"/>
        </w:rPr>
        <w:t>globalised</w:t>
      </w:r>
      <w:proofErr w:type="spellEnd"/>
      <w:r w:rsidRPr="009C5AD8">
        <w:rPr>
          <w:rFonts w:ascii="Times New Roman" w:hAnsi="Times New Roman" w:cs="Times New Roman"/>
        </w:rPr>
        <w:t xml:space="preserve"> university performance metrics and by implication their careers. </w:t>
      </w:r>
    </w:p>
    <w:p w14:paraId="145B6D85" w14:textId="1A7A4988"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 xml:space="preserve">We cannot change this context. Instead, we champion an adaptive inclination </w:t>
      </w:r>
      <w:r w:rsidR="00266D8A">
        <w:rPr>
          <w:rFonts w:ascii="Times New Roman" w:hAnsi="Times New Roman" w:cs="Times New Roman"/>
        </w:rPr>
        <w:t>to battle against the prejudice that Australian and New Zealand cases are ‘nondescript</w:t>
      </w:r>
      <w:proofErr w:type="gramStart"/>
      <w:r w:rsidR="00266D8A">
        <w:rPr>
          <w:rFonts w:ascii="Times New Roman" w:hAnsi="Times New Roman" w:cs="Times New Roman"/>
        </w:rPr>
        <w:t>’, and</w:t>
      </w:r>
      <w:proofErr w:type="gramEnd"/>
      <w:r w:rsidR="00266D8A">
        <w:rPr>
          <w:rFonts w:ascii="Times New Roman" w:hAnsi="Times New Roman" w:cs="Times New Roman"/>
        </w:rPr>
        <w:t xml:space="preserve"> highlight their theoretical value for a wider international readership. We have outlined</w:t>
      </w:r>
      <w:r w:rsidRPr="009C5AD8">
        <w:rPr>
          <w:rFonts w:ascii="Times New Roman" w:hAnsi="Times New Roman" w:cs="Times New Roman"/>
        </w:rPr>
        <w:t xml:space="preserve"> several strategies we have identified that will enable scholars to continue their work while meeting the imperatives of their institutions. They are especially aimed at fellow interpretivists but are </w:t>
      </w:r>
      <w:r w:rsidRPr="009C5AD8">
        <w:rPr>
          <w:rFonts w:ascii="Times New Roman" w:hAnsi="Times New Roman" w:cs="Times New Roman"/>
        </w:rPr>
        <w:lastRenderedPageBreak/>
        <w:t xml:space="preserve">likely to be useful for scholars working in cognate traditions such as </w:t>
      </w:r>
      <w:r w:rsidR="002224BC">
        <w:rPr>
          <w:rFonts w:ascii="Times New Roman" w:hAnsi="Times New Roman" w:cs="Times New Roman"/>
        </w:rPr>
        <w:t>a</w:t>
      </w:r>
      <w:r w:rsidRPr="009C5AD8">
        <w:rPr>
          <w:rFonts w:ascii="Times New Roman" w:hAnsi="Times New Roman" w:cs="Times New Roman"/>
        </w:rPr>
        <w:t xml:space="preserve">rea </w:t>
      </w:r>
      <w:r w:rsidR="002224BC">
        <w:rPr>
          <w:rFonts w:ascii="Times New Roman" w:hAnsi="Times New Roman" w:cs="Times New Roman"/>
        </w:rPr>
        <w:t>s</w:t>
      </w:r>
      <w:r w:rsidRPr="009C5AD8">
        <w:rPr>
          <w:rFonts w:ascii="Times New Roman" w:hAnsi="Times New Roman" w:cs="Times New Roman"/>
        </w:rPr>
        <w:t xml:space="preserve">tudies (see </w:t>
      </w:r>
      <w:proofErr w:type="spellStart"/>
      <w:r w:rsidRPr="009C5AD8">
        <w:rPr>
          <w:rFonts w:ascii="Times New Roman" w:hAnsi="Times New Roman" w:cs="Times New Roman"/>
        </w:rPr>
        <w:t>Hodgett</w:t>
      </w:r>
      <w:proofErr w:type="spellEnd"/>
      <w:r w:rsidRPr="009C5AD8">
        <w:rPr>
          <w:rFonts w:ascii="Times New Roman" w:hAnsi="Times New Roman" w:cs="Times New Roman"/>
        </w:rPr>
        <w:t xml:space="preserve"> and James 2018). We successively canvassed the merits of creative case justification; co-publishing; strategic supplementation; meta-ethnography; and cumulative analysis. We structured this discussion to start with strategies that will be most familiar to most readers and then worked out to those that are more novel. They can be undertaken concurrently or in isolation. None is a panacea. But they enable adaptation and survival in a context that discourages writing about certain countries and policies. </w:t>
      </w:r>
    </w:p>
    <w:p w14:paraId="3BE83DC8" w14:textId="77777777" w:rsidR="00330019" w:rsidRDefault="00330019" w:rsidP="00330019">
      <w:pPr>
        <w:pStyle w:val="Body"/>
        <w:spacing w:after="240" w:line="480" w:lineRule="auto"/>
        <w:rPr>
          <w:rFonts w:ascii="Times New Roman" w:hAnsi="Times New Roman" w:cs="Times New Roman"/>
          <w:b/>
          <w:bCs/>
          <w:lang w:val="fr-FR"/>
        </w:rPr>
      </w:pPr>
    </w:p>
    <w:p w14:paraId="128550C0" w14:textId="1A2FEEC8" w:rsidR="00C17169" w:rsidRPr="009C5AD8" w:rsidRDefault="008B22BF" w:rsidP="00330019">
      <w:pPr>
        <w:pStyle w:val="Body"/>
        <w:spacing w:after="240" w:line="480" w:lineRule="auto"/>
        <w:rPr>
          <w:rFonts w:ascii="Times New Roman" w:eastAsia="Times New Roman" w:hAnsi="Times New Roman" w:cs="Times New Roman"/>
          <w:b/>
          <w:bCs/>
        </w:rPr>
      </w:pPr>
      <w:r w:rsidRPr="009C5AD8">
        <w:rPr>
          <w:rFonts w:ascii="Times New Roman" w:hAnsi="Times New Roman" w:cs="Times New Roman"/>
          <w:b/>
          <w:bCs/>
          <w:lang w:val="fr-FR"/>
        </w:rPr>
        <w:t>Bibliography</w:t>
      </w:r>
    </w:p>
    <w:p w14:paraId="1F778987" w14:textId="07708B2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Allison, G</w:t>
      </w:r>
      <w:r w:rsidR="009C5AD8">
        <w:rPr>
          <w:rFonts w:ascii="Times New Roman" w:hAnsi="Times New Roman" w:cs="Times New Roman"/>
        </w:rPr>
        <w:t xml:space="preserve">raham </w:t>
      </w:r>
      <w:r w:rsidRPr="009C5AD8">
        <w:rPr>
          <w:rFonts w:ascii="Times New Roman" w:hAnsi="Times New Roman" w:cs="Times New Roman"/>
        </w:rPr>
        <w:t xml:space="preserve">T. </w:t>
      </w:r>
      <w:r w:rsidR="00512B6B">
        <w:rPr>
          <w:rFonts w:ascii="Times New Roman" w:hAnsi="Times New Roman" w:cs="Times New Roman"/>
        </w:rPr>
        <w:t xml:space="preserve">1971. </w:t>
      </w:r>
      <w:r w:rsidRPr="009C5AD8">
        <w:rPr>
          <w:rFonts w:ascii="Times New Roman" w:hAnsi="Times New Roman" w:cs="Times New Roman"/>
          <w:i/>
          <w:iCs/>
        </w:rPr>
        <w:t>Essence of Decision: Explaining the Cuban Missile Crisis</w:t>
      </w:r>
      <w:r w:rsidRPr="009C5AD8">
        <w:rPr>
          <w:rFonts w:ascii="Times New Roman" w:hAnsi="Times New Roman" w:cs="Times New Roman"/>
        </w:rPr>
        <w:t>. Little Brown.</w:t>
      </w:r>
    </w:p>
    <w:p w14:paraId="47E3C73A" w14:textId="1EC05CD3" w:rsidR="00C17169" w:rsidRPr="009C5AD8" w:rsidRDefault="008B22BF">
      <w:pPr>
        <w:pStyle w:val="Body"/>
        <w:spacing w:after="240" w:line="480" w:lineRule="auto"/>
        <w:ind w:firstLine="720"/>
        <w:rPr>
          <w:rFonts w:ascii="Times New Roman" w:eastAsia="Times New Roman" w:hAnsi="Times New Roman" w:cs="Times New Roman"/>
          <w:color w:val="141413"/>
          <w:u w:color="141413"/>
        </w:rPr>
      </w:pPr>
      <w:r w:rsidRPr="009C5AD8">
        <w:rPr>
          <w:rFonts w:ascii="Times New Roman" w:hAnsi="Times New Roman" w:cs="Times New Roman"/>
        </w:rPr>
        <w:t>Annesley, C</w:t>
      </w:r>
      <w:r w:rsidR="009C5AD8" w:rsidRPr="009C5AD8">
        <w:rPr>
          <w:rFonts w:ascii="Times New Roman" w:hAnsi="Times New Roman" w:cs="Times New Roman"/>
        </w:rPr>
        <w:t>laire</w:t>
      </w:r>
      <w:r w:rsidRPr="009C5AD8">
        <w:rPr>
          <w:rFonts w:ascii="Times New Roman" w:hAnsi="Times New Roman" w:cs="Times New Roman"/>
        </w:rPr>
        <w:t>, and Gains, F</w:t>
      </w:r>
      <w:r w:rsidR="009C5AD8" w:rsidRPr="009C5AD8">
        <w:rPr>
          <w:rFonts w:ascii="Times New Roman" w:hAnsi="Times New Roman" w:cs="Times New Roman"/>
        </w:rPr>
        <w:t>rancesca</w:t>
      </w:r>
      <w:r w:rsidRPr="009C5AD8">
        <w:rPr>
          <w:rFonts w:ascii="Times New Roman" w:hAnsi="Times New Roman" w:cs="Times New Roman"/>
        </w:rPr>
        <w:t xml:space="preserve"> 2010</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color w:val="141413"/>
          <w:u w:color="141413"/>
        </w:rPr>
        <w:t xml:space="preserve">The Core Executive: Gender Power and Change’, </w:t>
      </w:r>
      <w:r w:rsidRPr="009C5AD8">
        <w:rPr>
          <w:rFonts w:ascii="Times New Roman" w:hAnsi="Times New Roman" w:cs="Times New Roman"/>
          <w:i/>
          <w:iCs/>
          <w:color w:val="141413"/>
          <w:u w:color="141413"/>
        </w:rPr>
        <w:t xml:space="preserve">Political Studies </w:t>
      </w:r>
      <w:r w:rsidRPr="009C5AD8">
        <w:rPr>
          <w:rFonts w:ascii="Times New Roman" w:hAnsi="Times New Roman" w:cs="Times New Roman"/>
          <w:color w:val="141413"/>
          <w:u w:color="141413"/>
        </w:rPr>
        <w:t>(1): 1–21.</w:t>
      </w:r>
    </w:p>
    <w:p w14:paraId="085EC4FB" w14:textId="6D5B40D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Bevir, M</w:t>
      </w:r>
      <w:r w:rsidR="009C5AD8" w:rsidRPr="009C5AD8">
        <w:rPr>
          <w:rFonts w:ascii="Times New Roman" w:hAnsi="Times New Roman" w:cs="Times New Roman"/>
        </w:rPr>
        <w:t>ark</w:t>
      </w:r>
      <w:r w:rsidRPr="009C5AD8">
        <w:rPr>
          <w:rFonts w:ascii="Times New Roman" w:hAnsi="Times New Roman" w:cs="Times New Roman"/>
        </w:rPr>
        <w:t xml:space="preserve"> and Rhodes, R. A. W. 2006</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lang w:val="it-IT"/>
        </w:rPr>
        <w:t>Governance Stories</w:t>
      </w:r>
      <w:r w:rsidRPr="009C5AD8">
        <w:rPr>
          <w:rFonts w:ascii="Times New Roman" w:hAnsi="Times New Roman" w:cs="Times New Roman"/>
        </w:rPr>
        <w:t xml:space="preserve">. (London and New York: Routledge) </w:t>
      </w:r>
    </w:p>
    <w:p w14:paraId="36B77A8B" w14:textId="2D693F12"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Bevir, M</w:t>
      </w:r>
      <w:r w:rsidR="009C5AD8" w:rsidRPr="009C5AD8">
        <w:rPr>
          <w:rFonts w:ascii="Times New Roman" w:hAnsi="Times New Roman" w:cs="Times New Roman"/>
        </w:rPr>
        <w:t>ark</w:t>
      </w:r>
      <w:r w:rsidRPr="009C5AD8">
        <w:rPr>
          <w:rFonts w:ascii="Times New Roman" w:hAnsi="Times New Roman" w:cs="Times New Roman"/>
        </w:rPr>
        <w:t xml:space="preserve"> and Blakely, J</w:t>
      </w:r>
      <w:r w:rsidR="009C5AD8">
        <w:rPr>
          <w:rFonts w:ascii="Times New Roman" w:hAnsi="Times New Roman" w:cs="Times New Roman"/>
        </w:rPr>
        <w:t>ason</w:t>
      </w:r>
      <w:r w:rsidRPr="009C5AD8">
        <w:rPr>
          <w:rFonts w:ascii="Times New Roman" w:hAnsi="Times New Roman" w:cs="Times New Roman"/>
        </w:rPr>
        <w:t xml:space="preserve"> 2018</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 xml:space="preserve">An Interpretive Political Science </w:t>
      </w:r>
      <w:r w:rsidRPr="009C5AD8">
        <w:rPr>
          <w:rFonts w:ascii="Times New Roman" w:hAnsi="Times New Roman" w:cs="Times New Roman"/>
        </w:rPr>
        <w:t>Oxford: Oxford University Press</w:t>
      </w:r>
    </w:p>
    <w:p w14:paraId="37E50A87" w14:textId="7D4C103C"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Bevir, M</w:t>
      </w:r>
      <w:r w:rsidR="009C5AD8" w:rsidRPr="009C5AD8">
        <w:rPr>
          <w:rFonts w:ascii="Times New Roman" w:hAnsi="Times New Roman" w:cs="Times New Roman"/>
        </w:rPr>
        <w:t>ark</w:t>
      </w:r>
      <w:r w:rsidRPr="009C5AD8">
        <w:rPr>
          <w:rFonts w:ascii="Times New Roman" w:hAnsi="Times New Roman" w:cs="Times New Roman"/>
        </w:rPr>
        <w:t xml:space="preserve">, &amp; Rhodes, R. A. W. 2022. ‘All you need is … a network: The rise of interpretive public administration’. </w:t>
      </w:r>
      <w:r w:rsidRPr="009C5AD8">
        <w:rPr>
          <w:rFonts w:ascii="Times New Roman" w:hAnsi="Times New Roman" w:cs="Times New Roman"/>
          <w:i/>
          <w:iCs/>
        </w:rPr>
        <w:t>Public Administration</w:t>
      </w:r>
      <w:r w:rsidRPr="009C5AD8">
        <w:rPr>
          <w:rFonts w:ascii="Times New Roman" w:hAnsi="Times New Roman" w:cs="Times New Roman"/>
        </w:rPr>
        <w:t>, 100 (1), 149–160.</w:t>
      </w:r>
    </w:p>
    <w:p w14:paraId="68D1A353" w14:textId="0540E0EA"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Blatter, J</w:t>
      </w:r>
      <w:r w:rsidR="009C5AD8">
        <w:rPr>
          <w:rFonts w:ascii="Times New Roman" w:hAnsi="Times New Roman" w:cs="Times New Roman"/>
        </w:rPr>
        <w:t>oachim</w:t>
      </w:r>
      <w:r w:rsidRPr="009C5AD8">
        <w:rPr>
          <w:rFonts w:ascii="Times New Roman" w:hAnsi="Times New Roman" w:cs="Times New Roman"/>
        </w:rPr>
        <w:t xml:space="preserve"> and </w:t>
      </w:r>
      <w:proofErr w:type="spellStart"/>
      <w:r w:rsidRPr="009C5AD8">
        <w:rPr>
          <w:rFonts w:ascii="Times New Roman" w:hAnsi="Times New Roman" w:cs="Times New Roman"/>
        </w:rPr>
        <w:t>Haverland</w:t>
      </w:r>
      <w:proofErr w:type="spellEnd"/>
      <w:r w:rsidRPr="009C5AD8">
        <w:rPr>
          <w:rFonts w:ascii="Times New Roman" w:hAnsi="Times New Roman" w:cs="Times New Roman"/>
        </w:rPr>
        <w:t>, M</w:t>
      </w:r>
      <w:r w:rsidR="009C5AD8">
        <w:rPr>
          <w:rFonts w:ascii="Times New Roman" w:hAnsi="Times New Roman" w:cs="Times New Roman"/>
        </w:rPr>
        <w:t>arkus</w:t>
      </w:r>
      <w:r w:rsidR="00512B6B">
        <w:rPr>
          <w:rFonts w:ascii="Times New Roman" w:hAnsi="Times New Roman" w:cs="Times New Roman"/>
        </w:rPr>
        <w:t>.</w:t>
      </w:r>
      <w:r w:rsidRPr="009C5AD8">
        <w:rPr>
          <w:rFonts w:ascii="Times New Roman" w:hAnsi="Times New Roman" w:cs="Times New Roman"/>
        </w:rPr>
        <w:t xml:space="preserve"> 2014</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 xml:space="preserve">Designing Case Studies. </w:t>
      </w:r>
      <w:proofErr w:type="spellStart"/>
      <w:r w:rsidRPr="009C5AD8">
        <w:rPr>
          <w:rFonts w:ascii="Times New Roman" w:hAnsi="Times New Roman" w:cs="Times New Roman"/>
        </w:rPr>
        <w:t>Houndmills</w:t>
      </w:r>
      <w:proofErr w:type="spellEnd"/>
      <w:r w:rsidRPr="009C5AD8">
        <w:rPr>
          <w:rFonts w:ascii="Times New Roman" w:hAnsi="Times New Roman" w:cs="Times New Roman"/>
        </w:rPr>
        <w:t>, Basingstoke.</w:t>
      </w:r>
    </w:p>
    <w:p w14:paraId="4D738F87" w14:textId="252D329C"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lang w:val="de-DE"/>
        </w:rPr>
        <w:lastRenderedPageBreak/>
        <w:t>Boswell, J</w:t>
      </w:r>
      <w:r w:rsidR="009C5AD8" w:rsidRPr="009C5AD8">
        <w:rPr>
          <w:rFonts w:ascii="Times New Roman" w:hAnsi="Times New Roman" w:cs="Times New Roman"/>
          <w:color w:val="222222"/>
          <w:u w:color="222222"/>
          <w:shd w:val="clear" w:color="auto" w:fill="FFFFFF"/>
          <w:lang w:val="de-DE"/>
        </w:rPr>
        <w:t>ohn</w:t>
      </w:r>
      <w:r w:rsidR="00512B6B">
        <w:rPr>
          <w:rFonts w:ascii="Times New Roman" w:hAnsi="Times New Roman" w:cs="Times New Roman"/>
          <w:color w:val="222222"/>
          <w:u w:color="222222"/>
          <w:shd w:val="clear" w:color="auto" w:fill="FFFFFF"/>
          <w:lang w:val="de-DE"/>
        </w:rPr>
        <w:t>.</w:t>
      </w:r>
      <w:r w:rsidRPr="009C5AD8">
        <w:rPr>
          <w:rFonts w:ascii="Times New Roman" w:hAnsi="Times New Roman" w:cs="Times New Roman"/>
          <w:color w:val="222222"/>
          <w:u w:color="222222"/>
          <w:shd w:val="clear" w:color="auto" w:fill="FFFFFF"/>
          <w:lang w:val="de-DE"/>
        </w:rPr>
        <w:t xml:space="preserve"> 2016.</w:t>
      </w:r>
      <w:r w:rsidRPr="009C5AD8">
        <w:rPr>
          <w:rFonts w:ascii="Times New Roman" w:hAnsi="Times New Roman" w:cs="Times New Roman"/>
          <w:color w:val="222222"/>
          <w:u w:color="222222"/>
          <w:shd w:val="clear" w:color="auto" w:fill="FFFFFF"/>
        </w:rPr>
        <w:t> </w:t>
      </w:r>
      <w:r w:rsidRPr="009C5AD8">
        <w:rPr>
          <w:rFonts w:ascii="Times New Roman" w:hAnsi="Times New Roman" w:cs="Times New Roman"/>
          <w:i/>
          <w:iCs/>
          <w:color w:val="222222"/>
          <w:u w:color="222222"/>
          <w:shd w:val="clear" w:color="auto" w:fill="FFFFFF"/>
        </w:rPr>
        <w:t>The real war on obesity: contesting knowledge and meaning in a public health crisis</w:t>
      </w:r>
      <w:r w:rsidRPr="009C5AD8">
        <w:rPr>
          <w:rFonts w:ascii="Times New Roman" w:hAnsi="Times New Roman" w:cs="Times New Roman"/>
          <w:color w:val="222222"/>
          <w:u w:color="222222"/>
          <w:shd w:val="clear" w:color="auto" w:fill="FFFFFF"/>
        </w:rPr>
        <w:t>. Springer.</w:t>
      </w:r>
    </w:p>
    <w:p w14:paraId="655608DB" w14:textId="3FC2522D"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Boswell, J</w:t>
      </w:r>
      <w:r w:rsidR="009C5AD8" w:rsidRPr="009C5AD8">
        <w:rPr>
          <w:rFonts w:ascii="Times New Roman" w:hAnsi="Times New Roman" w:cs="Times New Roman"/>
        </w:rPr>
        <w:t>ohn</w:t>
      </w:r>
      <w:r w:rsidRPr="009C5AD8">
        <w:rPr>
          <w:rFonts w:ascii="Times New Roman" w:hAnsi="Times New Roman" w:cs="Times New Roman"/>
        </w:rPr>
        <w:t xml:space="preserve">, Corbett, </w:t>
      </w:r>
      <w:proofErr w:type="gramStart"/>
      <w:r w:rsidRPr="009C5AD8">
        <w:rPr>
          <w:rFonts w:ascii="Times New Roman" w:hAnsi="Times New Roman" w:cs="Times New Roman"/>
        </w:rPr>
        <w:t>J</w:t>
      </w:r>
      <w:r w:rsidR="009C5AD8">
        <w:rPr>
          <w:rFonts w:ascii="Times New Roman" w:hAnsi="Times New Roman" w:cs="Times New Roman"/>
        </w:rPr>
        <w:t>ack</w:t>
      </w:r>
      <w:proofErr w:type="gramEnd"/>
      <w:r w:rsidRPr="009C5AD8">
        <w:rPr>
          <w:rFonts w:ascii="Times New Roman" w:hAnsi="Times New Roman" w:cs="Times New Roman"/>
        </w:rPr>
        <w:t xml:space="preserve"> and Rhodes R. A. W. 2019</w:t>
      </w:r>
      <w:r w:rsidR="00512B6B">
        <w:rPr>
          <w:rFonts w:ascii="Times New Roman" w:hAnsi="Times New Roman" w:cs="Times New Roman"/>
        </w:rPr>
        <w:t>.</w:t>
      </w:r>
      <w:r w:rsidRPr="009C5AD8">
        <w:rPr>
          <w:rFonts w:ascii="Times New Roman" w:hAnsi="Times New Roman" w:cs="Times New Roman"/>
          <w:i/>
          <w:iCs/>
        </w:rPr>
        <w:t xml:space="preserve"> The</w:t>
      </w:r>
      <w:r w:rsidRPr="009C5AD8">
        <w:rPr>
          <w:rFonts w:ascii="Times New Roman" w:hAnsi="Times New Roman" w:cs="Times New Roman"/>
        </w:rPr>
        <w:t xml:space="preserve"> </w:t>
      </w:r>
      <w:r w:rsidRPr="009C5AD8">
        <w:rPr>
          <w:rFonts w:ascii="Times New Roman" w:hAnsi="Times New Roman" w:cs="Times New Roman"/>
          <w:i/>
          <w:iCs/>
        </w:rPr>
        <w:t>Art and Craft of Comparison</w:t>
      </w:r>
      <w:r w:rsidRPr="009C5AD8">
        <w:rPr>
          <w:rFonts w:ascii="Times New Roman" w:hAnsi="Times New Roman" w:cs="Times New Roman"/>
        </w:rPr>
        <w:t xml:space="preserve"> Cambridge: Cambridge University Press.</w:t>
      </w:r>
    </w:p>
    <w:p w14:paraId="20283B99" w14:textId="50A35DA7" w:rsidR="00C85151" w:rsidRPr="00330019" w:rsidRDefault="008B22BF" w:rsidP="00C85151">
      <w:pPr>
        <w:pStyle w:val="Body"/>
        <w:spacing w:after="240" w:line="480" w:lineRule="auto"/>
        <w:ind w:firstLine="720"/>
        <w:rPr>
          <w:rFonts w:ascii="Times New Roman" w:hAnsi="Times New Roman" w:cs="Times New Roman"/>
        </w:rPr>
      </w:pPr>
      <w:r w:rsidRPr="009C5AD8">
        <w:rPr>
          <w:rFonts w:ascii="Times New Roman" w:hAnsi="Times New Roman" w:cs="Times New Roman"/>
        </w:rPr>
        <w:t>Boswell, J</w:t>
      </w:r>
      <w:r w:rsidR="009C5AD8" w:rsidRPr="009C5AD8">
        <w:rPr>
          <w:rFonts w:ascii="Times New Roman" w:hAnsi="Times New Roman" w:cs="Times New Roman"/>
        </w:rPr>
        <w:t>ohn</w:t>
      </w:r>
      <w:r w:rsidRPr="009C5AD8">
        <w:rPr>
          <w:rFonts w:ascii="Times New Roman" w:hAnsi="Times New Roman" w:cs="Times New Roman"/>
        </w:rPr>
        <w:t>, &amp; Smedley, S</w:t>
      </w:r>
      <w:r w:rsidR="009C5AD8" w:rsidRPr="009C5AD8">
        <w:rPr>
          <w:rFonts w:ascii="Times New Roman" w:hAnsi="Times New Roman" w:cs="Times New Roman"/>
        </w:rPr>
        <w:t>tuart</w:t>
      </w:r>
      <w:r w:rsidR="00512B6B">
        <w:rPr>
          <w:rFonts w:ascii="Times New Roman" w:hAnsi="Times New Roman" w:cs="Times New Roman"/>
        </w:rPr>
        <w:t>.</w:t>
      </w:r>
      <w:r w:rsidRPr="009C5AD8">
        <w:rPr>
          <w:rFonts w:ascii="Times New Roman" w:hAnsi="Times New Roman" w:cs="Times New Roman"/>
        </w:rPr>
        <w:t xml:space="preserve"> 2023. The potential of meta-ethnography in the study of public administration: a worked example on social security encounters in advanced liberal democracies. </w:t>
      </w:r>
      <w:r w:rsidRPr="009C5AD8">
        <w:rPr>
          <w:rFonts w:ascii="Times New Roman" w:hAnsi="Times New Roman" w:cs="Times New Roman"/>
          <w:i/>
          <w:iCs/>
        </w:rPr>
        <w:t>Journal of Public Administration Research and Theory</w:t>
      </w:r>
      <w:r w:rsidRPr="009C5AD8">
        <w:rPr>
          <w:rFonts w:ascii="Times New Roman" w:hAnsi="Times New Roman" w:cs="Times New Roman"/>
        </w:rPr>
        <w:t>, </w:t>
      </w:r>
      <w:r w:rsidRPr="009C5AD8">
        <w:rPr>
          <w:rFonts w:ascii="Times New Roman" w:hAnsi="Times New Roman" w:cs="Times New Roman"/>
          <w:i/>
          <w:iCs/>
        </w:rPr>
        <w:t>33</w:t>
      </w:r>
      <w:r w:rsidRPr="009C5AD8">
        <w:rPr>
          <w:rFonts w:ascii="Times New Roman" w:hAnsi="Times New Roman" w:cs="Times New Roman"/>
        </w:rPr>
        <w:t>(4), 593-605.</w:t>
      </w:r>
    </w:p>
    <w:p w14:paraId="4F63F7E6" w14:textId="0ED0308B" w:rsidR="00C17169" w:rsidRDefault="008B22BF">
      <w:pPr>
        <w:pStyle w:val="Body"/>
        <w:spacing w:after="240" w:line="480" w:lineRule="auto"/>
        <w:ind w:firstLine="720"/>
        <w:rPr>
          <w:rFonts w:ascii="Times New Roman" w:hAnsi="Times New Roman" w:cs="Times New Roman"/>
          <w:color w:val="222222"/>
          <w:u w:color="222222"/>
          <w:shd w:val="clear" w:color="auto" w:fill="FFFFFF"/>
        </w:rPr>
      </w:pPr>
      <w:r w:rsidRPr="009C5AD8">
        <w:rPr>
          <w:rFonts w:ascii="Times New Roman" w:hAnsi="Times New Roman" w:cs="Times New Roman"/>
          <w:color w:val="222222"/>
          <w:u w:color="222222"/>
          <w:shd w:val="clear" w:color="auto" w:fill="FFFFFF"/>
        </w:rPr>
        <w:t>Brady, H</w:t>
      </w:r>
      <w:r w:rsidR="009C5AD8">
        <w:rPr>
          <w:rFonts w:ascii="Times New Roman" w:hAnsi="Times New Roman" w:cs="Times New Roman"/>
          <w:color w:val="222222"/>
          <w:u w:color="222222"/>
          <w:shd w:val="clear" w:color="auto" w:fill="FFFFFF"/>
        </w:rPr>
        <w:t>enry</w:t>
      </w:r>
      <w:r w:rsidRPr="009C5AD8">
        <w:rPr>
          <w:rFonts w:ascii="Times New Roman" w:hAnsi="Times New Roman" w:cs="Times New Roman"/>
          <w:color w:val="222222"/>
          <w:u w:color="222222"/>
          <w:shd w:val="clear" w:color="auto" w:fill="FFFFFF"/>
        </w:rPr>
        <w:t xml:space="preserve"> E., and D</w:t>
      </w:r>
      <w:r w:rsidR="009C5AD8">
        <w:rPr>
          <w:rFonts w:ascii="Times New Roman" w:hAnsi="Times New Roman" w:cs="Times New Roman"/>
          <w:color w:val="222222"/>
          <w:u w:color="222222"/>
          <w:shd w:val="clear" w:color="auto" w:fill="FFFFFF"/>
        </w:rPr>
        <w:t>avid</w:t>
      </w:r>
      <w:r w:rsidRPr="009C5AD8">
        <w:rPr>
          <w:rFonts w:ascii="Times New Roman" w:hAnsi="Times New Roman" w:cs="Times New Roman"/>
          <w:color w:val="222222"/>
          <w:u w:color="222222"/>
          <w:shd w:val="clear" w:color="auto" w:fill="FFFFFF"/>
        </w:rPr>
        <w:t xml:space="preserve"> Collier, eds. </w:t>
      </w:r>
      <w:r w:rsidR="00512B6B">
        <w:rPr>
          <w:rFonts w:ascii="Times New Roman" w:hAnsi="Times New Roman" w:cs="Times New Roman"/>
          <w:color w:val="222222"/>
          <w:u w:color="222222"/>
          <w:shd w:val="clear" w:color="auto" w:fill="FFFFFF"/>
        </w:rPr>
        <w:t xml:space="preserve">2010. </w:t>
      </w:r>
      <w:r w:rsidRPr="009C5AD8">
        <w:rPr>
          <w:rFonts w:ascii="Times New Roman" w:hAnsi="Times New Roman" w:cs="Times New Roman"/>
          <w:i/>
          <w:iCs/>
          <w:color w:val="222222"/>
          <w:u w:color="222222"/>
          <w:shd w:val="clear" w:color="auto" w:fill="FFFFFF"/>
        </w:rPr>
        <w:t>Rethinking social inquiry: Diverse tools, shared standards</w:t>
      </w:r>
      <w:r w:rsidRPr="009C5AD8">
        <w:rPr>
          <w:rFonts w:ascii="Times New Roman" w:hAnsi="Times New Roman" w:cs="Times New Roman"/>
          <w:color w:val="222222"/>
          <w:u w:color="222222"/>
          <w:shd w:val="clear" w:color="auto" w:fill="FFFFFF"/>
        </w:rPr>
        <w:t>. Rowman &amp; Littlefield Publishers</w:t>
      </w:r>
      <w:r w:rsidR="00512B6B">
        <w:rPr>
          <w:rFonts w:ascii="Times New Roman" w:hAnsi="Times New Roman" w:cs="Times New Roman"/>
          <w:color w:val="222222"/>
          <w:u w:color="222222"/>
          <w:shd w:val="clear" w:color="auto" w:fill="FFFFFF"/>
        </w:rPr>
        <w:t>.</w:t>
      </w:r>
    </w:p>
    <w:p w14:paraId="2D2BE8A7" w14:textId="5AE5D21F" w:rsidR="002C75A6" w:rsidRPr="009C5AD8" w:rsidRDefault="002C75A6">
      <w:pPr>
        <w:pStyle w:val="Body"/>
        <w:spacing w:after="240" w:line="480" w:lineRule="auto"/>
        <w:ind w:firstLine="720"/>
        <w:rPr>
          <w:rFonts w:ascii="Times New Roman" w:eastAsia="Times New Roman" w:hAnsi="Times New Roman" w:cs="Times New Roman"/>
          <w:color w:val="222222"/>
          <w:u w:color="222222"/>
          <w:shd w:val="clear" w:color="auto" w:fill="FFFFFF"/>
        </w:rPr>
      </w:pPr>
      <w:r w:rsidRPr="002C75A6">
        <w:rPr>
          <w:rFonts w:ascii="Times New Roman" w:eastAsia="Times New Roman" w:hAnsi="Times New Roman" w:cs="Times New Roman"/>
          <w:color w:val="222222"/>
          <w:u w:color="222222"/>
          <w:shd w:val="clear" w:color="auto" w:fill="FFFFFF"/>
        </w:rPr>
        <w:t>Chapman, J., &amp; Duncan, G. (2007). Is there now a new ‘New Zealand model</w:t>
      </w:r>
      <w:proofErr w:type="gramStart"/>
      <w:r w:rsidRPr="002C75A6">
        <w:rPr>
          <w:rFonts w:ascii="Times New Roman" w:eastAsia="Times New Roman" w:hAnsi="Times New Roman" w:cs="Times New Roman"/>
          <w:color w:val="222222"/>
          <w:u w:color="222222"/>
          <w:shd w:val="clear" w:color="auto" w:fill="FFFFFF"/>
        </w:rPr>
        <w:t>’?.</w:t>
      </w:r>
      <w:proofErr w:type="gramEnd"/>
      <w:r w:rsidRPr="002C75A6">
        <w:rPr>
          <w:rFonts w:ascii="Times New Roman" w:eastAsia="Times New Roman" w:hAnsi="Times New Roman" w:cs="Times New Roman"/>
          <w:color w:val="222222"/>
          <w:u w:color="222222"/>
          <w:shd w:val="clear" w:color="auto" w:fill="FFFFFF"/>
        </w:rPr>
        <w:t> </w:t>
      </w:r>
      <w:r w:rsidRPr="002C75A6">
        <w:rPr>
          <w:rFonts w:ascii="Times New Roman" w:eastAsia="Times New Roman" w:hAnsi="Times New Roman" w:cs="Times New Roman"/>
          <w:i/>
          <w:iCs/>
          <w:color w:val="222222"/>
          <w:u w:color="222222"/>
          <w:shd w:val="clear" w:color="auto" w:fill="FFFFFF"/>
        </w:rPr>
        <w:t>Public Management Review</w:t>
      </w:r>
      <w:r w:rsidRPr="002C75A6">
        <w:rPr>
          <w:rFonts w:ascii="Times New Roman" w:eastAsia="Times New Roman" w:hAnsi="Times New Roman" w:cs="Times New Roman"/>
          <w:color w:val="222222"/>
          <w:u w:color="222222"/>
          <w:shd w:val="clear" w:color="auto" w:fill="FFFFFF"/>
        </w:rPr>
        <w:t>, </w:t>
      </w:r>
      <w:r w:rsidRPr="002C75A6">
        <w:rPr>
          <w:rFonts w:ascii="Times New Roman" w:eastAsia="Times New Roman" w:hAnsi="Times New Roman" w:cs="Times New Roman"/>
          <w:i/>
          <w:iCs/>
          <w:color w:val="222222"/>
          <w:u w:color="222222"/>
          <w:shd w:val="clear" w:color="auto" w:fill="FFFFFF"/>
        </w:rPr>
        <w:t>9</w:t>
      </w:r>
      <w:r w:rsidRPr="002C75A6">
        <w:rPr>
          <w:rFonts w:ascii="Times New Roman" w:eastAsia="Times New Roman" w:hAnsi="Times New Roman" w:cs="Times New Roman"/>
          <w:color w:val="222222"/>
          <w:u w:color="222222"/>
          <w:shd w:val="clear" w:color="auto" w:fill="FFFFFF"/>
        </w:rPr>
        <w:t>(1), 1-25.</w:t>
      </w:r>
    </w:p>
    <w:p w14:paraId="492A05A6" w14:textId="18665991"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rPr>
        <w:t>Cohen-</w:t>
      </w:r>
      <w:proofErr w:type="spellStart"/>
      <w:r w:rsidRPr="009C5AD8">
        <w:rPr>
          <w:rFonts w:ascii="Times New Roman" w:hAnsi="Times New Roman" w:cs="Times New Roman"/>
          <w:color w:val="222222"/>
          <w:u w:color="222222"/>
          <w:shd w:val="clear" w:color="auto" w:fill="FFFFFF"/>
        </w:rPr>
        <w:t>Almagor</w:t>
      </w:r>
      <w:proofErr w:type="spellEnd"/>
      <w:r w:rsidRPr="009C5AD8">
        <w:rPr>
          <w:rFonts w:ascii="Times New Roman" w:hAnsi="Times New Roman" w:cs="Times New Roman"/>
          <w:color w:val="222222"/>
          <w:u w:color="222222"/>
          <w:shd w:val="clear" w:color="auto" w:fill="FFFFFF"/>
        </w:rPr>
        <w:t>, R</w:t>
      </w:r>
      <w:r w:rsidR="00512B6B">
        <w:rPr>
          <w:rFonts w:ascii="Times New Roman" w:hAnsi="Times New Roman" w:cs="Times New Roman"/>
          <w:color w:val="222222"/>
          <w:u w:color="222222"/>
          <w:shd w:val="clear" w:color="auto" w:fill="FFFFFF"/>
        </w:rPr>
        <w:t>aphael</w:t>
      </w:r>
      <w:r w:rsidRPr="009C5AD8">
        <w:rPr>
          <w:rFonts w:ascii="Times New Roman" w:hAnsi="Times New Roman" w:cs="Times New Roman"/>
          <w:color w:val="222222"/>
          <w:u w:color="222222"/>
          <w:shd w:val="clear" w:color="auto" w:fill="FFFFFF"/>
        </w:rPr>
        <w:t> </w:t>
      </w:r>
      <w:r w:rsidR="00512B6B">
        <w:rPr>
          <w:rFonts w:ascii="Times New Roman" w:hAnsi="Times New Roman" w:cs="Times New Roman"/>
          <w:color w:val="222222"/>
          <w:u w:color="222222"/>
          <w:shd w:val="clear" w:color="auto" w:fill="FFFFFF"/>
        </w:rPr>
        <w:t xml:space="preserve">2008. </w:t>
      </w:r>
      <w:r w:rsidRPr="009C5AD8">
        <w:rPr>
          <w:rFonts w:ascii="Times New Roman" w:hAnsi="Times New Roman" w:cs="Times New Roman"/>
          <w:i/>
          <w:iCs/>
          <w:color w:val="222222"/>
          <w:u w:color="222222"/>
          <w:shd w:val="clear" w:color="auto" w:fill="FFFFFF"/>
        </w:rPr>
        <w:t>Euthanasia in the Netherlands: The policy and practice of mercy killing</w:t>
      </w:r>
      <w:r w:rsidRPr="009C5AD8">
        <w:rPr>
          <w:rFonts w:ascii="Times New Roman" w:hAnsi="Times New Roman" w:cs="Times New Roman"/>
          <w:color w:val="222222"/>
          <w:u w:color="222222"/>
          <w:shd w:val="clear" w:color="auto" w:fill="FFFFFF"/>
        </w:rPr>
        <w:t>. Vol. 20. Springer Science &amp; Business Media</w:t>
      </w:r>
      <w:r w:rsidR="00512B6B">
        <w:rPr>
          <w:rFonts w:ascii="Times New Roman" w:hAnsi="Times New Roman" w:cs="Times New Roman"/>
          <w:color w:val="222222"/>
          <w:u w:color="222222"/>
          <w:shd w:val="clear" w:color="auto" w:fill="FFFFFF"/>
        </w:rPr>
        <w:t>.</w:t>
      </w:r>
    </w:p>
    <w:p w14:paraId="6C279C00" w14:textId="2986D450"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Corbett, J</w:t>
      </w:r>
      <w:r w:rsidR="009C5AD8" w:rsidRPr="009C5AD8">
        <w:rPr>
          <w:rFonts w:ascii="Times New Roman" w:hAnsi="Times New Roman" w:cs="Times New Roman"/>
        </w:rPr>
        <w:t>ack</w:t>
      </w:r>
      <w:r w:rsidRPr="009C5AD8">
        <w:rPr>
          <w:rFonts w:ascii="Times New Roman" w:hAnsi="Times New Roman" w:cs="Times New Roman"/>
        </w:rPr>
        <w:t xml:space="preserve">. </w:t>
      </w:r>
      <w:r w:rsidR="00512B6B">
        <w:rPr>
          <w:rFonts w:ascii="Times New Roman" w:hAnsi="Times New Roman" w:cs="Times New Roman"/>
        </w:rPr>
        <w:t xml:space="preserve">2015. </w:t>
      </w:r>
      <w:r w:rsidRPr="009C5AD8">
        <w:rPr>
          <w:rFonts w:ascii="Times New Roman" w:hAnsi="Times New Roman" w:cs="Times New Roman"/>
          <w:i/>
          <w:iCs/>
        </w:rPr>
        <w:t xml:space="preserve">Being Political: Leadership and Democracy in the Pacific Islands. </w:t>
      </w:r>
      <w:r w:rsidRPr="009C5AD8">
        <w:rPr>
          <w:rFonts w:ascii="Times New Roman" w:hAnsi="Times New Roman" w:cs="Times New Roman"/>
        </w:rPr>
        <w:t xml:space="preserve">Honolulu: University of Hawai’i </w:t>
      </w:r>
      <w:proofErr w:type="gramStart"/>
      <w:r w:rsidRPr="009C5AD8">
        <w:rPr>
          <w:rFonts w:ascii="Times New Roman" w:hAnsi="Times New Roman" w:cs="Times New Roman"/>
        </w:rPr>
        <w:t>Press</w:t>
      </w:r>
      <w:r w:rsidR="00512B6B">
        <w:rPr>
          <w:rFonts w:ascii="Times New Roman" w:hAnsi="Times New Roman" w:cs="Times New Roman"/>
        </w:rPr>
        <w:t>.</w:t>
      </w:r>
      <w:r w:rsidRPr="009C5AD8">
        <w:rPr>
          <w:rFonts w:ascii="Times New Roman" w:hAnsi="Times New Roman" w:cs="Times New Roman"/>
        </w:rPr>
        <w:t>.</w:t>
      </w:r>
      <w:proofErr w:type="gramEnd"/>
      <w:r w:rsidRPr="009C5AD8">
        <w:rPr>
          <w:rFonts w:ascii="Times New Roman" w:hAnsi="Times New Roman" w:cs="Times New Roman"/>
        </w:rPr>
        <w:t xml:space="preserve">  </w:t>
      </w:r>
    </w:p>
    <w:p w14:paraId="46989F04" w14:textId="348BC33A"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rPr>
        <w:t>Corbett, J</w:t>
      </w:r>
      <w:r w:rsidR="009C5AD8" w:rsidRPr="009C5AD8">
        <w:rPr>
          <w:rFonts w:ascii="Times New Roman" w:hAnsi="Times New Roman" w:cs="Times New Roman"/>
          <w:color w:val="222222"/>
          <w:u w:color="222222"/>
          <w:shd w:val="clear" w:color="auto" w:fill="FFFFFF"/>
        </w:rPr>
        <w:t>ack</w:t>
      </w:r>
      <w:r w:rsidRPr="009C5AD8">
        <w:rPr>
          <w:rFonts w:ascii="Times New Roman" w:hAnsi="Times New Roman" w:cs="Times New Roman"/>
          <w:color w:val="222222"/>
          <w:u w:color="222222"/>
          <w:shd w:val="clear" w:color="auto" w:fill="FFFFFF"/>
        </w:rPr>
        <w:t>. </w:t>
      </w:r>
      <w:r w:rsidR="00512B6B">
        <w:rPr>
          <w:rFonts w:ascii="Times New Roman" w:hAnsi="Times New Roman" w:cs="Times New Roman"/>
          <w:color w:val="222222"/>
          <w:u w:color="222222"/>
          <w:shd w:val="clear" w:color="auto" w:fill="FFFFFF"/>
        </w:rPr>
        <w:t xml:space="preserve">2023. </w:t>
      </w:r>
      <w:r w:rsidRPr="009C5AD8">
        <w:rPr>
          <w:rFonts w:ascii="Times New Roman" w:hAnsi="Times New Roman" w:cs="Times New Roman"/>
          <w:i/>
          <w:iCs/>
          <w:color w:val="222222"/>
          <w:u w:color="222222"/>
          <w:shd w:val="clear" w:color="auto" w:fill="FFFFFF"/>
        </w:rPr>
        <w:t>Statehood à la Carte in the Caribbean and the Pacific: Secession, Regionalism, and Postcolonial Politics</w:t>
      </w:r>
      <w:r w:rsidRPr="009C5AD8">
        <w:rPr>
          <w:rFonts w:ascii="Times New Roman" w:hAnsi="Times New Roman" w:cs="Times New Roman"/>
          <w:color w:val="222222"/>
          <w:u w:color="222222"/>
          <w:shd w:val="clear" w:color="auto" w:fill="FFFFFF"/>
        </w:rPr>
        <w:t>. Oxford University Press</w:t>
      </w:r>
      <w:r w:rsidR="00512B6B">
        <w:rPr>
          <w:rFonts w:ascii="Times New Roman" w:hAnsi="Times New Roman" w:cs="Times New Roman"/>
          <w:color w:val="222222"/>
          <w:u w:color="222222"/>
          <w:shd w:val="clear" w:color="auto" w:fill="FFFFFF"/>
        </w:rPr>
        <w:t>.</w:t>
      </w:r>
    </w:p>
    <w:p w14:paraId="68192F66" w14:textId="4E1EFA1D"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lang w:val="nl-NL"/>
        </w:rPr>
        <w:t>Corbett, J</w:t>
      </w:r>
      <w:r w:rsidR="009C5AD8" w:rsidRPr="009C5AD8">
        <w:rPr>
          <w:rFonts w:ascii="Times New Roman" w:hAnsi="Times New Roman" w:cs="Times New Roman"/>
          <w:color w:val="222222"/>
          <w:u w:color="222222"/>
          <w:shd w:val="clear" w:color="auto" w:fill="FFFFFF"/>
          <w:lang w:val="nl-NL"/>
        </w:rPr>
        <w:t>ack</w:t>
      </w:r>
      <w:r w:rsidRPr="009C5AD8">
        <w:rPr>
          <w:rFonts w:ascii="Times New Roman" w:hAnsi="Times New Roman" w:cs="Times New Roman"/>
          <w:color w:val="222222"/>
          <w:u w:color="222222"/>
          <w:shd w:val="clear" w:color="auto" w:fill="FFFFFF"/>
          <w:lang w:val="nl-NL"/>
        </w:rPr>
        <w:t>, and W</w:t>
      </w:r>
      <w:r w:rsidR="00512B6B">
        <w:rPr>
          <w:rFonts w:ascii="Times New Roman" w:hAnsi="Times New Roman" w:cs="Times New Roman"/>
          <w:color w:val="222222"/>
          <w:u w:color="222222"/>
          <w:shd w:val="clear" w:color="auto" w:fill="FFFFFF"/>
          <w:lang w:val="nl-NL"/>
        </w:rPr>
        <w:t xml:space="preserve">outer </w:t>
      </w:r>
      <w:r w:rsidRPr="009C5AD8">
        <w:rPr>
          <w:rFonts w:ascii="Times New Roman" w:hAnsi="Times New Roman" w:cs="Times New Roman"/>
          <w:color w:val="222222"/>
          <w:u w:color="222222"/>
          <w:shd w:val="clear" w:color="auto" w:fill="FFFFFF"/>
          <w:lang w:val="nl-NL"/>
        </w:rPr>
        <w:t>P. Veenendaal.</w:t>
      </w:r>
      <w:r w:rsidR="00512B6B">
        <w:rPr>
          <w:rFonts w:ascii="Times New Roman" w:hAnsi="Times New Roman" w:cs="Times New Roman"/>
          <w:color w:val="222222"/>
          <w:u w:color="222222"/>
          <w:shd w:val="clear" w:color="auto" w:fill="FFFFFF"/>
          <w:lang w:val="nl-NL"/>
        </w:rPr>
        <w:t xml:space="preserve"> 2018.</w:t>
      </w:r>
      <w:r w:rsidRPr="009C5AD8">
        <w:rPr>
          <w:rFonts w:ascii="Times New Roman" w:hAnsi="Times New Roman" w:cs="Times New Roman"/>
          <w:color w:val="222222"/>
          <w:u w:color="222222"/>
          <w:shd w:val="clear" w:color="auto" w:fill="FFFFFF"/>
        </w:rPr>
        <w:t> </w:t>
      </w:r>
      <w:r w:rsidRPr="009C5AD8">
        <w:rPr>
          <w:rFonts w:ascii="Times New Roman" w:hAnsi="Times New Roman" w:cs="Times New Roman"/>
          <w:i/>
          <w:iCs/>
          <w:color w:val="222222"/>
          <w:u w:color="222222"/>
          <w:shd w:val="clear" w:color="auto" w:fill="FFFFFF"/>
        </w:rPr>
        <w:t>Democracy in small states: Persisting against all odds</w:t>
      </w:r>
      <w:r w:rsidRPr="009C5AD8">
        <w:rPr>
          <w:rFonts w:ascii="Times New Roman" w:hAnsi="Times New Roman" w:cs="Times New Roman"/>
          <w:color w:val="222222"/>
          <w:u w:color="222222"/>
          <w:shd w:val="clear" w:color="auto" w:fill="FFFFFF"/>
        </w:rPr>
        <w:t>. Oxford University Press</w:t>
      </w:r>
      <w:r w:rsidR="00512B6B">
        <w:rPr>
          <w:rFonts w:ascii="Times New Roman" w:hAnsi="Times New Roman" w:cs="Times New Roman"/>
          <w:color w:val="222222"/>
          <w:u w:color="222222"/>
          <w:shd w:val="clear" w:color="auto" w:fill="FFFFFF"/>
        </w:rPr>
        <w:t>.</w:t>
      </w:r>
    </w:p>
    <w:p w14:paraId="293C38D1" w14:textId="37A51451" w:rsidR="00C17169" w:rsidRPr="009C5AD8"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Coser, L</w:t>
      </w:r>
      <w:r w:rsidR="00512B6B">
        <w:rPr>
          <w:rFonts w:ascii="Times New Roman" w:hAnsi="Times New Roman" w:cs="Times New Roman"/>
        </w:rPr>
        <w:t>ewis</w:t>
      </w:r>
      <w:r w:rsidRPr="009C5AD8">
        <w:rPr>
          <w:rFonts w:ascii="Times New Roman" w:hAnsi="Times New Roman" w:cs="Times New Roman"/>
        </w:rPr>
        <w:t xml:space="preserve"> A. 1974</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Greedy Institutions. Patterns of Undivided Commitment</w:t>
      </w:r>
      <w:r w:rsidRPr="009C5AD8">
        <w:rPr>
          <w:rFonts w:ascii="Times New Roman" w:hAnsi="Times New Roman" w:cs="Times New Roman"/>
        </w:rPr>
        <w:t>. New York: The Free Press.</w:t>
      </w:r>
    </w:p>
    <w:p w14:paraId="7112ADBB" w14:textId="35835589" w:rsidR="00C85151" w:rsidRPr="009C5AD8" w:rsidRDefault="00C85151">
      <w:pPr>
        <w:pStyle w:val="Body"/>
        <w:spacing w:after="240" w:line="480" w:lineRule="auto"/>
        <w:ind w:firstLine="720"/>
        <w:rPr>
          <w:rFonts w:ascii="Times New Roman" w:eastAsia="Times New Roman" w:hAnsi="Times New Roman" w:cs="Times New Roman"/>
        </w:rPr>
      </w:pPr>
      <w:r w:rsidRPr="009C5AD8">
        <w:rPr>
          <w:rFonts w:ascii="Times New Roman" w:eastAsia="Times New Roman" w:hAnsi="Times New Roman" w:cs="Times New Roman"/>
        </w:rPr>
        <w:lastRenderedPageBreak/>
        <w:t>Cotton, J</w:t>
      </w:r>
      <w:r w:rsidR="009C5AD8" w:rsidRPr="009C5AD8">
        <w:rPr>
          <w:rFonts w:ascii="Times New Roman" w:eastAsia="Times New Roman" w:hAnsi="Times New Roman" w:cs="Times New Roman"/>
        </w:rPr>
        <w:t>ames</w:t>
      </w:r>
      <w:r w:rsidR="00512B6B">
        <w:rPr>
          <w:rFonts w:ascii="Times New Roman" w:eastAsia="Times New Roman" w:hAnsi="Times New Roman" w:cs="Times New Roman"/>
        </w:rPr>
        <w:t>.</w:t>
      </w:r>
      <w:r w:rsidRPr="009C5AD8">
        <w:rPr>
          <w:rFonts w:ascii="Times New Roman" w:eastAsia="Times New Roman" w:hAnsi="Times New Roman" w:cs="Times New Roman"/>
        </w:rPr>
        <w:t xml:space="preserve"> 2009. Realism, rationalism, race: on the early international relations discipline in Australia. </w:t>
      </w:r>
      <w:r w:rsidRPr="009C5AD8">
        <w:rPr>
          <w:rFonts w:ascii="Times New Roman" w:eastAsia="Times New Roman" w:hAnsi="Times New Roman" w:cs="Times New Roman"/>
          <w:i/>
          <w:iCs/>
        </w:rPr>
        <w:t>International Studies Quarterly</w:t>
      </w:r>
      <w:r w:rsidRPr="009C5AD8">
        <w:rPr>
          <w:rFonts w:ascii="Times New Roman" w:eastAsia="Times New Roman" w:hAnsi="Times New Roman" w:cs="Times New Roman"/>
        </w:rPr>
        <w:t>, </w:t>
      </w:r>
      <w:r w:rsidRPr="009C5AD8">
        <w:rPr>
          <w:rFonts w:ascii="Times New Roman" w:eastAsia="Times New Roman" w:hAnsi="Times New Roman" w:cs="Times New Roman"/>
          <w:i/>
          <w:iCs/>
        </w:rPr>
        <w:t>53</w:t>
      </w:r>
      <w:r w:rsidRPr="009C5AD8">
        <w:rPr>
          <w:rFonts w:ascii="Times New Roman" w:eastAsia="Times New Roman" w:hAnsi="Times New Roman" w:cs="Times New Roman"/>
        </w:rPr>
        <w:t>(3), 627-647.</w:t>
      </w:r>
    </w:p>
    <w:p w14:paraId="065C7ED3" w14:textId="23BDCF0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lang w:val="da-DK"/>
        </w:rPr>
        <w:t>Dahl, R</w:t>
      </w:r>
      <w:r w:rsidR="009C5AD8" w:rsidRPr="009C5AD8">
        <w:rPr>
          <w:rFonts w:ascii="Times New Roman" w:hAnsi="Times New Roman" w:cs="Times New Roman"/>
          <w:color w:val="222222"/>
          <w:u w:color="222222"/>
          <w:shd w:val="clear" w:color="auto" w:fill="FFFFFF"/>
          <w:lang w:val="da-DK"/>
        </w:rPr>
        <w:t>obert</w:t>
      </w:r>
      <w:r w:rsidRPr="009C5AD8">
        <w:rPr>
          <w:rFonts w:ascii="Times New Roman" w:hAnsi="Times New Roman" w:cs="Times New Roman"/>
          <w:color w:val="222222"/>
          <w:u w:color="222222"/>
          <w:shd w:val="clear" w:color="auto" w:fill="FFFFFF"/>
          <w:lang w:val="da-DK"/>
        </w:rPr>
        <w:t xml:space="preserve"> A.</w:t>
      </w:r>
      <w:r w:rsidRPr="009C5AD8">
        <w:rPr>
          <w:rFonts w:ascii="Times New Roman" w:hAnsi="Times New Roman" w:cs="Times New Roman"/>
          <w:color w:val="222222"/>
          <w:u w:color="222222"/>
          <w:shd w:val="clear" w:color="auto" w:fill="FFFFFF"/>
        </w:rPr>
        <w:t> </w:t>
      </w:r>
      <w:r w:rsidR="00512B6B">
        <w:rPr>
          <w:rFonts w:ascii="Times New Roman" w:hAnsi="Times New Roman" w:cs="Times New Roman"/>
          <w:color w:val="222222"/>
          <w:u w:color="222222"/>
          <w:shd w:val="clear" w:color="auto" w:fill="FFFFFF"/>
        </w:rPr>
        <w:t xml:space="preserve">1961. </w:t>
      </w:r>
      <w:r w:rsidRPr="009C5AD8">
        <w:rPr>
          <w:rFonts w:ascii="Times New Roman" w:hAnsi="Times New Roman" w:cs="Times New Roman"/>
          <w:i/>
          <w:iCs/>
          <w:color w:val="222222"/>
          <w:u w:color="222222"/>
          <w:shd w:val="clear" w:color="auto" w:fill="FFFFFF"/>
        </w:rPr>
        <w:t xml:space="preserve">Who </w:t>
      </w:r>
      <w:proofErr w:type="gramStart"/>
      <w:r w:rsidRPr="009C5AD8">
        <w:rPr>
          <w:rFonts w:ascii="Times New Roman" w:hAnsi="Times New Roman" w:cs="Times New Roman"/>
          <w:i/>
          <w:iCs/>
          <w:color w:val="222222"/>
          <w:u w:color="222222"/>
          <w:shd w:val="clear" w:color="auto" w:fill="FFFFFF"/>
        </w:rPr>
        <w:t>governs?:</w:t>
      </w:r>
      <w:proofErr w:type="gramEnd"/>
      <w:r w:rsidRPr="009C5AD8">
        <w:rPr>
          <w:rFonts w:ascii="Times New Roman" w:hAnsi="Times New Roman" w:cs="Times New Roman"/>
          <w:i/>
          <w:iCs/>
          <w:color w:val="222222"/>
          <w:u w:color="222222"/>
          <w:shd w:val="clear" w:color="auto" w:fill="FFFFFF"/>
        </w:rPr>
        <w:t xml:space="preserve"> Democracy and power in an American city</w:t>
      </w:r>
      <w:r w:rsidRPr="009C5AD8">
        <w:rPr>
          <w:rFonts w:ascii="Times New Roman" w:hAnsi="Times New Roman" w:cs="Times New Roman"/>
          <w:color w:val="222222"/>
          <w:u w:color="222222"/>
          <w:shd w:val="clear" w:color="auto" w:fill="FFFFFF"/>
        </w:rPr>
        <w:t>. Yale University Press</w:t>
      </w:r>
      <w:r w:rsidR="00512B6B">
        <w:rPr>
          <w:rFonts w:ascii="Times New Roman" w:hAnsi="Times New Roman" w:cs="Times New Roman"/>
          <w:color w:val="222222"/>
          <w:u w:color="222222"/>
          <w:shd w:val="clear" w:color="auto" w:fill="FFFFFF"/>
        </w:rPr>
        <w:t>.</w:t>
      </w:r>
    </w:p>
    <w:p w14:paraId="257A106A" w14:textId="106DC84B" w:rsidR="00C17169" w:rsidRPr="00330019" w:rsidRDefault="008B22BF">
      <w:pPr>
        <w:pStyle w:val="Body"/>
        <w:shd w:val="clear" w:color="auto" w:fill="FFFFFF"/>
        <w:spacing w:after="240" w:line="480" w:lineRule="auto"/>
        <w:ind w:firstLine="720"/>
        <w:rPr>
          <w:rFonts w:ascii="Times New Roman" w:hAnsi="Times New Roman" w:cs="Times New Roman"/>
          <w:color w:val="333333"/>
          <w:u w:color="333333"/>
          <w:shd w:val="clear" w:color="auto" w:fill="FFFFFF"/>
        </w:rPr>
      </w:pPr>
      <w:r w:rsidRPr="00330019">
        <w:rPr>
          <w:rFonts w:ascii="Times New Roman" w:hAnsi="Times New Roman" w:cs="Times New Roman"/>
        </w:rPr>
        <w:t>Denzin, N</w:t>
      </w:r>
      <w:r w:rsidR="00512B6B">
        <w:rPr>
          <w:rFonts w:ascii="Times New Roman" w:hAnsi="Times New Roman" w:cs="Times New Roman"/>
        </w:rPr>
        <w:t>orman</w:t>
      </w:r>
      <w:r w:rsidRPr="00330019">
        <w:rPr>
          <w:rFonts w:ascii="Times New Roman" w:hAnsi="Times New Roman" w:cs="Times New Roman"/>
        </w:rPr>
        <w:t xml:space="preserve"> </w:t>
      </w:r>
      <w:proofErr w:type="gramStart"/>
      <w:r w:rsidRPr="00330019">
        <w:rPr>
          <w:rFonts w:ascii="Times New Roman" w:hAnsi="Times New Roman" w:cs="Times New Roman"/>
        </w:rPr>
        <w:t>K.</w:t>
      </w:r>
      <w:proofErr w:type="gramEnd"/>
      <w:r w:rsidRPr="00330019">
        <w:rPr>
          <w:rFonts w:ascii="Times New Roman" w:hAnsi="Times New Roman" w:cs="Times New Roman"/>
        </w:rPr>
        <w:t xml:space="preserve"> and Lincoln, </w:t>
      </w:r>
      <w:proofErr w:type="spellStart"/>
      <w:r w:rsidRPr="00330019">
        <w:rPr>
          <w:rFonts w:ascii="Times New Roman" w:hAnsi="Times New Roman" w:cs="Times New Roman"/>
        </w:rPr>
        <w:t>Y</w:t>
      </w:r>
      <w:r w:rsidR="00512B6B">
        <w:rPr>
          <w:rFonts w:ascii="Times New Roman" w:hAnsi="Times New Roman" w:cs="Times New Roman"/>
        </w:rPr>
        <w:t>vonna</w:t>
      </w:r>
      <w:r w:rsidRPr="00330019">
        <w:rPr>
          <w:rFonts w:ascii="Times New Roman" w:hAnsi="Times New Roman" w:cs="Times New Roman"/>
        </w:rPr>
        <w:t>S</w:t>
      </w:r>
      <w:proofErr w:type="spellEnd"/>
      <w:r w:rsidRPr="00330019">
        <w:rPr>
          <w:rFonts w:ascii="Times New Roman" w:hAnsi="Times New Roman" w:cs="Times New Roman"/>
        </w:rPr>
        <w:t>. 2011 [1994]</w:t>
      </w:r>
      <w:r w:rsidR="00512B6B">
        <w:rPr>
          <w:rFonts w:ascii="Times New Roman" w:hAnsi="Times New Roman" w:cs="Times New Roman"/>
        </w:rPr>
        <w:t>.</w:t>
      </w:r>
      <w:r w:rsidRPr="00330019">
        <w:rPr>
          <w:rFonts w:ascii="Times New Roman" w:hAnsi="Times New Roman" w:cs="Times New Roman"/>
        </w:rPr>
        <w:t xml:space="preserve"> </w:t>
      </w:r>
      <w:r w:rsidRPr="00330019">
        <w:rPr>
          <w:rFonts w:ascii="Times New Roman" w:hAnsi="Times New Roman" w:cs="Times New Roman"/>
          <w:rtl/>
        </w:rPr>
        <w:t>‘</w:t>
      </w:r>
      <w:r w:rsidRPr="00330019">
        <w:rPr>
          <w:rFonts w:ascii="Times New Roman" w:hAnsi="Times New Roman" w:cs="Times New Roman"/>
        </w:rPr>
        <w:t>Introduction: the discipline and practice of qualitative research</w:t>
      </w:r>
      <w:r w:rsidRPr="00330019">
        <w:rPr>
          <w:rFonts w:ascii="Times New Roman" w:hAnsi="Times New Roman" w:cs="Times New Roman"/>
          <w:rtl/>
        </w:rPr>
        <w:t>’</w:t>
      </w:r>
      <w:r w:rsidRPr="00330019">
        <w:rPr>
          <w:rFonts w:ascii="Times New Roman" w:hAnsi="Times New Roman" w:cs="Times New Roman"/>
        </w:rPr>
        <w:t xml:space="preserve">. In Denzin, and. Lincoln (Eds.) </w:t>
      </w:r>
      <w:r w:rsidRPr="00330019">
        <w:rPr>
          <w:rFonts w:ascii="Times New Roman" w:hAnsi="Times New Roman" w:cs="Times New Roman"/>
          <w:i/>
          <w:iCs/>
        </w:rPr>
        <w:t>Handbook of Qualitative Research,</w:t>
      </w:r>
      <w:r w:rsidRPr="00330019">
        <w:rPr>
          <w:rFonts w:ascii="Times New Roman" w:hAnsi="Times New Roman" w:cs="Times New Roman"/>
        </w:rPr>
        <w:t xml:space="preserve"> 4th edition, London: Sage, pp. 1-32</w:t>
      </w:r>
    </w:p>
    <w:p w14:paraId="56D468FB" w14:textId="5EA992A7"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Dubois, V</w:t>
      </w:r>
      <w:r w:rsidR="009C5AD8" w:rsidRPr="009C5AD8">
        <w:rPr>
          <w:rFonts w:ascii="Times New Roman" w:hAnsi="Times New Roman" w:cs="Times New Roman"/>
        </w:rPr>
        <w:t>incent</w:t>
      </w:r>
      <w:r w:rsidRPr="009C5AD8">
        <w:rPr>
          <w:rFonts w:ascii="Times New Roman" w:hAnsi="Times New Roman" w:cs="Times New Roman"/>
        </w:rPr>
        <w:t xml:space="preserve"> 2010. </w:t>
      </w:r>
      <w:r w:rsidRPr="009C5AD8">
        <w:rPr>
          <w:rFonts w:ascii="Times New Roman" w:hAnsi="Times New Roman" w:cs="Times New Roman"/>
          <w:i/>
          <w:iCs/>
        </w:rPr>
        <w:t>The bureaucrat and the poor: Encounters in French welfare offices</w:t>
      </w:r>
      <w:r w:rsidRPr="009C5AD8">
        <w:rPr>
          <w:rFonts w:ascii="Times New Roman" w:hAnsi="Times New Roman" w:cs="Times New Roman"/>
        </w:rPr>
        <w:t>. London; Routledge</w:t>
      </w:r>
    </w:p>
    <w:p w14:paraId="4656D739" w14:textId="77777777" w:rsidR="003B3B2D" w:rsidRPr="00F840B9" w:rsidRDefault="003B3B2D" w:rsidP="003B3B2D">
      <w:pPr>
        <w:pStyle w:val="ListParagraph"/>
        <w:spacing w:line="480" w:lineRule="auto"/>
        <w:ind w:left="357" w:firstLine="352"/>
      </w:pPr>
      <w:r>
        <w:rPr>
          <w:rFonts w:cs="Times New Roman"/>
        </w:rPr>
        <w:t xml:space="preserve">Fleming, J.  and </w:t>
      </w:r>
      <w:r w:rsidRPr="00330019">
        <w:rPr>
          <w:rFonts w:cs="Times New Roman"/>
        </w:rPr>
        <w:t>Rhodes, R. A. W. 20</w:t>
      </w:r>
      <w:r>
        <w:rPr>
          <w:rFonts w:cs="Times New Roman"/>
        </w:rPr>
        <w:t>2</w:t>
      </w:r>
      <w:r w:rsidRPr="00330019">
        <w:rPr>
          <w:rFonts w:cs="Times New Roman"/>
        </w:rPr>
        <w:t>3</w:t>
      </w:r>
      <w:r>
        <w:rPr>
          <w:rFonts w:cs="Times New Roman"/>
        </w:rPr>
        <w:t>.</w:t>
      </w:r>
      <w:r w:rsidRPr="00330019">
        <w:rPr>
          <w:rFonts w:cs="Times New Roman"/>
        </w:rPr>
        <w:t xml:space="preserve"> ‘When is Ethnography “proper” Ethnography? in Fleming, J. and Charman, S. (Eds.) </w:t>
      </w:r>
      <w:r w:rsidRPr="00330019">
        <w:rPr>
          <w:rFonts w:cs="Times New Roman"/>
          <w:i/>
          <w:iCs/>
        </w:rPr>
        <w:t>Routledge International</w:t>
      </w:r>
      <w:r w:rsidRPr="00330019">
        <w:rPr>
          <w:rFonts w:cs="Times New Roman"/>
        </w:rPr>
        <w:t xml:space="preserve"> </w:t>
      </w:r>
      <w:r w:rsidRPr="00330019">
        <w:rPr>
          <w:rFonts w:cs="Times New Roman"/>
          <w:i/>
          <w:iCs/>
        </w:rPr>
        <w:t xml:space="preserve">Handbook of Police </w:t>
      </w:r>
      <w:r w:rsidRPr="00F840B9">
        <w:t>Ethnography</w:t>
      </w:r>
      <w:r w:rsidRPr="00D35827">
        <w:t xml:space="preserve"> Abingdon, Oxon: Routledge, pp. 53-70. </w:t>
      </w:r>
    </w:p>
    <w:p w14:paraId="5E37A7DA" w14:textId="3D37F109" w:rsidR="00031571" w:rsidRPr="00031571" w:rsidRDefault="00031571">
      <w:pPr>
        <w:pStyle w:val="Body"/>
        <w:spacing w:after="240" w:line="480" w:lineRule="auto"/>
        <w:ind w:firstLine="720"/>
        <w:rPr>
          <w:rFonts w:ascii="Times New Roman" w:hAnsi="Times New Roman" w:cs="Times New Roman"/>
          <w:color w:val="222222"/>
          <w:u w:color="222222"/>
          <w:shd w:val="clear" w:color="auto" w:fill="FFFFFF"/>
        </w:rPr>
      </w:pPr>
      <w:proofErr w:type="spellStart"/>
      <w:r w:rsidRPr="00330019">
        <w:rPr>
          <w:rFonts w:ascii="Times New Roman" w:hAnsi="Times New Roman" w:cs="Times New Roman"/>
        </w:rPr>
        <w:t>Flyvbjerg</w:t>
      </w:r>
      <w:proofErr w:type="spellEnd"/>
      <w:r w:rsidRPr="00330019">
        <w:rPr>
          <w:rFonts w:ascii="Times New Roman" w:hAnsi="Times New Roman" w:cs="Times New Roman"/>
        </w:rPr>
        <w:t xml:space="preserve">, B. (2006). ‘Five Misunderstandings About Case-Study Research’. </w:t>
      </w:r>
      <w:r w:rsidRPr="00330019">
        <w:rPr>
          <w:rFonts w:ascii="Times New Roman" w:hAnsi="Times New Roman" w:cs="Times New Roman"/>
          <w:i/>
          <w:iCs/>
        </w:rPr>
        <w:t>Qualitative Inquiry</w:t>
      </w:r>
      <w:r w:rsidRPr="00330019">
        <w:rPr>
          <w:rFonts w:ascii="Times New Roman" w:hAnsi="Times New Roman" w:cs="Times New Roman"/>
        </w:rPr>
        <w:t>, 12(2), 219-245.</w:t>
      </w:r>
      <w:r w:rsidRPr="00031571">
        <w:rPr>
          <w:rFonts w:ascii="Times New Roman" w:hAnsi="Times New Roman" w:cs="Times New Roman"/>
          <w:color w:val="222222"/>
          <w:u w:color="222222"/>
          <w:shd w:val="clear" w:color="auto" w:fill="FFFFFF"/>
        </w:rPr>
        <w:t xml:space="preserve"> </w:t>
      </w:r>
    </w:p>
    <w:p w14:paraId="2DCC410C" w14:textId="30235ECA"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rPr>
        <w:t>Fraenkel, J</w:t>
      </w:r>
      <w:r w:rsidR="009C5AD8" w:rsidRPr="009C5AD8">
        <w:rPr>
          <w:rFonts w:ascii="Times New Roman" w:hAnsi="Times New Roman" w:cs="Times New Roman"/>
          <w:color w:val="222222"/>
          <w:u w:color="222222"/>
          <w:shd w:val="clear" w:color="auto" w:fill="FFFFFF"/>
        </w:rPr>
        <w:t>ohn</w:t>
      </w:r>
      <w:r w:rsidRPr="009C5AD8">
        <w:rPr>
          <w:rFonts w:ascii="Times New Roman" w:hAnsi="Times New Roman" w:cs="Times New Roman"/>
          <w:color w:val="222222"/>
          <w:u w:color="222222"/>
          <w:shd w:val="clear" w:color="auto" w:fill="FFFFFF"/>
        </w:rPr>
        <w:t>, and B</w:t>
      </w:r>
      <w:r w:rsidR="00512B6B">
        <w:rPr>
          <w:rFonts w:ascii="Times New Roman" w:hAnsi="Times New Roman" w:cs="Times New Roman"/>
          <w:color w:val="222222"/>
          <w:u w:color="222222"/>
          <w:shd w:val="clear" w:color="auto" w:fill="FFFFFF"/>
        </w:rPr>
        <w:t>ernard</w:t>
      </w:r>
      <w:r w:rsidRPr="009C5AD8">
        <w:rPr>
          <w:rFonts w:ascii="Times New Roman" w:hAnsi="Times New Roman" w:cs="Times New Roman"/>
          <w:color w:val="222222"/>
          <w:u w:color="222222"/>
          <w:shd w:val="clear" w:color="auto" w:fill="FFFFFF"/>
        </w:rPr>
        <w:t xml:space="preserve"> </w:t>
      </w:r>
      <w:proofErr w:type="spellStart"/>
      <w:r w:rsidRPr="009C5AD8">
        <w:rPr>
          <w:rFonts w:ascii="Times New Roman" w:hAnsi="Times New Roman" w:cs="Times New Roman"/>
          <w:color w:val="222222"/>
          <w:u w:color="222222"/>
          <w:shd w:val="clear" w:color="auto" w:fill="FFFFFF"/>
        </w:rPr>
        <w:t>Grofman</w:t>
      </w:r>
      <w:proofErr w:type="spellEnd"/>
      <w:r w:rsidRPr="009C5AD8">
        <w:rPr>
          <w:rFonts w:ascii="Times New Roman" w:hAnsi="Times New Roman" w:cs="Times New Roman"/>
          <w:color w:val="222222"/>
          <w:u w:color="222222"/>
          <w:shd w:val="clear" w:color="auto" w:fill="FFFFFF"/>
        </w:rPr>
        <w:t>.</w:t>
      </w:r>
      <w:r w:rsidR="00512B6B">
        <w:rPr>
          <w:rFonts w:ascii="Times New Roman" w:hAnsi="Times New Roman" w:cs="Times New Roman"/>
          <w:color w:val="222222"/>
          <w:u w:color="222222"/>
          <w:shd w:val="clear" w:color="auto" w:fill="FFFFFF"/>
        </w:rPr>
        <w:t xml:space="preserve"> 2006.</w:t>
      </w:r>
      <w:r w:rsidRPr="009C5AD8">
        <w:rPr>
          <w:rFonts w:ascii="Times New Roman" w:hAnsi="Times New Roman" w:cs="Times New Roman"/>
          <w:color w:val="222222"/>
          <w:u w:color="222222"/>
          <w:shd w:val="clear" w:color="auto" w:fill="FFFFFF"/>
        </w:rPr>
        <w:t xml:space="preserve"> "Does the alternative vote foster moderation in ethnically divided societies? The case of Fiji." </w:t>
      </w:r>
      <w:r w:rsidRPr="009C5AD8">
        <w:rPr>
          <w:rFonts w:ascii="Times New Roman" w:hAnsi="Times New Roman" w:cs="Times New Roman"/>
          <w:i/>
          <w:iCs/>
          <w:color w:val="222222"/>
          <w:u w:color="222222"/>
          <w:shd w:val="clear" w:color="auto" w:fill="FFFFFF"/>
        </w:rPr>
        <w:t>Comparative political studies</w:t>
      </w:r>
      <w:r w:rsidRPr="009C5AD8">
        <w:rPr>
          <w:rFonts w:ascii="Times New Roman" w:hAnsi="Times New Roman" w:cs="Times New Roman"/>
          <w:color w:val="222222"/>
          <w:u w:color="222222"/>
          <w:shd w:val="clear" w:color="auto" w:fill="FFFFFF"/>
        </w:rPr>
        <w:t> 39.5: 623-651</w:t>
      </w:r>
    </w:p>
    <w:p w14:paraId="0FE8375D" w14:textId="318514D0"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George, A</w:t>
      </w:r>
      <w:r w:rsidR="00512B6B">
        <w:rPr>
          <w:rFonts w:ascii="Times New Roman" w:hAnsi="Times New Roman" w:cs="Times New Roman"/>
        </w:rPr>
        <w:t>lexander</w:t>
      </w:r>
      <w:r w:rsidRPr="009C5AD8">
        <w:rPr>
          <w:rFonts w:ascii="Times New Roman" w:hAnsi="Times New Roman" w:cs="Times New Roman"/>
        </w:rPr>
        <w:t xml:space="preserve"> L. and Bennett, A</w:t>
      </w:r>
      <w:r w:rsidR="009C5AD8" w:rsidRPr="009C5AD8">
        <w:rPr>
          <w:rFonts w:ascii="Times New Roman" w:hAnsi="Times New Roman" w:cs="Times New Roman"/>
        </w:rPr>
        <w:t>ndrew</w:t>
      </w:r>
      <w:r w:rsidR="00512B6B">
        <w:rPr>
          <w:rFonts w:ascii="Times New Roman" w:hAnsi="Times New Roman" w:cs="Times New Roman"/>
        </w:rPr>
        <w:t>.</w:t>
      </w:r>
      <w:r w:rsidRPr="009C5AD8">
        <w:rPr>
          <w:rFonts w:ascii="Times New Roman" w:hAnsi="Times New Roman" w:cs="Times New Roman"/>
        </w:rPr>
        <w:t xml:space="preserve"> 2005</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CASE Studies and Theory Development in the Social Sciences</w:t>
      </w:r>
      <w:r w:rsidRPr="009C5AD8">
        <w:rPr>
          <w:rFonts w:ascii="Times New Roman" w:hAnsi="Times New Roman" w:cs="Times New Roman"/>
        </w:rPr>
        <w:t xml:space="preserve">. Cambridge, Mass: MIT Press. </w:t>
      </w:r>
    </w:p>
    <w:p w14:paraId="24B1B7F1" w14:textId="31C36038" w:rsidR="00512B6B" w:rsidRDefault="008B22BF">
      <w:pPr>
        <w:pStyle w:val="Body"/>
        <w:spacing w:after="240" w:line="480" w:lineRule="auto"/>
        <w:ind w:firstLine="720"/>
        <w:rPr>
          <w:rFonts w:ascii="Times New Roman" w:hAnsi="Times New Roman" w:cs="Times New Roman"/>
        </w:rPr>
      </w:pPr>
      <w:proofErr w:type="spellStart"/>
      <w:r w:rsidRPr="009C5AD8">
        <w:rPr>
          <w:rFonts w:ascii="Times New Roman" w:hAnsi="Times New Roman" w:cs="Times New Roman"/>
        </w:rPr>
        <w:t>Gerring</w:t>
      </w:r>
      <w:proofErr w:type="spellEnd"/>
      <w:r w:rsidRPr="009C5AD8">
        <w:rPr>
          <w:rFonts w:ascii="Times New Roman" w:hAnsi="Times New Roman" w:cs="Times New Roman"/>
        </w:rPr>
        <w:t>, J</w:t>
      </w:r>
      <w:r w:rsidR="009C5AD8" w:rsidRPr="009C5AD8">
        <w:rPr>
          <w:rFonts w:ascii="Times New Roman" w:hAnsi="Times New Roman" w:cs="Times New Roman"/>
        </w:rPr>
        <w:t>ohn</w:t>
      </w:r>
      <w:r w:rsidR="00512B6B">
        <w:rPr>
          <w:rFonts w:ascii="Times New Roman" w:hAnsi="Times New Roman" w:cs="Times New Roman"/>
        </w:rPr>
        <w:t>.</w:t>
      </w:r>
      <w:r w:rsidRPr="009C5AD8">
        <w:rPr>
          <w:rFonts w:ascii="Times New Roman" w:hAnsi="Times New Roman" w:cs="Times New Roman"/>
        </w:rPr>
        <w:t xml:space="preserve"> 2012. Mere description. </w:t>
      </w:r>
      <w:r w:rsidRPr="009C5AD8">
        <w:rPr>
          <w:rFonts w:ascii="Times New Roman" w:hAnsi="Times New Roman" w:cs="Times New Roman"/>
          <w:i/>
          <w:iCs/>
        </w:rPr>
        <w:t>British Journal of Political Science</w:t>
      </w:r>
      <w:r w:rsidRPr="009C5AD8">
        <w:rPr>
          <w:rFonts w:ascii="Times New Roman" w:hAnsi="Times New Roman" w:cs="Times New Roman"/>
        </w:rPr>
        <w:t>, </w:t>
      </w:r>
      <w:r w:rsidRPr="009C5AD8">
        <w:rPr>
          <w:rFonts w:ascii="Times New Roman" w:hAnsi="Times New Roman" w:cs="Times New Roman"/>
          <w:i/>
          <w:iCs/>
        </w:rPr>
        <w:t>42</w:t>
      </w:r>
      <w:r w:rsidRPr="009C5AD8">
        <w:rPr>
          <w:rFonts w:ascii="Times New Roman" w:hAnsi="Times New Roman" w:cs="Times New Roman"/>
        </w:rPr>
        <w:t>(4), 721-746.</w:t>
      </w:r>
    </w:p>
    <w:p w14:paraId="5AA0A1A2" w14:textId="081AD033"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lastRenderedPageBreak/>
        <w:t>Gough, D</w:t>
      </w:r>
      <w:r w:rsidR="00512B6B">
        <w:rPr>
          <w:rFonts w:ascii="Times New Roman" w:hAnsi="Times New Roman" w:cs="Times New Roman"/>
        </w:rPr>
        <w:t>avid</w:t>
      </w:r>
      <w:r w:rsidRPr="009C5AD8">
        <w:rPr>
          <w:rFonts w:ascii="Times New Roman" w:hAnsi="Times New Roman" w:cs="Times New Roman"/>
        </w:rPr>
        <w:t xml:space="preserve">. 2013. Meta-narrative and realist reviews: Guidance, rules, publication standards and quality appraisal. </w:t>
      </w:r>
      <w:r w:rsidRPr="009C5AD8">
        <w:rPr>
          <w:rFonts w:ascii="Times New Roman" w:hAnsi="Times New Roman" w:cs="Times New Roman"/>
          <w:i/>
          <w:iCs/>
          <w:lang w:val="it-IT"/>
        </w:rPr>
        <w:t>BMC Medicine</w:t>
      </w:r>
      <w:r w:rsidRPr="009C5AD8">
        <w:rPr>
          <w:rFonts w:ascii="Times New Roman" w:hAnsi="Times New Roman" w:cs="Times New Roman"/>
        </w:rPr>
        <w:t xml:space="preserve"> 11 (1): 1–4.</w:t>
      </w:r>
    </w:p>
    <w:p w14:paraId="5F659C31" w14:textId="4D2C3C3F"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Hodgett, S</w:t>
      </w:r>
      <w:r w:rsidR="009C5AD8" w:rsidRPr="009C5AD8">
        <w:rPr>
          <w:rFonts w:ascii="Times New Roman" w:hAnsi="Times New Roman" w:cs="Times New Roman"/>
        </w:rPr>
        <w:t>usan</w:t>
      </w:r>
      <w:r w:rsidRPr="009C5AD8">
        <w:rPr>
          <w:rFonts w:ascii="Times New Roman" w:hAnsi="Times New Roman" w:cs="Times New Roman"/>
        </w:rPr>
        <w:t xml:space="preserve">, </w:t>
      </w:r>
      <w:proofErr w:type="gramStart"/>
      <w:r w:rsidRPr="009C5AD8">
        <w:rPr>
          <w:rFonts w:ascii="Times New Roman" w:hAnsi="Times New Roman" w:cs="Times New Roman"/>
        </w:rPr>
        <w:t>and  Patrick</w:t>
      </w:r>
      <w:proofErr w:type="gramEnd"/>
      <w:r w:rsidR="00512B6B">
        <w:rPr>
          <w:rFonts w:ascii="Times New Roman" w:hAnsi="Times New Roman" w:cs="Times New Roman"/>
        </w:rPr>
        <w:t xml:space="preserve"> James</w:t>
      </w:r>
      <w:r w:rsidRPr="009C5AD8">
        <w:rPr>
          <w:rFonts w:ascii="Times New Roman" w:hAnsi="Times New Roman" w:cs="Times New Roman"/>
        </w:rPr>
        <w:t xml:space="preserve">. 2018. (Eds.), </w:t>
      </w:r>
      <w:r w:rsidRPr="009C5AD8">
        <w:rPr>
          <w:rFonts w:ascii="Times New Roman" w:hAnsi="Times New Roman" w:cs="Times New Roman"/>
          <w:i/>
          <w:iCs/>
        </w:rPr>
        <w:t xml:space="preserve">Necessary Travel. New Area Studies and Canada in Comparative Perspective. </w:t>
      </w:r>
      <w:r w:rsidRPr="009C5AD8">
        <w:rPr>
          <w:rFonts w:ascii="Times New Roman" w:hAnsi="Times New Roman" w:cs="Times New Roman"/>
          <w:lang w:val="it-IT"/>
        </w:rPr>
        <w:t>London: Lexington.</w:t>
      </w:r>
    </w:p>
    <w:p w14:paraId="5825E38F" w14:textId="45DFE842" w:rsidR="00C17169" w:rsidRPr="0033001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 xml:space="preserve">Koch, </w:t>
      </w:r>
      <w:proofErr w:type="spellStart"/>
      <w:r w:rsidRPr="009C5AD8">
        <w:rPr>
          <w:rFonts w:ascii="Times New Roman" w:hAnsi="Times New Roman" w:cs="Times New Roman"/>
        </w:rPr>
        <w:t>I</w:t>
      </w:r>
      <w:r w:rsidR="009C5AD8" w:rsidRPr="009C5AD8">
        <w:rPr>
          <w:rFonts w:ascii="Times New Roman" w:hAnsi="Times New Roman" w:cs="Times New Roman"/>
        </w:rPr>
        <w:t>nsa</w:t>
      </w:r>
      <w:proofErr w:type="spellEnd"/>
      <w:r w:rsidRPr="009C5AD8">
        <w:rPr>
          <w:rFonts w:ascii="Times New Roman" w:hAnsi="Times New Roman" w:cs="Times New Roman"/>
        </w:rPr>
        <w:t xml:space="preserve"> L</w:t>
      </w:r>
      <w:r w:rsidR="009C5AD8" w:rsidRPr="009C5AD8">
        <w:rPr>
          <w:rFonts w:ascii="Times New Roman" w:hAnsi="Times New Roman" w:cs="Times New Roman"/>
        </w:rPr>
        <w:t>ee</w:t>
      </w:r>
      <w:r w:rsidRPr="009C5AD8">
        <w:rPr>
          <w:rFonts w:ascii="Times New Roman" w:hAnsi="Times New Roman" w:cs="Times New Roman"/>
        </w:rPr>
        <w:t xml:space="preserve"> 2018. </w:t>
      </w:r>
      <w:r w:rsidRPr="009C5AD8">
        <w:rPr>
          <w:rFonts w:ascii="Times New Roman" w:hAnsi="Times New Roman" w:cs="Times New Roman"/>
          <w:i/>
          <w:iCs/>
        </w:rPr>
        <w:t>Personalizing the state: An anthropology of law, politics, and welfare in austerity Britain</w:t>
      </w:r>
      <w:r w:rsidRPr="009C5AD8">
        <w:rPr>
          <w:rFonts w:ascii="Times New Roman" w:hAnsi="Times New Roman" w:cs="Times New Roman"/>
        </w:rPr>
        <w:t xml:space="preserve">. Oxford: Oxford University </w:t>
      </w:r>
      <w:proofErr w:type="spellStart"/>
      <w:r w:rsidRPr="009C5AD8">
        <w:rPr>
          <w:rFonts w:ascii="Times New Roman" w:hAnsi="Times New Roman" w:cs="Times New Roman"/>
        </w:rPr>
        <w:t>Press.Lea</w:t>
      </w:r>
      <w:proofErr w:type="spellEnd"/>
      <w:r w:rsidRPr="009C5AD8">
        <w:rPr>
          <w:rFonts w:ascii="Times New Roman" w:hAnsi="Times New Roman" w:cs="Times New Roman"/>
        </w:rPr>
        <w:t>, T. (2020). </w:t>
      </w:r>
      <w:r w:rsidRPr="009C5AD8">
        <w:rPr>
          <w:rFonts w:ascii="Times New Roman" w:hAnsi="Times New Roman" w:cs="Times New Roman"/>
          <w:i/>
          <w:iCs/>
        </w:rPr>
        <w:t>Wild policy: Indigeneity and the unruly logics of intervention</w:t>
      </w:r>
      <w:r w:rsidRPr="009C5AD8">
        <w:rPr>
          <w:rFonts w:ascii="Times New Roman" w:hAnsi="Times New Roman" w:cs="Times New Roman"/>
        </w:rPr>
        <w:t>. Stanford University Press.</w:t>
      </w:r>
    </w:p>
    <w:p w14:paraId="4097C409" w14:textId="75C92079" w:rsidR="00C17169" w:rsidRPr="00330019" w:rsidRDefault="008B22BF">
      <w:pPr>
        <w:pStyle w:val="Body"/>
        <w:spacing w:after="240" w:line="480" w:lineRule="auto"/>
        <w:ind w:firstLine="720"/>
        <w:rPr>
          <w:rFonts w:ascii="Times New Roman" w:hAnsi="Times New Roman" w:cs="Times New Roman"/>
        </w:rPr>
      </w:pPr>
      <w:r w:rsidRPr="00330019">
        <w:rPr>
          <w:rFonts w:ascii="Times New Roman" w:hAnsi="Times New Roman" w:cs="Times New Roman"/>
        </w:rPr>
        <w:t>Levi-Strauss, C</w:t>
      </w:r>
      <w:r w:rsidR="00512B6B">
        <w:rPr>
          <w:rFonts w:ascii="Times New Roman" w:hAnsi="Times New Roman" w:cs="Times New Roman"/>
        </w:rPr>
        <w:t>laude</w:t>
      </w:r>
      <w:r w:rsidRPr="00330019">
        <w:rPr>
          <w:rFonts w:ascii="Times New Roman" w:hAnsi="Times New Roman" w:cs="Times New Roman"/>
        </w:rPr>
        <w:t xml:space="preserve"> 1966</w:t>
      </w:r>
      <w:r w:rsidR="00512B6B">
        <w:rPr>
          <w:rFonts w:ascii="Times New Roman" w:hAnsi="Times New Roman" w:cs="Times New Roman"/>
        </w:rPr>
        <w:t>.</w:t>
      </w:r>
      <w:r w:rsidRPr="00330019">
        <w:rPr>
          <w:rFonts w:ascii="Times New Roman" w:hAnsi="Times New Roman" w:cs="Times New Roman"/>
        </w:rPr>
        <w:t xml:space="preserve"> </w:t>
      </w:r>
      <w:r w:rsidRPr="00330019">
        <w:rPr>
          <w:rFonts w:ascii="Times New Roman" w:hAnsi="Times New Roman" w:cs="Times New Roman"/>
          <w:i/>
          <w:iCs/>
        </w:rPr>
        <w:t>The Savage Mind</w:t>
      </w:r>
      <w:r w:rsidRPr="00330019">
        <w:rPr>
          <w:rFonts w:ascii="Times New Roman" w:hAnsi="Times New Roman" w:cs="Times New Roman"/>
          <w:lang w:val="de-DE"/>
        </w:rPr>
        <w:t xml:space="preserve">. London: Weidenfeld and Nicolson. </w:t>
      </w:r>
    </w:p>
    <w:p w14:paraId="19485401" w14:textId="2793EA83"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lang w:val="nl-NL"/>
        </w:rPr>
        <w:t>Leuw, E</w:t>
      </w:r>
      <w:r w:rsidR="00512B6B">
        <w:rPr>
          <w:rFonts w:ascii="Times New Roman" w:hAnsi="Times New Roman" w:cs="Times New Roman"/>
          <w:color w:val="222222"/>
          <w:u w:color="222222"/>
          <w:shd w:val="clear" w:color="auto" w:fill="FFFFFF"/>
          <w:lang w:val="nl-NL"/>
        </w:rPr>
        <w:t>d</w:t>
      </w:r>
      <w:r w:rsidRPr="009C5AD8">
        <w:rPr>
          <w:rFonts w:ascii="Times New Roman" w:hAnsi="Times New Roman" w:cs="Times New Roman"/>
          <w:color w:val="222222"/>
          <w:u w:color="222222"/>
          <w:shd w:val="clear" w:color="auto" w:fill="FFFFFF"/>
          <w:lang w:val="nl-NL"/>
        </w:rPr>
        <w:t xml:space="preserve"> and I.H</w:t>
      </w:r>
      <w:r w:rsidR="00512B6B">
        <w:rPr>
          <w:rFonts w:ascii="Times New Roman" w:hAnsi="Times New Roman" w:cs="Times New Roman"/>
          <w:color w:val="222222"/>
          <w:u w:color="222222"/>
          <w:shd w:val="clear" w:color="auto" w:fill="FFFFFF"/>
          <w:lang w:val="nl-NL"/>
        </w:rPr>
        <w:t>aen</w:t>
      </w:r>
      <w:r w:rsidRPr="009C5AD8">
        <w:rPr>
          <w:rFonts w:ascii="Times New Roman" w:hAnsi="Times New Roman" w:cs="Times New Roman"/>
          <w:color w:val="222222"/>
          <w:u w:color="222222"/>
          <w:shd w:val="clear" w:color="auto" w:fill="FFFFFF"/>
          <w:lang w:val="nl-NL"/>
        </w:rPr>
        <w:t xml:space="preserve"> Marshall, eds.</w:t>
      </w:r>
      <w:r w:rsidR="00512B6B">
        <w:rPr>
          <w:rFonts w:ascii="Times New Roman" w:hAnsi="Times New Roman" w:cs="Times New Roman"/>
          <w:color w:val="222222"/>
          <w:u w:color="222222"/>
          <w:shd w:val="clear" w:color="auto" w:fill="FFFFFF"/>
          <w:lang w:val="nl-NL"/>
        </w:rPr>
        <w:t>1994.</w:t>
      </w:r>
      <w:r w:rsidRPr="009C5AD8">
        <w:rPr>
          <w:rFonts w:ascii="Times New Roman" w:hAnsi="Times New Roman" w:cs="Times New Roman"/>
          <w:color w:val="222222"/>
          <w:u w:color="222222"/>
          <w:shd w:val="clear" w:color="auto" w:fill="FFFFFF"/>
        </w:rPr>
        <w:t> </w:t>
      </w:r>
      <w:r w:rsidRPr="009C5AD8">
        <w:rPr>
          <w:rFonts w:ascii="Times New Roman" w:hAnsi="Times New Roman" w:cs="Times New Roman"/>
          <w:i/>
          <w:iCs/>
          <w:color w:val="222222"/>
          <w:u w:color="222222"/>
          <w:shd w:val="clear" w:color="auto" w:fill="FFFFFF"/>
        </w:rPr>
        <w:t>Between prohibition and legalization: The Dutch experiment in drug policy</w:t>
      </w:r>
      <w:r w:rsidRPr="009C5AD8">
        <w:rPr>
          <w:rFonts w:ascii="Times New Roman" w:hAnsi="Times New Roman" w:cs="Times New Roman"/>
          <w:color w:val="222222"/>
          <w:u w:color="222222"/>
          <w:shd w:val="clear" w:color="auto" w:fill="FFFFFF"/>
          <w:lang w:val="fr-FR"/>
        </w:rPr>
        <w:t>. Kugler publications</w:t>
      </w:r>
      <w:r w:rsidR="00512B6B">
        <w:rPr>
          <w:rFonts w:ascii="Times New Roman" w:hAnsi="Times New Roman" w:cs="Times New Roman"/>
          <w:color w:val="222222"/>
          <w:u w:color="222222"/>
          <w:shd w:val="clear" w:color="auto" w:fill="FFFFFF"/>
          <w:lang w:val="fr-FR"/>
        </w:rPr>
        <w:t>.</w:t>
      </w:r>
    </w:p>
    <w:p w14:paraId="06CB6FD3" w14:textId="2452FF2C" w:rsidR="00C17169" w:rsidRPr="009C5AD8" w:rsidRDefault="008B22BF">
      <w:pPr>
        <w:pStyle w:val="Body"/>
        <w:spacing w:after="240" w:line="480" w:lineRule="auto"/>
        <w:ind w:firstLine="720"/>
        <w:rPr>
          <w:rFonts w:ascii="Times New Roman" w:eastAsia="Times New Roman" w:hAnsi="Times New Roman" w:cs="Times New Roman"/>
        </w:rPr>
      </w:pPr>
      <w:proofErr w:type="spellStart"/>
      <w:r w:rsidRPr="009C5AD8">
        <w:rPr>
          <w:rFonts w:ascii="Times New Roman" w:hAnsi="Times New Roman" w:cs="Times New Roman"/>
          <w:color w:val="222222"/>
          <w:u w:color="222222"/>
          <w:shd w:val="clear" w:color="auto" w:fill="FFFFFF"/>
        </w:rPr>
        <w:t>Lijphart</w:t>
      </w:r>
      <w:proofErr w:type="spellEnd"/>
      <w:r w:rsidRPr="009C5AD8">
        <w:rPr>
          <w:rFonts w:ascii="Times New Roman" w:hAnsi="Times New Roman" w:cs="Times New Roman"/>
          <w:color w:val="222222"/>
          <w:u w:color="222222"/>
          <w:shd w:val="clear" w:color="auto" w:fill="FFFFFF"/>
        </w:rPr>
        <w:t>, A</w:t>
      </w:r>
      <w:r w:rsidR="009C5AD8" w:rsidRPr="009C5AD8">
        <w:rPr>
          <w:rFonts w:ascii="Times New Roman" w:hAnsi="Times New Roman" w:cs="Times New Roman"/>
          <w:color w:val="222222"/>
          <w:u w:color="222222"/>
          <w:shd w:val="clear" w:color="auto" w:fill="FFFFFF"/>
        </w:rPr>
        <w:t>aron</w:t>
      </w:r>
      <w:r w:rsidRPr="009C5AD8">
        <w:rPr>
          <w:rFonts w:ascii="Times New Roman" w:hAnsi="Times New Roman" w:cs="Times New Roman"/>
          <w:color w:val="222222"/>
          <w:u w:color="222222"/>
          <w:shd w:val="clear" w:color="auto" w:fill="FFFFFF"/>
        </w:rPr>
        <w:t xml:space="preserve"> </w:t>
      </w:r>
      <w:r w:rsidR="00512B6B">
        <w:rPr>
          <w:rFonts w:ascii="Times New Roman" w:hAnsi="Times New Roman" w:cs="Times New Roman"/>
          <w:color w:val="222222"/>
          <w:u w:color="222222"/>
          <w:shd w:val="clear" w:color="auto" w:fill="FFFFFF"/>
        </w:rPr>
        <w:t xml:space="preserve">1971. </w:t>
      </w:r>
      <w:r w:rsidRPr="009C5AD8">
        <w:rPr>
          <w:rFonts w:ascii="Times New Roman" w:hAnsi="Times New Roman" w:cs="Times New Roman"/>
          <w:color w:val="222222"/>
          <w:u w:color="222222"/>
          <w:shd w:val="clear" w:color="auto" w:fill="FFFFFF"/>
        </w:rPr>
        <w:t>"Comparative politics and the comparative method." </w:t>
      </w:r>
      <w:r w:rsidRPr="009C5AD8">
        <w:rPr>
          <w:rFonts w:ascii="Times New Roman" w:hAnsi="Times New Roman" w:cs="Times New Roman"/>
          <w:i/>
          <w:iCs/>
          <w:color w:val="222222"/>
          <w:u w:color="222222"/>
          <w:shd w:val="clear" w:color="auto" w:fill="FFFFFF"/>
        </w:rPr>
        <w:t>American political science review</w:t>
      </w:r>
      <w:r w:rsidRPr="009C5AD8">
        <w:rPr>
          <w:rFonts w:ascii="Times New Roman" w:hAnsi="Times New Roman" w:cs="Times New Roman"/>
          <w:color w:val="222222"/>
          <w:u w:color="222222"/>
          <w:shd w:val="clear" w:color="auto" w:fill="FFFFFF"/>
        </w:rPr>
        <w:t> 65.3: 682-693</w:t>
      </w:r>
    </w:p>
    <w:p w14:paraId="458DB3BD" w14:textId="66927126"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rPr>
        <w:t>McGarry, J</w:t>
      </w:r>
      <w:r w:rsidR="00512B6B">
        <w:rPr>
          <w:rFonts w:ascii="Times New Roman" w:hAnsi="Times New Roman" w:cs="Times New Roman"/>
          <w:color w:val="222222"/>
          <w:u w:color="222222"/>
          <w:shd w:val="clear" w:color="auto" w:fill="FFFFFF"/>
        </w:rPr>
        <w:t xml:space="preserve">ohn </w:t>
      </w:r>
      <w:r w:rsidRPr="009C5AD8">
        <w:rPr>
          <w:rFonts w:ascii="Times New Roman" w:hAnsi="Times New Roman" w:cs="Times New Roman"/>
          <w:color w:val="222222"/>
          <w:u w:color="222222"/>
          <w:shd w:val="clear" w:color="auto" w:fill="FFFFFF"/>
        </w:rPr>
        <w:t>and B</w:t>
      </w:r>
      <w:r w:rsidR="00512B6B">
        <w:rPr>
          <w:rFonts w:ascii="Times New Roman" w:hAnsi="Times New Roman" w:cs="Times New Roman"/>
          <w:color w:val="222222"/>
          <w:u w:color="222222"/>
          <w:shd w:val="clear" w:color="auto" w:fill="FFFFFF"/>
        </w:rPr>
        <w:t>rendan</w:t>
      </w:r>
      <w:r w:rsidRPr="009C5AD8">
        <w:rPr>
          <w:rFonts w:ascii="Times New Roman" w:hAnsi="Times New Roman" w:cs="Times New Roman"/>
          <w:color w:val="222222"/>
          <w:u w:color="222222"/>
          <w:shd w:val="clear" w:color="auto" w:fill="FFFFFF"/>
        </w:rPr>
        <w:t xml:space="preserve"> </w:t>
      </w:r>
      <w:proofErr w:type="spellStart"/>
      <w:r w:rsidRPr="009C5AD8">
        <w:rPr>
          <w:rFonts w:ascii="Times New Roman" w:hAnsi="Times New Roman" w:cs="Times New Roman"/>
          <w:color w:val="222222"/>
          <w:u w:color="222222"/>
          <w:shd w:val="clear" w:color="auto" w:fill="FFFFFF"/>
        </w:rPr>
        <w:t>O'lear</w:t>
      </w:r>
      <w:r w:rsidR="00512B6B">
        <w:rPr>
          <w:rFonts w:ascii="Times New Roman" w:hAnsi="Times New Roman" w:cs="Times New Roman"/>
          <w:color w:val="222222"/>
          <w:u w:color="222222"/>
          <w:shd w:val="clear" w:color="auto" w:fill="FFFFFF"/>
        </w:rPr>
        <w:t>y</w:t>
      </w:r>
      <w:proofErr w:type="spellEnd"/>
      <w:r w:rsidR="00512B6B">
        <w:rPr>
          <w:rFonts w:ascii="Times New Roman" w:hAnsi="Times New Roman" w:cs="Times New Roman"/>
          <w:color w:val="222222"/>
          <w:u w:color="222222"/>
          <w:shd w:val="clear" w:color="auto" w:fill="FFFFFF"/>
        </w:rPr>
        <w:t>. 2006.</w:t>
      </w:r>
      <w:r w:rsidRPr="009C5AD8">
        <w:rPr>
          <w:rFonts w:ascii="Times New Roman" w:hAnsi="Times New Roman" w:cs="Times New Roman"/>
          <w:color w:val="222222"/>
          <w:u w:color="222222"/>
          <w:shd w:val="clear" w:color="auto" w:fill="FFFFFF"/>
        </w:rPr>
        <w:t xml:space="preserve"> "</w:t>
      </w:r>
      <w:proofErr w:type="spellStart"/>
      <w:r w:rsidRPr="009C5AD8">
        <w:rPr>
          <w:rFonts w:ascii="Times New Roman" w:hAnsi="Times New Roman" w:cs="Times New Roman"/>
          <w:color w:val="222222"/>
          <w:u w:color="222222"/>
          <w:shd w:val="clear" w:color="auto" w:fill="FFFFFF"/>
        </w:rPr>
        <w:t>Consociational</w:t>
      </w:r>
      <w:proofErr w:type="spellEnd"/>
      <w:r w:rsidRPr="009C5AD8">
        <w:rPr>
          <w:rFonts w:ascii="Times New Roman" w:hAnsi="Times New Roman" w:cs="Times New Roman"/>
          <w:color w:val="222222"/>
          <w:u w:color="222222"/>
          <w:shd w:val="clear" w:color="auto" w:fill="FFFFFF"/>
        </w:rPr>
        <w:t xml:space="preserve"> theory, Northern Ireland's conflict, and its agreement. Part 1: What </w:t>
      </w:r>
      <w:proofErr w:type="spellStart"/>
      <w:r w:rsidRPr="009C5AD8">
        <w:rPr>
          <w:rFonts w:ascii="Times New Roman" w:hAnsi="Times New Roman" w:cs="Times New Roman"/>
          <w:color w:val="222222"/>
          <w:u w:color="222222"/>
          <w:shd w:val="clear" w:color="auto" w:fill="FFFFFF"/>
        </w:rPr>
        <w:t>consociationalists</w:t>
      </w:r>
      <w:proofErr w:type="spellEnd"/>
      <w:r w:rsidRPr="009C5AD8">
        <w:rPr>
          <w:rFonts w:ascii="Times New Roman" w:hAnsi="Times New Roman" w:cs="Times New Roman"/>
          <w:color w:val="222222"/>
          <w:u w:color="222222"/>
          <w:shd w:val="clear" w:color="auto" w:fill="FFFFFF"/>
        </w:rPr>
        <w:t xml:space="preserve"> can learn from Northern Ireland." </w:t>
      </w:r>
      <w:r w:rsidRPr="009C5AD8">
        <w:rPr>
          <w:rFonts w:ascii="Times New Roman" w:hAnsi="Times New Roman" w:cs="Times New Roman"/>
          <w:i/>
          <w:iCs/>
          <w:color w:val="222222"/>
          <w:u w:color="222222"/>
          <w:shd w:val="clear" w:color="auto" w:fill="FFFFFF"/>
        </w:rPr>
        <w:t>Government and Opposition</w:t>
      </w:r>
      <w:r w:rsidRPr="009C5AD8">
        <w:rPr>
          <w:rFonts w:ascii="Times New Roman" w:hAnsi="Times New Roman" w:cs="Times New Roman"/>
          <w:color w:val="222222"/>
          <w:u w:color="222222"/>
          <w:shd w:val="clear" w:color="auto" w:fill="FFFFFF"/>
        </w:rPr>
        <w:t> 41.1: 43-63</w:t>
      </w:r>
    </w:p>
    <w:p w14:paraId="68353B70" w14:textId="276D1DCC" w:rsidR="00C1716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 xml:space="preserve">Mackay, </w:t>
      </w:r>
      <w:proofErr w:type="gramStart"/>
      <w:r w:rsidRPr="009C5AD8">
        <w:rPr>
          <w:rFonts w:ascii="Times New Roman" w:hAnsi="Times New Roman" w:cs="Times New Roman"/>
        </w:rPr>
        <w:t>F</w:t>
      </w:r>
      <w:r w:rsidR="009C5AD8" w:rsidRPr="009C5AD8">
        <w:rPr>
          <w:rFonts w:ascii="Times New Roman" w:hAnsi="Times New Roman" w:cs="Times New Roman"/>
        </w:rPr>
        <w:t>iona</w:t>
      </w:r>
      <w:proofErr w:type="gramEnd"/>
      <w:r w:rsidRPr="009C5AD8">
        <w:rPr>
          <w:rFonts w:ascii="Times New Roman" w:hAnsi="Times New Roman" w:cs="Times New Roman"/>
        </w:rPr>
        <w:t xml:space="preserve"> and R. A. W. Rhodes</w:t>
      </w:r>
      <w:r w:rsidR="00512B6B">
        <w:rPr>
          <w:rFonts w:ascii="Times New Roman" w:hAnsi="Times New Roman" w:cs="Times New Roman"/>
        </w:rPr>
        <w:t>.</w:t>
      </w:r>
      <w:r w:rsidRPr="009C5AD8">
        <w:rPr>
          <w:rFonts w:ascii="Times New Roman" w:hAnsi="Times New Roman" w:cs="Times New Roman"/>
        </w:rPr>
        <w:t xml:space="preserve"> 2013</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b/>
          <w:bCs/>
        </w:rPr>
        <w:t>‘</w:t>
      </w:r>
      <w:r w:rsidRPr="009C5AD8">
        <w:rPr>
          <w:rFonts w:ascii="Times New Roman" w:hAnsi="Times New Roman" w:cs="Times New Roman"/>
        </w:rPr>
        <w:t xml:space="preserve">Gender, Greedy Institutions and the Departmental Court’, </w:t>
      </w:r>
      <w:r w:rsidRPr="009C5AD8">
        <w:rPr>
          <w:rFonts w:ascii="Times New Roman" w:hAnsi="Times New Roman" w:cs="Times New Roman"/>
          <w:i/>
          <w:iCs/>
        </w:rPr>
        <w:t xml:space="preserve">Public Administration </w:t>
      </w:r>
      <w:r w:rsidRPr="009C5AD8">
        <w:rPr>
          <w:rFonts w:ascii="Times New Roman" w:hAnsi="Times New Roman" w:cs="Times New Roman"/>
        </w:rPr>
        <w:t>91 (3): 582–598.</w:t>
      </w:r>
    </w:p>
    <w:p w14:paraId="16B8C0EC" w14:textId="7A176F92" w:rsidR="002C75A6" w:rsidRPr="009C5AD8" w:rsidRDefault="002C75A6">
      <w:pPr>
        <w:pStyle w:val="Body"/>
        <w:spacing w:after="240" w:line="480" w:lineRule="auto"/>
        <w:ind w:firstLine="720"/>
        <w:rPr>
          <w:rFonts w:ascii="Times New Roman" w:eastAsia="Times New Roman" w:hAnsi="Times New Roman" w:cs="Times New Roman"/>
        </w:rPr>
      </w:pPr>
      <w:r w:rsidRPr="002C75A6">
        <w:rPr>
          <w:rFonts w:ascii="Times New Roman" w:eastAsia="Times New Roman" w:hAnsi="Times New Roman" w:cs="Times New Roman"/>
        </w:rPr>
        <w:t>Marsh, I., &amp; Miller, R. (2012). </w:t>
      </w:r>
      <w:r w:rsidRPr="002C75A6">
        <w:rPr>
          <w:rFonts w:ascii="Times New Roman" w:eastAsia="Times New Roman" w:hAnsi="Times New Roman" w:cs="Times New Roman"/>
          <w:i/>
          <w:iCs/>
        </w:rPr>
        <w:t xml:space="preserve">Democratic decline and democratic renewal: Political change in Britain, </w:t>
      </w:r>
      <w:proofErr w:type="gramStart"/>
      <w:r w:rsidRPr="002C75A6">
        <w:rPr>
          <w:rFonts w:ascii="Times New Roman" w:eastAsia="Times New Roman" w:hAnsi="Times New Roman" w:cs="Times New Roman"/>
          <w:i/>
          <w:iCs/>
        </w:rPr>
        <w:t>Australia</w:t>
      </w:r>
      <w:proofErr w:type="gramEnd"/>
      <w:r w:rsidRPr="002C75A6">
        <w:rPr>
          <w:rFonts w:ascii="Times New Roman" w:eastAsia="Times New Roman" w:hAnsi="Times New Roman" w:cs="Times New Roman"/>
          <w:i/>
          <w:iCs/>
        </w:rPr>
        <w:t xml:space="preserve"> and New Zealand</w:t>
      </w:r>
      <w:r w:rsidRPr="002C75A6">
        <w:rPr>
          <w:rFonts w:ascii="Times New Roman" w:eastAsia="Times New Roman" w:hAnsi="Times New Roman" w:cs="Times New Roman"/>
        </w:rPr>
        <w:t>. Cambridge University Press.</w:t>
      </w:r>
    </w:p>
    <w:p w14:paraId="5D363976" w14:textId="2859C750" w:rsidR="00C17169" w:rsidRPr="009C5AD8" w:rsidRDefault="008B22BF">
      <w:pPr>
        <w:pStyle w:val="Body"/>
        <w:spacing w:after="240" w:line="480" w:lineRule="auto"/>
        <w:ind w:firstLine="720"/>
        <w:rPr>
          <w:rFonts w:ascii="Times New Roman" w:eastAsia="Times New Roman" w:hAnsi="Times New Roman" w:cs="Times New Roman"/>
        </w:rPr>
      </w:pPr>
      <w:proofErr w:type="spellStart"/>
      <w:r w:rsidRPr="009C5AD8">
        <w:rPr>
          <w:rFonts w:ascii="Times New Roman" w:hAnsi="Times New Roman" w:cs="Times New Roman"/>
        </w:rPr>
        <w:t>Noblit</w:t>
      </w:r>
      <w:proofErr w:type="spellEnd"/>
      <w:r w:rsidRPr="009C5AD8">
        <w:rPr>
          <w:rFonts w:ascii="Times New Roman" w:hAnsi="Times New Roman" w:cs="Times New Roman"/>
        </w:rPr>
        <w:t>, G</w:t>
      </w:r>
      <w:r w:rsidR="009C5AD8" w:rsidRPr="009C5AD8">
        <w:rPr>
          <w:rFonts w:ascii="Times New Roman" w:hAnsi="Times New Roman" w:cs="Times New Roman"/>
        </w:rPr>
        <w:t>eorge</w:t>
      </w:r>
      <w:r w:rsidRPr="009C5AD8">
        <w:rPr>
          <w:rFonts w:ascii="Times New Roman" w:hAnsi="Times New Roman" w:cs="Times New Roman"/>
        </w:rPr>
        <w:t xml:space="preserve"> W, and R. D</w:t>
      </w:r>
      <w:r w:rsidR="009C5AD8" w:rsidRPr="009C5AD8">
        <w:rPr>
          <w:rFonts w:ascii="Times New Roman" w:hAnsi="Times New Roman" w:cs="Times New Roman"/>
        </w:rPr>
        <w:t>wight</w:t>
      </w:r>
      <w:r w:rsidRPr="009C5AD8">
        <w:rPr>
          <w:rFonts w:ascii="Times New Roman" w:hAnsi="Times New Roman" w:cs="Times New Roman"/>
        </w:rPr>
        <w:t xml:space="preserve"> Hare. 1988. </w:t>
      </w:r>
      <w:r w:rsidRPr="009C5AD8">
        <w:rPr>
          <w:rFonts w:ascii="Times New Roman" w:hAnsi="Times New Roman" w:cs="Times New Roman"/>
          <w:i/>
          <w:iCs/>
        </w:rPr>
        <w:t>Meta-ethnography: Synthesizing qualitative studies, vol. 11</w:t>
      </w:r>
      <w:r w:rsidRPr="009C5AD8">
        <w:rPr>
          <w:rFonts w:ascii="Times New Roman" w:hAnsi="Times New Roman" w:cs="Times New Roman"/>
        </w:rPr>
        <w:t>. London: Sage</w:t>
      </w:r>
      <w:r w:rsidR="00512B6B">
        <w:rPr>
          <w:rFonts w:ascii="Times New Roman" w:hAnsi="Times New Roman" w:cs="Times New Roman"/>
        </w:rPr>
        <w:t>.</w:t>
      </w:r>
    </w:p>
    <w:p w14:paraId="044754CA" w14:textId="0DD26119"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lastRenderedPageBreak/>
        <w:t>Rhodes, R. A. W. 2009</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Comparing Westminster</w:t>
      </w:r>
      <w:r w:rsidRPr="009C5AD8">
        <w:rPr>
          <w:rFonts w:ascii="Times New Roman" w:hAnsi="Times New Roman" w:cs="Times New Roman"/>
        </w:rPr>
        <w:t xml:space="preserve">. Oxford: Oxford University Press. </w:t>
      </w:r>
    </w:p>
    <w:p w14:paraId="3F8C7298" w14:textId="6F482AC9"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rPr>
        <w:t>Rhodes, R. A. W. 2011</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 xml:space="preserve">Everyday Life in British Government. </w:t>
      </w:r>
      <w:r w:rsidRPr="009C5AD8">
        <w:rPr>
          <w:rFonts w:ascii="Times New Roman" w:hAnsi="Times New Roman" w:cs="Times New Roman"/>
        </w:rPr>
        <w:t xml:space="preserve">Oxford: Oxford University Press. </w:t>
      </w:r>
    </w:p>
    <w:p w14:paraId="63C65696" w14:textId="15C798D3" w:rsidR="00C17169" w:rsidRDefault="008B22BF">
      <w:pPr>
        <w:pStyle w:val="ListParagraph"/>
        <w:spacing w:line="480" w:lineRule="auto"/>
        <w:ind w:left="357" w:firstLine="352"/>
        <w:rPr>
          <w:rFonts w:cs="Times New Roman"/>
          <w:color w:val="222222"/>
          <w:u w:color="222222"/>
          <w:shd w:val="clear" w:color="auto" w:fill="FFFFFF"/>
        </w:rPr>
      </w:pPr>
      <w:r w:rsidRPr="009C5AD8">
        <w:rPr>
          <w:rFonts w:cs="Times New Roman"/>
          <w:color w:val="222222"/>
          <w:u w:color="222222"/>
          <w:shd w:val="clear" w:color="auto" w:fill="FFFFFF"/>
        </w:rPr>
        <w:t>Scott, J</w:t>
      </w:r>
      <w:r w:rsidR="009C5AD8" w:rsidRPr="009C5AD8">
        <w:rPr>
          <w:rFonts w:cs="Times New Roman"/>
          <w:color w:val="222222"/>
          <w:u w:color="222222"/>
          <w:shd w:val="clear" w:color="auto" w:fill="FFFFFF"/>
        </w:rPr>
        <w:t>ames</w:t>
      </w:r>
      <w:r w:rsidRPr="009C5AD8">
        <w:rPr>
          <w:rFonts w:cs="Times New Roman"/>
          <w:color w:val="222222"/>
          <w:u w:color="222222"/>
          <w:shd w:val="clear" w:color="auto" w:fill="FFFFFF"/>
        </w:rPr>
        <w:t xml:space="preserve"> C. </w:t>
      </w:r>
      <w:r w:rsidR="00512B6B">
        <w:rPr>
          <w:rFonts w:cs="Times New Roman"/>
          <w:color w:val="222222"/>
          <w:u w:color="222222"/>
          <w:shd w:val="clear" w:color="auto" w:fill="FFFFFF"/>
        </w:rPr>
        <w:t xml:space="preserve">1985. </w:t>
      </w:r>
      <w:r w:rsidRPr="009C5AD8">
        <w:rPr>
          <w:rFonts w:cs="Times New Roman"/>
          <w:i/>
          <w:iCs/>
          <w:color w:val="222222"/>
          <w:u w:color="222222"/>
          <w:shd w:val="clear" w:color="auto" w:fill="FFFFFF"/>
        </w:rPr>
        <w:t>Weapons of the weak: Everyday forms of peasant resistance</w:t>
      </w:r>
      <w:r w:rsidRPr="009C5AD8">
        <w:rPr>
          <w:rFonts w:cs="Times New Roman"/>
          <w:color w:val="222222"/>
          <w:u w:color="222222"/>
          <w:shd w:val="clear" w:color="auto" w:fill="FFFFFF"/>
        </w:rPr>
        <w:t xml:space="preserve">. </w:t>
      </w:r>
      <w:r w:rsidR="00512B6B">
        <w:rPr>
          <w:rFonts w:cs="Times New Roman"/>
          <w:color w:val="222222"/>
          <w:u w:color="222222"/>
          <w:shd w:val="clear" w:color="auto" w:fill="FFFFFF"/>
        </w:rPr>
        <w:t>Y</w:t>
      </w:r>
      <w:r w:rsidRPr="009C5AD8">
        <w:rPr>
          <w:rFonts w:cs="Times New Roman"/>
          <w:color w:val="222222"/>
          <w:u w:color="222222"/>
          <w:shd w:val="clear" w:color="auto" w:fill="FFFFFF"/>
        </w:rPr>
        <w:t xml:space="preserve">ale </w:t>
      </w:r>
      <w:r w:rsidR="00512B6B">
        <w:rPr>
          <w:rFonts w:cs="Times New Roman"/>
          <w:color w:val="222222"/>
          <w:u w:color="222222"/>
          <w:shd w:val="clear" w:color="auto" w:fill="FFFFFF"/>
        </w:rPr>
        <w:t>U</w:t>
      </w:r>
      <w:r w:rsidRPr="009C5AD8">
        <w:rPr>
          <w:rFonts w:cs="Times New Roman"/>
          <w:color w:val="222222"/>
          <w:u w:color="222222"/>
          <w:shd w:val="clear" w:color="auto" w:fill="FFFFFF"/>
        </w:rPr>
        <w:t>niversity Press</w:t>
      </w:r>
      <w:r w:rsidR="00512B6B">
        <w:rPr>
          <w:rFonts w:cs="Times New Roman"/>
          <w:color w:val="222222"/>
          <w:u w:color="222222"/>
          <w:shd w:val="clear" w:color="auto" w:fill="FFFFFF"/>
        </w:rPr>
        <w:t>; New Haven.</w:t>
      </w:r>
    </w:p>
    <w:p w14:paraId="138C6812" w14:textId="48CE8898" w:rsidR="00C5626B" w:rsidRDefault="00C5626B">
      <w:pPr>
        <w:pStyle w:val="ListParagraph"/>
        <w:spacing w:line="480" w:lineRule="auto"/>
        <w:ind w:left="357" w:firstLine="352"/>
        <w:rPr>
          <w:rFonts w:cs="Times New Roman"/>
          <w:color w:val="222222"/>
          <w:u w:color="222222"/>
          <w:shd w:val="clear" w:color="auto" w:fill="FFFFFF"/>
        </w:rPr>
      </w:pPr>
      <w:r w:rsidRPr="00C5626B">
        <w:rPr>
          <w:rFonts w:cs="Times New Roman"/>
          <w:color w:val="222222"/>
          <w:u w:color="222222"/>
          <w:shd w:val="clear" w:color="auto" w:fill="FFFFFF"/>
        </w:rPr>
        <w:t>Sharman, J. C., and Patrick Weller. "Where is the quality? Political science scholarship in Australia." </w:t>
      </w:r>
      <w:r w:rsidRPr="00C5626B">
        <w:rPr>
          <w:rFonts w:cs="Times New Roman"/>
          <w:i/>
          <w:iCs/>
          <w:color w:val="222222"/>
          <w:u w:color="222222"/>
          <w:shd w:val="clear" w:color="auto" w:fill="FFFFFF"/>
        </w:rPr>
        <w:t>Australian Journal of Political Science</w:t>
      </w:r>
      <w:r w:rsidRPr="00C5626B">
        <w:rPr>
          <w:rFonts w:cs="Times New Roman"/>
          <w:color w:val="222222"/>
          <w:u w:color="222222"/>
          <w:shd w:val="clear" w:color="auto" w:fill="FFFFFF"/>
        </w:rPr>
        <w:t> 44.4 (2009): 597-612</w:t>
      </w:r>
    </w:p>
    <w:p w14:paraId="310500A6" w14:textId="5542D4A2" w:rsidR="002C75A6" w:rsidRPr="009C5AD8" w:rsidRDefault="002C75A6">
      <w:pPr>
        <w:pStyle w:val="ListParagraph"/>
        <w:spacing w:line="480" w:lineRule="auto"/>
        <w:ind w:left="357" w:firstLine="352"/>
        <w:rPr>
          <w:rFonts w:cs="Times New Roman"/>
          <w:color w:val="222222"/>
          <w:u w:color="222222"/>
          <w:shd w:val="clear" w:color="auto" w:fill="FFFFFF"/>
        </w:rPr>
      </w:pPr>
      <w:r w:rsidRPr="002C75A6">
        <w:rPr>
          <w:rFonts w:cs="Times New Roman"/>
          <w:color w:val="222222"/>
          <w:u w:color="222222"/>
          <w:shd w:val="clear" w:color="auto" w:fill="FFFFFF"/>
        </w:rPr>
        <w:t xml:space="preserve">Sharp, A. (1999). ‘What if value and rights lie foundationally in </w:t>
      </w:r>
      <w:proofErr w:type="spellStart"/>
      <w:r w:rsidRPr="002C75A6">
        <w:rPr>
          <w:rFonts w:cs="Times New Roman"/>
          <w:color w:val="222222"/>
          <w:u w:color="222222"/>
          <w:shd w:val="clear" w:color="auto" w:fill="FFFFFF"/>
        </w:rPr>
        <w:t>groups?’The</w:t>
      </w:r>
      <w:proofErr w:type="spellEnd"/>
      <w:r w:rsidRPr="002C75A6">
        <w:rPr>
          <w:rFonts w:cs="Times New Roman"/>
          <w:color w:val="222222"/>
          <w:u w:color="222222"/>
          <w:shd w:val="clear" w:color="auto" w:fill="FFFFFF"/>
        </w:rPr>
        <w:t xml:space="preserve"> </w:t>
      </w:r>
      <w:proofErr w:type="spellStart"/>
      <w:r w:rsidRPr="002C75A6">
        <w:rPr>
          <w:rFonts w:cs="Times New Roman"/>
          <w:color w:val="222222"/>
          <w:u w:color="222222"/>
          <w:shd w:val="clear" w:color="auto" w:fill="FFFFFF"/>
        </w:rPr>
        <w:t>Maori</w:t>
      </w:r>
      <w:proofErr w:type="spellEnd"/>
      <w:r w:rsidRPr="002C75A6">
        <w:rPr>
          <w:rFonts w:cs="Times New Roman"/>
          <w:color w:val="222222"/>
          <w:u w:color="222222"/>
          <w:shd w:val="clear" w:color="auto" w:fill="FFFFFF"/>
        </w:rPr>
        <w:t xml:space="preserve"> Case. </w:t>
      </w:r>
      <w:r w:rsidRPr="002C75A6">
        <w:rPr>
          <w:rFonts w:cs="Times New Roman"/>
          <w:i/>
          <w:iCs/>
          <w:color w:val="222222"/>
          <w:u w:color="222222"/>
          <w:shd w:val="clear" w:color="auto" w:fill="FFFFFF"/>
        </w:rPr>
        <w:t>Critical Review of International Social and Political Philosophy</w:t>
      </w:r>
      <w:r w:rsidRPr="002C75A6">
        <w:rPr>
          <w:rFonts w:cs="Times New Roman"/>
          <w:color w:val="222222"/>
          <w:u w:color="222222"/>
          <w:shd w:val="clear" w:color="auto" w:fill="FFFFFF"/>
        </w:rPr>
        <w:t>, </w:t>
      </w:r>
      <w:r w:rsidRPr="002C75A6">
        <w:rPr>
          <w:rFonts w:cs="Times New Roman"/>
          <w:i/>
          <w:iCs/>
          <w:color w:val="222222"/>
          <w:u w:color="222222"/>
          <w:shd w:val="clear" w:color="auto" w:fill="FFFFFF"/>
        </w:rPr>
        <w:t>2</w:t>
      </w:r>
      <w:r w:rsidRPr="002C75A6">
        <w:rPr>
          <w:rFonts w:cs="Times New Roman"/>
          <w:color w:val="222222"/>
          <w:u w:color="222222"/>
          <w:shd w:val="clear" w:color="auto" w:fill="FFFFFF"/>
        </w:rPr>
        <w:t>(2), 1-28.</w:t>
      </w:r>
    </w:p>
    <w:p w14:paraId="25AF80C2" w14:textId="324B41C4"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lang w:val="it-IT"/>
        </w:rPr>
        <w:t>Shilliam, R</w:t>
      </w:r>
      <w:r w:rsidR="00512B6B">
        <w:rPr>
          <w:rFonts w:ascii="Times New Roman" w:hAnsi="Times New Roman" w:cs="Times New Roman"/>
          <w:color w:val="222222"/>
          <w:u w:color="222222"/>
          <w:shd w:val="clear" w:color="auto" w:fill="FFFFFF"/>
          <w:lang w:val="it-IT"/>
        </w:rPr>
        <w:t>obbie 2021.</w:t>
      </w:r>
      <w:r w:rsidRPr="009C5AD8">
        <w:rPr>
          <w:rFonts w:ascii="Times New Roman" w:hAnsi="Times New Roman" w:cs="Times New Roman"/>
          <w:color w:val="222222"/>
          <w:u w:color="222222"/>
          <w:shd w:val="clear" w:color="auto" w:fill="FFFFFF"/>
        </w:rPr>
        <w:t> </w:t>
      </w:r>
      <w:r w:rsidRPr="009C5AD8">
        <w:rPr>
          <w:rFonts w:ascii="Times New Roman" w:hAnsi="Times New Roman" w:cs="Times New Roman"/>
          <w:i/>
          <w:iCs/>
          <w:color w:val="222222"/>
          <w:u w:color="222222"/>
          <w:shd w:val="clear" w:color="auto" w:fill="FFFFFF"/>
        </w:rPr>
        <w:t>Decolonizing politics: An introduction</w:t>
      </w:r>
      <w:r w:rsidRPr="009C5AD8">
        <w:rPr>
          <w:rFonts w:ascii="Times New Roman" w:hAnsi="Times New Roman" w:cs="Times New Roman"/>
          <w:color w:val="222222"/>
          <w:u w:color="222222"/>
          <w:shd w:val="clear" w:color="auto" w:fill="FFFFFF"/>
        </w:rPr>
        <w:t>. John Wiley &amp; Sons.</w:t>
      </w:r>
      <w:r w:rsidRPr="009C5AD8">
        <w:rPr>
          <w:rFonts w:ascii="Times New Roman" w:hAnsi="Times New Roman" w:cs="Times New Roman"/>
        </w:rPr>
        <w:t xml:space="preserve"> </w:t>
      </w:r>
    </w:p>
    <w:p w14:paraId="58EB4E7E" w14:textId="15AF9308" w:rsidR="00C17169" w:rsidRPr="009C5AD8" w:rsidRDefault="008B22BF">
      <w:pPr>
        <w:pStyle w:val="Body"/>
        <w:spacing w:after="240" w:line="480" w:lineRule="auto"/>
        <w:ind w:firstLine="720"/>
        <w:rPr>
          <w:rFonts w:ascii="Times New Roman" w:eastAsia="Times New Roman" w:hAnsi="Times New Roman" w:cs="Times New Roman"/>
        </w:rPr>
      </w:pPr>
      <w:proofErr w:type="spellStart"/>
      <w:r w:rsidRPr="009C5AD8">
        <w:rPr>
          <w:rFonts w:ascii="Times New Roman" w:hAnsi="Times New Roman" w:cs="Times New Roman"/>
        </w:rPr>
        <w:t>Soss</w:t>
      </w:r>
      <w:proofErr w:type="spellEnd"/>
      <w:r w:rsidRPr="009C5AD8">
        <w:rPr>
          <w:rFonts w:ascii="Times New Roman" w:hAnsi="Times New Roman" w:cs="Times New Roman"/>
        </w:rPr>
        <w:t>, J</w:t>
      </w:r>
      <w:r w:rsidR="009C5AD8" w:rsidRPr="009C5AD8">
        <w:rPr>
          <w:rFonts w:ascii="Times New Roman" w:hAnsi="Times New Roman" w:cs="Times New Roman"/>
        </w:rPr>
        <w:t>oe</w:t>
      </w:r>
      <w:r w:rsidRPr="009C5AD8">
        <w:rPr>
          <w:rFonts w:ascii="Times New Roman" w:hAnsi="Times New Roman" w:cs="Times New Roman"/>
        </w:rPr>
        <w:t xml:space="preserve"> 2021. On casing a study versus studying a case. </w:t>
      </w:r>
      <w:r w:rsidRPr="009C5AD8">
        <w:rPr>
          <w:rFonts w:ascii="Times New Roman" w:hAnsi="Times New Roman" w:cs="Times New Roman"/>
          <w:i/>
          <w:iCs/>
        </w:rPr>
        <w:t>Rethinking Comparison: Innovative Methods for Qualitative Political Inquiry</w:t>
      </w:r>
      <w:r w:rsidRPr="009C5AD8">
        <w:rPr>
          <w:rFonts w:ascii="Times New Roman" w:hAnsi="Times New Roman" w:cs="Times New Roman"/>
        </w:rPr>
        <w:t>, 84-106.</w:t>
      </w:r>
    </w:p>
    <w:p w14:paraId="562F2491" w14:textId="0BA85E18" w:rsidR="00C17169" w:rsidRPr="009C5AD8" w:rsidRDefault="008B22BF">
      <w:pPr>
        <w:pStyle w:val="Body"/>
        <w:spacing w:after="240" w:line="480" w:lineRule="auto"/>
        <w:ind w:firstLine="720"/>
        <w:rPr>
          <w:rFonts w:ascii="Times New Roman" w:eastAsia="Times New Roman" w:hAnsi="Times New Roman" w:cs="Times New Roman"/>
        </w:rPr>
      </w:pPr>
      <w:proofErr w:type="spellStart"/>
      <w:r w:rsidRPr="009C5AD8">
        <w:rPr>
          <w:rFonts w:ascii="Times New Roman" w:hAnsi="Times New Roman" w:cs="Times New Roman"/>
          <w:color w:val="222222"/>
          <w:u w:color="222222"/>
          <w:shd w:val="clear" w:color="auto" w:fill="FFFFFF"/>
        </w:rPr>
        <w:t>Veenendaal</w:t>
      </w:r>
      <w:proofErr w:type="spellEnd"/>
      <w:r w:rsidRPr="009C5AD8">
        <w:rPr>
          <w:rFonts w:ascii="Times New Roman" w:hAnsi="Times New Roman" w:cs="Times New Roman"/>
          <w:color w:val="222222"/>
          <w:u w:color="222222"/>
          <w:shd w:val="clear" w:color="auto" w:fill="FFFFFF"/>
        </w:rPr>
        <w:t xml:space="preserve">, </w:t>
      </w:r>
      <w:proofErr w:type="spellStart"/>
      <w:r w:rsidRPr="009C5AD8">
        <w:rPr>
          <w:rFonts w:ascii="Times New Roman" w:hAnsi="Times New Roman" w:cs="Times New Roman"/>
          <w:color w:val="222222"/>
          <w:u w:color="222222"/>
          <w:shd w:val="clear" w:color="auto" w:fill="FFFFFF"/>
        </w:rPr>
        <w:t>W</w:t>
      </w:r>
      <w:r w:rsidR="009C5AD8" w:rsidRPr="009C5AD8">
        <w:rPr>
          <w:rFonts w:ascii="Times New Roman" w:hAnsi="Times New Roman" w:cs="Times New Roman"/>
          <w:color w:val="222222"/>
          <w:u w:color="222222"/>
          <w:shd w:val="clear" w:color="auto" w:fill="FFFFFF"/>
        </w:rPr>
        <w:t>outer</w:t>
      </w:r>
      <w:proofErr w:type="spellEnd"/>
      <w:r w:rsidRPr="009C5AD8">
        <w:rPr>
          <w:rFonts w:ascii="Times New Roman" w:hAnsi="Times New Roman" w:cs="Times New Roman"/>
          <w:color w:val="222222"/>
          <w:u w:color="222222"/>
          <w:shd w:val="clear" w:color="auto" w:fill="FFFFFF"/>
        </w:rPr>
        <w:t xml:space="preserve"> P., and J</w:t>
      </w:r>
      <w:r w:rsidR="009C5AD8" w:rsidRPr="009C5AD8">
        <w:rPr>
          <w:rFonts w:ascii="Times New Roman" w:hAnsi="Times New Roman" w:cs="Times New Roman"/>
          <w:color w:val="222222"/>
          <w:u w:color="222222"/>
          <w:shd w:val="clear" w:color="auto" w:fill="FFFFFF"/>
        </w:rPr>
        <w:t>ack</w:t>
      </w:r>
      <w:r w:rsidRPr="009C5AD8">
        <w:rPr>
          <w:rFonts w:ascii="Times New Roman" w:hAnsi="Times New Roman" w:cs="Times New Roman"/>
          <w:color w:val="222222"/>
          <w:u w:color="222222"/>
          <w:shd w:val="clear" w:color="auto" w:fill="FFFFFF"/>
        </w:rPr>
        <w:t xml:space="preserve"> Corbett.</w:t>
      </w:r>
      <w:r w:rsidR="00512B6B">
        <w:rPr>
          <w:rFonts w:ascii="Times New Roman" w:hAnsi="Times New Roman" w:cs="Times New Roman"/>
          <w:color w:val="222222"/>
          <w:u w:color="222222"/>
          <w:shd w:val="clear" w:color="auto" w:fill="FFFFFF"/>
        </w:rPr>
        <w:t xml:space="preserve"> 2015.</w:t>
      </w:r>
      <w:r w:rsidRPr="009C5AD8">
        <w:rPr>
          <w:rFonts w:ascii="Times New Roman" w:hAnsi="Times New Roman" w:cs="Times New Roman"/>
          <w:color w:val="222222"/>
          <w:u w:color="222222"/>
          <w:shd w:val="clear" w:color="auto" w:fill="FFFFFF"/>
        </w:rPr>
        <w:t xml:space="preserve"> "Why small states offer important answers to large questions." </w:t>
      </w:r>
      <w:r w:rsidRPr="009C5AD8">
        <w:rPr>
          <w:rFonts w:ascii="Times New Roman" w:hAnsi="Times New Roman" w:cs="Times New Roman"/>
          <w:i/>
          <w:iCs/>
          <w:color w:val="222222"/>
          <w:u w:color="222222"/>
          <w:shd w:val="clear" w:color="auto" w:fill="FFFFFF"/>
        </w:rPr>
        <w:t>Comparative Political Studies</w:t>
      </w:r>
      <w:r w:rsidRPr="009C5AD8">
        <w:rPr>
          <w:rFonts w:ascii="Times New Roman" w:hAnsi="Times New Roman" w:cs="Times New Roman"/>
          <w:color w:val="222222"/>
          <w:u w:color="222222"/>
          <w:shd w:val="clear" w:color="auto" w:fill="FFFFFF"/>
        </w:rPr>
        <w:t> 48.4: 527-549</w:t>
      </w:r>
    </w:p>
    <w:p w14:paraId="699AC4FC" w14:textId="4C2B2BBB"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lang w:val="nl-NL"/>
        </w:rPr>
        <w:t>Wagenaar</w:t>
      </w:r>
      <w:r w:rsidRPr="009C5AD8">
        <w:rPr>
          <w:rFonts w:ascii="Times New Roman" w:hAnsi="Times New Roman" w:cs="Times New Roman"/>
          <w:color w:val="333333"/>
          <w:u w:color="333333"/>
          <w:shd w:val="clear" w:color="auto" w:fill="FFFFFF"/>
        </w:rPr>
        <w:t>, H</w:t>
      </w:r>
      <w:r w:rsidR="009C5AD8" w:rsidRPr="009C5AD8">
        <w:rPr>
          <w:rFonts w:ascii="Times New Roman" w:hAnsi="Times New Roman" w:cs="Times New Roman"/>
          <w:color w:val="333333"/>
          <w:u w:color="333333"/>
          <w:shd w:val="clear" w:color="auto" w:fill="FFFFFF"/>
        </w:rPr>
        <w:t>enrik</w:t>
      </w:r>
      <w:r w:rsidR="00512B6B">
        <w:rPr>
          <w:rFonts w:ascii="Times New Roman" w:hAnsi="Times New Roman" w:cs="Times New Roman"/>
          <w:color w:val="333333"/>
          <w:u w:color="333333"/>
          <w:shd w:val="clear" w:color="auto" w:fill="FFFFFF"/>
        </w:rPr>
        <w:t>.</w:t>
      </w:r>
      <w:r w:rsidRPr="009C5AD8">
        <w:rPr>
          <w:rFonts w:ascii="Times New Roman" w:hAnsi="Times New Roman" w:cs="Times New Roman"/>
          <w:color w:val="333333"/>
          <w:u w:color="333333"/>
          <w:shd w:val="clear" w:color="auto" w:fill="FFFFFF"/>
        </w:rPr>
        <w:t xml:space="preserve"> 2006</w:t>
      </w:r>
      <w:r w:rsidR="00512B6B">
        <w:rPr>
          <w:rFonts w:ascii="Times New Roman" w:hAnsi="Times New Roman" w:cs="Times New Roman"/>
          <w:color w:val="333333"/>
          <w:u w:color="333333"/>
          <w:shd w:val="clear" w:color="auto" w:fill="FFFFFF"/>
        </w:rPr>
        <w:t>.</w:t>
      </w:r>
      <w:r w:rsidRPr="009C5AD8">
        <w:rPr>
          <w:rFonts w:ascii="Times New Roman" w:hAnsi="Times New Roman" w:cs="Times New Roman"/>
          <w:color w:val="333333"/>
          <w:u w:color="333333"/>
          <w:shd w:val="clear" w:color="auto" w:fill="FFFFFF"/>
        </w:rPr>
        <w:t xml:space="preserve"> Democracy and Prostitution: Deliberating the Legalization of Brothels in the Netherlands. </w:t>
      </w:r>
      <w:r w:rsidRPr="009C5AD8">
        <w:rPr>
          <w:rFonts w:ascii="Times New Roman" w:hAnsi="Times New Roman" w:cs="Times New Roman"/>
          <w:i/>
          <w:iCs/>
          <w:color w:val="333333"/>
          <w:u w:color="333333"/>
          <w:shd w:val="clear" w:color="auto" w:fill="FFFFFF"/>
        </w:rPr>
        <w:t>Administration &amp; Society</w:t>
      </w:r>
      <w:r w:rsidRPr="009C5AD8">
        <w:rPr>
          <w:rFonts w:ascii="Times New Roman" w:hAnsi="Times New Roman" w:cs="Times New Roman"/>
          <w:color w:val="333333"/>
          <w:u w:color="333333"/>
          <w:shd w:val="clear" w:color="auto" w:fill="FFFFFF"/>
        </w:rPr>
        <w:t>, </w:t>
      </w:r>
      <w:r w:rsidRPr="009C5AD8">
        <w:rPr>
          <w:rFonts w:ascii="Times New Roman" w:hAnsi="Times New Roman" w:cs="Times New Roman"/>
          <w:i/>
          <w:iCs/>
          <w:color w:val="333333"/>
          <w:u w:color="333333"/>
          <w:shd w:val="clear" w:color="auto" w:fill="FFFFFF"/>
        </w:rPr>
        <w:t>38</w:t>
      </w:r>
      <w:r w:rsidRPr="009C5AD8">
        <w:rPr>
          <w:rFonts w:ascii="Times New Roman" w:hAnsi="Times New Roman" w:cs="Times New Roman"/>
          <w:color w:val="333333"/>
          <w:u w:color="333333"/>
          <w:shd w:val="clear" w:color="auto" w:fill="FFFFFF"/>
        </w:rPr>
        <w:t>(2), 198-235. </w:t>
      </w:r>
    </w:p>
    <w:p w14:paraId="7183F07A" w14:textId="7F660326" w:rsidR="00C17169" w:rsidRPr="009C5AD8" w:rsidRDefault="008B22BF">
      <w:pPr>
        <w:pStyle w:val="Body"/>
        <w:spacing w:after="240" w:line="480" w:lineRule="auto"/>
        <w:ind w:firstLine="720"/>
        <w:rPr>
          <w:rFonts w:ascii="Times New Roman" w:eastAsia="Times New Roman" w:hAnsi="Times New Roman" w:cs="Times New Roman"/>
        </w:rPr>
      </w:pPr>
      <w:proofErr w:type="spellStart"/>
      <w:r w:rsidRPr="009C5AD8">
        <w:rPr>
          <w:rFonts w:ascii="Times New Roman" w:hAnsi="Times New Roman" w:cs="Times New Roman"/>
        </w:rPr>
        <w:t>Wajcman</w:t>
      </w:r>
      <w:proofErr w:type="spellEnd"/>
      <w:r w:rsidRPr="009C5AD8">
        <w:rPr>
          <w:rFonts w:ascii="Times New Roman" w:hAnsi="Times New Roman" w:cs="Times New Roman"/>
        </w:rPr>
        <w:t>, J</w:t>
      </w:r>
      <w:r w:rsidR="00512B6B">
        <w:rPr>
          <w:rFonts w:ascii="Times New Roman" w:hAnsi="Times New Roman" w:cs="Times New Roman"/>
        </w:rPr>
        <w:t>udy.</w:t>
      </w:r>
      <w:r w:rsidRPr="009C5AD8">
        <w:rPr>
          <w:rFonts w:ascii="Times New Roman" w:hAnsi="Times New Roman" w:cs="Times New Roman"/>
        </w:rPr>
        <w:t xml:space="preserve"> 1999</w:t>
      </w:r>
      <w:r w:rsidR="00512B6B">
        <w:rPr>
          <w:rFonts w:ascii="Times New Roman" w:hAnsi="Times New Roman" w:cs="Times New Roman"/>
        </w:rPr>
        <w:t>.</w:t>
      </w:r>
      <w:r w:rsidRPr="009C5AD8">
        <w:rPr>
          <w:rFonts w:ascii="Times New Roman" w:hAnsi="Times New Roman" w:cs="Times New Roman"/>
        </w:rPr>
        <w:t xml:space="preserve"> </w:t>
      </w:r>
      <w:r w:rsidRPr="009C5AD8">
        <w:rPr>
          <w:rFonts w:ascii="Times New Roman" w:hAnsi="Times New Roman" w:cs="Times New Roman"/>
          <w:i/>
          <w:iCs/>
        </w:rPr>
        <w:t>Managing Like a Man: Women and Men in Corporate Management</w:t>
      </w:r>
      <w:r w:rsidRPr="009C5AD8">
        <w:rPr>
          <w:rFonts w:ascii="Times New Roman" w:hAnsi="Times New Roman" w:cs="Times New Roman"/>
        </w:rPr>
        <w:t>. Cambridge: Polity Press</w:t>
      </w:r>
    </w:p>
    <w:p w14:paraId="6DAD7EF7" w14:textId="579BBE9E" w:rsidR="00C1716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Weller, P</w:t>
      </w:r>
      <w:r w:rsidR="009C5AD8" w:rsidRPr="009C5AD8">
        <w:rPr>
          <w:rFonts w:ascii="Times New Roman" w:hAnsi="Times New Roman" w:cs="Times New Roman"/>
        </w:rPr>
        <w:t>atrick</w:t>
      </w:r>
      <w:r w:rsidRPr="009C5AD8">
        <w:rPr>
          <w:rFonts w:ascii="Times New Roman" w:hAnsi="Times New Roman" w:cs="Times New Roman"/>
        </w:rPr>
        <w:t>, Grube, D</w:t>
      </w:r>
      <w:r w:rsidR="009C5AD8" w:rsidRPr="009C5AD8">
        <w:rPr>
          <w:rFonts w:ascii="Times New Roman" w:hAnsi="Times New Roman" w:cs="Times New Roman"/>
        </w:rPr>
        <w:t>enis</w:t>
      </w:r>
      <w:r w:rsidRPr="009C5AD8">
        <w:rPr>
          <w:rFonts w:ascii="Times New Roman" w:hAnsi="Times New Roman" w:cs="Times New Roman"/>
        </w:rPr>
        <w:t xml:space="preserve"> C. and Rhodes, R. A. W. 2022 </w:t>
      </w:r>
      <w:r w:rsidRPr="009C5AD8">
        <w:rPr>
          <w:rFonts w:ascii="Times New Roman" w:hAnsi="Times New Roman" w:cs="Times New Roman"/>
          <w:i/>
          <w:iCs/>
        </w:rPr>
        <w:t xml:space="preserve">Comparing Cabinets. Dilemmas of Collective Government. </w:t>
      </w:r>
      <w:r w:rsidRPr="009C5AD8">
        <w:rPr>
          <w:rFonts w:ascii="Times New Roman" w:hAnsi="Times New Roman" w:cs="Times New Roman"/>
        </w:rPr>
        <w:t>Oxford: Oxford University Press.</w:t>
      </w:r>
    </w:p>
    <w:p w14:paraId="33ECB34E" w14:textId="071E568F" w:rsidR="00C17169" w:rsidRPr="009C5AD8" w:rsidRDefault="008B22BF">
      <w:pPr>
        <w:pStyle w:val="Body"/>
        <w:spacing w:after="240" w:line="480" w:lineRule="auto"/>
        <w:ind w:firstLine="720"/>
        <w:rPr>
          <w:rFonts w:ascii="Times New Roman" w:eastAsia="Times New Roman" w:hAnsi="Times New Roman" w:cs="Times New Roman"/>
        </w:rPr>
      </w:pPr>
      <w:r w:rsidRPr="009C5AD8">
        <w:rPr>
          <w:rFonts w:ascii="Times New Roman" w:hAnsi="Times New Roman" w:cs="Times New Roman"/>
          <w:color w:val="222222"/>
          <w:u w:color="222222"/>
          <w:shd w:val="clear" w:color="auto" w:fill="FFFFFF"/>
        </w:rPr>
        <w:lastRenderedPageBreak/>
        <w:t>Whelan, J</w:t>
      </w:r>
      <w:r w:rsidR="009C5AD8" w:rsidRPr="009C5AD8">
        <w:rPr>
          <w:rFonts w:ascii="Times New Roman" w:hAnsi="Times New Roman" w:cs="Times New Roman"/>
          <w:color w:val="222222"/>
          <w:u w:color="222222"/>
          <w:shd w:val="clear" w:color="auto" w:fill="FFFFFF"/>
        </w:rPr>
        <w:t>oe</w:t>
      </w:r>
      <w:r w:rsidR="00512B6B">
        <w:rPr>
          <w:rFonts w:ascii="Times New Roman" w:hAnsi="Times New Roman" w:cs="Times New Roman"/>
          <w:color w:val="222222"/>
          <w:u w:color="222222"/>
          <w:shd w:val="clear" w:color="auto" w:fill="FFFFFF"/>
        </w:rPr>
        <w:t>. 2022.</w:t>
      </w:r>
      <w:r w:rsidRPr="009C5AD8">
        <w:rPr>
          <w:rFonts w:ascii="Times New Roman" w:hAnsi="Times New Roman" w:cs="Times New Roman"/>
          <w:color w:val="222222"/>
          <w:u w:color="222222"/>
          <w:shd w:val="clear" w:color="auto" w:fill="FFFFFF"/>
        </w:rPr>
        <w:t> </w:t>
      </w:r>
      <w:r w:rsidRPr="009C5AD8">
        <w:rPr>
          <w:rFonts w:ascii="Times New Roman" w:hAnsi="Times New Roman" w:cs="Times New Roman"/>
          <w:i/>
          <w:iCs/>
          <w:color w:val="222222"/>
          <w:u w:color="222222"/>
          <w:shd w:val="clear" w:color="auto" w:fill="FFFFFF"/>
        </w:rPr>
        <w:t>Hidden voices: Lived experiences in the Irish welfare space</w:t>
      </w:r>
      <w:r w:rsidRPr="009C5AD8">
        <w:rPr>
          <w:rFonts w:ascii="Times New Roman" w:hAnsi="Times New Roman" w:cs="Times New Roman"/>
          <w:color w:val="222222"/>
          <w:u w:color="222222"/>
          <w:shd w:val="clear" w:color="auto" w:fill="FFFFFF"/>
        </w:rPr>
        <w:t>. Policy Press</w:t>
      </w:r>
      <w:r w:rsidR="00512B6B">
        <w:rPr>
          <w:rFonts w:ascii="Times New Roman" w:hAnsi="Times New Roman" w:cs="Times New Roman"/>
          <w:color w:val="222222"/>
          <w:u w:color="222222"/>
          <w:shd w:val="clear" w:color="auto" w:fill="FFFFFF"/>
        </w:rPr>
        <w:t>: Bristol.</w:t>
      </w:r>
    </w:p>
    <w:p w14:paraId="1AA78EA1" w14:textId="43511F70" w:rsidR="00C17169" w:rsidRPr="00330019" w:rsidRDefault="008B22BF">
      <w:pPr>
        <w:pStyle w:val="Body"/>
        <w:spacing w:after="240" w:line="480" w:lineRule="auto"/>
        <w:ind w:firstLine="720"/>
        <w:rPr>
          <w:rFonts w:ascii="Times New Roman" w:hAnsi="Times New Roman" w:cs="Times New Roman"/>
        </w:rPr>
      </w:pPr>
      <w:r w:rsidRPr="009C5AD8">
        <w:rPr>
          <w:rFonts w:ascii="Times New Roman" w:hAnsi="Times New Roman" w:cs="Times New Roman"/>
        </w:rPr>
        <w:t>Yin, R</w:t>
      </w:r>
      <w:r w:rsidR="009C5AD8" w:rsidRPr="009C5AD8">
        <w:rPr>
          <w:rFonts w:ascii="Times New Roman" w:hAnsi="Times New Roman" w:cs="Times New Roman"/>
        </w:rPr>
        <w:t>obert</w:t>
      </w:r>
      <w:r w:rsidRPr="009C5AD8">
        <w:rPr>
          <w:rFonts w:ascii="Times New Roman" w:hAnsi="Times New Roman" w:cs="Times New Roman"/>
        </w:rPr>
        <w:t xml:space="preserve"> K. 2014</w:t>
      </w:r>
      <w:r w:rsidR="00512B6B">
        <w:rPr>
          <w:rFonts w:ascii="Times New Roman" w:hAnsi="Times New Roman" w:cs="Times New Roman"/>
        </w:rPr>
        <w:t>.</w:t>
      </w:r>
      <w:r w:rsidRPr="009C5AD8">
        <w:rPr>
          <w:rFonts w:ascii="Times New Roman" w:hAnsi="Times New Roman" w:cs="Times New Roman"/>
        </w:rPr>
        <w:t xml:space="preserve"> </w:t>
      </w:r>
      <w:r w:rsidRPr="00330019">
        <w:rPr>
          <w:rFonts w:ascii="Times New Roman" w:hAnsi="Times New Roman" w:cs="Times New Roman"/>
          <w:i/>
          <w:iCs/>
        </w:rPr>
        <w:t>Case Study Research. Design and Methods</w:t>
      </w:r>
      <w:r w:rsidRPr="009C5AD8">
        <w:rPr>
          <w:rFonts w:ascii="Times New Roman" w:hAnsi="Times New Roman" w:cs="Times New Roman"/>
          <w:i/>
          <w:iCs/>
        </w:rPr>
        <w:t xml:space="preserve">. </w:t>
      </w:r>
      <w:r w:rsidRPr="009C5AD8">
        <w:rPr>
          <w:rFonts w:ascii="Times New Roman" w:hAnsi="Times New Roman" w:cs="Times New Roman"/>
        </w:rPr>
        <w:t>London: Sage.</w:t>
      </w:r>
    </w:p>
    <w:sectPr w:rsidR="00C17169" w:rsidRPr="00330019">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5AD2" w14:textId="77777777" w:rsidR="002671B0" w:rsidRDefault="002671B0">
      <w:r>
        <w:separator/>
      </w:r>
    </w:p>
  </w:endnote>
  <w:endnote w:type="continuationSeparator" w:id="0">
    <w:p w14:paraId="31453BCD" w14:textId="77777777" w:rsidR="002671B0" w:rsidRDefault="0026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Sangam MN">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71D7" w14:textId="77777777" w:rsidR="00C17169" w:rsidRDefault="008B22BF">
    <w:pPr>
      <w:pStyle w:val="Footer"/>
      <w:tabs>
        <w:tab w:val="clear" w:pos="9026"/>
        <w:tab w:val="right" w:pos="9000"/>
      </w:tabs>
      <w:jc w:val="right"/>
    </w:pPr>
    <w:r>
      <w:fldChar w:fldCharType="begin"/>
    </w:r>
    <w:r>
      <w:instrText xml:space="preserve"> PAGE </w:instrText>
    </w:r>
    <w:r>
      <w:fldChar w:fldCharType="separate"/>
    </w:r>
    <w:r w:rsidR="0034557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C638" w14:textId="77777777" w:rsidR="002671B0" w:rsidRDefault="002671B0">
      <w:r>
        <w:separator/>
      </w:r>
    </w:p>
  </w:footnote>
  <w:footnote w:type="continuationSeparator" w:id="0">
    <w:p w14:paraId="09279EB3" w14:textId="77777777" w:rsidR="002671B0" w:rsidRDefault="002671B0">
      <w:r>
        <w:continuationSeparator/>
      </w:r>
    </w:p>
  </w:footnote>
  <w:footnote w:type="continuationNotice" w:id="1">
    <w:p w14:paraId="27B96731" w14:textId="77777777" w:rsidR="002671B0" w:rsidRDefault="00267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D3BA" w14:textId="77777777" w:rsidR="00C17169" w:rsidRDefault="00C17169">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69"/>
    <w:rsid w:val="00031571"/>
    <w:rsid w:val="00050CA0"/>
    <w:rsid w:val="000C51D1"/>
    <w:rsid w:val="00121290"/>
    <w:rsid w:val="00164FD7"/>
    <w:rsid w:val="001A573D"/>
    <w:rsid w:val="00204945"/>
    <w:rsid w:val="002224BC"/>
    <w:rsid w:val="00266D8A"/>
    <w:rsid w:val="002671B0"/>
    <w:rsid w:val="002C75A6"/>
    <w:rsid w:val="002F0833"/>
    <w:rsid w:val="0031587C"/>
    <w:rsid w:val="00330019"/>
    <w:rsid w:val="00345571"/>
    <w:rsid w:val="00362581"/>
    <w:rsid w:val="003822CC"/>
    <w:rsid w:val="003B3B2D"/>
    <w:rsid w:val="003C43A5"/>
    <w:rsid w:val="003E418F"/>
    <w:rsid w:val="004242B9"/>
    <w:rsid w:val="00474CCF"/>
    <w:rsid w:val="004A088E"/>
    <w:rsid w:val="004C5275"/>
    <w:rsid w:val="004E7B08"/>
    <w:rsid w:val="005125BF"/>
    <w:rsid w:val="00512B6B"/>
    <w:rsid w:val="00705A7D"/>
    <w:rsid w:val="007077D7"/>
    <w:rsid w:val="0076605E"/>
    <w:rsid w:val="007769CF"/>
    <w:rsid w:val="0080055D"/>
    <w:rsid w:val="00833AE8"/>
    <w:rsid w:val="00864841"/>
    <w:rsid w:val="00875B75"/>
    <w:rsid w:val="00883614"/>
    <w:rsid w:val="008B059D"/>
    <w:rsid w:val="008B22BF"/>
    <w:rsid w:val="008F5721"/>
    <w:rsid w:val="00980147"/>
    <w:rsid w:val="009C5AD8"/>
    <w:rsid w:val="009D454F"/>
    <w:rsid w:val="00A453A2"/>
    <w:rsid w:val="00A7419F"/>
    <w:rsid w:val="00AA4CB6"/>
    <w:rsid w:val="00AF490B"/>
    <w:rsid w:val="00B02C43"/>
    <w:rsid w:val="00B51B0A"/>
    <w:rsid w:val="00BA39EF"/>
    <w:rsid w:val="00C17169"/>
    <w:rsid w:val="00C5626B"/>
    <w:rsid w:val="00C85151"/>
    <w:rsid w:val="00CD2F5F"/>
    <w:rsid w:val="00CE6DBA"/>
    <w:rsid w:val="00D35827"/>
    <w:rsid w:val="00E03D56"/>
    <w:rsid w:val="00E13EDD"/>
    <w:rsid w:val="00E53AE2"/>
    <w:rsid w:val="00EF477C"/>
    <w:rsid w:val="00F274A1"/>
    <w:rsid w:val="00F37FB4"/>
    <w:rsid w:val="00F757E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DA9E"/>
  <w15:docId w15:val="{4E082693-72B2-4AE2-BB7F-2CEB2D5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Myanmar Sangam MN" w:hAnsi="Myanmar Sangam MN"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Myanmar Sangam MN" w:eastAsia="Myanmar Sangam MN" w:hAnsi="Myanmar Sangam MN" w:cs="Myanmar Sangam MN"/>
      <w:color w:val="000000"/>
      <w:sz w:val="24"/>
      <w:szCs w:val="24"/>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lang w:val="en-US"/>
    </w:rPr>
  </w:style>
  <w:style w:type="paragraph" w:styleId="ListParagraph">
    <w:name w:val="List Paragraph"/>
    <w:pPr>
      <w:spacing w:after="240" w:line="240" w:lineRule="exact"/>
      <w:ind w:left="720"/>
    </w:pPr>
    <w:rPr>
      <w:rFonts w:cs="Arial Unicode MS"/>
      <w:color w:val="000000"/>
      <w:sz w:val="24"/>
      <w:szCs w:val="24"/>
      <w:u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55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45571"/>
    <w:rPr>
      <w:b/>
      <w:bCs/>
    </w:rPr>
  </w:style>
  <w:style w:type="character" w:customStyle="1" w:styleId="CommentSubjectChar">
    <w:name w:val="Comment Subject Char"/>
    <w:basedOn w:val="CommentTextChar"/>
    <w:link w:val="CommentSubject"/>
    <w:uiPriority w:val="99"/>
    <w:semiHidden/>
    <w:rsid w:val="00345571"/>
    <w:rPr>
      <w:b/>
      <w:bCs/>
      <w:lang w:val="en-US" w:eastAsia="en-US"/>
    </w:rPr>
  </w:style>
  <w:style w:type="paragraph" w:customStyle="1" w:styleId="pf0">
    <w:name w:val="pf0"/>
    <w:basedOn w:val="Normal"/>
    <w:rsid w:val="007077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f01">
    <w:name w:val="cf01"/>
    <w:basedOn w:val="DefaultParagraphFont"/>
    <w:rsid w:val="007077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74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Myanmar Sangam MN"/>
        <a:ea typeface="Myanmar Sangam MN"/>
        <a:cs typeface="Myanmar Sangam MN"/>
      </a:majorFont>
      <a:minorFont>
        <a:latin typeface="Myanmar Sangam MN"/>
        <a:ea typeface="Myanmar Sangam MN"/>
        <a:cs typeface="Myanmar Sangam M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5854</Words>
  <Characters>33372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Boswell</dc:creator>
  <cp:lastModifiedBy>John Boswell</cp:lastModifiedBy>
  <cp:revision>2</cp:revision>
  <dcterms:created xsi:type="dcterms:W3CDTF">2024-10-18T12:49:00Z</dcterms:created>
  <dcterms:modified xsi:type="dcterms:W3CDTF">2024-10-18T12:49:00Z</dcterms:modified>
</cp:coreProperties>
</file>