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CB1CF" w14:textId="77777777" w:rsidR="00B34B1F" w:rsidRPr="0015588D" w:rsidRDefault="00B34B1F" w:rsidP="001A1923">
      <w:pPr>
        <w:pStyle w:val="Articletitle"/>
      </w:pPr>
      <w:bookmarkStart w:id="0" w:name="_Hlk131176958"/>
      <w:r w:rsidRPr="0015588D">
        <w:t xml:space="preserve">Using </w:t>
      </w:r>
      <w:r>
        <w:t>r</w:t>
      </w:r>
      <w:r w:rsidRPr="0015588D">
        <w:t>outine health care data to develop and validate a system dynamics simulation model of frailty trajectories in an ageing population</w:t>
      </w:r>
      <w:bookmarkEnd w:id="0"/>
      <w:r>
        <w:t>.</w:t>
      </w:r>
    </w:p>
    <w:p w14:paraId="796E0D04" w14:textId="77777777" w:rsidR="00B34B1F" w:rsidRPr="00F75F7A" w:rsidRDefault="00B34B1F" w:rsidP="001A1923">
      <w:pPr>
        <w:pStyle w:val="Authornames"/>
        <w:rPr>
          <w:vertAlign w:val="superscript"/>
        </w:rPr>
      </w:pPr>
      <w:r w:rsidRPr="0015588D">
        <w:t>Tracey England</w:t>
      </w:r>
      <w:r w:rsidRPr="0015588D">
        <w:rPr>
          <w:vertAlign w:val="superscript"/>
        </w:rPr>
        <w:t>1,2</w:t>
      </w:r>
      <w:r w:rsidRPr="0015588D">
        <w:t>, Bronagh Walsh</w:t>
      </w:r>
      <w:r w:rsidRPr="0015588D">
        <w:rPr>
          <w:vertAlign w:val="superscript"/>
        </w:rPr>
        <w:t>1</w:t>
      </w:r>
      <w:r w:rsidRPr="0015588D">
        <w:t>, Sally Brailsford</w:t>
      </w:r>
      <w:r w:rsidRPr="0015588D">
        <w:rPr>
          <w:vertAlign w:val="superscript"/>
        </w:rPr>
        <w:t>2</w:t>
      </w:r>
      <w:r w:rsidRPr="0015588D">
        <w:t>, Carole Fogg</w:t>
      </w:r>
      <w:r w:rsidRPr="0015588D">
        <w:rPr>
          <w:vertAlign w:val="superscript"/>
        </w:rPr>
        <w:t>1</w:t>
      </w:r>
      <w:r w:rsidRPr="00E3670B">
        <w:t>, Simon de Lusignan</w:t>
      </w:r>
      <w:r w:rsidRPr="00882FD7">
        <w:rPr>
          <w:vertAlign w:val="superscript"/>
        </w:rPr>
        <w:t>3</w:t>
      </w:r>
      <w:r w:rsidRPr="00E3670B">
        <w:t xml:space="preserve">, Simon </w:t>
      </w:r>
      <w:r>
        <w:t xml:space="preserve">DS </w:t>
      </w:r>
      <w:r w:rsidRPr="00E3670B">
        <w:t>Fraser</w:t>
      </w:r>
      <w:r w:rsidRPr="00882FD7">
        <w:rPr>
          <w:vertAlign w:val="superscript"/>
        </w:rPr>
        <w:t>4</w:t>
      </w:r>
      <w:r w:rsidRPr="00E3670B">
        <w:t>, Paul Roderick</w:t>
      </w:r>
      <w:r>
        <w:rPr>
          <w:vertAlign w:val="superscript"/>
        </w:rPr>
        <w:t>4</w:t>
      </w:r>
      <w:r w:rsidRPr="00E3670B">
        <w:t>, Scott Harris</w:t>
      </w:r>
      <w:r>
        <w:rPr>
          <w:vertAlign w:val="superscript"/>
        </w:rPr>
        <w:t>4</w:t>
      </w:r>
      <w:r w:rsidRPr="00E3670B">
        <w:t>, Abigail Barkham</w:t>
      </w:r>
      <w:r>
        <w:rPr>
          <w:vertAlign w:val="superscript"/>
        </w:rPr>
        <w:t>5</w:t>
      </w:r>
      <w:r w:rsidRPr="00E3670B">
        <w:t xml:space="preserve">, Harnish </w:t>
      </w:r>
      <w:r>
        <w:t xml:space="preserve">P </w:t>
      </w:r>
      <w:r w:rsidRPr="00E3670B">
        <w:t>Patel</w:t>
      </w:r>
      <w:r>
        <w:rPr>
          <w:vertAlign w:val="superscript"/>
        </w:rPr>
        <w:t>6</w:t>
      </w:r>
      <w:r w:rsidRPr="00E3670B">
        <w:rPr>
          <w:vertAlign w:val="superscript"/>
        </w:rPr>
        <w:t>,</w:t>
      </w:r>
      <w:r>
        <w:rPr>
          <w:vertAlign w:val="superscript"/>
        </w:rPr>
        <w:t>7</w:t>
      </w:r>
      <w:r>
        <w:t>, Andrew Clegg</w:t>
      </w:r>
      <w:r>
        <w:rPr>
          <w:vertAlign w:val="superscript"/>
        </w:rPr>
        <w:t>8</w:t>
      </w:r>
    </w:p>
    <w:p w14:paraId="0DF642D9" w14:textId="77777777" w:rsidR="00B34B1F" w:rsidRPr="00E3670B" w:rsidRDefault="00B34B1F" w:rsidP="001A1923">
      <w:pPr>
        <w:pStyle w:val="Affiliation"/>
      </w:pPr>
      <w:r w:rsidRPr="00E3670B">
        <w:t>1: School of Health Sciences, University of Southampton, Southampton, United Kingdom</w:t>
      </w:r>
    </w:p>
    <w:p w14:paraId="3B6F43FE" w14:textId="77777777" w:rsidR="00B34B1F" w:rsidRPr="00E3670B" w:rsidRDefault="00B34B1F" w:rsidP="001A1923">
      <w:pPr>
        <w:pStyle w:val="Affiliation"/>
      </w:pPr>
      <w:r w:rsidRPr="00E3670B">
        <w:t>2: Southampton Business School, University of Southampton, United Kingdom</w:t>
      </w:r>
    </w:p>
    <w:p w14:paraId="369033DA" w14:textId="77777777" w:rsidR="00B34B1F" w:rsidRPr="00FA27E3" w:rsidRDefault="00B34B1F" w:rsidP="001A1923">
      <w:pPr>
        <w:pStyle w:val="Affiliation"/>
      </w:pPr>
      <w:r>
        <w:t>3</w:t>
      </w:r>
      <w:r w:rsidRPr="00E3670B">
        <w:t xml:space="preserve">: Nuffield Department of Primary Care Health Sciences, University of Oxford, </w:t>
      </w:r>
      <w:r>
        <w:t xml:space="preserve">Eagle House, Walton Well Road, </w:t>
      </w:r>
      <w:r w:rsidRPr="00E3670B">
        <w:t xml:space="preserve">Oxford, </w:t>
      </w:r>
      <w:r>
        <w:t xml:space="preserve">OX2 6ED, </w:t>
      </w:r>
      <w:r w:rsidRPr="00E3670B">
        <w:t>UK</w:t>
      </w:r>
    </w:p>
    <w:p w14:paraId="5521FE19" w14:textId="77777777" w:rsidR="00B34B1F" w:rsidRPr="00FA27E3" w:rsidRDefault="00B34B1F" w:rsidP="001A1923">
      <w:pPr>
        <w:pStyle w:val="Affiliation"/>
      </w:pPr>
      <w:r>
        <w:t>4</w:t>
      </w:r>
      <w:r w:rsidRPr="00FA27E3">
        <w:t xml:space="preserve">: </w:t>
      </w:r>
      <w:r w:rsidRPr="00FA27E3">
        <w:rPr>
          <w:rStyle w:val="normaltextrun"/>
          <w:color w:val="000000"/>
          <w:shd w:val="clear" w:color="auto" w:fill="FFFFFF"/>
        </w:rPr>
        <w:t xml:space="preserve">School of Primary Care, Population Sciences, and Medical Education, Faculty of Medicine, University of Southampton, Southampton General Hospital, </w:t>
      </w:r>
      <w:proofErr w:type="spellStart"/>
      <w:r w:rsidRPr="00FA27E3">
        <w:rPr>
          <w:rStyle w:val="normaltextrun"/>
          <w:color w:val="000000"/>
          <w:shd w:val="clear" w:color="auto" w:fill="FFFFFF"/>
        </w:rPr>
        <w:t>Tremona</w:t>
      </w:r>
      <w:proofErr w:type="spellEnd"/>
      <w:r w:rsidRPr="00FA27E3">
        <w:rPr>
          <w:rStyle w:val="normaltextrun"/>
          <w:color w:val="000000"/>
          <w:shd w:val="clear" w:color="auto" w:fill="FFFFFF"/>
        </w:rPr>
        <w:t xml:space="preserve"> Road, Southampton SO16 6YD UK.</w:t>
      </w:r>
    </w:p>
    <w:p w14:paraId="141DDF00" w14:textId="77777777" w:rsidR="00B34B1F" w:rsidRDefault="00B34B1F" w:rsidP="001A1923">
      <w:pPr>
        <w:pStyle w:val="Affiliation"/>
      </w:pPr>
      <w:r>
        <w:t>5</w:t>
      </w:r>
      <w:r w:rsidRPr="00FA27E3">
        <w:t xml:space="preserve">: </w:t>
      </w:r>
      <w:r w:rsidRPr="00701CF7">
        <w:t xml:space="preserve">Southern Health NHS Foundation Trust, Lathbury Mount, Colmore, Southampton, </w:t>
      </w:r>
      <w:r>
        <w:t>UK</w:t>
      </w:r>
    </w:p>
    <w:p w14:paraId="5900B547" w14:textId="77777777" w:rsidR="00B34B1F" w:rsidRPr="00FA27E3" w:rsidRDefault="00B34B1F" w:rsidP="001A1923">
      <w:pPr>
        <w:pStyle w:val="Affiliation"/>
        <w:rPr>
          <w:rStyle w:val="normaltextrun"/>
          <w:color w:val="000000"/>
          <w:shd w:val="clear" w:color="auto" w:fill="FFFFFF"/>
        </w:rPr>
      </w:pPr>
      <w:r>
        <w:rPr>
          <w:rStyle w:val="normaltextrun"/>
          <w:color w:val="000000"/>
          <w:shd w:val="clear" w:color="auto" w:fill="FFFFFF"/>
        </w:rPr>
        <w:t>6</w:t>
      </w:r>
      <w:r w:rsidRPr="00FA27E3">
        <w:rPr>
          <w:rStyle w:val="normaltextrun"/>
          <w:color w:val="000000"/>
          <w:shd w:val="clear" w:color="auto" w:fill="FFFFFF"/>
        </w:rPr>
        <w:t>: University Hospital Southampton NHS Trust,</w:t>
      </w:r>
      <w:r w:rsidRPr="00FA27E3">
        <w:t xml:space="preserve"> </w:t>
      </w:r>
      <w:r w:rsidRPr="00FA27E3">
        <w:rPr>
          <w:rStyle w:val="normaltextrun"/>
          <w:color w:val="000000"/>
          <w:shd w:val="clear" w:color="auto" w:fill="FFFFFF"/>
        </w:rPr>
        <w:t xml:space="preserve">Southampton General Hospital, </w:t>
      </w:r>
      <w:proofErr w:type="spellStart"/>
      <w:r w:rsidRPr="00FA27E3">
        <w:rPr>
          <w:rStyle w:val="normaltextrun"/>
          <w:color w:val="000000"/>
          <w:shd w:val="clear" w:color="auto" w:fill="FFFFFF"/>
        </w:rPr>
        <w:t>Tremona</w:t>
      </w:r>
      <w:proofErr w:type="spellEnd"/>
      <w:r w:rsidRPr="00FA27E3">
        <w:rPr>
          <w:rStyle w:val="normaltextrun"/>
          <w:color w:val="000000"/>
          <w:shd w:val="clear" w:color="auto" w:fill="FFFFFF"/>
        </w:rPr>
        <w:t xml:space="preserve"> Road, Southampton SO16 6YD UK</w:t>
      </w:r>
    </w:p>
    <w:p w14:paraId="0B373A11" w14:textId="77777777" w:rsidR="00B34B1F" w:rsidRDefault="00B34B1F" w:rsidP="001A1923">
      <w:pPr>
        <w:pStyle w:val="Affiliation"/>
        <w:rPr>
          <w:rStyle w:val="normaltextrun"/>
          <w:color w:val="000000"/>
          <w:shd w:val="clear" w:color="auto" w:fill="FFFFFF"/>
        </w:rPr>
      </w:pPr>
      <w:r>
        <w:rPr>
          <w:rStyle w:val="normaltextrun"/>
          <w:color w:val="000000"/>
          <w:shd w:val="clear" w:color="auto" w:fill="FFFFFF"/>
        </w:rPr>
        <w:t>7</w:t>
      </w:r>
      <w:r w:rsidRPr="00FA27E3">
        <w:rPr>
          <w:rStyle w:val="normaltextrun"/>
          <w:color w:val="000000"/>
          <w:shd w:val="clear" w:color="auto" w:fill="FFFFFF"/>
        </w:rPr>
        <w:t xml:space="preserve">: NIHR Southampton Biomedical Research Centre, Southampton Centre for Biomedical Research, Southampton General Hospital, </w:t>
      </w:r>
      <w:proofErr w:type="spellStart"/>
      <w:r w:rsidRPr="00FA27E3">
        <w:rPr>
          <w:rStyle w:val="normaltextrun"/>
          <w:color w:val="000000"/>
          <w:shd w:val="clear" w:color="auto" w:fill="FFFFFF"/>
        </w:rPr>
        <w:t>Tremona</w:t>
      </w:r>
      <w:proofErr w:type="spellEnd"/>
      <w:r w:rsidRPr="00FA27E3">
        <w:rPr>
          <w:rStyle w:val="normaltextrun"/>
          <w:color w:val="000000"/>
          <w:shd w:val="clear" w:color="auto" w:fill="FFFFFF"/>
        </w:rPr>
        <w:t xml:space="preserve"> Road, Southampton SO16 6YD UK</w:t>
      </w:r>
    </w:p>
    <w:p w14:paraId="60BB4669" w14:textId="77777777" w:rsidR="00B34B1F" w:rsidRPr="00190C20" w:rsidRDefault="00B34B1F" w:rsidP="001A1923">
      <w:pPr>
        <w:pStyle w:val="Affiliation"/>
      </w:pPr>
      <w:r w:rsidRPr="00846165">
        <w:rPr>
          <w:rStyle w:val="normaltextrun"/>
          <w:color w:val="000000"/>
          <w:shd w:val="clear" w:color="auto" w:fill="FFFFFF"/>
        </w:rPr>
        <w:t>8: Academic Unit for Ageing &amp; Stroke Research, University of Leeds, Bradford Teaching Hospitals NHS Foundation Trust, Bradford, UK.</w:t>
      </w:r>
    </w:p>
    <w:p w14:paraId="0B8918BE" w14:textId="77777777" w:rsidR="00B34B1F" w:rsidRPr="00FA27E3" w:rsidRDefault="00B34B1F" w:rsidP="001A1923">
      <w:pPr>
        <w:pStyle w:val="Authornames"/>
      </w:pPr>
      <w:r w:rsidRPr="00FA27E3">
        <w:t xml:space="preserve">Corresponding author: Tracey J England, School of Health Science, University of Southampton, Southampton, Hampshire, UK, SO53 1BJ. Email: </w:t>
      </w:r>
      <w:hyperlink r:id="rId11" w:history="1"/>
      <w:r>
        <w:t>t.j.england@soton.ac.uk</w:t>
      </w:r>
    </w:p>
    <w:p w14:paraId="2586E866" w14:textId="77777777" w:rsidR="00B34B1F" w:rsidRPr="00FA27E3" w:rsidRDefault="00B34B1F" w:rsidP="001A1923"/>
    <w:p w14:paraId="438E4D72" w14:textId="77777777" w:rsidR="00B34B1F" w:rsidRPr="007404CA" w:rsidRDefault="00B34B1F" w:rsidP="001A1923">
      <w:pPr>
        <w:pStyle w:val="Acknowledgements"/>
        <w:rPr>
          <w:b/>
          <w:bCs/>
        </w:rPr>
      </w:pPr>
      <w:r w:rsidRPr="00FA27E3">
        <w:rPr>
          <w:b/>
          <w:bCs/>
        </w:rPr>
        <w:t xml:space="preserve">Acknowledgements: </w:t>
      </w:r>
      <w:r w:rsidRPr="007404CA">
        <w:t>The authors would like to thank the R</w:t>
      </w:r>
      <w:r>
        <w:t xml:space="preserve">oyal </w:t>
      </w:r>
      <w:r w:rsidRPr="007404CA">
        <w:t>C</w:t>
      </w:r>
      <w:r>
        <w:t xml:space="preserve">ollege of </w:t>
      </w:r>
      <w:r w:rsidRPr="007404CA">
        <w:t>G</w:t>
      </w:r>
      <w:r>
        <w:t xml:space="preserve">eneral </w:t>
      </w:r>
      <w:r w:rsidRPr="007404CA">
        <w:t>P</w:t>
      </w:r>
      <w:r>
        <w:t>ractitioners (RCGP)</w:t>
      </w:r>
      <w:r w:rsidDel="00FD1AB9">
        <w:t xml:space="preserve"> </w:t>
      </w:r>
      <w:r w:rsidRPr="007404CA">
        <w:t>R</w:t>
      </w:r>
      <w:r>
        <w:t xml:space="preserve">esearch and </w:t>
      </w:r>
      <w:r w:rsidRPr="007404CA">
        <w:t>S</w:t>
      </w:r>
      <w:r>
        <w:t xml:space="preserve">urveillance </w:t>
      </w:r>
      <w:r w:rsidRPr="007404CA">
        <w:t>C</w:t>
      </w:r>
      <w:r>
        <w:t>entre (RSC)</w:t>
      </w:r>
      <w:r w:rsidRPr="007404CA">
        <w:t xml:space="preserve"> and </w:t>
      </w:r>
      <w:r w:rsidRPr="001E1174">
        <w:t xml:space="preserve">Secure Anonymised Information Linkage </w:t>
      </w:r>
      <w:r>
        <w:t>(</w:t>
      </w:r>
      <w:r w:rsidRPr="007404CA">
        <w:t>SAIL</w:t>
      </w:r>
      <w:r>
        <w:t>)</w:t>
      </w:r>
      <w:r w:rsidRPr="007404CA">
        <w:t xml:space="preserve"> teams for all </w:t>
      </w:r>
      <w:r>
        <w:t>t</w:t>
      </w:r>
      <w:r w:rsidRPr="007404CA">
        <w:t>heir contribution and support during this study, in particular: John Williams and Julian Sherlock. Helen Daniels, Ashley Akbari.</w:t>
      </w:r>
    </w:p>
    <w:p w14:paraId="453DF7B0" w14:textId="77777777" w:rsidR="00B34B1F" w:rsidRPr="007404CA" w:rsidRDefault="00B34B1F" w:rsidP="001A1923"/>
    <w:p w14:paraId="7553FCA4" w14:textId="77777777" w:rsidR="00B34B1F" w:rsidRPr="007404CA" w:rsidRDefault="00B34B1F" w:rsidP="001A1923">
      <w:pPr>
        <w:pStyle w:val="Acknowledgements"/>
      </w:pPr>
      <w:r w:rsidRPr="007404CA">
        <w:rPr>
          <w:b/>
          <w:bCs/>
        </w:rPr>
        <w:t xml:space="preserve">Funding: </w:t>
      </w:r>
      <w:r w:rsidRPr="007404CA">
        <w:t xml:space="preserve">This work was supported by the National Institute for Health Research (NIHR) Health Services and Delivery Research (HSDR) programme under award HS&amp;DR </w:t>
      </w:r>
      <w:r w:rsidRPr="007404CA">
        <w:rPr>
          <w:lang w:val="pt-PT"/>
        </w:rPr>
        <w:t>16/116/43</w:t>
      </w:r>
      <w:r w:rsidRPr="007404CA">
        <w:t>. The views expressed are those of the authors and not necessarily those of the NIHR or the Department of Health and Social Care.</w:t>
      </w:r>
    </w:p>
    <w:p w14:paraId="32101A63" w14:textId="77777777" w:rsidR="00B34B1F" w:rsidRPr="007404CA" w:rsidRDefault="00B34B1F" w:rsidP="0032014A">
      <w:pPr>
        <w:pStyle w:val="Acknowledgements"/>
      </w:pPr>
    </w:p>
    <w:p w14:paraId="2ED116B7" w14:textId="77777777" w:rsidR="00B34B1F" w:rsidRPr="007404CA" w:rsidRDefault="00B34B1F" w:rsidP="0032014A">
      <w:pPr>
        <w:pStyle w:val="Acknowledgements"/>
        <w:rPr>
          <w:b/>
          <w:bCs/>
        </w:rPr>
      </w:pPr>
      <w:r w:rsidRPr="007404CA">
        <w:rPr>
          <w:b/>
          <w:bCs/>
        </w:rPr>
        <w:t xml:space="preserve">Disclosure statement: </w:t>
      </w:r>
      <w:r w:rsidRPr="007404CA">
        <w:t>The authors report there are no competing interests to declare.</w:t>
      </w:r>
    </w:p>
    <w:p w14:paraId="266140A6" w14:textId="77777777" w:rsidR="00B34B1F" w:rsidRPr="007404CA" w:rsidRDefault="00B34B1F" w:rsidP="0032014A"/>
    <w:p w14:paraId="7BF9F5CB" w14:textId="77777777" w:rsidR="00B34B1F" w:rsidRPr="0090188C" w:rsidRDefault="00B34B1F" w:rsidP="0032014A">
      <w:r w:rsidRPr="0090188C">
        <w:rPr>
          <w:b/>
          <w:bCs/>
        </w:rPr>
        <w:t>Data availability statement</w:t>
      </w:r>
      <w:r w:rsidRPr="0090188C">
        <w:t>: The data used in the study are secondary data and are retained by the data providers (RCGP RSC and SAIL). The data are not publicly available as restrictions apply to the availability of these data, which were used following approvals and data sharing agreements for the current study.</w:t>
      </w:r>
    </w:p>
    <w:p w14:paraId="3F57769D" w14:textId="77777777" w:rsidR="00B34B1F" w:rsidRDefault="00B34B1F" w:rsidP="0032014A">
      <w:pPr>
        <w:pStyle w:val="Acknowledgements"/>
      </w:pPr>
    </w:p>
    <w:p w14:paraId="196E4745" w14:textId="77777777" w:rsidR="00B34B1F" w:rsidRPr="007404CA" w:rsidRDefault="00B34B1F" w:rsidP="0032014A">
      <w:pPr>
        <w:pStyle w:val="Acknowledgements"/>
      </w:pPr>
      <w:r w:rsidRPr="007404CA">
        <w:t>Ethics approval:</w:t>
      </w:r>
    </w:p>
    <w:p w14:paraId="63CF4D97" w14:textId="77777777" w:rsidR="00B34B1F" w:rsidRDefault="00B34B1F" w:rsidP="0032014A">
      <w:r w:rsidRPr="007404CA">
        <w:t>The study was carried out in accordance with the Declaration of Helsinki and was approved by the University of Southampton Research Ethics Committee (ref 46313) on 6/2/2019, the RCGP RSC Information Governance Panel on 24/1/2019, DARS IGARD panel on 19/4/2021 and SAIL Information Governance Review Panel (IGRP) on 3/12/2020. As the study uses routinely collected data which has been pseudonymised for the purposes of research, informed consent was not required.</w:t>
      </w:r>
    </w:p>
    <w:p w14:paraId="4031E0E6" w14:textId="77777777" w:rsidR="00B34B1F" w:rsidRDefault="00B34B1F" w:rsidP="0032014A">
      <w:pPr>
        <w:rPr>
          <w:sz w:val="28"/>
        </w:rPr>
      </w:pPr>
      <w:r>
        <w:br w:type="page"/>
      </w:r>
    </w:p>
    <w:p w14:paraId="766BBB86" w14:textId="7E05D10D" w:rsidR="00793363" w:rsidRPr="007404CA" w:rsidRDefault="00793363" w:rsidP="0032014A">
      <w:pPr>
        <w:pStyle w:val="Articletitle"/>
      </w:pPr>
      <w:r w:rsidRPr="007404CA">
        <w:lastRenderedPageBreak/>
        <w:t xml:space="preserve">Using </w:t>
      </w:r>
      <w:r w:rsidR="0028158D">
        <w:t>r</w:t>
      </w:r>
      <w:r w:rsidRPr="007404CA">
        <w:t xml:space="preserve">outine health care data to develop and validate a </w:t>
      </w:r>
      <w:r w:rsidR="0028158D">
        <w:t xml:space="preserve">system dynamics </w:t>
      </w:r>
      <w:r w:rsidRPr="007404CA">
        <w:t>simulation model of frailty trajectories in an ageing population.</w:t>
      </w:r>
    </w:p>
    <w:p w14:paraId="1E05FB58" w14:textId="6DD38C6A" w:rsidR="00793363" w:rsidRPr="007404CA" w:rsidRDefault="00793363" w:rsidP="000D75B8">
      <w:pPr>
        <w:pStyle w:val="Heading2"/>
      </w:pPr>
      <w:bookmarkStart w:id="1" w:name="_Hlk135808366"/>
      <w:r w:rsidRPr="007404CA">
        <w:t>Abstract</w:t>
      </w:r>
    </w:p>
    <w:p w14:paraId="061A1CB2" w14:textId="19304D32" w:rsidR="00AB5AED" w:rsidRPr="007404CA" w:rsidRDefault="00AE178C" w:rsidP="00AE178C">
      <w:pPr>
        <w:pStyle w:val="Abstract"/>
        <w:ind w:left="0"/>
      </w:pPr>
      <w:bookmarkStart w:id="2" w:name="_Hlk183185960"/>
      <w:bookmarkEnd w:id="1"/>
      <w:r w:rsidRPr="007404CA">
        <w:t xml:space="preserve">Frailty is common in older adults and has a substantial impact on patient outcomes and service use. </w:t>
      </w:r>
      <w:r>
        <w:t>I</w:t>
      </w:r>
      <w:r w:rsidRPr="007404CA">
        <w:t xml:space="preserve">nformation </w:t>
      </w:r>
      <w:r>
        <w:t xml:space="preserve">to support service planning, including </w:t>
      </w:r>
      <w:r w:rsidRPr="007404CA">
        <w:t>prevalence in middle-aged adults and patterns of frailty progression at</w:t>
      </w:r>
      <w:r>
        <w:t xml:space="preserve"> </w:t>
      </w:r>
      <w:r w:rsidRPr="007404CA">
        <w:t>population level</w:t>
      </w:r>
      <w:r>
        <w:t>,</w:t>
      </w:r>
      <w:r w:rsidRPr="007404CA">
        <w:t xml:space="preserve"> is scarce. This paper presents a system dynamics model describ</w:t>
      </w:r>
      <w:r>
        <w:t>ing</w:t>
      </w:r>
      <w:r w:rsidRPr="007404CA">
        <w:t xml:space="preserve"> the dynamics of frailty and ageing within a population of patients aged ≥50, based on </w:t>
      </w:r>
      <w:r>
        <w:t>linked d</w:t>
      </w:r>
      <w:r w:rsidRPr="007404CA">
        <w:t xml:space="preserve">ata for 2.2 million patients from primary care practices in England. </w:t>
      </w:r>
      <w:r w:rsidR="006C4EA4" w:rsidRPr="006C4EA4">
        <w:rPr>
          <w:color w:val="FF0000"/>
        </w:rPr>
        <w:t xml:space="preserve">The purpose of the model </w:t>
      </w:r>
      <w:r w:rsidR="00A301D6">
        <w:rPr>
          <w:color w:val="FF0000"/>
        </w:rPr>
        <w:t>i</w:t>
      </w:r>
      <w:r w:rsidR="006C4EA4" w:rsidRPr="006C4EA4">
        <w:rPr>
          <w:color w:val="FF0000"/>
        </w:rPr>
        <w:t xml:space="preserve">s to estimate the incidence and prevalence of frailty in an ageing population over time. </w:t>
      </w:r>
      <w:r w:rsidRPr="007404CA">
        <w:t xml:space="preserve">The model was developed in consultation with stakeholders </w:t>
      </w:r>
      <w:r>
        <w:t>(</w:t>
      </w:r>
      <w:r w:rsidRPr="007404CA">
        <w:t>patients</w:t>
      </w:r>
      <w:r>
        <w:t xml:space="preserve">, </w:t>
      </w:r>
      <w:r w:rsidRPr="007404CA">
        <w:t>carers, clinicians and commissioners</w:t>
      </w:r>
      <w:r>
        <w:t>)</w:t>
      </w:r>
      <w:r w:rsidR="006C4EA4">
        <w:t xml:space="preserve"> and</w:t>
      </w:r>
      <w:r w:rsidRPr="007404CA">
        <w:t xml:space="preserve"> validated against another large dataset (1.38 million patients) from Wales</w:t>
      </w:r>
      <w:r w:rsidR="006C4EA4">
        <w:t xml:space="preserve">. </w:t>
      </w:r>
      <w:r w:rsidR="004C596A">
        <w:t xml:space="preserve"> </w:t>
      </w:r>
      <w:r w:rsidR="006C4EA4">
        <w:t>It was</w:t>
      </w:r>
      <w:r w:rsidR="004C596A">
        <w:t xml:space="preserve"> then</w:t>
      </w:r>
      <w:r w:rsidRPr="007404CA">
        <w:t xml:space="preserve"> </w:t>
      </w:r>
      <w:r>
        <w:t>scaled up to the population of England, using</w:t>
      </w:r>
      <w:r w:rsidRPr="007404CA">
        <w:t xml:space="preserve"> O</w:t>
      </w:r>
      <w:r>
        <w:t xml:space="preserve">ffice for </w:t>
      </w:r>
      <w:r w:rsidRPr="007404CA">
        <w:t>N</w:t>
      </w:r>
      <w:r>
        <w:t xml:space="preserve">ational </w:t>
      </w:r>
      <w:r w:rsidRPr="007404CA">
        <w:t>S</w:t>
      </w:r>
      <w:r>
        <w:t xml:space="preserve">tatistics projections (to 2027). </w:t>
      </w:r>
      <w:r w:rsidR="006C4EA4">
        <w:t xml:space="preserve"> </w:t>
      </w:r>
      <w:r w:rsidRPr="00806328">
        <w:t xml:space="preserve">The </w:t>
      </w:r>
      <w:r>
        <w:t xml:space="preserve">baseline </w:t>
      </w:r>
      <w:r w:rsidRPr="00806328">
        <w:t>results</w:t>
      </w:r>
      <w:r w:rsidR="006C4EA4">
        <w:t xml:space="preserve">, </w:t>
      </w:r>
      <w:r w:rsidR="006C4EA4" w:rsidRPr="006C4EA4">
        <w:rPr>
          <w:color w:val="FF0000"/>
        </w:rPr>
        <w:t>subject to the assumption that the frailty transition parameters remain constant</w:t>
      </w:r>
      <w:r w:rsidR="00C823EB">
        <w:rPr>
          <w:color w:val="FF0000"/>
        </w:rPr>
        <w:t xml:space="preserve"> over this period</w:t>
      </w:r>
      <w:r w:rsidR="006C4EA4" w:rsidRPr="006C4EA4">
        <w:rPr>
          <w:color w:val="FF0000"/>
        </w:rPr>
        <w:t xml:space="preserve">, </w:t>
      </w:r>
      <w:r w:rsidR="00122E84" w:rsidRPr="006C4EA4">
        <w:rPr>
          <w:color w:val="FF0000"/>
        </w:rPr>
        <w:t>suggest</w:t>
      </w:r>
      <w:r w:rsidRPr="006C4EA4">
        <w:rPr>
          <w:color w:val="FF0000"/>
        </w:rPr>
        <w:t xml:space="preserve"> </w:t>
      </w:r>
      <w:r w:rsidRPr="00806328">
        <w:t>that</w:t>
      </w:r>
      <w:r>
        <w:t xml:space="preserve"> </w:t>
      </w:r>
      <w:r w:rsidR="00122E84">
        <w:rPr>
          <w:color w:val="FF0000"/>
        </w:rPr>
        <w:t xml:space="preserve">the </w:t>
      </w:r>
      <w:r w:rsidRPr="00806328">
        <w:t xml:space="preserve">number of </w:t>
      </w:r>
      <w:r>
        <w:t xml:space="preserve">people living with </w:t>
      </w:r>
      <w:r w:rsidRPr="00806328">
        <w:t>frail</w:t>
      </w:r>
      <w:r>
        <w:t>ty</w:t>
      </w:r>
      <w:r w:rsidRPr="00806328">
        <w:t xml:space="preserve"> will </w:t>
      </w:r>
      <w:r>
        <w:t>increase</w:t>
      </w:r>
      <w:r w:rsidRPr="00806328">
        <w:t xml:space="preserve"> as the population ages, and that those with mild-moderate frailty are likely to have the greatest impact</w:t>
      </w:r>
      <w:r>
        <w:t xml:space="preserve"> </w:t>
      </w:r>
      <w:r w:rsidRPr="000D3E0D">
        <w:t xml:space="preserve">on demand. This paper focuses on model </w:t>
      </w:r>
      <w:r>
        <w:t xml:space="preserve">development and </w:t>
      </w:r>
      <w:r w:rsidRPr="007404CA">
        <w:t>validation</w:t>
      </w:r>
      <w:r>
        <w:t>, highlighting the benefits and challenges of using large routine health datasets</w:t>
      </w:r>
      <w:r w:rsidRPr="007404CA">
        <w:t>.</w:t>
      </w:r>
    </w:p>
    <w:bookmarkEnd w:id="2"/>
    <w:p w14:paraId="0DB12BA8" w14:textId="031CE216" w:rsidR="00793363" w:rsidRPr="007404CA" w:rsidRDefault="00793363">
      <w:pPr>
        <w:pStyle w:val="Abstract"/>
      </w:pPr>
      <w:r w:rsidRPr="007404CA">
        <w:t>Keywords: Frailty; System Dynamics; Ageing Population; Transitions; Validation</w:t>
      </w:r>
    </w:p>
    <w:p w14:paraId="60E491CA" w14:textId="250696EC" w:rsidR="00793363" w:rsidRPr="004641CF" w:rsidRDefault="00793363" w:rsidP="00A752C2">
      <w:r w:rsidRPr="007404CA">
        <w:t xml:space="preserve">Word count (including abstract and references): </w:t>
      </w:r>
      <w:r w:rsidR="00F507B9" w:rsidRPr="00DC1960">
        <w:t>8</w:t>
      </w:r>
      <w:r w:rsidR="00985DA2">
        <w:t>97</w:t>
      </w:r>
      <w:r w:rsidR="006A472E">
        <w:t>3</w:t>
      </w:r>
      <w:r w:rsidR="004641CF" w:rsidRPr="00DC1960">
        <w:t xml:space="preserve"> words</w:t>
      </w:r>
    </w:p>
    <w:p w14:paraId="3BB9D058" w14:textId="43A05FEF" w:rsidR="00793363" w:rsidRPr="004641CF" w:rsidRDefault="00793363">
      <w:r w:rsidRPr="004641CF">
        <w:t xml:space="preserve">Number of figures: </w:t>
      </w:r>
      <w:r w:rsidR="00973208" w:rsidRPr="004641CF">
        <w:t>2</w:t>
      </w:r>
    </w:p>
    <w:p w14:paraId="627A9144" w14:textId="77777777" w:rsidR="00793363" w:rsidRPr="007404CA" w:rsidRDefault="00793363">
      <w:r w:rsidRPr="007404CA">
        <w:t>Number of tables: 4</w:t>
      </w:r>
    </w:p>
    <w:p w14:paraId="1323BA9E" w14:textId="77777777" w:rsidR="00793363" w:rsidRPr="007404CA" w:rsidRDefault="00793363" w:rsidP="00A752C2">
      <w:pPr>
        <w:pStyle w:val="Newparagraph"/>
      </w:pPr>
    </w:p>
    <w:p w14:paraId="5CBAFBDD" w14:textId="77777777" w:rsidR="00793363" w:rsidRPr="007404CA" w:rsidRDefault="00793363">
      <w:pPr>
        <w:pStyle w:val="Newparagraph"/>
      </w:pPr>
    </w:p>
    <w:p w14:paraId="686944E4" w14:textId="77777777" w:rsidR="001A1923" w:rsidRPr="007404CA" w:rsidRDefault="001A1923"/>
    <w:p w14:paraId="630B6C52" w14:textId="16ACC5B7" w:rsidR="00793363" w:rsidRPr="007404CA" w:rsidRDefault="00793363"/>
    <w:p w14:paraId="77A5C05B" w14:textId="77777777" w:rsidR="00DC1960" w:rsidRDefault="00DC1960">
      <w:pPr>
        <w:spacing w:after="160" w:line="259" w:lineRule="auto"/>
        <w:jc w:val="left"/>
        <w:rPr>
          <w:rFonts w:asciiTheme="majorHAnsi" w:eastAsiaTheme="majorEastAsia" w:hAnsiTheme="majorHAnsi" w:cstheme="majorBidi"/>
          <w:color w:val="2F5496" w:themeColor="accent1" w:themeShade="BF"/>
          <w:sz w:val="28"/>
          <w:szCs w:val="28"/>
        </w:rPr>
      </w:pPr>
      <w:r>
        <w:br w:type="page"/>
      </w:r>
    </w:p>
    <w:p w14:paraId="4FF46AE9" w14:textId="05DFD973" w:rsidR="0020103E" w:rsidRPr="004055A8" w:rsidRDefault="0020103E" w:rsidP="004055A8">
      <w:pPr>
        <w:pStyle w:val="Heading1"/>
      </w:pPr>
      <w:r w:rsidRPr="004055A8">
        <w:lastRenderedPageBreak/>
        <w:t>Introduction</w:t>
      </w:r>
    </w:p>
    <w:p w14:paraId="0A36DD5D" w14:textId="542BB181" w:rsidR="00800908" w:rsidRPr="004F5BE4" w:rsidRDefault="00800908" w:rsidP="00A752C2">
      <w:pPr>
        <w:ind w:firstLine="720"/>
        <w:rPr>
          <w:color w:val="FF0000"/>
        </w:rPr>
      </w:pPr>
      <w:r w:rsidRPr="007404CA">
        <w:t xml:space="preserve">Frailty is a long-term condition where an individual </w:t>
      </w:r>
      <w:r w:rsidR="00BF729B">
        <w:t>is</w:t>
      </w:r>
      <w:r w:rsidRPr="007404CA">
        <w:t xml:space="preserve"> vulnerable to internal and external stressors (e.g., infection and falls) and </w:t>
      </w:r>
      <w:r w:rsidR="00BF729B">
        <w:t xml:space="preserve">is associated with poor health outcomes and high service use </w:t>
      </w:r>
      <w:r w:rsidRPr="00BF729B">
        <w:fldChar w:fldCharType="begin"/>
      </w:r>
      <w:r w:rsidRPr="007404CA">
        <w:instrText xml:space="preserve"> ADDIN EN.CITE &lt;EndNote&gt;&lt;Cite&gt;&lt;Author&gt;Clegg&lt;/Author&gt;&lt;Year&gt;2013&lt;/Year&gt;&lt;RecNum&gt;23&lt;/RecNum&gt;&lt;DisplayText&gt;(Clegg et al., 2013)&lt;/DisplayText&gt;&lt;record&gt;&lt;rec-number&gt;23&lt;/rec-number&gt;&lt;foreign-keys&gt;&lt;key app="EN" db-id="0sxsezaf7atedqef9vk5drdt9xzpawp0w5rv" timestamp="1684397072"&gt;23&lt;/key&gt;&lt;/foreign-keys&gt;&lt;ref-type name="Journal Article"&gt;17&lt;/ref-type&gt;&lt;contributors&gt;&lt;authors&gt;&lt;author&gt;Clegg, Andrew&lt;/author&gt;&lt;author&gt;Young, John&lt;/author&gt;&lt;author&gt;Iliffe, Steve&lt;/author&gt;&lt;author&gt;Rikkert, Marcel Olde&lt;/author&gt;&lt;author&gt;Rockwood, Kenneth&lt;/author&gt;&lt;/authors&gt;&lt;/contributors&gt;&lt;titles&gt;&lt;title&gt;Frailty in elderly people&lt;/title&gt;&lt;secondary-title&gt;The Lancet&lt;/secondary-title&gt;&lt;/titles&gt;&lt;periodical&gt;&lt;full-title&gt;The Lancet&lt;/full-title&gt;&lt;/periodical&gt;&lt;pages&gt;752-762&lt;/pages&gt;&lt;volume&gt;381&lt;/volume&gt;&lt;number&gt;9868&lt;/number&gt;&lt;dates&gt;&lt;year&gt;2013&lt;/year&gt;&lt;pub-dates&gt;&lt;date&gt;2013/03/02/&lt;/date&gt;&lt;/pub-dates&gt;&lt;/dates&gt;&lt;isbn&gt;0140-6736&lt;/isbn&gt;&lt;urls&gt;&lt;related-urls&gt;&lt;url&gt;https://www.sciencedirect.com/science/article/pii/S0140673612621679&lt;/url&gt;&lt;/related-urls&gt;&lt;/urls&gt;&lt;electronic-resource-num&gt;https://doi.org/10.1016/S0140-6736(12)62167-9&lt;/electronic-resource-num&gt;&lt;/record&gt;&lt;/Cite&gt;&lt;/EndNote&gt;</w:instrText>
      </w:r>
      <w:r w:rsidRPr="00BF729B">
        <w:fldChar w:fldCharType="separate"/>
      </w:r>
      <w:r w:rsidRPr="007404CA">
        <w:rPr>
          <w:noProof/>
        </w:rPr>
        <w:t>(Clegg et al., 2013)</w:t>
      </w:r>
      <w:r w:rsidRPr="00BF729B">
        <w:fldChar w:fldCharType="end"/>
      </w:r>
      <w:r w:rsidR="00E17D18" w:rsidRPr="007404CA">
        <w:t xml:space="preserve">. </w:t>
      </w:r>
      <w:bookmarkStart w:id="3" w:name="_Hlk157520057"/>
      <w:r w:rsidR="00955456" w:rsidRPr="000D2E55">
        <w:t xml:space="preserve">Informally, </w:t>
      </w:r>
      <w:r w:rsidR="001A1923" w:rsidRPr="000D2E55">
        <w:t>frailty</w:t>
      </w:r>
      <w:r w:rsidR="00955456" w:rsidRPr="000D2E55">
        <w:t xml:space="preserve"> can be described as a loss of resilience </w:t>
      </w:r>
      <w:r w:rsidR="002661EB" w:rsidRPr="000D2E55">
        <w:t xml:space="preserve">resulting from a cumulative impact of chronic conditions and ageing) </w:t>
      </w:r>
      <w:r w:rsidR="00955456" w:rsidRPr="000D2E55">
        <w:t xml:space="preserve">that </w:t>
      </w:r>
      <w:r w:rsidR="00D85DD5" w:rsidRPr="000D2E55">
        <w:t xml:space="preserve">prevents </w:t>
      </w:r>
      <w:r w:rsidR="00955456" w:rsidRPr="000D2E55">
        <w:t xml:space="preserve">people </w:t>
      </w:r>
      <w:r w:rsidR="00D85DD5" w:rsidRPr="000D2E55">
        <w:t>from ‘</w:t>
      </w:r>
      <w:r w:rsidR="00955456" w:rsidRPr="000D2E55">
        <w:t>bounc</w:t>
      </w:r>
      <w:r w:rsidR="00D85DD5" w:rsidRPr="000D2E55">
        <w:t>ing</w:t>
      </w:r>
      <w:r w:rsidR="00955456" w:rsidRPr="000D2E55">
        <w:t xml:space="preserve"> back</w:t>
      </w:r>
      <w:r w:rsidR="00D85DD5" w:rsidRPr="000D2E55">
        <w:t>’</w:t>
      </w:r>
      <w:r w:rsidR="00955456" w:rsidRPr="000D2E55">
        <w:t xml:space="preserve"> quickly after a</w:t>
      </w:r>
      <w:r w:rsidR="00C91DE0" w:rsidRPr="000D2E55">
        <w:t>n</w:t>
      </w:r>
      <w:r w:rsidR="00955456" w:rsidRPr="000D2E55">
        <w:t xml:space="preserve"> illness, an accident or </w:t>
      </w:r>
      <w:r w:rsidR="00C91DE0" w:rsidRPr="000D2E55">
        <w:t xml:space="preserve">some </w:t>
      </w:r>
      <w:r w:rsidR="00955456" w:rsidRPr="000D2E55">
        <w:t>other stressful event (Age UK, 2024)</w:t>
      </w:r>
      <w:r w:rsidR="00955456" w:rsidRPr="00955456">
        <w:t xml:space="preserve">. </w:t>
      </w:r>
      <w:r w:rsidR="00955456">
        <w:t xml:space="preserve"> </w:t>
      </w:r>
      <w:bookmarkEnd w:id="3"/>
      <w:r w:rsidR="00B41F9F" w:rsidRPr="007404CA">
        <w:t xml:space="preserve">Frailty may be identified following a physical assessment </w:t>
      </w:r>
      <w:r w:rsidR="00B41F9F" w:rsidRPr="00BF729B">
        <w:fldChar w:fldCharType="begin"/>
      </w:r>
      <w:r w:rsidR="00B41F9F" w:rsidRPr="007404CA">
        <w:instrText xml:space="preserve"> ADDIN EN.CITE &lt;EndNote&gt;&lt;Cite&gt;&lt;Author&gt;Fried&lt;/Author&gt;&lt;Year&gt;2001&lt;/Year&gt;&lt;RecNum&gt;32&lt;/RecNum&gt;&lt;DisplayText&gt;(Fried et al., 2001)&lt;/DisplayText&gt;&lt;record&gt;&lt;rec-number&gt;32&lt;/rec-number&gt;&lt;foreign-keys&gt;&lt;key app="EN" db-id="0sxsezaf7atedqef9vk5drdt9xzpawp0w5rv" timestamp="1684435055"&gt;32&lt;/key&gt;&lt;/foreign-keys&gt;&lt;ref-type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lt;/isbn&gt;&lt;accession-num&gt;11253156&lt;/accession-num&gt;&lt;urls&gt;&lt;/urls&gt;&lt;electronic-resource-num&gt;10.1093/gerona/56.3.m146&lt;/electronic-resource-num&gt;&lt;remote-database-provider&gt;NLM&lt;/remote-database-provider&gt;&lt;language&gt;eng&lt;/language&gt;&lt;/record&gt;&lt;/Cite&gt;&lt;/EndNote&gt;</w:instrText>
      </w:r>
      <w:r w:rsidR="00B41F9F" w:rsidRPr="00BF729B">
        <w:fldChar w:fldCharType="separate"/>
      </w:r>
      <w:r w:rsidR="00B41F9F" w:rsidRPr="007404CA">
        <w:rPr>
          <w:noProof/>
        </w:rPr>
        <w:t>(Fried et al., 2001)</w:t>
      </w:r>
      <w:r w:rsidR="00B41F9F" w:rsidRPr="00BF729B">
        <w:fldChar w:fldCharType="end"/>
      </w:r>
      <w:r w:rsidR="000B4549" w:rsidRPr="007404CA">
        <w:t xml:space="preserve"> or by using a frailty score or ‘index’</w:t>
      </w:r>
      <w:r w:rsidR="00BF729B">
        <w:t>,</w:t>
      </w:r>
      <w:r w:rsidR="000B4549" w:rsidRPr="007404CA">
        <w:t xml:space="preserve">  based on an accumulation of conditions or disabilities, which can be derived from routinely collected data</w:t>
      </w:r>
      <w:r w:rsidR="0069299E">
        <w:t xml:space="preserve"> using a validated measure such as</w:t>
      </w:r>
      <w:r w:rsidR="00BF729B">
        <w:t xml:space="preserve"> </w:t>
      </w:r>
      <w:r w:rsidR="00BF729B" w:rsidRPr="007404CA">
        <w:t>the electronic frailty index (</w:t>
      </w:r>
      <w:proofErr w:type="spellStart"/>
      <w:r w:rsidR="00BF729B" w:rsidRPr="007404CA">
        <w:t>eFI</w:t>
      </w:r>
      <w:proofErr w:type="spellEnd"/>
      <w:r w:rsidR="00BF729B" w:rsidRPr="007404CA">
        <w:t>)</w:t>
      </w:r>
      <w:r w:rsidR="00BF729B">
        <w:t>,</w:t>
      </w:r>
      <w:r w:rsidR="00BF729B" w:rsidRPr="007404CA">
        <w:t xml:space="preserve"> </w:t>
      </w:r>
      <w:r w:rsidR="00E13F6C">
        <w:t>(</w:t>
      </w:r>
      <w:r w:rsidR="00362B51">
        <w:fldChar w:fldCharType="begin"/>
      </w:r>
      <w:r w:rsidR="00362B51">
        <w:instrText xml:space="preserve"> ADDIN EN.CITE &lt;EndNote&gt;&lt;Cite&gt;&lt;Author&gt;Clegg&lt;/Author&gt;&lt;Year&gt;2016&lt;/Year&gt;&lt;RecNum&gt;22&lt;/RecNum&gt;&lt;DisplayText&gt;(Clegg et al., 2016)&lt;/DisplayText&gt;&lt;record&gt;&lt;rec-number&gt;22&lt;/rec-number&gt;&lt;foreign-keys&gt;&lt;key app="EN" db-id="0sxsezaf7atedqef9vk5drdt9xzpawp0w5rv" timestamp="1684396635"&gt;22&lt;/key&gt;&lt;/foreign-keys&gt;&lt;ref-type name="Journal Article"&gt;17&lt;/ref-type&gt;&lt;contributors&gt;&lt;authors&gt;&lt;author&gt;Clegg, Andrew&lt;/author&gt;&lt;author&gt;Bates, Chris&lt;/author&gt;&lt;author&gt;Young, John&lt;/author&gt;&lt;author&gt;Ryan, Ronan&lt;/author&gt;&lt;author&gt;Nichols, Linda&lt;/author&gt;&lt;author&gt;Ann Teale, Elizabeth&lt;/author&gt;&lt;author&gt;Mohammed, Mohammed A.&lt;/author&gt;&lt;author&gt;Parry, John&lt;/author&gt;&lt;author&gt;Marshall, Tom&lt;/author&gt;&lt;/authors&gt;&lt;/contributors&gt;&lt;titles&gt;&lt;title&gt;Development and validation of an electronic frailty index using routine primary care electronic health record data&lt;/title&gt;&lt;secondary-title&gt;Age and Ageing&lt;/secondary-title&gt;&lt;/titles&gt;&lt;periodical&gt;&lt;full-title&gt;Age and Ageing&lt;/full-title&gt;&lt;/periodical&gt;&lt;pages&gt;353-360&lt;/pages&gt;&lt;volume&gt;45&lt;/volume&gt;&lt;number&gt;3&lt;/number&gt;&lt;dates&gt;&lt;year&gt;2016&lt;/year&gt;&lt;/dates&gt;&lt;isbn&gt;0002-0729&lt;/isbn&gt;&lt;urls&gt;&lt;related-urls&gt;&lt;url&gt;https://doi.org/10.1093/ageing/afw039&lt;/url&gt;&lt;/related-urls&gt;&lt;/urls&gt;&lt;electronic-resource-num&gt;10.1093/ageing/afw039&lt;/electronic-resource-num&gt;&lt;access-date&gt;5/18/2023&lt;/access-date&gt;&lt;/record&gt;&lt;/Cite&gt;&lt;/EndNote&gt;</w:instrText>
      </w:r>
      <w:r w:rsidR="00362B51">
        <w:fldChar w:fldCharType="separate"/>
      </w:r>
      <w:r w:rsidR="00362B51">
        <w:rPr>
          <w:noProof/>
        </w:rPr>
        <w:t>(Clegg et al., 2016)</w:t>
      </w:r>
      <w:r w:rsidR="00362B51">
        <w:fldChar w:fldCharType="end"/>
      </w:r>
      <w:r w:rsidR="00362B51">
        <w:t>,</w:t>
      </w:r>
      <w:r w:rsidR="00134CC8" w:rsidRPr="007404CA">
        <w:t xml:space="preserve"> </w:t>
      </w:r>
      <w:r w:rsidR="00134CC8" w:rsidRPr="00851529">
        <w:fldChar w:fldCharType="begin">
          <w:fldData xml:space="preserve">PEVuZE5vdGU+PENpdGU+PEF1dGhvcj5BZ3VheW88L0F1dGhvcj48WWVhcj4yMDE3PC9ZZWFyPjxS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</w:fldData>
        </w:fldChar>
      </w:r>
      <w:r w:rsidR="00134CC8" w:rsidRPr="007404CA">
        <w:instrText xml:space="preserve"> ADDIN EN.CITE </w:instrText>
      </w:r>
      <w:r w:rsidR="00134CC8" w:rsidRPr="00851529">
        <w:fldChar w:fldCharType="begin">
          <w:fldData xml:space="preserve">PEVuZE5vdGU+PENpdGU+PEF1dGhvcj5BZ3VheW88L0F1dGhvcj48WWVhcj4yMDE3PC9ZZWFyPjxS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</w:fldData>
        </w:fldChar>
      </w:r>
      <w:r w:rsidR="00134CC8" w:rsidRPr="007404CA">
        <w:instrText xml:space="preserve"> ADDIN EN.CITE.DATA </w:instrText>
      </w:r>
      <w:r w:rsidR="00134CC8" w:rsidRPr="00851529">
        <w:fldChar w:fldCharType="end"/>
      </w:r>
      <w:r w:rsidR="00134CC8" w:rsidRPr="00851529">
        <w:fldChar w:fldCharType="separate"/>
      </w:r>
      <w:r w:rsidR="00134CC8" w:rsidRPr="007404CA">
        <w:rPr>
          <w:noProof/>
        </w:rPr>
        <w:t>(Aguayo et al., 2017)</w:t>
      </w:r>
      <w:r w:rsidR="00134CC8" w:rsidRPr="00851529">
        <w:fldChar w:fldCharType="end"/>
      </w:r>
      <w:r w:rsidR="00E13F6C">
        <w:t>) which is used in clinical practice</w:t>
      </w:r>
      <w:r w:rsidR="0007258F">
        <w:t xml:space="preserve"> across England</w:t>
      </w:r>
      <w:r w:rsidR="00E60D81">
        <w:t xml:space="preserve">, </w:t>
      </w:r>
      <w:r w:rsidR="00F72746">
        <w:fldChar w:fldCharType="begin"/>
      </w:r>
      <w:r w:rsidR="00F45221">
        <w:instrText xml:space="preserve"> ADDIN EN.CITE &lt;EndNote&gt;&lt;Cite&gt;&lt;Author&gt;National Health Service (NHS)&lt;/Author&gt;&lt;Year&gt;2023&lt;/Year&gt;&lt;RecNum&gt;95&lt;/RecNum&gt;&lt;DisplayText&gt;(National Health Service (NHS), 2023a)&lt;/DisplayText&gt;&lt;record&gt;&lt;rec-number&gt;95&lt;/rec-number&gt;&lt;foreign-keys&gt;&lt;key app="EN" db-id="0sxsezaf7atedqef9vk5drdt9xzpawp0w5rv" timestamp="1690973439"&gt;95&lt;/key&gt;&lt;/foreign-keys&gt;&lt;ref-type name="Web Page"&gt;12&lt;/ref-type&gt;&lt;contributors&gt;&lt;authors&gt;&lt;author&gt;National Health Service (NHS),&lt;/author&gt;&lt;/authors&gt;&lt;/contributors&gt;&lt;titles&gt;&lt;title&gt;Electronic Frailty Index&lt;/title&gt;&lt;/titles&gt;&lt;volume&gt;2023&lt;/volume&gt;&lt;number&gt;2nd August 2023&lt;/number&gt;&lt;dates&gt;&lt;year&gt;2023&lt;/year&gt;&lt;/dates&gt;&lt;urls&gt;&lt;related-urls&gt;&lt;url&gt;https://www.england.nhs.uk/ourwork/clinical-policy/older-people/frailty/efi/&lt;/url&gt;&lt;/related-urls&gt;&lt;/urls&gt;&lt;/record&gt;&lt;/Cite&gt;&lt;/EndNote&gt;</w:instrText>
      </w:r>
      <w:r w:rsidR="00F72746">
        <w:fldChar w:fldCharType="separate"/>
      </w:r>
      <w:r w:rsidR="00F45221">
        <w:rPr>
          <w:noProof/>
        </w:rPr>
        <w:t>(National Health Service (NHS), 2023a)</w:t>
      </w:r>
      <w:r w:rsidR="00F72746">
        <w:fldChar w:fldCharType="end"/>
      </w:r>
      <w:r w:rsidR="000A16B8">
        <w:t xml:space="preserve"> and Scotland</w:t>
      </w:r>
      <w:r w:rsidR="00C82C28">
        <w:t xml:space="preserve"> using the Scottish Primary Care Information Resource (SPIRE)</w:t>
      </w:r>
      <w:r w:rsidR="000A16B8">
        <w:t xml:space="preserve"> </w:t>
      </w:r>
      <w:r w:rsidR="000A16B8">
        <w:fldChar w:fldCharType="begin"/>
      </w:r>
      <w:r w:rsidR="000A16B8">
        <w:instrText xml:space="preserve"> ADDIN EN.CITE &lt;EndNote&gt;&lt;Cite&gt;&lt;Author&gt;Health Improvement Scotland&lt;/Author&gt;&lt;Year&gt;2023&lt;/Year&gt;&lt;RecNum&gt;96&lt;/RecNum&gt;&lt;DisplayText&gt;(Health Improvement Scotland, 2023)&lt;/DisplayText&gt;&lt;record&gt;&lt;rec-number&gt;96&lt;/rec-number&gt;&lt;foreign-keys&gt;&lt;key app="EN" db-id="0sxsezaf7atedqef9vk5drdt9xzpawp0w5rv" timestamp="1690974107"&gt;96&lt;/key&gt;&lt;/foreign-keys&gt;&lt;ref-type name="Web Page"&gt;12&lt;/ref-type&gt;&lt;contributors&gt;&lt;authors&gt;&lt;author&gt;Health Improvement Scotland,&lt;/author&gt;&lt;/authors&gt;&lt;/contributors&gt;&lt;titles&gt;&lt;title&gt;Electronic Frailty INdex&lt;/title&gt;&lt;/titles&gt;&lt;volume&gt;2023&lt;/volume&gt;&lt;number&gt;2nd August 2023&lt;/number&gt;&lt;dates&gt;&lt;year&gt;2023&lt;/year&gt;&lt;/dates&gt;&lt;urls&gt;&lt;related-urls&gt;&lt;url&gt;https://ihub.scot/improvement-programmes/community-care/electronic-frailty-index-efi/&lt;/url&gt;&lt;/related-urls&gt;&lt;/urls&gt;&lt;/record&gt;&lt;/Cite&gt;&lt;/EndNote&gt;</w:instrText>
      </w:r>
      <w:r w:rsidR="000A16B8">
        <w:fldChar w:fldCharType="separate"/>
      </w:r>
      <w:r w:rsidR="000A16B8">
        <w:rPr>
          <w:noProof/>
        </w:rPr>
        <w:t>(Health Improvement Scotland, 2023)</w:t>
      </w:r>
      <w:r w:rsidR="000A16B8">
        <w:fldChar w:fldCharType="end"/>
      </w:r>
      <w:r w:rsidR="00134CC8" w:rsidRPr="007404CA">
        <w:t>.</w:t>
      </w:r>
      <w:r w:rsidR="00A52E89" w:rsidRPr="007404CA">
        <w:t xml:space="preserve"> </w:t>
      </w:r>
      <w:r w:rsidR="00BF729B">
        <w:t>F</w:t>
      </w:r>
      <w:r w:rsidR="00BF729B" w:rsidRPr="007404CA">
        <w:t xml:space="preserve">railty screening and intervention </w:t>
      </w:r>
      <w:r w:rsidR="00BF729B">
        <w:t xml:space="preserve">are now </w:t>
      </w:r>
      <w:r w:rsidR="00BF729B" w:rsidRPr="007404CA">
        <w:t xml:space="preserve">a requirement of the GP contract </w:t>
      </w:r>
      <w:r w:rsidR="000A16B8">
        <w:t xml:space="preserve"> in England </w:t>
      </w:r>
      <w:r w:rsidR="00BF729B" w:rsidRPr="00F677DA">
        <w:fldChar w:fldCharType="begin"/>
      </w:r>
      <w:r w:rsidR="00BF729B" w:rsidRPr="007404CA">
        <w:instrText xml:space="preserve"> ADDIN EN.CITE &lt;EndNote&gt;&lt;Cite&gt;&lt;Author&gt;NHS&lt;/Author&gt;&lt;Year&gt;2019&lt;/Year&gt;&lt;RecNum&gt;14&lt;/RecNum&gt;&lt;DisplayText&gt;(NHS, 2019)&lt;/DisplayText&gt;&lt;record&gt;&lt;rec-number&gt;14&lt;/rec-number&gt;&lt;foreign-keys&gt;&lt;key app="EN" db-id="0sxsezaf7atedqef9vk5drdt9xzpawp0w5rv" timestamp="1684238967"&gt;14&lt;/key&gt;&lt;/foreign-keys&gt;&lt;ref-type name="Web Page"&gt;12&lt;/ref-type&gt;&lt;contributors&gt;&lt;authors&gt;&lt;author&gt;NHS, England&lt;/author&gt;&lt;/authors&gt;&lt;/contributors&gt;&lt;titles&gt;&lt;title&gt;Supporting routine frailty identification and frailty through the GP Contract 2017/2018&lt;/title&gt;&lt;/titles&gt;&lt;volume&gt;2021&lt;/volume&gt;&lt;number&gt;7/10/21&lt;/number&gt;&lt;dates&gt;&lt;year&gt;2019&lt;/year&gt;&lt;pub-dates&gt;&lt;date&gt;12/6/2019&lt;/date&gt;&lt;/pub-dates&gt;&lt;/dates&gt;&lt;urls&gt;&lt;related-urls&gt;&lt;url&gt;https:// www.england.nhs.uk/publication/supporting-routine-frailty-identification-and-frailty-through-the-gp-contract-20172018/&lt;/url&gt;&lt;/related-urls&gt;&lt;/urls&gt;&lt;/record&gt;&lt;/Cite&gt;&lt;/EndNote&gt;</w:instrText>
      </w:r>
      <w:r w:rsidR="00BF729B" w:rsidRPr="00F677DA">
        <w:fldChar w:fldCharType="separate"/>
      </w:r>
      <w:r w:rsidR="00BF729B" w:rsidRPr="007404CA">
        <w:rPr>
          <w:noProof/>
        </w:rPr>
        <w:t>(NHS, 2019)</w:t>
      </w:r>
      <w:r w:rsidR="00BF729B" w:rsidRPr="00F677DA">
        <w:fldChar w:fldCharType="end"/>
      </w:r>
      <w:r w:rsidR="00BF729B">
        <w:t xml:space="preserve"> and t</w:t>
      </w:r>
      <w:r w:rsidR="00A52E89" w:rsidRPr="007404CA">
        <w:t xml:space="preserve">he use of the </w:t>
      </w:r>
      <w:proofErr w:type="spellStart"/>
      <w:r w:rsidR="00A52E89" w:rsidRPr="007404CA">
        <w:t>eFI</w:t>
      </w:r>
      <w:proofErr w:type="spellEnd"/>
      <w:r w:rsidR="00A52E89" w:rsidRPr="007404CA">
        <w:t xml:space="preserve"> is expanding throughout primary care</w:t>
      </w:r>
      <w:r w:rsidR="003777F4">
        <w:t xml:space="preserve"> </w:t>
      </w:r>
      <w:r w:rsidR="00A52E89" w:rsidRPr="00BA35DA">
        <w:fldChar w:fldCharType="begin"/>
      </w:r>
      <w:r w:rsidR="00A52E89" w:rsidRPr="007404CA">
        <w:instrText xml:space="preserve"> ADDIN EN.CITE &lt;EndNote&gt;&lt;Cite&gt;&lt;Author&gt;Clegg&lt;/Author&gt;&lt;Year&gt;2016&lt;/Year&gt;&lt;RecNum&gt;22&lt;/RecNum&gt;&lt;DisplayText&gt;(Clegg et al., 2016)&lt;/DisplayText&gt;&lt;record&gt;&lt;rec-number&gt;22&lt;/rec-number&gt;&lt;foreign-keys&gt;&lt;key app="EN" db-id="0sxsezaf7atedqef9vk5drdt9xzpawp0w5rv" timestamp="1684396635"&gt;22&lt;/key&gt;&lt;/foreign-keys&gt;&lt;ref-type name="Journal Article"&gt;17&lt;/ref-type&gt;&lt;contributors&gt;&lt;authors&gt;&lt;author&gt;Clegg, Andrew&lt;/author&gt;&lt;author&gt;Bates, Chris&lt;/author&gt;&lt;author&gt;Young, John&lt;/author&gt;&lt;author&gt;Ryan, Ronan&lt;/author&gt;&lt;author&gt;Nichols, Linda&lt;/author&gt;&lt;author&gt;Ann Teale, Elizabeth&lt;/author&gt;&lt;author&gt;Mohammed, Mohammed A.&lt;/author&gt;&lt;author&gt;Parry, John&lt;/author&gt;&lt;author&gt;Marshall, Tom&lt;/author&gt;&lt;/authors&gt;&lt;/contributors&gt;&lt;titles&gt;&lt;title&gt;Development and validation of an electronic frailty index using routine primary care electronic health record data&lt;/title&gt;&lt;secondary-title&gt;Age and Ageing&lt;/secondary-title&gt;&lt;/titles&gt;&lt;periodical&gt;&lt;full-title&gt;Age and Ageing&lt;/full-title&gt;&lt;/periodical&gt;&lt;pages&gt;353-360&lt;/pages&gt;&lt;volume&gt;45&lt;/volume&gt;&lt;number&gt;3&lt;/number&gt;&lt;dates&gt;&lt;year&gt;2016&lt;/year&gt;&lt;/dates&gt;&lt;isbn&gt;0002-0729&lt;/isbn&gt;&lt;urls&gt;&lt;related-urls&gt;&lt;url&gt;https://doi.org/10.1093/ageing/afw039&lt;/url&gt;&lt;/related-urls&gt;&lt;/urls&gt;&lt;electronic-resource-num&gt;10.1093/ageing/afw039&lt;/electronic-resource-num&gt;&lt;access-date&gt;5/18/2023&lt;/access-date&gt;&lt;/record&gt;&lt;/Cite&gt;&lt;/EndNote&gt;</w:instrText>
      </w:r>
      <w:r w:rsidR="00A52E89" w:rsidRPr="00BA35DA">
        <w:fldChar w:fldCharType="separate"/>
      </w:r>
      <w:r w:rsidR="00A52E89" w:rsidRPr="007404CA">
        <w:rPr>
          <w:noProof/>
        </w:rPr>
        <w:t>(Clegg et al., 2016)</w:t>
      </w:r>
      <w:r w:rsidR="00A52E89" w:rsidRPr="00BA35DA">
        <w:fldChar w:fldCharType="end"/>
      </w:r>
      <w:r w:rsidR="0029419E" w:rsidRPr="007404CA">
        <w:t xml:space="preserve">, </w:t>
      </w:r>
      <w:r w:rsidR="00882355" w:rsidRPr="007404CA">
        <w:t xml:space="preserve">making </w:t>
      </w:r>
      <w:r w:rsidR="00BF729B">
        <w:t>this</w:t>
      </w:r>
      <w:r w:rsidR="00882355" w:rsidRPr="007404CA">
        <w:t xml:space="preserve"> an appropriate measure for studying frailty in the population.</w:t>
      </w:r>
      <w:r w:rsidR="004F5BE4">
        <w:t xml:space="preserve"> </w:t>
      </w:r>
      <w:r w:rsidR="004F5BE4" w:rsidRPr="007C03ED">
        <w:t>Recognising that a patient has a degree of frailty can prompt primary care professionals to review the care offered and to tailor it to that person’s needs.</w:t>
      </w:r>
    </w:p>
    <w:p w14:paraId="3DC87488" w14:textId="77777777" w:rsidR="001A1923" w:rsidRDefault="00741F72">
      <w:r w:rsidRPr="007404CA">
        <w:tab/>
      </w:r>
    </w:p>
    <w:p w14:paraId="26EA4C29" w14:textId="6F26C7B6" w:rsidR="00BC2C72" w:rsidRPr="007404CA" w:rsidRDefault="00741F72" w:rsidP="00A752C2">
      <w:pPr>
        <w:ind w:firstLine="720"/>
      </w:pPr>
      <w:r w:rsidRPr="007404CA">
        <w:t>Frailty is strongly associated with age, with prevalence estimates varying from 4% to 50%</w:t>
      </w:r>
      <w:r w:rsidR="00BF729B">
        <w:t>,</w:t>
      </w:r>
      <w:r w:rsidRPr="007404CA">
        <w:t xml:space="preserve"> depending on the measure of frailty and population studied</w:t>
      </w:r>
      <w:r w:rsidR="00953460">
        <w:t xml:space="preserve"> </w:t>
      </w:r>
      <w:r w:rsidR="00953460">
        <w:fldChar w:fldCharType="begin">
          <w:fldData xml:space="preserve">PEVuZE5vdGU+PENpdGU+PEF1dGhvcj5TaXJpd2FyZGhhbmE8L0F1dGhvcj48WWVhcj4yMDE4PC9Z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</w:fldData>
        </w:fldChar>
      </w:r>
      <w:r w:rsidR="00953460">
        <w:instrText xml:space="preserve"> ADDIN EN.CITE </w:instrText>
      </w:r>
      <w:r w:rsidR="00953460">
        <w:fldChar w:fldCharType="begin">
          <w:fldData xml:space="preserve">PEVuZE5vdGU+PENpdGU+PEF1dGhvcj5TaXJpd2FyZGhhbmE8L0F1dGhvcj48WWVhcj4yMDE4PC9Z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</w:fldData>
        </w:fldChar>
      </w:r>
      <w:r w:rsidR="00953460">
        <w:instrText xml:space="preserve"> ADDIN EN.CITE.DATA </w:instrText>
      </w:r>
      <w:r w:rsidR="00953460">
        <w:fldChar w:fldCharType="end"/>
      </w:r>
      <w:r w:rsidR="00953460">
        <w:fldChar w:fldCharType="separate"/>
      </w:r>
      <w:r w:rsidR="00953460">
        <w:rPr>
          <w:noProof/>
        </w:rPr>
        <w:t>(Siriwardhana et al., 2018)</w:t>
      </w:r>
      <w:r w:rsidR="00953460">
        <w:fldChar w:fldCharType="end"/>
      </w:r>
      <w:r w:rsidR="005109CB">
        <w:t xml:space="preserve"> with a pooled prevalence of 24% </w:t>
      </w:r>
      <w:r w:rsidR="004B7F8D">
        <w:t xml:space="preserve">(measured using a frailty index) reported across 62 countries </w:t>
      </w:r>
      <w:r w:rsidR="004B7F8D">
        <w:fldChar w:fldCharType="begin"/>
      </w:r>
      <w:r w:rsidR="004B7F8D">
        <w:instrText xml:space="preserve"> ADDIN EN.CITE &lt;EndNote&gt;&lt;Cite&gt;&lt;Author&gt;O’Caoimh&lt;/Author&gt;&lt;Year&gt;2020&lt;/Year&gt;&lt;RecNum&gt;109&lt;/RecNum&gt;&lt;DisplayText&gt;(O’Caoimh et al., 2020)&lt;/DisplayText&gt;&lt;record&gt;&lt;rec-number&gt;109&lt;/rec-number&gt;&lt;foreign-keys&gt;&lt;key app="EN" db-id="0sxsezaf7atedqef9vk5drdt9xzpawp0w5rv" timestamp="1691998072"&gt;109&lt;/key&gt;&lt;/foreign-keys&gt;&lt;ref-type name="Journal Article"&gt;17&lt;/ref-type&gt;&lt;contributors&gt;&lt;authors&gt;&lt;author&gt;O’Caoimh, Rónán&lt;/author&gt;&lt;author&gt;Sezgin, Duygu&lt;/author&gt;&lt;author&gt;O’Donovan, Mark R&lt;/author&gt;&lt;author&gt;Molloy, D William&lt;/author&gt;&lt;author&gt;Clegg, Andrew&lt;/author&gt;&lt;author&gt;Rockwood, Kenneth&lt;/author&gt;&lt;author&gt;Liew, Aaron&lt;/author&gt;&lt;/authors&gt;&lt;/contributors&gt;&lt;titles&gt;&lt;title&gt;Prevalence of frailty in 62 countries across the world: a systematic review and meta-analysis of population-level studies&lt;/title&gt;&lt;secondary-title&gt;Age and Ageing&lt;/secondary-title&gt;&lt;/titles&gt;&lt;periodical&gt;&lt;full-title&gt;Age and Ageing&lt;/full-title&gt;&lt;/periodical&gt;&lt;pages&gt;96-104&lt;/pages&gt;&lt;volume&gt;50&lt;/volume&gt;&lt;number&gt;1&lt;/number&gt;&lt;dates&gt;&lt;year&gt;2020&lt;/year&gt;&lt;/dates&gt;&lt;isbn&gt;0002-0729&lt;/isbn&gt;&lt;urls&gt;&lt;related-urls&gt;&lt;url&gt;https://doi.org/10.1093/ageing/afaa219&lt;/url&gt;&lt;/related-urls&gt;&lt;/urls&gt;&lt;electronic-resource-num&gt;10.1093/ageing/afaa219&lt;/electronic-resource-num&gt;&lt;access-date&gt;8/14/2023&lt;/access-date&gt;&lt;/record&gt;&lt;/Cite&gt;&lt;/EndNote&gt;</w:instrText>
      </w:r>
      <w:r w:rsidR="004B7F8D">
        <w:fldChar w:fldCharType="separate"/>
      </w:r>
      <w:r w:rsidR="004B7F8D">
        <w:rPr>
          <w:noProof/>
        </w:rPr>
        <w:t>(O’Caoimh et al., 2020)</w:t>
      </w:r>
      <w:r w:rsidR="004B7F8D">
        <w:fldChar w:fldCharType="end"/>
      </w:r>
      <w:r w:rsidRPr="007404CA">
        <w:t xml:space="preserve">. For example, </w:t>
      </w:r>
      <w:r w:rsidR="008568A8" w:rsidRPr="007404CA">
        <w:t>with the electronic frailty index (</w:t>
      </w:r>
      <w:proofErr w:type="spellStart"/>
      <w:r w:rsidR="008568A8" w:rsidRPr="007404CA">
        <w:t>eFI</w:t>
      </w:r>
      <w:proofErr w:type="spellEnd"/>
      <w:r w:rsidR="008568A8" w:rsidRPr="007404CA">
        <w:t xml:space="preserve">), 50% </w:t>
      </w:r>
      <w:r w:rsidR="009E73B3">
        <w:t>of</w:t>
      </w:r>
      <w:r w:rsidR="008568A8" w:rsidRPr="007404CA">
        <w:t xml:space="preserve"> people </w:t>
      </w:r>
      <w:r w:rsidR="002804B0">
        <w:t xml:space="preserve">(931,541 registered from over 500 UK primary care practices) </w:t>
      </w:r>
      <w:r w:rsidR="008568A8" w:rsidRPr="007404CA">
        <w:t xml:space="preserve">aged 65-95 have some level of frailty </w:t>
      </w:r>
      <w:r w:rsidR="008568A8" w:rsidRPr="00C523C5">
        <w:fldChar w:fldCharType="begin"/>
      </w:r>
      <w:r w:rsidR="008568A8" w:rsidRPr="007404CA">
        <w:instrText xml:space="preserve"> ADDIN EN.CITE &lt;EndNote&gt;&lt;Cite&gt;&lt;Author&gt;Clegg&lt;/Author&gt;&lt;Year&gt;2016&lt;/Year&gt;&lt;RecNum&gt;22&lt;/RecNum&gt;&lt;DisplayText&gt;(Clegg et al., 2016)&lt;/DisplayText&gt;&lt;record&gt;&lt;rec-number&gt;22&lt;/rec-number&gt;&lt;foreign-keys&gt;&lt;key app="EN" db-id="0sxsezaf7atedqef9vk5drdt9xzpawp0w5rv" timestamp="1684396635"&gt;22&lt;/key&gt;&lt;/foreign-keys&gt;&lt;ref-type name="Journal Article"&gt;17&lt;/ref-type&gt;&lt;contributors&gt;&lt;authors&gt;&lt;author&gt;Clegg, Andrew&lt;/author&gt;&lt;author&gt;Bates, Chris&lt;/author&gt;&lt;author&gt;Young, John&lt;/author&gt;&lt;author&gt;Ryan, Ronan&lt;/author&gt;&lt;author&gt;Nichols, Linda&lt;/author&gt;&lt;author&gt;Ann Teale, Elizabeth&lt;/author&gt;&lt;author&gt;Mohammed, Mohammed A.&lt;/author&gt;&lt;author&gt;Parry, John&lt;/author&gt;&lt;author&gt;Marshall, Tom&lt;/author&gt;&lt;/authors&gt;&lt;/contributors&gt;&lt;titles&gt;&lt;title&gt;Development and validation of an electronic frailty index using routine primary care electronic health record data&lt;/title&gt;&lt;secondary-title&gt;Age and Ageing&lt;/secondary-title&gt;&lt;/titles&gt;&lt;periodical&gt;&lt;full-title&gt;Age and Ageing&lt;/full-title&gt;&lt;/periodical&gt;&lt;pages&gt;353-360&lt;/pages&gt;&lt;volume&gt;45&lt;/volume&gt;&lt;number&gt;3&lt;/number&gt;&lt;dates&gt;&lt;year&gt;2016&lt;/year&gt;&lt;/dates&gt;&lt;isbn&gt;0002-0729&lt;/isbn&gt;&lt;urls&gt;&lt;related-urls&gt;&lt;url&gt;https://doi.org/10.1093/ageing/afw039&lt;/url&gt;&lt;/related-urls&gt;&lt;/urls&gt;&lt;electronic-resource-num&gt;10.1093/ageing/afw039&lt;/electronic-resource-num&gt;&lt;access-date&gt;5/18/2023&lt;/access-date&gt;&lt;/record&gt;&lt;/Cite&gt;&lt;/EndNote&gt;</w:instrText>
      </w:r>
      <w:r w:rsidR="008568A8" w:rsidRPr="00C523C5">
        <w:fldChar w:fldCharType="separate"/>
      </w:r>
      <w:r w:rsidR="008568A8" w:rsidRPr="007404CA">
        <w:rPr>
          <w:noProof/>
        </w:rPr>
        <w:t>(Clegg et al., 2016)</w:t>
      </w:r>
      <w:r w:rsidR="008568A8" w:rsidRPr="00C523C5">
        <w:fldChar w:fldCharType="end"/>
      </w:r>
      <w:r w:rsidR="008568A8" w:rsidRPr="007404CA">
        <w:t xml:space="preserve">. </w:t>
      </w:r>
      <w:r w:rsidR="006172F9" w:rsidRPr="007404CA">
        <w:t xml:space="preserve">In </w:t>
      </w:r>
      <w:r w:rsidR="00CB7B3E">
        <w:t>a recent</w:t>
      </w:r>
      <w:r w:rsidR="00451962">
        <w:t xml:space="preserve"> </w:t>
      </w:r>
      <w:r w:rsidR="00C523C5">
        <w:t>s</w:t>
      </w:r>
      <w:r w:rsidR="006172F9" w:rsidRPr="007404CA">
        <w:t>tudy, amongst a large cohort</w:t>
      </w:r>
      <w:r w:rsidR="00A273F0">
        <w:t xml:space="preserve"> of over 2 million patients aged </w:t>
      </w:r>
      <w:r w:rsidR="001B1F21">
        <w:t xml:space="preserve">&gt;= </w:t>
      </w:r>
      <w:r w:rsidR="00A273F0">
        <w:t>50</w:t>
      </w:r>
      <w:r w:rsidR="006172F9" w:rsidRPr="007404CA">
        <w:t xml:space="preserve"> </w:t>
      </w:r>
      <w:r w:rsidR="00A273F0">
        <w:t>in England</w:t>
      </w:r>
      <w:r w:rsidR="006172F9" w:rsidRPr="007404CA">
        <w:t xml:space="preserve">, </w:t>
      </w:r>
      <w:r w:rsidR="00451962">
        <w:t xml:space="preserve">frailty prevalence </w:t>
      </w:r>
      <w:r w:rsidR="006172F9" w:rsidRPr="007404CA">
        <w:t xml:space="preserve">increased from 26.5% to 38.9% over a 12-year period between 2006 and 2017 </w:t>
      </w:r>
      <w:r w:rsidR="00E940F1" w:rsidRPr="005E4005">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E940F1" w:rsidRPr="005E4005">
        <w:fldChar w:fldCharType="separate"/>
      </w:r>
      <w:r w:rsidR="00F02A38">
        <w:rPr>
          <w:noProof/>
        </w:rPr>
        <w:t>(Walsh et al., 2023)</w:t>
      </w:r>
      <w:r w:rsidR="00E940F1" w:rsidRPr="005E4005">
        <w:fldChar w:fldCharType="end"/>
      </w:r>
      <w:r w:rsidR="006172F9" w:rsidRPr="007404CA">
        <w:t>.</w:t>
      </w:r>
    </w:p>
    <w:p w14:paraId="700BCFE7" w14:textId="77777777" w:rsidR="001A1923" w:rsidRDefault="00BC2C72" w:rsidP="00A752C2">
      <w:r w:rsidRPr="007404CA">
        <w:tab/>
      </w:r>
      <w:r w:rsidR="00C45002" w:rsidRPr="007404CA">
        <w:t xml:space="preserve">  </w:t>
      </w:r>
      <w:r w:rsidR="00741F72" w:rsidRPr="007404CA">
        <w:t xml:space="preserve"> </w:t>
      </w:r>
    </w:p>
    <w:p w14:paraId="253D85FD" w14:textId="4E2B5940" w:rsidR="00093E17" w:rsidRDefault="00BC2C72" w:rsidP="00A752C2">
      <w:pPr>
        <w:ind w:firstLine="720"/>
      </w:pPr>
      <w:r w:rsidRPr="007404CA">
        <w:t xml:space="preserve">Although frailty research has expanded over the last decade, there has been limited simulation modelling of frailty progression over time, particularly in the middle aged and young-old age groups of a population. Models have tended to represent the physiology of frailty </w:t>
      </w:r>
      <w:r w:rsidRPr="00B23329">
        <w:fldChar w:fldCharType="begin"/>
      </w:r>
      <w:r w:rsidRPr="007404CA">
        <w:instrText xml:space="preserve"> ADDIN EN.CITE &lt;EndNote&gt;&lt;Cite&gt;&lt;Author&gt;Lipsitz&lt;/Author&gt;&lt;Year&gt;2008&lt;/Year&gt;&lt;RecNum&gt;38&lt;/RecNum&gt;&lt;DisplayText&gt;(Lipsitz, 2008)&lt;/DisplayText&gt;&lt;record&gt;&lt;rec-number&gt;38&lt;/rec-number&gt;&lt;foreign-keys&gt;&lt;key app="EN" db-id="0sxsezaf7atedqef9vk5drdt9xzpawp0w5rv" timestamp="1684436941"&gt;38&lt;/key&gt;&lt;/foreign-keys&gt;&lt;ref-type name="Journal Article"&gt;17&lt;/ref-type&gt;&lt;contributors&gt;&lt;authors&gt;&lt;author&gt;Lipsitz, L. A.&lt;/author&gt;&lt;/authors&gt;&lt;/contributors&gt;&lt;auth-address&gt;Hebrew SeniorLife Institute for Aging Research, Beth Israel Deaconess Medical Center Gerontology Division, Harvard Medical School, 1200 Centre Street, Boston, MA 02131, United States. Lipsitz@hrca.harvard.edu&lt;/auth-address&gt;&lt;titles&gt;&lt;title&gt;Dynamic models for the study of frailty&lt;/title&gt;&lt;secondary-title&gt;Mech Ageing Dev&lt;/secondary-title&gt;&lt;/titles&gt;&lt;periodical&gt;&lt;full-title&gt;Mech Ageing Dev&lt;/full-title&gt;&lt;/periodical&gt;&lt;pages&gt;675-6&lt;/pages&gt;&lt;volume&gt;129&lt;/volume&gt;&lt;number&gt;11&lt;/number&gt;&lt;edition&gt;2008/10/22&lt;/edition&gt;&lt;keywords&gt;&lt;keyword&gt;Aged&lt;/keyword&gt;&lt;keyword&gt;Aged, 80 and over&lt;/keyword&gt;&lt;keyword&gt;Aging/*physiology&lt;/keyword&gt;&lt;keyword&gt;Biomarkers/metabolism&lt;/keyword&gt;&lt;keyword&gt;*Disease Susceptibility&lt;/keyword&gt;&lt;keyword&gt;Feedback, Physiological&lt;/keyword&gt;&lt;keyword&gt;Fractals&lt;/keyword&gt;&lt;keyword&gt;*Frail Elderly&lt;/keyword&gt;&lt;keyword&gt;Homeostasis&lt;/keyword&gt;&lt;keyword&gt;Humans&lt;/keyword&gt;&lt;keyword&gt;*Models, Biological&lt;/keyword&gt;&lt;keyword&gt;Phenotype&lt;/keyword&gt;&lt;keyword&gt;Reproducibility of Results&lt;/keyword&gt;&lt;keyword&gt;*Stress, Physiological&lt;/keyword&gt;&lt;keyword&gt;*Systems Biology&lt;/keyword&gt;&lt;keyword&gt;Time Factors&lt;/keyword&gt;&lt;/keywords&gt;&lt;dates&gt;&lt;year&gt;2008&lt;/year&gt;&lt;pub-dates&gt;&lt;date&gt;Nov&lt;/date&gt;&lt;/pub-dates&gt;&lt;/dates&gt;&lt;isbn&gt;0047-6374 (Print)&amp;#xD;0047-6374&lt;/isbn&gt;&lt;accession-num&gt;18930754&lt;/accession-num&gt;&lt;urls&gt;&lt;/urls&gt;&lt;custom2&gt;PMC2742227&lt;/custom2&gt;&lt;custom6&gt;NIHMS87114&lt;/custom6&gt;&lt;electronic-resource-num&gt;10.1016/j.mad.2008.09.012&lt;/electronic-resource-num&gt;&lt;remote-database-provider&gt;NLM&lt;/remote-database-provider&gt;&lt;language&gt;eng&lt;/language&gt;&lt;/record&gt;&lt;/Cite&gt;&lt;/EndNote&gt;</w:instrText>
      </w:r>
      <w:r w:rsidRPr="00B23329">
        <w:fldChar w:fldCharType="separate"/>
      </w:r>
      <w:r w:rsidRPr="007404CA">
        <w:rPr>
          <w:noProof/>
        </w:rPr>
        <w:t>(Lipsitz, 2008)</w:t>
      </w:r>
      <w:r w:rsidRPr="00B23329">
        <w:fldChar w:fldCharType="end"/>
      </w:r>
      <w:r w:rsidR="007E362D" w:rsidRPr="007404CA">
        <w:t xml:space="preserve"> </w:t>
      </w:r>
      <w:r w:rsidR="007E362D" w:rsidRPr="007404CA">
        <w:rPr>
          <w:color w:val="000000" w:themeColor="text1"/>
        </w:rPr>
        <w:t xml:space="preserve">or how the </w:t>
      </w:r>
      <w:r w:rsidR="007E362D" w:rsidRPr="007404CA">
        <w:t xml:space="preserve">body’s stimulus-response mechanism may change following a stressor event </w:t>
      </w:r>
      <w:r w:rsidR="007E362D" w:rsidRPr="00B23329">
        <w:fldChar w:fldCharType="begin"/>
      </w:r>
      <w:r w:rsidR="007E362D" w:rsidRPr="007404CA">
        <w:instrText xml:space="preserve"> ADDIN EN.CITE &lt;EndNote&gt;&lt;Cite&gt;&lt;Author&gt;Varadhan&lt;/Author&gt;&lt;Year&gt;2008&lt;/Year&gt;&lt;RecNum&gt;50&lt;/RecNum&gt;&lt;DisplayText&gt;(Varadhan et al., 2008)&lt;/DisplayText&gt;&lt;record&gt;&lt;rec-number&gt;50&lt;/rec-number&gt;&lt;foreign-keys&gt;&lt;key app="EN" db-id="0sxsezaf7atedqef9vk5drdt9xzpawp0w5rv" timestamp="1684440302"&gt;50&lt;/key&gt;&lt;/foreign-keys&gt;&lt;ref-type name="Journal Article"&gt;17&lt;/ref-type&gt;&lt;contributors&gt;&lt;authors&gt;&lt;author&gt;Varadhan, R.&lt;/author&gt;&lt;author&gt;Seplaki, C. L.&lt;/author&gt;&lt;author&gt;Xue, Q. L.&lt;/author&gt;&lt;author&gt;Bandeen-Roche, K.&lt;/author&gt;&lt;author&gt;Fried, L. P.&lt;/author&gt;&lt;/authors&gt;&lt;/contributors&gt;&lt;auth-address&gt;The Center on Aging and Health, Division of Geriatric Medicine and Gerontology, School of Medicine, Johns Hopkins University, Baltimore, MD 21205, United States. rvaradhan@jhmi.edu&lt;/auth-address&gt;&lt;titles&gt;&lt;title&gt;Stimulus-response paradigm for characterizing the loss of resilience in homeostatic regulation associated with frailty&lt;/title&gt;&lt;secondary-title&gt;Mech Ageing Dev&lt;/secondary-title&gt;&lt;/titles&gt;&lt;periodical&gt;&lt;full-title&gt;Mech Ageing Dev&lt;/full-title&gt;&lt;/periodical&gt;&lt;pages&gt;666-70&lt;/pages&gt;&lt;volume&gt;129&lt;/volume&gt;&lt;number&gt;11&lt;/number&gt;&lt;edition&gt;2008/10/22&lt;/edition&gt;&lt;keywords&gt;&lt;keyword&gt;Aged&lt;/keyword&gt;&lt;keyword&gt;Aged, 80 and over&lt;/keyword&gt;&lt;keyword&gt;Aging/*physiology&lt;/keyword&gt;&lt;keyword&gt;Biomarkers/metabolism&lt;/keyword&gt;&lt;keyword&gt;*Disease Susceptibility&lt;/keyword&gt;&lt;keyword&gt;Feedback, Physiological&lt;/keyword&gt;&lt;keyword&gt;*Frail Elderly&lt;/keyword&gt;&lt;keyword&gt;Homeostasis&lt;/keyword&gt;&lt;keyword&gt;Humans&lt;/keyword&gt;&lt;keyword&gt;*Models, Biological&lt;/keyword&gt;&lt;keyword&gt;Phenotype&lt;/keyword&gt;&lt;keyword&gt;*Stress, Physiological&lt;/keyword&gt;&lt;keyword&gt;*Systems Biology&lt;/keyword&gt;&lt;keyword&gt;Time Factors&lt;/keyword&gt;&lt;/keywords&gt;&lt;dates&gt;&lt;year&gt;2008&lt;/year&gt;&lt;pub-dates&gt;&lt;date&gt;Nov&lt;/date&gt;&lt;/pub-dates&gt;&lt;/dates&gt;&lt;isbn&gt;0047-6374 (Print)&amp;#xD;0047-6374&lt;/isbn&gt;&lt;accession-num&gt;18938195&lt;/accession-num&gt;&lt;urls&gt;&lt;/urls&gt;&lt;custom2&gt;PMC2650618&lt;/custom2&gt;&lt;custom6&gt;NIHMS87116&lt;/custom6&gt;&lt;electronic-resource-num&gt;10.1016/j.mad.2008.09.013&lt;/electronic-resource-num&gt;&lt;remote-database-provider&gt;NLM&lt;/remote-database-provider&gt;&lt;language&gt;eng&lt;/language&gt;&lt;/record&gt;&lt;/Cite&gt;&lt;/EndNote&gt;</w:instrText>
      </w:r>
      <w:r w:rsidR="007E362D" w:rsidRPr="00B23329">
        <w:fldChar w:fldCharType="separate"/>
      </w:r>
      <w:r w:rsidR="007E362D" w:rsidRPr="007404CA">
        <w:rPr>
          <w:noProof/>
        </w:rPr>
        <w:t>(Varadhan et al., 2008)</w:t>
      </w:r>
      <w:r w:rsidR="007E362D" w:rsidRPr="00B23329">
        <w:fldChar w:fldCharType="end"/>
      </w:r>
      <w:r w:rsidR="007E362D" w:rsidRPr="007404CA">
        <w:t xml:space="preserve"> rather than consider the population level dynamics of the </w:t>
      </w:r>
      <w:r w:rsidR="009E73B3">
        <w:t>condition</w:t>
      </w:r>
      <w:r w:rsidR="009E73B3" w:rsidRPr="007404CA">
        <w:t xml:space="preserve"> </w:t>
      </w:r>
      <w:r w:rsidR="007E362D" w:rsidRPr="007404CA">
        <w:t>and the service needs of the patients. The need for better planning and modelling of demand within the primary care system is well recognised</w:t>
      </w:r>
      <w:r w:rsidR="003C3580" w:rsidRPr="007404CA">
        <w:t xml:space="preserve"> </w:t>
      </w:r>
      <w:r w:rsidR="003C3580" w:rsidRPr="00B23329">
        <w:fldChar w:fldCharType="begin"/>
      </w:r>
      <w:r w:rsidR="008333FC">
        <w:instrText xml:space="preserve"> ADDIN EN.CITE &lt;EndNote&gt;&lt;Cite&gt;&lt;Author&gt;British Geriatrics Society and the Royal College of General Practitioners&lt;/Author&gt;&lt;Year&gt;2015&lt;/Year&gt;&lt;RecNum&gt;21&lt;/RecNum&gt;&lt;DisplayText&gt;(British Geriatrics Society and the Royal College of General Practitioners, 2015)&lt;/DisplayText&gt;&lt;record&gt;&lt;rec-number&gt;21&lt;/rec-number&gt;&lt;foreign-keys&gt;&lt;key app="EN" db-id="0sxsezaf7atedqef9vk5drdt9xzpawp0w5rv" timestamp="1684395775"&gt;21&lt;/key&gt;&lt;/foreign-keys&gt;&lt;ref-type name="Report"&gt;27&lt;/ref-type&gt;&lt;contributors&gt;&lt;authors&gt;&lt;author&gt;British Geriatrics Society and the Royal College of General Practitioners,&lt;/author&gt;&lt;/authors&gt;&lt;/contributors&gt;&lt;titles&gt;&lt;title&gt;Fit for Frailty Part 2: Developing, commissioning and managing services for people living with frailty in community settings&lt;/title&gt;&lt;short-title&gt;Fit for Frailty &lt;/short-title&gt;&lt;/titles&gt;&lt;dates&gt;&lt;year&gt;2015&lt;/year&gt;&lt;/dates&gt;&lt;pub-location&gt;London&lt;/pub-location&gt;&lt;publisher&gt;British Geriatrics Society&lt;/publisher&gt;&lt;urls&gt;&lt;/urls&gt;&lt;/record&gt;&lt;/Cite&gt;&lt;/EndNote&gt;</w:instrText>
      </w:r>
      <w:r w:rsidR="003C3580" w:rsidRPr="00B23329">
        <w:fldChar w:fldCharType="separate"/>
      </w:r>
      <w:r w:rsidR="008333FC">
        <w:rPr>
          <w:noProof/>
        </w:rPr>
        <w:t>(British Geriatrics Society and the Royal College of General Practitioners, 2015)</w:t>
      </w:r>
      <w:r w:rsidR="003C3580" w:rsidRPr="00B23329">
        <w:fldChar w:fldCharType="end"/>
      </w:r>
      <w:r w:rsidR="00845BA0">
        <w:t xml:space="preserve"> and has been reiterated in a recent Health Foundation report </w:t>
      </w:r>
      <w:r w:rsidR="00845BA0">
        <w:fldChar w:fldCharType="begin"/>
      </w:r>
      <w:r w:rsidR="00845BA0">
        <w:instrText xml:space="preserve"> ADDIN EN.CITE &lt;EndNote&gt;&lt;Cite&gt;&lt;Author&gt;Watt&lt;/Author&gt;&lt;Year&gt;2022&lt;/Year&gt;&lt;RecNum&gt;100&lt;/RecNum&gt;&lt;DisplayText&gt;(Watt, 2022)&lt;/DisplayText&gt;&lt;record&gt;&lt;rec-number&gt;100&lt;/rec-number&gt;&lt;foreign-keys&gt;&lt;key app="EN" db-id="0sxsezaf7atedqef9vk5drdt9xzpawp0w5rv" timestamp="1691420126"&gt;100&lt;/key&gt;&lt;/foreign-keys&gt;&lt;ref-type name="Report"&gt;27&lt;/ref-type&gt;&lt;contributors&gt;&lt;authors&gt;&lt;author&gt;Watt, T., Raymond, A., Rachet-Jacquet, L., Head, A., Kypridemos, C.&lt;/author&gt;&lt;/authors&gt;&lt;secondary-authors&gt;&lt;author&gt;The Health Foundation&lt;/author&gt;&lt;/secondary-authors&gt;&lt;/contributors&gt;&lt;titles&gt;&lt;title&gt;A microsimulation model for multimorbidity in England&lt;/title&gt;&lt;/titles&gt;&lt;dates&gt;&lt;year&gt;2022&lt;/year&gt;&lt;pub-dates&gt;&lt;date&gt;July 2022&lt;/date&gt;&lt;/pub-dates&gt;&lt;/dates&gt;&lt;urls&gt;&lt;related-urls&gt;&lt;url&gt;www.health.org.uk/publications/health-in-2040&lt;/url&gt;&lt;/related-urls&gt;&lt;/urls&gt;&lt;access-date&gt;7/8/2023&lt;/access-date&gt;&lt;/record&gt;&lt;/Cite&gt;&lt;/EndNote&gt;</w:instrText>
      </w:r>
      <w:r w:rsidR="00845BA0">
        <w:fldChar w:fldCharType="separate"/>
      </w:r>
      <w:r w:rsidR="00845BA0">
        <w:rPr>
          <w:noProof/>
        </w:rPr>
        <w:t>(Watt, 2022)</w:t>
      </w:r>
      <w:r w:rsidR="00845BA0">
        <w:fldChar w:fldCharType="end"/>
      </w:r>
      <w:r w:rsidR="00845BA0">
        <w:t xml:space="preserve"> which highlights the </w:t>
      </w:r>
      <w:r w:rsidR="00845BA0">
        <w:lastRenderedPageBreak/>
        <w:t>implications for health and social care as well as for other public services</w:t>
      </w:r>
      <w:r w:rsidR="00277135">
        <w:t xml:space="preserve"> from an ageing population</w:t>
      </w:r>
      <w:r w:rsidR="003C3580" w:rsidRPr="007404CA">
        <w:t xml:space="preserve">. </w:t>
      </w:r>
      <w:r w:rsidR="003F0F3F" w:rsidRPr="00B23329">
        <w:fldChar w:fldCharType="begin"/>
      </w:r>
      <w:r w:rsidR="003F0F3F" w:rsidRPr="007404CA">
        <w:instrText xml:space="preserve"> ADDIN EN.CITE &lt;EndNote&gt;&lt;Cite&gt;&lt;Author&gt;Howlett&lt;/Author&gt;&lt;Year&gt;2021&lt;/Year&gt;&lt;RecNum&gt;33&lt;/RecNum&gt;&lt;DisplayText&gt;(Howlett et al., 2021)&lt;/DisplayText&gt;&lt;record&gt;&lt;rec-number&gt;33&lt;/rec-number&gt;&lt;foreign-keys&gt;&lt;key app="EN" db-id="0sxsezaf7atedqef9vk5drdt9xzpawp0w5rv" timestamp="1684435273"&gt;33&lt;/key&gt;&lt;/foreign-keys&gt;&lt;ref-type name="Journal Article"&gt;17&lt;/ref-type&gt;&lt;contributors&gt;&lt;authors&gt;&lt;author&gt;Howlett, Susan E.&lt;/author&gt;&lt;author&gt;Rutenberg, Andrew D.&lt;/author&gt;&lt;author&gt;Rockwood, Kenneth&lt;/author&gt;&lt;/authors&gt;&lt;/contributors&gt;&lt;titles&gt;&lt;title&gt;The degree of frailty as a translational measure of health in aging&lt;/title&gt;&lt;secondary-title&gt;Nature Aging&lt;/secondary-title&gt;&lt;/titles&gt;&lt;periodical&gt;&lt;full-title&gt;Nature Aging&lt;/full-title&gt;&lt;/periodical&gt;&lt;pages&gt;651-665&lt;/pages&gt;&lt;volume&gt;1&lt;/volume&gt;&lt;number&gt;8&lt;/number&gt;&lt;dates&gt;&lt;year&gt;2021&lt;/year&gt;&lt;pub-dates&gt;&lt;date&gt;2021/08/01&lt;/date&gt;&lt;/pub-dates&gt;&lt;/dates&gt;&lt;isbn&gt;2662-8465&lt;/isbn&gt;&lt;urls&gt;&lt;related-urls&gt;&lt;url&gt;https://doi.org/10.1038/s43587-021-00099-3&lt;/url&gt;&lt;/related-urls&gt;&lt;/urls&gt;&lt;electronic-resource-num&gt;10.1038/s43587-021-00099-3&lt;/electronic-resource-num&gt;&lt;/record&gt;&lt;/Cite&gt;&lt;/EndNote&gt;</w:instrText>
      </w:r>
      <w:r w:rsidR="003F0F3F" w:rsidRPr="00B23329">
        <w:fldChar w:fldCharType="separate"/>
      </w:r>
      <w:r w:rsidR="003F0F3F" w:rsidRPr="007404CA">
        <w:rPr>
          <w:noProof/>
        </w:rPr>
        <w:t>(Howlett et al., 2021)</w:t>
      </w:r>
      <w:r w:rsidR="003F0F3F" w:rsidRPr="00B23329">
        <w:fldChar w:fldCharType="end"/>
      </w:r>
      <w:r w:rsidR="003F0F3F" w:rsidRPr="007404CA">
        <w:t xml:space="preserve"> comment on the need for computational models that can improve our understanding of how frailty is related to age, changes in frailty states and mortality. </w:t>
      </w:r>
      <w:r w:rsidR="00C95BE4" w:rsidRPr="00B23329">
        <w:fldChar w:fldCharType="begin"/>
      </w:r>
      <w:r w:rsidR="00C95BE4" w:rsidRPr="007404CA">
        <w:instrText xml:space="preserve"> ADDIN EN.CITE &lt;EndNote&gt;&lt;Cite&gt;&lt;Author&gt;Farrell&lt;/Author&gt;&lt;Year&gt;2021&lt;/Year&gt;&lt;RecNum&gt;29&lt;/RecNum&gt;&lt;DisplayText&gt;(Farrell et al., 2021)&lt;/DisplayText&gt;&lt;record&gt;&lt;rec-number&gt;29&lt;/rec-number&gt;&lt;foreign-keys&gt;&lt;key app="EN" db-id="0sxsezaf7atedqef9vk5drdt9xzpawp0w5rv" timestamp="1684399070"&gt;29&lt;/key&gt;&lt;/foreign-keys&gt;&lt;ref-type name="Journal Article"&gt;17&lt;/ref-type&gt;&lt;contributors&gt;&lt;authors&gt;&lt;author&gt;Farrell, Spencer&lt;/author&gt;&lt;author&gt;Stubbings, Garrett&lt;/author&gt;&lt;author&gt;Rockwood, Kenneth&lt;/author&gt;&lt;author&gt;Mitnitski, Arnold&lt;/author&gt;&lt;author&gt;Rutenberg, Andrew&lt;/author&gt;&lt;/authors&gt;&lt;/contributors&gt;&lt;titles&gt;&lt;title&gt;The potential for complex computational models of aging&lt;/title&gt;&lt;secondary-title&gt;Mechanisms of Ageing and Development&lt;/secondary-title&gt;&lt;/titles&gt;&lt;periodical&gt;&lt;full-title&gt;Mechanisms of Ageing and Development&lt;/full-title&gt;&lt;/periodical&gt;&lt;pages&gt;111403&lt;/pages&gt;&lt;volume&gt;193&lt;/volume&gt;&lt;keywords&gt;&lt;keyword&gt;Computational model&lt;/keyword&gt;&lt;keyword&gt;Stochastic simulation&lt;/keyword&gt;&lt;keyword&gt;Machine learning&lt;/keyword&gt;&lt;keyword&gt;Synthetic populations&lt;/keyword&gt;&lt;/keywords&gt;&lt;dates&gt;&lt;year&gt;2021&lt;/year&gt;&lt;pub-dates&gt;&lt;date&gt;2021/01/01/&lt;/date&gt;&lt;/pub-dates&gt;&lt;/dates&gt;&lt;isbn&gt;0047-6374&lt;/isbn&gt;&lt;urls&gt;&lt;related-urls&gt;&lt;url&gt;https://www.sciencedirect.com/science/article/pii/S0047637420301998&lt;/url&gt;&lt;/related-urls&gt;&lt;/urls&gt;&lt;electronic-resource-num&gt;https://doi.org/10.1016/j.mad.2020.111403&lt;/electronic-resource-num&gt;&lt;/record&gt;&lt;/Cite&gt;&lt;/EndNote&gt;</w:instrText>
      </w:r>
      <w:r w:rsidR="00C95BE4" w:rsidRPr="00B23329">
        <w:fldChar w:fldCharType="separate"/>
      </w:r>
      <w:r w:rsidR="00C95BE4" w:rsidRPr="007404CA">
        <w:rPr>
          <w:noProof/>
        </w:rPr>
        <w:t>(Farrell et al., 2021)</w:t>
      </w:r>
      <w:r w:rsidR="00C95BE4" w:rsidRPr="00B23329">
        <w:fldChar w:fldCharType="end"/>
      </w:r>
      <w:r w:rsidR="00C95BE4" w:rsidRPr="007404CA">
        <w:t xml:space="preserve"> suggest</w:t>
      </w:r>
      <w:r w:rsidR="00C95BE4" w:rsidRPr="007404CA">
        <w:rPr>
          <w:b/>
          <w:bCs/>
          <w:color w:val="FF0000"/>
        </w:rPr>
        <w:t xml:space="preserve"> </w:t>
      </w:r>
      <w:r w:rsidR="00C95BE4" w:rsidRPr="007404CA">
        <w:t>that computational models for ageing and frailty need to be systems level models</w:t>
      </w:r>
      <w:r w:rsidR="009E43F5">
        <w:t>, preferably stochastic (to capture variability), predictive and parameterised from data from large populations of ageing individuals</w:t>
      </w:r>
      <w:r w:rsidR="00C95BE4" w:rsidRPr="007404CA">
        <w:t>.</w:t>
      </w:r>
      <w:r w:rsidR="009E73B3">
        <w:t xml:space="preserve"> </w:t>
      </w:r>
    </w:p>
    <w:p w14:paraId="11D4D58A" w14:textId="585DABC1" w:rsidR="0020103E" w:rsidRPr="000D75B8" w:rsidRDefault="00CE4452" w:rsidP="000D75B8">
      <w:pPr>
        <w:pStyle w:val="Heading2"/>
        <w:numPr>
          <w:ilvl w:val="1"/>
          <w:numId w:val="10"/>
        </w:numPr>
      </w:pPr>
      <w:r w:rsidRPr="000D75B8">
        <w:t>Previous work</w:t>
      </w:r>
    </w:p>
    <w:p w14:paraId="3B197BAB" w14:textId="534C295F" w:rsidR="009E73B3" w:rsidRPr="007404CA" w:rsidRDefault="00093E17" w:rsidP="00A752C2">
      <w:pPr>
        <w:ind w:firstLine="720"/>
      </w:pPr>
      <w:bookmarkStart w:id="4" w:name="_Hlk157682248"/>
      <w:r w:rsidRPr="00ED7B92">
        <w:t>S</w:t>
      </w:r>
      <w:r>
        <w:t>ystem dynamics (S</w:t>
      </w:r>
      <w:r w:rsidRPr="00ED7B92">
        <w:t>D</w:t>
      </w:r>
      <w:r>
        <w:t>)</w:t>
      </w:r>
      <w:r w:rsidRPr="00ED7B92">
        <w:t xml:space="preserve"> </w:t>
      </w:r>
      <w:r>
        <w:t>has</w:t>
      </w:r>
      <w:r w:rsidRPr="00ED7B92">
        <w:t xml:space="preserve"> frequently been used to model healthcare systems</w:t>
      </w:r>
      <w:r w:rsidR="00504A44">
        <w:t xml:space="preserve"> </w:t>
      </w:r>
      <w:r w:rsidR="00504A44" w:rsidRPr="00782B8B">
        <w:t>(</w:t>
      </w:r>
      <w:r w:rsidR="007A282B" w:rsidRPr="00782B8B">
        <w:t>Hirsch et al, 2004</w:t>
      </w:r>
      <w:r w:rsidR="004774FA" w:rsidRPr="00782B8B">
        <w:t>;</w:t>
      </w:r>
      <w:r w:rsidR="0098346E" w:rsidRPr="00782B8B">
        <w:t xml:space="preserve"> Royston et al, 1999</w:t>
      </w:r>
      <w:r w:rsidR="004774FA" w:rsidRPr="00782B8B">
        <w:t>;</w:t>
      </w:r>
      <w:r w:rsidR="0098346E" w:rsidRPr="00782B8B">
        <w:t xml:space="preserve"> Lane et al, 2000</w:t>
      </w:r>
      <w:r w:rsidR="004774FA" w:rsidRPr="00782B8B">
        <w:t>;</w:t>
      </w:r>
      <w:r w:rsidR="0063478E" w:rsidRPr="00782B8B">
        <w:t xml:space="preserve"> Cassidy et al, 2019</w:t>
      </w:r>
      <w:r w:rsidR="00504A44" w:rsidRPr="00782B8B">
        <w:t>)</w:t>
      </w:r>
      <w:r w:rsidRPr="00782B8B">
        <w:t>, particularly when a mo</w:t>
      </w:r>
      <w:r w:rsidRPr="00ED7B92">
        <w:t>re high-level, aggregated, strategic view is need</w:t>
      </w:r>
      <w:r w:rsidRPr="00782B8B">
        <w:t>ed</w:t>
      </w:r>
      <w:r w:rsidR="00504A44" w:rsidRPr="00782B8B">
        <w:t xml:space="preserve"> (Homer et al, 2006)</w:t>
      </w:r>
      <w:r w:rsidRPr="00782B8B">
        <w:t xml:space="preserve">. </w:t>
      </w:r>
      <w:r w:rsidR="006961C6" w:rsidRPr="00782B8B">
        <w:t xml:space="preserve">In its quantitative (stock-flow) form, </w:t>
      </w:r>
      <w:r w:rsidRPr="00782B8B">
        <w:t>SD is a powerful tool that can be used to represent different levels of illness</w:t>
      </w:r>
      <w:r w:rsidR="002A65EF" w:rsidRPr="00782B8B">
        <w:t xml:space="preserve"> </w:t>
      </w:r>
      <w:r w:rsidRPr="00782B8B">
        <w:t>in the population of interest</w:t>
      </w:r>
      <w:r w:rsidR="002A65EF" w:rsidRPr="00782B8B">
        <w:t xml:space="preserve"> </w:t>
      </w:r>
      <w:r w:rsidR="0063478E" w:rsidRPr="00782B8B">
        <w:t>(</w:t>
      </w:r>
      <w:r w:rsidR="002A65EF" w:rsidRPr="00782B8B">
        <w:rPr>
          <w:noProof/>
        </w:rPr>
        <w:t>Husain et al</w:t>
      </w:r>
      <w:r w:rsidR="004774FA" w:rsidRPr="00782B8B">
        <w:rPr>
          <w:noProof/>
        </w:rPr>
        <w:t>,</w:t>
      </w:r>
      <w:r w:rsidR="002A65EF" w:rsidRPr="00782B8B">
        <w:rPr>
          <w:noProof/>
        </w:rPr>
        <w:t xml:space="preserve"> 2021</w:t>
      </w:r>
      <w:r w:rsidR="004774FA" w:rsidRPr="00782B8B">
        <w:rPr>
          <w:noProof/>
        </w:rPr>
        <w:t xml:space="preserve">; </w:t>
      </w:r>
      <w:r w:rsidR="0063478E" w:rsidRPr="00782B8B">
        <w:t>Cassidy et al, 2019)</w:t>
      </w:r>
      <w:r w:rsidRPr="00782B8B">
        <w:t xml:space="preserve">, where transitions between stages can be affected by disease progression or healthcare interventions </w:t>
      </w:r>
      <w:r w:rsidRPr="00782B8B">
        <w:fldChar w:fldCharType="begin">
          <w:fldData xml:space="preserve">PEVuZE5vdGU+PENpdGU+PEF1dGhvcj5EYXZhaGxpPC9BdXRob3I+PFllYXI+MjAyMDwvWWVhcj48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</w:fldData>
        </w:fldChar>
      </w:r>
      <w:r w:rsidR="00637FDE" w:rsidRPr="00782B8B">
        <w:instrText xml:space="preserve"> ADDIN EN.CITE </w:instrText>
      </w:r>
      <w:r w:rsidR="00637FDE" w:rsidRPr="00782B8B">
        <w:fldChar w:fldCharType="begin">
          <w:fldData xml:space="preserve">PEVuZE5vdGU+PENpdGU+PEF1dGhvcj5EYXZhaGxpPC9BdXRob3I+PFllYXI+MjAyMDwvWWVhcj48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</w:fldData>
        </w:fldChar>
      </w:r>
      <w:r w:rsidR="00637FDE" w:rsidRPr="00782B8B">
        <w:instrText xml:space="preserve"> ADDIN EN.CITE.DATA </w:instrText>
      </w:r>
      <w:r w:rsidR="00637FDE" w:rsidRPr="00782B8B">
        <w:fldChar w:fldCharType="end"/>
      </w:r>
      <w:r w:rsidRPr="00782B8B">
        <w:fldChar w:fldCharType="separate"/>
      </w:r>
      <w:r w:rsidR="00637FDE" w:rsidRPr="00782B8B">
        <w:rPr>
          <w:noProof/>
        </w:rPr>
        <w:t>(Darabi &amp; Hosseinichimeh, 2020; Davahli et al., 202</w:t>
      </w:r>
      <w:r w:rsidR="004774FA" w:rsidRPr="00782B8B">
        <w:rPr>
          <w:noProof/>
        </w:rPr>
        <w:t>1;</w:t>
      </w:r>
      <w:r w:rsidR="00B50F81" w:rsidRPr="00782B8B">
        <w:rPr>
          <w:noProof/>
        </w:rPr>
        <w:t xml:space="preserve"> Graham et al, 2023</w:t>
      </w:r>
      <w:r w:rsidR="00637FDE" w:rsidRPr="00782B8B">
        <w:rPr>
          <w:noProof/>
        </w:rPr>
        <w:t>)</w:t>
      </w:r>
      <w:r w:rsidRPr="00782B8B">
        <w:fldChar w:fldCharType="end"/>
      </w:r>
      <w:r w:rsidRPr="00782B8B">
        <w:t xml:space="preserve">.  </w:t>
      </w:r>
      <w:bookmarkStart w:id="5" w:name="_Hlk157523667"/>
      <w:r w:rsidR="00CE4452" w:rsidRPr="00782B8B">
        <w:t xml:space="preserve">It is ideally suited to </w:t>
      </w:r>
      <w:r w:rsidR="00CE4452" w:rsidRPr="004513F0">
        <w:t xml:space="preserve">model large populations where individual variability is not a major consideration. </w:t>
      </w:r>
      <w:bookmarkEnd w:id="5"/>
      <w:r w:rsidR="006961C6" w:rsidRPr="004513F0">
        <w:t xml:space="preserve"> A stochastic approach may be better for small subgroups, </w:t>
      </w:r>
      <w:bookmarkStart w:id="6" w:name="_Hlk158211888"/>
      <w:r w:rsidR="00770040" w:rsidRPr="004513F0">
        <w:t>or where it is necessary to follow individual people’s trajectories over time</w:t>
      </w:r>
      <w:bookmarkEnd w:id="6"/>
      <w:r w:rsidR="00770040" w:rsidRPr="004513F0">
        <w:t xml:space="preserve">, </w:t>
      </w:r>
      <w:r w:rsidR="006961C6" w:rsidRPr="004513F0">
        <w:t>but this is not an issue here.</w:t>
      </w:r>
      <w:r w:rsidR="006961C6">
        <w:rPr>
          <w:color w:val="FF0000"/>
        </w:rPr>
        <w:t xml:space="preserve">  </w:t>
      </w:r>
      <w:bookmarkEnd w:id="4"/>
      <w:r w:rsidR="009E73B3">
        <w:t>However, i</w:t>
      </w:r>
      <w:r w:rsidR="009E73B3" w:rsidRPr="007404CA">
        <w:t xml:space="preserve">n a recent literature review </w:t>
      </w:r>
      <w:r w:rsidR="009E73B3" w:rsidRPr="00F677DA">
        <w:fldChar w:fldCharType="begin"/>
      </w:r>
      <w:r w:rsidR="009E73B3" w:rsidRPr="007404CA">
        <w:instrText xml:space="preserve"> ADDIN EN.CITE &lt;EndNote&gt;&lt;Cite&gt;&lt;Author&gt;Williams&lt;/Author&gt;&lt;Year&gt;2021&lt;/Year&gt;&lt;RecNum&gt;5&lt;/RecNum&gt;&lt;DisplayText&gt;(Williams et al., 2021)&lt;/DisplayText&gt;&lt;record&gt;&lt;rec-number&gt;5&lt;/rec-number&gt;&lt;foreign-keys&gt;&lt;key app="EN" db-id="0sxsezaf7atedqef9vk5drdt9xzpawp0w5rv" timestamp="1684060267"&gt;5&lt;/key&gt;&lt;/foreign-keys&gt;&lt;ref-type name="Journal Article"&gt;17&lt;/ref-type&gt;&lt;contributors&gt;&lt;authors&gt;&lt;author&gt;Williams, Elizabeth&lt;/author&gt;&lt;author&gt;Gartner, Daniel&lt;/author&gt;&lt;author&gt;Harper, Paul&lt;/author&gt;&lt;/authors&gt;&lt;/contributors&gt;&lt;titles&gt;&lt;title&gt;A survey of OR/MS models on care planning for frail and elderly patients&lt;/title&gt;&lt;secondary-title&gt;Operations Research for Health Care&lt;/secondary-title&gt;&lt;/titles&gt;&lt;periodical&gt;&lt;full-title&gt;Operations Research for Health Care&lt;/full-title&gt;&lt;/periodical&gt;&lt;pages&gt;100325&lt;/pages&gt;&lt;volume&gt;31&lt;/volume&gt;&lt;keywords&gt;&lt;keyword&gt;OR in health services&lt;/keyword&gt;&lt;keyword&gt;Elderly&lt;/keyword&gt;&lt;keyword&gt;Frail&lt;/keyword&gt;&lt;keyword&gt;Care planning&lt;/keyword&gt;&lt;keyword&gt;Literature review&lt;/keyword&gt;&lt;/keywords&gt;&lt;dates&gt;&lt;year&gt;2021&lt;/year&gt;&lt;pub-dates&gt;&lt;date&gt;2021/12/01/&lt;/date&gt;&lt;/pub-dates&gt;&lt;/dates&gt;&lt;isbn&gt;2211-6923&lt;/isbn&gt;&lt;urls&gt;&lt;related-urls&gt;&lt;url&gt;https://www.sciencedirect.com/science/article/pii/S2211692321000412&lt;/url&gt;&lt;/related-urls&gt;&lt;/urls&gt;&lt;electronic-resource-num&gt;https://doi.org/10.1016/j.orhc.2021.100325&lt;/electronic-resource-num&gt;&lt;/record&gt;&lt;/Cite&gt;&lt;/EndNote&gt;</w:instrText>
      </w:r>
      <w:r w:rsidR="009E73B3" w:rsidRPr="00F677DA">
        <w:fldChar w:fldCharType="separate"/>
      </w:r>
      <w:r w:rsidR="009E73B3" w:rsidRPr="007404CA">
        <w:rPr>
          <w:noProof/>
        </w:rPr>
        <w:t>(Williams et al., 2021)</w:t>
      </w:r>
      <w:r w:rsidR="009E73B3" w:rsidRPr="00F677DA">
        <w:fldChar w:fldCharType="end"/>
      </w:r>
      <w:r w:rsidR="009E73B3" w:rsidRPr="007404CA">
        <w:t xml:space="preserve">, </w:t>
      </w:r>
      <w:r>
        <w:t xml:space="preserve">of </w:t>
      </w:r>
      <w:r w:rsidR="009E73B3" w:rsidRPr="007404CA">
        <w:t xml:space="preserve">62 journal articles referenced as Operational Research or Management Science models related to care planning for frail and elderly patients, only </w:t>
      </w:r>
      <w:r>
        <w:t>three</w:t>
      </w:r>
      <w:r w:rsidR="009E73B3" w:rsidRPr="007404CA">
        <w:t xml:space="preserve"> specifically mentioned </w:t>
      </w:r>
      <w:r>
        <w:t>SD</w:t>
      </w:r>
      <w:r w:rsidR="009E73B3" w:rsidRPr="007404CA">
        <w:t>. Two of the three focused on how to improve inpatient length of stay (</w:t>
      </w:r>
      <w:proofErr w:type="spellStart"/>
      <w:r w:rsidR="009E73B3" w:rsidRPr="007404CA">
        <w:t>LoS</w:t>
      </w:r>
      <w:proofErr w:type="spellEnd"/>
      <w:r w:rsidR="009E73B3" w:rsidRPr="007404CA">
        <w:t>) and reduce the problem of delayed hospital discharge (</w:t>
      </w:r>
      <w:r w:rsidR="009E73B3" w:rsidRPr="00F677DA">
        <w:fldChar w:fldCharType="begin"/>
      </w:r>
      <w:r w:rsidR="009E73B3" w:rsidRPr="007404CA">
        <w:instrText xml:space="preserve"> ADDIN EN.CITE &lt;EndNote&gt;&lt;Cite&gt;&lt;Author&gt;Walker&lt;/Author&gt;&lt;Year&gt;2001&lt;/Year&gt;&lt;RecNum&gt;6&lt;/RecNum&gt;&lt;DisplayText&gt;(Walker &amp;amp; Haslett, 2001)&lt;/DisplayText&gt;&lt;record&gt;&lt;rec-number&gt;6&lt;/rec-number&gt;&lt;foreign-keys&gt;&lt;key app="EN" db-id="0sxsezaf7atedqef9vk5drdt9xzpawp0w5rv" timestamp="1684061124"&gt;6&lt;/key&gt;&lt;/foreign-keys&gt;&lt;ref-type name="Journal Article"&gt;17&lt;/ref-type&gt;&lt;contributors&gt;&lt;authors&gt;&lt;author&gt;Walker, Beverly&lt;/author&gt;&lt;author&gt;Haslett, Tim&lt;/author&gt;&lt;/authors&gt;&lt;/contributors&gt;&lt;titles&gt;&lt;title&gt;System dynamics and action research in aged care&lt;/title&gt;&lt;secondary-title&gt;Australian Health Review&lt;/secondary-title&gt;&lt;/titles&gt;&lt;periodical&gt;&lt;full-title&gt;Australian Health Review&lt;/full-title&gt;&lt;/periodical&gt;&lt;pages&gt;183-191&lt;/pages&gt;&lt;volume&gt;24&lt;/volume&gt;&lt;number&gt;1&lt;/number&gt;&lt;dates&gt;&lt;year&gt;2001&lt;/year&gt;&lt;/dates&gt;&lt;urls&gt;&lt;related-urls&gt;&lt;url&gt;https://www.publish.csiro.au/paper/AH010183&lt;/url&gt;&lt;/related-urls&gt;&lt;/urls&gt;&lt;electronic-resource-num&gt;https://doi.org/10.1071/AH010183&lt;/electronic-resource-num&gt;&lt;/record&gt;&lt;/Cite&gt;&lt;/EndNote&gt;</w:instrText>
      </w:r>
      <w:r w:rsidR="009E73B3" w:rsidRPr="00F677DA">
        <w:fldChar w:fldCharType="separate"/>
      </w:r>
      <w:r w:rsidR="009E73B3" w:rsidRPr="007404CA">
        <w:rPr>
          <w:noProof/>
        </w:rPr>
        <w:t>(Walker &amp; Haslett, 2001)</w:t>
      </w:r>
      <w:r w:rsidR="009E73B3" w:rsidRPr="00F677DA">
        <w:fldChar w:fldCharType="end"/>
      </w:r>
      <w:r w:rsidR="009E73B3" w:rsidRPr="007404CA">
        <w:t xml:space="preserve">, </w:t>
      </w:r>
      <w:r w:rsidR="009E73B3" w:rsidRPr="00F677DA">
        <w:fldChar w:fldCharType="begin"/>
      </w:r>
      <w:r w:rsidR="009E73B3" w:rsidRPr="007404CA">
        <w:instrText xml:space="preserve"> ADDIN EN.CITE &lt;EndNote&gt;&lt;Cite&gt;&lt;Author&gt;Rashwan&lt;/Author&gt;&lt;Year&gt;2015&lt;/Year&gt;&lt;RecNum&gt;9&lt;/RecNum&gt;&lt;DisplayText&gt;(Rashwan et al., 2015)&lt;/DisplayText&gt;&lt;record&gt;&lt;rec-number&gt;9&lt;/rec-number&gt;&lt;foreign-keys&gt;&lt;key app="EN" db-id="0sxsezaf7atedqef9vk5drdt9xzpawp0w5rv" timestamp="1684062318"&gt;9&lt;/key&gt;&lt;/foreign-keys&gt;&lt;ref-type name="Journal Article"&gt;17&lt;/ref-type&gt;&lt;contributors&gt;&lt;authors&gt;&lt;author&gt;Rashwan, Wael&lt;/author&gt;&lt;author&gt;Abo-Hamad, Waleed&lt;/author&gt;&lt;author&gt;Arisha, Amr&lt;/author&gt;&lt;/authors&gt;&lt;/contributors&gt;&lt;titles&gt;&lt;title&gt;A system dynamics view of the acute bed blockage problem in the Irish healthcare system&lt;/title&gt;&lt;secondary-title&gt;European Journal of Operational Research&lt;/secondary-title&gt;&lt;/titles&gt;&lt;periodical&gt;&lt;full-title&gt;European Journal of Operational Research&lt;/full-title&gt;&lt;/periodical&gt;&lt;pages&gt;276-293&lt;/pages&gt;&lt;volume&gt;247&lt;/volume&gt;&lt;number&gt;1&lt;/number&gt;&lt;keywords&gt;&lt;keyword&gt;Delayed discharge&lt;/keyword&gt;&lt;keyword&gt;System dynamics&lt;/keyword&gt;&lt;keyword&gt;Patient pathways&lt;/keyword&gt;&lt;keyword&gt;Capacity planning&lt;/keyword&gt;&lt;keyword&gt;Irish healthcare system&lt;/keyword&gt;&lt;/keywords&gt;&lt;dates&gt;&lt;year&gt;2015&lt;/year&gt;&lt;pub-dates&gt;&lt;date&gt;2015/11/16/&lt;/date&gt;&lt;/pub-dates&gt;&lt;/dates&gt;&lt;isbn&gt;0377-2217&lt;/isbn&gt;&lt;urls&gt;&lt;related-urls&gt;&lt;url&gt;https://www.sciencedirect.com/science/article/pii/S0377221715004336&lt;/url&gt;&lt;/related-urls&gt;&lt;/urls&gt;&lt;electronic-resource-num&gt;https://doi.org/10.1016/j.ejor.2015.05.043&lt;/electronic-resource-num&gt;&lt;/record&gt;&lt;/Cite&gt;&lt;/EndNote&gt;</w:instrText>
      </w:r>
      <w:r w:rsidR="009E73B3" w:rsidRPr="00F677DA">
        <w:fldChar w:fldCharType="separate"/>
      </w:r>
      <w:r w:rsidR="009E73B3" w:rsidRPr="007404CA">
        <w:rPr>
          <w:noProof/>
        </w:rPr>
        <w:t>(Rashwan et al., 2015)</w:t>
      </w:r>
      <w:r w:rsidR="009E73B3" w:rsidRPr="00F677DA">
        <w:fldChar w:fldCharType="end"/>
      </w:r>
      <w:r w:rsidR="009E73B3" w:rsidRPr="007404CA">
        <w:t xml:space="preserve">) whilst the third focused on dementia </w:t>
      </w:r>
      <w:r w:rsidR="009E73B3" w:rsidRPr="00F677DA">
        <w:fldChar w:fldCharType="begin"/>
      </w:r>
      <w:r w:rsidR="009E73B3" w:rsidRPr="007404CA">
        <w:instrText xml:space="preserve"> ADDIN EN.CITE &lt;EndNote&gt;&lt;Cite&gt;&lt;Author&gt;Cepoiu-Martin&lt;/Author&gt;&lt;Year&gt;2018&lt;/Year&gt;&lt;RecNum&gt;8&lt;/RecNum&gt;&lt;DisplayText&gt;(Cepoiu-Martin &amp;amp; Bischak, 2018)&lt;/DisplayText&gt;&lt;record&gt;&lt;rec-number&gt;8&lt;/rec-number&gt;&lt;foreign-keys&gt;&lt;key app="EN" db-id="0sxsezaf7atedqef9vk5drdt9xzpawp0w5rv" timestamp="1684061686"&gt;8&lt;/key&gt;&lt;/foreign-keys&gt;&lt;ref-type name="Journal Article"&gt;17&lt;/ref-type&gt;&lt;contributors&gt;&lt;authors&gt;&lt;author&gt;Cepoiu-Martin, Monica&lt;/author&gt;&lt;author&gt;Bischak, Diane P.&lt;/author&gt;&lt;/authors&gt;&lt;/contributors&gt;&lt;titles&gt;&lt;title&gt;Policy choices in dementia care—An exploratory analysis of the Alberta continuing care system (ACCS) using system dynamics&lt;/title&gt;&lt;secondary-title&gt;Journal of Evaluation in Clinical Practice&lt;/secondary-title&gt;&lt;/titles&gt;&lt;periodical&gt;&lt;full-title&gt;Journal of Evaluation in Clinical Practice&lt;/full-title&gt;&lt;/periodical&gt;&lt;pages&gt;278-284&lt;/pages&gt;&lt;volume&gt;24&lt;/volume&gt;&lt;number&gt;1&lt;/number&gt;&lt;dates&gt;&lt;year&gt;2018&lt;/year&gt;&lt;/dates&gt;&lt;isbn&gt;1356-1294&lt;/isbn&gt;&lt;urls&gt;&lt;related-urls&gt;&lt;url&gt;https://onlinelibrary.wiley.com/doi/abs/10.1111/jep.12790&lt;/url&gt;&lt;/related-urls&gt;&lt;/urls&gt;&lt;electronic-resource-num&gt;https://doi.org/10.1111/jep.12790&lt;/electronic-resource-num&gt;&lt;/record&gt;&lt;/Cite&gt;&lt;/EndNote&gt;</w:instrText>
      </w:r>
      <w:r w:rsidR="009E73B3" w:rsidRPr="00F677DA">
        <w:fldChar w:fldCharType="separate"/>
      </w:r>
      <w:r w:rsidR="009E73B3" w:rsidRPr="007404CA">
        <w:rPr>
          <w:noProof/>
        </w:rPr>
        <w:t>(Cepoiu-Martin &amp; Bischak, 2018)</w:t>
      </w:r>
      <w:r w:rsidR="009E73B3" w:rsidRPr="00F677DA">
        <w:fldChar w:fldCharType="end"/>
      </w:r>
      <w:r w:rsidR="009E73B3" w:rsidRPr="007404CA">
        <w:t>; none of the</w:t>
      </w:r>
      <w:r>
        <w:t xml:space="preserve"> three</w:t>
      </w:r>
      <w:r w:rsidR="009E73B3" w:rsidRPr="007404CA">
        <w:t xml:space="preserve"> considered frailty.</w:t>
      </w:r>
    </w:p>
    <w:p w14:paraId="2C833FB0" w14:textId="77777777" w:rsidR="001A1923" w:rsidRDefault="00730CF8">
      <w:r w:rsidRPr="007404CA">
        <w:tab/>
      </w:r>
    </w:p>
    <w:p w14:paraId="301ACC0E" w14:textId="1033C117" w:rsidR="00730CF8" w:rsidRPr="007404CA" w:rsidRDefault="00730CF8" w:rsidP="00A752C2">
      <w:pPr>
        <w:ind w:firstLine="720"/>
      </w:pPr>
      <w:r w:rsidRPr="007404CA">
        <w:t xml:space="preserve">Studies related to dementia </w:t>
      </w:r>
      <w:r w:rsidR="005E1EE8">
        <w:t>can</w:t>
      </w:r>
      <w:r w:rsidRPr="007404CA">
        <w:t xml:space="preserve"> provide useful learning for simulation of frailty, due to similarities in patient age and disease progression</w:t>
      </w:r>
      <w:r w:rsidR="007A6028" w:rsidRPr="007404CA">
        <w:t xml:space="preserve"> (</w:t>
      </w:r>
      <w:r w:rsidR="00CA4E38" w:rsidRPr="00743A79">
        <w:fldChar w:fldCharType="begin"/>
      </w:r>
      <w:r w:rsidR="00CA4E38" w:rsidRPr="007404CA">
        <w:instrText xml:space="preserve"> ADDIN EN.CITE &lt;EndNote&gt;&lt;Cite&gt;&lt;Author&gt;Thompson&lt;/Author&gt;&lt;Year&gt;2014&lt;/Year&gt;&lt;RecNum&gt;47&lt;/RecNum&gt;&lt;DisplayText&gt;(Thompson et al., 2014)&lt;/DisplayText&gt;&lt;record&gt;&lt;rec-number&gt;47&lt;/rec-number&gt;&lt;foreign-keys&gt;&lt;key app="EN" db-id="0sxsezaf7atedqef9vk5drdt9xzpawp0w5rv" timestamp="1684439668"&gt;47&lt;/key&gt;&lt;/foreign-keys&gt;&lt;ref-type name="Journal Article"&gt;17&lt;/ref-type&gt;&lt;contributors&gt;&lt;authors&gt;&lt;author&gt;Thompson, J. P.&lt;/author&gt;&lt;author&gt;Riley, C. M.&lt;/author&gt;&lt;author&gt;Eberlein, R. L.&lt;/author&gt;&lt;/authors&gt;&lt;/contributors&gt;&lt;titles&gt;&lt;title&gt;Modelling for Insight: The Case of Dementia in Singapore&lt;/title&gt;&lt;secondary-title&gt;Systems Research and Behavioral Science&lt;/secondary-title&gt;&lt;/titles&gt;&lt;periodical&gt;&lt;full-title&gt;Systems Research and Behavioral Science&lt;/full-title&gt;&lt;/periodical&gt;&lt;pages&gt;227-235&lt;/pages&gt;&lt;volume&gt;31&lt;/volume&gt;&lt;number&gt;2&lt;/number&gt;&lt;dates&gt;&lt;year&gt;2014&lt;/year&gt;&lt;/dates&gt;&lt;isbn&gt;1092-7026&lt;/isbn&gt;&lt;urls&gt;&lt;related-urls&gt;&lt;url&gt;https://onlinelibrary.wiley.com/doi/abs/10.1002/sres.2202&lt;/url&gt;&lt;/related-urls&gt;&lt;/urls&gt;&lt;electronic-resource-num&gt;https://doi.org/10.1002/sres.2202&lt;/electronic-resource-num&gt;&lt;/record&gt;&lt;/Cite&gt;&lt;/EndNote&gt;</w:instrText>
      </w:r>
      <w:r w:rsidR="00CA4E38" w:rsidRPr="00743A79">
        <w:fldChar w:fldCharType="separate"/>
      </w:r>
      <w:r w:rsidR="00CA4E38" w:rsidRPr="007404CA">
        <w:rPr>
          <w:noProof/>
        </w:rPr>
        <w:t>(Thompson et al., 2014)</w:t>
      </w:r>
      <w:r w:rsidR="00CA4E38" w:rsidRPr="00743A79">
        <w:fldChar w:fldCharType="end"/>
      </w:r>
      <w:r w:rsidR="007A6028" w:rsidRPr="007404CA">
        <w:t xml:space="preserve">, </w:t>
      </w:r>
      <w:r w:rsidR="007A6028" w:rsidRPr="00743A79">
        <w:fldChar w:fldCharType="begin"/>
      </w:r>
      <w:r w:rsidR="00CA4E38" w:rsidRPr="007404CA">
        <w:instrText xml:space="preserve"> ADDIN EN.CITE &lt;EndNote&gt;&lt;Cite&gt;&lt;Author&gt;Thompson&lt;/Author&gt;&lt;Year&gt;2012&lt;/Year&gt;&lt;RecNum&gt;48&lt;/RecNum&gt;&lt;DisplayText&gt;(Thompson et al., 2012)&lt;/DisplayText&gt;&lt;record&gt;&lt;rec-number&gt;48&lt;/rec-number&gt;&lt;foreign-keys&gt;&lt;key app="EN" db-id="0sxsezaf7atedqef9vk5drdt9xzpawp0w5rv" timestamp="1684439862"&gt;48&lt;/key&gt;&lt;/foreign-keys&gt;&lt;ref-type name="Journal Article"&gt;17&lt;/ref-type&gt;&lt;contributors&gt;&lt;authors&gt;&lt;author&gt;Thompson, J. P.&lt;/author&gt;&lt;author&gt;Riley, C. M.&lt;/author&gt;&lt;author&gt;Eberlein, R. L.&lt;/author&gt;&lt;author&gt;Matchar, D. B.&lt;/author&gt;&lt;/authors&gt;&lt;/contributors&gt;&lt;auth-address&gt;Health Services and Systems Research, Duke-NUS Graduate Medical School Singapore, Singapore. james.thompson@duke-nus.edu.sg&lt;/auth-address&gt;&lt;titles&gt;&lt;title&gt;Future living arrangements of Singaporeans with age-related dementia&lt;/title&gt;&lt;secondary-title&gt;Int Psychogeriatr&lt;/secondary-title&gt;&lt;/titles&gt;&lt;periodical&gt;&lt;full-title&gt;Int Psychogeriatr&lt;/full-title&gt;&lt;/periodical&gt;&lt;pages&gt;1592-9&lt;/pages&gt;&lt;volume&gt;24&lt;/volume&gt;&lt;number&gt;10&lt;/number&gt;&lt;edition&gt;2012/06/22&lt;/edition&gt;&lt;keywords&gt;&lt;keyword&gt;Aged&lt;/keyword&gt;&lt;keyword&gt;Aged, 80 and over&lt;/keyword&gt;&lt;keyword&gt;Dementia/*epidemiology&lt;/keyword&gt;&lt;keyword&gt;Family&lt;/keyword&gt;&lt;keyword&gt;Forecasting&lt;/keyword&gt;&lt;keyword&gt;Humans&lt;/keyword&gt;&lt;keyword&gt;Models, Statistical&lt;/keyword&gt;&lt;keyword&gt;Residence Characteristics/*statistics &amp;amp; numerical data&lt;/keyword&gt;&lt;keyword&gt;Severity of Illness Index&lt;/keyword&gt;&lt;keyword&gt;Singapore/epidemiology&lt;/keyword&gt;&lt;/keywords&gt;&lt;dates&gt;&lt;year&gt;2012&lt;/year&gt;&lt;pub-dates&gt;&lt;date&gt;Oct&lt;/date&gt;&lt;/pub-dates&gt;&lt;/dates&gt;&lt;isbn&gt;1041-6102&lt;/isbn&gt;&lt;accession-num&gt;22717169&lt;/accession-num&gt;&lt;urls&gt;&lt;/urls&gt;&lt;electronic-resource-num&gt;10.1017/s1041610212000282&lt;/electronic-resource-num&gt;&lt;remote-database-provider&gt;NLM&lt;/remote-database-provider&gt;&lt;language&gt;eng&lt;/language&gt;&lt;/record&gt;&lt;/Cite&gt;&lt;/EndNote&gt;</w:instrText>
      </w:r>
      <w:r w:rsidR="007A6028" w:rsidRPr="00743A79">
        <w:fldChar w:fldCharType="separate"/>
      </w:r>
      <w:r w:rsidR="00CA4E38" w:rsidRPr="007404CA">
        <w:rPr>
          <w:noProof/>
        </w:rPr>
        <w:t>(Thompson et al., 2012)</w:t>
      </w:r>
      <w:r w:rsidR="007A6028" w:rsidRPr="00743A79">
        <w:fldChar w:fldCharType="end"/>
      </w:r>
      <w:r w:rsidR="007A6028" w:rsidRPr="007404CA">
        <w:t>).</w:t>
      </w:r>
      <w:r w:rsidR="003E1ED1" w:rsidRPr="007404CA">
        <w:t xml:space="preserve"> A recent UK study used </w:t>
      </w:r>
      <w:r w:rsidR="005E1EE8">
        <w:t xml:space="preserve">a </w:t>
      </w:r>
      <w:r w:rsidR="003E1ED1" w:rsidRPr="007404CA">
        <w:t xml:space="preserve">hybrid simulation </w:t>
      </w:r>
      <w:r w:rsidR="005E1EE8">
        <w:t>approach</w:t>
      </w:r>
      <w:r w:rsidR="003E1ED1" w:rsidRPr="007404CA">
        <w:t xml:space="preserve"> </w:t>
      </w:r>
      <w:r w:rsidR="005E1EE8">
        <w:t>in which</w:t>
      </w:r>
      <w:r w:rsidR="003E1ED1" w:rsidRPr="007404CA">
        <w:t xml:space="preserve"> SD </w:t>
      </w:r>
      <w:r w:rsidR="005E1EE8">
        <w:t xml:space="preserve">was used </w:t>
      </w:r>
      <w:r w:rsidR="003E1ED1" w:rsidRPr="007404CA">
        <w:t xml:space="preserve">to </w:t>
      </w:r>
      <w:r w:rsidR="005E1EE8">
        <w:t>represent</w:t>
      </w:r>
      <w:r w:rsidR="003E1ED1" w:rsidRPr="007404CA">
        <w:t xml:space="preserve"> the population</w:t>
      </w:r>
      <w:r w:rsidR="005E1EE8">
        <w:t>-</w:t>
      </w:r>
      <w:r w:rsidR="003E1ED1" w:rsidRPr="007404CA">
        <w:t>level effects</w:t>
      </w:r>
      <w:r w:rsidR="005E1EE8">
        <w:t>,</w:t>
      </w:r>
      <w:r w:rsidR="003E1ED1" w:rsidRPr="007404CA">
        <w:t xml:space="preserve"> and agent-based simulation for the patient</w:t>
      </w:r>
      <w:r w:rsidR="005E1EE8">
        <w:t>-</w:t>
      </w:r>
      <w:r w:rsidR="003E1ED1" w:rsidRPr="007404CA">
        <w:t>level characteristics</w:t>
      </w:r>
      <w:r w:rsidR="005E1EE8">
        <w:t>,</w:t>
      </w:r>
      <w:r w:rsidR="003E1ED1" w:rsidRPr="007404CA">
        <w:t xml:space="preserve"> </w:t>
      </w:r>
      <w:r w:rsidR="005E1EE8">
        <w:t>to model</w:t>
      </w:r>
      <w:r w:rsidR="003E1ED1" w:rsidRPr="007404CA">
        <w:t xml:space="preserve"> dementia in the over 65 population </w:t>
      </w:r>
      <w:r w:rsidR="003E1ED1" w:rsidRPr="00743A79">
        <w:fldChar w:fldCharType="begin"/>
      </w:r>
      <w:r w:rsidR="003E1ED1" w:rsidRPr="007404CA">
        <w:instrText xml:space="preserve"> ADDIN EN.CITE &lt;EndNote&gt;&lt;Cite&gt;&lt;Author&gt;Evenden&lt;/Author&gt;&lt;Year&gt;2021&lt;/Year&gt;&lt;RecNum&gt;27&lt;/RecNum&gt;&lt;DisplayText&gt;(Evenden et al., 2021)&lt;/DisplayText&gt;&lt;record&gt;&lt;rec-number&gt;27&lt;/rec-number&gt;&lt;foreign-keys&gt;&lt;key app="EN" db-id="0sxsezaf7atedqef9vk5drdt9xzpawp0w5rv" timestamp="1684398432"&gt;27&lt;/key&gt;&lt;/foreign-keys&gt;&lt;ref-type name="Journal Article"&gt;17&lt;/ref-type&gt;&lt;contributors&gt;&lt;authors&gt;&lt;author&gt;Evenden, D. C.&lt;/author&gt;&lt;author&gt;Brailsford, S. C.&lt;/author&gt;&lt;author&gt;Kipps, C. M.&lt;/author&gt;&lt;author&gt;Roderick, P. J.&lt;/author&gt;&lt;author&gt;Walsh, B.&lt;/author&gt;&lt;/authors&gt;&lt;/contributors&gt;&lt;titles&gt;&lt;title&gt;Hybrid simulation modelling for dementia care services planning&lt;/title&gt;&lt;secondary-title&gt;Journal of the Operational Research Society&lt;/secondary-title&gt;&lt;/titles&gt;&lt;periodical&gt;&lt;full-title&gt;Journal of the Operational Research Society&lt;/full-title&gt;&lt;/periodical&gt;&lt;pages&gt;2147-2159&lt;/pages&gt;&lt;volume&gt;72&lt;/volume&gt;&lt;number&gt;9&lt;/number&gt;&lt;dates&gt;&lt;year&gt;2021&lt;/year&gt;&lt;pub-dates&gt;&lt;date&gt;2021/09/02&lt;/date&gt;&lt;/pub-dates&gt;&lt;/dates&gt;&lt;publisher&gt;Taylor &amp;amp; Francis&lt;/publisher&gt;&lt;isbn&gt;0160-5682&lt;/isbn&gt;&lt;urls&gt;&lt;related-urls&gt;&lt;url&gt;https://doi.org/10.1080/01605682.2020.1772020&lt;/url&gt;&lt;/related-urls&gt;&lt;/urls&gt;&lt;electronic-resource-num&gt;10.1080/01605682.2020.1772020&lt;/electronic-resource-num&gt;&lt;/record&gt;&lt;/Cite&gt;&lt;/EndNote&gt;</w:instrText>
      </w:r>
      <w:r w:rsidR="003E1ED1" w:rsidRPr="00743A79">
        <w:fldChar w:fldCharType="separate"/>
      </w:r>
      <w:r w:rsidR="003E1ED1" w:rsidRPr="007404CA">
        <w:rPr>
          <w:noProof/>
        </w:rPr>
        <w:t>(Evenden et al., 2021)</w:t>
      </w:r>
      <w:r w:rsidR="003E1ED1" w:rsidRPr="00743A79">
        <w:fldChar w:fldCharType="end"/>
      </w:r>
      <w:r w:rsidR="003E1ED1" w:rsidRPr="007404CA">
        <w:t>.</w:t>
      </w:r>
      <w:r w:rsidR="00DE4819" w:rsidRPr="007404CA">
        <w:t xml:space="preserve"> Both dementia studies consider progression / transition to </w:t>
      </w:r>
      <w:r w:rsidR="005E1EE8">
        <w:t>more severe</w:t>
      </w:r>
      <w:r w:rsidR="00DE4819" w:rsidRPr="007404CA">
        <w:t xml:space="preserve"> state</w:t>
      </w:r>
      <w:r w:rsidR="005E1EE8">
        <w:t>s</w:t>
      </w:r>
      <w:r w:rsidR="00DE4819" w:rsidRPr="007404CA">
        <w:t xml:space="preserve"> of illness and include mechanisms to age the patients in the population</w:t>
      </w:r>
      <w:r w:rsidR="005E1EE8">
        <w:t xml:space="preserve">. </w:t>
      </w:r>
      <w:r w:rsidR="00DE4819" w:rsidRPr="007404CA">
        <w:t xml:space="preserve"> </w:t>
      </w:r>
      <w:r w:rsidR="005E1EE8">
        <w:t xml:space="preserve"> B</w:t>
      </w:r>
      <w:r w:rsidR="00DE4819" w:rsidRPr="007404CA">
        <w:t>oth promote the usefulness of SD in looking at population</w:t>
      </w:r>
      <w:r w:rsidR="005E1EE8">
        <w:t>-</w:t>
      </w:r>
      <w:r w:rsidR="00DE4819" w:rsidRPr="007404CA">
        <w:t>level outcome measures and care planning under different “what-if” scenarios.</w:t>
      </w:r>
    </w:p>
    <w:p w14:paraId="1F98E7B5" w14:textId="77777777" w:rsidR="001A1923" w:rsidRDefault="008F5059" w:rsidP="00A752C2">
      <w:r w:rsidRPr="007404CA">
        <w:tab/>
      </w:r>
    </w:p>
    <w:p w14:paraId="29775465" w14:textId="422EFC7C" w:rsidR="00A134E0" w:rsidRDefault="00CD668D">
      <w:pPr>
        <w:ind w:firstLine="720"/>
      </w:pPr>
      <w:r w:rsidRPr="007404CA">
        <w:lastRenderedPageBreak/>
        <w:t xml:space="preserve">To our knowledge there is an evidence gap in the literature concerning studies that use SD modelling with data from large longitudinal studies as an approach to understanding frailty at the population level. </w:t>
      </w:r>
      <w:r w:rsidRPr="008773BD">
        <w:t xml:space="preserve"> To date, </w:t>
      </w:r>
      <w:r w:rsidR="00233AC2">
        <w:t xml:space="preserve">only one report </w:t>
      </w:r>
      <w:r w:rsidRPr="008773BD">
        <w:t xml:space="preserve">that we have found uses SD in relation to frailty </w:t>
      </w:r>
      <w:r w:rsidR="00BA30E0">
        <w:t xml:space="preserve">and </w:t>
      </w:r>
      <w:r w:rsidRPr="008773BD">
        <w:t xml:space="preserve">was conducted by West Kent Local Care, in </w:t>
      </w:r>
      <w:r w:rsidR="005E1EE8">
        <w:t>associa</w:t>
      </w:r>
      <w:r w:rsidRPr="008773BD">
        <w:t xml:space="preserve">tion with Whole Systems </w:t>
      </w:r>
      <w:r w:rsidRPr="0020103E">
        <w:t xml:space="preserve">Partnerships, and </w:t>
      </w:r>
      <w:r w:rsidR="005E1EE8" w:rsidRPr="0020103E">
        <w:t>concerned</w:t>
      </w:r>
      <w:r w:rsidRPr="0020103E">
        <w:t xml:space="preserve"> the care needed for patients with frailty </w:t>
      </w:r>
      <w:r w:rsidR="00851863" w:rsidRPr="0020103E">
        <w:t xml:space="preserve">(defined as a patient having 6 or more disabilities and roughly equivalent to moderate / severe frailty in our study) </w:t>
      </w:r>
      <w:r w:rsidRPr="0020103E">
        <w:t>and complex needs in Kent and Medway, UK</w:t>
      </w:r>
      <w:r w:rsidR="00867E64" w:rsidRPr="0020103E">
        <w:t xml:space="preserve"> </w:t>
      </w:r>
      <w:r w:rsidR="00867E64" w:rsidRPr="00302F75">
        <w:fldChar w:fldCharType="begin"/>
      </w:r>
      <w:r w:rsidR="00786C8F" w:rsidRPr="0020103E">
        <w:instrText xml:space="preserve"> ADDIN EN.CITE &lt;EndNote&gt;&lt;Cite&gt;&lt;Author&gt;Whole System Partnership&lt;/Author&gt;&lt;Year&gt;2018&lt;/Year&gt;&lt;RecNum&gt;13&lt;/RecNum&gt;&lt;DisplayText&gt;(Whole System Partnership, 2018)&lt;/DisplayText&gt;&lt;record&gt;&lt;rec-number&gt;13&lt;/rec-number&gt;&lt;foreign-keys&gt;&lt;key app="EN" db-id="0sxsezaf7atedqef9vk5drdt9xzpawp0w5rv" timestamp="1684223886"&gt;13&lt;/key&gt;&lt;/foreign-keys&gt;&lt;ref-type name="Web Page"&gt;12&lt;/ref-type&gt;&lt;contributors&gt;&lt;authors&gt;&lt;author&gt;Whole System Partnership,&lt;/author&gt;&lt;/authors&gt;&lt;/contributors&gt;&lt;titles&gt;&lt;title&gt;System Dynamics in Healthcare&lt;/title&gt;&lt;/titles&gt;&lt;volume&gt;2021&lt;/volume&gt;&lt;number&gt;26/8/2021&lt;/number&gt;&lt;dates&gt;&lt;year&gt;2018&lt;/year&gt;&lt;/dates&gt;&lt;urls&gt;&lt;related-urls&gt;&lt;url&gt;https://www.thewholesystem.co.uk/wp-content/uploads/2019/01/SCIO-talk.pdf&lt;/url&gt;&lt;/related-urls&gt;&lt;/urls&gt;&lt;/record&gt;&lt;/Cite&gt;&lt;/EndNote&gt;</w:instrText>
      </w:r>
      <w:r w:rsidR="00867E64" w:rsidRPr="00302F75">
        <w:fldChar w:fldCharType="separate"/>
      </w:r>
      <w:r w:rsidR="00786C8F" w:rsidRPr="00A752C2">
        <w:t>(Whole System Partnership, 2018)</w:t>
      </w:r>
      <w:r w:rsidR="00867E64" w:rsidRPr="00302F75">
        <w:fldChar w:fldCharType="end"/>
      </w:r>
      <w:r w:rsidR="00867E64" w:rsidRPr="0020103E">
        <w:t>.</w:t>
      </w:r>
      <w:r w:rsidR="000967E0" w:rsidRPr="0020103E">
        <w:t xml:space="preserve"> The model considered the effect of different interventions such as multidisciplinary team (MDT) working in GP clusters and pre-hospital urgent care to avoid hospital admissions and reduce length of stay. </w:t>
      </w:r>
      <w:r w:rsidR="005E1EE8" w:rsidRPr="0020103E">
        <w:t>Th</w:t>
      </w:r>
      <w:r w:rsidR="000967E0" w:rsidRPr="0020103E">
        <w:t xml:space="preserve">e </w:t>
      </w:r>
      <w:r w:rsidR="005E1EE8" w:rsidRPr="0020103E">
        <w:t>model</w:t>
      </w:r>
      <w:r w:rsidR="000967E0" w:rsidRPr="0020103E">
        <w:t xml:space="preserve"> </w:t>
      </w:r>
      <w:r w:rsidR="00BD57B2" w:rsidRPr="0020103E">
        <w:t>consider</w:t>
      </w:r>
      <w:r w:rsidR="00673EFB" w:rsidRPr="0020103E">
        <w:t>ed</w:t>
      </w:r>
      <w:r w:rsidR="00BD57B2" w:rsidRPr="0020103E">
        <w:t xml:space="preserve"> </w:t>
      </w:r>
      <w:r w:rsidR="005E1EE8" w:rsidRPr="0020103E">
        <w:t>people aged</w:t>
      </w:r>
      <w:r w:rsidR="000967E0" w:rsidRPr="0020103E">
        <w:t xml:space="preserve"> </w:t>
      </w:r>
      <w:r w:rsidR="00BD57B2" w:rsidRPr="0020103E">
        <w:t>60+</w:t>
      </w:r>
      <w:r w:rsidR="00F27B9A" w:rsidRPr="0020103E">
        <w:t xml:space="preserve"> in 5-year age bands</w:t>
      </w:r>
      <w:r w:rsidR="000967E0" w:rsidRPr="0020103E">
        <w:t xml:space="preserve"> and focused on specific aspects of the healthcare system. </w:t>
      </w:r>
    </w:p>
    <w:p w14:paraId="67EFEEA3" w14:textId="03A7F768" w:rsidR="0020103E" w:rsidRDefault="0020103E" w:rsidP="004E7837">
      <w:pPr>
        <w:pStyle w:val="Heading2"/>
      </w:pPr>
      <w:bookmarkStart w:id="7" w:name="_Hlk158210744"/>
      <w:r>
        <w:t>Aim of this paper</w:t>
      </w:r>
    </w:p>
    <w:bookmarkEnd w:id="7"/>
    <w:p w14:paraId="2719486E" w14:textId="77777777" w:rsidR="004055A8" w:rsidRDefault="00753AAE" w:rsidP="00A752C2">
      <w:pPr>
        <w:ind w:firstLine="720"/>
      </w:pPr>
      <w:r>
        <w:t>Given findings of a prevalence of frailty of nearly 11% in people aged 50-64 and its impact on transitions to more severe frailty states</w:t>
      </w:r>
      <w:r w:rsidR="0095560C">
        <w:t xml:space="preserve"> </w:t>
      </w:r>
      <w:r w:rsidR="0095560C">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95560C">
        <w:fldChar w:fldCharType="separate"/>
      </w:r>
      <w:r w:rsidR="00F02A38">
        <w:rPr>
          <w:noProof/>
        </w:rPr>
        <w:t>(Walsh et al., 2023)</w:t>
      </w:r>
      <w:r w:rsidR="0095560C">
        <w:fldChar w:fldCharType="end"/>
      </w:r>
      <w:r>
        <w:t>, there is</w:t>
      </w:r>
      <w:r w:rsidR="00252B81">
        <w:t xml:space="preserve"> </w:t>
      </w:r>
      <w:r>
        <w:t xml:space="preserve">therefore a need to develop a model which can be used to examine frailty within an ageing population. </w:t>
      </w:r>
      <w:bookmarkStart w:id="8" w:name="_Hlk142407084"/>
      <w:bookmarkStart w:id="9" w:name="_Hlk158210845"/>
      <w:r w:rsidR="00A134E0">
        <w:t xml:space="preserve">This paper </w:t>
      </w:r>
      <w:r w:rsidR="000967E0" w:rsidRPr="006C64FC">
        <w:t>describe</w:t>
      </w:r>
      <w:r w:rsidR="002B23F4">
        <w:t>s</w:t>
      </w:r>
      <w:r w:rsidR="000967E0" w:rsidRPr="006C64FC">
        <w:t xml:space="preserve"> </w:t>
      </w:r>
      <w:r w:rsidR="00A134E0">
        <w:t xml:space="preserve">the </w:t>
      </w:r>
      <w:r w:rsidR="000967E0" w:rsidRPr="006C64FC">
        <w:t>development and validation of a</w:t>
      </w:r>
      <w:r w:rsidR="000A2777">
        <w:t>n</w:t>
      </w:r>
      <w:r w:rsidR="000967E0" w:rsidRPr="006C64FC">
        <w:t xml:space="preserve"> SD </w:t>
      </w:r>
      <w:r w:rsidR="006961C6" w:rsidRPr="00B874ED">
        <w:t>stock-flow</w:t>
      </w:r>
      <w:r w:rsidR="006961C6" w:rsidRPr="00F84EC4">
        <w:rPr>
          <w:color w:val="FF0000"/>
        </w:rPr>
        <w:t xml:space="preserve"> </w:t>
      </w:r>
      <w:r w:rsidR="000967E0" w:rsidRPr="006C64FC">
        <w:t xml:space="preserve">model representing frailty onset and progression in </w:t>
      </w:r>
      <w:r w:rsidR="00397245" w:rsidRPr="006C64FC">
        <w:t>people aged ≥50</w:t>
      </w:r>
      <w:r w:rsidR="007D56AC">
        <w:t xml:space="preserve"> </w:t>
      </w:r>
      <w:r w:rsidR="00330578" w:rsidRPr="006C64FC">
        <w:t>years</w:t>
      </w:r>
      <w:r w:rsidR="000967E0" w:rsidRPr="006C64FC">
        <w:t>, stratified by age</w:t>
      </w:r>
      <w:r w:rsidR="002B23F4">
        <w:t xml:space="preserve">. </w:t>
      </w:r>
      <w:r w:rsidR="000967E0" w:rsidRPr="006C64FC">
        <w:t xml:space="preserve"> </w:t>
      </w:r>
      <w:bookmarkStart w:id="10" w:name="_Hlk157678478"/>
      <w:r w:rsidR="002B23F4" w:rsidRPr="00ED7B92">
        <w:t xml:space="preserve">The </w:t>
      </w:r>
      <w:r w:rsidR="002B23F4">
        <w:t xml:space="preserve">purpose of the </w:t>
      </w:r>
      <w:r w:rsidR="002B23F4" w:rsidRPr="00ED7B92">
        <w:t xml:space="preserve">model </w:t>
      </w:r>
      <w:r w:rsidR="002B23F4">
        <w:t xml:space="preserve">was to </w:t>
      </w:r>
      <w:r w:rsidR="002B23F4" w:rsidRPr="00ED7B92">
        <w:t>estimate the incidence and prevalence of frailty in an ageing population over time</w:t>
      </w:r>
      <w:r w:rsidR="001A1923">
        <w:t xml:space="preserve">. </w:t>
      </w:r>
      <w:r w:rsidR="00917CCC">
        <w:t xml:space="preserve"> </w:t>
      </w:r>
      <w:r w:rsidR="001A1923" w:rsidRPr="00B874ED">
        <w:t>Further research will</w:t>
      </w:r>
      <w:r w:rsidR="00917CCC" w:rsidRPr="00B874ED">
        <w:t xml:space="preserve"> consider </w:t>
      </w:r>
      <w:r w:rsidR="00D263AF" w:rsidRPr="00B874ED">
        <w:t xml:space="preserve">the associated health care demand and </w:t>
      </w:r>
      <w:r w:rsidR="00917CCC" w:rsidRPr="00B874ED">
        <w:t>workforce planning needed fo</w:t>
      </w:r>
      <w:r w:rsidR="00917CCC">
        <w:t>r health and social care</w:t>
      </w:r>
      <w:r w:rsidR="000373BE">
        <w:t xml:space="preserve"> provision </w:t>
      </w:r>
      <w:r w:rsidR="00843D11">
        <w:t>for</w:t>
      </w:r>
      <w:r w:rsidR="000373BE">
        <w:t xml:space="preserve"> people living with frailty</w:t>
      </w:r>
      <w:bookmarkEnd w:id="8"/>
      <w:r w:rsidR="002B23F4" w:rsidRPr="00ED7B92">
        <w:t xml:space="preserve">. </w:t>
      </w:r>
      <w:bookmarkEnd w:id="9"/>
      <w:bookmarkEnd w:id="10"/>
      <w:r w:rsidR="00655B1F">
        <w:t>With the recent publication of the NHS workforce plan</w:t>
      </w:r>
      <w:r w:rsidR="00F45221">
        <w:t xml:space="preserve"> </w:t>
      </w:r>
      <w:r w:rsidR="00F45221">
        <w:fldChar w:fldCharType="begin"/>
      </w:r>
      <w:r w:rsidR="00F45221">
        <w:instrText xml:space="preserve"> ADDIN EN.CITE &lt;EndNote&gt;&lt;Cite&gt;&lt;Author&gt;National Health Service (NHS)&lt;/Author&gt;&lt;Year&gt;2023&lt;/Year&gt;&lt;RecNum&gt;89&lt;/RecNum&gt;&lt;DisplayText&gt;(National Health Service (NHS), 2023b)&lt;/DisplayText&gt;&lt;record&gt;&lt;rec-number&gt;89&lt;/rec-number&gt;&lt;foreign-keys&gt;&lt;key app="EN" db-id="0sxsezaf7atedqef9vk5drdt9xzpawp0w5rv" timestamp="1689609348"&gt;89&lt;/key&gt;&lt;/foreign-keys&gt;&lt;ref-type name="Report"&gt;27&lt;/ref-type&gt;&lt;contributors&gt;&lt;authors&gt;&lt;author&gt;National Health Service (NHS),&lt;/author&gt;&lt;/authors&gt;&lt;/contributors&gt;&lt;titles&gt;&lt;title&gt;NHS Long Term Workforce Plan&lt;/title&gt;&lt;/titles&gt;&lt;dates&gt;&lt;year&gt;2023&lt;/year&gt;&lt;pub-dates&gt;&lt;date&gt;June 2023&lt;/date&gt;&lt;/pub-dates&gt;&lt;/dates&gt;&lt;urls&gt;&lt;/urls&gt;&lt;/record&gt;&lt;/Cite&gt;&lt;/EndNote&gt;</w:instrText>
      </w:r>
      <w:r w:rsidR="00F45221">
        <w:fldChar w:fldCharType="separate"/>
      </w:r>
      <w:r w:rsidR="00F45221">
        <w:rPr>
          <w:noProof/>
        </w:rPr>
        <w:t>(National Health Service (NHS), 2023b)</w:t>
      </w:r>
      <w:r w:rsidR="00F45221">
        <w:fldChar w:fldCharType="end"/>
      </w:r>
      <w:r w:rsidR="00655B1F">
        <w:t xml:space="preserve">, the model developed in this study may prove useful in providing clinicians and planners with some of the missing pieces of the jigsaw </w:t>
      </w:r>
      <w:r w:rsidR="00655B1F">
        <w:fldChar w:fldCharType="begin"/>
      </w:r>
      <w:r w:rsidR="00655B1F">
        <w:instrText xml:space="preserve"> ADDIN EN.CITE &lt;EndNote&gt;&lt;Cite&gt;&lt;Author&gt;Palmer&lt;/Author&gt;&lt;Year&gt;2023&lt;/Year&gt;&lt;RecNum&gt;97&lt;/RecNum&gt;&lt;DisplayText&gt;(Palmer &amp;amp; Rosen, 2023)&lt;/DisplayText&gt;&lt;record&gt;&lt;rec-number&gt;97&lt;/rec-number&gt;&lt;foreign-keys&gt;&lt;key app="EN" db-id="0sxsezaf7atedqef9vk5drdt9xzpawp0w5rv" timestamp="1690980370"&gt;97&lt;/key&gt;&lt;/foreign-keys&gt;&lt;ref-type name="Journal Article"&gt;17&lt;/ref-type&gt;&lt;contributors&gt;&lt;authors&gt;&lt;author&gt;Palmer, William L&lt;/author&gt;&lt;author&gt;Rosen, Rebecca&lt;/author&gt;&lt;/authors&gt;&lt;/contributors&gt;&lt;titles&gt;&lt;title&gt;The NHS workforce plan&lt;/title&gt;&lt;secondary-title&gt;BMJ&lt;/secondary-title&gt;&lt;/titles&gt;&lt;periodical&gt;&lt;full-title&gt;Bmj&lt;/full-title&gt;&lt;/periodical&gt;&lt;pages&gt;p1577&lt;/pages&gt;&lt;volume&gt;382&lt;/volume&gt;&lt;dates&gt;&lt;year&gt;2023&lt;/year&gt;&lt;/dates&gt;&lt;urls&gt;&lt;related-urls&gt;&lt;url&gt;https://www.bmj.com/content/bmj/382/bmj.p1577.full.pdf&lt;/url&gt;&lt;/related-urls&gt;&lt;/urls&gt;&lt;electronic-resource-num&gt;10.1136/bmj.p1577&lt;/electronic-resource-num&gt;&lt;/record&gt;&lt;/Cite&gt;&lt;/EndNote&gt;</w:instrText>
      </w:r>
      <w:r w:rsidR="00655B1F">
        <w:fldChar w:fldCharType="separate"/>
      </w:r>
      <w:r w:rsidR="00655B1F">
        <w:rPr>
          <w:noProof/>
        </w:rPr>
        <w:t>(Palmer &amp; Rosen, 2023)</w:t>
      </w:r>
      <w:r w:rsidR="00655B1F">
        <w:fldChar w:fldCharType="end"/>
      </w:r>
      <w:r w:rsidR="00655B1F">
        <w:t xml:space="preserve"> such as an estimate of the number of people living with frailty that need health and social care services in the next 10 to 15 years and the associated workforce and training needs. </w:t>
      </w:r>
      <w:r w:rsidR="002B23F4">
        <w:t>The</w:t>
      </w:r>
      <w:r w:rsidR="002B080C" w:rsidRPr="00BF24F1">
        <w:t xml:space="preserve"> development of th</w:t>
      </w:r>
      <w:r w:rsidR="0075669A">
        <w:t>is</w:t>
      </w:r>
      <w:r w:rsidR="002B080C" w:rsidRPr="00BF24F1">
        <w:t xml:space="preserve"> model </w:t>
      </w:r>
      <w:r w:rsidR="00A134E0">
        <w:t>wa</w:t>
      </w:r>
      <w:r w:rsidR="002B080C" w:rsidRPr="00BF24F1">
        <w:t>s part of a larger study</w:t>
      </w:r>
      <w:r w:rsidR="0032014A">
        <w:t xml:space="preserve"> </w:t>
      </w:r>
      <w:r w:rsidR="0032014A" w:rsidRPr="00837A65">
        <w:t>entitled Frailty Dynamics</w:t>
      </w:r>
      <w:r w:rsidR="0032014A" w:rsidRPr="00A752C2">
        <w:rPr>
          <w:color w:val="FF0000"/>
        </w:rPr>
        <w:t xml:space="preserve"> </w:t>
      </w:r>
      <w:r w:rsidR="002B080C" w:rsidRPr="00A752C2">
        <w:rPr>
          <w:color w:val="FF0000"/>
        </w:rPr>
        <w:t xml:space="preserve"> </w:t>
      </w:r>
      <w:r w:rsidR="0055419E">
        <w:t>(</w:t>
      </w:r>
      <w:r w:rsidR="0055419E" w:rsidRPr="006407A6">
        <w:t>National Institute for Health and Care Research (NIHR) Health and Social Care Delivery Research (HSDR)  16_116_43</w:t>
      </w:r>
      <w:r w:rsidR="0055419E">
        <w:t xml:space="preserve">) </w:t>
      </w:r>
      <w:r w:rsidR="002B080C" w:rsidRPr="00BF24F1">
        <w:t>wh</w:t>
      </w:r>
      <w:r w:rsidR="004C735B">
        <w:t>ose</w:t>
      </w:r>
      <w:r w:rsidR="002B080C" w:rsidRPr="00BF24F1">
        <w:t xml:space="preserve"> aim</w:t>
      </w:r>
      <w:r w:rsidR="004C735B">
        <w:t xml:space="preserve"> was</w:t>
      </w:r>
      <w:r w:rsidR="002B080C" w:rsidRPr="00BF24F1">
        <w:t xml:space="preserve"> to describe the dynamics of frailty in the </w:t>
      </w:r>
      <w:r w:rsidR="00586558" w:rsidRPr="00BF24F1">
        <w:t xml:space="preserve">older </w:t>
      </w:r>
      <w:r w:rsidR="002B080C" w:rsidRPr="00BF24F1">
        <w:t>adult population</w:t>
      </w:r>
      <w:r w:rsidR="0075669A">
        <w:t>,</w:t>
      </w:r>
      <w:r w:rsidR="002B080C" w:rsidRPr="00BF24F1">
        <w:t xml:space="preserve"> and its impact on patients and health care services, to inform the commissioning and service development of future services</w:t>
      </w:r>
      <w:r w:rsidR="00FA1A84" w:rsidRPr="00BF24F1">
        <w:t xml:space="preserve"> </w:t>
      </w:r>
      <w:r w:rsidR="00FA1A84" w:rsidRPr="00BF24F1">
        <w:fldChar w:fldCharType="begin"/>
      </w:r>
      <w:r w:rsidR="00472A52">
        <w:instrText xml:space="preserve"> ADDIN EN.CITE &lt;EndNote&gt;&lt;Cite&gt;&lt;Author&gt;Fogg&lt;/Author&gt;&lt;Year&gt;2022&lt;/Year&gt;&lt;RecNum&gt;30&lt;/RecNum&gt;&lt;DisplayText&gt;(Fogg et al., 2022)&lt;/DisplayText&gt;&lt;record&gt;&lt;rec-number&gt;30&lt;/rec-number&gt;&lt;foreign-keys&gt;&lt;key app="EN" db-id="0sxsezaf7atedqef9vk5drdt9xzpawp0w5rv" timestamp="1684434629"&gt;30&lt;/key&gt;&lt;/foreign-keys&gt;&lt;ref-type name="Journal Article"&gt;17&lt;/ref-type&gt;&lt;contributors&gt;&lt;authors&gt;&lt;author&gt;Fogg, Carole&lt;/author&gt;&lt;author&gt;Fraser, Simon D. S.&lt;/author&gt;&lt;author&gt;Roderick, Paul&lt;/author&gt;&lt;author&gt;de Lusignan, Simon&lt;/author&gt;&lt;author&gt;Clegg, Andrew&lt;/author&gt;&lt;author&gt;Brailsford, Sally&lt;/author&gt;&lt;author&gt;Barkham, Abigail&lt;/author&gt;&lt;author&gt;Patel, Harnish P.&lt;/author&gt;&lt;author&gt;Windle, Vivienne&lt;/author&gt;&lt;author&gt;Harris, Scott&lt;/author&gt;&lt;author&gt;Zhu, Shihua&lt;/author&gt;&lt;author&gt;England, Tracey&lt;/author&gt;&lt;author&gt;Evenden, Dave&lt;/author&gt;&lt;author&gt;Lambert, Francesca&lt;/author&gt;&lt;author&gt;Walsh, Bronagh&lt;/author&gt;&lt;author&gt;The Frailty Dynamics study, team&lt;/author&gt;&lt;/authors&gt;&lt;/contributors&gt;&lt;titles&gt;&lt;title&gt;The dynamics of frailty development and progression in older adults in primary care in England (2006–2017): a retrospective cohort profile&lt;/title&gt;&lt;secondary-title&gt;BMC Geriatrics&lt;/secondary-title&gt;&lt;/titles&gt;&lt;periodical&gt;&lt;full-title&gt;BMC Geriatrics&lt;/full-title&gt;&lt;/periodical&gt;&lt;pages&gt;30&lt;/pages&gt;&lt;volume&gt;22&lt;/volume&gt;&lt;number&gt;1&lt;/number&gt;&lt;dates&gt;&lt;year&gt;2022&lt;/year&gt;&lt;pub-dates&gt;&lt;date&gt;2022/01/06&lt;/date&gt;&lt;/pub-dates&gt;&lt;/dates&gt;&lt;isbn&gt;1471-2318&lt;/isbn&gt;&lt;urls&gt;&lt;related-urls&gt;&lt;url&gt;https://doi.org/10.1186/s12877-021-02684-y&lt;/url&gt;&lt;/related-urls&gt;&lt;/urls&gt;&lt;electronic-resource-num&gt;10.1186/s12877-021-02684-y&lt;/electronic-resource-num&gt;&lt;/record&gt;&lt;/Cite&gt;&lt;/EndNote&gt;</w:instrText>
      </w:r>
      <w:r w:rsidR="00FA1A84" w:rsidRPr="00BF24F1">
        <w:fldChar w:fldCharType="separate"/>
      </w:r>
      <w:r w:rsidR="00472A52">
        <w:rPr>
          <w:noProof/>
        </w:rPr>
        <w:t>(Fogg et al., 2022)</w:t>
      </w:r>
      <w:r w:rsidR="00FA1A84" w:rsidRPr="00BF24F1">
        <w:fldChar w:fldCharType="end"/>
      </w:r>
      <w:r w:rsidR="00FA1A84" w:rsidRPr="00BF24F1">
        <w:t>.</w:t>
      </w:r>
      <w:r w:rsidR="00D613AF" w:rsidRPr="00BF24F1">
        <w:t xml:space="preserve"> Th</w:t>
      </w:r>
      <w:r w:rsidR="004C735B">
        <w:t>is</w:t>
      </w:r>
      <w:r w:rsidR="00D613AF" w:rsidRPr="00BF24F1">
        <w:t xml:space="preserve"> wider study provided data on the epidemiology of frailty</w:t>
      </w:r>
      <w:r w:rsidR="00A9306F">
        <w:t xml:space="preserve"> </w:t>
      </w:r>
      <w:r w:rsidR="00A9306F" w:rsidRPr="00BF24F1">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A9306F" w:rsidRPr="00BF24F1">
        <w:fldChar w:fldCharType="separate"/>
      </w:r>
      <w:r w:rsidR="00F02A38">
        <w:rPr>
          <w:noProof/>
        </w:rPr>
        <w:t>(Walsh et al., 2023)</w:t>
      </w:r>
      <w:r w:rsidR="00A9306F" w:rsidRPr="00BF24F1">
        <w:fldChar w:fldCharType="end"/>
      </w:r>
      <w:r w:rsidR="00D613AF" w:rsidRPr="00BF24F1">
        <w:t xml:space="preserve">, obtained through analysis of a large, routine primary care dataset, </w:t>
      </w:r>
      <w:r w:rsidR="000B3D7F">
        <w:t xml:space="preserve">provided by </w:t>
      </w:r>
      <w:r w:rsidR="000B3D7F" w:rsidRPr="00BF24F1">
        <w:t xml:space="preserve">the Royal College of General Practitioners </w:t>
      </w:r>
      <w:r w:rsidR="009A78DB" w:rsidRPr="00BF24F1">
        <w:t>(RCGP</w:t>
      </w:r>
      <w:r w:rsidR="009A78DB">
        <w:t>)</w:t>
      </w:r>
      <w:r w:rsidR="009A78DB" w:rsidRPr="00BF24F1">
        <w:t xml:space="preserve"> </w:t>
      </w:r>
      <w:r w:rsidR="000B3D7F" w:rsidRPr="00BF24F1">
        <w:t xml:space="preserve">Research and Surveillance Centre </w:t>
      </w:r>
      <w:r w:rsidR="009A78DB">
        <w:t>(</w:t>
      </w:r>
      <w:r w:rsidR="000B3D7F" w:rsidRPr="00BF24F1">
        <w:t>RSC)</w:t>
      </w:r>
      <w:r w:rsidR="00A9306F">
        <w:t xml:space="preserve">.  This dataset was used to estimate the </w:t>
      </w:r>
      <w:r w:rsidR="00594FF0">
        <w:t xml:space="preserve">original </w:t>
      </w:r>
      <w:r w:rsidR="00A9306F">
        <w:t xml:space="preserve">model </w:t>
      </w:r>
      <w:r w:rsidR="00D613AF" w:rsidRPr="00BF24F1">
        <w:t>parameters</w:t>
      </w:r>
      <w:r w:rsidR="00A9306F">
        <w:t>.</w:t>
      </w:r>
      <w:r w:rsidR="00D613AF" w:rsidRPr="00BF24F1">
        <w:t xml:space="preserve"> </w:t>
      </w:r>
      <w:r w:rsidR="00504AC0" w:rsidRPr="00BF24F1">
        <w:t xml:space="preserve">Extensive stakeholder engagement exploring patient/carer and professional experience also informed the model structure and </w:t>
      </w:r>
      <w:r w:rsidR="005E1EE8">
        <w:t>the choice of experimental</w:t>
      </w:r>
      <w:r w:rsidR="00504AC0" w:rsidRPr="00BF24F1">
        <w:t xml:space="preserve"> scenarios. </w:t>
      </w:r>
    </w:p>
    <w:p w14:paraId="0F0AB119" w14:textId="3CC2693F" w:rsidR="002B080C" w:rsidRPr="00C44C12" w:rsidRDefault="004055A8" w:rsidP="00A752C2">
      <w:pPr>
        <w:ind w:firstLine="720"/>
      </w:pPr>
      <w:r>
        <w:rPr>
          <w:color w:val="FF0000"/>
        </w:rPr>
        <w:lastRenderedPageBreak/>
        <w:t xml:space="preserve">The remainder of this paper is structured as follows.  Section 2 (Materials and Methods) describes the model, the data, and the processes of stakeholder engagement, verification and validation. Section 3 presents the results </w:t>
      </w:r>
      <w:r w:rsidR="00F30155">
        <w:rPr>
          <w:color w:val="FF0000"/>
        </w:rPr>
        <w:t xml:space="preserve">from running the England-wide model for 2006-27, </w:t>
      </w:r>
      <w:r>
        <w:rPr>
          <w:color w:val="FF0000"/>
        </w:rPr>
        <w:t>while Section 4 discusses the</w:t>
      </w:r>
      <w:r w:rsidR="00F30155">
        <w:rPr>
          <w:color w:val="FF0000"/>
        </w:rPr>
        <w:t xml:space="preserve"> implications of these results, the limitations of the model, the benefits and challenges</w:t>
      </w:r>
      <w:r w:rsidR="00F30155" w:rsidRPr="00F30155">
        <w:t xml:space="preserve"> </w:t>
      </w:r>
      <w:r w:rsidR="00F30155" w:rsidRPr="00F30155">
        <w:rPr>
          <w:color w:val="FF0000"/>
        </w:rPr>
        <w:t>of using large routine health datasets</w:t>
      </w:r>
      <w:r w:rsidR="00F30155">
        <w:rPr>
          <w:color w:val="FF0000"/>
        </w:rPr>
        <w:t xml:space="preserve"> for modelling, and ongoing future research.    </w:t>
      </w:r>
      <w:r>
        <w:rPr>
          <w:color w:val="FF0000"/>
        </w:rPr>
        <w:t xml:space="preserve">   </w:t>
      </w:r>
      <w:r>
        <w:t xml:space="preserve"> </w:t>
      </w:r>
    </w:p>
    <w:p w14:paraId="60F2A04A" w14:textId="1FA495D6" w:rsidR="00D3253D" w:rsidRPr="00D3253D" w:rsidRDefault="00D3253D" w:rsidP="004055A8">
      <w:pPr>
        <w:pStyle w:val="Heading1"/>
      </w:pPr>
      <w:r w:rsidRPr="00D3253D">
        <w:t>Materials and Methods</w:t>
      </w:r>
    </w:p>
    <w:p w14:paraId="1F152692" w14:textId="6B8AE04A" w:rsidR="00A37EB9" w:rsidRPr="00C44C12" w:rsidRDefault="00040831" w:rsidP="004E7837">
      <w:pPr>
        <w:pStyle w:val="Heading2"/>
        <w:numPr>
          <w:ilvl w:val="1"/>
          <w:numId w:val="11"/>
        </w:numPr>
      </w:pPr>
      <w:r>
        <w:t>The system dynamics m</w:t>
      </w:r>
      <w:r w:rsidR="002B23F4">
        <w:t xml:space="preserve">odel </w:t>
      </w:r>
    </w:p>
    <w:p w14:paraId="3AB83042" w14:textId="30328E17" w:rsidR="007B1980" w:rsidRPr="00837A65" w:rsidRDefault="007B1980" w:rsidP="00A752C2">
      <w:pPr>
        <w:ind w:firstLine="720"/>
      </w:pPr>
      <w:bookmarkStart w:id="11" w:name="_Hlk157682673"/>
      <w:r w:rsidRPr="00837A65">
        <w:t xml:space="preserve">The model is a </w:t>
      </w:r>
      <w:r w:rsidR="007D57E8" w:rsidRPr="00837A65">
        <w:t xml:space="preserve">quantitative, </w:t>
      </w:r>
      <w:r w:rsidRPr="00837A65">
        <w:t xml:space="preserve">data-driven stock-flow model representing flows of people between different age/frailty compartments.  The transition rates between compartments were derived from the datasets described in the Data section below.   </w:t>
      </w:r>
    </w:p>
    <w:bookmarkEnd w:id="11"/>
    <w:p w14:paraId="48A13E83" w14:textId="2AC4CCE2" w:rsidR="00F54B51" w:rsidRPr="005B5328" w:rsidRDefault="000F09B5" w:rsidP="00A752C2">
      <w:pPr>
        <w:ind w:firstLine="720"/>
      </w:pPr>
      <w:r>
        <w:t>The</w:t>
      </w:r>
      <w:r w:rsidR="00093E17">
        <w:t xml:space="preserve"> </w:t>
      </w:r>
      <w:r w:rsidR="00DF27A1">
        <w:t xml:space="preserve">study </w:t>
      </w:r>
      <w:r w:rsidR="008F5950" w:rsidRPr="005B5328">
        <w:t>population</w:t>
      </w:r>
      <w:r w:rsidR="008276CD" w:rsidRPr="005B5328">
        <w:t xml:space="preserve"> </w:t>
      </w:r>
      <w:r w:rsidR="00DF27A1">
        <w:t>wa</w:t>
      </w:r>
      <w:r>
        <w:t xml:space="preserve">s divided </w:t>
      </w:r>
      <w:r w:rsidR="008F5950" w:rsidRPr="005B5328">
        <w:t>into four age groups</w:t>
      </w:r>
      <w:r w:rsidR="00093E17">
        <w:t>,</w:t>
      </w:r>
      <w:r w:rsidR="008F5950" w:rsidRPr="005B5328">
        <w:t xml:space="preserve"> reflecting the groupings reported in </w:t>
      </w:r>
      <w:r w:rsidR="008F5950" w:rsidRPr="00782B8B">
        <w:t>literature relating to older adults’ healthcare</w:t>
      </w:r>
      <w:r w:rsidR="00D367D7" w:rsidRPr="00782B8B">
        <w:t xml:space="preserve"> service provision</w:t>
      </w:r>
      <w:r w:rsidR="008F5950" w:rsidRPr="00782B8B">
        <w:t>: 50-64, 65-74, 75-84 and ≥85 (</w:t>
      </w:r>
      <w:r w:rsidR="008F5950" w:rsidRPr="00782B8B">
        <w:fldChar w:fldCharType="begin"/>
      </w:r>
      <w:r w:rsidR="00472A52" w:rsidRPr="00782B8B">
        <w:instrText xml:space="preserve"> ADDIN EN.CITE &lt;EndNote&gt;&lt;Cite&gt;&lt;Author&gt;Fogg&lt;/Author&gt;&lt;Year&gt;2022&lt;/Year&gt;&lt;RecNum&gt;30&lt;/RecNum&gt;&lt;DisplayText&gt;(Fogg et al., 2022)&lt;/DisplayText&gt;&lt;record&gt;&lt;rec-number&gt;30&lt;/rec-number&gt;&lt;foreign-keys&gt;&lt;key app="EN" db-id="0sxsezaf7atedqef9vk5drdt9xzpawp0w5rv" timestamp="1684434629"&gt;30&lt;/key&gt;&lt;/foreign-keys&gt;&lt;ref-type name="Journal Article"&gt;17&lt;/ref-type&gt;&lt;contributors&gt;&lt;authors&gt;&lt;author&gt;Fogg, Carole&lt;/author&gt;&lt;author&gt;Fraser, Simon D. S.&lt;/author&gt;&lt;author&gt;Roderick, Paul&lt;/author&gt;&lt;author&gt;de Lusignan, Simon&lt;/author&gt;&lt;author&gt;Clegg, Andrew&lt;/author&gt;&lt;author&gt;Brailsford, Sally&lt;/author&gt;&lt;author&gt;Barkham, Abigail&lt;/author&gt;&lt;author&gt;Patel, Harnish P.&lt;/author&gt;&lt;author&gt;Windle, Vivienne&lt;/author&gt;&lt;author&gt;Harris, Scott&lt;/author&gt;&lt;author&gt;Zhu, Shihua&lt;/author&gt;&lt;author&gt;England, Tracey&lt;/author&gt;&lt;author&gt;Evenden, Dave&lt;/author&gt;&lt;author&gt;Lambert, Francesca&lt;/author&gt;&lt;author&gt;Walsh, Bronagh&lt;/author&gt;&lt;author&gt;The Frailty Dynamics study, team&lt;/author&gt;&lt;/authors&gt;&lt;/contributors&gt;&lt;titles&gt;&lt;title&gt;The dynamics of frailty development and progression in older adults in primary care in England (2006–2017): a retrospective cohort profile&lt;/title&gt;&lt;secondary-title&gt;BMC Geriatrics&lt;/secondary-title&gt;&lt;/titles&gt;&lt;periodical&gt;&lt;full-title&gt;BMC Geriatrics&lt;/full-title&gt;&lt;/periodical&gt;&lt;pages&gt;30&lt;/pages&gt;&lt;volume&gt;22&lt;/volume&gt;&lt;number&gt;1&lt;/number&gt;&lt;dates&gt;&lt;year&gt;2022&lt;/year&gt;&lt;pub-dates&gt;&lt;date&gt;2022/01/06&lt;/date&gt;&lt;/pub-dates&gt;&lt;/dates&gt;&lt;isbn&gt;1471-2318&lt;/isbn&gt;&lt;urls&gt;&lt;related-urls&gt;&lt;url&gt;https://doi.org/10.1186/s12877-021-02684-y&lt;/url&gt;&lt;/related-urls&gt;&lt;/urls&gt;&lt;electronic-resource-num&gt;10.1186/s12877-021-02684-y&lt;/electronic-resource-num&gt;&lt;/record&gt;&lt;/Cite&gt;&lt;/EndNote&gt;</w:instrText>
      </w:r>
      <w:r w:rsidR="008F5950" w:rsidRPr="00782B8B">
        <w:fldChar w:fldCharType="separate"/>
      </w:r>
      <w:r w:rsidR="00472A52" w:rsidRPr="00782B8B">
        <w:rPr>
          <w:noProof/>
        </w:rPr>
        <w:t>(Fogg et al., 2022)</w:t>
      </w:r>
      <w:r w:rsidR="008F5950" w:rsidRPr="00782B8B">
        <w:fldChar w:fldCharType="end"/>
      </w:r>
      <w:r w:rsidR="008F5950" w:rsidRPr="00782B8B">
        <w:t xml:space="preserve">, </w:t>
      </w:r>
      <w:r w:rsidR="008F5950" w:rsidRPr="00782B8B">
        <w:fldChar w:fldCharType="begin"/>
      </w:r>
      <w:r w:rsidR="00F02A38" w:rsidRPr="00782B8B">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8F5950" w:rsidRPr="00782B8B">
        <w:fldChar w:fldCharType="separate"/>
      </w:r>
      <w:r w:rsidR="00F02A38" w:rsidRPr="00782B8B">
        <w:rPr>
          <w:noProof/>
        </w:rPr>
        <w:t>(Walsh et al., 2023)</w:t>
      </w:r>
      <w:r w:rsidR="008F5950" w:rsidRPr="00782B8B">
        <w:fldChar w:fldCharType="end"/>
      </w:r>
      <w:r w:rsidR="008F5950" w:rsidRPr="00782B8B">
        <w:t>)</w:t>
      </w:r>
      <w:r w:rsidR="00122E84">
        <w:t xml:space="preserve">. </w:t>
      </w:r>
      <w:r w:rsidR="00542D43">
        <w:t xml:space="preserve"> </w:t>
      </w:r>
      <w:bookmarkStart w:id="12" w:name="_Hlk183171226"/>
      <w:r w:rsidR="00122E84" w:rsidRPr="00542D43">
        <w:rPr>
          <w:color w:val="FF0000"/>
        </w:rPr>
        <w:t>This approach</w:t>
      </w:r>
      <w:r w:rsidR="00542D43" w:rsidRPr="00542D43">
        <w:rPr>
          <w:color w:val="FF0000"/>
        </w:rPr>
        <w:t xml:space="preserve">, which </w:t>
      </w:r>
      <w:proofErr w:type="gramStart"/>
      <w:r w:rsidR="00542D43" w:rsidRPr="00542D43">
        <w:rPr>
          <w:color w:val="FF0000"/>
        </w:rPr>
        <w:t xml:space="preserve">follows </w:t>
      </w:r>
      <w:r w:rsidR="00122E84" w:rsidRPr="00542D43">
        <w:rPr>
          <w:color w:val="FF0000"/>
        </w:rPr>
        <w:t xml:space="preserve"> </w:t>
      </w:r>
      <w:r w:rsidR="00542D43" w:rsidRPr="00542D43">
        <w:rPr>
          <w:noProof/>
          <w:color w:val="FF0000"/>
        </w:rPr>
        <w:t>Evenden</w:t>
      </w:r>
      <w:proofErr w:type="gramEnd"/>
      <w:r w:rsidR="00542D43" w:rsidRPr="00542D43">
        <w:rPr>
          <w:noProof/>
          <w:color w:val="FF0000"/>
        </w:rPr>
        <w:t xml:space="preserve"> et al. </w:t>
      </w:r>
      <w:r w:rsidR="00542D43">
        <w:rPr>
          <w:noProof/>
          <w:color w:val="FF0000"/>
        </w:rPr>
        <w:t>(</w:t>
      </w:r>
      <w:r w:rsidR="00542D43" w:rsidRPr="00542D43">
        <w:rPr>
          <w:noProof/>
          <w:color w:val="FF0000"/>
        </w:rPr>
        <w:t>2021</w:t>
      </w:r>
      <w:r w:rsidR="00542D43">
        <w:rPr>
          <w:noProof/>
          <w:color w:val="FF0000"/>
        </w:rPr>
        <w:t>)</w:t>
      </w:r>
      <w:r w:rsidR="00542D43" w:rsidRPr="00542D43">
        <w:rPr>
          <w:color w:val="FF0000"/>
        </w:rPr>
        <w:t xml:space="preserve">, </w:t>
      </w:r>
      <w:r w:rsidR="00122E84" w:rsidRPr="00542D43">
        <w:rPr>
          <w:color w:val="FF0000"/>
        </w:rPr>
        <w:t>assumes that the average age in each age group remains unchanged</w:t>
      </w:r>
      <w:r w:rsidR="00542D43">
        <w:rPr>
          <w:color w:val="FF0000"/>
        </w:rPr>
        <w:t xml:space="preserve"> in each timestep</w:t>
      </w:r>
      <w:r w:rsidR="00122E84" w:rsidRPr="00542D43">
        <w:rPr>
          <w:color w:val="FF0000"/>
        </w:rPr>
        <w:t xml:space="preserve">, and hence the age-related mortality and </w:t>
      </w:r>
      <w:r w:rsidR="00542D43" w:rsidRPr="00542D43">
        <w:rPr>
          <w:color w:val="FF0000"/>
        </w:rPr>
        <w:t>frailty transition</w:t>
      </w:r>
      <w:r w:rsidR="00122E84" w:rsidRPr="00542D43">
        <w:rPr>
          <w:color w:val="FF0000"/>
        </w:rPr>
        <w:t xml:space="preserve"> rates </w:t>
      </w:r>
      <w:r w:rsidR="006C4EA4">
        <w:rPr>
          <w:color w:val="FF0000"/>
        </w:rPr>
        <w:t>apply to the whole stock</w:t>
      </w:r>
      <w:r w:rsidR="00122E84" w:rsidRPr="00542D43">
        <w:rPr>
          <w:color w:val="FF0000"/>
        </w:rPr>
        <w:t xml:space="preserve">. This relatively minor assumption </w:t>
      </w:r>
      <w:r w:rsidR="005750C2">
        <w:rPr>
          <w:color w:val="FF0000"/>
        </w:rPr>
        <w:t>avoids</w:t>
      </w:r>
      <w:r w:rsidR="005750C2" w:rsidRPr="00542D43">
        <w:rPr>
          <w:color w:val="FF0000"/>
        </w:rPr>
        <w:t xml:space="preserve"> the </w:t>
      </w:r>
      <w:r w:rsidR="005750C2">
        <w:rPr>
          <w:color w:val="FF0000"/>
        </w:rPr>
        <w:t>need for more complicated methods described</w:t>
      </w:r>
      <w:r w:rsidR="005750C2" w:rsidRPr="00542D43">
        <w:rPr>
          <w:color w:val="FF0000"/>
        </w:rPr>
        <w:t xml:space="preserve"> in the literature (</w:t>
      </w:r>
      <w:r w:rsidR="005750C2">
        <w:rPr>
          <w:color w:val="FF0000"/>
        </w:rPr>
        <w:t xml:space="preserve">Sterman, 2000; </w:t>
      </w:r>
      <w:r w:rsidR="005750C2" w:rsidRPr="00542D43">
        <w:rPr>
          <w:color w:val="FF0000"/>
        </w:rPr>
        <w:t>Eberlein and Thompson, 2013)</w:t>
      </w:r>
      <w:r w:rsidR="005750C2">
        <w:rPr>
          <w:color w:val="FF0000"/>
        </w:rPr>
        <w:t xml:space="preserve"> to deal the so-called blending problem, i.e. within-</w:t>
      </w:r>
      <w:r w:rsidR="006C4EA4">
        <w:rPr>
          <w:color w:val="FF0000"/>
        </w:rPr>
        <w:t>stock</w:t>
      </w:r>
      <w:r w:rsidR="005750C2">
        <w:rPr>
          <w:color w:val="FF0000"/>
        </w:rPr>
        <w:t xml:space="preserve"> differences in flow rates</w:t>
      </w:r>
      <w:r w:rsidR="004C596A">
        <w:rPr>
          <w:color w:val="FF0000"/>
        </w:rPr>
        <w:t xml:space="preserve">. </w:t>
      </w:r>
      <w:r w:rsidR="00BA5CBD" w:rsidRPr="00782B8B">
        <w:t xml:space="preserve"> </w:t>
      </w:r>
      <w:bookmarkEnd w:id="12"/>
      <w:r w:rsidR="00816D42" w:rsidRPr="00782B8B">
        <w:t xml:space="preserve">Each age group was further </w:t>
      </w:r>
      <w:r w:rsidR="00816D42" w:rsidRPr="005B5328">
        <w:t>divided according to the frailty state measured by the electronic frailty index</w:t>
      </w:r>
      <w:r w:rsidR="0078162F">
        <w:t>(</w:t>
      </w:r>
      <w:proofErr w:type="spellStart"/>
      <w:r w:rsidR="00816D42" w:rsidRPr="005B5328">
        <w:t>eFI</w:t>
      </w:r>
      <w:proofErr w:type="spellEnd"/>
      <w:r w:rsidR="0078162F">
        <w:t>)</w:t>
      </w:r>
      <w:r w:rsidR="00816D42" w:rsidRPr="005B5328">
        <w:t xml:space="preserve"> </w:t>
      </w:r>
      <w:r w:rsidR="00816D42" w:rsidRPr="005B5328">
        <w:fldChar w:fldCharType="begin"/>
      </w:r>
      <w:r w:rsidR="00816D42" w:rsidRPr="005B5328">
        <w:instrText xml:space="preserve"> ADDIN EN.CITE &lt;EndNote&gt;&lt;Cite&gt;&lt;Author&gt;Clegg&lt;/Author&gt;&lt;Year&gt;2016&lt;/Year&gt;&lt;RecNum&gt;22&lt;/RecNum&gt;&lt;DisplayText&gt;(Clegg et al., 2016)&lt;/DisplayText&gt;&lt;record&gt;&lt;rec-number&gt;22&lt;/rec-number&gt;&lt;foreign-keys&gt;&lt;key app="EN" db-id="0sxsezaf7atedqef9vk5drdt9xzpawp0w5rv" timestamp="1684396635"&gt;22&lt;/key&gt;&lt;/foreign-keys&gt;&lt;ref-type name="Journal Article"&gt;17&lt;/ref-type&gt;&lt;contributors&gt;&lt;authors&gt;&lt;author&gt;Clegg, Andrew&lt;/author&gt;&lt;author&gt;Bates, Chris&lt;/author&gt;&lt;author&gt;Young, John&lt;/author&gt;&lt;author&gt;Ryan, Ronan&lt;/author&gt;&lt;author&gt;Nichols, Linda&lt;/author&gt;&lt;author&gt;Ann Teale, Elizabeth&lt;/author&gt;&lt;author&gt;Mohammed, Mohammed A.&lt;/author&gt;&lt;author&gt;Parry, John&lt;/author&gt;&lt;author&gt;Marshall, Tom&lt;/author&gt;&lt;/authors&gt;&lt;/contributors&gt;&lt;titles&gt;&lt;title&gt;Development and validation of an electronic frailty index using routine primary care electronic health record data&lt;/title&gt;&lt;secondary-title&gt;Age and Ageing&lt;/secondary-title&gt;&lt;/titles&gt;&lt;periodical&gt;&lt;full-title&gt;Age and Ageing&lt;/full-title&gt;&lt;/periodical&gt;&lt;pages&gt;353-360&lt;/pages&gt;&lt;volume&gt;45&lt;/volume&gt;&lt;number&gt;3&lt;/number&gt;&lt;dates&gt;&lt;year&gt;2016&lt;/year&gt;&lt;/dates&gt;&lt;isbn&gt;0002-0729&lt;/isbn&gt;&lt;urls&gt;&lt;related-urls&gt;&lt;url&gt;https://doi.org/10.1093/ageing/afw039&lt;/url&gt;&lt;/related-urls&gt;&lt;/urls&gt;&lt;electronic-resource-num&gt;10.1093/ageing/afw039&lt;/electronic-resource-num&gt;&lt;access-date&gt;5/18/2023&lt;/access-date&gt;&lt;/record&gt;&lt;/Cite&gt;&lt;/EndNote&gt;</w:instrText>
      </w:r>
      <w:r w:rsidR="00816D42" w:rsidRPr="005B5328">
        <w:fldChar w:fldCharType="separate"/>
      </w:r>
      <w:r w:rsidR="00816D42" w:rsidRPr="005B5328">
        <w:rPr>
          <w:noProof/>
        </w:rPr>
        <w:t>(Clegg et al., 2016)</w:t>
      </w:r>
      <w:r w:rsidR="00816D42" w:rsidRPr="005B5328">
        <w:fldChar w:fldCharType="end"/>
      </w:r>
      <w:r w:rsidR="009663C3" w:rsidRPr="005B5328">
        <w:t>.</w:t>
      </w:r>
      <w:r w:rsidR="00F54B51" w:rsidRPr="005B5328">
        <w:t xml:space="preserve"> </w:t>
      </w:r>
      <w:r w:rsidR="00F54B51" w:rsidRPr="005B5328">
        <w:rPr>
          <w:color w:val="000000" w:themeColor="text1"/>
        </w:rPr>
        <w:t xml:space="preserve">The </w:t>
      </w:r>
      <w:proofErr w:type="spellStart"/>
      <w:r w:rsidR="00F54B51" w:rsidRPr="005B5328">
        <w:rPr>
          <w:color w:val="000000" w:themeColor="text1"/>
        </w:rPr>
        <w:t>eFI</w:t>
      </w:r>
      <w:proofErr w:type="spellEnd"/>
      <w:r w:rsidR="00F54B51" w:rsidRPr="005B5328">
        <w:rPr>
          <w:color w:val="000000" w:themeColor="text1"/>
        </w:rPr>
        <w:t xml:space="preserve"> is a </w:t>
      </w:r>
      <w:r w:rsidR="0078162F">
        <w:rPr>
          <w:color w:val="000000" w:themeColor="text1"/>
        </w:rPr>
        <w:t xml:space="preserve">cumulative </w:t>
      </w:r>
      <w:r w:rsidR="00F54B51" w:rsidRPr="005B5328">
        <w:rPr>
          <w:color w:val="000000" w:themeColor="text1"/>
        </w:rPr>
        <w:t xml:space="preserve">deficit score </w:t>
      </w:r>
      <w:r w:rsidR="0078162F">
        <w:rPr>
          <w:color w:val="000000" w:themeColor="text1"/>
        </w:rPr>
        <w:t>comprising</w:t>
      </w:r>
      <w:r w:rsidR="00F54B51" w:rsidRPr="005B5328">
        <w:rPr>
          <w:color w:val="000000" w:themeColor="text1"/>
        </w:rPr>
        <w:t xml:space="preserve"> 36 deficits across diseas</w:t>
      </w:r>
      <w:r w:rsidR="00F54B51" w:rsidRPr="005B5328">
        <w:t xml:space="preserve">e states, symptoms/signs, abnormal laboratory values and indicators of disability. An </w:t>
      </w:r>
      <w:proofErr w:type="spellStart"/>
      <w:r w:rsidR="00F54B51" w:rsidRPr="005B5328">
        <w:t>eFI</w:t>
      </w:r>
      <w:proofErr w:type="spellEnd"/>
      <w:r w:rsidR="00F54B51" w:rsidRPr="005B5328">
        <w:t xml:space="preserve"> score (calculated</w:t>
      </w:r>
      <w:r w:rsidR="005A54A2">
        <w:t xml:space="preserve"> as the number of deficits present in an individual as a proportion of the total possible</w:t>
      </w:r>
      <w:r w:rsidR="00F54B51" w:rsidRPr="005B5328">
        <w:t xml:space="preserve"> on the 1</w:t>
      </w:r>
      <w:r w:rsidR="00F54B51" w:rsidRPr="005B5328">
        <w:rPr>
          <w:vertAlign w:val="superscript"/>
        </w:rPr>
        <w:t>st</w:t>
      </w:r>
      <w:r w:rsidR="00F54B51" w:rsidRPr="005B5328">
        <w:t xml:space="preserve"> January each year) was provided for each participant in the dataset</w:t>
      </w:r>
      <w:r w:rsidR="0078162F">
        <w:t xml:space="preserve"> (</w:t>
      </w:r>
      <w:r w:rsidR="00390EFD" w:rsidRPr="00390EFD">
        <w:fldChar w:fldCharType="begin"/>
      </w:r>
      <w:r w:rsidR="00472A52">
        <w:instrText xml:space="preserve"> ADDIN EN.CITE &lt;EndNote&gt;&lt;Cite&gt;&lt;Author&gt;Fogg&lt;/Author&gt;&lt;Year&gt;2022&lt;/Year&gt;&lt;RecNum&gt;30&lt;/RecNum&gt;&lt;DisplayText&gt;(Fogg et al., 2022)&lt;/DisplayText&gt;&lt;record&gt;&lt;rec-number&gt;30&lt;/rec-number&gt;&lt;foreign-keys&gt;&lt;key app="EN" db-id="0sxsezaf7atedqef9vk5drdt9xzpawp0w5rv" timestamp="1684434629"&gt;30&lt;/key&gt;&lt;/foreign-keys&gt;&lt;ref-type name="Journal Article"&gt;17&lt;/ref-type&gt;&lt;contributors&gt;&lt;authors&gt;&lt;author&gt;Fogg, Carole&lt;/author&gt;&lt;author&gt;Fraser, Simon D. S.&lt;/author&gt;&lt;author&gt;Roderick, Paul&lt;/author&gt;&lt;author&gt;de Lusignan, Simon&lt;/author&gt;&lt;author&gt;Clegg, Andrew&lt;/author&gt;&lt;author&gt;Brailsford, Sally&lt;/author&gt;&lt;author&gt;Barkham, Abigail&lt;/author&gt;&lt;author&gt;Patel, Harnish P.&lt;/author&gt;&lt;author&gt;Windle, Vivienne&lt;/author&gt;&lt;author&gt;Harris, Scott&lt;/author&gt;&lt;author&gt;Zhu, Shihua&lt;/author&gt;&lt;author&gt;England, Tracey&lt;/author&gt;&lt;author&gt;Evenden, Dave&lt;/author&gt;&lt;author&gt;Lambert, Francesca&lt;/author&gt;&lt;author&gt;Walsh, Bronagh&lt;/author&gt;&lt;author&gt;The Frailty Dynamics study, team&lt;/author&gt;&lt;/authors&gt;&lt;/contributors&gt;&lt;titles&gt;&lt;title&gt;The dynamics of frailty development and progression in older adults in primary care in England (2006–2017): a retrospective cohort profile&lt;/title&gt;&lt;secondary-title&gt;BMC Geriatrics&lt;/secondary-title&gt;&lt;/titles&gt;&lt;periodical&gt;&lt;full-title&gt;BMC Geriatrics&lt;/full-title&gt;&lt;/periodical&gt;&lt;pages&gt;30&lt;/pages&gt;&lt;volume&gt;22&lt;/volume&gt;&lt;number&gt;1&lt;/number&gt;&lt;dates&gt;&lt;year&gt;2022&lt;/year&gt;&lt;pub-dates&gt;&lt;date&gt;2022/01/06&lt;/date&gt;&lt;/pub-dates&gt;&lt;/dates&gt;&lt;isbn&gt;1471-2318&lt;/isbn&gt;&lt;urls&gt;&lt;related-urls&gt;&lt;url&gt;https://doi.org/10.1186/s12877-021-02684-y&lt;/url&gt;&lt;/related-urls&gt;&lt;/urls&gt;&lt;electronic-resource-num&gt;10.1186/s12877-021-02684-y&lt;/electronic-resource-num&gt;&lt;/record&gt;&lt;/Cite&gt;&lt;/EndNote&gt;</w:instrText>
      </w:r>
      <w:r w:rsidR="00390EFD" w:rsidRPr="00390EFD">
        <w:fldChar w:fldCharType="separate"/>
      </w:r>
      <w:r w:rsidR="00472A52">
        <w:rPr>
          <w:noProof/>
        </w:rPr>
        <w:t>(Fogg et al., 2022)</w:t>
      </w:r>
      <w:r w:rsidR="00390EFD" w:rsidRPr="00390EFD">
        <w:fldChar w:fldCharType="end"/>
      </w:r>
      <w:r w:rsidR="00390EFD" w:rsidRPr="00390EFD">
        <w:t>,</w:t>
      </w:r>
      <w:r w:rsidR="00390EFD">
        <w:t xml:space="preserve"> </w:t>
      </w:r>
      <w:r w:rsidR="00390EFD">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390EFD">
        <w:fldChar w:fldCharType="separate"/>
      </w:r>
      <w:r w:rsidR="00F02A38">
        <w:rPr>
          <w:noProof/>
        </w:rPr>
        <w:t>(Walsh et al., 2023)</w:t>
      </w:r>
      <w:r w:rsidR="00390EFD">
        <w:fldChar w:fldCharType="end"/>
      </w:r>
      <w:r w:rsidR="0078162F">
        <w:t>)</w:t>
      </w:r>
      <w:r w:rsidR="00F54B51" w:rsidRPr="005B5328">
        <w:t xml:space="preserve">. The </w:t>
      </w:r>
      <w:proofErr w:type="spellStart"/>
      <w:r w:rsidR="00F54B51" w:rsidRPr="005B5328">
        <w:t>eFI</w:t>
      </w:r>
      <w:proofErr w:type="spellEnd"/>
      <w:r w:rsidR="00F54B51" w:rsidRPr="005B5328">
        <w:t xml:space="preserve"> was categorised into frailty states as: Fit (0-0.12), Mild (0.13-0.24), Moderate (0.25-0.36) or Severe (&gt;0.36). </w:t>
      </w:r>
      <w:r w:rsidR="001D63F0">
        <w:t>Hence</w:t>
      </w:r>
      <w:r w:rsidR="00F54B51" w:rsidRPr="005B5328">
        <w:t xml:space="preserve"> the model</w:t>
      </w:r>
      <w:r w:rsidR="001D63F0">
        <w:t>led population contain</w:t>
      </w:r>
      <w:r w:rsidR="00DF27A1">
        <w:t>ed</w:t>
      </w:r>
      <w:r w:rsidR="00F54B51" w:rsidRPr="005B5328">
        <w:t xml:space="preserve"> 16 subgroups.</w:t>
      </w:r>
    </w:p>
    <w:p w14:paraId="3631C06A" w14:textId="77777777" w:rsidR="0032014A" w:rsidRDefault="0032014A" w:rsidP="001A1923"/>
    <w:p w14:paraId="2133D3CA" w14:textId="4C0EEC1E" w:rsidR="00040831" w:rsidRDefault="000F09B5" w:rsidP="00A752C2">
      <w:pPr>
        <w:ind w:firstLine="720"/>
      </w:pPr>
      <w:r w:rsidRPr="00ED7B92">
        <w:t>A schematic of the underlying model</w:t>
      </w:r>
      <w:r>
        <w:t xml:space="preserve"> structure </w:t>
      </w:r>
      <w:r w:rsidRPr="00ED7B92">
        <w:t>is shown in Figure 1</w:t>
      </w:r>
      <w:r>
        <w:t xml:space="preserve">, which was developed in consultation with all stakeholders.  </w:t>
      </w:r>
      <w:r w:rsidR="001458B5">
        <w:t>T</w:t>
      </w:r>
      <w:r w:rsidR="00F54B51" w:rsidRPr="005B5328">
        <w:t xml:space="preserve">he </w:t>
      </w:r>
      <w:r w:rsidR="001458B5">
        <w:t>state transitions</w:t>
      </w:r>
      <w:r w:rsidR="001C3281">
        <w:t xml:space="preserve"> agreed with stakeholders</w:t>
      </w:r>
      <w:r w:rsidR="001458B5">
        <w:t xml:space="preserve"> </w:t>
      </w:r>
      <w:r w:rsidR="00DF27A1">
        <w:t>we</w:t>
      </w:r>
      <w:r w:rsidR="001458B5">
        <w:t>re</w:t>
      </w:r>
      <w:r w:rsidR="00F54B51" w:rsidRPr="005B5328">
        <w:t xml:space="preserve"> </w:t>
      </w:r>
      <w:r w:rsidR="00F54B51" w:rsidRPr="0043689D">
        <w:t xml:space="preserve">ageing, </w:t>
      </w:r>
      <w:r w:rsidR="001458B5">
        <w:t>moving fr</w:t>
      </w:r>
      <w:r w:rsidR="00F54B51" w:rsidRPr="0043689D">
        <w:t xml:space="preserve">om one frailty state to another, </w:t>
      </w:r>
      <w:r w:rsidR="001D63F0">
        <w:t xml:space="preserve">and </w:t>
      </w:r>
      <w:r w:rsidR="001458B5">
        <w:t>dying</w:t>
      </w:r>
      <w:r w:rsidR="001D63F0">
        <w:t>.</w:t>
      </w:r>
      <w:r w:rsidR="00F54B51" w:rsidRPr="0043689D">
        <w:t xml:space="preserve">  </w:t>
      </w:r>
      <w:r>
        <w:t>However, s</w:t>
      </w:r>
      <w:r w:rsidR="00A9306F">
        <w:t>ince t</w:t>
      </w:r>
      <w:r w:rsidR="00A9306F" w:rsidRPr="0043689D">
        <w:t xml:space="preserve">he </w:t>
      </w:r>
      <w:r w:rsidR="00653180" w:rsidRPr="0043689D">
        <w:t>R</w:t>
      </w:r>
      <w:r w:rsidR="00653180">
        <w:t>SC</w:t>
      </w:r>
      <w:r w:rsidR="00653180" w:rsidRPr="0043689D">
        <w:t xml:space="preserve"> </w:t>
      </w:r>
      <w:r w:rsidR="00A9306F" w:rsidRPr="0043689D">
        <w:t xml:space="preserve">dataset </w:t>
      </w:r>
      <w:r w:rsidR="00653180">
        <w:t xml:space="preserve">at the time </w:t>
      </w:r>
      <w:r w:rsidR="00A9306F">
        <w:t xml:space="preserve">only </w:t>
      </w:r>
      <w:r w:rsidR="00A9306F" w:rsidRPr="0043689D">
        <w:t>represent</w:t>
      </w:r>
      <w:r w:rsidR="00653180">
        <w:t>ed</w:t>
      </w:r>
      <w:r w:rsidR="00A9306F" w:rsidRPr="0043689D">
        <w:t xml:space="preserve"> 8% of all GP practices in England </w:t>
      </w:r>
      <w:r w:rsidR="00A9306F" w:rsidRPr="0043689D">
        <w:fldChar w:fldCharType="begin"/>
      </w:r>
      <w:r w:rsidR="00A9306F" w:rsidRPr="0043689D">
        <w:instrText xml:space="preserve"> ADDIN EN.CITE &lt;EndNote&gt;&lt;Cite&gt;&lt;Author&gt;Correa&lt;/Author&gt;&lt;Year&gt;2016&lt;/Year&gt;&lt;RecNum&gt;25&lt;/RecNum&gt;&lt;DisplayText&gt;(Correa et al., 2016)&lt;/DisplayText&gt;&lt;record&gt;&lt;rec-number&gt;25&lt;/rec-number&gt;&lt;foreign-keys&gt;&lt;key app="EN" db-id="0sxsezaf7atedqef9vk5drdt9xzpawp0w5rv" timestamp="1684397518"&gt;25&lt;/key&gt;&lt;/foreign-keys&gt;&lt;ref-type name="Journal Article"&gt;17&lt;/ref-type&gt;&lt;contributors&gt;&lt;authors&gt;&lt;author&gt;Correa, Ana&lt;/author&gt;&lt;author&gt;Hinton, William&lt;/author&gt;&lt;author&gt;McGovern, Andrew&lt;/author&gt;&lt;author&gt;Vlymen, Jeremy van&lt;/author&gt;&lt;author&gt;Yonova, Ivelina&lt;/author&gt;&lt;author&gt;Jones, Simon&lt;/author&gt;&lt;author&gt;de Lusignan, Simon&lt;/author&gt;&lt;/authors&gt;&lt;/contributors&gt;&lt;titles&gt;&lt;title&gt;Royal College of General Practitioners Research and Surveillance Centre (RCGP RSC) sentinel network: a cohort profile&lt;/title&gt;&lt;secondary-title&gt;BMJ Open&lt;/secondary-title&gt;&lt;/titles&gt;&lt;periodical&gt;&lt;full-title&gt;BMJ Open&lt;/full-title&gt;&lt;/periodical&gt;&lt;pages&gt;e011092&lt;/pages&gt;&lt;volume&gt;6&lt;/volume&gt;&lt;number&gt;4&lt;/number&gt;&lt;dates&gt;&lt;year&gt;2016&lt;/year&gt;&lt;/dates&gt;&lt;urls&gt;&lt;related-urls&gt;&lt;url&gt;http://bmjopen.bmj.com/content/6/4/e011092.abstract&lt;/url&gt;&lt;/related-urls&gt;&lt;/urls&gt;&lt;electronic-resource-num&gt;10.1136/bmjopen-2016-011092&lt;/electronic-resource-num&gt;&lt;/record&gt;&lt;/Cite&gt;&lt;/EndNote&gt;</w:instrText>
      </w:r>
      <w:r w:rsidR="00A9306F" w:rsidRPr="0043689D">
        <w:fldChar w:fldCharType="separate"/>
      </w:r>
      <w:r w:rsidR="00A9306F" w:rsidRPr="0043689D">
        <w:rPr>
          <w:noProof/>
        </w:rPr>
        <w:t>(Correa et al., 2016)</w:t>
      </w:r>
      <w:r w:rsidR="00A9306F" w:rsidRPr="0043689D">
        <w:fldChar w:fldCharType="end"/>
      </w:r>
      <w:r w:rsidR="00A9306F">
        <w:t xml:space="preserve">,  </w:t>
      </w:r>
      <w:r>
        <w:t>new patients could join the cohort, while others could ‘de</w:t>
      </w:r>
      <w:r w:rsidR="001C3281">
        <w:t>-</w:t>
      </w:r>
      <w:r>
        <w:t xml:space="preserve">register’ by </w:t>
      </w:r>
      <w:r w:rsidRPr="00CA2533">
        <w:t>leav</w:t>
      </w:r>
      <w:r>
        <w:t>ing</w:t>
      </w:r>
      <w:r w:rsidRPr="00CA2533">
        <w:t xml:space="preserve"> a</w:t>
      </w:r>
      <w:r>
        <w:t>n</w:t>
      </w:r>
      <w:r w:rsidRPr="00CA2533">
        <w:t xml:space="preserve"> </w:t>
      </w:r>
      <w:r w:rsidR="00653180" w:rsidRPr="00CA2533">
        <w:t>R</w:t>
      </w:r>
      <w:r w:rsidR="00653180">
        <w:t>SC network</w:t>
      </w:r>
      <w:r w:rsidR="00064BE6">
        <w:t>-</w:t>
      </w:r>
      <w:r w:rsidRPr="00CA2533">
        <w:t xml:space="preserve">registered GP practice </w:t>
      </w:r>
      <w:r>
        <w:t>for one</w:t>
      </w:r>
      <w:r w:rsidRPr="00CA2533">
        <w:t xml:space="preserve"> </w:t>
      </w:r>
      <w:r>
        <w:t xml:space="preserve">that was </w:t>
      </w:r>
      <w:r w:rsidRPr="00CA2533">
        <w:t>not</w:t>
      </w:r>
      <w:r>
        <w:t xml:space="preserve"> included in the dataset</w:t>
      </w:r>
      <w:r w:rsidRPr="00CA2533">
        <w:t xml:space="preserve">. </w:t>
      </w:r>
      <w:r>
        <w:t xml:space="preserve"> </w:t>
      </w:r>
      <w:r w:rsidR="00363C0F">
        <w:t>T</w:t>
      </w:r>
      <w:r>
        <w:t>he numbers of new joiners and de</w:t>
      </w:r>
      <w:r w:rsidR="001C3281">
        <w:t>-</w:t>
      </w:r>
      <w:r>
        <w:t>registrations were</w:t>
      </w:r>
      <w:r w:rsidR="00B238D6">
        <w:t>,</w:t>
      </w:r>
      <w:r>
        <w:t xml:space="preserve"> </w:t>
      </w:r>
      <w:r w:rsidR="00B238D6">
        <w:t xml:space="preserve">therefore, </w:t>
      </w:r>
      <w:r>
        <w:t xml:space="preserve">significant </w:t>
      </w:r>
      <w:r>
        <w:lastRenderedPageBreak/>
        <w:t xml:space="preserve">and hence these inflows and outflows (respectively </w:t>
      </w:r>
      <w:r w:rsidRPr="00ED7B92">
        <w:t xml:space="preserve">labelled </w:t>
      </w:r>
      <w:r>
        <w:t xml:space="preserve">“Entering” and </w:t>
      </w:r>
      <w:r w:rsidRPr="00ED7B92">
        <w:t>“Leaving” in Figure 1</w:t>
      </w:r>
      <w:r>
        <w:t xml:space="preserve">) had to be included in the model.  </w:t>
      </w:r>
      <w:r w:rsidR="00594FF0">
        <w:t xml:space="preserve"> </w:t>
      </w:r>
    </w:p>
    <w:p w14:paraId="30A69AA8" w14:textId="6326E333" w:rsidR="00040831" w:rsidRPr="00B97954" w:rsidRDefault="004956F7" w:rsidP="00A752C2">
      <w:pPr>
        <w:pStyle w:val="Figurecaption"/>
      </w:pPr>
      <w:r>
        <w:rPr>
          <w:noProof/>
        </w:rPr>
        <w:drawing>
          <wp:inline distT="0" distB="0" distL="0" distR="0" wp14:anchorId="3F3DB748" wp14:editId="53000E08">
            <wp:extent cx="5731510" cy="3223895"/>
            <wp:effectExtent l="0" t="0" r="2540" b="0"/>
            <wp:docPr id="2" name="Picture 2" descr="A diagram of a diagram of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 of a structu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287EDDC" w14:textId="753CED81" w:rsidR="00040831" w:rsidRPr="00B97954" w:rsidRDefault="00040831" w:rsidP="00A752C2">
      <w:pPr>
        <w:pStyle w:val="Caption"/>
      </w:pPr>
      <w:r w:rsidRPr="00B97954">
        <w:t xml:space="preserve">Figure </w:t>
      </w:r>
      <w:r>
        <w:fldChar w:fldCharType="begin"/>
      </w:r>
      <w:r>
        <w:instrText xml:space="preserve"> SEQ Figure \* ARABIC </w:instrText>
      </w:r>
      <w:r>
        <w:fldChar w:fldCharType="separate"/>
      </w:r>
      <w:r w:rsidR="00486F42">
        <w:rPr>
          <w:noProof/>
        </w:rPr>
        <w:t>1</w:t>
      </w:r>
      <w:r>
        <w:rPr>
          <w:noProof/>
        </w:rPr>
        <w:fldChar w:fldCharType="end"/>
      </w:r>
      <w:r w:rsidRPr="00B97954">
        <w:t xml:space="preserve"> Schematic showing the 16 age/frailty subgroups and movement between the groups</w:t>
      </w:r>
    </w:p>
    <w:p w14:paraId="1885DDD6" w14:textId="77777777" w:rsidR="00040831" w:rsidRDefault="00040831" w:rsidP="00A752C2"/>
    <w:p w14:paraId="253C8040" w14:textId="4532E103" w:rsidR="000B3D7F" w:rsidRDefault="007D7071" w:rsidP="00A752C2">
      <w:pPr>
        <w:ind w:firstLine="720"/>
      </w:pPr>
      <w:r>
        <w:t>In the full model, there are three stocks for e</w:t>
      </w:r>
      <w:r w:rsidRPr="00ED7B92">
        <w:t xml:space="preserve">ach of the 16 age/frailty </w:t>
      </w:r>
      <w:r>
        <w:t>combination</w:t>
      </w:r>
      <w:r w:rsidRPr="00ED7B92">
        <w:t>s</w:t>
      </w:r>
      <w:r>
        <w:t xml:space="preserve">, </w:t>
      </w:r>
      <w:r w:rsidRPr="00782B8B">
        <w:t xml:space="preserve">representing patients who are alive, have died, or have left the cohort, </w:t>
      </w:r>
      <w:r w:rsidR="009B4E79" w:rsidRPr="00782B8B">
        <w:t>within</w:t>
      </w:r>
      <w:r w:rsidRPr="00782B8B">
        <w:t xml:space="preserve"> that </w:t>
      </w:r>
      <w:proofErr w:type="gramStart"/>
      <w:r w:rsidRPr="00782B8B">
        <w:t>particular age</w:t>
      </w:r>
      <w:proofErr w:type="gramEnd"/>
      <w:r w:rsidRPr="00782B8B">
        <w:t xml:space="preserve"> </w:t>
      </w:r>
      <w:r w:rsidR="009B4E79" w:rsidRPr="00782B8B">
        <w:t xml:space="preserve">group </w:t>
      </w:r>
      <w:r>
        <w:t>and frailty state.</w:t>
      </w:r>
      <w:r w:rsidRPr="00ED7B92">
        <w:t xml:space="preserve"> </w:t>
      </w:r>
      <w:r w:rsidR="00594FF0">
        <w:t xml:space="preserve">The </w:t>
      </w:r>
      <w:r w:rsidR="00594FF0" w:rsidRPr="00ED7B92">
        <w:t xml:space="preserve">model </w:t>
      </w:r>
      <w:r>
        <w:t xml:space="preserve">therefore </w:t>
      </w:r>
      <w:r w:rsidR="00594FF0" w:rsidRPr="00ED7B92">
        <w:t>consists of 48 stocks</w:t>
      </w:r>
      <w:r w:rsidR="00173CD4">
        <w:t xml:space="preserve"> (i.e. numbers of people in the different age/frailty states)</w:t>
      </w:r>
      <w:r w:rsidR="00594FF0" w:rsidRPr="00ED7B92">
        <w:t xml:space="preserve"> and 72 flows</w:t>
      </w:r>
      <w:r w:rsidR="00173CD4">
        <w:t xml:space="preserve"> (i.e. movement of people as they transition from one state to another over time)</w:t>
      </w:r>
      <w:r>
        <w:t>.</w:t>
      </w:r>
      <w:r w:rsidR="00594FF0">
        <w:t xml:space="preserve"> </w:t>
      </w:r>
      <w:r w:rsidR="00433A2D">
        <w:t xml:space="preserve">Given the inconsistency in </w:t>
      </w:r>
      <w:r w:rsidR="00770040">
        <w:t xml:space="preserve">clinical </w:t>
      </w:r>
      <w:r w:rsidR="00433A2D">
        <w:t>evidence of the reversibility of frailty through interventions, t</w:t>
      </w:r>
      <w:bookmarkStart w:id="13" w:name="_Hlk141877482"/>
      <w:r w:rsidR="00A9306F">
        <w:t>he main</w:t>
      </w:r>
      <w:r w:rsidR="00F155F5">
        <w:t xml:space="preserve"> </w:t>
      </w:r>
      <w:r w:rsidR="000F09B5">
        <w:t xml:space="preserve">model </w:t>
      </w:r>
      <w:r w:rsidR="00F155F5">
        <w:t>assumptio</w:t>
      </w:r>
      <w:r w:rsidR="000F09B5">
        <w:t>n</w:t>
      </w:r>
      <w:r w:rsidR="00423F30">
        <w:t xml:space="preserve"> that</w:t>
      </w:r>
      <w:r w:rsidR="00F155F5">
        <w:t xml:space="preserve"> frailty </w:t>
      </w:r>
      <w:r w:rsidR="00423F30">
        <w:t>is not</w:t>
      </w:r>
      <w:r w:rsidR="00F155F5">
        <w:t xml:space="preserve"> revers</w:t>
      </w:r>
      <w:r w:rsidR="00423F30">
        <w:t>ible</w:t>
      </w:r>
      <w:bookmarkEnd w:id="13"/>
      <w:r w:rsidR="00F155F5">
        <w:t xml:space="preserve"> </w:t>
      </w:r>
      <w:r w:rsidR="000F09B5">
        <w:t>(</w:t>
      </w:r>
      <w:r w:rsidR="00594FF0">
        <w:t>i.e.</w:t>
      </w:r>
      <w:r w:rsidR="00423F30">
        <w:t>,</w:t>
      </w:r>
      <w:r w:rsidR="00F155F5">
        <w:t xml:space="preserve"> patients cannot move </w:t>
      </w:r>
      <w:r w:rsidR="00594FF0">
        <w:t>to an improved frailty</w:t>
      </w:r>
      <w:r w:rsidR="00F155F5">
        <w:t xml:space="preserve"> state</w:t>
      </w:r>
      <w:r w:rsidR="000F09B5">
        <w:t>)</w:t>
      </w:r>
      <w:r w:rsidR="00423F30">
        <w:t xml:space="preserve"> greatly simplifie</w:t>
      </w:r>
      <w:r w:rsidR="00040831">
        <w:t>d</w:t>
      </w:r>
      <w:r w:rsidR="00423F30">
        <w:t xml:space="preserve"> the modelling</w:t>
      </w:r>
      <w:r w:rsidR="00C6682D">
        <w:t xml:space="preserve"> and </w:t>
      </w:r>
      <w:r w:rsidR="00423F30">
        <w:t>was</w:t>
      </w:r>
      <w:r w:rsidR="00F155F5">
        <w:t xml:space="preserve"> agreed</w:t>
      </w:r>
      <w:r w:rsidR="00F155F5" w:rsidRPr="00044183">
        <w:t xml:space="preserve"> </w:t>
      </w:r>
      <w:r w:rsidR="00423F30">
        <w:t>after discussion</w:t>
      </w:r>
      <w:r w:rsidR="00F155F5" w:rsidRPr="00044183">
        <w:t xml:space="preserve"> with </w:t>
      </w:r>
      <w:r w:rsidR="00423F30">
        <w:t xml:space="preserve">the clinical </w:t>
      </w:r>
      <w:r w:rsidR="00F155F5" w:rsidRPr="00044183">
        <w:t>stakeholders</w:t>
      </w:r>
      <w:r w:rsidR="00C6682D">
        <w:t>.</w:t>
      </w:r>
      <w:r w:rsidR="00594FF0">
        <w:t xml:space="preserve">  </w:t>
      </w:r>
      <w:r w:rsidR="00DB263D">
        <w:t xml:space="preserve">Given this lack of certainty, </w:t>
      </w:r>
      <w:r w:rsidR="00040831">
        <w:t xml:space="preserve">the simplifying assumption of no ‘backwards’ transitions </w:t>
      </w:r>
      <w:proofErr w:type="gramStart"/>
      <w:r w:rsidR="00040831">
        <w:t>was</w:t>
      </w:r>
      <w:proofErr w:type="gramEnd"/>
      <w:r w:rsidR="00040831">
        <w:t xml:space="preserve"> </w:t>
      </w:r>
      <w:r w:rsidR="004A28F8">
        <w:t>included</w:t>
      </w:r>
      <w:r w:rsidR="00040831">
        <w:t xml:space="preserve">. </w:t>
      </w:r>
    </w:p>
    <w:p w14:paraId="3C9E183F" w14:textId="0F075376" w:rsidR="000B3D7F" w:rsidRPr="00265CD0" w:rsidRDefault="00040831" w:rsidP="00A752C2">
      <w:pPr>
        <w:pStyle w:val="Paragraph"/>
        <w:ind w:firstLine="720"/>
      </w:pPr>
      <w:r w:rsidRPr="00ED7B92">
        <w:t>The model</w:t>
      </w:r>
      <w:r>
        <w:t xml:space="preserve"> w</w:t>
      </w:r>
      <w:r w:rsidRPr="00ED7B92">
        <w:t>as developed in Any</w:t>
      </w:r>
      <w:r>
        <w:t>L</w:t>
      </w:r>
      <w:r w:rsidRPr="00ED7B92">
        <w:t xml:space="preserve">ogic </w:t>
      </w:r>
      <w:r>
        <w:t xml:space="preserve">(version </w:t>
      </w:r>
      <w:r w:rsidRPr="00ED7B92">
        <w:t>8.7.3)</w:t>
      </w:r>
      <w:r>
        <w:t xml:space="preserve">. </w:t>
      </w:r>
      <w:r w:rsidR="000B3D7F" w:rsidRPr="00265CD0">
        <w:t xml:space="preserve">Several of the flows </w:t>
      </w:r>
      <w:r w:rsidR="00C27B39" w:rsidRPr="00C27B39">
        <w:t xml:space="preserve">are </w:t>
      </w:r>
      <w:r w:rsidR="00C27B39" w:rsidRPr="00837A65">
        <w:t xml:space="preserve">functions of transition proportions that are assumed to remain constant over </w:t>
      </w:r>
      <w:r w:rsidR="00AB5744" w:rsidRPr="00837A65">
        <w:t>time</w:t>
      </w:r>
      <w:r w:rsidR="000B3D7F">
        <w:t>,</w:t>
      </w:r>
      <w:r w:rsidR="000B3D7F" w:rsidRPr="00265CD0">
        <w:t xml:space="preserve"> whereas others are time dependent</w:t>
      </w:r>
      <w:r w:rsidR="000B3D7F">
        <w:t>,</w:t>
      </w:r>
      <w:r w:rsidR="000B3D7F" w:rsidRPr="00265CD0">
        <w:t xml:space="preserve"> reflecting how the dynamics of a</w:t>
      </w:r>
      <w:r w:rsidR="000B3D7F">
        <w:t xml:space="preserve"> particular </w:t>
      </w:r>
      <w:r w:rsidR="000B3D7F" w:rsidRPr="00265CD0">
        <w:t xml:space="preserve">subgroup change over time. The exact forms of the flow equations were determined </w:t>
      </w:r>
      <w:r w:rsidR="00AB5744">
        <w:t xml:space="preserve">by </w:t>
      </w:r>
      <w:r w:rsidR="000B3D7F" w:rsidRPr="00265CD0">
        <w:t xml:space="preserve">examining the proportion of patients that transitioned to the next category </w:t>
      </w:r>
      <w:proofErr w:type="gramStart"/>
      <w:r w:rsidR="00B238D6">
        <w:t>in a given</w:t>
      </w:r>
      <w:proofErr w:type="gramEnd"/>
      <w:r w:rsidR="00B238D6" w:rsidRPr="00265CD0">
        <w:t xml:space="preserve"> </w:t>
      </w:r>
      <w:r w:rsidR="00065122">
        <w:t>time</w:t>
      </w:r>
      <w:r w:rsidR="00B238D6">
        <w:t xml:space="preserve"> period</w:t>
      </w:r>
      <w:r w:rsidR="00065122">
        <w:t xml:space="preserve"> (during </w:t>
      </w:r>
      <w:r w:rsidR="000B3D7F" w:rsidRPr="00265CD0">
        <w:t xml:space="preserve">the </w:t>
      </w:r>
      <w:r w:rsidR="00AB5744">
        <w:t>RCGP</w:t>
      </w:r>
      <w:r w:rsidR="00E7621F">
        <w:t xml:space="preserve"> RSC</w:t>
      </w:r>
      <w:r w:rsidR="00AB5744">
        <w:t xml:space="preserve"> cohort study</w:t>
      </w:r>
      <w:r w:rsidR="000B3D7F" w:rsidRPr="00265CD0">
        <w:t xml:space="preserve"> </w:t>
      </w:r>
      <w:r w:rsidR="00AB5744">
        <w:t>period (2006-2017)</w:t>
      </w:r>
      <w:r w:rsidR="00065122">
        <w:t>)</w:t>
      </w:r>
      <w:r w:rsidR="00AB5744">
        <w:t xml:space="preserve"> </w:t>
      </w:r>
      <w:r w:rsidR="000B3D7F" w:rsidRPr="00265CD0">
        <w:t xml:space="preserve">and using </w:t>
      </w:r>
      <w:bookmarkStart w:id="14" w:name="_Hlk157604976"/>
      <w:r w:rsidR="000B3D7F" w:rsidRPr="00265CD0">
        <w:t xml:space="preserve">multiple least squares regression </w:t>
      </w:r>
      <w:bookmarkEnd w:id="14"/>
      <w:r w:rsidR="000B3D7F" w:rsidRPr="00265CD0">
        <w:t xml:space="preserve">to </w:t>
      </w:r>
      <w:r w:rsidR="00D86917">
        <w:t xml:space="preserve">include </w:t>
      </w:r>
      <w:r w:rsidR="00065122">
        <w:t xml:space="preserve">the relevant </w:t>
      </w:r>
      <w:r w:rsidR="00D86917">
        <w:t>covariates (</w:t>
      </w:r>
      <w:r w:rsidR="00065122">
        <w:t xml:space="preserve">e.g. </w:t>
      </w:r>
      <w:r w:rsidR="00D86917">
        <w:t>time, time</w:t>
      </w:r>
      <w:r w:rsidR="00D86917" w:rsidRPr="004A28F8">
        <w:rPr>
          <w:vertAlign w:val="superscript"/>
        </w:rPr>
        <w:t>2</w:t>
      </w:r>
      <w:r w:rsidR="00D86917">
        <w:t>, time</w:t>
      </w:r>
      <w:r w:rsidR="00D86917" w:rsidRPr="004A28F8">
        <w:rPr>
          <w:vertAlign w:val="superscript"/>
        </w:rPr>
        <w:t>3</w:t>
      </w:r>
      <w:r w:rsidR="00D86917">
        <w:t>)</w:t>
      </w:r>
      <w:r w:rsidR="000B3D7F" w:rsidRPr="00265CD0">
        <w:t>.</w:t>
      </w:r>
      <w:r w:rsidR="000B3D7F">
        <w:t xml:space="preserve"> </w:t>
      </w:r>
      <w:r w:rsidR="000B3D7F" w:rsidRPr="00F677DA">
        <w:t>A detailed explanation of the model equations is included in the Technical Appendix</w:t>
      </w:r>
      <w:r w:rsidR="000B3D7F">
        <w:t>,</w:t>
      </w:r>
      <w:r w:rsidR="0080784B">
        <w:t xml:space="preserve"> along with a Table </w:t>
      </w:r>
      <w:r w:rsidR="0080784B">
        <w:lastRenderedPageBreak/>
        <w:t xml:space="preserve">presenting all the model parameters. </w:t>
      </w:r>
      <w:r w:rsidR="000B3D7F" w:rsidRPr="00F677DA">
        <w:t xml:space="preserve"> </w:t>
      </w:r>
    </w:p>
    <w:p w14:paraId="6435967E" w14:textId="6CBB5B58" w:rsidR="00AB5744" w:rsidRDefault="00E3313E" w:rsidP="004E7837">
      <w:pPr>
        <w:pStyle w:val="Heading2"/>
        <w:numPr>
          <w:ilvl w:val="1"/>
          <w:numId w:val="11"/>
        </w:numPr>
      </w:pPr>
      <w:bookmarkStart w:id="15" w:name="_Hlk157521938"/>
      <w:r>
        <w:t>Stakeholder engagement</w:t>
      </w:r>
    </w:p>
    <w:bookmarkEnd w:id="15"/>
    <w:p w14:paraId="0ECFEC70" w14:textId="613FA4E7" w:rsidR="00AA21F9" w:rsidRPr="00265CD0" w:rsidRDefault="00BE3958" w:rsidP="00A752C2">
      <w:pPr>
        <w:pStyle w:val="Newparagraph"/>
      </w:pPr>
      <w:r>
        <w:t xml:space="preserve">We were keen to engage a range of stakeholders throughout the whole process as other studies have </w:t>
      </w:r>
      <w:r w:rsidR="00E3313E" w:rsidRPr="00265CD0">
        <w:t xml:space="preserve">acknowledged that failure to involve stakeholders throughout </w:t>
      </w:r>
      <w:r w:rsidR="00E3313E">
        <w:t>a</w:t>
      </w:r>
      <w:r w:rsidR="00E3313E" w:rsidRPr="00265CD0">
        <w:t xml:space="preserve"> simulation model’s development can lead to the findings not being implemented </w:t>
      </w:r>
      <w:r w:rsidR="00E3313E" w:rsidRPr="00265CD0">
        <w:fldChar w:fldCharType="begin"/>
      </w:r>
      <w:r w:rsidR="00E3313E" w:rsidRPr="00265CD0">
        <w:instrText xml:space="preserve"> ADDIN EN.CITE &lt;EndNote&gt;&lt;Cite&gt;&lt;Author&gt;Kotiadis&lt;/Author&gt;&lt;Year&gt;2021&lt;/Year&gt;&lt;RecNum&gt;36&lt;/RecNum&gt;&lt;DisplayText&gt;(Kotiadis &amp;amp; Tako, 2021)&lt;/DisplayText&gt;&lt;record&gt;&lt;rec-number&gt;36&lt;/rec-number&gt;&lt;foreign-keys&gt;&lt;key app="EN" db-id="0sxsezaf7atedqef9vk5drdt9xzpawp0w5rv" timestamp="1684436273"&gt;36&lt;/key&gt;&lt;/foreign-keys&gt;&lt;ref-type name="Book"&gt;6&lt;/ref-type&gt;&lt;contributors&gt;&lt;authors&gt;&lt;author&gt;Kotiadis, Kathy&lt;/author&gt;&lt;author&gt;Tako, A. A.&lt;/author&gt;&lt;/authors&gt;&lt;/contributors&gt;&lt;titles&gt;&lt;title&gt;A Tutorial on Involving Stakeholders in Facilitated Simulation Studies&lt;/title&gt;&lt;/titles&gt;&lt;dates&gt;&lt;year&gt;2021&lt;/year&gt;&lt;/dates&gt;&lt;urls&gt;&lt;/urls&gt;&lt;electronic-resource-num&gt;10.36819/SW21.005&lt;/electronic-resource-num&gt;&lt;/record&gt;&lt;/Cite&gt;&lt;/EndNote&gt;</w:instrText>
      </w:r>
      <w:r w:rsidR="00E3313E" w:rsidRPr="00265CD0">
        <w:fldChar w:fldCharType="separate"/>
      </w:r>
      <w:r w:rsidR="00E3313E" w:rsidRPr="00265CD0">
        <w:rPr>
          <w:noProof/>
        </w:rPr>
        <w:t>(Kotiadis &amp; Tako, 2021)</w:t>
      </w:r>
      <w:r w:rsidR="00E3313E" w:rsidRPr="00265CD0">
        <w:fldChar w:fldCharType="end"/>
      </w:r>
      <w:r w:rsidR="00E3313E" w:rsidRPr="00265CD0">
        <w:t>.</w:t>
      </w:r>
      <w:r w:rsidR="004C735B">
        <w:t xml:space="preserve"> </w:t>
      </w:r>
      <w:r w:rsidR="00E3313E" w:rsidRPr="00265CD0">
        <w:t xml:space="preserve">In </w:t>
      </w:r>
      <w:r w:rsidR="004C735B">
        <w:t xml:space="preserve">the wider </w:t>
      </w:r>
      <w:r w:rsidR="0032014A" w:rsidRPr="002E665B">
        <w:t>Frailty Dynamics</w:t>
      </w:r>
      <w:r w:rsidR="00FC56E0" w:rsidRPr="00A752C2">
        <w:rPr>
          <w:color w:val="FF0000"/>
        </w:rPr>
        <w:t xml:space="preserve"> </w:t>
      </w:r>
      <w:r w:rsidR="00E3313E" w:rsidRPr="00265CD0">
        <w:t xml:space="preserve">study, both patients and carers </w:t>
      </w:r>
      <w:r w:rsidR="004C735B">
        <w:t>as well as</w:t>
      </w:r>
      <w:r w:rsidR="00E3313E" w:rsidRPr="00265CD0">
        <w:t xml:space="preserve"> commission</w:t>
      </w:r>
      <w:r w:rsidR="004C735B">
        <w:t xml:space="preserve">ers </w:t>
      </w:r>
      <w:r w:rsidR="00E3313E" w:rsidRPr="00265CD0">
        <w:t>and provide</w:t>
      </w:r>
      <w:r w:rsidR="004C735B">
        <w:t>rs of</w:t>
      </w:r>
      <w:r w:rsidR="00E3313E" w:rsidRPr="00265CD0">
        <w:t xml:space="preserve"> healthcare services to older people living with frailty were recruited to three stakeholder events</w:t>
      </w:r>
      <w:r w:rsidR="004A00C1">
        <w:t xml:space="preserve"> </w:t>
      </w:r>
      <w:r w:rsidR="007D3D5E">
        <w:t>(</w:t>
      </w:r>
      <w:r w:rsidR="004A00C1">
        <w:t xml:space="preserve">with 61 professionals and </w:t>
      </w:r>
      <w:r w:rsidR="00653398">
        <w:t>8</w:t>
      </w:r>
      <w:r w:rsidR="004A00C1">
        <w:t xml:space="preserve"> members of the public invite</w:t>
      </w:r>
      <w:r w:rsidR="00653398">
        <w:t>d</w:t>
      </w:r>
      <w:r w:rsidR="00470570">
        <w:t xml:space="preserve"> and approximately </w:t>
      </w:r>
      <w:r w:rsidR="003F6E56">
        <w:t>50%</w:t>
      </w:r>
      <w:r w:rsidR="00470570">
        <w:t xml:space="preserve"> attending</w:t>
      </w:r>
      <w:r w:rsidR="007D3D5E">
        <w:t>)</w:t>
      </w:r>
      <w:r w:rsidR="00E3313E" w:rsidRPr="00265CD0">
        <w:t xml:space="preserve">. We were conscious that </w:t>
      </w:r>
      <w:r w:rsidR="004C735B">
        <w:t>these</w:t>
      </w:r>
      <w:r w:rsidR="00E3313E" w:rsidRPr="00265CD0">
        <w:t xml:space="preserve"> groups may not have had prior experience of simulation modelling, so we were careful to tailor the sessions accordingly. </w:t>
      </w:r>
      <w:r w:rsidR="004C735B">
        <w:t xml:space="preserve">  As these events took place during</w:t>
      </w:r>
      <w:r w:rsidR="00E3313E" w:rsidRPr="00265CD0">
        <w:t xml:space="preserve"> the COVID-19 pandemic, a mixture of in-person and virtual events were offered. The findings from the data analysis </w:t>
      </w:r>
      <w:r w:rsidR="004C735B" w:rsidRPr="00265CD0">
        <w:t>were discussed</w:t>
      </w:r>
      <w:r w:rsidR="004C735B">
        <w:t>,</w:t>
      </w:r>
      <w:r w:rsidR="004C735B" w:rsidRPr="00486F42">
        <w:t xml:space="preserve"> </w:t>
      </w:r>
      <w:r w:rsidR="00E3313E" w:rsidRPr="00265CD0">
        <w:t>as well as the model</w:t>
      </w:r>
      <w:r w:rsidR="004C735B">
        <w:t xml:space="preserve"> itself</w:t>
      </w:r>
      <w:r w:rsidR="00AA21F9">
        <w:t xml:space="preserve">. </w:t>
      </w:r>
      <w:bookmarkStart w:id="16" w:name="_Hlk157679156"/>
      <w:r w:rsidR="0032014A" w:rsidRPr="002E665B">
        <w:t>These were not group model-building sessions as normally understood</w:t>
      </w:r>
      <w:r w:rsidR="0080784B" w:rsidRPr="002E665B">
        <w:t xml:space="preserve"> in SD</w:t>
      </w:r>
      <w:r w:rsidR="0032014A" w:rsidRPr="002E665B">
        <w:t>, and no causal loop diagram was developed.  Rather,</w:t>
      </w:r>
      <w:r w:rsidR="0032014A">
        <w:rPr>
          <w:color w:val="FF0000"/>
        </w:rPr>
        <w:t xml:space="preserve"> </w:t>
      </w:r>
      <w:r w:rsidR="0032014A">
        <w:t>p</w:t>
      </w:r>
      <w:r w:rsidR="00AA21F9">
        <w:t xml:space="preserve">eople were asked </w:t>
      </w:r>
      <w:bookmarkEnd w:id="16"/>
      <w:r w:rsidR="00AA21F9">
        <w:t xml:space="preserve">about the model assumptions (as noted above); </w:t>
      </w:r>
      <w:r w:rsidR="00170073">
        <w:t xml:space="preserve">whether anything important had been omitted from the model; and </w:t>
      </w:r>
      <w:r w:rsidR="00AA21F9">
        <w:t xml:space="preserve">whether the proposed model outputs were useful. </w:t>
      </w:r>
      <w:r w:rsidR="00E3313E" w:rsidRPr="00265CD0">
        <w:t xml:space="preserve">In the final event, clinicians and commissioners were asked to comment on the </w:t>
      </w:r>
      <w:r w:rsidR="00AA21F9">
        <w:t>results</w:t>
      </w:r>
      <w:r w:rsidR="00E3313E" w:rsidRPr="00265CD0">
        <w:t xml:space="preserve"> and whether </w:t>
      </w:r>
      <w:r w:rsidR="00AA21F9">
        <w:t>they felt the model</w:t>
      </w:r>
      <w:r w:rsidR="00E3313E" w:rsidRPr="00265CD0">
        <w:t xml:space="preserve"> provided </w:t>
      </w:r>
      <w:r w:rsidR="00122E84">
        <w:rPr>
          <w:color w:val="FF0000"/>
        </w:rPr>
        <w:t>a realistic</w:t>
      </w:r>
      <w:r w:rsidR="00E3313E" w:rsidRPr="00122E84">
        <w:rPr>
          <w:color w:val="FF0000"/>
        </w:rPr>
        <w:t xml:space="preserve"> </w:t>
      </w:r>
      <w:r w:rsidR="00E3313E" w:rsidRPr="00265CD0">
        <w:t xml:space="preserve">representation of frailty in the population. </w:t>
      </w:r>
      <w:r w:rsidR="003673C3">
        <w:t xml:space="preserve">Other issues important to these </w:t>
      </w:r>
      <w:proofErr w:type="gramStart"/>
      <w:r w:rsidR="003673C3">
        <w:t>particular stakeholders</w:t>
      </w:r>
      <w:proofErr w:type="gramEnd"/>
      <w:r w:rsidR="003673C3">
        <w:t xml:space="preserve"> were </w:t>
      </w:r>
      <w:r w:rsidR="00AA21F9">
        <w:t xml:space="preserve">whether the results remained stable when the model was run into the future, and whether it was feasible to adjust the model parameters to reflect </w:t>
      </w:r>
      <w:r w:rsidR="003673C3">
        <w:t xml:space="preserve">potential future </w:t>
      </w:r>
      <w:r w:rsidR="003673C3" w:rsidRPr="003673C3">
        <w:t>changes in service provision</w:t>
      </w:r>
      <w:r w:rsidR="00AA21F9" w:rsidRPr="00265CD0">
        <w:t xml:space="preserve">. </w:t>
      </w:r>
      <w:r w:rsidR="003673C3">
        <w:t xml:space="preserve"> </w:t>
      </w:r>
    </w:p>
    <w:p w14:paraId="3AE4FFF2" w14:textId="4B780CE5" w:rsidR="00E3313E" w:rsidRPr="00265CD0" w:rsidRDefault="00E3313E">
      <w:pPr>
        <w:pStyle w:val="Newparagraph"/>
      </w:pPr>
      <w:r w:rsidRPr="00265CD0">
        <w:t xml:space="preserve">Several “What-if” scenarios were also discussed with both stakeholder groups. The clinicians and commissioners were keen to test the effect of </w:t>
      </w:r>
      <w:r w:rsidR="00981F85" w:rsidRPr="00261352">
        <w:t xml:space="preserve">hypothetical interventions </w:t>
      </w:r>
      <w:bookmarkStart w:id="17" w:name="_Hlk158214452"/>
      <w:r w:rsidR="00981F85" w:rsidRPr="00261352">
        <w:t xml:space="preserve">to </w:t>
      </w:r>
      <w:r w:rsidRPr="00265CD0">
        <w:t>reduc</w:t>
      </w:r>
      <w:r w:rsidR="00981F85">
        <w:t>e</w:t>
      </w:r>
      <w:r w:rsidRPr="00265CD0">
        <w:t xml:space="preserve"> or delay the onset of frailty</w:t>
      </w:r>
      <w:bookmarkEnd w:id="17"/>
      <w:r w:rsidR="00AA21F9">
        <w:t>,</w:t>
      </w:r>
      <w:r w:rsidRPr="00265CD0">
        <w:t xml:space="preserve"> </w:t>
      </w:r>
      <w:proofErr w:type="gramStart"/>
      <w:r w:rsidRPr="00265CD0">
        <w:t xml:space="preserve">and </w:t>
      </w:r>
      <w:r w:rsidR="00AA21F9">
        <w:t>also</w:t>
      </w:r>
      <w:proofErr w:type="gramEnd"/>
      <w:r w:rsidR="00AA21F9">
        <w:t xml:space="preserve"> </w:t>
      </w:r>
      <w:r w:rsidRPr="00265CD0">
        <w:t>reduc</w:t>
      </w:r>
      <w:r w:rsidR="00981F85">
        <w:t>e</w:t>
      </w:r>
      <w:r w:rsidRPr="00265CD0">
        <w:t xml:space="preserve"> </w:t>
      </w:r>
      <w:r w:rsidR="00AA21F9">
        <w:t xml:space="preserve">the rate of </w:t>
      </w:r>
      <w:r w:rsidRPr="00265CD0">
        <w:t>progression</w:t>
      </w:r>
      <w:r w:rsidR="00BC770C">
        <w:t xml:space="preserve"> through the frailty states</w:t>
      </w:r>
      <w:r w:rsidR="00AA21F9">
        <w:t xml:space="preserve">.  </w:t>
      </w:r>
      <w:r>
        <w:t xml:space="preserve"> </w:t>
      </w:r>
      <w:r w:rsidR="008E0F6C" w:rsidRPr="00261352">
        <w:t>In this paper</w:t>
      </w:r>
      <w:r w:rsidR="008E0F6C" w:rsidRPr="00A752C2">
        <w:rPr>
          <w:color w:val="FF0000"/>
        </w:rPr>
        <w:t xml:space="preserve"> </w:t>
      </w:r>
      <w:r w:rsidR="00AB410A">
        <w:t xml:space="preserve">we present </w:t>
      </w:r>
      <w:r w:rsidR="00973169">
        <w:t>the development and validation of the simulation model</w:t>
      </w:r>
      <w:r w:rsidR="008B6149">
        <w:t xml:space="preserve"> </w:t>
      </w:r>
      <w:r w:rsidR="00AB410A">
        <w:t>using</w:t>
      </w:r>
      <w:r w:rsidR="00AA21F9">
        <w:t xml:space="preserve"> </w:t>
      </w:r>
      <w:r w:rsidR="007C0770">
        <w:t xml:space="preserve">the </w:t>
      </w:r>
      <w:r w:rsidR="00AA21F9">
        <w:t xml:space="preserve">baseline </w:t>
      </w:r>
      <w:r w:rsidR="00981F85">
        <w:t>parameters</w:t>
      </w:r>
      <w:r w:rsidR="007C0770">
        <w:t>,</w:t>
      </w:r>
      <w:r w:rsidR="00981F85">
        <w:t xml:space="preserve"> i.e.,</w:t>
      </w:r>
      <w:r w:rsidR="00BF0B87">
        <w:t xml:space="preserve"> </w:t>
      </w:r>
      <w:r w:rsidR="007C0770">
        <w:t>a</w:t>
      </w:r>
      <w:r w:rsidR="00981F85">
        <w:t>ssum</w:t>
      </w:r>
      <w:r w:rsidR="007C0770">
        <w:t>ing that</w:t>
      </w:r>
      <w:r w:rsidR="00981F85">
        <w:t xml:space="preserve"> </w:t>
      </w:r>
      <w:r w:rsidR="00BF0B87">
        <w:t xml:space="preserve">current </w:t>
      </w:r>
      <w:r w:rsidR="007C0770">
        <w:t xml:space="preserve">clinical </w:t>
      </w:r>
      <w:r w:rsidR="00BF0B87">
        <w:t xml:space="preserve">practice </w:t>
      </w:r>
      <w:r w:rsidR="007C0770">
        <w:t xml:space="preserve">does not </w:t>
      </w:r>
      <w:proofErr w:type="gramStart"/>
      <w:r w:rsidR="007C0770">
        <w:t>change</w:t>
      </w:r>
      <w:proofErr w:type="gramEnd"/>
      <w:r w:rsidR="007C0770">
        <w:t xml:space="preserve"> </w:t>
      </w:r>
      <w:r w:rsidR="00BF0B87">
        <w:t xml:space="preserve">and </w:t>
      </w:r>
      <w:r w:rsidR="007C0770">
        <w:t xml:space="preserve">demographic </w:t>
      </w:r>
      <w:r w:rsidR="00BF0B87">
        <w:t>trends continue</w:t>
      </w:r>
      <w:r w:rsidR="00AB410A">
        <w:t xml:space="preserve">. </w:t>
      </w:r>
      <w:r w:rsidR="003802DE">
        <w:t xml:space="preserve">  </w:t>
      </w:r>
      <w:r w:rsidR="003802DE" w:rsidRPr="00FB0CDA">
        <w:t>S</w:t>
      </w:r>
      <w:r w:rsidR="00973169" w:rsidRPr="00FB0CDA">
        <w:t xml:space="preserve">cenario analyses </w:t>
      </w:r>
      <w:r w:rsidR="003802DE" w:rsidRPr="00FB0CDA">
        <w:t>are reported elsewhere</w:t>
      </w:r>
      <w:r w:rsidR="00981F85" w:rsidRPr="00FB0CDA">
        <w:t xml:space="preserve"> (</w:t>
      </w:r>
      <w:r w:rsidR="00090979" w:rsidRPr="00FB0CDA">
        <w:t>Walsh et al., 2024</w:t>
      </w:r>
      <w:r w:rsidR="00981F85" w:rsidRPr="00FB0CDA">
        <w:t>)</w:t>
      </w:r>
      <w:r w:rsidR="00AA21F9" w:rsidRPr="00FB0CDA">
        <w:t>.</w:t>
      </w:r>
      <w:r w:rsidR="00AA21F9">
        <w:t xml:space="preserve"> </w:t>
      </w:r>
    </w:p>
    <w:p w14:paraId="3F787457" w14:textId="03580E9F" w:rsidR="009569B2" w:rsidRPr="00265CD0" w:rsidRDefault="009569B2" w:rsidP="004E7837">
      <w:pPr>
        <w:pStyle w:val="Heading2"/>
        <w:numPr>
          <w:ilvl w:val="1"/>
          <w:numId w:val="11"/>
        </w:numPr>
      </w:pPr>
      <w:r w:rsidRPr="00265CD0">
        <w:t>Data</w:t>
      </w:r>
    </w:p>
    <w:p w14:paraId="66FA6F9C" w14:textId="224CF816" w:rsidR="00F54B51" w:rsidRPr="00265CD0" w:rsidRDefault="009569B2" w:rsidP="00A752C2">
      <w:pPr>
        <w:ind w:firstLine="720"/>
      </w:pPr>
      <w:r w:rsidRPr="00265CD0">
        <w:t>T</w:t>
      </w:r>
      <w:r w:rsidR="005B1D4B">
        <w:t>he</w:t>
      </w:r>
      <w:r w:rsidRPr="00265CD0">
        <w:t xml:space="preserve"> </w:t>
      </w:r>
      <w:r w:rsidR="00A663E0">
        <w:t xml:space="preserve">RCGP </w:t>
      </w:r>
      <w:r w:rsidR="00FA5DC5">
        <w:t xml:space="preserve">RSC </w:t>
      </w:r>
      <w:r w:rsidR="005B1D4B">
        <w:t>d</w:t>
      </w:r>
      <w:r w:rsidR="00044183">
        <w:t xml:space="preserve">ataset </w:t>
      </w:r>
      <w:r w:rsidR="000A2A09">
        <w:t>represents</w:t>
      </w:r>
      <w:r w:rsidR="00044183">
        <w:t xml:space="preserve"> </w:t>
      </w:r>
      <w:r w:rsidR="00044183" w:rsidRPr="00CA2533">
        <w:t xml:space="preserve">a </w:t>
      </w:r>
      <w:r w:rsidR="005E212C">
        <w:t xml:space="preserve">nationally representative </w:t>
      </w:r>
      <w:r w:rsidR="00044183" w:rsidRPr="00CA2533">
        <w:t>cohort of primary care patients from GP practices in England</w:t>
      </w:r>
      <w:r w:rsidR="00044183">
        <w:t>,</w:t>
      </w:r>
      <w:r w:rsidR="00044183" w:rsidRPr="00CA2533">
        <w:t xml:space="preserve"> held at Oxford University</w:t>
      </w:r>
      <w:r w:rsidR="00044183" w:rsidRPr="00CA2533" w:rsidDel="00526294">
        <w:t xml:space="preserve"> </w:t>
      </w:r>
      <w:r w:rsidR="00044183" w:rsidRPr="00CA2533">
        <w:t xml:space="preserve"> </w:t>
      </w:r>
      <w:r w:rsidR="00044183" w:rsidRPr="00CA2533">
        <w:fldChar w:fldCharType="begin"/>
      </w:r>
      <w:r w:rsidR="00044183" w:rsidRPr="00CA2533">
        <w:instrText xml:space="preserve"> ADDIN EN.CITE &lt;EndNote&gt;&lt;Cite&gt;&lt;Author&gt;Correa&lt;/Author&gt;&lt;Year&gt;2016&lt;/Year&gt;&lt;RecNum&gt;25&lt;/RecNum&gt;&lt;DisplayText&gt;(Correa et al., 2016)&lt;/DisplayText&gt;&lt;record&gt;&lt;rec-number&gt;25&lt;/rec-number&gt;&lt;foreign-keys&gt;&lt;key app="EN" db-id="0sxsezaf7atedqef9vk5drdt9xzpawp0w5rv" timestamp="1684397518"&gt;25&lt;/key&gt;&lt;/foreign-keys&gt;&lt;ref-type name="Journal Article"&gt;17&lt;/ref-type&gt;&lt;contributors&gt;&lt;authors&gt;&lt;author&gt;Correa, Ana&lt;/author&gt;&lt;author&gt;Hinton, William&lt;/author&gt;&lt;author&gt;McGovern, Andrew&lt;/author&gt;&lt;author&gt;Vlymen, Jeremy van&lt;/author&gt;&lt;author&gt;Yonova, Ivelina&lt;/author&gt;&lt;author&gt;Jones, Simon&lt;/author&gt;&lt;author&gt;de Lusignan, Simon&lt;/author&gt;&lt;/authors&gt;&lt;/contributors&gt;&lt;titles&gt;&lt;title&gt;Royal College of General Practitioners Research and Surveillance Centre (RCGP RSC) sentinel network: a cohort profile&lt;/title&gt;&lt;secondary-title&gt;BMJ Open&lt;/secondary-title&gt;&lt;/titles&gt;&lt;periodical&gt;&lt;full-title&gt;BMJ Open&lt;/full-title&gt;&lt;/periodical&gt;&lt;pages&gt;e011092&lt;/pages&gt;&lt;volume&gt;6&lt;/volume&gt;&lt;number&gt;4&lt;/number&gt;&lt;dates&gt;&lt;year&gt;2016&lt;/year&gt;&lt;/dates&gt;&lt;urls&gt;&lt;related-urls&gt;&lt;url&gt;http://bmjopen.bmj.com/content/6/4/e011092.abstract&lt;/url&gt;&lt;/related-urls&gt;&lt;/urls&gt;&lt;electronic-resource-num&gt;10.1136/bmjopen-2016-011092&lt;/electronic-resource-num&gt;&lt;/record&gt;&lt;/Cite&gt;&lt;/EndNote&gt;</w:instrText>
      </w:r>
      <w:r w:rsidR="00044183" w:rsidRPr="00CA2533">
        <w:fldChar w:fldCharType="separate"/>
      </w:r>
      <w:r w:rsidR="00044183" w:rsidRPr="00CA2533">
        <w:rPr>
          <w:noProof/>
        </w:rPr>
        <w:t>(Correa et al., 2016)</w:t>
      </w:r>
      <w:r w:rsidR="00044183" w:rsidRPr="00CA2533">
        <w:fldChar w:fldCharType="end"/>
      </w:r>
      <w:r w:rsidR="00044183" w:rsidRPr="00CA2533">
        <w:t>.</w:t>
      </w:r>
      <w:r w:rsidR="00044183">
        <w:t xml:space="preserve">  </w:t>
      </w:r>
      <w:r w:rsidR="00D12F14" w:rsidRPr="00265CD0">
        <w:t xml:space="preserve">The </w:t>
      </w:r>
      <w:r w:rsidR="00044183">
        <w:t>cohort</w:t>
      </w:r>
      <w:r w:rsidR="0084339E" w:rsidRPr="00265CD0">
        <w:t xml:space="preserve"> </w:t>
      </w:r>
      <w:r w:rsidR="00D12F14" w:rsidRPr="00265CD0">
        <w:t>consist</w:t>
      </w:r>
      <w:r w:rsidR="00A663E0">
        <w:t>ed, at the time of the study</w:t>
      </w:r>
      <w:r w:rsidR="0080784B">
        <w:t>,</w:t>
      </w:r>
      <w:r w:rsidR="00D12F14" w:rsidRPr="00265CD0">
        <w:t xml:space="preserve"> of 1,107,481 people registered at 419 GP practices at the start of the data period (January 2006)</w:t>
      </w:r>
      <w:r w:rsidR="00044183">
        <w:t>,</w:t>
      </w:r>
      <w:r w:rsidR="00D12F14" w:rsidRPr="00265CD0">
        <w:t xml:space="preserve"> rising to 2,177,656 at the end of December 2017.</w:t>
      </w:r>
      <w:r w:rsidR="000775BE">
        <w:t xml:space="preserve"> </w:t>
      </w:r>
      <w:r w:rsidR="000775BE" w:rsidRPr="00F677DA">
        <w:t>The RSC data informed the model structure and parameter estimates</w:t>
      </w:r>
      <w:r w:rsidR="00044183">
        <w:t>,</w:t>
      </w:r>
      <w:r w:rsidR="000775BE" w:rsidRPr="00F677DA">
        <w:t xml:space="preserve"> including the initial stock levels in each of the 16 population subgroups and </w:t>
      </w:r>
      <w:r w:rsidR="001B6AFA">
        <w:t xml:space="preserve">all </w:t>
      </w:r>
      <w:r w:rsidR="000775BE" w:rsidRPr="00F677DA">
        <w:t xml:space="preserve">the flow rates </w:t>
      </w:r>
      <w:r w:rsidR="000775BE" w:rsidRPr="00F677DA">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0775BE" w:rsidRPr="00F677DA">
        <w:fldChar w:fldCharType="separate"/>
      </w:r>
      <w:r w:rsidR="00F02A38">
        <w:rPr>
          <w:noProof/>
        </w:rPr>
        <w:t>(Walsh et al., 2023)</w:t>
      </w:r>
      <w:r w:rsidR="000775BE" w:rsidRPr="00F677DA">
        <w:fldChar w:fldCharType="end"/>
      </w:r>
      <w:r w:rsidR="000775BE" w:rsidRPr="00F677DA">
        <w:t>.</w:t>
      </w:r>
      <w:r w:rsidR="000775BE">
        <w:t xml:space="preserve"> </w:t>
      </w:r>
      <w:r w:rsidR="006F2754">
        <w:t xml:space="preserve"> </w:t>
      </w:r>
    </w:p>
    <w:p w14:paraId="7AD2C13F" w14:textId="537DF6F7" w:rsidR="00E21C40" w:rsidRPr="00265CD0" w:rsidRDefault="00E21C40" w:rsidP="00A752C2">
      <w:pPr>
        <w:ind w:firstLine="720"/>
      </w:pPr>
      <w:r w:rsidRPr="00265CD0">
        <w:lastRenderedPageBreak/>
        <w:t>The dataset</w:t>
      </w:r>
      <w:r w:rsidR="001B6AFA">
        <w:t xml:space="preserve"> used for </w:t>
      </w:r>
      <w:r w:rsidR="009C28F7">
        <w:t xml:space="preserve">external </w:t>
      </w:r>
      <w:r w:rsidR="001B6AFA">
        <w:t>model validation</w:t>
      </w:r>
      <w:r w:rsidRPr="00265CD0">
        <w:t xml:space="preserve"> was extracted from the Secure Anonymised Information Linkage (SAIL) databank (</w:t>
      </w:r>
      <w:r w:rsidR="005E4ADB" w:rsidRPr="00265CD0">
        <w:fldChar w:fldCharType="begin"/>
      </w:r>
      <w:r w:rsidR="005E4ADB" w:rsidRPr="00265CD0">
        <w:instrText xml:space="preserve"> ADDIN EN.CITE &lt;EndNote&gt;&lt;Cite&gt;&lt;Author&gt;Ford&lt;/Author&gt;&lt;Year&gt;2009&lt;/Year&gt;&lt;RecNum&gt;31&lt;/RecNum&gt;&lt;DisplayText&gt;(Ford et al., 2009)&lt;/DisplayText&gt;&lt;record&gt;&lt;rec-number&gt;31&lt;/rec-number&gt;&lt;foreign-keys&gt;&lt;key app="EN" db-id="0sxsezaf7atedqef9vk5drdt9xzpawp0w5rv" timestamp="1684434868"&gt;31&lt;/key&gt;&lt;/foreign-keys&gt;&lt;ref-type name="Journal Article"&gt;17&lt;/ref-type&gt;&lt;contributors&gt;&lt;authors&gt;&lt;author&gt;Ford, David V.&lt;/author&gt;&lt;author&gt;Jones, Kerina H.&lt;/author&gt;&lt;author&gt;Verplancke, Jean-Philippe&lt;/author&gt;&lt;author&gt;Lyons, Ronan A.&lt;/author&gt;&lt;author&gt;John, Gareth&lt;/author&gt;&lt;author&gt;Brown, Ginevra&lt;/author&gt;&lt;author&gt;Brooks, Caroline J.&lt;/author&gt;&lt;author&gt;Thompson, Simon&lt;/author&gt;&lt;author&gt;Bodger, Owen&lt;/author&gt;&lt;author&gt;Couch, Tony&lt;/author&gt;&lt;author&gt;Leake, Ken&lt;/author&gt;&lt;/authors&gt;&lt;/contributors&gt;&lt;titles&gt;&lt;title&gt;The SAIL Databank: building a national architecture for e-health research and evaluation&lt;/title&gt;&lt;secondary-title&gt;BMC Health Services Research&lt;/secondary-title&gt;&lt;/titles&gt;&lt;periodical&gt;&lt;full-title&gt;BMC Health Services Research&lt;/full-title&gt;&lt;/periodical&gt;&lt;pages&gt;157&lt;/pages&gt;&lt;volume&gt;9&lt;/volume&gt;&lt;number&gt;1&lt;/number&gt;&lt;dates&gt;&lt;year&gt;2009&lt;/year&gt;&lt;pub-dates&gt;&lt;date&gt;2009/09/04&lt;/date&gt;&lt;/pub-dates&gt;&lt;/dates&gt;&lt;isbn&gt;1472-6963&lt;/isbn&gt;&lt;urls&gt;&lt;related-urls&gt;&lt;url&gt;https://doi.org/10.1186/1472-6963-9-157&lt;/url&gt;&lt;/related-urls&gt;&lt;/urls&gt;&lt;electronic-resource-num&gt;10.1186/1472-6963-9-157&lt;/electronic-resource-num&gt;&lt;/record&gt;&lt;/Cite&gt;&lt;/EndNote&gt;</w:instrText>
      </w:r>
      <w:r w:rsidR="005E4ADB" w:rsidRPr="00265CD0">
        <w:fldChar w:fldCharType="separate"/>
      </w:r>
      <w:r w:rsidR="005E4ADB" w:rsidRPr="00265CD0">
        <w:rPr>
          <w:noProof/>
        </w:rPr>
        <w:t>(Ford et al., 2009)</w:t>
      </w:r>
      <w:r w:rsidR="005E4ADB" w:rsidRPr="00265CD0">
        <w:fldChar w:fldCharType="end"/>
      </w:r>
      <w:r w:rsidR="005E4ADB" w:rsidRPr="00265CD0">
        <w:t xml:space="preserve">, </w:t>
      </w:r>
      <w:r w:rsidR="00D54ADC" w:rsidRPr="00265CD0">
        <w:fldChar w:fldCharType="begin"/>
      </w:r>
      <w:r w:rsidR="00BA35DA">
        <w:instrText xml:space="preserve"> ADDIN EN.CITE &lt;EndNote&gt;&lt;Cite&gt;&lt;Author&gt;Jones&lt;/Author&gt;&lt;Year&gt;2019&lt;/Year&gt;&lt;RecNum&gt;34&lt;/RecNum&gt;&lt;DisplayText&gt;(Jones et al., 2019)&lt;/DisplayText&gt;&lt;record&gt;&lt;rec-number&gt;34&lt;/rec-number&gt;&lt;foreign-keys&gt;&lt;key app="EN" db-id="0sxsezaf7atedqef9vk5drdt9xzpawp0w5rv" timestamp="1684435478"&gt;34&lt;/key&gt;&lt;/foreign-keys&gt;&lt;ref-type name="Journal Article"&gt;17&lt;/ref-type&gt;&lt;contributors&gt;&lt;authors&gt;&lt;author&gt;Jones, K. H.&lt;/author&gt;&lt;author&gt;Ford, D. V.&lt;/author&gt;&lt;author&gt;Thompson, S.&lt;/author&gt;&lt;author&gt;Lyons, R. A.&lt;/author&gt;&lt;/authors&gt;&lt;/contributors&gt;&lt;auth-address&gt;Population Data Science, Swansea University Medical School, Singleton Park, Swansea SA2 8PP.&lt;/auth-address&gt;&lt;titles&gt;&lt;title&gt;A Profile of the SAIL Databank on the UK Secure Research Platform&lt;/title&gt;&lt;secondary-title&gt;Int J Popul Data Sci&lt;/secondary-title&gt;&lt;/titles&gt;&lt;periodical&gt;&lt;full-title&gt;Int J Popul Data Sci&lt;/full-title&gt;&lt;/periodical&gt;&lt;pages&gt;1134&lt;/pages&gt;&lt;volume&gt;4&lt;/volume&gt;&lt;number&gt;2&lt;/number&gt;&lt;edition&gt;2019/11/20&lt;/edition&gt;&lt;dates&gt;&lt;year&gt;2019&lt;/year&gt;&lt;pub-dates&gt;&lt;date&gt;Nov 20&lt;/date&gt;&lt;/pub-dates&gt;&lt;/dates&gt;&lt;isbn&gt;2399-4908&lt;/isbn&gt;&lt;accession-num&gt;34095541&lt;/accession-num&gt;&lt;urls&gt;&lt;/urls&gt;&lt;custom2&gt;PMC8142954 interest.&lt;/custom2&gt;&lt;electronic-resource-num&gt;10.23889/ijpds.v4i2.1134&lt;/electronic-resource-num&gt;&lt;remote-database-provider&gt;NLM&lt;/remote-database-provider&gt;&lt;language&gt;eng&lt;/language&gt;&lt;/record&gt;&lt;/Cite&gt;&lt;/EndNote&gt;</w:instrText>
      </w:r>
      <w:r w:rsidR="00D54ADC" w:rsidRPr="00265CD0">
        <w:fldChar w:fldCharType="separate"/>
      </w:r>
      <w:r w:rsidR="00BA35DA">
        <w:rPr>
          <w:noProof/>
        </w:rPr>
        <w:t>(Jones et al., 2019)</w:t>
      </w:r>
      <w:r w:rsidR="00D54ADC" w:rsidRPr="00265CD0">
        <w:fldChar w:fldCharType="end"/>
      </w:r>
      <w:r w:rsidR="00D54ADC" w:rsidRPr="00265CD0">
        <w:t xml:space="preserve">, </w:t>
      </w:r>
      <w:r w:rsidR="00154F73" w:rsidRPr="00265CD0">
        <w:fldChar w:fldCharType="begin"/>
      </w:r>
      <w:r w:rsidR="00154F73" w:rsidRPr="00265CD0">
        <w:instrText xml:space="preserve"> ADDIN EN.CITE &lt;EndNote&gt;&lt;Cite&gt;&lt;Author&gt;Lyons&lt;/Author&gt;&lt;Year&gt;2009&lt;/Year&gt;&lt;RecNum&gt;39&lt;/RecNum&gt;&lt;DisplayText&gt;(Lyons et al., 2009)&lt;/DisplayText&gt;&lt;record&gt;&lt;rec-number&gt;39&lt;/rec-number&gt;&lt;foreign-keys&gt;&lt;key app="EN" db-id="0sxsezaf7atedqef9vk5drdt9xzpawp0w5rv" timestamp="1684437131"&gt;39&lt;/key&gt;&lt;/foreign-keys&gt;&lt;ref-type name="Journal Article"&gt;17&lt;/ref-type&gt;&lt;contributors&gt;&lt;authors&gt;&lt;author&gt;Lyons, Ronan A.&lt;/author&gt;&lt;author&gt;Jones, Kerina H.&lt;/author&gt;&lt;author&gt;John, Gareth&lt;/author&gt;&lt;author&gt;Brooks, Caroline J.&lt;/author&gt;&lt;author&gt;Verplancke, Jean-Philippe&lt;/author&gt;&lt;author&gt;Ford, David V.&lt;/author&gt;&lt;author&gt;Brown, Ginevra&lt;/author&gt;&lt;author&gt;Leake, Ken&lt;/author&gt;&lt;/authors&gt;&lt;/contributors&gt;&lt;titles&gt;&lt;title&gt;The SAIL databank: linking multiple health and social care datasets&lt;/title&gt;&lt;secondary-title&gt;BMC Medical Informatics and Decision Making&lt;/secondary-title&gt;&lt;/titles&gt;&lt;periodical&gt;&lt;full-title&gt;BMC Medical Informatics and Decision Making&lt;/full-title&gt;&lt;/periodical&gt;&lt;pages&gt;3&lt;/pages&gt;&lt;volume&gt;9&lt;/volume&gt;&lt;number&gt;1&lt;/number&gt;&lt;dates&gt;&lt;year&gt;2009&lt;/year&gt;&lt;pub-dates&gt;&lt;date&gt;2009/01/16&lt;/date&gt;&lt;/pub-dates&gt;&lt;/dates&gt;&lt;isbn&gt;1472-6947&lt;/isbn&gt;&lt;urls&gt;&lt;related-urls&gt;&lt;url&gt;https://doi.org/10.1186/1472-6947-9-3&lt;/url&gt;&lt;/related-urls&gt;&lt;/urls&gt;&lt;electronic-resource-num&gt;10.1186/1472-6947-9-3&lt;/electronic-resource-num&gt;&lt;/record&gt;&lt;/Cite&gt;&lt;/EndNote&gt;</w:instrText>
      </w:r>
      <w:r w:rsidR="00154F73" w:rsidRPr="00265CD0">
        <w:fldChar w:fldCharType="separate"/>
      </w:r>
      <w:r w:rsidR="00154F73" w:rsidRPr="00265CD0">
        <w:rPr>
          <w:noProof/>
        </w:rPr>
        <w:t>(Lyons et al., 2009)</w:t>
      </w:r>
      <w:r w:rsidR="00154F73" w:rsidRPr="00265CD0">
        <w:fldChar w:fldCharType="end"/>
      </w:r>
      <w:r w:rsidR="00154F73" w:rsidRPr="00265CD0">
        <w:t xml:space="preserve">, </w:t>
      </w:r>
      <w:r w:rsidR="00154F73" w:rsidRPr="00265CD0">
        <w:fldChar w:fldCharType="begin"/>
      </w:r>
      <w:r w:rsidR="00154F73" w:rsidRPr="00265CD0">
        <w:instrText xml:space="preserve"> ADDIN EN.CITE &lt;EndNote&gt;&lt;Cite&gt;&lt;Author&gt;Databank&lt;/Author&gt;&lt;Year&gt;2021&lt;/Year&gt;&lt;RecNum&gt;16&lt;/RecNum&gt;&lt;DisplayText&gt;(Databank, 2021)&lt;/DisplayText&gt;&lt;record&gt;&lt;rec-number&gt;16&lt;/rec-number&gt;&lt;foreign-keys&gt;&lt;key app="EN" db-id="0sxsezaf7atedqef9vk5drdt9xzpawp0w5rv" timestamp="1684241179"&gt;16&lt;/key&gt;&lt;/foreign-keys&gt;&lt;ref-type name="Web Page"&gt;12&lt;/ref-type&gt;&lt;contributors&gt;&lt;authors&gt;&lt;author&gt;SAIL Databank&lt;/author&gt;&lt;/authors&gt;&lt;/contributors&gt;&lt;titles&gt;&lt;title&gt;SAIL Databank&lt;/title&gt;&lt;/titles&gt;&lt;volume&gt;2021&lt;/volume&gt;&lt;number&gt;23/8/2022&lt;/number&gt;&lt;dates&gt;&lt;year&gt;2021&lt;/year&gt;&lt;/dates&gt;&lt;urls&gt;&lt;related-urls&gt;&lt;url&gt;https://saildatabank.com/&lt;/url&gt;&lt;/related-urls&gt;&lt;/urls&gt;&lt;/record&gt;&lt;/Cite&gt;&lt;/EndNote&gt;</w:instrText>
      </w:r>
      <w:r w:rsidR="00154F73" w:rsidRPr="00265CD0">
        <w:fldChar w:fldCharType="separate"/>
      </w:r>
      <w:r w:rsidR="00154F73" w:rsidRPr="00265CD0">
        <w:rPr>
          <w:noProof/>
        </w:rPr>
        <w:t>(Databank, 2021)</w:t>
      </w:r>
      <w:r w:rsidR="00154F73" w:rsidRPr="00265CD0">
        <w:fldChar w:fldCharType="end"/>
      </w:r>
      <w:r w:rsidR="001B6AFA">
        <w:t>. It</w:t>
      </w:r>
      <w:r w:rsidR="00A15019" w:rsidRPr="00265CD0">
        <w:t xml:space="preserve"> included patients aged </w:t>
      </w:r>
      <w:r w:rsidR="00801EF7">
        <w:t>&gt;=</w:t>
      </w:r>
      <w:r w:rsidR="00A15019" w:rsidRPr="00265CD0">
        <w:t>50 registered with GPs in Wales, at any time between 2006 and 2017 inclusive</w:t>
      </w:r>
      <w:r w:rsidR="00AE333E">
        <w:t xml:space="preserve">. </w:t>
      </w:r>
      <w:r w:rsidR="000775BE">
        <w:t xml:space="preserve"> </w:t>
      </w:r>
      <w:r w:rsidR="00AE333E">
        <w:t>The dataset r</w:t>
      </w:r>
      <w:r w:rsidR="000775BE">
        <w:t>epresent</w:t>
      </w:r>
      <w:r w:rsidR="00AE333E">
        <w:t>s</w:t>
      </w:r>
      <w:r w:rsidR="000775BE">
        <w:t xml:space="preserve"> </w:t>
      </w:r>
      <w:r w:rsidR="00A15019" w:rsidRPr="00265CD0">
        <w:t>approx</w:t>
      </w:r>
      <w:r w:rsidR="000775BE">
        <w:t>imately</w:t>
      </w:r>
      <w:r w:rsidR="00A15019" w:rsidRPr="00265CD0">
        <w:t xml:space="preserve"> 80%</w:t>
      </w:r>
      <w:r w:rsidR="000775BE">
        <w:t xml:space="preserve"> of the whole population</w:t>
      </w:r>
      <w:r w:rsidR="00CE2C92">
        <w:t xml:space="preserve"> of Wales</w:t>
      </w:r>
      <w:r w:rsidR="003619E5">
        <w:t xml:space="preserve"> </w:t>
      </w:r>
      <w:r w:rsidR="003619E5">
        <w:fldChar w:fldCharType="begin"/>
      </w:r>
      <w:r w:rsidR="003619E5">
        <w:instrText xml:space="preserve"> ADDIN EN.CITE &lt;EndNote&gt;&lt;Cite&gt;&lt;Author&gt;Swansea University&lt;/Author&gt;&lt;Year&gt;2021&lt;/Year&gt;&lt;RecNum&gt;69&lt;/RecNum&gt;&lt;DisplayText&gt;(Swansea University, 2021)&lt;/DisplayText&gt;&lt;record&gt;&lt;rec-number&gt;69&lt;/rec-number&gt;&lt;foreign-keys&gt;&lt;key app="EN" db-id="0sxsezaf7atedqef9vk5drdt9xzpawp0w5rv" timestamp="1685866274"&gt;69&lt;/key&gt;&lt;/foreign-keys&gt;&lt;ref-type name="Web Page"&gt;12&lt;/ref-type&gt;&lt;contributors&gt;&lt;authors&gt;&lt;author&gt;Swansea University,&lt;/author&gt;&lt;/authors&gt;&lt;/contributors&gt;&lt;titles&gt;&lt;title&gt;The People &amp;amp; Projects Using SAIL Databank in Health &amp;amp; Care Research Wales’ £6.5M Funding Announcement&lt;/title&gt;&lt;/titles&gt;&lt;volume&gt;2023&lt;/volume&gt;&lt;number&gt;4/6/2023&lt;/number&gt;&lt;dates&gt;&lt;year&gt;2021&lt;/year&gt;&lt;/dates&gt;&lt;urls&gt;&lt;related-urls&gt;&lt;url&gt;https://popdatasci.swan.ac.uk/sail-projects-funding/&lt;/url&gt;&lt;/related-urls&gt;&lt;/urls&gt;&lt;/record&gt;&lt;/Cite&gt;&lt;/EndNote&gt;</w:instrText>
      </w:r>
      <w:r w:rsidR="003619E5">
        <w:fldChar w:fldCharType="separate"/>
      </w:r>
      <w:r w:rsidR="003619E5">
        <w:rPr>
          <w:noProof/>
        </w:rPr>
        <w:t>(Swansea University, 2021)</w:t>
      </w:r>
      <w:r w:rsidR="003619E5">
        <w:fldChar w:fldCharType="end"/>
      </w:r>
      <w:r w:rsidR="00AE333E">
        <w:t>, since</w:t>
      </w:r>
      <w:r w:rsidR="000775BE">
        <w:t xml:space="preserve"> </w:t>
      </w:r>
      <w:r w:rsidR="00A15019" w:rsidRPr="00265CD0">
        <w:t xml:space="preserve">some people </w:t>
      </w:r>
      <w:r w:rsidR="00291460">
        <w:t xml:space="preserve">are not registered with a GP </w:t>
      </w:r>
      <w:r w:rsidR="00A15019" w:rsidRPr="00265CD0">
        <w:t xml:space="preserve"> and others might be registered with a GP in England. Following exclusions, the final dataset included 1,380,959 patients contributing 11,090,653 follow-up years. As the Welsh population is broadly </w:t>
      </w:r>
      <w:proofErr w:type="gramStart"/>
      <w:r w:rsidR="00A15019" w:rsidRPr="00265CD0">
        <w:t>similar to</w:t>
      </w:r>
      <w:proofErr w:type="gramEnd"/>
      <w:r w:rsidR="00A15019" w:rsidRPr="00265CD0">
        <w:t xml:space="preserve"> that of England, the SAIL dataset </w:t>
      </w:r>
      <w:r w:rsidR="007C3DCF">
        <w:t>was</w:t>
      </w:r>
      <w:r w:rsidR="00A15019" w:rsidRPr="00265CD0">
        <w:t xml:space="preserve"> a useful comparison for the purposes of validation of the SD model. There are, however, some differences in demographic and socio-economic structure that were reflected in the cohort datasets</w:t>
      </w:r>
      <w:r w:rsidR="005C4A0C">
        <w:t xml:space="preserve"> (Table 1)</w:t>
      </w:r>
      <w:r w:rsidR="00A15019" w:rsidRPr="00265CD0">
        <w:t xml:space="preserve"> and needed to be considered in the model development and validation process.</w:t>
      </w:r>
    </w:p>
    <w:p w14:paraId="30A833B5" w14:textId="77777777" w:rsidR="007C0770" w:rsidRDefault="007C0770" w:rsidP="001A1923"/>
    <w:p w14:paraId="625853C5" w14:textId="732CED6F" w:rsidR="000952CA" w:rsidRDefault="00F92FA7" w:rsidP="007C0770">
      <w:pPr>
        <w:ind w:firstLine="720"/>
      </w:pPr>
      <w:r w:rsidRPr="00265CD0">
        <w:t xml:space="preserve">The initial </w:t>
      </w:r>
      <w:r w:rsidR="004F2E7F" w:rsidRPr="00F94E87">
        <w:t>proportion</w:t>
      </w:r>
      <w:r w:rsidR="004F2E7F" w:rsidRPr="00265CD0">
        <w:t xml:space="preserve"> </w:t>
      </w:r>
      <w:r w:rsidRPr="00265CD0">
        <w:t xml:space="preserve">of patients in each of the 16 subgroups in each cohort at the start of 2006 are given in Table 1. </w:t>
      </w:r>
      <w:r w:rsidR="00BC615E">
        <w:t xml:space="preserve"> </w:t>
      </w:r>
      <w:r w:rsidR="00B61079">
        <w:t xml:space="preserve">Previous analyses of the </w:t>
      </w:r>
      <w:r w:rsidR="00A663E0">
        <w:t xml:space="preserve">RSC </w:t>
      </w:r>
      <w:r w:rsidR="00B61079">
        <w:t xml:space="preserve">cohort </w:t>
      </w:r>
      <w:r w:rsidR="001F5927">
        <w:t>found</w:t>
      </w:r>
      <w:r w:rsidRPr="003E4FD9">
        <w:t xml:space="preserve"> that even in the youngest age group</w:t>
      </w:r>
      <w:r w:rsidR="001F5927">
        <w:t>,</w:t>
      </w:r>
      <w:r w:rsidRPr="003E4FD9">
        <w:t xml:space="preserve"> substantial numbers </w:t>
      </w:r>
      <w:r w:rsidR="001F5927">
        <w:t xml:space="preserve">are </w:t>
      </w:r>
      <w:r w:rsidRPr="003E4FD9">
        <w:t xml:space="preserve">already living with frailty </w:t>
      </w:r>
      <w:r w:rsidRPr="003E4FD9">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Pr="003E4FD9">
        <w:fldChar w:fldCharType="separate"/>
      </w:r>
      <w:r w:rsidR="00F02A38">
        <w:rPr>
          <w:noProof/>
        </w:rPr>
        <w:t>(Walsh et al., 2023)</w:t>
      </w:r>
      <w:r w:rsidRPr="003E4FD9">
        <w:fldChar w:fldCharType="end"/>
      </w:r>
      <w:r w:rsidR="00B61079">
        <w:t xml:space="preserve">. </w:t>
      </w:r>
      <w:r w:rsidR="001F5927">
        <w:t>The same</w:t>
      </w:r>
      <w:r w:rsidR="00B61079">
        <w:t xml:space="preserve"> </w:t>
      </w:r>
      <w:r w:rsidR="007C3DCF">
        <w:t>wa</w:t>
      </w:r>
      <w:r w:rsidR="00B61079">
        <w:t xml:space="preserve">s </w:t>
      </w:r>
      <w:r w:rsidR="001F5927">
        <w:t xml:space="preserve">true </w:t>
      </w:r>
      <w:r w:rsidR="00B61079">
        <w:t xml:space="preserve">in the SAIL cohort, although prevalence at </w:t>
      </w:r>
      <w:r w:rsidR="001F5927">
        <w:t>ages 50-64</w:t>
      </w:r>
      <w:r w:rsidR="00B61079">
        <w:t xml:space="preserve"> </w:t>
      </w:r>
      <w:r w:rsidR="001F5927">
        <w:t xml:space="preserve">was even higher </w:t>
      </w:r>
      <w:r w:rsidR="00B61079">
        <w:t>in this population;</w:t>
      </w:r>
      <w:r w:rsidR="00057EBD" w:rsidRPr="003E4FD9">
        <w:t xml:space="preserve"> </w:t>
      </w:r>
      <w:r w:rsidR="001F5927">
        <w:t>roughly</w:t>
      </w:r>
      <w:r w:rsidR="001F5927" w:rsidRPr="003E4FD9">
        <w:t xml:space="preserve"> 11% (62,731 out of 579,199) </w:t>
      </w:r>
      <w:r w:rsidR="001F5927">
        <w:t>of</w:t>
      </w:r>
      <w:r w:rsidR="00057EBD" w:rsidRPr="003E4FD9">
        <w:t xml:space="preserve"> the RCGP</w:t>
      </w:r>
      <w:r w:rsidR="00E7621F">
        <w:t xml:space="preserve"> RSC</w:t>
      </w:r>
      <w:r w:rsidR="00057EBD" w:rsidRPr="003E4FD9">
        <w:t xml:space="preserve"> cohort </w:t>
      </w:r>
      <w:r w:rsidR="001F5927">
        <w:t>had</w:t>
      </w:r>
      <w:r w:rsidR="00057EBD" w:rsidRPr="003E4FD9">
        <w:t xml:space="preserve"> some degree of frailty </w:t>
      </w:r>
      <w:r w:rsidR="00FE7C6A" w:rsidRPr="003E4FD9">
        <w:t>in 2006</w:t>
      </w:r>
      <w:r w:rsidR="001F5927">
        <w:t>,</w:t>
      </w:r>
      <w:r w:rsidR="00FE7C6A" w:rsidRPr="003E4FD9">
        <w:t xml:space="preserve"> </w:t>
      </w:r>
      <w:r w:rsidR="00057EBD" w:rsidRPr="003E4FD9">
        <w:t xml:space="preserve">whilst in SAIL the </w:t>
      </w:r>
      <w:r w:rsidR="00EA176F" w:rsidRPr="003E4FD9">
        <w:t xml:space="preserve">proportion </w:t>
      </w:r>
      <w:r w:rsidR="001F5927">
        <w:t>wa</w:t>
      </w:r>
      <w:r w:rsidR="00057EBD" w:rsidRPr="003E4FD9">
        <w:t>s 18% (81,013 out of 442,480).</w:t>
      </w:r>
      <w:r w:rsidR="000952CA">
        <w:t xml:space="preserve"> </w:t>
      </w:r>
      <w:r w:rsidR="000952CA" w:rsidRPr="003E4FD9">
        <w:t>T</w:t>
      </w:r>
      <w:r w:rsidR="000952CA">
        <w:t xml:space="preserve">able 1 shows that in terms of </w:t>
      </w:r>
      <w:r w:rsidR="000952CA" w:rsidRPr="003E4FD9">
        <w:t>age structure</w:t>
      </w:r>
      <w:r w:rsidR="000952CA">
        <w:t>,</w:t>
      </w:r>
      <w:r w:rsidR="000952CA" w:rsidRPr="003E4FD9">
        <w:t xml:space="preserve"> </w:t>
      </w:r>
      <w:r w:rsidR="000952CA">
        <w:t>t</w:t>
      </w:r>
      <w:r w:rsidR="000952CA" w:rsidRPr="003E4FD9">
        <w:t>he two cohorts were similar at the start of 2006</w:t>
      </w:r>
      <w:r w:rsidR="000952CA">
        <w:t>, but th</w:t>
      </w:r>
      <w:r w:rsidR="000952CA" w:rsidRPr="003E4FD9">
        <w:t>ere were</w:t>
      </w:r>
      <w:r w:rsidR="000952CA">
        <w:t xml:space="preserve"> some</w:t>
      </w:r>
      <w:r w:rsidR="000952CA" w:rsidRPr="003E4FD9">
        <w:t xml:space="preserve"> differences in the prevalence of frailty</w:t>
      </w:r>
      <w:r w:rsidR="000952CA">
        <w:t>; a</w:t>
      </w:r>
      <w:r w:rsidR="000952CA" w:rsidRPr="003E4FD9">
        <w:t xml:space="preserve"> higher </w:t>
      </w:r>
      <w:r w:rsidR="000952CA">
        <w:t>proportion</w:t>
      </w:r>
      <w:r w:rsidR="000952CA" w:rsidRPr="003E4FD9">
        <w:t xml:space="preserve"> </w:t>
      </w:r>
      <w:r w:rsidR="000952CA">
        <w:t xml:space="preserve">were </w:t>
      </w:r>
      <w:r w:rsidR="000952CA" w:rsidRPr="003E4FD9">
        <w:t xml:space="preserve">recorded as </w:t>
      </w:r>
      <w:r w:rsidR="000952CA">
        <w:t>f</w:t>
      </w:r>
      <w:r w:rsidR="000952CA" w:rsidRPr="003E4FD9">
        <w:t xml:space="preserve">rail in the SAIL cohort (RCGP: 26.5% cf. SAIL: 34%). </w:t>
      </w:r>
      <w:r w:rsidR="000952CA">
        <w:t xml:space="preserve"> The</w:t>
      </w:r>
      <w:r w:rsidR="000952CA" w:rsidRPr="003E4FD9">
        <w:t xml:space="preserve"> </w:t>
      </w:r>
      <w:r w:rsidR="000952CA">
        <w:t xml:space="preserve">median </w:t>
      </w:r>
      <w:proofErr w:type="spellStart"/>
      <w:r w:rsidR="000952CA" w:rsidRPr="003E4FD9">
        <w:t>eFI</w:t>
      </w:r>
      <w:proofErr w:type="spellEnd"/>
      <w:r w:rsidR="000952CA" w:rsidRPr="003E4FD9">
        <w:t xml:space="preserve"> score for </w:t>
      </w:r>
      <w:r w:rsidR="000952CA">
        <w:t xml:space="preserve">the </w:t>
      </w:r>
      <w:r w:rsidR="00A663E0">
        <w:t>RSC</w:t>
      </w:r>
      <w:r w:rsidR="00A663E0" w:rsidRPr="003E4FD9">
        <w:t xml:space="preserve"> </w:t>
      </w:r>
      <w:r w:rsidR="000952CA">
        <w:t xml:space="preserve">cohort </w:t>
      </w:r>
      <w:r w:rsidR="000952CA" w:rsidRPr="003E4FD9">
        <w:t>is lower (0.056 (0.028 – 0.111)</w:t>
      </w:r>
      <w:r w:rsidR="000952CA">
        <w:t>)</w:t>
      </w:r>
      <w:r w:rsidR="000952CA" w:rsidRPr="003E4FD9">
        <w:t xml:space="preserve"> compared with that of SAIL (0.083 (0.02</w:t>
      </w:r>
      <w:r w:rsidR="00F6348D">
        <w:t>8</w:t>
      </w:r>
      <w:r w:rsidR="000952CA" w:rsidRPr="003E4FD9">
        <w:t xml:space="preserve"> – 0.13</w:t>
      </w:r>
      <w:r w:rsidR="00F6348D">
        <w:t>9</w:t>
      </w:r>
      <w:r w:rsidR="000952CA" w:rsidRPr="003E4FD9">
        <w:t>))</w:t>
      </w:r>
      <w:r w:rsidR="000952CA">
        <w:t>,</w:t>
      </w:r>
      <w:r w:rsidR="000952CA" w:rsidRPr="003E4FD9">
        <w:t xml:space="preserve"> suggesting a fitter population. </w:t>
      </w:r>
    </w:p>
    <w:p w14:paraId="328ECCC5" w14:textId="68AA24F2" w:rsidR="006C704D" w:rsidRPr="001256E0" w:rsidRDefault="006C704D" w:rsidP="00AF3336">
      <w:pPr>
        <w:pStyle w:val="Caption"/>
        <w:spacing w:before="240"/>
      </w:pPr>
      <w:r w:rsidRPr="001256E0">
        <w:t xml:space="preserve">Table 1. Initial </w:t>
      </w:r>
      <w:r w:rsidR="00FB3F8E" w:rsidRPr="001256E0">
        <w:t>percentage</w:t>
      </w:r>
      <w:r w:rsidRPr="001256E0">
        <w:t xml:space="preserve"> of patients in each of the 16 frailty / age subgroups in each cohort</w:t>
      </w:r>
    </w:p>
    <w:tbl>
      <w:tblPr>
        <w:tblStyle w:val="TableGrid"/>
        <w:tblW w:w="0" w:type="auto"/>
        <w:tblLook w:val="04A0" w:firstRow="1" w:lastRow="0" w:firstColumn="1" w:lastColumn="0" w:noHBand="0" w:noVBand="1"/>
      </w:tblPr>
      <w:tblGrid>
        <w:gridCol w:w="2972"/>
        <w:gridCol w:w="992"/>
        <w:gridCol w:w="851"/>
        <w:gridCol w:w="1111"/>
        <w:gridCol w:w="939"/>
        <w:gridCol w:w="1695"/>
      </w:tblGrid>
      <w:tr w:rsidR="006C704D" w:rsidRPr="007404CA" w14:paraId="3211D71A" w14:textId="77777777" w:rsidTr="00A752C2">
        <w:tc>
          <w:tcPr>
            <w:tcW w:w="2972" w:type="dxa"/>
            <w:vAlign w:val="center"/>
          </w:tcPr>
          <w:p w14:paraId="2B527C3B" w14:textId="77777777" w:rsidR="006C704D" w:rsidRPr="00F17A53" w:rsidRDefault="006C704D">
            <w:pPr>
              <w:spacing w:line="240" w:lineRule="auto"/>
            </w:pPr>
            <w:r w:rsidRPr="00F17A53">
              <w:t>Cohort &amp; Age Group</w:t>
            </w:r>
          </w:p>
        </w:tc>
        <w:tc>
          <w:tcPr>
            <w:tcW w:w="992" w:type="dxa"/>
            <w:vAlign w:val="center"/>
          </w:tcPr>
          <w:p w14:paraId="00490CDA" w14:textId="77777777" w:rsidR="006C704D" w:rsidRPr="00F17A53" w:rsidRDefault="006C704D" w:rsidP="00A752C2">
            <w:pPr>
              <w:spacing w:line="240" w:lineRule="auto"/>
            </w:pPr>
            <w:r w:rsidRPr="00F17A53">
              <w:t>Fit</w:t>
            </w:r>
          </w:p>
          <w:p w14:paraId="1674B509" w14:textId="319835C1" w:rsidR="007252BC" w:rsidRPr="00F17A53" w:rsidRDefault="007252BC" w:rsidP="00A752C2">
            <w:pPr>
              <w:spacing w:line="240" w:lineRule="auto"/>
            </w:pPr>
            <w:r w:rsidRPr="00F17A53">
              <w:t>(%)</w:t>
            </w:r>
          </w:p>
        </w:tc>
        <w:tc>
          <w:tcPr>
            <w:tcW w:w="851" w:type="dxa"/>
            <w:vAlign w:val="center"/>
          </w:tcPr>
          <w:p w14:paraId="7A4A8926" w14:textId="77777777" w:rsidR="006C704D" w:rsidRPr="00F17A53" w:rsidRDefault="006C704D" w:rsidP="00A752C2">
            <w:pPr>
              <w:spacing w:line="240" w:lineRule="auto"/>
            </w:pPr>
            <w:r w:rsidRPr="00F17A53">
              <w:t>Mild</w:t>
            </w:r>
          </w:p>
          <w:p w14:paraId="1651C655" w14:textId="479ADFC2" w:rsidR="007252BC" w:rsidRPr="00F17A53" w:rsidRDefault="007252BC" w:rsidP="00A752C2">
            <w:pPr>
              <w:spacing w:line="240" w:lineRule="auto"/>
            </w:pPr>
            <w:r w:rsidRPr="00F17A53">
              <w:t>(%)</w:t>
            </w:r>
          </w:p>
        </w:tc>
        <w:tc>
          <w:tcPr>
            <w:tcW w:w="1111" w:type="dxa"/>
            <w:vAlign w:val="center"/>
          </w:tcPr>
          <w:p w14:paraId="265BA464" w14:textId="77777777" w:rsidR="006C704D" w:rsidRPr="00F17A53" w:rsidRDefault="006C704D" w:rsidP="00A752C2">
            <w:pPr>
              <w:spacing w:line="240" w:lineRule="auto"/>
            </w:pPr>
            <w:r w:rsidRPr="00F17A53">
              <w:t>Moderate</w:t>
            </w:r>
          </w:p>
          <w:p w14:paraId="5A3256DC" w14:textId="19D3D868" w:rsidR="007252BC" w:rsidRPr="00F17A53" w:rsidRDefault="007252BC" w:rsidP="00A752C2">
            <w:pPr>
              <w:spacing w:line="240" w:lineRule="auto"/>
            </w:pPr>
            <w:r w:rsidRPr="00F17A53">
              <w:t>(%)</w:t>
            </w:r>
          </w:p>
        </w:tc>
        <w:tc>
          <w:tcPr>
            <w:tcW w:w="939" w:type="dxa"/>
            <w:vAlign w:val="center"/>
          </w:tcPr>
          <w:p w14:paraId="496ED6A6" w14:textId="77777777" w:rsidR="006C704D" w:rsidRPr="00F17A53" w:rsidRDefault="006C704D" w:rsidP="00A752C2">
            <w:pPr>
              <w:spacing w:line="240" w:lineRule="auto"/>
            </w:pPr>
            <w:r w:rsidRPr="00F17A53">
              <w:t>Severe</w:t>
            </w:r>
          </w:p>
          <w:p w14:paraId="583B27A9" w14:textId="01EB1F80" w:rsidR="007252BC" w:rsidRPr="00F17A53" w:rsidRDefault="007252BC" w:rsidP="00A752C2">
            <w:pPr>
              <w:spacing w:line="240" w:lineRule="auto"/>
            </w:pPr>
            <w:r w:rsidRPr="00F17A53">
              <w:t>(%)</w:t>
            </w:r>
          </w:p>
        </w:tc>
        <w:tc>
          <w:tcPr>
            <w:tcW w:w="1695" w:type="dxa"/>
            <w:vAlign w:val="center"/>
          </w:tcPr>
          <w:p w14:paraId="706D7441" w14:textId="260C147D" w:rsidR="006C704D" w:rsidRPr="00F17A53" w:rsidRDefault="006C704D" w:rsidP="00A752C2">
            <w:pPr>
              <w:spacing w:line="240" w:lineRule="auto"/>
            </w:pPr>
            <w:r w:rsidRPr="00F17A53">
              <w:t>Percentage of cohort</w:t>
            </w:r>
          </w:p>
        </w:tc>
      </w:tr>
      <w:tr w:rsidR="006C704D" w:rsidRPr="007404CA" w14:paraId="7B174948" w14:textId="77777777" w:rsidTr="00A752C2">
        <w:tc>
          <w:tcPr>
            <w:tcW w:w="2972" w:type="dxa"/>
            <w:vAlign w:val="center"/>
          </w:tcPr>
          <w:p w14:paraId="7175D317" w14:textId="3A851C29" w:rsidR="006C704D" w:rsidRPr="001256E0" w:rsidRDefault="006C704D">
            <w:pPr>
              <w:spacing w:line="240" w:lineRule="auto"/>
            </w:pPr>
            <w:r w:rsidRPr="001256E0">
              <w:t>RCGP</w:t>
            </w:r>
            <w:r w:rsidR="00E7621F" w:rsidRPr="001256E0">
              <w:t xml:space="preserve"> RSC</w:t>
            </w:r>
            <w:r w:rsidRPr="001256E0">
              <w:t xml:space="preserve"> </w:t>
            </w:r>
          </w:p>
        </w:tc>
        <w:tc>
          <w:tcPr>
            <w:tcW w:w="992" w:type="dxa"/>
            <w:vAlign w:val="center"/>
          </w:tcPr>
          <w:p w14:paraId="5030009B" w14:textId="77777777" w:rsidR="006C704D" w:rsidRPr="00855D13" w:rsidRDefault="006C704D" w:rsidP="00AF3336">
            <w:pPr>
              <w:spacing w:line="240" w:lineRule="auto"/>
            </w:pPr>
          </w:p>
        </w:tc>
        <w:tc>
          <w:tcPr>
            <w:tcW w:w="851" w:type="dxa"/>
            <w:vAlign w:val="center"/>
          </w:tcPr>
          <w:p w14:paraId="5C941FD6" w14:textId="77777777" w:rsidR="006C704D" w:rsidRPr="00855D13" w:rsidRDefault="006C704D" w:rsidP="00AF3336">
            <w:pPr>
              <w:spacing w:line="240" w:lineRule="auto"/>
            </w:pPr>
          </w:p>
        </w:tc>
        <w:tc>
          <w:tcPr>
            <w:tcW w:w="1111" w:type="dxa"/>
            <w:vAlign w:val="center"/>
          </w:tcPr>
          <w:p w14:paraId="3996334D" w14:textId="77777777" w:rsidR="006C704D" w:rsidRPr="00855D13" w:rsidRDefault="006C704D" w:rsidP="00AF3336">
            <w:pPr>
              <w:spacing w:line="240" w:lineRule="auto"/>
            </w:pPr>
          </w:p>
        </w:tc>
        <w:tc>
          <w:tcPr>
            <w:tcW w:w="939" w:type="dxa"/>
            <w:vAlign w:val="center"/>
          </w:tcPr>
          <w:p w14:paraId="523AF3A7" w14:textId="77777777" w:rsidR="006C704D" w:rsidRPr="00855D13" w:rsidRDefault="006C704D" w:rsidP="00AF3336">
            <w:pPr>
              <w:spacing w:line="240" w:lineRule="auto"/>
            </w:pPr>
          </w:p>
        </w:tc>
        <w:tc>
          <w:tcPr>
            <w:tcW w:w="1695" w:type="dxa"/>
            <w:vAlign w:val="center"/>
          </w:tcPr>
          <w:p w14:paraId="3AA22FF9" w14:textId="77777777" w:rsidR="006C704D" w:rsidRPr="00855D13" w:rsidRDefault="006C704D" w:rsidP="00AF3336">
            <w:pPr>
              <w:spacing w:line="240" w:lineRule="auto"/>
            </w:pPr>
          </w:p>
        </w:tc>
      </w:tr>
      <w:tr w:rsidR="006C704D" w:rsidRPr="007404CA" w14:paraId="6B5B4226" w14:textId="77777777" w:rsidTr="00A752C2">
        <w:tc>
          <w:tcPr>
            <w:tcW w:w="2972" w:type="dxa"/>
            <w:vAlign w:val="center"/>
          </w:tcPr>
          <w:p w14:paraId="47634997" w14:textId="77777777" w:rsidR="006C704D" w:rsidRPr="0020103E" w:rsidRDefault="006C704D">
            <w:pPr>
              <w:spacing w:line="240" w:lineRule="auto"/>
            </w:pPr>
            <w:r w:rsidRPr="0020103E">
              <w:t>50 – 64</w:t>
            </w:r>
          </w:p>
        </w:tc>
        <w:tc>
          <w:tcPr>
            <w:tcW w:w="992" w:type="dxa"/>
            <w:vAlign w:val="center"/>
          </w:tcPr>
          <w:p w14:paraId="470AF834" w14:textId="666F5458" w:rsidR="006C704D" w:rsidRPr="00C509D6" w:rsidRDefault="00FB3F8E" w:rsidP="00AF3336">
            <w:pPr>
              <w:spacing w:line="240" w:lineRule="auto"/>
            </w:pPr>
            <w:r w:rsidRPr="00855D13">
              <w:t>46.8</w:t>
            </w:r>
          </w:p>
        </w:tc>
        <w:tc>
          <w:tcPr>
            <w:tcW w:w="851" w:type="dxa"/>
            <w:vAlign w:val="center"/>
          </w:tcPr>
          <w:p w14:paraId="0AE0AE46" w14:textId="23DFE2A5" w:rsidR="006C704D" w:rsidRPr="00C509D6" w:rsidRDefault="00FB3F8E" w:rsidP="00AF3336">
            <w:pPr>
              <w:spacing w:line="240" w:lineRule="auto"/>
            </w:pPr>
            <w:r w:rsidRPr="00855D13">
              <w:t>5.14</w:t>
            </w:r>
          </w:p>
        </w:tc>
        <w:tc>
          <w:tcPr>
            <w:tcW w:w="1111" w:type="dxa"/>
            <w:vAlign w:val="center"/>
          </w:tcPr>
          <w:p w14:paraId="688A5C90" w14:textId="7E31AC4E" w:rsidR="006C704D" w:rsidRPr="00C509D6" w:rsidRDefault="00352C48" w:rsidP="00AF3336">
            <w:pPr>
              <w:spacing w:line="240" w:lineRule="auto"/>
            </w:pPr>
            <w:r w:rsidRPr="00855D13">
              <w:t>0</w:t>
            </w:r>
            <w:r w:rsidR="00FB3F8E" w:rsidRPr="00855D13">
              <w:t>.49</w:t>
            </w:r>
          </w:p>
        </w:tc>
        <w:tc>
          <w:tcPr>
            <w:tcW w:w="939" w:type="dxa"/>
            <w:vAlign w:val="center"/>
          </w:tcPr>
          <w:p w14:paraId="1F0DF5CD" w14:textId="6AF30B4D" w:rsidR="006C704D" w:rsidRPr="00C509D6" w:rsidRDefault="00FB3F8E" w:rsidP="00AF3336">
            <w:pPr>
              <w:spacing w:line="240" w:lineRule="auto"/>
            </w:pPr>
            <w:r w:rsidRPr="00855D13">
              <w:t>0.048</w:t>
            </w:r>
          </w:p>
        </w:tc>
        <w:tc>
          <w:tcPr>
            <w:tcW w:w="1695" w:type="dxa"/>
            <w:vAlign w:val="center"/>
          </w:tcPr>
          <w:p w14:paraId="759B8C1E" w14:textId="77777777" w:rsidR="006C704D" w:rsidRPr="00C509D6" w:rsidRDefault="006C704D" w:rsidP="00AF3336">
            <w:pPr>
              <w:spacing w:line="240" w:lineRule="auto"/>
            </w:pPr>
            <w:r w:rsidRPr="00855D13">
              <w:t>52.5</w:t>
            </w:r>
          </w:p>
        </w:tc>
      </w:tr>
      <w:tr w:rsidR="006C704D" w:rsidRPr="007404CA" w14:paraId="2BB7805D" w14:textId="77777777" w:rsidTr="00A752C2">
        <w:tc>
          <w:tcPr>
            <w:tcW w:w="2972" w:type="dxa"/>
            <w:vAlign w:val="center"/>
          </w:tcPr>
          <w:p w14:paraId="27059156" w14:textId="77777777" w:rsidR="006C704D" w:rsidRPr="0020103E" w:rsidRDefault="006C704D">
            <w:pPr>
              <w:spacing w:line="240" w:lineRule="auto"/>
            </w:pPr>
            <w:r w:rsidRPr="0020103E">
              <w:t>65 – 74</w:t>
            </w:r>
          </w:p>
        </w:tc>
        <w:tc>
          <w:tcPr>
            <w:tcW w:w="992" w:type="dxa"/>
            <w:vAlign w:val="center"/>
          </w:tcPr>
          <w:p w14:paraId="1BA54884" w14:textId="49B40493" w:rsidR="006C704D" w:rsidRPr="00C509D6" w:rsidRDefault="00523595" w:rsidP="00AF3336">
            <w:pPr>
              <w:spacing w:line="240" w:lineRule="auto"/>
            </w:pPr>
            <w:r w:rsidRPr="00855D13">
              <w:t>16.95</w:t>
            </w:r>
          </w:p>
        </w:tc>
        <w:tc>
          <w:tcPr>
            <w:tcW w:w="851" w:type="dxa"/>
            <w:vAlign w:val="center"/>
          </w:tcPr>
          <w:p w14:paraId="2EDBB33D" w14:textId="7096E145" w:rsidR="006C704D" w:rsidRPr="00C509D6" w:rsidRDefault="00523595" w:rsidP="00AF3336">
            <w:pPr>
              <w:spacing w:line="240" w:lineRule="auto"/>
            </w:pPr>
            <w:r w:rsidRPr="00855D13">
              <w:t>6.27</w:t>
            </w:r>
          </w:p>
        </w:tc>
        <w:tc>
          <w:tcPr>
            <w:tcW w:w="1111" w:type="dxa"/>
            <w:vAlign w:val="center"/>
          </w:tcPr>
          <w:p w14:paraId="3D780958" w14:textId="34AA55DF" w:rsidR="006C704D" w:rsidRPr="00C509D6" w:rsidRDefault="00523595" w:rsidP="00AF3336">
            <w:pPr>
              <w:spacing w:line="240" w:lineRule="auto"/>
            </w:pPr>
            <w:r w:rsidRPr="00855D13">
              <w:t>1.08</w:t>
            </w:r>
          </w:p>
        </w:tc>
        <w:tc>
          <w:tcPr>
            <w:tcW w:w="939" w:type="dxa"/>
            <w:vAlign w:val="center"/>
          </w:tcPr>
          <w:p w14:paraId="410B5B2C" w14:textId="51EEF2F7" w:rsidR="006C704D" w:rsidRPr="00C509D6" w:rsidRDefault="001525CD" w:rsidP="00AF3336">
            <w:pPr>
              <w:spacing w:line="240" w:lineRule="auto"/>
            </w:pPr>
            <w:r w:rsidRPr="00855D13">
              <w:t>0.13</w:t>
            </w:r>
          </w:p>
        </w:tc>
        <w:tc>
          <w:tcPr>
            <w:tcW w:w="1695" w:type="dxa"/>
            <w:vAlign w:val="center"/>
          </w:tcPr>
          <w:p w14:paraId="6BB57788" w14:textId="77777777" w:rsidR="006C704D" w:rsidRPr="00C509D6" w:rsidRDefault="006C704D" w:rsidP="00AF3336">
            <w:pPr>
              <w:spacing w:line="240" w:lineRule="auto"/>
            </w:pPr>
            <w:r w:rsidRPr="00855D13">
              <w:t>24.4</w:t>
            </w:r>
          </w:p>
        </w:tc>
      </w:tr>
      <w:tr w:rsidR="006C704D" w:rsidRPr="007404CA" w14:paraId="4F6AE25F" w14:textId="77777777" w:rsidTr="00A752C2">
        <w:tc>
          <w:tcPr>
            <w:tcW w:w="2972" w:type="dxa"/>
            <w:vAlign w:val="center"/>
          </w:tcPr>
          <w:p w14:paraId="39C42F40" w14:textId="77777777" w:rsidR="006C704D" w:rsidRPr="0020103E" w:rsidRDefault="006C704D">
            <w:pPr>
              <w:spacing w:line="240" w:lineRule="auto"/>
            </w:pPr>
            <w:r w:rsidRPr="0020103E">
              <w:t>75 – 84</w:t>
            </w:r>
          </w:p>
        </w:tc>
        <w:tc>
          <w:tcPr>
            <w:tcW w:w="992" w:type="dxa"/>
            <w:vAlign w:val="center"/>
          </w:tcPr>
          <w:p w14:paraId="36557E52" w14:textId="535A6FD0" w:rsidR="006C704D" w:rsidRPr="00C509D6" w:rsidRDefault="00871875" w:rsidP="00AF3336">
            <w:pPr>
              <w:spacing w:line="240" w:lineRule="auto"/>
            </w:pPr>
            <w:r w:rsidRPr="00855D13">
              <w:t>7.82</w:t>
            </w:r>
          </w:p>
        </w:tc>
        <w:tc>
          <w:tcPr>
            <w:tcW w:w="851" w:type="dxa"/>
            <w:vAlign w:val="center"/>
          </w:tcPr>
          <w:p w14:paraId="08DBE1FD" w14:textId="05C1B399" w:rsidR="006C704D" w:rsidRPr="00C509D6" w:rsidRDefault="00871875" w:rsidP="00AF3336">
            <w:pPr>
              <w:spacing w:line="240" w:lineRule="auto"/>
            </w:pPr>
            <w:r w:rsidRPr="00855D13">
              <w:t>6.51</w:t>
            </w:r>
          </w:p>
        </w:tc>
        <w:tc>
          <w:tcPr>
            <w:tcW w:w="1111" w:type="dxa"/>
            <w:vAlign w:val="center"/>
          </w:tcPr>
          <w:p w14:paraId="76796459" w14:textId="6CCA2B78" w:rsidR="006C704D" w:rsidRPr="00C509D6" w:rsidRDefault="00871875" w:rsidP="00AF3336">
            <w:pPr>
              <w:spacing w:line="240" w:lineRule="auto"/>
            </w:pPr>
            <w:r w:rsidRPr="00855D13">
              <w:t>2.14</w:t>
            </w:r>
          </w:p>
        </w:tc>
        <w:tc>
          <w:tcPr>
            <w:tcW w:w="939" w:type="dxa"/>
            <w:vAlign w:val="center"/>
          </w:tcPr>
          <w:p w14:paraId="2A0BA870" w14:textId="53899410" w:rsidR="006C704D" w:rsidRPr="00C509D6" w:rsidRDefault="00871875" w:rsidP="00AF3336">
            <w:pPr>
              <w:spacing w:line="240" w:lineRule="auto"/>
            </w:pPr>
            <w:r w:rsidRPr="00855D13">
              <w:t>0.45</w:t>
            </w:r>
          </w:p>
        </w:tc>
        <w:tc>
          <w:tcPr>
            <w:tcW w:w="1695" w:type="dxa"/>
            <w:vAlign w:val="center"/>
          </w:tcPr>
          <w:p w14:paraId="1C499F24" w14:textId="77777777" w:rsidR="006C704D" w:rsidRPr="00C509D6" w:rsidRDefault="006C704D" w:rsidP="00AF3336">
            <w:pPr>
              <w:spacing w:line="240" w:lineRule="auto"/>
            </w:pPr>
            <w:r w:rsidRPr="00855D13">
              <w:t>16.9</w:t>
            </w:r>
          </w:p>
        </w:tc>
      </w:tr>
      <w:tr w:rsidR="006C704D" w:rsidRPr="007404CA" w14:paraId="0B077A0F" w14:textId="77777777" w:rsidTr="00A752C2">
        <w:tc>
          <w:tcPr>
            <w:tcW w:w="2972" w:type="dxa"/>
            <w:vAlign w:val="center"/>
          </w:tcPr>
          <w:p w14:paraId="527B3C7D" w14:textId="77777777" w:rsidR="006C704D" w:rsidRPr="0020103E" w:rsidRDefault="006C704D">
            <w:pPr>
              <w:spacing w:line="240" w:lineRule="auto"/>
            </w:pPr>
            <w:r w:rsidRPr="0020103E">
              <w:t>85+</w:t>
            </w:r>
          </w:p>
        </w:tc>
        <w:tc>
          <w:tcPr>
            <w:tcW w:w="992" w:type="dxa"/>
            <w:vAlign w:val="center"/>
          </w:tcPr>
          <w:p w14:paraId="5CCC696A" w14:textId="2B9D3242" w:rsidR="006C704D" w:rsidRPr="00C509D6" w:rsidRDefault="00871875" w:rsidP="00AF3336">
            <w:pPr>
              <w:spacing w:line="240" w:lineRule="auto"/>
            </w:pPr>
            <w:r w:rsidRPr="00855D13">
              <w:t>1.93</w:t>
            </w:r>
          </w:p>
        </w:tc>
        <w:tc>
          <w:tcPr>
            <w:tcW w:w="851" w:type="dxa"/>
            <w:vAlign w:val="center"/>
          </w:tcPr>
          <w:p w14:paraId="28F4F7D4" w14:textId="6A49C459" w:rsidR="006C704D" w:rsidRPr="00C509D6" w:rsidRDefault="00871875" w:rsidP="00AF3336">
            <w:pPr>
              <w:spacing w:line="240" w:lineRule="auto"/>
            </w:pPr>
            <w:r w:rsidRPr="00855D13">
              <w:t>2.53</w:t>
            </w:r>
          </w:p>
        </w:tc>
        <w:tc>
          <w:tcPr>
            <w:tcW w:w="1111" w:type="dxa"/>
            <w:vAlign w:val="center"/>
          </w:tcPr>
          <w:p w14:paraId="58D43E34" w14:textId="257DD2DD" w:rsidR="006C704D" w:rsidRPr="00C509D6" w:rsidRDefault="00871875" w:rsidP="00AF3336">
            <w:pPr>
              <w:spacing w:line="240" w:lineRule="auto"/>
            </w:pPr>
            <w:r w:rsidRPr="00855D13">
              <w:t>1.30</w:t>
            </w:r>
          </w:p>
        </w:tc>
        <w:tc>
          <w:tcPr>
            <w:tcW w:w="939" w:type="dxa"/>
            <w:vAlign w:val="center"/>
          </w:tcPr>
          <w:p w14:paraId="616347F3" w14:textId="3D8493C4" w:rsidR="006C704D" w:rsidRPr="00C509D6" w:rsidRDefault="00871875" w:rsidP="00AF3336">
            <w:pPr>
              <w:spacing w:line="240" w:lineRule="auto"/>
            </w:pPr>
            <w:r w:rsidRPr="00855D13">
              <w:t>0.42</w:t>
            </w:r>
          </w:p>
        </w:tc>
        <w:tc>
          <w:tcPr>
            <w:tcW w:w="1695" w:type="dxa"/>
            <w:vAlign w:val="center"/>
          </w:tcPr>
          <w:p w14:paraId="38CC272B" w14:textId="77777777" w:rsidR="006C704D" w:rsidRPr="00C509D6" w:rsidRDefault="006C704D" w:rsidP="00AF3336">
            <w:pPr>
              <w:spacing w:line="240" w:lineRule="auto"/>
            </w:pPr>
            <w:r w:rsidRPr="00855D13">
              <w:t>6.2</w:t>
            </w:r>
          </w:p>
        </w:tc>
      </w:tr>
      <w:tr w:rsidR="006C704D" w:rsidRPr="007404CA" w14:paraId="43117B23" w14:textId="77777777" w:rsidTr="00A752C2">
        <w:tc>
          <w:tcPr>
            <w:tcW w:w="2972" w:type="dxa"/>
            <w:vAlign w:val="center"/>
          </w:tcPr>
          <w:p w14:paraId="38E25855" w14:textId="30617564" w:rsidR="006C704D" w:rsidRPr="0020103E" w:rsidRDefault="006C704D">
            <w:pPr>
              <w:spacing w:line="240" w:lineRule="auto"/>
            </w:pPr>
            <w:r w:rsidRPr="0020103E">
              <w:t>Percentage of cohort</w:t>
            </w:r>
          </w:p>
        </w:tc>
        <w:tc>
          <w:tcPr>
            <w:tcW w:w="992" w:type="dxa"/>
            <w:vAlign w:val="center"/>
          </w:tcPr>
          <w:p w14:paraId="5E638846" w14:textId="77777777" w:rsidR="006C704D" w:rsidRPr="00C509D6" w:rsidRDefault="006C704D" w:rsidP="00AF3336">
            <w:pPr>
              <w:spacing w:line="240" w:lineRule="auto"/>
            </w:pPr>
            <w:r w:rsidRPr="00855D13">
              <w:t>73.5</w:t>
            </w:r>
          </w:p>
        </w:tc>
        <w:tc>
          <w:tcPr>
            <w:tcW w:w="851" w:type="dxa"/>
            <w:vAlign w:val="center"/>
          </w:tcPr>
          <w:p w14:paraId="2B6FC5A4" w14:textId="77777777" w:rsidR="006C704D" w:rsidRPr="00C509D6" w:rsidRDefault="006C704D" w:rsidP="00AF3336">
            <w:pPr>
              <w:spacing w:line="240" w:lineRule="auto"/>
            </w:pPr>
            <w:r w:rsidRPr="00855D13">
              <w:t>20.5</w:t>
            </w:r>
          </w:p>
        </w:tc>
        <w:tc>
          <w:tcPr>
            <w:tcW w:w="1111" w:type="dxa"/>
            <w:vAlign w:val="center"/>
          </w:tcPr>
          <w:p w14:paraId="79FDE0BE" w14:textId="77777777" w:rsidR="006C704D" w:rsidRPr="00C509D6" w:rsidRDefault="006C704D" w:rsidP="00AF3336">
            <w:pPr>
              <w:spacing w:line="240" w:lineRule="auto"/>
            </w:pPr>
            <w:r w:rsidRPr="00855D13">
              <w:t>5.0</w:t>
            </w:r>
          </w:p>
        </w:tc>
        <w:tc>
          <w:tcPr>
            <w:tcW w:w="939" w:type="dxa"/>
            <w:vAlign w:val="center"/>
          </w:tcPr>
          <w:p w14:paraId="1BA3D3C2" w14:textId="77777777" w:rsidR="006C704D" w:rsidRPr="00C509D6" w:rsidRDefault="006C704D" w:rsidP="00AF3336">
            <w:pPr>
              <w:spacing w:line="240" w:lineRule="auto"/>
            </w:pPr>
            <w:r w:rsidRPr="00855D13">
              <w:t>1.1</w:t>
            </w:r>
          </w:p>
        </w:tc>
        <w:tc>
          <w:tcPr>
            <w:tcW w:w="1695" w:type="dxa"/>
            <w:vAlign w:val="center"/>
          </w:tcPr>
          <w:p w14:paraId="76FF8154" w14:textId="11AD17F4" w:rsidR="006C704D" w:rsidRPr="00855D13" w:rsidRDefault="00F17A53" w:rsidP="00AF3336">
            <w:pPr>
              <w:spacing w:line="240" w:lineRule="auto"/>
            </w:pPr>
            <w:r>
              <w:t>100</w:t>
            </w:r>
          </w:p>
        </w:tc>
      </w:tr>
      <w:tr w:rsidR="004F2E7F" w:rsidRPr="007404CA" w14:paraId="5A07751F" w14:textId="77777777" w:rsidTr="004F2E7F">
        <w:tc>
          <w:tcPr>
            <w:tcW w:w="2972" w:type="dxa"/>
            <w:vAlign w:val="center"/>
          </w:tcPr>
          <w:p w14:paraId="63155FFC" w14:textId="6ADD3497" w:rsidR="004F2E7F" w:rsidRPr="0020103E" w:rsidRDefault="004F2E7F">
            <w:pPr>
              <w:spacing w:line="240" w:lineRule="auto"/>
            </w:pPr>
          </w:p>
        </w:tc>
        <w:tc>
          <w:tcPr>
            <w:tcW w:w="992" w:type="dxa"/>
            <w:vAlign w:val="center"/>
          </w:tcPr>
          <w:p w14:paraId="46102BDA" w14:textId="77777777" w:rsidR="004F2E7F" w:rsidRPr="00855D13" w:rsidRDefault="004F2E7F">
            <w:pPr>
              <w:spacing w:line="240" w:lineRule="auto"/>
            </w:pPr>
          </w:p>
        </w:tc>
        <w:tc>
          <w:tcPr>
            <w:tcW w:w="851" w:type="dxa"/>
            <w:vAlign w:val="center"/>
          </w:tcPr>
          <w:p w14:paraId="756F13D9" w14:textId="77777777" w:rsidR="004F2E7F" w:rsidRPr="00855D13" w:rsidRDefault="004F2E7F">
            <w:pPr>
              <w:spacing w:line="240" w:lineRule="auto"/>
            </w:pPr>
          </w:p>
        </w:tc>
        <w:tc>
          <w:tcPr>
            <w:tcW w:w="1111" w:type="dxa"/>
            <w:vAlign w:val="center"/>
          </w:tcPr>
          <w:p w14:paraId="41595AE0" w14:textId="77777777" w:rsidR="004F2E7F" w:rsidRPr="00855D13" w:rsidRDefault="004F2E7F">
            <w:pPr>
              <w:spacing w:line="240" w:lineRule="auto"/>
            </w:pPr>
          </w:p>
        </w:tc>
        <w:tc>
          <w:tcPr>
            <w:tcW w:w="939" w:type="dxa"/>
            <w:vAlign w:val="center"/>
          </w:tcPr>
          <w:p w14:paraId="1C0024B6" w14:textId="77777777" w:rsidR="004F2E7F" w:rsidRPr="00855D13" w:rsidRDefault="004F2E7F">
            <w:pPr>
              <w:spacing w:line="240" w:lineRule="auto"/>
            </w:pPr>
          </w:p>
        </w:tc>
        <w:tc>
          <w:tcPr>
            <w:tcW w:w="1695" w:type="dxa"/>
            <w:vAlign w:val="center"/>
          </w:tcPr>
          <w:p w14:paraId="4C8D0BB8" w14:textId="7BFFD041" w:rsidR="004F2E7F" w:rsidRPr="00855D13" w:rsidRDefault="004F2E7F">
            <w:pPr>
              <w:spacing w:line="240" w:lineRule="auto"/>
            </w:pPr>
          </w:p>
        </w:tc>
      </w:tr>
      <w:tr w:rsidR="006C704D" w:rsidRPr="007404CA" w14:paraId="7FE08D49" w14:textId="77777777" w:rsidTr="00AF3336">
        <w:tc>
          <w:tcPr>
            <w:tcW w:w="2972" w:type="dxa"/>
            <w:vAlign w:val="center"/>
          </w:tcPr>
          <w:p w14:paraId="10ADBEDE" w14:textId="77777777" w:rsidR="006C704D" w:rsidRPr="001256E0" w:rsidRDefault="006C704D">
            <w:pPr>
              <w:spacing w:line="240" w:lineRule="auto"/>
            </w:pPr>
            <w:r w:rsidRPr="001256E0">
              <w:t>SAIL</w:t>
            </w:r>
          </w:p>
        </w:tc>
        <w:tc>
          <w:tcPr>
            <w:tcW w:w="992" w:type="dxa"/>
            <w:vAlign w:val="center"/>
          </w:tcPr>
          <w:p w14:paraId="747FF342" w14:textId="2B5116A2" w:rsidR="000F6161" w:rsidRPr="00855D13" w:rsidRDefault="000F6161" w:rsidP="00AF3336">
            <w:pPr>
              <w:spacing w:line="240" w:lineRule="auto"/>
            </w:pPr>
          </w:p>
        </w:tc>
        <w:tc>
          <w:tcPr>
            <w:tcW w:w="851" w:type="dxa"/>
            <w:vAlign w:val="center"/>
          </w:tcPr>
          <w:p w14:paraId="6BA4160C" w14:textId="4C47201D" w:rsidR="000F6161" w:rsidRPr="00855D13" w:rsidRDefault="000F6161" w:rsidP="00AF3336">
            <w:pPr>
              <w:spacing w:line="240" w:lineRule="auto"/>
            </w:pPr>
          </w:p>
        </w:tc>
        <w:tc>
          <w:tcPr>
            <w:tcW w:w="1111" w:type="dxa"/>
            <w:vAlign w:val="center"/>
          </w:tcPr>
          <w:p w14:paraId="10EEB9EE" w14:textId="16E59159" w:rsidR="000F6161" w:rsidRPr="00855D13" w:rsidRDefault="000F6161" w:rsidP="00AF3336">
            <w:pPr>
              <w:spacing w:line="240" w:lineRule="auto"/>
            </w:pPr>
          </w:p>
        </w:tc>
        <w:tc>
          <w:tcPr>
            <w:tcW w:w="939" w:type="dxa"/>
            <w:vAlign w:val="center"/>
          </w:tcPr>
          <w:p w14:paraId="315FA4C5" w14:textId="579EC6E5" w:rsidR="000F6161" w:rsidRPr="00855D13" w:rsidRDefault="000F6161" w:rsidP="00AF3336">
            <w:pPr>
              <w:spacing w:line="240" w:lineRule="auto"/>
            </w:pPr>
          </w:p>
        </w:tc>
        <w:tc>
          <w:tcPr>
            <w:tcW w:w="1695" w:type="dxa"/>
            <w:vAlign w:val="center"/>
          </w:tcPr>
          <w:p w14:paraId="3D40F415" w14:textId="6EFC5429" w:rsidR="006C704D" w:rsidRPr="00855D13" w:rsidRDefault="006C704D" w:rsidP="00AF3336">
            <w:pPr>
              <w:spacing w:line="240" w:lineRule="auto"/>
            </w:pPr>
          </w:p>
        </w:tc>
      </w:tr>
      <w:tr w:rsidR="006C704D" w:rsidRPr="007404CA" w14:paraId="647C32D2" w14:textId="77777777" w:rsidTr="00AF3336">
        <w:tc>
          <w:tcPr>
            <w:tcW w:w="2972" w:type="dxa"/>
            <w:vAlign w:val="center"/>
          </w:tcPr>
          <w:p w14:paraId="64992A8B" w14:textId="77777777" w:rsidR="006C704D" w:rsidRPr="0020103E" w:rsidRDefault="006C704D">
            <w:pPr>
              <w:spacing w:line="240" w:lineRule="auto"/>
            </w:pPr>
            <w:r w:rsidRPr="0020103E">
              <w:t>50 – 64</w:t>
            </w:r>
          </w:p>
        </w:tc>
        <w:tc>
          <w:tcPr>
            <w:tcW w:w="992" w:type="dxa"/>
            <w:vAlign w:val="center"/>
          </w:tcPr>
          <w:p w14:paraId="63020E9B" w14:textId="08383E6B" w:rsidR="006C704D" w:rsidRPr="00855D13" w:rsidRDefault="007252BC" w:rsidP="00AF3336">
            <w:pPr>
              <w:spacing w:line="240" w:lineRule="auto"/>
            </w:pPr>
            <w:r w:rsidRPr="00855D13">
              <w:t>43.16</w:t>
            </w:r>
          </w:p>
        </w:tc>
        <w:tc>
          <w:tcPr>
            <w:tcW w:w="851" w:type="dxa"/>
            <w:vAlign w:val="center"/>
          </w:tcPr>
          <w:p w14:paraId="60F730AA" w14:textId="2869F53D" w:rsidR="006C704D" w:rsidRPr="00855D13" w:rsidRDefault="007252BC" w:rsidP="00AF3336">
            <w:pPr>
              <w:spacing w:line="240" w:lineRule="auto"/>
            </w:pPr>
            <w:r w:rsidRPr="00855D13">
              <w:t>8.65</w:t>
            </w:r>
          </w:p>
        </w:tc>
        <w:tc>
          <w:tcPr>
            <w:tcW w:w="1111" w:type="dxa"/>
            <w:vAlign w:val="center"/>
          </w:tcPr>
          <w:p w14:paraId="0612DA3B" w14:textId="3390481D" w:rsidR="006C704D" w:rsidRPr="00855D13" w:rsidRDefault="000F3358" w:rsidP="00AF3336">
            <w:pPr>
              <w:spacing w:line="240" w:lineRule="auto"/>
            </w:pPr>
            <w:r w:rsidRPr="00855D13">
              <w:t>0.94</w:t>
            </w:r>
          </w:p>
        </w:tc>
        <w:tc>
          <w:tcPr>
            <w:tcW w:w="939" w:type="dxa"/>
            <w:vAlign w:val="center"/>
          </w:tcPr>
          <w:p w14:paraId="1C4AAF33" w14:textId="3CCC6FB4" w:rsidR="006C704D" w:rsidRPr="00855D13" w:rsidRDefault="000F3358" w:rsidP="00AF3336">
            <w:pPr>
              <w:spacing w:line="240" w:lineRule="auto"/>
            </w:pPr>
            <w:r w:rsidRPr="00855D13">
              <w:t>0.08</w:t>
            </w:r>
          </w:p>
        </w:tc>
        <w:tc>
          <w:tcPr>
            <w:tcW w:w="1695" w:type="dxa"/>
            <w:vAlign w:val="center"/>
          </w:tcPr>
          <w:p w14:paraId="782FFFFB" w14:textId="77777777" w:rsidR="006C704D" w:rsidRPr="00855D13" w:rsidRDefault="006C704D" w:rsidP="00AF3336">
            <w:pPr>
              <w:spacing w:line="240" w:lineRule="auto"/>
            </w:pPr>
            <w:r w:rsidRPr="00855D13">
              <w:t>52.8</w:t>
            </w:r>
          </w:p>
        </w:tc>
      </w:tr>
      <w:tr w:rsidR="006C704D" w:rsidRPr="007404CA" w14:paraId="63E08FF4" w14:textId="77777777" w:rsidTr="00AF3336">
        <w:tc>
          <w:tcPr>
            <w:tcW w:w="2972" w:type="dxa"/>
            <w:vAlign w:val="center"/>
          </w:tcPr>
          <w:p w14:paraId="0BB69F33" w14:textId="77777777" w:rsidR="006C704D" w:rsidRPr="0020103E" w:rsidRDefault="006C704D">
            <w:pPr>
              <w:spacing w:line="240" w:lineRule="auto"/>
            </w:pPr>
            <w:r w:rsidRPr="0020103E">
              <w:t>65 – 74</w:t>
            </w:r>
          </w:p>
        </w:tc>
        <w:tc>
          <w:tcPr>
            <w:tcW w:w="992" w:type="dxa"/>
            <w:vAlign w:val="center"/>
          </w:tcPr>
          <w:p w14:paraId="78061322" w14:textId="31904212" w:rsidR="006C704D" w:rsidRPr="00855D13" w:rsidRDefault="005215AA" w:rsidP="00AF3336">
            <w:pPr>
              <w:spacing w:line="240" w:lineRule="auto"/>
            </w:pPr>
            <w:r w:rsidRPr="00855D13">
              <w:t>14.83</w:t>
            </w:r>
          </w:p>
        </w:tc>
        <w:tc>
          <w:tcPr>
            <w:tcW w:w="851" w:type="dxa"/>
            <w:vAlign w:val="center"/>
          </w:tcPr>
          <w:p w14:paraId="1C18F49E" w14:textId="2BAE4536" w:rsidR="006C704D" w:rsidRPr="00855D13" w:rsidRDefault="005215AA" w:rsidP="00AF3336">
            <w:pPr>
              <w:spacing w:line="240" w:lineRule="auto"/>
            </w:pPr>
            <w:r w:rsidRPr="00855D13">
              <w:t>8.15</w:t>
            </w:r>
          </w:p>
        </w:tc>
        <w:tc>
          <w:tcPr>
            <w:tcW w:w="1111" w:type="dxa"/>
            <w:vAlign w:val="center"/>
          </w:tcPr>
          <w:p w14:paraId="046D0F38" w14:textId="275FD6EE" w:rsidR="006C704D" w:rsidRPr="00855D13" w:rsidRDefault="005215AA" w:rsidP="00AF3336">
            <w:pPr>
              <w:spacing w:line="240" w:lineRule="auto"/>
            </w:pPr>
            <w:r w:rsidRPr="00855D13">
              <w:t>1.66</w:t>
            </w:r>
          </w:p>
        </w:tc>
        <w:tc>
          <w:tcPr>
            <w:tcW w:w="939" w:type="dxa"/>
            <w:vAlign w:val="center"/>
          </w:tcPr>
          <w:p w14:paraId="66ED8533" w14:textId="4820801A" w:rsidR="006C704D" w:rsidRPr="00855D13" w:rsidRDefault="005215AA" w:rsidP="00AF3336">
            <w:pPr>
              <w:spacing w:line="240" w:lineRule="auto"/>
            </w:pPr>
            <w:r w:rsidRPr="00855D13">
              <w:t>0.21</w:t>
            </w:r>
          </w:p>
        </w:tc>
        <w:tc>
          <w:tcPr>
            <w:tcW w:w="1695" w:type="dxa"/>
            <w:vAlign w:val="center"/>
          </w:tcPr>
          <w:p w14:paraId="411BD5A9" w14:textId="77777777" w:rsidR="006C704D" w:rsidRPr="00855D13" w:rsidRDefault="006C704D" w:rsidP="00AF3336">
            <w:pPr>
              <w:spacing w:line="240" w:lineRule="auto"/>
            </w:pPr>
            <w:r w:rsidRPr="00855D13">
              <w:t>24.9</w:t>
            </w:r>
          </w:p>
        </w:tc>
      </w:tr>
      <w:tr w:rsidR="006C704D" w:rsidRPr="007404CA" w14:paraId="4FA8E58F" w14:textId="77777777" w:rsidTr="00AF3336">
        <w:tc>
          <w:tcPr>
            <w:tcW w:w="2972" w:type="dxa"/>
            <w:vAlign w:val="center"/>
          </w:tcPr>
          <w:p w14:paraId="38FF827F" w14:textId="77777777" w:rsidR="006C704D" w:rsidRPr="0020103E" w:rsidRDefault="006C704D">
            <w:pPr>
              <w:spacing w:line="240" w:lineRule="auto"/>
            </w:pPr>
            <w:r w:rsidRPr="0020103E">
              <w:t>75 – 84</w:t>
            </w:r>
          </w:p>
        </w:tc>
        <w:tc>
          <w:tcPr>
            <w:tcW w:w="992" w:type="dxa"/>
            <w:vAlign w:val="center"/>
          </w:tcPr>
          <w:p w14:paraId="3D3E0978" w14:textId="3030296D" w:rsidR="006C704D" w:rsidRPr="00855D13" w:rsidRDefault="009662B2" w:rsidP="00AF3336">
            <w:pPr>
              <w:spacing w:line="240" w:lineRule="auto"/>
            </w:pPr>
            <w:r w:rsidRPr="00855D13">
              <w:t>6.49</w:t>
            </w:r>
          </w:p>
        </w:tc>
        <w:tc>
          <w:tcPr>
            <w:tcW w:w="851" w:type="dxa"/>
            <w:vAlign w:val="center"/>
          </w:tcPr>
          <w:p w14:paraId="0FFE1770" w14:textId="201FCE29" w:rsidR="006C704D" w:rsidRPr="00855D13" w:rsidRDefault="009662B2" w:rsidP="00AF3336">
            <w:pPr>
              <w:spacing w:line="240" w:lineRule="auto"/>
            </w:pPr>
            <w:r w:rsidRPr="00855D13">
              <w:t>7.02</w:t>
            </w:r>
          </w:p>
        </w:tc>
        <w:tc>
          <w:tcPr>
            <w:tcW w:w="1111" w:type="dxa"/>
            <w:vAlign w:val="center"/>
          </w:tcPr>
          <w:p w14:paraId="21D5EB2C" w14:textId="741624B8" w:rsidR="006C704D" w:rsidRPr="00855D13" w:rsidRDefault="009662B2" w:rsidP="00AF3336">
            <w:pPr>
              <w:spacing w:line="240" w:lineRule="auto"/>
            </w:pPr>
            <w:r w:rsidRPr="00855D13">
              <w:t>2.54</w:t>
            </w:r>
          </w:p>
        </w:tc>
        <w:tc>
          <w:tcPr>
            <w:tcW w:w="939" w:type="dxa"/>
            <w:vAlign w:val="center"/>
          </w:tcPr>
          <w:p w14:paraId="26ABB567" w14:textId="1F95264C" w:rsidR="006C704D" w:rsidRPr="00855D13" w:rsidRDefault="009662B2" w:rsidP="00AF3336">
            <w:pPr>
              <w:spacing w:line="240" w:lineRule="auto"/>
            </w:pPr>
            <w:r w:rsidRPr="00855D13">
              <w:t>0.54</w:t>
            </w:r>
          </w:p>
        </w:tc>
        <w:tc>
          <w:tcPr>
            <w:tcW w:w="1695" w:type="dxa"/>
            <w:vAlign w:val="center"/>
          </w:tcPr>
          <w:p w14:paraId="245AEFA9" w14:textId="77777777" w:rsidR="006C704D" w:rsidRPr="00855D13" w:rsidRDefault="006C704D" w:rsidP="00AF3336">
            <w:pPr>
              <w:spacing w:line="240" w:lineRule="auto"/>
            </w:pPr>
            <w:r w:rsidRPr="00855D13">
              <w:t>16.6</w:t>
            </w:r>
          </w:p>
        </w:tc>
      </w:tr>
      <w:tr w:rsidR="006C704D" w:rsidRPr="007404CA" w14:paraId="62133DC7" w14:textId="77777777" w:rsidTr="00AF3336">
        <w:tc>
          <w:tcPr>
            <w:tcW w:w="2972" w:type="dxa"/>
            <w:vAlign w:val="center"/>
          </w:tcPr>
          <w:p w14:paraId="1D7B7D83" w14:textId="77777777" w:rsidR="006C704D" w:rsidRPr="0020103E" w:rsidRDefault="006C704D">
            <w:pPr>
              <w:spacing w:line="240" w:lineRule="auto"/>
            </w:pPr>
            <w:r w:rsidRPr="0020103E">
              <w:t>85+</w:t>
            </w:r>
          </w:p>
        </w:tc>
        <w:tc>
          <w:tcPr>
            <w:tcW w:w="992" w:type="dxa"/>
            <w:vAlign w:val="center"/>
          </w:tcPr>
          <w:p w14:paraId="258AC6E9" w14:textId="24EC64C4" w:rsidR="006C704D" w:rsidRPr="00855D13" w:rsidRDefault="009662B2" w:rsidP="00AF3336">
            <w:pPr>
              <w:spacing w:line="240" w:lineRule="auto"/>
            </w:pPr>
            <w:r w:rsidRPr="00855D13">
              <w:t>1.49</w:t>
            </w:r>
          </w:p>
        </w:tc>
        <w:tc>
          <w:tcPr>
            <w:tcW w:w="851" w:type="dxa"/>
            <w:vAlign w:val="center"/>
          </w:tcPr>
          <w:p w14:paraId="57FD9496" w14:textId="02B1CE29" w:rsidR="006C704D" w:rsidRPr="00855D13" w:rsidRDefault="009662B2" w:rsidP="00AF3336">
            <w:pPr>
              <w:spacing w:line="240" w:lineRule="auto"/>
            </w:pPr>
            <w:r w:rsidRPr="00855D13">
              <w:t>2.45</w:t>
            </w:r>
          </w:p>
        </w:tc>
        <w:tc>
          <w:tcPr>
            <w:tcW w:w="1111" w:type="dxa"/>
            <w:vAlign w:val="center"/>
          </w:tcPr>
          <w:p w14:paraId="363A2452" w14:textId="4BA4FA8B" w:rsidR="006C704D" w:rsidRPr="00855D13" w:rsidRDefault="009662B2" w:rsidP="00AF3336">
            <w:pPr>
              <w:spacing w:line="240" w:lineRule="auto"/>
            </w:pPr>
            <w:r w:rsidRPr="00855D13">
              <w:t>1.36</w:t>
            </w:r>
          </w:p>
        </w:tc>
        <w:tc>
          <w:tcPr>
            <w:tcW w:w="939" w:type="dxa"/>
            <w:vAlign w:val="center"/>
          </w:tcPr>
          <w:p w14:paraId="6F9031DB" w14:textId="18199145" w:rsidR="006C704D" w:rsidRPr="00855D13" w:rsidRDefault="000A5D34" w:rsidP="00AF3336">
            <w:pPr>
              <w:spacing w:line="240" w:lineRule="auto"/>
            </w:pPr>
            <w:r w:rsidRPr="00855D13">
              <w:t>0</w:t>
            </w:r>
            <w:r w:rsidR="009662B2" w:rsidRPr="00855D13">
              <w:t>.42</w:t>
            </w:r>
          </w:p>
        </w:tc>
        <w:tc>
          <w:tcPr>
            <w:tcW w:w="1695" w:type="dxa"/>
            <w:vAlign w:val="center"/>
          </w:tcPr>
          <w:p w14:paraId="09D5971F" w14:textId="77777777" w:rsidR="006C704D" w:rsidRPr="00855D13" w:rsidRDefault="006C704D" w:rsidP="00AF3336">
            <w:pPr>
              <w:spacing w:line="240" w:lineRule="auto"/>
            </w:pPr>
            <w:r w:rsidRPr="00855D13">
              <w:t>5.7</w:t>
            </w:r>
          </w:p>
        </w:tc>
      </w:tr>
      <w:tr w:rsidR="006C704D" w:rsidRPr="007404CA" w14:paraId="2E788C5E" w14:textId="77777777" w:rsidTr="00AF3336">
        <w:tc>
          <w:tcPr>
            <w:tcW w:w="2972" w:type="dxa"/>
            <w:vAlign w:val="center"/>
          </w:tcPr>
          <w:p w14:paraId="1735DA01" w14:textId="3C109610" w:rsidR="006C704D" w:rsidRPr="00C509D6" w:rsidRDefault="006C704D">
            <w:pPr>
              <w:spacing w:line="240" w:lineRule="auto"/>
            </w:pPr>
            <w:r w:rsidRPr="0020103E">
              <w:t>Percentage of cohor</w:t>
            </w:r>
            <w:r w:rsidR="00F17A53">
              <w:t>t</w:t>
            </w:r>
          </w:p>
        </w:tc>
        <w:tc>
          <w:tcPr>
            <w:tcW w:w="992" w:type="dxa"/>
            <w:vAlign w:val="center"/>
          </w:tcPr>
          <w:p w14:paraId="07F9229F" w14:textId="77777777" w:rsidR="006C704D" w:rsidRPr="00855D13" w:rsidRDefault="006C704D" w:rsidP="00AF3336">
            <w:pPr>
              <w:spacing w:line="240" w:lineRule="auto"/>
            </w:pPr>
            <w:r w:rsidRPr="00855D13">
              <w:t>66.0</w:t>
            </w:r>
          </w:p>
        </w:tc>
        <w:tc>
          <w:tcPr>
            <w:tcW w:w="851" w:type="dxa"/>
            <w:vAlign w:val="center"/>
          </w:tcPr>
          <w:p w14:paraId="7BB1E175" w14:textId="77777777" w:rsidR="006C704D" w:rsidRPr="00855D13" w:rsidRDefault="006C704D" w:rsidP="00AF3336">
            <w:pPr>
              <w:spacing w:line="240" w:lineRule="auto"/>
            </w:pPr>
            <w:r w:rsidRPr="00855D13">
              <w:t>26.3</w:t>
            </w:r>
          </w:p>
        </w:tc>
        <w:tc>
          <w:tcPr>
            <w:tcW w:w="1111" w:type="dxa"/>
            <w:vAlign w:val="center"/>
          </w:tcPr>
          <w:p w14:paraId="72235271" w14:textId="77777777" w:rsidR="006C704D" w:rsidRPr="00855D13" w:rsidRDefault="006C704D" w:rsidP="00AF3336">
            <w:pPr>
              <w:spacing w:line="240" w:lineRule="auto"/>
            </w:pPr>
            <w:r w:rsidRPr="00855D13">
              <w:t>6.5</w:t>
            </w:r>
          </w:p>
        </w:tc>
        <w:tc>
          <w:tcPr>
            <w:tcW w:w="939" w:type="dxa"/>
            <w:vAlign w:val="center"/>
          </w:tcPr>
          <w:p w14:paraId="501EAC84" w14:textId="77777777" w:rsidR="006C704D" w:rsidRPr="00855D13" w:rsidRDefault="006C704D" w:rsidP="00AF3336">
            <w:pPr>
              <w:spacing w:line="240" w:lineRule="auto"/>
            </w:pPr>
            <w:r w:rsidRPr="00855D13">
              <w:t>1.3</w:t>
            </w:r>
          </w:p>
        </w:tc>
        <w:tc>
          <w:tcPr>
            <w:tcW w:w="1695" w:type="dxa"/>
            <w:vAlign w:val="center"/>
          </w:tcPr>
          <w:p w14:paraId="43CD1A58" w14:textId="22497CB0" w:rsidR="006C704D" w:rsidRPr="00855D13" w:rsidRDefault="00F17A53" w:rsidP="00AF3336">
            <w:pPr>
              <w:spacing w:line="240" w:lineRule="auto"/>
            </w:pPr>
            <w:r>
              <w:t>100</w:t>
            </w:r>
          </w:p>
        </w:tc>
      </w:tr>
    </w:tbl>
    <w:p w14:paraId="259333ED" w14:textId="1F61E6E0" w:rsidR="00CF3BE3" w:rsidRDefault="004F2E7F" w:rsidP="00AF3336">
      <w:pPr>
        <w:ind w:firstLine="720"/>
      </w:pPr>
      <w:bookmarkStart w:id="18" w:name="_Hlk157601023"/>
      <w:r w:rsidRPr="00EC0A91">
        <w:lastRenderedPageBreak/>
        <w:t>In terms of socio-economic status</w:t>
      </w:r>
      <w:bookmarkEnd w:id="18"/>
      <w:r>
        <w:t>, c</w:t>
      </w:r>
      <w:r w:rsidR="006C704D" w:rsidRPr="003E4FD9">
        <w:t>ompari</w:t>
      </w:r>
      <w:r w:rsidR="000B3D7F">
        <w:t>son</w:t>
      </w:r>
      <w:r w:rsidR="006C704D" w:rsidRPr="003E4FD9">
        <w:t xml:space="preserve"> </w:t>
      </w:r>
      <w:r w:rsidR="000B3D7F">
        <w:t xml:space="preserve">of </w:t>
      </w:r>
      <w:r w:rsidR="006C704D" w:rsidRPr="003E4FD9">
        <w:t>deprivation quintiles using the Welsh Index of Multiple Deprivation</w:t>
      </w:r>
      <w:r w:rsidR="00253220" w:rsidRPr="003E4FD9">
        <w:t xml:space="preserve"> </w:t>
      </w:r>
      <w:r w:rsidR="00A30A9A" w:rsidRPr="003E4FD9">
        <w:fldChar w:fldCharType="begin"/>
      </w:r>
      <w:r w:rsidR="00A30A9A" w:rsidRPr="003E4FD9">
        <w:instrText xml:space="preserve"> ADDIN EN.CITE &lt;EndNote&gt;&lt;Cite&gt;&lt;Year&gt;2011&lt;/Year&gt;&lt;RecNum&gt;0&lt;/RecNum&gt;&lt;IDText&gt;Welsh Index of Multiple Deprivation&lt;/IDText&gt;&lt;DisplayText&gt;(&lt;style face="italic"&gt;Welsh Index of Multiple Deprivation&lt;/style&gt;, 2011)&lt;/DisplayText&gt;&lt;record&gt;&lt;ref-type name="Report"&gt;27&lt;/ref-type&gt;&lt;contributors /&gt;&lt;titles&gt;&lt;title&gt;Welsh Index of Multiple Deprivation&lt;/title&gt;&lt;/titles&gt;&lt;dates&gt;&lt;year&gt;2011&lt;/year&gt;&lt;/dates&gt;&lt;/record&gt;&lt;/Cite&gt;&lt;/EndNote&gt;</w:instrText>
      </w:r>
      <w:r w:rsidR="00A30A9A" w:rsidRPr="003E4FD9">
        <w:fldChar w:fldCharType="separate"/>
      </w:r>
      <w:r w:rsidR="00A30A9A" w:rsidRPr="003E4FD9">
        <w:rPr>
          <w:noProof/>
        </w:rPr>
        <w:t>(</w:t>
      </w:r>
      <w:r w:rsidR="00A30A9A" w:rsidRPr="003E4FD9">
        <w:rPr>
          <w:i/>
          <w:noProof/>
        </w:rPr>
        <w:t>Welsh Index of Multiple Deprivation</w:t>
      </w:r>
      <w:r w:rsidR="00A30A9A" w:rsidRPr="003E4FD9">
        <w:rPr>
          <w:noProof/>
        </w:rPr>
        <w:t>, 2011)</w:t>
      </w:r>
      <w:r w:rsidR="00A30A9A" w:rsidRPr="003E4FD9">
        <w:fldChar w:fldCharType="end"/>
      </w:r>
      <w:r w:rsidR="00253220" w:rsidRPr="003E4FD9">
        <w:t xml:space="preserve"> for SAIL</w:t>
      </w:r>
      <w:r w:rsidR="000B3D7F">
        <w:t>,</w:t>
      </w:r>
      <w:r w:rsidR="00253220" w:rsidRPr="003E4FD9">
        <w:t xml:space="preserve"> and the 2015 version of the Index of Multiple Deprivation for RCG</w:t>
      </w:r>
      <w:r w:rsidR="00360251">
        <w:t>P</w:t>
      </w:r>
      <w:r w:rsidR="00ED4192">
        <w:t xml:space="preserve"> RSC</w:t>
      </w:r>
      <w:r w:rsidR="000B3D7F">
        <w:t xml:space="preserve">, </w:t>
      </w:r>
      <w:r w:rsidR="00253220" w:rsidRPr="003E4FD9">
        <w:t xml:space="preserve"> </w:t>
      </w:r>
      <w:r w:rsidR="000B3D7F">
        <w:t>where</w:t>
      </w:r>
      <w:r w:rsidR="00253220" w:rsidRPr="003E4FD9">
        <w:t xml:space="preserve"> 1 represent</w:t>
      </w:r>
      <w:r w:rsidR="000B3D7F">
        <w:t>s</w:t>
      </w:r>
      <w:r w:rsidR="00253220" w:rsidRPr="003E4FD9">
        <w:t xml:space="preserve"> the most deprived and 5 the least</w:t>
      </w:r>
      <w:r w:rsidR="000B3D7F">
        <w:t>,</w:t>
      </w:r>
      <w:r w:rsidR="00253220" w:rsidRPr="003E4FD9">
        <w:t xml:space="preserve"> suggests </w:t>
      </w:r>
      <w:r w:rsidR="00C00358" w:rsidRPr="003E4FD9">
        <w:t>the SAIL cohort have higher levels of deprivation</w:t>
      </w:r>
      <w:r w:rsidR="00BC2F34">
        <w:t xml:space="preserve">, with </w:t>
      </w:r>
      <w:r w:rsidR="007A788C">
        <w:t xml:space="preserve">37.8% in the two most deprived categories, </w:t>
      </w:r>
      <w:r w:rsidR="00ED4192">
        <w:t>versus</w:t>
      </w:r>
      <w:r w:rsidR="003E196A">
        <w:t xml:space="preserve"> 26.8% for RCGP RSC.</w:t>
      </w:r>
      <w:r w:rsidR="00834C66">
        <w:t xml:space="preserve"> </w:t>
      </w:r>
      <w:r w:rsidR="002E5766">
        <w:fldChar w:fldCharType="begin"/>
      </w:r>
      <w:r w:rsidR="002E5766">
        <w:instrText xml:space="preserve"> ADDIN EN.CITE &lt;EndNote&gt;&lt;Cite&gt;&lt;Author&gt;Abel&lt;/Author&gt;&lt;Year&gt;2016&lt;/Year&gt;&lt;RecNum&gt;99&lt;/RecNum&gt;&lt;DisplayText&gt;(Abel et al., 2016)&lt;/DisplayText&gt;&lt;record&gt;&lt;rec-number&gt;99&lt;/rec-number&gt;&lt;foreign-keys&gt;&lt;key app="EN" db-id="0sxsezaf7atedqef9vk5drdt9xzpawp0w5rv" timestamp="1690983525"&gt;99&lt;/key&gt;&lt;/foreign-keys&gt;&lt;ref-type name="Journal Article"&gt;17&lt;/ref-type&gt;&lt;contributors&gt;&lt;authors&gt;&lt;author&gt;Abel, G.A,&lt;/author&gt;&lt;author&gt;Barclay, M.E.,&lt;/author&gt;&lt;author&gt;Payne, R.A,&lt;/author&gt;&lt;/authors&gt;&lt;/contributors&gt;&lt;titles&gt;&lt;title&gt;Adjusted indices of multiple deprivation to enable comparisons within and between constituent countries of the UK including an illustration using mortality rates&lt;/title&gt;&lt;secondary-title&gt;BMJ Open&lt;/secondary-title&gt;&lt;/titles&gt;&lt;periodical&gt;&lt;full-title&gt;BMJ Open&lt;/full-title&gt;&lt;/periodical&gt;&lt;volume&gt;6&lt;/volume&gt;&lt;dates&gt;&lt;year&gt;2016&lt;/year&gt;&lt;/dates&gt;&lt;urls&gt;&lt;/urls&gt;&lt;electronic-resource-num&gt;doi:10.1136/bmjopen-2016-012750&lt;/electronic-resource-num&gt;&lt;/record&gt;&lt;/Cite&gt;&lt;/EndNote&gt;</w:instrText>
      </w:r>
      <w:r w:rsidR="002E5766">
        <w:fldChar w:fldCharType="separate"/>
      </w:r>
      <w:r w:rsidR="002E5766">
        <w:rPr>
          <w:noProof/>
        </w:rPr>
        <w:t>(Abel et al., 2016)</w:t>
      </w:r>
      <w:r w:rsidR="002E5766">
        <w:fldChar w:fldCharType="end"/>
      </w:r>
      <w:r w:rsidR="002E5766">
        <w:t xml:space="preserve"> describe similar higher levels of deprivation in Wales compared with England in their comparison of UK constituent countries indices of multiple deprivation. </w:t>
      </w:r>
      <w:r w:rsidR="00CE52B6">
        <w:t xml:space="preserve">We concluded </w:t>
      </w:r>
      <w:r w:rsidR="00644D98">
        <w:t xml:space="preserve">therefore </w:t>
      </w:r>
      <w:r w:rsidR="00CE52B6">
        <w:t xml:space="preserve">that the observed </w:t>
      </w:r>
      <w:r w:rsidR="00CF3BE3" w:rsidRPr="00CF3BE3">
        <w:t xml:space="preserve">differences in </w:t>
      </w:r>
      <w:r w:rsidR="00CE52B6">
        <w:t xml:space="preserve">the </w:t>
      </w:r>
      <w:r w:rsidR="00CF3BE3" w:rsidRPr="00CF3BE3">
        <w:t>prevalence of frailty</w:t>
      </w:r>
      <w:r w:rsidR="00CE52B6">
        <w:t xml:space="preserve"> were more likel</w:t>
      </w:r>
      <w:r w:rsidR="00CF3BE3" w:rsidRPr="00CF3BE3">
        <w:t xml:space="preserve">y </w:t>
      </w:r>
      <w:r w:rsidR="00CE52B6">
        <w:t>to be due to</w:t>
      </w:r>
      <w:r w:rsidR="00CF3BE3" w:rsidRPr="00CF3BE3">
        <w:t xml:space="preserve"> deprivation </w:t>
      </w:r>
      <w:r w:rsidR="00756753">
        <w:t xml:space="preserve">than </w:t>
      </w:r>
      <w:r w:rsidR="00CF3BE3" w:rsidRPr="00CF3BE3">
        <w:t>age</w:t>
      </w:r>
      <w:r w:rsidR="00644D98">
        <w:t xml:space="preserve"> structure</w:t>
      </w:r>
      <w:r w:rsidR="00666C88">
        <w:t xml:space="preserve"> (which is very similar in Table 1)</w:t>
      </w:r>
      <w:r w:rsidR="00CF3BE3" w:rsidRPr="00CF3BE3">
        <w:t xml:space="preserve"> </w:t>
      </w:r>
      <w:r w:rsidR="00CE52B6">
        <w:t>and</w:t>
      </w:r>
      <w:r w:rsidR="00CF3BE3" w:rsidRPr="00CF3BE3">
        <w:t xml:space="preserve"> </w:t>
      </w:r>
      <w:r w:rsidR="005C66EF">
        <w:t>could easily</w:t>
      </w:r>
      <w:r w:rsidR="00CF3BE3" w:rsidRPr="00CF3BE3">
        <w:t xml:space="preserve"> be adjusted for </w:t>
      </w:r>
      <w:r w:rsidR="00CE52B6">
        <w:t xml:space="preserve">in the model </w:t>
      </w:r>
      <w:r w:rsidR="00CF3BE3" w:rsidRPr="00CF3BE3">
        <w:t xml:space="preserve">by </w:t>
      </w:r>
      <w:r w:rsidR="00CE52B6">
        <w:t xml:space="preserve">scaling the frailty prevalence in SAIL to match the RCGP </w:t>
      </w:r>
      <w:r w:rsidR="00644D98">
        <w:t xml:space="preserve">RSC </w:t>
      </w:r>
      <w:r w:rsidR="005C66EF">
        <w:t>values</w:t>
      </w:r>
      <w:r w:rsidR="00CE52B6">
        <w:t xml:space="preserve">.  </w:t>
      </w:r>
      <w:r w:rsidR="00BF1552">
        <w:t>T</w:t>
      </w:r>
      <w:r w:rsidR="00866658" w:rsidRPr="003E4FD9">
        <w:t xml:space="preserve">he scaling factors applied </w:t>
      </w:r>
      <w:r w:rsidR="00BF1552">
        <w:t>to account for socio-economic differences between the two populations</w:t>
      </w:r>
      <w:r w:rsidR="00866658" w:rsidRPr="003E4FD9">
        <w:t xml:space="preserve"> are given in the Technical Appendix (Table A3). </w:t>
      </w:r>
      <w:r w:rsidR="00866658">
        <w:t xml:space="preserve"> </w:t>
      </w:r>
      <w:r w:rsidR="00CE52B6">
        <w:t xml:space="preserve">With </w:t>
      </w:r>
      <w:r w:rsidR="00E3313E">
        <w:t>these</w:t>
      </w:r>
      <w:r w:rsidR="00CE52B6">
        <w:t xml:space="preserve"> adjustment</w:t>
      </w:r>
      <w:r w:rsidR="00E3313E">
        <w:t>s</w:t>
      </w:r>
      <w:r w:rsidR="00CE52B6">
        <w:t xml:space="preserve">, </w:t>
      </w:r>
      <w:r w:rsidR="00CE52B6" w:rsidRPr="00CE52B6">
        <w:t xml:space="preserve">the two datasets/populations </w:t>
      </w:r>
      <w:proofErr w:type="gramStart"/>
      <w:r w:rsidR="00CE52B6">
        <w:t xml:space="preserve">were </w:t>
      </w:r>
      <w:r w:rsidR="00866658">
        <w:t>considered to be</w:t>
      </w:r>
      <w:proofErr w:type="gramEnd"/>
      <w:r w:rsidR="00866658">
        <w:t xml:space="preserve"> </w:t>
      </w:r>
      <w:r w:rsidR="00CE52B6" w:rsidRPr="00CE52B6">
        <w:t xml:space="preserve">sufficiently similar </w:t>
      </w:r>
      <w:r w:rsidR="005C66EF">
        <w:t>to enable</w:t>
      </w:r>
      <w:r w:rsidR="00CE52B6">
        <w:t xml:space="preserve"> us </w:t>
      </w:r>
      <w:r w:rsidR="00CE52B6" w:rsidRPr="00CE52B6">
        <w:t>to use SAIL as a validation dataset for the model.</w:t>
      </w:r>
    </w:p>
    <w:p w14:paraId="13CB60C3" w14:textId="7CB57BC0" w:rsidR="002D6BF0" w:rsidRPr="003E4FD9" w:rsidRDefault="00241EAC" w:rsidP="004E7837">
      <w:pPr>
        <w:pStyle w:val="Heading2"/>
        <w:numPr>
          <w:ilvl w:val="1"/>
          <w:numId w:val="11"/>
        </w:numPr>
      </w:pPr>
      <w:r w:rsidRPr="00ED7B92">
        <w:t>Verification</w:t>
      </w:r>
      <w:r w:rsidRPr="00486F42">
        <w:t xml:space="preserve"> </w:t>
      </w:r>
      <w:r>
        <w:t xml:space="preserve">and </w:t>
      </w:r>
      <w:r w:rsidR="002D6BF0" w:rsidRPr="003E4FD9">
        <w:t xml:space="preserve">Validation </w:t>
      </w:r>
    </w:p>
    <w:p w14:paraId="7C5CEBB4" w14:textId="63A17B75" w:rsidR="002D6BF0" w:rsidRPr="00A54A13" w:rsidRDefault="002D6BF0" w:rsidP="00AF3336">
      <w:pPr>
        <w:pStyle w:val="Newparagraph"/>
      </w:pPr>
      <w:r w:rsidRPr="003E4FD9">
        <w:t>V</w:t>
      </w:r>
      <w:r w:rsidR="00241EAC" w:rsidRPr="00ED7B92">
        <w:t>erification</w:t>
      </w:r>
      <w:r w:rsidR="00241EAC" w:rsidRPr="007404CA">
        <w:t xml:space="preserve"> </w:t>
      </w:r>
      <w:r w:rsidR="00241EAC">
        <w:t>and v</w:t>
      </w:r>
      <w:r w:rsidRPr="003E4FD9">
        <w:t xml:space="preserve">alidation are known to be a challenge in SD modelling </w:t>
      </w:r>
      <w:r w:rsidR="00FB2C12" w:rsidRPr="003E4FD9">
        <w:fldChar w:fldCharType="begin"/>
      </w:r>
      <w:r w:rsidR="00FB2C12" w:rsidRPr="003E4FD9">
        <w:instrText xml:space="preserve"> ADDIN EN.CITE &lt;EndNote&gt;&lt;Cite&gt;&lt;Author&gt;McLucas&lt;/Author&gt;&lt;Year&gt;2012&lt;/Year&gt;&lt;RecNum&gt;41&lt;/RecNum&gt;&lt;DisplayText&gt;(McLucas et al., 2012)&lt;/DisplayText&gt;&lt;record&gt;&lt;rec-number&gt;41&lt;/rec-number&gt;&lt;foreign-keys&gt;&lt;key app="EN" db-id="0sxsezaf7atedqef9vk5drdt9xzpawp0w5rv" timestamp="1684437494"&gt;41&lt;/key&gt;&lt;/foreign-keys&gt;&lt;ref-type name="Book"&gt;6&lt;/ref-type&gt;&lt;contributors&gt;&lt;authors&gt;&lt;author&gt;McLucas, Alan&lt;/author&gt;&lt;author&gt;Ryan, Mike&lt;/author&gt;&lt;author&gt;Chan, K.&lt;/author&gt;&lt;/authors&gt;&lt;/contributors&gt;&lt;titles&gt;&lt;title&gt;On the Validation of System Dynamics Models&lt;/title&gt;&lt;/titles&gt;&lt;dates&gt;&lt;year&gt;2012&lt;/year&gt;&lt;/dates&gt;&lt;urls&gt;&lt;/urls&gt;&lt;/record&gt;&lt;/Cite&gt;&lt;/EndNote&gt;</w:instrText>
      </w:r>
      <w:r w:rsidR="00FB2C12" w:rsidRPr="003E4FD9">
        <w:fldChar w:fldCharType="separate"/>
      </w:r>
      <w:r w:rsidR="00FB2C12" w:rsidRPr="003E4FD9">
        <w:rPr>
          <w:noProof/>
        </w:rPr>
        <w:t>(McLucas et al., 2012)</w:t>
      </w:r>
      <w:r w:rsidR="00FB2C12" w:rsidRPr="003E4FD9">
        <w:fldChar w:fldCharType="end"/>
      </w:r>
      <w:r w:rsidR="00FB2C12" w:rsidRPr="003E4FD9">
        <w:t xml:space="preserve"> with </w:t>
      </w:r>
      <w:r w:rsidR="00FB2C12" w:rsidRPr="003E4FD9">
        <w:fldChar w:fldCharType="begin"/>
      </w:r>
      <w:r w:rsidR="00FB2C12" w:rsidRPr="003E4FD9">
        <w:instrText xml:space="preserve"> ADDIN EN.CITE &lt;EndNote&gt;&lt;Cite&gt;&lt;Author&gt;Sterman&lt;/Author&gt;&lt;Year&gt;2000&lt;/Year&gt;&lt;RecNum&gt;44&lt;/RecNum&gt;&lt;DisplayText&gt;(Sterman, 2000)&lt;/DisplayText&gt;&lt;record&gt;&lt;rec-number&gt;44&lt;/rec-number&gt;&lt;foreign-keys&gt;&lt;key app="EN" db-id="0sxsezaf7atedqef9vk5drdt9xzpawp0w5rv" timestamp="1684439108"&gt;44&lt;/key&gt;&lt;/foreign-keys&gt;&lt;ref-type name="Journal Article"&gt;17&lt;/ref-type&gt;&lt;contributors&gt;&lt;authors&gt;&lt;author&gt;Sterman, John&lt;/author&gt;&lt;/authors&gt;&lt;/contributors&gt;&lt;titles&gt;&lt;title&gt;Business Dynamics, System Thinking and Modeling for a Complex World&lt;/title&gt;&lt;secondary-title&gt;http://lst-iiep.iiep-unesco.org/cgi-bin/wwwi32.exe/[in=epidoc1.in]/?t2000=013598/(100)&lt;/secondary-title&gt;&lt;/titles&gt;&lt;periodical&gt;&lt;full-title&gt;http://lst-iiep.iiep-unesco.org/cgi-bin/wwwi32.exe/[in=epidoc1.in]/?t2000=013598/(100)&lt;/full-title&gt;&lt;/periodical&gt;&lt;volume&gt;19&lt;/volume&gt;&lt;dates&gt;&lt;year&gt;2000&lt;/year&gt;&lt;pub-dates&gt;&lt;date&gt;01/01&lt;/date&gt;&lt;/pub-dates&gt;&lt;/dates&gt;&lt;urls&gt;&lt;/urls&gt;&lt;/record&gt;&lt;/Cite&gt;&lt;/EndNote&gt;</w:instrText>
      </w:r>
      <w:r w:rsidR="00FB2C12" w:rsidRPr="003E4FD9">
        <w:fldChar w:fldCharType="separate"/>
      </w:r>
      <w:r w:rsidR="00FB2C12" w:rsidRPr="003E4FD9">
        <w:rPr>
          <w:noProof/>
        </w:rPr>
        <w:t>(Sterman, 2000)</w:t>
      </w:r>
      <w:r w:rsidR="00FB2C12" w:rsidRPr="003E4FD9">
        <w:fldChar w:fldCharType="end"/>
      </w:r>
      <w:r w:rsidR="00FB2C12" w:rsidRPr="003E4FD9">
        <w:t xml:space="preserve"> suggesting that validation of SD models is actually impossible</w:t>
      </w:r>
      <w:r w:rsidR="00FB2C12" w:rsidRPr="00A54A13">
        <w:rPr>
          <w:strike/>
        </w:rPr>
        <w:t>.</w:t>
      </w:r>
      <w:r w:rsidR="00FB2C12" w:rsidRPr="00A54A13">
        <w:t xml:space="preserve"> The aim of verification </w:t>
      </w:r>
      <w:r w:rsidR="00241EAC">
        <w:t xml:space="preserve">and </w:t>
      </w:r>
      <w:r w:rsidR="00241EAC" w:rsidRPr="00ED7B92">
        <w:t>validation</w:t>
      </w:r>
      <w:r w:rsidR="00241EAC" w:rsidRPr="007404CA">
        <w:t xml:space="preserve"> </w:t>
      </w:r>
      <w:r w:rsidR="00FB2C12" w:rsidRPr="00A54A13">
        <w:t xml:space="preserve">is to build confidence in the model, determining whether it is useful and fit for purpose, often using a mixture of qualitative and quantitative tests throughout model development. </w:t>
      </w:r>
      <w:r w:rsidR="00AB5744">
        <w:t>The</w:t>
      </w:r>
      <w:r w:rsidR="00FB2C12" w:rsidRPr="00A54A13">
        <w:t xml:space="preserve"> larger and more complex</w:t>
      </w:r>
      <w:r w:rsidR="00AB5744">
        <w:t xml:space="preserve"> the model</w:t>
      </w:r>
      <w:r w:rsidR="00FB2C12" w:rsidRPr="00A54A13">
        <w:t xml:space="preserve">, </w:t>
      </w:r>
      <w:r w:rsidR="00AB5744">
        <w:t xml:space="preserve">the more difficult </w:t>
      </w:r>
      <w:r w:rsidR="00FB2C12" w:rsidRPr="00A54A13">
        <w:t>v</w:t>
      </w:r>
      <w:r w:rsidR="00FE1168">
        <w:t>erification</w:t>
      </w:r>
      <w:r w:rsidR="00FB2C12" w:rsidRPr="00A54A13">
        <w:t xml:space="preserve"> and v</w:t>
      </w:r>
      <w:r w:rsidR="00FE1168">
        <w:t>alidation</w:t>
      </w:r>
      <w:r w:rsidR="00FB2C12" w:rsidRPr="00A54A13">
        <w:t xml:space="preserve"> can become. </w:t>
      </w:r>
      <w:r w:rsidR="00AB5744">
        <w:t xml:space="preserve"> The standard statistical</w:t>
      </w:r>
      <w:r w:rsidR="00FB2C12" w:rsidRPr="00A54A13">
        <w:t xml:space="preserve"> approach is to compare the model output with historic</w:t>
      </w:r>
      <w:r w:rsidR="000156F1">
        <w:t>al</w:t>
      </w:r>
      <w:r w:rsidR="00FB2C12" w:rsidRPr="00A54A13">
        <w:t xml:space="preserve"> data</w:t>
      </w:r>
      <w:r w:rsidR="00D66126">
        <w:t xml:space="preserve"> not used to develop the model</w:t>
      </w:r>
      <w:r w:rsidR="00FB2C12" w:rsidRPr="00A54A13">
        <w:t>, but this</w:t>
      </w:r>
      <w:r w:rsidR="00D66126">
        <w:t xml:space="preserve"> does not guarantee that </w:t>
      </w:r>
      <w:r w:rsidR="00EC7AFA">
        <w:t>t</w:t>
      </w:r>
      <w:r w:rsidR="00D66126">
        <w:t xml:space="preserve">he model </w:t>
      </w:r>
      <w:r w:rsidR="00EC7AFA">
        <w:t xml:space="preserve">structure and parameters </w:t>
      </w:r>
      <w:r w:rsidR="00D66126">
        <w:t xml:space="preserve">are </w:t>
      </w:r>
      <w:r w:rsidR="00EC7AFA">
        <w:t xml:space="preserve">all </w:t>
      </w:r>
      <w:r w:rsidR="00D66126">
        <w:t>correct; a good match to observed data may just be a lucky coincidence</w:t>
      </w:r>
      <w:r w:rsidR="00F84F59">
        <w:t>.</w:t>
      </w:r>
      <w:r w:rsidR="00FB2C12" w:rsidRPr="00A54A13">
        <w:t xml:space="preserve"> </w:t>
      </w:r>
      <w:r w:rsidR="00D66126">
        <w:t xml:space="preserve"> </w:t>
      </w:r>
      <w:r w:rsidR="00FB2C12" w:rsidRPr="00A54A13">
        <w:t xml:space="preserve">A major contribution of this study is that we have </w:t>
      </w:r>
      <w:r w:rsidR="00241EAC">
        <w:t xml:space="preserve">had access to </w:t>
      </w:r>
      <w:r w:rsidR="00241EAC" w:rsidRPr="00ED7B92">
        <w:t xml:space="preserve">two very large </w:t>
      </w:r>
      <w:r w:rsidR="005C6CD3">
        <w:t>primary care population</w:t>
      </w:r>
      <w:r w:rsidR="00241EAC" w:rsidRPr="00ED7B92">
        <w:t xml:space="preserve"> datasets</w:t>
      </w:r>
      <w:r w:rsidR="005C6CD3">
        <w:t xml:space="preserve"> over the same </w:t>
      </w:r>
      <w:proofErr w:type="gramStart"/>
      <w:r w:rsidR="005C6CD3">
        <w:t>time period</w:t>
      </w:r>
      <w:proofErr w:type="gramEnd"/>
      <w:r w:rsidR="00241EAC" w:rsidRPr="007404CA">
        <w:t xml:space="preserve"> </w:t>
      </w:r>
      <w:r w:rsidR="00FB2C12" w:rsidRPr="00A54A13">
        <w:t>to develop and validate the SD model</w:t>
      </w:r>
      <w:r w:rsidR="00241EAC">
        <w:t xml:space="preserve">. </w:t>
      </w:r>
    </w:p>
    <w:p w14:paraId="1A06059D" w14:textId="25A079BF" w:rsidR="00BC615E" w:rsidRDefault="00822329" w:rsidP="00AF3336">
      <w:pPr>
        <w:pStyle w:val="Paragraph"/>
        <w:ind w:firstLine="720"/>
      </w:pPr>
      <w:r>
        <w:t>As part of the verification, t</w:t>
      </w:r>
      <w:r w:rsidR="00B66EFC" w:rsidRPr="00A54A13">
        <w:t xml:space="preserve">he </w:t>
      </w:r>
      <w:r>
        <w:t xml:space="preserve">model was run for </w:t>
      </w:r>
      <w:r w:rsidR="00C17100">
        <w:t xml:space="preserve">the same </w:t>
      </w:r>
      <w:r w:rsidR="00594FF0">
        <w:t>time period</w:t>
      </w:r>
      <w:r w:rsidR="00C17100">
        <w:t xml:space="preserve"> </w:t>
      </w:r>
      <w:r w:rsidR="009F7BDF">
        <w:t xml:space="preserve">(2006 – 2017) </w:t>
      </w:r>
      <w:r w:rsidR="00C17100">
        <w:t xml:space="preserve">as the </w:t>
      </w:r>
      <w:r w:rsidR="009F7BDF">
        <w:t>data source</w:t>
      </w:r>
      <w:r w:rsidR="00A34949">
        <w:t xml:space="preserve"> in the </w:t>
      </w:r>
      <w:r w:rsidR="00C17100" w:rsidRPr="00A54A13">
        <w:t xml:space="preserve">RCGP </w:t>
      </w:r>
      <w:r w:rsidR="00E7621F">
        <w:t xml:space="preserve">RSC </w:t>
      </w:r>
      <w:r w:rsidR="00C17100">
        <w:t>cohort study</w:t>
      </w:r>
      <w:r w:rsidR="00594FF0">
        <w:t xml:space="preserve">, using the same initial population </w:t>
      </w:r>
      <w:r w:rsidR="00E44F50">
        <w:t>conditions</w:t>
      </w:r>
      <w:r w:rsidR="00594FF0" w:rsidRPr="00ED7B92">
        <w:t xml:space="preserve"> </w:t>
      </w:r>
      <w:r w:rsidR="00594FF0" w:rsidRPr="00ED7B92">
        <w:fldChar w:fldCharType="begin"/>
      </w:r>
      <w:r w:rsidR="00472A52">
        <w:instrText xml:space="preserve"> ADDIN EN.CITE &lt;EndNote&gt;&lt;Cite&gt;&lt;Author&gt;Fogg&lt;/Author&gt;&lt;Year&gt;2022&lt;/Year&gt;&lt;RecNum&gt;30&lt;/RecNum&gt;&lt;DisplayText&gt;(Fogg et al., 2022)&lt;/DisplayText&gt;&lt;record&gt;&lt;rec-number&gt;30&lt;/rec-number&gt;&lt;foreign-keys&gt;&lt;key app="EN" db-id="0sxsezaf7atedqef9vk5drdt9xzpawp0w5rv" timestamp="1684434629"&gt;30&lt;/key&gt;&lt;/foreign-keys&gt;&lt;ref-type name="Journal Article"&gt;17&lt;/ref-type&gt;&lt;contributors&gt;&lt;authors&gt;&lt;author&gt;Fogg, Carole&lt;/author&gt;&lt;author&gt;Fraser, Simon D. S.&lt;/author&gt;&lt;author&gt;Roderick, Paul&lt;/author&gt;&lt;author&gt;de Lusignan, Simon&lt;/author&gt;&lt;author&gt;Clegg, Andrew&lt;/author&gt;&lt;author&gt;Brailsford, Sally&lt;/author&gt;&lt;author&gt;Barkham, Abigail&lt;/author&gt;&lt;author&gt;Patel, Harnish P.&lt;/author&gt;&lt;author&gt;Windle, Vivienne&lt;/author&gt;&lt;author&gt;Harris, Scott&lt;/author&gt;&lt;author&gt;Zhu, Shihua&lt;/author&gt;&lt;author&gt;England, Tracey&lt;/author&gt;&lt;author&gt;Evenden, Dave&lt;/author&gt;&lt;author&gt;Lambert, Francesca&lt;/author&gt;&lt;author&gt;Walsh, Bronagh&lt;/author&gt;&lt;author&gt;The Frailty Dynamics study, team&lt;/author&gt;&lt;/authors&gt;&lt;/contributors&gt;&lt;titles&gt;&lt;title&gt;The dynamics of frailty development and progression in older adults in primary care in England (2006–2017): a retrospective cohort profile&lt;/title&gt;&lt;secondary-title&gt;BMC Geriatrics&lt;/secondary-title&gt;&lt;/titles&gt;&lt;periodical&gt;&lt;full-title&gt;BMC Geriatrics&lt;/full-title&gt;&lt;/periodical&gt;&lt;pages&gt;30&lt;/pages&gt;&lt;volume&gt;22&lt;/volume&gt;&lt;number&gt;1&lt;/number&gt;&lt;dates&gt;&lt;year&gt;2022&lt;/year&gt;&lt;pub-dates&gt;&lt;date&gt;2022/01/06&lt;/date&gt;&lt;/pub-dates&gt;&lt;/dates&gt;&lt;isbn&gt;1471-2318&lt;/isbn&gt;&lt;urls&gt;&lt;related-urls&gt;&lt;url&gt;https://doi.org/10.1186/s12877-021-02684-y&lt;/url&gt;&lt;/related-urls&gt;&lt;/urls&gt;&lt;electronic-resource-num&gt;10.1186/s12877-021-02684-y&lt;/electronic-resource-num&gt;&lt;/record&gt;&lt;/Cite&gt;&lt;/EndNote&gt;</w:instrText>
      </w:r>
      <w:r w:rsidR="00594FF0" w:rsidRPr="00ED7B92">
        <w:fldChar w:fldCharType="separate"/>
      </w:r>
      <w:r w:rsidR="00472A52">
        <w:rPr>
          <w:noProof/>
        </w:rPr>
        <w:t>(Fogg et al., 2022)</w:t>
      </w:r>
      <w:r w:rsidR="00594FF0" w:rsidRPr="00ED7B92">
        <w:fldChar w:fldCharType="end"/>
      </w:r>
      <w:r w:rsidR="00594FF0" w:rsidRPr="00ED7B92">
        <w:t>.</w:t>
      </w:r>
      <w:r w:rsidR="00594FF0">
        <w:t xml:space="preserve"> </w:t>
      </w:r>
      <w:r w:rsidR="00C17100">
        <w:t xml:space="preserve">  The</w:t>
      </w:r>
      <w:r w:rsidR="00EB716F">
        <w:t xml:space="preserve"> model</w:t>
      </w:r>
      <w:r w:rsidR="00C17100">
        <w:t xml:space="preserve"> </w:t>
      </w:r>
      <w:r w:rsidR="00B66EFC" w:rsidRPr="00A54A13">
        <w:t>estimated number</w:t>
      </w:r>
      <w:r w:rsidR="00C17100">
        <w:t>s</w:t>
      </w:r>
      <w:r w:rsidR="00B66EFC" w:rsidRPr="00A54A13">
        <w:t xml:space="preserve"> of patients in each stock</w:t>
      </w:r>
      <w:r w:rsidR="00C17100">
        <w:t>,</w:t>
      </w:r>
      <w:r>
        <w:t xml:space="preserve"> and the number of </w:t>
      </w:r>
      <w:r w:rsidR="00C17100">
        <w:t xml:space="preserve">state </w:t>
      </w:r>
      <w:r>
        <w:t>transitions</w:t>
      </w:r>
      <w:r w:rsidR="00C17100">
        <w:t>,</w:t>
      </w:r>
      <w:r>
        <w:t xml:space="preserve"> were</w:t>
      </w:r>
      <w:r w:rsidR="00B66EFC" w:rsidRPr="00A54A13">
        <w:t xml:space="preserve"> </w:t>
      </w:r>
      <w:r w:rsidR="00866658">
        <w:t xml:space="preserve">then </w:t>
      </w:r>
      <w:r w:rsidR="00B66EFC" w:rsidRPr="00A54A13">
        <w:t>compared against the observed data at the start of each year. Time plots were used for graphical comparison of the observed and estimated data. Error statistics, using the mean absolute percentage error (MAPE), were also used to assess agreement between the observed data and model output over the 12 years of data</w:t>
      </w:r>
      <w:r w:rsidR="00194DA0">
        <w:t>.</w:t>
      </w:r>
      <w:r w:rsidR="00C17100">
        <w:t xml:space="preserve"> </w:t>
      </w:r>
    </w:p>
    <w:p w14:paraId="1C55D858" w14:textId="5BC78669" w:rsidR="00BC615E" w:rsidRDefault="00C17100" w:rsidP="00AF3336">
      <w:pPr>
        <w:pStyle w:val="Paragraph"/>
        <w:ind w:firstLine="720"/>
      </w:pPr>
      <w:r w:rsidRPr="00A54A13">
        <w:t xml:space="preserve">Table 2 shows the MAPEs for each of the stocks and flows associated with the 16 population </w:t>
      </w:r>
      <w:r w:rsidRPr="00A54A13">
        <w:lastRenderedPageBreak/>
        <w:t>subgroups.</w:t>
      </w:r>
      <w:r w:rsidR="002153CE">
        <w:t xml:space="preserve"> </w:t>
      </w:r>
      <w:r w:rsidR="002153CE" w:rsidRPr="00A54A13">
        <w:t xml:space="preserve">The </w:t>
      </w:r>
      <w:r w:rsidR="002153CE">
        <w:t>MAPE</w:t>
      </w:r>
      <w:r w:rsidR="002153CE" w:rsidRPr="00A54A13">
        <w:t xml:space="preserve"> (with each variable equally weighted) for the model was 7.06%, indicating that the model provide</w:t>
      </w:r>
      <w:r w:rsidR="002153CE">
        <w:t>s</w:t>
      </w:r>
      <w:r w:rsidR="002153CE" w:rsidRPr="00A54A13">
        <w:t xml:space="preserve"> a close approximation to the (RCGP RSC) patient cohort data. </w:t>
      </w:r>
      <w:r w:rsidR="002153CE">
        <w:t xml:space="preserve"> </w:t>
      </w:r>
      <w:r w:rsidR="00BC615E">
        <w:t xml:space="preserve"> As one would expect, </w:t>
      </w:r>
      <w:r w:rsidR="00BC615E" w:rsidRPr="00CA2533">
        <w:t>the smaller subgroups</w:t>
      </w:r>
      <w:r w:rsidR="00BC615E">
        <w:t xml:space="preserve"> had</w:t>
      </w:r>
      <w:r w:rsidR="00BC615E" w:rsidRPr="00A54A13">
        <w:t xml:space="preserve"> larger errors</w:t>
      </w:r>
      <w:r w:rsidR="00F40AEF">
        <w:t xml:space="preserve"> (e.g., moderate</w:t>
      </w:r>
      <w:r w:rsidR="00725C3D">
        <w:t>,</w:t>
      </w:r>
      <w:r w:rsidR="00F40AEF">
        <w:t xml:space="preserve"> and severe in the two younger age groups)</w:t>
      </w:r>
      <w:r w:rsidR="00BC615E" w:rsidRPr="00A54A13">
        <w:t xml:space="preserve">. </w:t>
      </w:r>
      <w:r w:rsidR="00BC615E">
        <w:t xml:space="preserve"> Compar</w:t>
      </w:r>
      <w:r w:rsidR="003B1990">
        <w:t>ing the error statistics in the final two columns of Table 2 (for Frailty Transitions and Ageing)</w:t>
      </w:r>
      <w:r w:rsidR="00BC615E">
        <w:t>, t</w:t>
      </w:r>
      <w:r w:rsidR="00BC615E" w:rsidRPr="00A54A13">
        <w:t xml:space="preserve">he errors are slightly larger </w:t>
      </w:r>
      <w:r w:rsidR="003B1990">
        <w:t xml:space="preserve">(suggesting a poorer fit to the data) </w:t>
      </w:r>
      <w:r w:rsidR="00BC615E" w:rsidRPr="00A54A13">
        <w:t xml:space="preserve">for the </w:t>
      </w:r>
      <w:r w:rsidR="00B47747">
        <w:t xml:space="preserve">fit to mild </w:t>
      </w:r>
      <w:r w:rsidR="00BC615E" w:rsidRPr="00A54A13">
        <w:t>frailty transitions</w:t>
      </w:r>
      <w:r w:rsidR="005D2075">
        <w:t>,</w:t>
      </w:r>
      <w:r w:rsidR="00071665">
        <w:t xml:space="preserve"> with the model </w:t>
      </w:r>
      <w:r w:rsidR="00F55795">
        <w:t xml:space="preserve">tending to </w:t>
      </w:r>
      <w:r w:rsidR="00071665">
        <w:t>underestimat</w:t>
      </w:r>
      <w:r w:rsidR="00F55795">
        <w:t>e</w:t>
      </w:r>
      <w:r w:rsidR="00071665">
        <w:t xml:space="preserve"> the number of </w:t>
      </w:r>
      <w:r w:rsidR="00F55795">
        <w:t xml:space="preserve">these </w:t>
      </w:r>
      <w:r w:rsidR="00071665">
        <w:t>transitions</w:t>
      </w:r>
      <w:r w:rsidR="00BC615E" w:rsidRPr="00A54A13">
        <w:t xml:space="preserve">. </w:t>
      </w:r>
      <w:r w:rsidR="00BC615E">
        <w:t xml:space="preserve"> One possible explanation is (as noted earlier) </w:t>
      </w:r>
      <w:r w:rsidR="00BC615E" w:rsidRPr="00A54A13">
        <w:t xml:space="preserve">the </w:t>
      </w:r>
      <w:proofErr w:type="spellStart"/>
      <w:r w:rsidR="00BC615E" w:rsidRPr="00A54A13">
        <w:t>eFI</w:t>
      </w:r>
      <w:proofErr w:type="spellEnd"/>
      <w:r w:rsidR="00BC615E" w:rsidRPr="00A54A13">
        <w:t xml:space="preserve"> </w:t>
      </w:r>
      <w:r w:rsidR="00BC615E">
        <w:t xml:space="preserve">was </w:t>
      </w:r>
      <w:r w:rsidR="00BC615E" w:rsidRPr="00A54A13">
        <w:t xml:space="preserve">only </w:t>
      </w:r>
      <w:r w:rsidR="00BC615E">
        <w:t>calculated</w:t>
      </w:r>
      <w:r w:rsidR="00BC615E" w:rsidRPr="00A54A13">
        <w:t xml:space="preserve"> once </w:t>
      </w:r>
      <w:r w:rsidR="00BC615E">
        <w:t>each</w:t>
      </w:r>
      <w:r w:rsidR="00BC615E" w:rsidRPr="00A54A13">
        <w:t xml:space="preserve"> year</w:t>
      </w:r>
      <w:r w:rsidR="00BC615E">
        <w:t xml:space="preserve"> in the R</w:t>
      </w:r>
      <w:r w:rsidR="00E7621F">
        <w:t>SC</w:t>
      </w:r>
      <w:r w:rsidR="00BC615E">
        <w:t xml:space="preserve"> dataset</w:t>
      </w:r>
      <w:r w:rsidR="005D2075">
        <w:t>,</w:t>
      </w:r>
      <w:r w:rsidR="00071665">
        <w:t xml:space="preserve"> </w:t>
      </w:r>
      <w:r w:rsidR="00A84E14">
        <w:t xml:space="preserve">thus potentially missing the exact date when a patient’s </w:t>
      </w:r>
      <w:proofErr w:type="spellStart"/>
      <w:r w:rsidR="00A84E14">
        <w:t>eFI</w:t>
      </w:r>
      <w:proofErr w:type="spellEnd"/>
      <w:r w:rsidR="00A84E14">
        <w:t xml:space="preserve"> score reached the threshold between fit and mildly frail.</w:t>
      </w:r>
      <w:r w:rsidR="00216B51">
        <w:t xml:space="preserve"> </w:t>
      </w:r>
      <w:r w:rsidR="0045557F">
        <w:t xml:space="preserve"> </w:t>
      </w:r>
      <w:proofErr w:type="gramStart"/>
      <w:r w:rsidR="0045557F" w:rsidRPr="00EC0A91">
        <w:t>In reality, this</w:t>
      </w:r>
      <w:proofErr w:type="gramEnd"/>
      <w:r w:rsidR="0045557F" w:rsidRPr="00EC0A91">
        <w:t xml:space="preserve"> particular transition </w:t>
      </w:r>
      <w:r w:rsidR="004A056C" w:rsidRPr="00EC0A91">
        <w:t>may be difficult to</w:t>
      </w:r>
      <w:r w:rsidR="0045557F" w:rsidRPr="00EC0A91">
        <w:t xml:space="preserve"> observe</w:t>
      </w:r>
      <w:r w:rsidR="004A056C" w:rsidRPr="00EC0A91">
        <w:t>;</w:t>
      </w:r>
      <w:r w:rsidR="0045557F" w:rsidRPr="00EC0A91">
        <w:t xml:space="preserve"> </w:t>
      </w:r>
      <w:r w:rsidR="004A056C" w:rsidRPr="00EC0A91">
        <w:t>moreover, in general</w:t>
      </w:r>
      <w:r w:rsidR="0045557F" w:rsidRPr="00EC0A91">
        <w:t xml:space="preserve"> fit people visit their GP less frequently than people with mild or moderate frailty.</w:t>
      </w:r>
      <w:r w:rsidR="0045557F">
        <w:rPr>
          <w:color w:val="FF0000"/>
        </w:rPr>
        <w:t xml:space="preserve"> </w:t>
      </w:r>
      <w:proofErr w:type="gramStart"/>
      <w:r w:rsidR="00BC615E" w:rsidRPr="00A54A13">
        <w:t>However</w:t>
      </w:r>
      <w:proofErr w:type="gramEnd"/>
      <w:r w:rsidR="00BC615E" w:rsidRPr="00A54A13">
        <w:t xml:space="preserve"> as there were some areas </w:t>
      </w:r>
      <w:r w:rsidR="00BC615E">
        <w:t>where</w:t>
      </w:r>
      <w:r w:rsidR="00BC615E" w:rsidRPr="00A54A13">
        <w:t xml:space="preserve"> accuracy</w:t>
      </w:r>
      <w:r w:rsidR="00BC615E">
        <w:t xml:space="preserve"> was lower</w:t>
      </w:r>
      <w:r w:rsidR="00BC615E" w:rsidRPr="00A54A13">
        <w:t>, further examination was warranted</w:t>
      </w:r>
      <w:r w:rsidR="00EB716F">
        <w:t xml:space="preserve"> in the external validation process</w:t>
      </w:r>
      <w:r w:rsidR="00BC615E">
        <w:t xml:space="preserve"> using the SAIL data</w:t>
      </w:r>
      <w:r w:rsidR="00BC615E" w:rsidRPr="00A54A13">
        <w:t xml:space="preserve">. </w:t>
      </w:r>
    </w:p>
    <w:p w14:paraId="673466E1" w14:textId="77777777" w:rsidR="0087636D" w:rsidRDefault="0087636D" w:rsidP="00AF3336">
      <w:r>
        <w:br w:type="page"/>
      </w:r>
    </w:p>
    <w:p w14:paraId="7E66F6FE" w14:textId="65DB6ED7" w:rsidR="00C17100" w:rsidRPr="001256E0" w:rsidRDefault="00C17100">
      <w:pPr>
        <w:pStyle w:val="Caption"/>
      </w:pPr>
      <w:r w:rsidRPr="001256E0">
        <w:lastRenderedPageBreak/>
        <w:t>Table 2:</w:t>
      </w:r>
      <w:r w:rsidR="006476E0" w:rsidRPr="001256E0">
        <w:t xml:space="preserve"> Verification</w:t>
      </w:r>
      <w:r w:rsidRPr="001256E0">
        <w:t xml:space="preserve"> </w:t>
      </w:r>
      <w:r w:rsidR="006476E0" w:rsidRPr="001256E0">
        <w:t>(</w:t>
      </w:r>
      <w:r w:rsidR="00360251" w:rsidRPr="001256E0">
        <w:t>Internal v</w:t>
      </w:r>
      <w:r w:rsidRPr="001256E0">
        <w:t>alidati</w:t>
      </w:r>
      <w:r w:rsidR="00360251" w:rsidRPr="001256E0">
        <w:t>o</w:t>
      </w:r>
      <w:r w:rsidRPr="001256E0">
        <w:t>n</w:t>
      </w:r>
      <w:r w:rsidR="006476E0" w:rsidRPr="001256E0">
        <w:t>)</w:t>
      </w:r>
      <w:r w:rsidRPr="001256E0">
        <w:t xml:space="preserve"> </w:t>
      </w:r>
      <w:r w:rsidR="00360251" w:rsidRPr="001256E0">
        <w:t xml:space="preserve">using </w:t>
      </w:r>
      <w:r w:rsidRPr="001256E0">
        <w:t xml:space="preserve">the RCGP </w:t>
      </w:r>
      <w:r w:rsidR="00E7621F" w:rsidRPr="001256E0">
        <w:t xml:space="preserve">RSC </w:t>
      </w:r>
      <w:r w:rsidRPr="001256E0">
        <w:t>cohort</w:t>
      </w:r>
      <w:r w:rsidR="00360251" w:rsidRPr="001256E0">
        <w:t>:</w:t>
      </w:r>
      <w:r w:rsidRPr="001256E0">
        <w:t xml:space="preserve">  MAPE</w:t>
      </w:r>
      <w:r w:rsidR="00136DFA" w:rsidRPr="001256E0">
        <w:rPr>
          <w:rStyle w:val="FootnoteReference"/>
        </w:rPr>
        <w:footnoteReference w:id="1"/>
      </w:r>
      <w:r w:rsidRPr="001256E0">
        <w:t xml:space="preserve"> for each age/frailty subgroup.</w:t>
      </w:r>
    </w:p>
    <w:tbl>
      <w:tblPr>
        <w:tblStyle w:val="TableGrid"/>
        <w:tblW w:w="5000" w:type="pct"/>
        <w:tblLayout w:type="fixed"/>
        <w:tblLook w:val="04A0" w:firstRow="1" w:lastRow="0" w:firstColumn="1" w:lastColumn="0" w:noHBand="0" w:noVBand="1"/>
      </w:tblPr>
      <w:tblGrid>
        <w:gridCol w:w="2105"/>
        <w:gridCol w:w="903"/>
        <w:gridCol w:w="1524"/>
        <w:gridCol w:w="849"/>
        <w:gridCol w:w="1560"/>
        <w:gridCol w:w="1208"/>
        <w:gridCol w:w="867"/>
      </w:tblGrid>
      <w:tr w:rsidR="00C17100" w:rsidRPr="007404CA" w14:paraId="7B529A06" w14:textId="77777777" w:rsidTr="00AF3336">
        <w:trPr>
          <w:trHeight w:val="170"/>
        </w:trPr>
        <w:tc>
          <w:tcPr>
            <w:tcW w:w="1167" w:type="pct"/>
          </w:tcPr>
          <w:p w14:paraId="500DFB84" w14:textId="77777777" w:rsidR="00C17100" w:rsidRPr="00E60D17" w:rsidRDefault="00C17100">
            <w:pPr>
              <w:spacing w:line="240" w:lineRule="auto"/>
            </w:pPr>
          </w:p>
        </w:tc>
        <w:tc>
          <w:tcPr>
            <w:tcW w:w="501" w:type="pct"/>
          </w:tcPr>
          <w:p w14:paraId="4376CB2C" w14:textId="7FB3ACD9" w:rsidR="00C17100" w:rsidRPr="00E60D17" w:rsidRDefault="007C0770">
            <w:pPr>
              <w:spacing w:line="240" w:lineRule="auto"/>
              <w:jc w:val="center"/>
            </w:pPr>
            <w:r>
              <w:t>Alive</w:t>
            </w:r>
          </w:p>
        </w:tc>
        <w:tc>
          <w:tcPr>
            <w:tcW w:w="845" w:type="pct"/>
          </w:tcPr>
          <w:p w14:paraId="3F5D371E" w14:textId="77777777" w:rsidR="00C17100" w:rsidRPr="00E60D17" w:rsidRDefault="00C17100">
            <w:pPr>
              <w:spacing w:line="240" w:lineRule="auto"/>
              <w:jc w:val="center"/>
            </w:pPr>
            <w:r w:rsidRPr="00E60D17">
              <w:t>Entering the cohort</w:t>
            </w:r>
          </w:p>
        </w:tc>
        <w:tc>
          <w:tcPr>
            <w:tcW w:w="471" w:type="pct"/>
          </w:tcPr>
          <w:p w14:paraId="76185575" w14:textId="77777777" w:rsidR="00C17100" w:rsidRPr="00E60D17" w:rsidRDefault="00C17100">
            <w:pPr>
              <w:spacing w:line="240" w:lineRule="auto"/>
              <w:jc w:val="center"/>
              <w:rPr>
                <w:b/>
                <w:bCs/>
              </w:rPr>
            </w:pPr>
            <w:r w:rsidRPr="00E60D17">
              <w:t>Dying</w:t>
            </w:r>
          </w:p>
          <w:p w14:paraId="1E93685C" w14:textId="77777777" w:rsidR="00C17100" w:rsidRPr="00E60D17" w:rsidRDefault="00C17100" w:rsidP="00AF3336">
            <w:pPr>
              <w:spacing w:line="240" w:lineRule="auto"/>
              <w:jc w:val="center"/>
            </w:pPr>
          </w:p>
        </w:tc>
        <w:tc>
          <w:tcPr>
            <w:tcW w:w="865" w:type="pct"/>
          </w:tcPr>
          <w:p w14:paraId="181758D5" w14:textId="77777777" w:rsidR="00C17100" w:rsidRPr="00E60D17" w:rsidRDefault="00C17100">
            <w:pPr>
              <w:spacing w:line="240" w:lineRule="auto"/>
              <w:jc w:val="center"/>
            </w:pPr>
            <w:r w:rsidRPr="00E60D17">
              <w:t>Deregistration</w:t>
            </w:r>
          </w:p>
        </w:tc>
        <w:tc>
          <w:tcPr>
            <w:tcW w:w="670" w:type="pct"/>
          </w:tcPr>
          <w:p w14:paraId="52B79AD3" w14:textId="77777777" w:rsidR="00C17100" w:rsidRPr="00E60D17" w:rsidRDefault="00C17100">
            <w:pPr>
              <w:spacing w:line="240" w:lineRule="auto"/>
              <w:jc w:val="center"/>
            </w:pPr>
            <w:r w:rsidRPr="00E60D17">
              <w:t>Frailty Transitions</w:t>
            </w:r>
          </w:p>
        </w:tc>
        <w:tc>
          <w:tcPr>
            <w:tcW w:w="481" w:type="pct"/>
          </w:tcPr>
          <w:p w14:paraId="68BB7A60" w14:textId="77777777" w:rsidR="00C17100" w:rsidRPr="00E60D17" w:rsidRDefault="00C17100">
            <w:pPr>
              <w:spacing w:line="240" w:lineRule="auto"/>
              <w:jc w:val="center"/>
            </w:pPr>
            <w:r w:rsidRPr="00E60D17">
              <w:t>Ageing</w:t>
            </w:r>
          </w:p>
        </w:tc>
      </w:tr>
      <w:tr w:rsidR="00F17A53" w:rsidRPr="007404CA" w14:paraId="224C32CF" w14:textId="77777777" w:rsidTr="004F2E7F">
        <w:trPr>
          <w:trHeight w:val="170"/>
        </w:trPr>
        <w:tc>
          <w:tcPr>
            <w:tcW w:w="1167" w:type="pct"/>
          </w:tcPr>
          <w:p w14:paraId="0BC09BCF" w14:textId="51F82818" w:rsidR="00F17A53" w:rsidRPr="00E60D17" w:rsidRDefault="00F17A53">
            <w:pPr>
              <w:spacing w:line="240" w:lineRule="auto"/>
            </w:pPr>
            <w:r w:rsidRPr="00E60D17">
              <w:t>50 – 64</w:t>
            </w:r>
          </w:p>
        </w:tc>
        <w:tc>
          <w:tcPr>
            <w:tcW w:w="501" w:type="pct"/>
          </w:tcPr>
          <w:p w14:paraId="7725F9CF" w14:textId="77777777" w:rsidR="00F17A53" w:rsidRPr="00E60D17" w:rsidRDefault="00F17A53">
            <w:pPr>
              <w:spacing w:line="240" w:lineRule="auto"/>
            </w:pPr>
          </w:p>
        </w:tc>
        <w:tc>
          <w:tcPr>
            <w:tcW w:w="845" w:type="pct"/>
          </w:tcPr>
          <w:p w14:paraId="06ED8173" w14:textId="77777777" w:rsidR="00F17A53" w:rsidRPr="00E60D17" w:rsidRDefault="00F17A53">
            <w:pPr>
              <w:spacing w:line="240" w:lineRule="auto"/>
            </w:pPr>
          </w:p>
        </w:tc>
        <w:tc>
          <w:tcPr>
            <w:tcW w:w="471" w:type="pct"/>
          </w:tcPr>
          <w:p w14:paraId="608BC702" w14:textId="77777777" w:rsidR="00F17A53" w:rsidRPr="00E60D17" w:rsidRDefault="00F17A53">
            <w:pPr>
              <w:spacing w:line="240" w:lineRule="auto"/>
            </w:pPr>
          </w:p>
        </w:tc>
        <w:tc>
          <w:tcPr>
            <w:tcW w:w="865" w:type="pct"/>
          </w:tcPr>
          <w:p w14:paraId="6D5E7456" w14:textId="77777777" w:rsidR="00F17A53" w:rsidRPr="00E60D17" w:rsidRDefault="00F17A53">
            <w:pPr>
              <w:spacing w:line="240" w:lineRule="auto"/>
            </w:pPr>
          </w:p>
        </w:tc>
        <w:tc>
          <w:tcPr>
            <w:tcW w:w="670" w:type="pct"/>
          </w:tcPr>
          <w:p w14:paraId="5BA1F490" w14:textId="77777777" w:rsidR="00F17A53" w:rsidRPr="00E60D17" w:rsidRDefault="00F17A53">
            <w:pPr>
              <w:spacing w:line="240" w:lineRule="auto"/>
            </w:pPr>
          </w:p>
        </w:tc>
        <w:tc>
          <w:tcPr>
            <w:tcW w:w="481" w:type="pct"/>
          </w:tcPr>
          <w:p w14:paraId="6F3012C0" w14:textId="77777777" w:rsidR="00F17A53" w:rsidRPr="00E60D17" w:rsidRDefault="00F17A53">
            <w:pPr>
              <w:spacing w:line="240" w:lineRule="auto"/>
            </w:pPr>
          </w:p>
        </w:tc>
      </w:tr>
      <w:tr w:rsidR="00C17100" w:rsidRPr="007404CA" w14:paraId="7CC93988" w14:textId="77777777" w:rsidTr="00AF3336">
        <w:trPr>
          <w:trHeight w:val="170"/>
        </w:trPr>
        <w:tc>
          <w:tcPr>
            <w:tcW w:w="1167" w:type="pct"/>
          </w:tcPr>
          <w:p w14:paraId="36152B20" w14:textId="0345BC80" w:rsidR="00C17100" w:rsidRPr="00E60D17" w:rsidRDefault="00C17100">
            <w:pPr>
              <w:spacing w:line="240" w:lineRule="auto"/>
              <w:rPr>
                <w:b/>
                <w:bCs/>
              </w:rPr>
            </w:pPr>
            <w:r w:rsidRPr="00E60D17">
              <w:t>Fit</w:t>
            </w:r>
          </w:p>
        </w:tc>
        <w:tc>
          <w:tcPr>
            <w:tcW w:w="501" w:type="pct"/>
          </w:tcPr>
          <w:p w14:paraId="37ABE5B6" w14:textId="77777777" w:rsidR="00C17100" w:rsidRPr="00E60D17" w:rsidRDefault="00C17100" w:rsidP="00AF3336">
            <w:pPr>
              <w:spacing w:line="240" w:lineRule="auto"/>
            </w:pPr>
            <w:r w:rsidRPr="00E60D17">
              <w:t>0.45</w:t>
            </w:r>
          </w:p>
        </w:tc>
        <w:tc>
          <w:tcPr>
            <w:tcW w:w="845" w:type="pct"/>
          </w:tcPr>
          <w:p w14:paraId="63C8D6CF" w14:textId="77777777" w:rsidR="00C17100" w:rsidRPr="00E60D17" w:rsidRDefault="00C17100" w:rsidP="00AF3336">
            <w:pPr>
              <w:spacing w:line="240" w:lineRule="auto"/>
            </w:pPr>
            <w:r w:rsidRPr="00E60D17">
              <w:t>1.96</w:t>
            </w:r>
          </w:p>
        </w:tc>
        <w:tc>
          <w:tcPr>
            <w:tcW w:w="471" w:type="pct"/>
          </w:tcPr>
          <w:p w14:paraId="45E03924" w14:textId="77777777" w:rsidR="00C17100" w:rsidRPr="00E60D17" w:rsidRDefault="00C17100" w:rsidP="00AF3336">
            <w:pPr>
              <w:spacing w:line="240" w:lineRule="auto"/>
            </w:pPr>
            <w:r w:rsidRPr="00E60D17">
              <w:t>5.35</w:t>
            </w:r>
          </w:p>
        </w:tc>
        <w:tc>
          <w:tcPr>
            <w:tcW w:w="865" w:type="pct"/>
          </w:tcPr>
          <w:p w14:paraId="1445EEA0" w14:textId="77777777" w:rsidR="00C17100" w:rsidRPr="00E60D17" w:rsidRDefault="00C17100" w:rsidP="00AF3336">
            <w:pPr>
              <w:spacing w:line="240" w:lineRule="auto"/>
            </w:pPr>
            <w:r w:rsidRPr="00E60D17">
              <w:t>5.77</w:t>
            </w:r>
          </w:p>
        </w:tc>
        <w:tc>
          <w:tcPr>
            <w:tcW w:w="670" w:type="pct"/>
          </w:tcPr>
          <w:p w14:paraId="59E01C2E" w14:textId="77777777" w:rsidR="00C17100" w:rsidRPr="00E60D17" w:rsidRDefault="00C17100" w:rsidP="00AF3336">
            <w:pPr>
              <w:spacing w:line="240" w:lineRule="auto"/>
            </w:pPr>
          </w:p>
        </w:tc>
        <w:tc>
          <w:tcPr>
            <w:tcW w:w="481" w:type="pct"/>
          </w:tcPr>
          <w:p w14:paraId="4DC43F9D" w14:textId="77777777" w:rsidR="00C17100" w:rsidRPr="00E60D17" w:rsidRDefault="00C17100" w:rsidP="00AF3336">
            <w:pPr>
              <w:spacing w:line="240" w:lineRule="auto"/>
            </w:pPr>
            <w:r w:rsidRPr="00E60D17">
              <w:t>10.35</w:t>
            </w:r>
          </w:p>
        </w:tc>
      </w:tr>
      <w:tr w:rsidR="00C17100" w:rsidRPr="007404CA" w14:paraId="5DF142EF" w14:textId="77777777" w:rsidTr="00AF3336">
        <w:trPr>
          <w:trHeight w:val="142"/>
        </w:trPr>
        <w:tc>
          <w:tcPr>
            <w:tcW w:w="1167" w:type="pct"/>
            <w:vAlign w:val="center"/>
          </w:tcPr>
          <w:p w14:paraId="4EB10BE5" w14:textId="49822047" w:rsidR="00C17100" w:rsidRPr="00E60D17" w:rsidRDefault="00C17100">
            <w:pPr>
              <w:spacing w:line="240" w:lineRule="auto"/>
              <w:rPr>
                <w:b/>
                <w:bCs/>
              </w:rPr>
            </w:pPr>
            <w:r w:rsidRPr="00E60D17">
              <w:t>Mild</w:t>
            </w:r>
          </w:p>
        </w:tc>
        <w:tc>
          <w:tcPr>
            <w:tcW w:w="501" w:type="pct"/>
            <w:vAlign w:val="center"/>
          </w:tcPr>
          <w:p w14:paraId="792222D6" w14:textId="77777777" w:rsidR="00C17100" w:rsidRPr="00E60D17" w:rsidRDefault="00C17100" w:rsidP="00AF3336">
            <w:pPr>
              <w:spacing w:line="240" w:lineRule="auto"/>
            </w:pPr>
            <w:r w:rsidRPr="00E60D17">
              <w:t>1.42</w:t>
            </w:r>
          </w:p>
        </w:tc>
        <w:tc>
          <w:tcPr>
            <w:tcW w:w="845" w:type="pct"/>
            <w:vAlign w:val="center"/>
          </w:tcPr>
          <w:p w14:paraId="2D9F52FF" w14:textId="77777777" w:rsidR="00C17100" w:rsidRPr="00E60D17" w:rsidRDefault="00C17100" w:rsidP="00AF3336">
            <w:pPr>
              <w:spacing w:line="240" w:lineRule="auto"/>
            </w:pPr>
            <w:r w:rsidRPr="00E60D17">
              <w:t>2.37</w:t>
            </w:r>
          </w:p>
        </w:tc>
        <w:tc>
          <w:tcPr>
            <w:tcW w:w="471" w:type="pct"/>
            <w:vAlign w:val="center"/>
          </w:tcPr>
          <w:p w14:paraId="543FBFCD" w14:textId="77777777" w:rsidR="00C17100" w:rsidRPr="00E60D17" w:rsidRDefault="00C17100" w:rsidP="00AF3336">
            <w:pPr>
              <w:spacing w:line="240" w:lineRule="auto"/>
            </w:pPr>
            <w:r w:rsidRPr="00E60D17">
              <w:t>6.55</w:t>
            </w:r>
          </w:p>
        </w:tc>
        <w:tc>
          <w:tcPr>
            <w:tcW w:w="865" w:type="pct"/>
            <w:vAlign w:val="center"/>
          </w:tcPr>
          <w:p w14:paraId="2CADFA09" w14:textId="77777777" w:rsidR="00C17100" w:rsidRPr="00E60D17" w:rsidRDefault="00C17100" w:rsidP="00AF3336">
            <w:pPr>
              <w:spacing w:line="240" w:lineRule="auto"/>
            </w:pPr>
            <w:r w:rsidRPr="00E60D17">
              <w:t>6.93</w:t>
            </w:r>
          </w:p>
        </w:tc>
        <w:tc>
          <w:tcPr>
            <w:tcW w:w="670" w:type="pct"/>
            <w:vAlign w:val="center"/>
          </w:tcPr>
          <w:p w14:paraId="295DE797" w14:textId="77777777" w:rsidR="00C17100" w:rsidRPr="00E60D17" w:rsidRDefault="00C17100" w:rsidP="00AF3336">
            <w:pPr>
              <w:spacing w:line="240" w:lineRule="auto"/>
            </w:pPr>
          </w:p>
        </w:tc>
        <w:tc>
          <w:tcPr>
            <w:tcW w:w="481" w:type="pct"/>
            <w:vAlign w:val="center"/>
          </w:tcPr>
          <w:p w14:paraId="128A47CD" w14:textId="77777777" w:rsidR="00C17100" w:rsidRPr="00E60D17" w:rsidRDefault="00C17100" w:rsidP="00AF3336">
            <w:pPr>
              <w:spacing w:line="240" w:lineRule="auto"/>
            </w:pPr>
            <w:r w:rsidRPr="00E60D17">
              <w:t>11.53</w:t>
            </w:r>
          </w:p>
        </w:tc>
      </w:tr>
      <w:tr w:rsidR="00C17100" w:rsidRPr="007404CA" w14:paraId="4AA5FAE7" w14:textId="77777777" w:rsidTr="00AF3336">
        <w:trPr>
          <w:trHeight w:val="139"/>
        </w:trPr>
        <w:tc>
          <w:tcPr>
            <w:tcW w:w="1167" w:type="pct"/>
            <w:vAlign w:val="center"/>
          </w:tcPr>
          <w:p w14:paraId="0BA1C543" w14:textId="18B319C4" w:rsidR="00C17100" w:rsidRPr="00E60D17" w:rsidRDefault="00C17100">
            <w:pPr>
              <w:spacing w:line="240" w:lineRule="auto"/>
              <w:rPr>
                <w:b/>
                <w:bCs/>
              </w:rPr>
            </w:pPr>
            <w:r w:rsidRPr="00E60D17">
              <w:t>Moderate</w:t>
            </w:r>
          </w:p>
        </w:tc>
        <w:tc>
          <w:tcPr>
            <w:tcW w:w="501" w:type="pct"/>
            <w:vAlign w:val="center"/>
          </w:tcPr>
          <w:p w14:paraId="5819472C" w14:textId="77777777" w:rsidR="00C17100" w:rsidRPr="00E60D17" w:rsidRDefault="00C17100" w:rsidP="00AF3336">
            <w:pPr>
              <w:spacing w:line="240" w:lineRule="auto"/>
            </w:pPr>
            <w:r w:rsidRPr="00E60D17">
              <w:t>6.93</w:t>
            </w:r>
          </w:p>
        </w:tc>
        <w:tc>
          <w:tcPr>
            <w:tcW w:w="845" w:type="pct"/>
            <w:vAlign w:val="center"/>
          </w:tcPr>
          <w:p w14:paraId="5CCC46CA" w14:textId="77777777" w:rsidR="00C17100" w:rsidRPr="00E60D17" w:rsidRDefault="00C17100" w:rsidP="00AF3336">
            <w:pPr>
              <w:spacing w:line="240" w:lineRule="auto"/>
            </w:pPr>
            <w:r w:rsidRPr="00E60D17">
              <w:t>5.57</w:t>
            </w:r>
          </w:p>
        </w:tc>
        <w:tc>
          <w:tcPr>
            <w:tcW w:w="471" w:type="pct"/>
            <w:vAlign w:val="center"/>
          </w:tcPr>
          <w:p w14:paraId="23C48B20" w14:textId="77777777" w:rsidR="00C17100" w:rsidRPr="00E60D17" w:rsidRDefault="00C17100" w:rsidP="00AF3336">
            <w:pPr>
              <w:spacing w:line="240" w:lineRule="auto"/>
            </w:pPr>
            <w:r w:rsidRPr="00E60D17">
              <w:t>7.58</w:t>
            </w:r>
          </w:p>
        </w:tc>
        <w:tc>
          <w:tcPr>
            <w:tcW w:w="865" w:type="pct"/>
            <w:vAlign w:val="center"/>
          </w:tcPr>
          <w:p w14:paraId="461A1900" w14:textId="77777777" w:rsidR="00C17100" w:rsidRPr="00E60D17" w:rsidRDefault="00C17100" w:rsidP="00AF3336">
            <w:pPr>
              <w:spacing w:line="240" w:lineRule="auto"/>
            </w:pPr>
            <w:r w:rsidRPr="00E60D17">
              <w:t>7.94</w:t>
            </w:r>
          </w:p>
        </w:tc>
        <w:tc>
          <w:tcPr>
            <w:tcW w:w="670" w:type="pct"/>
            <w:vAlign w:val="center"/>
          </w:tcPr>
          <w:p w14:paraId="723DEEB0" w14:textId="77777777" w:rsidR="00C17100" w:rsidRPr="00E60D17" w:rsidRDefault="00C17100" w:rsidP="00AF3336">
            <w:pPr>
              <w:spacing w:line="240" w:lineRule="auto"/>
            </w:pPr>
          </w:p>
        </w:tc>
        <w:tc>
          <w:tcPr>
            <w:tcW w:w="481" w:type="pct"/>
            <w:vAlign w:val="center"/>
          </w:tcPr>
          <w:p w14:paraId="4CFAC009" w14:textId="77777777" w:rsidR="00C17100" w:rsidRPr="00E60D17" w:rsidRDefault="00C17100" w:rsidP="00AF3336">
            <w:pPr>
              <w:spacing w:line="240" w:lineRule="auto"/>
            </w:pPr>
            <w:r w:rsidRPr="00E60D17">
              <w:t>14.91</w:t>
            </w:r>
          </w:p>
        </w:tc>
      </w:tr>
      <w:tr w:rsidR="00C17100" w:rsidRPr="007404CA" w14:paraId="374DF436" w14:textId="77777777" w:rsidTr="00AF3336">
        <w:trPr>
          <w:trHeight w:val="227"/>
        </w:trPr>
        <w:tc>
          <w:tcPr>
            <w:tcW w:w="1167" w:type="pct"/>
          </w:tcPr>
          <w:p w14:paraId="5C973D64" w14:textId="004E2BEF" w:rsidR="00C17100" w:rsidRPr="00E60D17" w:rsidRDefault="00C17100">
            <w:pPr>
              <w:spacing w:line="240" w:lineRule="auto"/>
              <w:rPr>
                <w:b/>
                <w:bCs/>
              </w:rPr>
            </w:pPr>
            <w:r w:rsidRPr="00E60D17">
              <w:t>Severe</w:t>
            </w:r>
          </w:p>
        </w:tc>
        <w:tc>
          <w:tcPr>
            <w:tcW w:w="501" w:type="pct"/>
          </w:tcPr>
          <w:p w14:paraId="311B1E7D" w14:textId="77777777" w:rsidR="00C17100" w:rsidRPr="00E60D17" w:rsidRDefault="00C17100" w:rsidP="00AF3336">
            <w:pPr>
              <w:spacing w:line="240" w:lineRule="auto"/>
            </w:pPr>
            <w:r w:rsidRPr="00E60D17">
              <w:t>7.77</w:t>
            </w:r>
          </w:p>
        </w:tc>
        <w:tc>
          <w:tcPr>
            <w:tcW w:w="845" w:type="pct"/>
          </w:tcPr>
          <w:p w14:paraId="786D703B" w14:textId="77777777" w:rsidR="00C17100" w:rsidRPr="00E60D17" w:rsidRDefault="00C17100" w:rsidP="00AF3336">
            <w:pPr>
              <w:spacing w:line="240" w:lineRule="auto"/>
            </w:pPr>
            <w:r w:rsidRPr="00E60D17">
              <w:t>15.84</w:t>
            </w:r>
          </w:p>
        </w:tc>
        <w:tc>
          <w:tcPr>
            <w:tcW w:w="471" w:type="pct"/>
          </w:tcPr>
          <w:p w14:paraId="19778AEF" w14:textId="77777777" w:rsidR="00C17100" w:rsidRPr="00E60D17" w:rsidRDefault="00C17100" w:rsidP="00AF3336">
            <w:pPr>
              <w:spacing w:line="240" w:lineRule="auto"/>
            </w:pPr>
            <w:r w:rsidRPr="00E60D17">
              <w:t>4.00</w:t>
            </w:r>
          </w:p>
        </w:tc>
        <w:tc>
          <w:tcPr>
            <w:tcW w:w="865" w:type="pct"/>
          </w:tcPr>
          <w:p w14:paraId="1A19C446" w14:textId="77777777" w:rsidR="00C17100" w:rsidRPr="00E60D17" w:rsidRDefault="00C17100" w:rsidP="00AF3336">
            <w:pPr>
              <w:spacing w:line="240" w:lineRule="auto"/>
            </w:pPr>
            <w:r w:rsidRPr="00E60D17">
              <w:t>10.22</w:t>
            </w:r>
          </w:p>
        </w:tc>
        <w:tc>
          <w:tcPr>
            <w:tcW w:w="670" w:type="pct"/>
          </w:tcPr>
          <w:p w14:paraId="698B75E9" w14:textId="77777777" w:rsidR="00C17100" w:rsidRPr="00E60D17" w:rsidRDefault="00C17100" w:rsidP="00AF3336">
            <w:pPr>
              <w:spacing w:line="240" w:lineRule="auto"/>
            </w:pPr>
          </w:p>
        </w:tc>
        <w:tc>
          <w:tcPr>
            <w:tcW w:w="481" w:type="pct"/>
          </w:tcPr>
          <w:p w14:paraId="26376C99" w14:textId="77777777" w:rsidR="00C17100" w:rsidRPr="00E60D17" w:rsidRDefault="00C17100" w:rsidP="00AF3336">
            <w:pPr>
              <w:spacing w:line="240" w:lineRule="auto"/>
            </w:pPr>
            <w:r w:rsidRPr="00E60D17">
              <w:t>19.45</w:t>
            </w:r>
          </w:p>
        </w:tc>
      </w:tr>
      <w:tr w:rsidR="00C17100" w:rsidRPr="007404CA" w14:paraId="7BDFD262" w14:textId="77777777" w:rsidTr="00AF3336">
        <w:trPr>
          <w:trHeight w:val="227"/>
        </w:trPr>
        <w:tc>
          <w:tcPr>
            <w:tcW w:w="1167" w:type="pct"/>
          </w:tcPr>
          <w:p w14:paraId="449E9229" w14:textId="77777777" w:rsidR="00C17100" w:rsidRPr="00E60D17" w:rsidRDefault="00C17100">
            <w:pPr>
              <w:spacing w:line="240" w:lineRule="auto"/>
              <w:rPr>
                <w:b/>
                <w:bCs/>
              </w:rPr>
            </w:pPr>
            <w:r w:rsidRPr="00E60D17">
              <w:t>Fit to Mild</w:t>
            </w:r>
          </w:p>
        </w:tc>
        <w:tc>
          <w:tcPr>
            <w:tcW w:w="501" w:type="pct"/>
          </w:tcPr>
          <w:p w14:paraId="125A00DF" w14:textId="77777777" w:rsidR="00C17100" w:rsidRPr="00E60D17" w:rsidRDefault="00C17100" w:rsidP="00AF3336">
            <w:pPr>
              <w:spacing w:line="240" w:lineRule="auto"/>
            </w:pPr>
          </w:p>
        </w:tc>
        <w:tc>
          <w:tcPr>
            <w:tcW w:w="845" w:type="pct"/>
          </w:tcPr>
          <w:p w14:paraId="21E0138D" w14:textId="77777777" w:rsidR="00C17100" w:rsidRPr="00E60D17" w:rsidRDefault="00C17100" w:rsidP="00AF3336">
            <w:pPr>
              <w:spacing w:line="240" w:lineRule="auto"/>
            </w:pPr>
          </w:p>
        </w:tc>
        <w:tc>
          <w:tcPr>
            <w:tcW w:w="471" w:type="pct"/>
          </w:tcPr>
          <w:p w14:paraId="2C5AC5F7" w14:textId="77777777" w:rsidR="00C17100" w:rsidRPr="00E60D17" w:rsidRDefault="00C17100" w:rsidP="00AF3336">
            <w:pPr>
              <w:spacing w:line="240" w:lineRule="auto"/>
            </w:pPr>
          </w:p>
        </w:tc>
        <w:tc>
          <w:tcPr>
            <w:tcW w:w="865" w:type="pct"/>
          </w:tcPr>
          <w:p w14:paraId="316961FC" w14:textId="77777777" w:rsidR="00C17100" w:rsidRPr="00E60D17" w:rsidRDefault="00C17100" w:rsidP="00AF3336">
            <w:pPr>
              <w:spacing w:line="240" w:lineRule="auto"/>
            </w:pPr>
          </w:p>
        </w:tc>
        <w:tc>
          <w:tcPr>
            <w:tcW w:w="670" w:type="pct"/>
          </w:tcPr>
          <w:p w14:paraId="32E0BE70" w14:textId="77777777" w:rsidR="00C17100" w:rsidRPr="00E60D17" w:rsidRDefault="00C17100" w:rsidP="00AF3336">
            <w:pPr>
              <w:spacing w:line="240" w:lineRule="auto"/>
            </w:pPr>
            <w:r w:rsidRPr="00E60D17">
              <w:t>24.04</w:t>
            </w:r>
          </w:p>
        </w:tc>
        <w:tc>
          <w:tcPr>
            <w:tcW w:w="481" w:type="pct"/>
          </w:tcPr>
          <w:p w14:paraId="72F6A9DF" w14:textId="77777777" w:rsidR="00C17100" w:rsidRPr="00E60D17" w:rsidRDefault="00C17100" w:rsidP="00AF3336">
            <w:pPr>
              <w:spacing w:line="240" w:lineRule="auto"/>
            </w:pPr>
          </w:p>
        </w:tc>
      </w:tr>
      <w:tr w:rsidR="00C17100" w:rsidRPr="007404CA" w14:paraId="7734E74D" w14:textId="77777777" w:rsidTr="00AF3336">
        <w:trPr>
          <w:trHeight w:val="227"/>
        </w:trPr>
        <w:tc>
          <w:tcPr>
            <w:tcW w:w="1167" w:type="pct"/>
          </w:tcPr>
          <w:p w14:paraId="5496FBE7" w14:textId="77777777" w:rsidR="00C17100" w:rsidRPr="00E60D17" w:rsidRDefault="00C17100">
            <w:pPr>
              <w:spacing w:line="240" w:lineRule="auto"/>
              <w:rPr>
                <w:b/>
                <w:bCs/>
              </w:rPr>
            </w:pPr>
            <w:r w:rsidRPr="00E60D17">
              <w:t>Mild to Moderate</w:t>
            </w:r>
          </w:p>
        </w:tc>
        <w:tc>
          <w:tcPr>
            <w:tcW w:w="501" w:type="pct"/>
          </w:tcPr>
          <w:p w14:paraId="3F4AA1F6" w14:textId="77777777" w:rsidR="00C17100" w:rsidRPr="00E60D17" w:rsidRDefault="00C17100" w:rsidP="00AF3336">
            <w:pPr>
              <w:spacing w:line="240" w:lineRule="auto"/>
            </w:pPr>
          </w:p>
        </w:tc>
        <w:tc>
          <w:tcPr>
            <w:tcW w:w="845" w:type="pct"/>
          </w:tcPr>
          <w:p w14:paraId="2D343A6D" w14:textId="77777777" w:rsidR="00C17100" w:rsidRPr="00E60D17" w:rsidRDefault="00C17100" w:rsidP="00AF3336">
            <w:pPr>
              <w:spacing w:line="240" w:lineRule="auto"/>
            </w:pPr>
          </w:p>
        </w:tc>
        <w:tc>
          <w:tcPr>
            <w:tcW w:w="471" w:type="pct"/>
          </w:tcPr>
          <w:p w14:paraId="47B23C31" w14:textId="77777777" w:rsidR="00C17100" w:rsidRPr="00E60D17" w:rsidRDefault="00C17100" w:rsidP="00AF3336">
            <w:pPr>
              <w:spacing w:line="240" w:lineRule="auto"/>
            </w:pPr>
          </w:p>
        </w:tc>
        <w:tc>
          <w:tcPr>
            <w:tcW w:w="865" w:type="pct"/>
          </w:tcPr>
          <w:p w14:paraId="1BBC006A" w14:textId="77777777" w:rsidR="00C17100" w:rsidRPr="00E60D17" w:rsidRDefault="00C17100" w:rsidP="00AF3336">
            <w:pPr>
              <w:spacing w:line="240" w:lineRule="auto"/>
            </w:pPr>
          </w:p>
        </w:tc>
        <w:tc>
          <w:tcPr>
            <w:tcW w:w="670" w:type="pct"/>
          </w:tcPr>
          <w:p w14:paraId="1668A978" w14:textId="77777777" w:rsidR="00C17100" w:rsidRPr="00E60D17" w:rsidRDefault="00C17100" w:rsidP="00AF3336">
            <w:pPr>
              <w:spacing w:line="240" w:lineRule="auto"/>
            </w:pPr>
            <w:r w:rsidRPr="00E60D17">
              <w:t>3.43</w:t>
            </w:r>
          </w:p>
        </w:tc>
        <w:tc>
          <w:tcPr>
            <w:tcW w:w="481" w:type="pct"/>
          </w:tcPr>
          <w:p w14:paraId="483A1498" w14:textId="77777777" w:rsidR="00C17100" w:rsidRPr="00E60D17" w:rsidRDefault="00C17100" w:rsidP="00AF3336">
            <w:pPr>
              <w:spacing w:line="240" w:lineRule="auto"/>
            </w:pPr>
          </w:p>
        </w:tc>
      </w:tr>
      <w:tr w:rsidR="00C17100" w:rsidRPr="007404CA" w14:paraId="55AD68CB" w14:textId="77777777" w:rsidTr="00AF3336">
        <w:trPr>
          <w:trHeight w:val="227"/>
        </w:trPr>
        <w:tc>
          <w:tcPr>
            <w:tcW w:w="1167" w:type="pct"/>
          </w:tcPr>
          <w:p w14:paraId="439A7E3E" w14:textId="77777777" w:rsidR="00C17100" w:rsidRPr="00E60D17" w:rsidRDefault="00C17100">
            <w:pPr>
              <w:spacing w:line="240" w:lineRule="auto"/>
              <w:rPr>
                <w:b/>
                <w:bCs/>
              </w:rPr>
            </w:pPr>
            <w:r w:rsidRPr="00E60D17">
              <w:t>Moderate to Severe</w:t>
            </w:r>
          </w:p>
        </w:tc>
        <w:tc>
          <w:tcPr>
            <w:tcW w:w="501" w:type="pct"/>
          </w:tcPr>
          <w:p w14:paraId="18E9E160" w14:textId="77777777" w:rsidR="00C17100" w:rsidRPr="00E60D17" w:rsidRDefault="00C17100" w:rsidP="00AF3336">
            <w:pPr>
              <w:spacing w:line="240" w:lineRule="auto"/>
            </w:pPr>
          </w:p>
        </w:tc>
        <w:tc>
          <w:tcPr>
            <w:tcW w:w="845" w:type="pct"/>
          </w:tcPr>
          <w:p w14:paraId="5F77D2F9" w14:textId="77777777" w:rsidR="00C17100" w:rsidRPr="00E60D17" w:rsidRDefault="00C17100" w:rsidP="00AF3336">
            <w:pPr>
              <w:spacing w:line="240" w:lineRule="auto"/>
            </w:pPr>
          </w:p>
        </w:tc>
        <w:tc>
          <w:tcPr>
            <w:tcW w:w="471" w:type="pct"/>
          </w:tcPr>
          <w:p w14:paraId="12E59604" w14:textId="77777777" w:rsidR="00C17100" w:rsidRPr="00E60D17" w:rsidRDefault="00C17100" w:rsidP="00AF3336">
            <w:pPr>
              <w:spacing w:line="240" w:lineRule="auto"/>
            </w:pPr>
          </w:p>
        </w:tc>
        <w:tc>
          <w:tcPr>
            <w:tcW w:w="865" w:type="pct"/>
          </w:tcPr>
          <w:p w14:paraId="0CB8DF17" w14:textId="77777777" w:rsidR="00C17100" w:rsidRPr="00E60D17" w:rsidRDefault="00C17100" w:rsidP="00AF3336">
            <w:pPr>
              <w:spacing w:line="240" w:lineRule="auto"/>
            </w:pPr>
          </w:p>
        </w:tc>
        <w:tc>
          <w:tcPr>
            <w:tcW w:w="670" w:type="pct"/>
          </w:tcPr>
          <w:p w14:paraId="2B531B59" w14:textId="77777777" w:rsidR="00C17100" w:rsidRPr="00E60D17" w:rsidRDefault="00C17100" w:rsidP="00AF3336">
            <w:pPr>
              <w:spacing w:line="240" w:lineRule="auto"/>
            </w:pPr>
            <w:r w:rsidRPr="00E60D17">
              <w:t>4.83</w:t>
            </w:r>
          </w:p>
        </w:tc>
        <w:tc>
          <w:tcPr>
            <w:tcW w:w="481" w:type="pct"/>
          </w:tcPr>
          <w:p w14:paraId="2E4CDC55" w14:textId="77777777" w:rsidR="00C17100" w:rsidRPr="00E60D17" w:rsidRDefault="00C17100" w:rsidP="00AF3336">
            <w:pPr>
              <w:spacing w:line="240" w:lineRule="auto"/>
            </w:pPr>
          </w:p>
        </w:tc>
      </w:tr>
      <w:tr w:rsidR="00C17100" w:rsidRPr="007404CA" w14:paraId="51DD8768" w14:textId="77777777" w:rsidTr="00AF3336">
        <w:trPr>
          <w:trHeight w:val="170"/>
        </w:trPr>
        <w:tc>
          <w:tcPr>
            <w:tcW w:w="1167" w:type="pct"/>
          </w:tcPr>
          <w:p w14:paraId="789A0B42" w14:textId="77777777" w:rsidR="00C17100" w:rsidRPr="00E60D17" w:rsidRDefault="00C17100">
            <w:pPr>
              <w:spacing w:line="240" w:lineRule="auto"/>
            </w:pPr>
          </w:p>
        </w:tc>
        <w:tc>
          <w:tcPr>
            <w:tcW w:w="501" w:type="pct"/>
          </w:tcPr>
          <w:p w14:paraId="48AEE92C" w14:textId="77777777" w:rsidR="00C17100" w:rsidRPr="00E60D17" w:rsidRDefault="00C17100" w:rsidP="00AF3336">
            <w:pPr>
              <w:spacing w:line="240" w:lineRule="auto"/>
            </w:pPr>
          </w:p>
        </w:tc>
        <w:tc>
          <w:tcPr>
            <w:tcW w:w="845" w:type="pct"/>
          </w:tcPr>
          <w:p w14:paraId="7934231C" w14:textId="77777777" w:rsidR="00C17100" w:rsidRPr="00E60D17" w:rsidRDefault="00C17100" w:rsidP="00AF3336">
            <w:pPr>
              <w:spacing w:line="240" w:lineRule="auto"/>
            </w:pPr>
          </w:p>
        </w:tc>
        <w:tc>
          <w:tcPr>
            <w:tcW w:w="471" w:type="pct"/>
          </w:tcPr>
          <w:p w14:paraId="6033D91D" w14:textId="77777777" w:rsidR="00C17100" w:rsidRPr="00E60D17" w:rsidRDefault="00C17100" w:rsidP="00AF3336">
            <w:pPr>
              <w:spacing w:line="240" w:lineRule="auto"/>
            </w:pPr>
          </w:p>
        </w:tc>
        <w:tc>
          <w:tcPr>
            <w:tcW w:w="865" w:type="pct"/>
          </w:tcPr>
          <w:p w14:paraId="401D15C3" w14:textId="77777777" w:rsidR="00C17100" w:rsidRPr="00E60D17" w:rsidRDefault="00C17100" w:rsidP="00AF3336">
            <w:pPr>
              <w:spacing w:line="240" w:lineRule="auto"/>
            </w:pPr>
          </w:p>
        </w:tc>
        <w:tc>
          <w:tcPr>
            <w:tcW w:w="670" w:type="pct"/>
          </w:tcPr>
          <w:p w14:paraId="36D8A6B8" w14:textId="77777777" w:rsidR="00C17100" w:rsidRPr="00E60D17" w:rsidRDefault="00C17100" w:rsidP="00AF3336">
            <w:pPr>
              <w:spacing w:line="240" w:lineRule="auto"/>
            </w:pPr>
          </w:p>
        </w:tc>
        <w:tc>
          <w:tcPr>
            <w:tcW w:w="481" w:type="pct"/>
          </w:tcPr>
          <w:p w14:paraId="3080A242" w14:textId="77777777" w:rsidR="00C17100" w:rsidRPr="00E60D17" w:rsidRDefault="00C17100" w:rsidP="00AF3336">
            <w:pPr>
              <w:spacing w:line="240" w:lineRule="auto"/>
            </w:pPr>
          </w:p>
        </w:tc>
      </w:tr>
      <w:tr w:rsidR="001256E0" w:rsidRPr="007404CA" w14:paraId="7E477A23" w14:textId="77777777" w:rsidTr="004F2E7F">
        <w:trPr>
          <w:trHeight w:val="170"/>
        </w:trPr>
        <w:tc>
          <w:tcPr>
            <w:tcW w:w="1167" w:type="pct"/>
          </w:tcPr>
          <w:p w14:paraId="05D30540" w14:textId="02CB38A8" w:rsidR="001256E0" w:rsidRPr="00E60D17" w:rsidRDefault="001256E0">
            <w:pPr>
              <w:spacing w:line="240" w:lineRule="auto"/>
            </w:pPr>
            <w:r w:rsidRPr="00E60D17">
              <w:t>65 – 74</w:t>
            </w:r>
          </w:p>
        </w:tc>
        <w:tc>
          <w:tcPr>
            <w:tcW w:w="501" w:type="pct"/>
          </w:tcPr>
          <w:p w14:paraId="0B7D29AA" w14:textId="77777777" w:rsidR="001256E0" w:rsidRPr="00E60D17" w:rsidRDefault="001256E0">
            <w:pPr>
              <w:spacing w:line="240" w:lineRule="auto"/>
            </w:pPr>
          </w:p>
        </w:tc>
        <w:tc>
          <w:tcPr>
            <w:tcW w:w="845" w:type="pct"/>
          </w:tcPr>
          <w:p w14:paraId="5BB42830" w14:textId="77777777" w:rsidR="001256E0" w:rsidRPr="00E60D17" w:rsidRDefault="001256E0">
            <w:pPr>
              <w:spacing w:line="240" w:lineRule="auto"/>
            </w:pPr>
          </w:p>
        </w:tc>
        <w:tc>
          <w:tcPr>
            <w:tcW w:w="471" w:type="pct"/>
          </w:tcPr>
          <w:p w14:paraId="29769394" w14:textId="77777777" w:rsidR="001256E0" w:rsidRPr="00E60D17" w:rsidRDefault="001256E0">
            <w:pPr>
              <w:spacing w:line="240" w:lineRule="auto"/>
            </w:pPr>
          </w:p>
        </w:tc>
        <w:tc>
          <w:tcPr>
            <w:tcW w:w="865" w:type="pct"/>
          </w:tcPr>
          <w:p w14:paraId="45085BF3" w14:textId="77777777" w:rsidR="001256E0" w:rsidRPr="00E60D17" w:rsidRDefault="001256E0">
            <w:pPr>
              <w:spacing w:line="240" w:lineRule="auto"/>
            </w:pPr>
          </w:p>
        </w:tc>
        <w:tc>
          <w:tcPr>
            <w:tcW w:w="670" w:type="pct"/>
          </w:tcPr>
          <w:p w14:paraId="6CBC422E" w14:textId="77777777" w:rsidR="001256E0" w:rsidRPr="00E60D17" w:rsidRDefault="001256E0">
            <w:pPr>
              <w:spacing w:line="240" w:lineRule="auto"/>
            </w:pPr>
          </w:p>
        </w:tc>
        <w:tc>
          <w:tcPr>
            <w:tcW w:w="481" w:type="pct"/>
          </w:tcPr>
          <w:p w14:paraId="0D43D4CD" w14:textId="77777777" w:rsidR="001256E0" w:rsidRPr="00E60D17" w:rsidRDefault="001256E0">
            <w:pPr>
              <w:spacing w:line="240" w:lineRule="auto"/>
            </w:pPr>
          </w:p>
        </w:tc>
      </w:tr>
      <w:tr w:rsidR="00C17100" w:rsidRPr="007404CA" w14:paraId="2C33F474" w14:textId="77777777" w:rsidTr="00AF3336">
        <w:trPr>
          <w:trHeight w:val="170"/>
        </w:trPr>
        <w:tc>
          <w:tcPr>
            <w:tcW w:w="1167" w:type="pct"/>
          </w:tcPr>
          <w:p w14:paraId="399876EB" w14:textId="77777777" w:rsidR="00C17100" w:rsidRPr="00E60D17" w:rsidRDefault="00C17100">
            <w:pPr>
              <w:spacing w:line="240" w:lineRule="auto"/>
              <w:rPr>
                <w:b/>
                <w:bCs/>
              </w:rPr>
            </w:pPr>
            <w:r w:rsidRPr="00E60D17">
              <w:t>Fit</w:t>
            </w:r>
          </w:p>
        </w:tc>
        <w:tc>
          <w:tcPr>
            <w:tcW w:w="501" w:type="pct"/>
          </w:tcPr>
          <w:p w14:paraId="6D5A1984" w14:textId="77777777" w:rsidR="00C17100" w:rsidRPr="00E60D17" w:rsidRDefault="00C17100" w:rsidP="00AF3336">
            <w:pPr>
              <w:spacing w:line="240" w:lineRule="auto"/>
            </w:pPr>
            <w:r w:rsidRPr="00E60D17">
              <w:t>3.89</w:t>
            </w:r>
          </w:p>
        </w:tc>
        <w:tc>
          <w:tcPr>
            <w:tcW w:w="845" w:type="pct"/>
          </w:tcPr>
          <w:p w14:paraId="56A549E7" w14:textId="77777777" w:rsidR="00C17100" w:rsidRPr="00E60D17" w:rsidRDefault="00C17100" w:rsidP="00AF3336">
            <w:pPr>
              <w:spacing w:line="240" w:lineRule="auto"/>
            </w:pPr>
            <w:r w:rsidRPr="00E60D17">
              <w:t>5.43</w:t>
            </w:r>
          </w:p>
        </w:tc>
        <w:tc>
          <w:tcPr>
            <w:tcW w:w="471" w:type="pct"/>
          </w:tcPr>
          <w:p w14:paraId="0FF66B09" w14:textId="77777777" w:rsidR="00C17100" w:rsidRPr="00E60D17" w:rsidRDefault="00C17100" w:rsidP="00AF3336">
            <w:pPr>
              <w:spacing w:line="240" w:lineRule="auto"/>
            </w:pPr>
            <w:r w:rsidRPr="00E60D17">
              <w:t>5.64</w:t>
            </w:r>
          </w:p>
        </w:tc>
        <w:tc>
          <w:tcPr>
            <w:tcW w:w="865" w:type="pct"/>
          </w:tcPr>
          <w:p w14:paraId="506DA595" w14:textId="77777777" w:rsidR="00C17100" w:rsidRPr="00E60D17" w:rsidRDefault="00C17100" w:rsidP="00AF3336">
            <w:pPr>
              <w:spacing w:line="240" w:lineRule="auto"/>
            </w:pPr>
            <w:r w:rsidRPr="00E60D17">
              <w:t>4.93</w:t>
            </w:r>
          </w:p>
        </w:tc>
        <w:tc>
          <w:tcPr>
            <w:tcW w:w="670" w:type="pct"/>
          </w:tcPr>
          <w:p w14:paraId="19762A0F" w14:textId="77777777" w:rsidR="00C17100" w:rsidRPr="00E60D17" w:rsidRDefault="00C17100" w:rsidP="00AF3336">
            <w:pPr>
              <w:spacing w:line="240" w:lineRule="auto"/>
            </w:pPr>
          </w:p>
        </w:tc>
        <w:tc>
          <w:tcPr>
            <w:tcW w:w="481" w:type="pct"/>
          </w:tcPr>
          <w:p w14:paraId="3C2D2D69" w14:textId="77777777" w:rsidR="00C17100" w:rsidRPr="00E60D17" w:rsidRDefault="00C17100" w:rsidP="00AF3336">
            <w:pPr>
              <w:spacing w:line="240" w:lineRule="auto"/>
            </w:pPr>
            <w:r w:rsidRPr="00E60D17">
              <w:t>8.03</w:t>
            </w:r>
          </w:p>
        </w:tc>
      </w:tr>
      <w:tr w:rsidR="00C17100" w:rsidRPr="007404CA" w14:paraId="3B8AECEB" w14:textId="77777777" w:rsidTr="00AF3336">
        <w:trPr>
          <w:trHeight w:val="170"/>
        </w:trPr>
        <w:tc>
          <w:tcPr>
            <w:tcW w:w="1167" w:type="pct"/>
          </w:tcPr>
          <w:p w14:paraId="6035E1C7" w14:textId="77777777" w:rsidR="00C17100" w:rsidRPr="00E60D17" w:rsidRDefault="00C17100">
            <w:pPr>
              <w:spacing w:line="240" w:lineRule="auto"/>
              <w:rPr>
                <w:b/>
                <w:bCs/>
              </w:rPr>
            </w:pPr>
            <w:r w:rsidRPr="00E60D17">
              <w:t>Mild</w:t>
            </w:r>
          </w:p>
        </w:tc>
        <w:tc>
          <w:tcPr>
            <w:tcW w:w="501" w:type="pct"/>
          </w:tcPr>
          <w:p w14:paraId="0E236EC1" w14:textId="77777777" w:rsidR="00C17100" w:rsidRPr="00E60D17" w:rsidRDefault="00C17100" w:rsidP="00AF3336">
            <w:pPr>
              <w:spacing w:line="240" w:lineRule="auto"/>
            </w:pPr>
            <w:r w:rsidRPr="00E60D17">
              <w:t>2.91</w:t>
            </w:r>
          </w:p>
        </w:tc>
        <w:tc>
          <w:tcPr>
            <w:tcW w:w="845" w:type="pct"/>
          </w:tcPr>
          <w:p w14:paraId="005CA554" w14:textId="77777777" w:rsidR="00C17100" w:rsidRPr="00E60D17" w:rsidRDefault="00C17100" w:rsidP="00AF3336">
            <w:pPr>
              <w:spacing w:line="240" w:lineRule="auto"/>
            </w:pPr>
            <w:r w:rsidRPr="00E60D17">
              <w:t>6.18</w:t>
            </w:r>
          </w:p>
        </w:tc>
        <w:tc>
          <w:tcPr>
            <w:tcW w:w="471" w:type="pct"/>
          </w:tcPr>
          <w:p w14:paraId="7D3F385E" w14:textId="77777777" w:rsidR="00C17100" w:rsidRPr="00E60D17" w:rsidRDefault="00C17100" w:rsidP="00AF3336">
            <w:pPr>
              <w:spacing w:line="240" w:lineRule="auto"/>
            </w:pPr>
            <w:r w:rsidRPr="00E60D17">
              <w:t>7.39</w:t>
            </w:r>
          </w:p>
        </w:tc>
        <w:tc>
          <w:tcPr>
            <w:tcW w:w="865" w:type="pct"/>
          </w:tcPr>
          <w:p w14:paraId="7D625878" w14:textId="77777777" w:rsidR="00C17100" w:rsidRPr="00E60D17" w:rsidRDefault="00C17100" w:rsidP="00AF3336">
            <w:pPr>
              <w:spacing w:line="240" w:lineRule="auto"/>
            </w:pPr>
            <w:r w:rsidRPr="00E60D17">
              <w:t>7.24</w:t>
            </w:r>
          </w:p>
        </w:tc>
        <w:tc>
          <w:tcPr>
            <w:tcW w:w="670" w:type="pct"/>
          </w:tcPr>
          <w:p w14:paraId="40E8F897" w14:textId="77777777" w:rsidR="00C17100" w:rsidRPr="00E60D17" w:rsidRDefault="00C17100" w:rsidP="00AF3336">
            <w:pPr>
              <w:spacing w:line="240" w:lineRule="auto"/>
            </w:pPr>
          </w:p>
        </w:tc>
        <w:tc>
          <w:tcPr>
            <w:tcW w:w="481" w:type="pct"/>
          </w:tcPr>
          <w:p w14:paraId="4495A294" w14:textId="77777777" w:rsidR="00C17100" w:rsidRPr="00E60D17" w:rsidRDefault="00C17100" w:rsidP="00AF3336">
            <w:pPr>
              <w:spacing w:line="240" w:lineRule="auto"/>
            </w:pPr>
            <w:r w:rsidRPr="00E60D17">
              <w:t>6.99</w:t>
            </w:r>
          </w:p>
        </w:tc>
      </w:tr>
      <w:tr w:rsidR="00C17100" w:rsidRPr="007404CA" w14:paraId="216BFA61" w14:textId="77777777" w:rsidTr="00AF3336">
        <w:trPr>
          <w:trHeight w:val="170"/>
        </w:trPr>
        <w:tc>
          <w:tcPr>
            <w:tcW w:w="1167" w:type="pct"/>
          </w:tcPr>
          <w:p w14:paraId="5BAFD573" w14:textId="77777777" w:rsidR="00C17100" w:rsidRPr="00E60D17" w:rsidRDefault="00C17100">
            <w:pPr>
              <w:spacing w:line="240" w:lineRule="auto"/>
              <w:rPr>
                <w:b/>
                <w:bCs/>
              </w:rPr>
            </w:pPr>
            <w:r w:rsidRPr="00E60D17">
              <w:t>Moderate</w:t>
            </w:r>
          </w:p>
        </w:tc>
        <w:tc>
          <w:tcPr>
            <w:tcW w:w="501" w:type="pct"/>
          </w:tcPr>
          <w:p w14:paraId="039C9411" w14:textId="77777777" w:rsidR="00C17100" w:rsidRPr="00E60D17" w:rsidRDefault="00C17100" w:rsidP="00AF3336">
            <w:pPr>
              <w:spacing w:line="240" w:lineRule="auto"/>
            </w:pPr>
            <w:r w:rsidRPr="00E60D17">
              <w:t>3.44</w:t>
            </w:r>
          </w:p>
        </w:tc>
        <w:tc>
          <w:tcPr>
            <w:tcW w:w="845" w:type="pct"/>
          </w:tcPr>
          <w:p w14:paraId="28E90A3F" w14:textId="77777777" w:rsidR="00C17100" w:rsidRPr="00E60D17" w:rsidRDefault="00C17100" w:rsidP="00AF3336">
            <w:pPr>
              <w:spacing w:line="240" w:lineRule="auto"/>
            </w:pPr>
            <w:r w:rsidRPr="00E60D17">
              <w:t>7.15</w:t>
            </w:r>
          </w:p>
        </w:tc>
        <w:tc>
          <w:tcPr>
            <w:tcW w:w="471" w:type="pct"/>
          </w:tcPr>
          <w:p w14:paraId="0F3AE3F6" w14:textId="77777777" w:rsidR="00C17100" w:rsidRPr="00E60D17" w:rsidRDefault="00C17100" w:rsidP="00AF3336">
            <w:pPr>
              <w:spacing w:line="240" w:lineRule="auto"/>
            </w:pPr>
            <w:r w:rsidRPr="00E60D17">
              <w:t>5.75</w:t>
            </w:r>
          </w:p>
        </w:tc>
        <w:tc>
          <w:tcPr>
            <w:tcW w:w="865" w:type="pct"/>
          </w:tcPr>
          <w:p w14:paraId="61481C5F" w14:textId="77777777" w:rsidR="00C17100" w:rsidRPr="00E60D17" w:rsidRDefault="00C17100" w:rsidP="00AF3336">
            <w:pPr>
              <w:spacing w:line="240" w:lineRule="auto"/>
            </w:pPr>
            <w:r w:rsidRPr="00E60D17">
              <w:t>9.90</w:t>
            </w:r>
          </w:p>
        </w:tc>
        <w:tc>
          <w:tcPr>
            <w:tcW w:w="670" w:type="pct"/>
          </w:tcPr>
          <w:p w14:paraId="267557B5" w14:textId="77777777" w:rsidR="00C17100" w:rsidRPr="00E60D17" w:rsidRDefault="00C17100" w:rsidP="00AF3336">
            <w:pPr>
              <w:spacing w:line="240" w:lineRule="auto"/>
            </w:pPr>
          </w:p>
        </w:tc>
        <w:tc>
          <w:tcPr>
            <w:tcW w:w="481" w:type="pct"/>
          </w:tcPr>
          <w:p w14:paraId="7EB28381" w14:textId="77777777" w:rsidR="00C17100" w:rsidRPr="00E60D17" w:rsidRDefault="00C17100" w:rsidP="00AF3336">
            <w:pPr>
              <w:spacing w:line="240" w:lineRule="auto"/>
            </w:pPr>
            <w:r w:rsidRPr="00E60D17">
              <w:t>11.82</w:t>
            </w:r>
          </w:p>
        </w:tc>
      </w:tr>
      <w:tr w:rsidR="00C17100" w:rsidRPr="007404CA" w14:paraId="5EA3F1CF" w14:textId="77777777" w:rsidTr="00AF3336">
        <w:trPr>
          <w:trHeight w:val="170"/>
        </w:trPr>
        <w:tc>
          <w:tcPr>
            <w:tcW w:w="1167" w:type="pct"/>
          </w:tcPr>
          <w:p w14:paraId="4671214C" w14:textId="77777777" w:rsidR="00C17100" w:rsidRPr="00E60D17" w:rsidRDefault="00C17100">
            <w:pPr>
              <w:spacing w:line="240" w:lineRule="auto"/>
              <w:rPr>
                <w:b/>
                <w:bCs/>
              </w:rPr>
            </w:pPr>
            <w:r w:rsidRPr="00E60D17">
              <w:t>Severe</w:t>
            </w:r>
          </w:p>
        </w:tc>
        <w:tc>
          <w:tcPr>
            <w:tcW w:w="501" w:type="pct"/>
          </w:tcPr>
          <w:p w14:paraId="7D173413" w14:textId="77777777" w:rsidR="00C17100" w:rsidRPr="00E60D17" w:rsidRDefault="00C17100" w:rsidP="00AF3336">
            <w:pPr>
              <w:spacing w:line="240" w:lineRule="auto"/>
            </w:pPr>
            <w:r w:rsidRPr="00E60D17">
              <w:t>5.39</w:t>
            </w:r>
          </w:p>
        </w:tc>
        <w:tc>
          <w:tcPr>
            <w:tcW w:w="845" w:type="pct"/>
          </w:tcPr>
          <w:p w14:paraId="7E35CA70" w14:textId="77777777" w:rsidR="00C17100" w:rsidRPr="00E60D17" w:rsidRDefault="00C17100" w:rsidP="00AF3336">
            <w:pPr>
              <w:spacing w:line="240" w:lineRule="auto"/>
            </w:pPr>
            <w:r w:rsidRPr="00E60D17">
              <w:t>22.48</w:t>
            </w:r>
          </w:p>
        </w:tc>
        <w:tc>
          <w:tcPr>
            <w:tcW w:w="471" w:type="pct"/>
          </w:tcPr>
          <w:p w14:paraId="70A42F88" w14:textId="77777777" w:rsidR="00C17100" w:rsidRPr="00E60D17" w:rsidRDefault="00C17100" w:rsidP="00AF3336">
            <w:pPr>
              <w:spacing w:line="240" w:lineRule="auto"/>
            </w:pPr>
            <w:r w:rsidRPr="00E60D17">
              <w:t>7.40</w:t>
            </w:r>
          </w:p>
        </w:tc>
        <w:tc>
          <w:tcPr>
            <w:tcW w:w="865" w:type="pct"/>
          </w:tcPr>
          <w:p w14:paraId="65C0768E" w14:textId="77777777" w:rsidR="00C17100" w:rsidRPr="00E60D17" w:rsidRDefault="00C17100" w:rsidP="00AF3336">
            <w:pPr>
              <w:spacing w:line="240" w:lineRule="auto"/>
            </w:pPr>
            <w:r w:rsidRPr="00E60D17">
              <w:t>9.45</w:t>
            </w:r>
          </w:p>
        </w:tc>
        <w:tc>
          <w:tcPr>
            <w:tcW w:w="670" w:type="pct"/>
          </w:tcPr>
          <w:p w14:paraId="2391130F" w14:textId="77777777" w:rsidR="00C17100" w:rsidRPr="00E60D17" w:rsidRDefault="00C17100" w:rsidP="00AF3336">
            <w:pPr>
              <w:spacing w:line="240" w:lineRule="auto"/>
            </w:pPr>
          </w:p>
        </w:tc>
        <w:tc>
          <w:tcPr>
            <w:tcW w:w="481" w:type="pct"/>
          </w:tcPr>
          <w:p w14:paraId="0F94E864" w14:textId="77777777" w:rsidR="00C17100" w:rsidRPr="00E60D17" w:rsidRDefault="00C17100" w:rsidP="00AF3336">
            <w:pPr>
              <w:spacing w:line="240" w:lineRule="auto"/>
            </w:pPr>
            <w:r w:rsidRPr="00E60D17">
              <w:t>9.55</w:t>
            </w:r>
          </w:p>
        </w:tc>
      </w:tr>
      <w:tr w:rsidR="00C17100" w:rsidRPr="007404CA" w14:paraId="24627C70" w14:textId="77777777" w:rsidTr="00AF3336">
        <w:trPr>
          <w:trHeight w:val="170"/>
        </w:trPr>
        <w:tc>
          <w:tcPr>
            <w:tcW w:w="1167" w:type="pct"/>
          </w:tcPr>
          <w:p w14:paraId="528075DA" w14:textId="77777777" w:rsidR="00C17100" w:rsidRPr="00E60D17" w:rsidRDefault="00C17100">
            <w:pPr>
              <w:spacing w:line="240" w:lineRule="auto"/>
              <w:rPr>
                <w:b/>
                <w:bCs/>
              </w:rPr>
            </w:pPr>
            <w:r w:rsidRPr="00E60D17">
              <w:t>Fit to Mild</w:t>
            </w:r>
          </w:p>
        </w:tc>
        <w:tc>
          <w:tcPr>
            <w:tcW w:w="501" w:type="pct"/>
          </w:tcPr>
          <w:p w14:paraId="25361C5D" w14:textId="77777777" w:rsidR="00C17100" w:rsidRPr="00E60D17" w:rsidRDefault="00C17100" w:rsidP="00AF3336">
            <w:pPr>
              <w:spacing w:line="240" w:lineRule="auto"/>
            </w:pPr>
          </w:p>
        </w:tc>
        <w:tc>
          <w:tcPr>
            <w:tcW w:w="845" w:type="pct"/>
          </w:tcPr>
          <w:p w14:paraId="27EAF267" w14:textId="77777777" w:rsidR="00C17100" w:rsidRPr="00E60D17" w:rsidRDefault="00C17100" w:rsidP="00AF3336">
            <w:pPr>
              <w:spacing w:line="240" w:lineRule="auto"/>
            </w:pPr>
          </w:p>
        </w:tc>
        <w:tc>
          <w:tcPr>
            <w:tcW w:w="471" w:type="pct"/>
          </w:tcPr>
          <w:p w14:paraId="7B62325B" w14:textId="77777777" w:rsidR="00C17100" w:rsidRPr="00E60D17" w:rsidRDefault="00C17100" w:rsidP="00AF3336">
            <w:pPr>
              <w:spacing w:line="240" w:lineRule="auto"/>
            </w:pPr>
          </w:p>
        </w:tc>
        <w:tc>
          <w:tcPr>
            <w:tcW w:w="865" w:type="pct"/>
          </w:tcPr>
          <w:p w14:paraId="0132BE34" w14:textId="77777777" w:rsidR="00C17100" w:rsidRPr="00E60D17" w:rsidRDefault="00C17100" w:rsidP="00AF3336">
            <w:pPr>
              <w:spacing w:line="240" w:lineRule="auto"/>
            </w:pPr>
          </w:p>
        </w:tc>
        <w:tc>
          <w:tcPr>
            <w:tcW w:w="670" w:type="pct"/>
          </w:tcPr>
          <w:p w14:paraId="12B78F29" w14:textId="77777777" w:rsidR="00C17100" w:rsidRPr="00E60D17" w:rsidRDefault="00C17100" w:rsidP="00AF3336">
            <w:pPr>
              <w:spacing w:line="240" w:lineRule="auto"/>
            </w:pPr>
            <w:r w:rsidRPr="00E60D17">
              <w:t>9.30</w:t>
            </w:r>
          </w:p>
        </w:tc>
        <w:tc>
          <w:tcPr>
            <w:tcW w:w="481" w:type="pct"/>
          </w:tcPr>
          <w:p w14:paraId="26FBC933" w14:textId="77777777" w:rsidR="00C17100" w:rsidRPr="00E60D17" w:rsidRDefault="00C17100" w:rsidP="00AF3336">
            <w:pPr>
              <w:spacing w:line="240" w:lineRule="auto"/>
            </w:pPr>
          </w:p>
        </w:tc>
      </w:tr>
      <w:tr w:rsidR="00C17100" w:rsidRPr="007404CA" w14:paraId="09D3787F" w14:textId="77777777" w:rsidTr="00AF3336">
        <w:trPr>
          <w:trHeight w:val="170"/>
        </w:trPr>
        <w:tc>
          <w:tcPr>
            <w:tcW w:w="1167" w:type="pct"/>
          </w:tcPr>
          <w:p w14:paraId="714C9AC8" w14:textId="77777777" w:rsidR="00C17100" w:rsidRPr="00E60D17" w:rsidRDefault="00C17100">
            <w:pPr>
              <w:spacing w:line="240" w:lineRule="auto"/>
              <w:rPr>
                <w:b/>
                <w:bCs/>
              </w:rPr>
            </w:pPr>
            <w:r w:rsidRPr="00E60D17">
              <w:t>Mild to Moderate</w:t>
            </w:r>
          </w:p>
        </w:tc>
        <w:tc>
          <w:tcPr>
            <w:tcW w:w="501" w:type="pct"/>
          </w:tcPr>
          <w:p w14:paraId="22DAD4CB" w14:textId="77777777" w:rsidR="00C17100" w:rsidRPr="00E60D17" w:rsidRDefault="00C17100" w:rsidP="00AF3336">
            <w:pPr>
              <w:spacing w:line="240" w:lineRule="auto"/>
            </w:pPr>
          </w:p>
        </w:tc>
        <w:tc>
          <w:tcPr>
            <w:tcW w:w="845" w:type="pct"/>
          </w:tcPr>
          <w:p w14:paraId="402241CB" w14:textId="77777777" w:rsidR="00C17100" w:rsidRPr="00E60D17" w:rsidRDefault="00C17100" w:rsidP="00AF3336">
            <w:pPr>
              <w:spacing w:line="240" w:lineRule="auto"/>
            </w:pPr>
          </w:p>
        </w:tc>
        <w:tc>
          <w:tcPr>
            <w:tcW w:w="471" w:type="pct"/>
          </w:tcPr>
          <w:p w14:paraId="7D42DE9C" w14:textId="77777777" w:rsidR="00C17100" w:rsidRPr="00E60D17" w:rsidRDefault="00C17100" w:rsidP="00AF3336">
            <w:pPr>
              <w:spacing w:line="240" w:lineRule="auto"/>
            </w:pPr>
          </w:p>
        </w:tc>
        <w:tc>
          <w:tcPr>
            <w:tcW w:w="865" w:type="pct"/>
          </w:tcPr>
          <w:p w14:paraId="09630D06" w14:textId="77777777" w:rsidR="00C17100" w:rsidRPr="00E60D17" w:rsidRDefault="00C17100" w:rsidP="00AF3336">
            <w:pPr>
              <w:spacing w:line="240" w:lineRule="auto"/>
            </w:pPr>
          </w:p>
        </w:tc>
        <w:tc>
          <w:tcPr>
            <w:tcW w:w="670" w:type="pct"/>
          </w:tcPr>
          <w:p w14:paraId="37F74685" w14:textId="77777777" w:rsidR="00C17100" w:rsidRPr="00E60D17" w:rsidRDefault="00C17100" w:rsidP="00AF3336">
            <w:pPr>
              <w:spacing w:line="240" w:lineRule="auto"/>
            </w:pPr>
            <w:r w:rsidRPr="00E60D17">
              <w:t>7.83</w:t>
            </w:r>
          </w:p>
        </w:tc>
        <w:tc>
          <w:tcPr>
            <w:tcW w:w="481" w:type="pct"/>
          </w:tcPr>
          <w:p w14:paraId="24591DA8" w14:textId="77777777" w:rsidR="00C17100" w:rsidRPr="00E60D17" w:rsidRDefault="00C17100" w:rsidP="00AF3336">
            <w:pPr>
              <w:spacing w:line="240" w:lineRule="auto"/>
            </w:pPr>
          </w:p>
        </w:tc>
      </w:tr>
      <w:tr w:rsidR="00C17100" w:rsidRPr="007404CA" w14:paraId="71CE36B1" w14:textId="77777777" w:rsidTr="00AF3336">
        <w:trPr>
          <w:trHeight w:val="170"/>
        </w:trPr>
        <w:tc>
          <w:tcPr>
            <w:tcW w:w="1167" w:type="pct"/>
          </w:tcPr>
          <w:p w14:paraId="10C25809" w14:textId="77777777" w:rsidR="00C17100" w:rsidRPr="00E60D17" w:rsidRDefault="00C17100">
            <w:pPr>
              <w:spacing w:line="240" w:lineRule="auto"/>
              <w:rPr>
                <w:b/>
                <w:bCs/>
              </w:rPr>
            </w:pPr>
            <w:r w:rsidRPr="00E60D17">
              <w:t>Moderate to Severe</w:t>
            </w:r>
          </w:p>
        </w:tc>
        <w:tc>
          <w:tcPr>
            <w:tcW w:w="501" w:type="pct"/>
          </w:tcPr>
          <w:p w14:paraId="0AB81815" w14:textId="77777777" w:rsidR="00C17100" w:rsidRPr="00E60D17" w:rsidRDefault="00C17100" w:rsidP="00AF3336">
            <w:pPr>
              <w:spacing w:line="240" w:lineRule="auto"/>
            </w:pPr>
          </w:p>
        </w:tc>
        <w:tc>
          <w:tcPr>
            <w:tcW w:w="845" w:type="pct"/>
          </w:tcPr>
          <w:p w14:paraId="538083B1" w14:textId="77777777" w:rsidR="00C17100" w:rsidRPr="00E60D17" w:rsidRDefault="00C17100" w:rsidP="00AF3336">
            <w:pPr>
              <w:spacing w:line="240" w:lineRule="auto"/>
            </w:pPr>
          </w:p>
        </w:tc>
        <w:tc>
          <w:tcPr>
            <w:tcW w:w="471" w:type="pct"/>
          </w:tcPr>
          <w:p w14:paraId="044901A2" w14:textId="77777777" w:rsidR="00C17100" w:rsidRPr="00E60D17" w:rsidRDefault="00C17100" w:rsidP="00AF3336">
            <w:pPr>
              <w:spacing w:line="240" w:lineRule="auto"/>
            </w:pPr>
          </w:p>
        </w:tc>
        <w:tc>
          <w:tcPr>
            <w:tcW w:w="865" w:type="pct"/>
          </w:tcPr>
          <w:p w14:paraId="7FD05FA4" w14:textId="77777777" w:rsidR="00C17100" w:rsidRPr="00E60D17" w:rsidRDefault="00C17100" w:rsidP="00AF3336">
            <w:pPr>
              <w:spacing w:line="240" w:lineRule="auto"/>
            </w:pPr>
          </w:p>
        </w:tc>
        <w:tc>
          <w:tcPr>
            <w:tcW w:w="670" w:type="pct"/>
          </w:tcPr>
          <w:p w14:paraId="77F214D4" w14:textId="77777777" w:rsidR="00C17100" w:rsidRPr="00E60D17" w:rsidRDefault="00C17100" w:rsidP="00AF3336">
            <w:pPr>
              <w:spacing w:line="240" w:lineRule="auto"/>
            </w:pPr>
            <w:r w:rsidRPr="00E60D17">
              <w:t>10.49</w:t>
            </w:r>
          </w:p>
        </w:tc>
        <w:tc>
          <w:tcPr>
            <w:tcW w:w="481" w:type="pct"/>
          </w:tcPr>
          <w:p w14:paraId="1D160BC5" w14:textId="77777777" w:rsidR="00C17100" w:rsidRPr="00E60D17" w:rsidRDefault="00C17100" w:rsidP="00AF3336">
            <w:pPr>
              <w:spacing w:line="240" w:lineRule="auto"/>
            </w:pPr>
          </w:p>
        </w:tc>
      </w:tr>
      <w:tr w:rsidR="00C17100" w:rsidRPr="007404CA" w14:paraId="1A5302DB" w14:textId="77777777" w:rsidTr="00AF3336">
        <w:trPr>
          <w:trHeight w:val="170"/>
        </w:trPr>
        <w:tc>
          <w:tcPr>
            <w:tcW w:w="1167" w:type="pct"/>
          </w:tcPr>
          <w:p w14:paraId="0F151200" w14:textId="77777777" w:rsidR="00C17100" w:rsidRPr="00E60D17" w:rsidRDefault="00C17100">
            <w:pPr>
              <w:spacing w:line="240" w:lineRule="auto"/>
            </w:pPr>
          </w:p>
        </w:tc>
        <w:tc>
          <w:tcPr>
            <w:tcW w:w="501" w:type="pct"/>
          </w:tcPr>
          <w:p w14:paraId="36603A7B" w14:textId="77777777" w:rsidR="00C17100" w:rsidRPr="00E60D17" w:rsidRDefault="00C17100" w:rsidP="00AF3336">
            <w:pPr>
              <w:spacing w:line="240" w:lineRule="auto"/>
            </w:pPr>
          </w:p>
        </w:tc>
        <w:tc>
          <w:tcPr>
            <w:tcW w:w="845" w:type="pct"/>
          </w:tcPr>
          <w:p w14:paraId="24B0482B" w14:textId="77777777" w:rsidR="00C17100" w:rsidRPr="00E60D17" w:rsidRDefault="00C17100" w:rsidP="00AF3336">
            <w:pPr>
              <w:spacing w:line="240" w:lineRule="auto"/>
            </w:pPr>
          </w:p>
        </w:tc>
        <w:tc>
          <w:tcPr>
            <w:tcW w:w="471" w:type="pct"/>
          </w:tcPr>
          <w:p w14:paraId="19CD580A" w14:textId="77777777" w:rsidR="00C17100" w:rsidRPr="00E60D17" w:rsidRDefault="00C17100" w:rsidP="00AF3336">
            <w:pPr>
              <w:spacing w:line="240" w:lineRule="auto"/>
            </w:pPr>
          </w:p>
        </w:tc>
        <w:tc>
          <w:tcPr>
            <w:tcW w:w="865" w:type="pct"/>
          </w:tcPr>
          <w:p w14:paraId="75B736DF" w14:textId="77777777" w:rsidR="00C17100" w:rsidRPr="00E60D17" w:rsidRDefault="00C17100" w:rsidP="00AF3336">
            <w:pPr>
              <w:spacing w:line="240" w:lineRule="auto"/>
            </w:pPr>
          </w:p>
        </w:tc>
        <w:tc>
          <w:tcPr>
            <w:tcW w:w="670" w:type="pct"/>
          </w:tcPr>
          <w:p w14:paraId="10C0EE8B" w14:textId="77777777" w:rsidR="00C17100" w:rsidRPr="00E60D17" w:rsidRDefault="00C17100" w:rsidP="00AF3336">
            <w:pPr>
              <w:spacing w:line="240" w:lineRule="auto"/>
            </w:pPr>
          </w:p>
        </w:tc>
        <w:tc>
          <w:tcPr>
            <w:tcW w:w="481" w:type="pct"/>
          </w:tcPr>
          <w:p w14:paraId="548C02C4" w14:textId="77777777" w:rsidR="00C17100" w:rsidRPr="00E60D17" w:rsidRDefault="00C17100" w:rsidP="00AF3336">
            <w:pPr>
              <w:spacing w:line="240" w:lineRule="auto"/>
            </w:pPr>
          </w:p>
        </w:tc>
      </w:tr>
      <w:tr w:rsidR="001256E0" w:rsidRPr="007404CA" w14:paraId="2096699F" w14:textId="77777777" w:rsidTr="004F2E7F">
        <w:trPr>
          <w:trHeight w:val="170"/>
        </w:trPr>
        <w:tc>
          <w:tcPr>
            <w:tcW w:w="1167" w:type="pct"/>
          </w:tcPr>
          <w:p w14:paraId="58708091" w14:textId="7494A09F" w:rsidR="001256E0" w:rsidRPr="00E60D17" w:rsidRDefault="001256E0">
            <w:pPr>
              <w:spacing w:line="240" w:lineRule="auto"/>
            </w:pPr>
            <w:r w:rsidRPr="00E60D17">
              <w:t>75 – 84</w:t>
            </w:r>
          </w:p>
        </w:tc>
        <w:tc>
          <w:tcPr>
            <w:tcW w:w="501" w:type="pct"/>
          </w:tcPr>
          <w:p w14:paraId="6F0118EF" w14:textId="77777777" w:rsidR="001256E0" w:rsidRPr="00E60D17" w:rsidRDefault="001256E0">
            <w:pPr>
              <w:spacing w:line="240" w:lineRule="auto"/>
            </w:pPr>
          </w:p>
        </w:tc>
        <w:tc>
          <w:tcPr>
            <w:tcW w:w="845" w:type="pct"/>
          </w:tcPr>
          <w:p w14:paraId="182675FF" w14:textId="77777777" w:rsidR="001256E0" w:rsidRPr="00E60D17" w:rsidRDefault="001256E0">
            <w:pPr>
              <w:spacing w:line="240" w:lineRule="auto"/>
            </w:pPr>
          </w:p>
        </w:tc>
        <w:tc>
          <w:tcPr>
            <w:tcW w:w="471" w:type="pct"/>
          </w:tcPr>
          <w:p w14:paraId="16898424" w14:textId="77777777" w:rsidR="001256E0" w:rsidRPr="00E60D17" w:rsidRDefault="001256E0">
            <w:pPr>
              <w:spacing w:line="240" w:lineRule="auto"/>
            </w:pPr>
          </w:p>
        </w:tc>
        <w:tc>
          <w:tcPr>
            <w:tcW w:w="865" w:type="pct"/>
          </w:tcPr>
          <w:p w14:paraId="349F1E03" w14:textId="77777777" w:rsidR="001256E0" w:rsidRPr="00E60D17" w:rsidRDefault="001256E0">
            <w:pPr>
              <w:spacing w:line="240" w:lineRule="auto"/>
            </w:pPr>
          </w:p>
        </w:tc>
        <w:tc>
          <w:tcPr>
            <w:tcW w:w="670" w:type="pct"/>
          </w:tcPr>
          <w:p w14:paraId="574F3720" w14:textId="77777777" w:rsidR="001256E0" w:rsidRPr="00E60D17" w:rsidRDefault="001256E0">
            <w:pPr>
              <w:spacing w:line="240" w:lineRule="auto"/>
            </w:pPr>
          </w:p>
        </w:tc>
        <w:tc>
          <w:tcPr>
            <w:tcW w:w="481" w:type="pct"/>
          </w:tcPr>
          <w:p w14:paraId="15029EE5" w14:textId="77777777" w:rsidR="001256E0" w:rsidRPr="00E60D17" w:rsidRDefault="001256E0">
            <w:pPr>
              <w:spacing w:line="240" w:lineRule="auto"/>
            </w:pPr>
          </w:p>
        </w:tc>
      </w:tr>
      <w:tr w:rsidR="00C17100" w:rsidRPr="007404CA" w14:paraId="327E8B0A" w14:textId="77777777" w:rsidTr="00AF3336">
        <w:trPr>
          <w:trHeight w:val="170"/>
        </w:trPr>
        <w:tc>
          <w:tcPr>
            <w:tcW w:w="1167" w:type="pct"/>
          </w:tcPr>
          <w:p w14:paraId="2EA2C671" w14:textId="77777777" w:rsidR="00C17100" w:rsidRPr="00E60D17" w:rsidRDefault="00C17100">
            <w:pPr>
              <w:spacing w:line="240" w:lineRule="auto"/>
              <w:rPr>
                <w:b/>
              </w:rPr>
            </w:pPr>
            <w:r w:rsidRPr="00E60D17">
              <w:t>Fit</w:t>
            </w:r>
          </w:p>
        </w:tc>
        <w:tc>
          <w:tcPr>
            <w:tcW w:w="501" w:type="pct"/>
          </w:tcPr>
          <w:p w14:paraId="6347AA89" w14:textId="77777777" w:rsidR="00C17100" w:rsidRPr="00E60D17" w:rsidRDefault="00C17100" w:rsidP="00AF3336">
            <w:pPr>
              <w:spacing w:line="240" w:lineRule="auto"/>
            </w:pPr>
            <w:r w:rsidRPr="00E60D17">
              <w:t>3.75</w:t>
            </w:r>
          </w:p>
        </w:tc>
        <w:tc>
          <w:tcPr>
            <w:tcW w:w="845" w:type="pct"/>
          </w:tcPr>
          <w:p w14:paraId="1E3714EA" w14:textId="77777777" w:rsidR="00C17100" w:rsidRPr="00E60D17" w:rsidRDefault="00C17100" w:rsidP="00AF3336">
            <w:pPr>
              <w:spacing w:line="240" w:lineRule="auto"/>
            </w:pPr>
            <w:r w:rsidRPr="00E60D17">
              <w:t>4.39</w:t>
            </w:r>
          </w:p>
        </w:tc>
        <w:tc>
          <w:tcPr>
            <w:tcW w:w="471" w:type="pct"/>
          </w:tcPr>
          <w:p w14:paraId="61AB4DAF" w14:textId="77777777" w:rsidR="00C17100" w:rsidRPr="00E60D17" w:rsidRDefault="00C17100" w:rsidP="00AF3336">
            <w:pPr>
              <w:spacing w:line="240" w:lineRule="auto"/>
            </w:pPr>
            <w:r w:rsidRPr="00E60D17">
              <w:t>8.16</w:t>
            </w:r>
          </w:p>
        </w:tc>
        <w:tc>
          <w:tcPr>
            <w:tcW w:w="865" w:type="pct"/>
          </w:tcPr>
          <w:p w14:paraId="6036C7A4" w14:textId="77777777" w:rsidR="00C17100" w:rsidRPr="00E60D17" w:rsidRDefault="00C17100" w:rsidP="00AF3336">
            <w:pPr>
              <w:spacing w:line="240" w:lineRule="auto"/>
            </w:pPr>
            <w:r w:rsidRPr="00E60D17">
              <w:t>1.83</w:t>
            </w:r>
          </w:p>
        </w:tc>
        <w:tc>
          <w:tcPr>
            <w:tcW w:w="670" w:type="pct"/>
          </w:tcPr>
          <w:p w14:paraId="3095DAE3" w14:textId="77777777" w:rsidR="00C17100" w:rsidRPr="00E60D17" w:rsidRDefault="00C17100" w:rsidP="00AF3336">
            <w:pPr>
              <w:spacing w:line="240" w:lineRule="auto"/>
            </w:pPr>
          </w:p>
        </w:tc>
        <w:tc>
          <w:tcPr>
            <w:tcW w:w="481" w:type="pct"/>
          </w:tcPr>
          <w:p w14:paraId="59E49D97" w14:textId="77777777" w:rsidR="00C17100" w:rsidRPr="00E60D17" w:rsidRDefault="00C17100" w:rsidP="00AF3336">
            <w:pPr>
              <w:spacing w:line="240" w:lineRule="auto"/>
            </w:pPr>
            <w:r w:rsidRPr="00E60D17">
              <w:t>10.94</w:t>
            </w:r>
          </w:p>
        </w:tc>
      </w:tr>
      <w:tr w:rsidR="00C17100" w:rsidRPr="007404CA" w14:paraId="192E9F6E" w14:textId="77777777" w:rsidTr="00AF3336">
        <w:trPr>
          <w:trHeight w:val="170"/>
        </w:trPr>
        <w:tc>
          <w:tcPr>
            <w:tcW w:w="1167" w:type="pct"/>
          </w:tcPr>
          <w:p w14:paraId="3BA8C8AA" w14:textId="77777777" w:rsidR="00C17100" w:rsidRPr="00E60D17" w:rsidRDefault="00C17100">
            <w:pPr>
              <w:spacing w:line="240" w:lineRule="auto"/>
              <w:rPr>
                <w:b/>
                <w:bCs/>
              </w:rPr>
            </w:pPr>
            <w:r w:rsidRPr="00E60D17">
              <w:t>Mild</w:t>
            </w:r>
          </w:p>
        </w:tc>
        <w:tc>
          <w:tcPr>
            <w:tcW w:w="501" w:type="pct"/>
          </w:tcPr>
          <w:p w14:paraId="5526E6EA" w14:textId="77777777" w:rsidR="00C17100" w:rsidRPr="00E60D17" w:rsidRDefault="00C17100" w:rsidP="00AF3336">
            <w:pPr>
              <w:spacing w:line="240" w:lineRule="auto"/>
            </w:pPr>
            <w:r w:rsidRPr="00E60D17">
              <w:t>1.53</w:t>
            </w:r>
          </w:p>
        </w:tc>
        <w:tc>
          <w:tcPr>
            <w:tcW w:w="845" w:type="pct"/>
          </w:tcPr>
          <w:p w14:paraId="507591F2" w14:textId="77777777" w:rsidR="00C17100" w:rsidRPr="00E60D17" w:rsidRDefault="00C17100" w:rsidP="00AF3336">
            <w:pPr>
              <w:spacing w:line="240" w:lineRule="auto"/>
            </w:pPr>
            <w:r w:rsidRPr="00E60D17">
              <w:t>5.42</w:t>
            </w:r>
          </w:p>
        </w:tc>
        <w:tc>
          <w:tcPr>
            <w:tcW w:w="471" w:type="pct"/>
          </w:tcPr>
          <w:p w14:paraId="496CE32E" w14:textId="77777777" w:rsidR="00C17100" w:rsidRPr="00E60D17" w:rsidRDefault="00C17100" w:rsidP="00AF3336">
            <w:pPr>
              <w:spacing w:line="240" w:lineRule="auto"/>
            </w:pPr>
            <w:r w:rsidRPr="00E60D17">
              <w:t>6.30</w:t>
            </w:r>
          </w:p>
        </w:tc>
        <w:tc>
          <w:tcPr>
            <w:tcW w:w="865" w:type="pct"/>
          </w:tcPr>
          <w:p w14:paraId="7154359F" w14:textId="77777777" w:rsidR="00C17100" w:rsidRPr="00E60D17" w:rsidRDefault="00C17100" w:rsidP="00AF3336">
            <w:pPr>
              <w:spacing w:line="240" w:lineRule="auto"/>
            </w:pPr>
            <w:r w:rsidRPr="00E60D17">
              <w:t>5.58</w:t>
            </w:r>
          </w:p>
        </w:tc>
        <w:tc>
          <w:tcPr>
            <w:tcW w:w="670" w:type="pct"/>
          </w:tcPr>
          <w:p w14:paraId="469A13C4" w14:textId="77777777" w:rsidR="00C17100" w:rsidRPr="00E60D17" w:rsidRDefault="00C17100" w:rsidP="00AF3336">
            <w:pPr>
              <w:spacing w:line="240" w:lineRule="auto"/>
            </w:pPr>
          </w:p>
        </w:tc>
        <w:tc>
          <w:tcPr>
            <w:tcW w:w="481" w:type="pct"/>
          </w:tcPr>
          <w:p w14:paraId="1FF51B8C" w14:textId="77777777" w:rsidR="00C17100" w:rsidRPr="00E60D17" w:rsidRDefault="00C17100" w:rsidP="00AF3336">
            <w:pPr>
              <w:spacing w:line="240" w:lineRule="auto"/>
            </w:pPr>
            <w:r w:rsidRPr="00E60D17">
              <w:t>9.07</w:t>
            </w:r>
          </w:p>
        </w:tc>
      </w:tr>
      <w:tr w:rsidR="00C17100" w:rsidRPr="007404CA" w14:paraId="480A9586" w14:textId="77777777" w:rsidTr="00AF3336">
        <w:trPr>
          <w:trHeight w:val="170"/>
        </w:trPr>
        <w:tc>
          <w:tcPr>
            <w:tcW w:w="1167" w:type="pct"/>
          </w:tcPr>
          <w:p w14:paraId="2CA70312" w14:textId="77777777" w:rsidR="00C17100" w:rsidRPr="00E60D17" w:rsidRDefault="00C17100">
            <w:pPr>
              <w:spacing w:line="240" w:lineRule="auto"/>
              <w:rPr>
                <w:b/>
                <w:bCs/>
              </w:rPr>
            </w:pPr>
            <w:r w:rsidRPr="00E60D17">
              <w:t>Moderate</w:t>
            </w:r>
          </w:p>
        </w:tc>
        <w:tc>
          <w:tcPr>
            <w:tcW w:w="501" w:type="pct"/>
          </w:tcPr>
          <w:p w14:paraId="1E2DA7A7" w14:textId="77777777" w:rsidR="00C17100" w:rsidRPr="00E60D17" w:rsidRDefault="00C17100" w:rsidP="00AF3336">
            <w:pPr>
              <w:spacing w:line="240" w:lineRule="auto"/>
            </w:pPr>
            <w:r w:rsidRPr="00E60D17">
              <w:t>3.50</w:t>
            </w:r>
          </w:p>
        </w:tc>
        <w:tc>
          <w:tcPr>
            <w:tcW w:w="845" w:type="pct"/>
          </w:tcPr>
          <w:p w14:paraId="58856A8A" w14:textId="77777777" w:rsidR="00C17100" w:rsidRPr="00E60D17" w:rsidRDefault="00C17100" w:rsidP="00AF3336">
            <w:pPr>
              <w:spacing w:line="240" w:lineRule="auto"/>
            </w:pPr>
            <w:r w:rsidRPr="00E60D17">
              <w:t>4.43</w:t>
            </w:r>
          </w:p>
        </w:tc>
        <w:tc>
          <w:tcPr>
            <w:tcW w:w="471" w:type="pct"/>
          </w:tcPr>
          <w:p w14:paraId="115504CE" w14:textId="77777777" w:rsidR="00C17100" w:rsidRPr="00E60D17" w:rsidRDefault="00C17100" w:rsidP="00AF3336">
            <w:pPr>
              <w:spacing w:line="240" w:lineRule="auto"/>
            </w:pPr>
            <w:r w:rsidRPr="00E60D17">
              <w:t>5.91</w:t>
            </w:r>
          </w:p>
        </w:tc>
        <w:tc>
          <w:tcPr>
            <w:tcW w:w="865" w:type="pct"/>
          </w:tcPr>
          <w:p w14:paraId="05A6100E" w14:textId="77777777" w:rsidR="00C17100" w:rsidRPr="00E60D17" w:rsidRDefault="00C17100" w:rsidP="00AF3336">
            <w:pPr>
              <w:spacing w:line="240" w:lineRule="auto"/>
            </w:pPr>
            <w:r w:rsidRPr="00E60D17">
              <w:t>6.52</w:t>
            </w:r>
          </w:p>
        </w:tc>
        <w:tc>
          <w:tcPr>
            <w:tcW w:w="670" w:type="pct"/>
          </w:tcPr>
          <w:p w14:paraId="4EC2ABEC" w14:textId="77777777" w:rsidR="00C17100" w:rsidRPr="00E60D17" w:rsidRDefault="00C17100" w:rsidP="00AF3336">
            <w:pPr>
              <w:spacing w:line="240" w:lineRule="auto"/>
            </w:pPr>
          </w:p>
        </w:tc>
        <w:tc>
          <w:tcPr>
            <w:tcW w:w="481" w:type="pct"/>
          </w:tcPr>
          <w:p w14:paraId="1D4A577A" w14:textId="77777777" w:rsidR="00C17100" w:rsidRPr="00E60D17" w:rsidRDefault="00C17100" w:rsidP="00AF3336">
            <w:pPr>
              <w:spacing w:line="240" w:lineRule="auto"/>
            </w:pPr>
            <w:r w:rsidRPr="00E60D17">
              <w:t>4.35</w:t>
            </w:r>
          </w:p>
        </w:tc>
      </w:tr>
      <w:tr w:rsidR="00C17100" w:rsidRPr="007404CA" w14:paraId="2EB07829" w14:textId="77777777" w:rsidTr="00AF3336">
        <w:trPr>
          <w:trHeight w:val="170"/>
        </w:trPr>
        <w:tc>
          <w:tcPr>
            <w:tcW w:w="1167" w:type="pct"/>
          </w:tcPr>
          <w:p w14:paraId="591703FB" w14:textId="77777777" w:rsidR="00C17100" w:rsidRPr="00E60D17" w:rsidRDefault="00C17100">
            <w:pPr>
              <w:spacing w:line="240" w:lineRule="auto"/>
              <w:rPr>
                <w:b/>
                <w:bCs/>
              </w:rPr>
            </w:pPr>
            <w:r w:rsidRPr="00E60D17">
              <w:t>Severe</w:t>
            </w:r>
          </w:p>
        </w:tc>
        <w:tc>
          <w:tcPr>
            <w:tcW w:w="501" w:type="pct"/>
          </w:tcPr>
          <w:p w14:paraId="630086E7" w14:textId="77777777" w:rsidR="00C17100" w:rsidRPr="00E60D17" w:rsidRDefault="00C17100" w:rsidP="00AF3336">
            <w:pPr>
              <w:spacing w:line="240" w:lineRule="auto"/>
            </w:pPr>
            <w:r w:rsidRPr="00E60D17">
              <w:t>3.99</w:t>
            </w:r>
          </w:p>
        </w:tc>
        <w:tc>
          <w:tcPr>
            <w:tcW w:w="845" w:type="pct"/>
          </w:tcPr>
          <w:p w14:paraId="26443A24" w14:textId="77777777" w:rsidR="00C17100" w:rsidRPr="00E60D17" w:rsidRDefault="00C17100" w:rsidP="00AF3336">
            <w:pPr>
              <w:spacing w:line="240" w:lineRule="auto"/>
            </w:pPr>
            <w:r w:rsidRPr="00E60D17">
              <w:t>11.02</w:t>
            </w:r>
          </w:p>
        </w:tc>
        <w:tc>
          <w:tcPr>
            <w:tcW w:w="471" w:type="pct"/>
          </w:tcPr>
          <w:p w14:paraId="227731F9" w14:textId="77777777" w:rsidR="00C17100" w:rsidRPr="00E60D17" w:rsidRDefault="00C17100" w:rsidP="00AF3336">
            <w:pPr>
              <w:spacing w:line="240" w:lineRule="auto"/>
            </w:pPr>
            <w:r w:rsidRPr="00E60D17">
              <w:t>4.47</w:t>
            </w:r>
          </w:p>
        </w:tc>
        <w:tc>
          <w:tcPr>
            <w:tcW w:w="865" w:type="pct"/>
          </w:tcPr>
          <w:p w14:paraId="51C4EE74" w14:textId="77777777" w:rsidR="00C17100" w:rsidRPr="00E60D17" w:rsidRDefault="00C17100" w:rsidP="00AF3336">
            <w:pPr>
              <w:spacing w:line="240" w:lineRule="auto"/>
            </w:pPr>
            <w:r w:rsidRPr="00E60D17">
              <w:t>7.62</w:t>
            </w:r>
          </w:p>
        </w:tc>
        <w:tc>
          <w:tcPr>
            <w:tcW w:w="670" w:type="pct"/>
          </w:tcPr>
          <w:p w14:paraId="0AFCBF8C" w14:textId="77777777" w:rsidR="00C17100" w:rsidRPr="00E60D17" w:rsidRDefault="00C17100" w:rsidP="00AF3336">
            <w:pPr>
              <w:spacing w:line="240" w:lineRule="auto"/>
            </w:pPr>
          </w:p>
        </w:tc>
        <w:tc>
          <w:tcPr>
            <w:tcW w:w="481" w:type="pct"/>
          </w:tcPr>
          <w:p w14:paraId="1D4D0473" w14:textId="77777777" w:rsidR="00C17100" w:rsidRPr="00E60D17" w:rsidRDefault="00C17100" w:rsidP="00AF3336">
            <w:pPr>
              <w:spacing w:line="240" w:lineRule="auto"/>
            </w:pPr>
            <w:r w:rsidRPr="00E60D17">
              <w:t>8.54</w:t>
            </w:r>
          </w:p>
        </w:tc>
      </w:tr>
      <w:tr w:rsidR="00C17100" w:rsidRPr="007404CA" w14:paraId="132DDA0C" w14:textId="77777777" w:rsidTr="00AF3336">
        <w:trPr>
          <w:trHeight w:val="170"/>
        </w:trPr>
        <w:tc>
          <w:tcPr>
            <w:tcW w:w="1167" w:type="pct"/>
          </w:tcPr>
          <w:p w14:paraId="42FE8234" w14:textId="77777777" w:rsidR="00C17100" w:rsidRPr="00E60D17" w:rsidRDefault="00C17100">
            <w:pPr>
              <w:spacing w:line="240" w:lineRule="auto"/>
              <w:rPr>
                <w:b/>
                <w:bCs/>
              </w:rPr>
            </w:pPr>
            <w:r w:rsidRPr="00E60D17">
              <w:t>Fit to Mild</w:t>
            </w:r>
          </w:p>
        </w:tc>
        <w:tc>
          <w:tcPr>
            <w:tcW w:w="501" w:type="pct"/>
          </w:tcPr>
          <w:p w14:paraId="38D5DF68" w14:textId="77777777" w:rsidR="00C17100" w:rsidRPr="00E60D17" w:rsidRDefault="00C17100" w:rsidP="00AF3336">
            <w:pPr>
              <w:spacing w:line="240" w:lineRule="auto"/>
            </w:pPr>
          </w:p>
        </w:tc>
        <w:tc>
          <w:tcPr>
            <w:tcW w:w="845" w:type="pct"/>
          </w:tcPr>
          <w:p w14:paraId="7FE85C70" w14:textId="77777777" w:rsidR="00C17100" w:rsidRPr="00E60D17" w:rsidRDefault="00C17100" w:rsidP="00AF3336">
            <w:pPr>
              <w:spacing w:line="240" w:lineRule="auto"/>
            </w:pPr>
          </w:p>
        </w:tc>
        <w:tc>
          <w:tcPr>
            <w:tcW w:w="471" w:type="pct"/>
          </w:tcPr>
          <w:p w14:paraId="102F35B8" w14:textId="77777777" w:rsidR="00C17100" w:rsidRPr="00E60D17" w:rsidRDefault="00C17100" w:rsidP="00AF3336">
            <w:pPr>
              <w:spacing w:line="240" w:lineRule="auto"/>
            </w:pPr>
          </w:p>
        </w:tc>
        <w:tc>
          <w:tcPr>
            <w:tcW w:w="865" w:type="pct"/>
          </w:tcPr>
          <w:p w14:paraId="7E2C7F39" w14:textId="77777777" w:rsidR="00C17100" w:rsidRPr="00E60D17" w:rsidRDefault="00C17100" w:rsidP="00AF3336">
            <w:pPr>
              <w:spacing w:line="240" w:lineRule="auto"/>
            </w:pPr>
          </w:p>
        </w:tc>
        <w:tc>
          <w:tcPr>
            <w:tcW w:w="670" w:type="pct"/>
          </w:tcPr>
          <w:p w14:paraId="0C19B46E" w14:textId="77777777" w:rsidR="00C17100" w:rsidRPr="00E60D17" w:rsidRDefault="00C17100" w:rsidP="00AF3336">
            <w:pPr>
              <w:spacing w:line="240" w:lineRule="auto"/>
            </w:pPr>
            <w:r w:rsidRPr="00E60D17">
              <w:t>14.46</w:t>
            </w:r>
          </w:p>
        </w:tc>
        <w:tc>
          <w:tcPr>
            <w:tcW w:w="481" w:type="pct"/>
          </w:tcPr>
          <w:p w14:paraId="512BAA37" w14:textId="77777777" w:rsidR="00C17100" w:rsidRPr="00E60D17" w:rsidRDefault="00C17100" w:rsidP="00AF3336">
            <w:pPr>
              <w:spacing w:line="240" w:lineRule="auto"/>
            </w:pPr>
          </w:p>
        </w:tc>
      </w:tr>
      <w:tr w:rsidR="00C17100" w:rsidRPr="007404CA" w14:paraId="255B5A4C" w14:textId="77777777" w:rsidTr="00AF3336">
        <w:trPr>
          <w:trHeight w:val="170"/>
        </w:trPr>
        <w:tc>
          <w:tcPr>
            <w:tcW w:w="1167" w:type="pct"/>
          </w:tcPr>
          <w:p w14:paraId="6112BE92" w14:textId="77777777" w:rsidR="00C17100" w:rsidRPr="00E60D17" w:rsidRDefault="00C17100">
            <w:pPr>
              <w:spacing w:line="240" w:lineRule="auto"/>
              <w:rPr>
                <w:b/>
                <w:bCs/>
              </w:rPr>
            </w:pPr>
            <w:r w:rsidRPr="00E60D17">
              <w:t>Mild to Moderate</w:t>
            </w:r>
          </w:p>
        </w:tc>
        <w:tc>
          <w:tcPr>
            <w:tcW w:w="501" w:type="pct"/>
          </w:tcPr>
          <w:p w14:paraId="2725DA6E" w14:textId="77777777" w:rsidR="00C17100" w:rsidRPr="00E60D17" w:rsidRDefault="00C17100" w:rsidP="00AF3336">
            <w:pPr>
              <w:spacing w:line="240" w:lineRule="auto"/>
            </w:pPr>
          </w:p>
        </w:tc>
        <w:tc>
          <w:tcPr>
            <w:tcW w:w="845" w:type="pct"/>
          </w:tcPr>
          <w:p w14:paraId="72397D4F" w14:textId="77777777" w:rsidR="00C17100" w:rsidRPr="00E60D17" w:rsidRDefault="00C17100" w:rsidP="00AF3336">
            <w:pPr>
              <w:spacing w:line="240" w:lineRule="auto"/>
            </w:pPr>
          </w:p>
        </w:tc>
        <w:tc>
          <w:tcPr>
            <w:tcW w:w="471" w:type="pct"/>
          </w:tcPr>
          <w:p w14:paraId="22892741" w14:textId="77777777" w:rsidR="00C17100" w:rsidRPr="00E60D17" w:rsidRDefault="00C17100" w:rsidP="00AF3336">
            <w:pPr>
              <w:spacing w:line="240" w:lineRule="auto"/>
            </w:pPr>
          </w:p>
        </w:tc>
        <w:tc>
          <w:tcPr>
            <w:tcW w:w="865" w:type="pct"/>
          </w:tcPr>
          <w:p w14:paraId="02B39D4B" w14:textId="77777777" w:rsidR="00C17100" w:rsidRPr="00E60D17" w:rsidRDefault="00C17100" w:rsidP="00AF3336">
            <w:pPr>
              <w:spacing w:line="240" w:lineRule="auto"/>
            </w:pPr>
          </w:p>
        </w:tc>
        <w:tc>
          <w:tcPr>
            <w:tcW w:w="670" w:type="pct"/>
          </w:tcPr>
          <w:p w14:paraId="3FA5EDF5" w14:textId="77777777" w:rsidR="00C17100" w:rsidRPr="00E60D17" w:rsidRDefault="00C17100" w:rsidP="00AF3336">
            <w:pPr>
              <w:spacing w:line="240" w:lineRule="auto"/>
            </w:pPr>
            <w:r w:rsidRPr="00E60D17">
              <w:t>5.50</w:t>
            </w:r>
          </w:p>
        </w:tc>
        <w:tc>
          <w:tcPr>
            <w:tcW w:w="481" w:type="pct"/>
          </w:tcPr>
          <w:p w14:paraId="5BA6B42F" w14:textId="77777777" w:rsidR="00C17100" w:rsidRPr="00E60D17" w:rsidRDefault="00C17100" w:rsidP="00AF3336">
            <w:pPr>
              <w:spacing w:line="240" w:lineRule="auto"/>
            </w:pPr>
          </w:p>
        </w:tc>
      </w:tr>
      <w:tr w:rsidR="00C17100" w:rsidRPr="007404CA" w14:paraId="38CFA0E3" w14:textId="77777777" w:rsidTr="00AF3336">
        <w:trPr>
          <w:trHeight w:val="170"/>
        </w:trPr>
        <w:tc>
          <w:tcPr>
            <w:tcW w:w="1167" w:type="pct"/>
          </w:tcPr>
          <w:p w14:paraId="3CA3ECAD" w14:textId="77777777" w:rsidR="00C17100" w:rsidRPr="00E60D17" w:rsidRDefault="00C17100">
            <w:pPr>
              <w:spacing w:line="240" w:lineRule="auto"/>
              <w:rPr>
                <w:b/>
                <w:bCs/>
              </w:rPr>
            </w:pPr>
            <w:r w:rsidRPr="00E60D17">
              <w:t>Moderate to Severe</w:t>
            </w:r>
          </w:p>
        </w:tc>
        <w:tc>
          <w:tcPr>
            <w:tcW w:w="501" w:type="pct"/>
          </w:tcPr>
          <w:p w14:paraId="77BB853B" w14:textId="77777777" w:rsidR="00C17100" w:rsidRPr="00E60D17" w:rsidRDefault="00C17100" w:rsidP="00AF3336">
            <w:pPr>
              <w:spacing w:line="240" w:lineRule="auto"/>
            </w:pPr>
          </w:p>
        </w:tc>
        <w:tc>
          <w:tcPr>
            <w:tcW w:w="845" w:type="pct"/>
          </w:tcPr>
          <w:p w14:paraId="6FF32736" w14:textId="77777777" w:rsidR="00C17100" w:rsidRPr="00E60D17" w:rsidRDefault="00C17100" w:rsidP="00AF3336">
            <w:pPr>
              <w:spacing w:line="240" w:lineRule="auto"/>
            </w:pPr>
          </w:p>
        </w:tc>
        <w:tc>
          <w:tcPr>
            <w:tcW w:w="471" w:type="pct"/>
          </w:tcPr>
          <w:p w14:paraId="5E342958" w14:textId="77777777" w:rsidR="00C17100" w:rsidRPr="00E60D17" w:rsidRDefault="00C17100" w:rsidP="00AF3336">
            <w:pPr>
              <w:spacing w:line="240" w:lineRule="auto"/>
            </w:pPr>
          </w:p>
        </w:tc>
        <w:tc>
          <w:tcPr>
            <w:tcW w:w="865" w:type="pct"/>
          </w:tcPr>
          <w:p w14:paraId="1222F002" w14:textId="77777777" w:rsidR="00C17100" w:rsidRPr="00E60D17" w:rsidRDefault="00C17100" w:rsidP="00AF3336">
            <w:pPr>
              <w:spacing w:line="240" w:lineRule="auto"/>
            </w:pPr>
          </w:p>
        </w:tc>
        <w:tc>
          <w:tcPr>
            <w:tcW w:w="670" w:type="pct"/>
          </w:tcPr>
          <w:p w14:paraId="615E4ACD" w14:textId="77777777" w:rsidR="00C17100" w:rsidRPr="00E60D17" w:rsidRDefault="00C17100" w:rsidP="00AF3336">
            <w:pPr>
              <w:spacing w:line="240" w:lineRule="auto"/>
            </w:pPr>
            <w:r w:rsidRPr="00E60D17">
              <w:t>6.54</w:t>
            </w:r>
          </w:p>
        </w:tc>
        <w:tc>
          <w:tcPr>
            <w:tcW w:w="481" w:type="pct"/>
          </w:tcPr>
          <w:p w14:paraId="79687EA6" w14:textId="77777777" w:rsidR="00C17100" w:rsidRPr="00E60D17" w:rsidRDefault="00C17100" w:rsidP="00AF3336">
            <w:pPr>
              <w:spacing w:line="240" w:lineRule="auto"/>
            </w:pPr>
          </w:p>
        </w:tc>
      </w:tr>
      <w:tr w:rsidR="00C17100" w:rsidRPr="007404CA" w14:paraId="5B209929" w14:textId="77777777" w:rsidTr="00AF3336">
        <w:trPr>
          <w:trHeight w:val="170"/>
        </w:trPr>
        <w:tc>
          <w:tcPr>
            <w:tcW w:w="1167" w:type="pct"/>
          </w:tcPr>
          <w:p w14:paraId="105C049A" w14:textId="77777777" w:rsidR="00C17100" w:rsidRPr="00E60D17" w:rsidRDefault="00C17100">
            <w:pPr>
              <w:spacing w:line="240" w:lineRule="auto"/>
            </w:pPr>
          </w:p>
        </w:tc>
        <w:tc>
          <w:tcPr>
            <w:tcW w:w="501" w:type="pct"/>
          </w:tcPr>
          <w:p w14:paraId="35293D25" w14:textId="77777777" w:rsidR="00C17100" w:rsidRPr="00E60D17" w:rsidRDefault="00C17100" w:rsidP="00AF3336">
            <w:pPr>
              <w:spacing w:line="240" w:lineRule="auto"/>
            </w:pPr>
          </w:p>
        </w:tc>
        <w:tc>
          <w:tcPr>
            <w:tcW w:w="845" w:type="pct"/>
          </w:tcPr>
          <w:p w14:paraId="0A1B8CEF" w14:textId="77777777" w:rsidR="00C17100" w:rsidRPr="00E60D17" w:rsidRDefault="00C17100" w:rsidP="00AF3336">
            <w:pPr>
              <w:spacing w:line="240" w:lineRule="auto"/>
            </w:pPr>
          </w:p>
        </w:tc>
        <w:tc>
          <w:tcPr>
            <w:tcW w:w="471" w:type="pct"/>
          </w:tcPr>
          <w:p w14:paraId="5DFA7428" w14:textId="77777777" w:rsidR="00C17100" w:rsidRPr="00E60D17" w:rsidRDefault="00C17100" w:rsidP="00AF3336">
            <w:pPr>
              <w:spacing w:line="240" w:lineRule="auto"/>
            </w:pPr>
          </w:p>
        </w:tc>
        <w:tc>
          <w:tcPr>
            <w:tcW w:w="865" w:type="pct"/>
          </w:tcPr>
          <w:p w14:paraId="6C46F95F" w14:textId="77777777" w:rsidR="00C17100" w:rsidRPr="00E60D17" w:rsidRDefault="00C17100" w:rsidP="00AF3336">
            <w:pPr>
              <w:spacing w:line="240" w:lineRule="auto"/>
            </w:pPr>
          </w:p>
        </w:tc>
        <w:tc>
          <w:tcPr>
            <w:tcW w:w="670" w:type="pct"/>
          </w:tcPr>
          <w:p w14:paraId="79D99F5A" w14:textId="77777777" w:rsidR="00C17100" w:rsidRPr="00E60D17" w:rsidRDefault="00C17100" w:rsidP="00AF3336">
            <w:pPr>
              <w:spacing w:line="240" w:lineRule="auto"/>
            </w:pPr>
          </w:p>
        </w:tc>
        <w:tc>
          <w:tcPr>
            <w:tcW w:w="481" w:type="pct"/>
          </w:tcPr>
          <w:p w14:paraId="2CC34AFD" w14:textId="77777777" w:rsidR="00C17100" w:rsidRPr="00E60D17" w:rsidRDefault="00C17100" w:rsidP="00AF3336">
            <w:pPr>
              <w:spacing w:line="240" w:lineRule="auto"/>
            </w:pPr>
          </w:p>
        </w:tc>
      </w:tr>
      <w:tr w:rsidR="001256E0" w:rsidRPr="007404CA" w14:paraId="42B9D7D7" w14:textId="77777777" w:rsidTr="004F2E7F">
        <w:trPr>
          <w:trHeight w:val="170"/>
        </w:trPr>
        <w:tc>
          <w:tcPr>
            <w:tcW w:w="1167" w:type="pct"/>
          </w:tcPr>
          <w:p w14:paraId="08825FD2" w14:textId="24F11E66" w:rsidR="001256E0" w:rsidRPr="00E60D17" w:rsidRDefault="001256E0">
            <w:pPr>
              <w:spacing w:line="240" w:lineRule="auto"/>
            </w:pPr>
            <w:r w:rsidRPr="00E60D17">
              <w:t>85+</w:t>
            </w:r>
          </w:p>
        </w:tc>
        <w:tc>
          <w:tcPr>
            <w:tcW w:w="501" w:type="pct"/>
          </w:tcPr>
          <w:p w14:paraId="0CA2AE05" w14:textId="77777777" w:rsidR="001256E0" w:rsidRPr="00E60D17" w:rsidRDefault="001256E0">
            <w:pPr>
              <w:spacing w:line="240" w:lineRule="auto"/>
            </w:pPr>
          </w:p>
        </w:tc>
        <w:tc>
          <w:tcPr>
            <w:tcW w:w="845" w:type="pct"/>
          </w:tcPr>
          <w:p w14:paraId="57FAA82B" w14:textId="77777777" w:rsidR="001256E0" w:rsidRPr="00E60D17" w:rsidRDefault="001256E0">
            <w:pPr>
              <w:spacing w:line="240" w:lineRule="auto"/>
            </w:pPr>
          </w:p>
        </w:tc>
        <w:tc>
          <w:tcPr>
            <w:tcW w:w="471" w:type="pct"/>
          </w:tcPr>
          <w:p w14:paraId="461255DC" w14:textId="77777777" w:rsidR="001256E0" w:rsidRPr="00E60D17" w:rsidRDefault="001256E0">
            <w:pPr>
              <w:spacing w:line="240" w:lineRule="auto"/>
            </w:pPr>
          </w:p>
        </w:tc>
        <w:tc>
          <w:tcPr>
            <w:tcW w:w="865" w:type="pct"/>
          </w:tcPr>
          <w:p w14:paraId="4874A367" w14:textId="77777777" w:rsidR="001256E0" w:rsidRPr="00E60D17" w:rsidRDefault="001256E0">
            <w:pPr>
              <w:spacing w:line="240" w:lineRule="auto"/>
            </w:pPr>
          </w:p>
        </w:tc>
        <w:tc>
          <w:tcPr>
            <w:tcW w:w="670" w:type="pct"/>
          </w:tcPr>
          <w:p w14:paraId="3DAD6F06" w14:textId="77777777" w:rsidR="001256E0" w:rsidRPr="00E60D17" w:rsidRDefault="001256E0">
            <w:pPr>
              <w:spacing w:line="240" w:lineRule="auto"/>
            </w:pPr>
          </w:p>
        </w:tc>
        <w:tc>
          <w:tcPr>
            <w:tcW w:w="481" w:type="pct"/>
          </w:tcPr>
          <w:p w14:paraId="41891365" w14:textId="77777777" w:rsidR="001256E0" w:rsidRPr="00E60D17" w:rsidRDefault="001256E0">
            <w:pPr>
              <w:spacing w:line="240" w:lineRule="auto"/>
            </w:pPr>
          </w:p>
        </w:tc>
      </w:tr>
      <w:tr w:rsidR="00C17100" w:rsidRPr="007404CA" w14:paraId="31FBE6E9" w14:textId="77777777" w:rsidTr="00AF3336">
        <w:trPr>
          <w:trHeight w:val="170"/>
        </w:trPr>
        <w:tc>
          <w:tcPr>
            <w:tcW w:w="1167" w:type="pct"/>
          </w:tcPr>
          <w:p w14:paraId="08DFF2FF" w14:textId="77777777" w:rsidR="00C17100" w:rsidRPr="00E60D17" w:rsidRDefault="00C17100">
            <w:pPr>
              <w:spacing w:line="240" w:lineRule="auto"/>
              <w:rPr>
                <w:b/>
                <w:bCs/>
              </w:rPr>
            </w:pPr>
            <w:r w:rsidRPr="00E60D17">
              <w:t>Fit</w:t>
            </w:r>
          </w:p>
        </w:tc>
        <w:tc>
          <w:tcPr>
            <w:tcW w:w="501" w:type="pct"/>
          </w:tcPr>
          <w:p w14:paraId="671E8A74" w14:textId="77777777" w:rsidR="00C17100" w:rsidRPr="00E60D17" w:rsidRDefault="00C17100" w:rsidP="00AF3336">
            <w:pPr>
              <w:spacing w:line="240" w:lineRule="auto"/>
            </w:pPr>
            <w:r w:rsidRPr="00E60D17">
              <w:t>4.70</w:t>
            </w:r>
          </w:p>
        </w:tc>
        <w:tc>
          <w:tcPr>
            <w:tcW w:w="845" w:type="pct"/>
          </w:tcPr>
          <w:p w14:paraId="6FD11E0B" w14:textId="77777777" w:rsidR="00C17100" w:rsidRPr="00E60D17" w:rsidRDefault="00C17100" w:rsidP="00AF3336">
            <w:pPr>
              <w:spacing w:line="240" w:lineRule="auto"/>
            </w:pPr>
            <w:r w:rsidRPr="00E60D17">
              <w:t>4.67</w:t>
            </w:r>
          </w:p>
        </w:tc>
        <w:tc>
          <w:tcPr>
            <w:tcW w:w="471" w:type="pct"/>
          </w:tcPr>
          <w:p w14:paraId="2C363424" w14:textId="77777777" w:rsidR="00C17100" w:rsidRPr="00E60D17" w:rsidRDefault="00C17100" w:rsidP="00AF3336">
            <w:pPr>
              <w:spacing w:line="240" w:lineRule="auto"/>
            </w:pPr>
            <w:r w:rsidRPr="00E60D17">
              <w:t>5.49</w:t>
            </w:r>
          </w:p>
        </w:tc>
        <w:tc>
          <w:tcPr>
            <w:tcW w:w="865" w:type="pct"/>
          </w:tcPr>
          <w:p w14:paraId="2AAA1D8E" w14:textId="77777777" w:rsidR="00C17100" w:rsidRPr="00E60D17" w:rsidRDefault="00C17100" w:rsidP="00AF3336">
            <w:pPr>
              <w:spacing w:line="240" w:lineRule="auto"/>
            </w:pPr>
            <w:r w:rsidRPr="00E60D17">
              <w:t>6.12</w:t>
            </w:r>
          </w:p>
        </w:tc>
        <w:tc>
          <w:tcPr>
            <w:tcW w:w="670" w:type="pct"/>
          </w:tcPr>
          <w:p w14:paraId="5B3CAACC" w14:textId="77777777" w:rsidR="00C17100" w:rsidRPr="00E60D17" w:rsidRDefault="00C17100" w:rsidP="00AF3336">
            <w:pPr>
              <w:spacing w:line="240" w:lineRule="auto"/>
            </w:pPr>
          </w:p>
        </w:tc>
        <w:tc>
          <w:tcPr>
            <w:tcW w:w="481" w:type="pct"/>
          </w:tcPr>
          <w:p w14:paraId="417148A0" w14:textId="77777777" w:rsidR="00C17100" w:rsidRPr="00E60D17" w:rsidRDefault="00C17100" w:rsidP="00AF3336">
            <w:pPr>
              <w:spacing w:line="240" w:lineRule="auto"/>
            </w:pPr>
            <w:r w:rsidRPr="00E60D17">
              <w:t>n/a</w:t>
            </w:r>
          </w:p>
        </w:tc>
      </w:tr>
      <w:tr w:rsidR="00C17100" w:rsidRPr="007404CA" w14:paraId="3E0365A6" w14:textId="77777777" w:rsidTr="00AF3336">
        <w:trPr>
          <w:trHeight w:val="170"/>
        </w:trPr>
        <w:tc>
          <w:tcPr>
            <w:tcW w:w="1167" w:type="pct"/>
          </w:tcPr>
          <w:p w14:paraId="27D648BF" w14:textId="77777777" w:rsidR="00C17100" w:rsidRPr="00E60D17" w:rsidRDefault="00C17100">
            <w:pPr>
              <w:spacing w:line="240" w:lineRule="auto"/>
              <w:rPr>
                <w:b/>
                <w:bCs/>
              </w:rPr>
            </w:pPr>
            <w:r w:rsidRPr="00E60D17">
              <w:t>Mild</w:t>
            </w:r>
          </w:p>
        </w:tc>
        <w:tc>
          <w:tcPr>
            <w:tcW w:w="501" w:type="pct"/>
          </w:tcPr>
          <w:p w14:paraId="62B18187" w14:textId="77777777" w:rsidR="00C17100" w:rsidRPr="00E60D17" w:rsidRDefault="00C17100" w:rsidP="00AF3336">
            <w:pPr>
              <w:spacing w:line="240" w:lineRule="auto"/>
            </w:pPr>
            <w:r w:rsidRPr="00E60D17">
              <w:t>2.43</w:t>
            </w:r>
          </w:p>
        </w:tc>
        <w:tc>
          <w:tcPr>
            <w:tcW w:w="845" w:type="pct"/>
          </w:tcPr>
          <w:p w14:paraId="4EC31672" w14:textId="77777777" w:rsidR="00C17100" w:rsidRPr="00E60D17" w:rsidRDefault="00C17100" w:rsidP="00AF3336">
            <w:pPr>
              <w:spacing w:line="240" w:lineRule="auto"/>
            </w:pPr>
            <w:r w:rsidRPr="00E60D17">
              <w:t>4.01</w:t>
            </w:r>
          </w:p>
        </w:tc>
        <w:tc>
          <w:tcPr>
            <w:tcW w:w="471" w:type="pct"/>
          </w:tcPr>
          <w:p w14:paraId="2D40FDAA" w14:textId="77777777" w:rsidR="00C17100" w:rsidRPr="00E60D17" w:rsidRDefault="00C17100" w:rsidP="00AF3336">
            <w:pPr>
              <w:spacing w:line="240" w:lineRule="auto"/>
            </w:pPr>
            <w:r w:rsidRPr="00E60D17">
              <w:t>3.22</w:t>
            </w:r>
          </w:p>
        </w:tc>
        <w:tc>
          <w:tcPr>
            <w:tcW w:w="865" w:type="pct"/>
          </w:tcPr>
          <w:p w14:paraId="31502BF7" w14:textId="77777777" w:rsidR="00C17100" w:rsidRPr="00E60D17" w:rsidRDefault="00C17100" w:rsidP="00AF3336">
            <w:pPr>
              <w:spacing w:line="240" w:lineRule="auto"/>
            </w:pPr>
            <w:r w:rsidRPr="00E60D17">
              <w:t>4.71</w:t>
            </w:r>
          </w:p>
        </w:tc>
        <w:tc>
          <w:tcPr>
            <w:tcW w:w="670" w:type="pct"/>
          </w:tcPr>
          <w:p w14:paraId="6BB367F6" w14:textId="77777777" w:rsidR="00C17100" w:rsidRPr="00E60D17" w:rsidRDefault="00C17100" w:rsidP="00AF3336">
            <w:pPr>
              <w:spacing w:line="240" w:lineRule="auto"/>
            </w:pPr>
          </w:p>
        </w:tc>
        <w:tc>
          <w:tcPr>
            <w:tcW w:w="481" w:type="pct"/>
          </w:tcPr>
          <w:p w14:paraId="5CA84246" w14:textId="77777777" w:rsidR="00C17100" w:rsidRPr="00E60D17" w:rsidRDefault="00C17100" w:rsidP="00AF3336">
            <w:pPr>
              <w:spacing w:line="240" w:lineRule="auto"/>
            </w:pPr>
            <w:r w:rsidRPr="00E60D17">
              <w:t>n/a</w:t>
            </w:r>
          </w:p>
        </w:tc>
      </w:tr>
      <w:tr w:rsidR="00C17100" w:rsidRPr="007404CA" w14:paraId="396441D4" w14:textId="77777777" w:rsidTr="00AF3336">
        <w:trPr>
          <w:trHeight w:val="170"/>
        </w:trPr>
        <w:tc>
          <w:tcPr>
            <w:tcW w:w="1167" w:type="pct"/>
          </w:tcPr>
          <w:p w14:paraId="235F7290" w14:textId="77777777" w:rsidR="00C17100" w:rsidRPr="00E60D17" w:rsidRDefault="00C17100">
            <w:pPr>
              <w:spacing w:line="240" w:lineRule="auto"/>
              <w:rPr>
                <w:b/>
                <w:bCs/>
              </w:rPr>
            </w:pPr>
            <w:r w:rsidRPr="00E60D17">
              <w:t>Moderate</w:t>
            </w:r>
          </w:p>
        </w:tc>
        <w:tc>
          <w:tcPr>
            <w:tcW w:w="501" w:type="pct"/>
          </w:tcPr>
          <w:p w14:paraId="1FBACF50" w14:textId="77777777" w:rsidR="00C17100" w:rsidRPr="00E60D17" w:rsidRDefault="00C17100" w:rsidP="00AF3336">
            <w:pPr>
              <w:spacing w:line="240" w:lineRule="auto"/>
            </w:pPr>
            <w:r w:rsidRPr="00E60D17">
              <w:t>2.23</w:t>
            </w:r>
          </w:p>
        </w:tc>
        <w:tc>
          <w:tcPr>
            <w:tcW w:w="845" w:type="pct"/>
          </w:tcPr>
          <w:p w14:paraId="5CAFF119" w14:textId="77777777" w:rsidR="00C17100" w:rsidRPr="00E60D17" w:rsidRDefault="00C17100" w:rsidP="00AF3336">
            <w:pPr>
              <w:spacing w:line="240" w:lineRule="auto"/>
            </w:pPr>
            <w:r w:rsidRPr="00E60D17">
              <w:t>5.52</w:t>
            </w:r>
          </w:p>
        </w:tc>
        <w:tc>
          <w:tcPr>
            <w:tcW w:w="471" w:type="pct"/>
          </w:tcPr>
          <w:p w14:paraId="64C13F65" w14:textId="77777777" w:rsidR="00C17100" w:rsidRPr="00E60D17" w:rsidRDefault="00C17100" w:rsidP="00AF3336">
            <w:pPr>
              <w:spacing w:line="240" w:lineRule="auto"/>
            </w:pPr>
            <w:r w:rsidRPr="00E60D17">
              <w:t>2.51</w:t>
            </w:r>
          </w:p>
        </w:tc>
        <w:tc>
          <w:tcPr>
            <w:tcW w:w="865" w:type="pct"/>
          </w:tcPr>
          <w:p w14:paraId="64A9F46F" w14:textId="77777777" w:rsidR="00C17100" w:rsidRPr="00E60D17" w:rsidRDefault="00C17100" w:rsidP="00AF3336">
            <w:pPr>
              <w:spacing w:line="240" w:lineRule="auto"/>
            </w:pPr>
            <w:r w:rsidRPr="00E60D17">
              <w:t>8.38</w:t>
            </w:r>
          </w:p>
        </w:tc>
        <w:tc>
          <w:tcPr>
            <w:tcW w:w="670" w:type="pct"/>
          </w:tcPr>
          <w:p w14:paraId="671331FE" w14:textId="77777777" w:rsidR="00C17100" w:rsidRPr="00E60D17" w:rsidRDefault="00C17100" w:rsidP="00AF3336">
            <w:pPr>
              <w:spacing w:line="240" w:lineRule="auto"/>
            </w:pPr>
          </w:p>
        </w:tc>
        <w:tc>
          <w:tcPr>
            <w:tcW w:w="481" w:type="pct"/>
          </w:tcPr>
          <w:p w14:paraId="6671DE26" w14:textId="77777777" w:rsidR="00C17100" w:rsidRPr="00E60D17" w:rsidRDefault="00C17100" w:rsidP="00AF3336">
            <w:pPr>
              <w:spacing w:line="240" w:lineRule="auto"/>
            </w:pPr>
            <w:r w:rsidRPr="00E60D17">
              <w:t>n/a</w:t>
            </w:r>
          </w:p>
        </w:tc>
      </w:tr>
      <w:tr w:rsidR="00C17100" w:rsidRPr="007404CA" w14:paraId="5BB01986" w14:textId="77777777" w:rsidTr="00AF3336">
        <w:trPr>
          <w:trHeight w:val="170"/>
        </w:trPr>
        <w:tc>
          <w:tcPr>
            <w:tcW w:w="1167" w:type="pct"/>
          </w:tcPr>
          <w:p w14:paraId="563E3CAE" w14:textId="77777777" w:rsidR="00C17100" w:rsidRPr="00E60D17" w:rsidRDefault="00C17100">
            <w:pPr>
              <w:spacing w:line="240" w:lineRule="auto"/>
              <w:rPr>
                <w:b/>
                <w:bCs/>
              </w:rPr>
            </w:pPr>
            <w:r w:rsidRPr="00E60D17">
              <w:t>Severe</w:t>
            </w:r>
          </w:p>
        </w:tc>
        <w:tc>
          <w:tcPr>
            <w:tcW w:w="501" w:type="pct"/>
          </w:tcPr>
          <w:p w14:paraId="2CAAB0CF" w14:textId="77777777" w:rsidR="00C17100" w:rsidRPr="00E60D17" w:rsidRDefault="00C17100" w:rsidP="00AF3336">
            <w:pPr>
              <w:spacing w:line="240" w:lineRule="auto"/>
            </w:pPr>
            <w:r w:rsidRPr="00E60D17">
              <w:t>10.44</w:t>
            </w:r>
          </w:p>
        </w:tc>
        <w:tc>
          <w:tcPr>
            <w:tcW w:w="845" w:type="pct"/>
          </w:tcPr>
          <w:p w14:paraId="2B4DC79F" w14:textId="77777777" w:rsidR="00C17100" w:rsidRPr="00E60D17" w:rsidRDefault="00C17100" w:rsidP="00AF3336">
            <w:pPr>
              <w:spacing w:line="240" w:lineRule="auto"/>
            </w:pPr>
            <w:r w:rsidRPr="00E60D17">
              <w:t>16.08</w:t>
            </w:r>
          </w:p>
        </w:tc>
        <w:tc>
          <w:tcPr>
            <w:tcW w:w="471" w:type="pct"/>
          </w:tcPr>
          <w:p w14:paraId="61EFF11B" w14:textId="77777777" w:rsidR="00C17100" w:rsidRPr="00E60D17" w:rsidRDefault="00C17100" w:rsidP="00AF3336">
            <w:pPr>
              <w:spacing w:line="240" w:lineRule="auto"/>
            </w:pPr>
            <w:r w:rsidRPr="00E60D17">
              <w:t>5.26</w:t>
            </w:r>
          </w:p>
        </w:tc>
        <w:tc>
          <w:tcPr>
            <w:tcW w:w="865" w:type="pct"/>
          </w:tcPr>
          <w:p w14:paraId="4D018A8D" w14:textId="77777777" w:rsidR="00C17100" w:rsidRPr="00E60D17" w:rsidRDefault="00C17100" w:rsidP="00AF3336">
            <w:pPr>
              <w:spacing w:line="240" w:lineRule="auto"/>
            </w:pPr>
            <w:r w:rsidRPr="00E60D17">
              <w:t>11.87</w:t>
            </w:r>
          </w:p>
        </w:tc>
        <w:tc>
          <w:tcPr>
            <w:tcW w:w="670" w:type="pct"/>
          </w:tcPr>
          <w:p w14:paraId="4F2D12B9" w14:textId="77777777" w:rsidR="00C17100" w:rsidRPr="00E60D17" w:rsidRDefault="00C17100" w:rsidP="00AF3336">
            <w:pPr>
              <w:spacing w:line="240" w:lineRule="auto"/>
            </w:pPr>
          </w:p>
        </w:tc>
        <w:tc>
          <w:tcPr>
            <w:tcW w:w="481" w:type="pct"/>
          </w:tcPr>
          <w:p w14:paraId="0F341256" w14:textId="77777777" w:rsidR="00C17100" w:rsidRPr="00E60D17" w:rsidRDefault="00C17100" w:rsidP="00AF3336">
            <w:pPr>
              <w:spacing w:line="240" w:lineRule="auto"/>
            </w:pPr>
            <w:r w:rsidRPr="00E60D17">
              <w:t>n/a</w:t>
            </w:r>
          </w:p>
        </w:tc>
      </w:tr>
      <w:tr w:rsidR="00C17100" w:rsidRPr="007404CA" w14:paraId="2D1099CD" w14:textId="77777777" w:rsidTr="00AF3336">
        <w:trPr>
          <w:trHeight w:val="170"/>
        </w:trPr>
        <w:tc>
          <w:tcPr>
            <w:tcW w:w="1167" w:type="pct"/>
          </w:tcPr>
          <w:p w14:paraId="0DD010EF" w14:textId="77777777" w:rsidR="00C17100" w:rsidRPr="00E60D17" w:rsidRDefault="00C17100">
            <w:pPr>
              <w:spacing w:line="240" w:lineRule="auto"/>
              <w:rPr>
                <w:b/>
                <w:bCs/>
              </w:rPr>
            </w:pPr>
            <w:r w:rsidRPr="00E60D17">
              <w:t>Fit to Mild</w:t>
            </w:r>
          </w:p>
        </w:tc>
        <w:tc>
          <w:tcPr>
            <w:tcW w:w="501" w:type="pct"/>
          </w:tcPr>
          <w:p w14:paraId="02265FD8" w14:textId="77777777" w:rsidR="00C17100" w:rsidRPr="00E60D17" w:rsidRDefault="00C17100" w:rsidP="00AF3336">
            <w:pPr>
              <w:spacing w:line="240" w:lineRule="auto"/>
            </w:pPr>
          </w:p>
        </w:tc>
        <w:tc>
          <w:tcPr>
            <w:tcW w:w="845" w:type="pct"/>
          </w:tcPr>
          <w:p w14:paraId="15378BBB" w14:textId="77777777" w:rsidR="00C17100" w:rsidRPr="00E60D17" w:rsidRDefault="00C17100" w:rsidP="00AF3336">
            <w:pPr>
              <w:spacing w:line="240" w:lineRule="auto"/>
            </w:pPr>
          </w:p>
        </w:tc>
        <w:tc>
          <w:tcPr>
            <w:tcW w:w="471" w:type="pct"/>
          </w:tcPr>
          <w:p w14:paraId="0EF84980" w14:textId="77777777" w:rsidR="00C17100" w:rsidRPr="00E60D17" w:rsidRDefault="00C17100" w:rsidP="00AF3336">
            <w:pPr>
              <w:spacing w:line="240" w:lineRule="auto"/>
            </w:pPr>
          </w:p>
        </w:tc>
        <w:tc>
          <w:tcPr>
            <w:tcW w:w="865" w:type="pct"/>
          </w:tcPr>
          <w:p w14:paraId="66285F55" w14:textId="77777777" w:rsidR="00C17100" w:rsidRPr="00E60D17" w:rsidRDefault="00C17100" w:rsidP="00AF3336">
            <w:pPr>
              <w:spacing w:line="240" w:lineRule="auto"/>
            </w:pPr>
          </w:p>
        </w:tc>
        <w:tc>
          <w:tcPr>
            <w:tcW w:w="670" w:type="pct"/>
          </w:tcPr>
          <w:p w14:paraId="35DE23AF" w14:textId="77777777" w:rsidR="00C17100" w:rsidRPr="00E60D17" w:rsidRDefault="00C17100" w:rsidP="00AF3336">
            <w:pPr>
              <w:spacing w:line="240" w:lineRule="auto"/>
            </w:pPr>
            <w:r w:rsidRPr="00E60D17">
              <w:t>6.23</w:t>
            </w:r>
          </w:p>
        </w:tc>
        <w:tc>
          <w:tcPr>
            <w:tcW w:w="481" w:type="pct"/>
          </w:tcPr>
          <w:p w14:paraId="260BC851" w14:textId="77777777" w:rsidR="00C17100" w:rsidRPr="00E60D17" w:rsidRDefault="00C17100" w:rsidP="00AF3336">
            <w:pPr>
              <w:spacing w:line="240" w:lineRule="auto"/>
            </w:pPr>
          </w:p>
        </w:tc>
      </w:tr>
      <w:tr w:rsidR="00C17100" w:rsidRPr="007404CA" w14:paraId="7212BD1F" w14:textId="77777777" w:rsidTr="00AF3336">
        <w:trPr>
          <w:trHeight w:val="170"/>
        </w:trPr>
        <w:tc>
          <w:tcPr>
            <w:tcW w:w="1167" w:type="pct"/>
          </w:tcPr>
          <w:p w14:paraId="70E92729" w14:textId="77777777" w:rsidR="00C17100" w:rsidRPr="00E60D17" w:rsidRDefault="00C17100">
            <w:pPr>
              <w:spacing w:line="240" w:lineRule="auto"/>
              <w:rPr>
                <w:b/>
                <w:bCs/>
              </w:rPr>
            </w:pPr>
            <w:r w:rsidRPr="00E60D17">
              <w:t>Mild to Moderate</w:t>
            </w:r>
          </w:p>
        </w:tc>
        <w:tc>
          <w:tcPr>
            <w:tcW w:w="501" w:type="pct"/>
          </w:tcPr>
          <w:p w14:paraId="3B9039FE" w14:textId="77777777" w:rsidR="00C17100" w:rsidRPr="00E60D17" w:rsidRDefault="00C17100" w:rsidP="00AF3336">
            <w:pPr>
              <w:spacing w:line="240" w:lineRule="auto"/>
            </w:pPr>
          </w:p>
        </w:tc>
        <w:tc>
          <w:tcPr>
            <w:tcW w:w="845" w:type="pct"/>
          </w:tcPr>
          <w:p w14:paraId="270DA6E8" w14:textId="77777777" w:rsidR="00C17100" w:rsidRPr="00E60D17" w:rsidRDefault="00C17100" w:rsidP="00AF3336">
            <w:pPr>
              <w:spacing w:line="240" w:lineRule="auto"/>
            </w:pPr>
          </w:p>
        </w:tc>
        <w:tc>
          <w:tcPr>
            <w:tcW w:w="471" w:type="pct"/>
          </w:tcPr>
          <w:p w14:paraId="51C8DFC2" w14:textId="77777777" w:rsidR="00C17100" w:rsidRPr="00E60D17" w:rsidRDefault="00C17100" w:rsidP="00AF3336">
            <w:pPr>
              <w:spacing w:line="240" w:lineRule="auto"/>
            </w:pPr>
          </w:p>
        </w:tc>
        <w:tc>
          <w:tcPr>
            <w:tcW w:w="865" w:type="pct"/>
          </w:tcPr>
          <w:p w14:paraId="223CE846" w14:textId="77777777" w:rsidR="00C17100" w:rsidRPr="00E60D17" w:rsidRDefault="00C17100" w:rsidP="00AF3336">
            <w:pPr>
              <w:spacing w:line="240" w:lineRule="auto"/>
            </w:pPr>
          </w:p>
        </w:tc>
        <w:tc>
          <w:tcPr>
            <w:tcW w:w="670" w:type="pct"/>
          </w:tcPr>
          <w:p w14:paraId="15A79442" w14:textId="77777777" w:rsidR="00C17100" w:rsidRPr="00E60D17" w:rsidRDefault="00C17100" w:rsidP="00AF3336">
            <w:pPr>
              <w:spacing w:line="240" w:lineRule="auto"/>
            </w:pPr>
            <w:r w:rsidRPr="00E60D17">
              <w:t>6.79</w:t>
            </w:r>
          </w:p>
        </w:tc>
        <w:tc>
          <w:tcPr>
            <w:tcW w:w="481" w:type="pct"/>
          </w:tcPr>
          <w:p w14:paraId="58EF5EBF" w14:textId="77777777" w:rsidR="00C17100" w:rsidRPr="00E60D17" w:rsidRDefault="00C17100" w:rsidP="00AF3336">
            <w:pPr>
              <w:spacing w:line="240" w:lineRule="auto"/>
            </w:pPr>
          </w:p>
        </w:tc>
      </w:tr>
      <w:tr w:rsidR="00C17100" w:rsidRPr="007404CA" w14:paraId="13B2750B" w14:textId="77777777" w:rsidTr="00AF3336">
        <w:trPr>
          <w:trHeight w:val="170"/>
        </w:trPr>
        <w:tc>
          <w:tcPr>
            <w:tcW w:w="1167" w:type="pct"/>
          </w:tcPr>
          <w:p w14:paraId="53EE3224" w14:textId="77777777" w:rsidR="00C17100" w:rsidRPr="00E60D17" w:rsidRDefault="00C17100">
            <w:pPr>
              <w:spacing w:line="240" w:lineRule="auto"/>
              <w:rPr>
                <w:b/>
                <w:bCs/>
              </w:rPr>
            </w:pPr>
            <w:r w:rsidRPr="00E60D17">
              <w:t>Moderate to Severe</w:t>
            </w:r>
          </w:p>
        </w:tc>
        <w:tc>
          <w:tcPr>
            <w:tcW w:w="501" w:type="pct"/>
          </w:tcPr>
          <w:p w14:paraId="74066DDC" w14:textId="77777777" w:rsidR="00C17100" w:rsidRPr="00E60D17" w:rsidRDefault="00C17100" w:rsidP="00AF3336">
            <w:pPr>
              <w:spacing w:line="240" w:lineRule="auto"/>
            </w:pPr>
          </w:p>
        </w:tc>
        <w:tc>
          <w:tcPr>
            <w:tcW w:w="845" w:type="pct"/>
          </w:tcPr>
          <w:p w14:paraId="35B18882" w14:textId="77777777" w:rsidR="00C17100" w:rsidRPr="00E60D17" w:rsidRDefault="00C17100" w:rsidP="00AF3336">
            <w:pPr>
              <w:spacing w:line="240" w:lineRule="auto"/>
            </w:pPr>
          </w:p>
        </w:tc>
        <w:tc>
          <w:tcPr>
            <w:tcW w:w="471" w:type="pct"/>
          </w:tcPr>
          <w:p w14:paraId="76CEB92B" w14:textId="77777777" w:rsidR="00C17100" w:rsidRPr="00E60D17" w:rsidRDefault="00C17100" w:rsidP="00AF3336">
            <w:pPr>
              <w:spacing w:line="240" w:lineRule="auto"/>
            </w:pPr>
          </w:p>
        </w:tc>
        <w:tc>
          <w:tcPr>
            <w:tcW w:w="865" w:type="pct"/>
          </w:tcPr>
          <w:p w14:paraId="73A28D92" w14:textId="77777777" w:rsidR="00C17100" w:rsidRPr="00E60D17" w:rsidRDefault="00C17100" w:rsidP="00AF3336">
            <w:pPr>
              <w:spacing w:line="240" w:lineRule="auto"/>
            </w:pPr>
          </w:p>
        </w:tc>
        <w:tc>
          <w:tcPr>
            <w:tcW w:w="670" w:type="pct"/>
          </w:tcPr>
          <w:p w14:paraId="3E1E0A0F" w14:textId="77777777" w:rsidR="00C17100" w:rsidRPr="00E60D17" w:rsidRDefault="00C17100" w:rsidP="00AF3336">
            <w:pPr>
              <w:spacing w:line="240" w:lineRule="auto"/>
            </w:pPr>
            <w:r w:rsidRPr="00E60D17">
              <w:t>5.29</w:t>
            </w:r>
          </w:p>
        </w:tc>
        <w:tc>
          <w:tcPr>
            <w:tcW w:w="481" w:type="pct"/>
          </w:tcPr>
          <w:p w14:paraId="2174AA35" w14:textId="77777777" w:rsidR="00C17100" w:rsidRPr="00E60D17" w:rsidRDefault="00C17100" w:rsidP="00AF3336">
            <w:pPr>
              <w:spacing w:line="240" w:lineRule="auto"/>
            </w:pPr>
          </w:p>
        </w:tc>
      </w:tr>
    </w:tbl>
    <w:p w14:paraId="014C4895" w14:textId="77777777" w:rsidR="00BC615E" w:rsidRDefault="00BC615E" w:rsidP="00AF3336">
      <w:pPr>
        <w:pStyle w:val="Newparagraph"/>
      </w:pPr>
    </w:p>
    <w:p w14:paraId="34F1C1A4" w14:textId="77777777" w:rsidR="00BC615E" w:rsidRDefault="00BC615E">
      <w:pPr>
        <w:pStyle w:val="Newparagraph"/>
      </w:pPr>
    </w:p>
    <w:p w14:paraId="6AEE226D" w14:textId="5D132CAD" w:rsidR="00DB7BE3" w:rsidRDefault="00866658" w:rsidP="00AF3336">
      <w:pPr>
        <w:ind w:firstLine="720"/>
      </w:pPr>
      <w:r>
        <w:t>For the e</w:t>
      </w:r>
      <w:r w:rsidR="00822329" w:rsidRPr="00E60D17">
        <w:t>xternal validation</w:t>
      </w:r>
      <w:r w:rsidR="00536E89">
        <w:t>,</w:t>
      </w:r>
      <w:r w:rsidR="00822329" w:rsidRPr="00E60D17">
        <w:t xml:space="preserve"> the</w:t>
      </w:r>
      <w:r w:rsidR="00462100">
        <w:t xml:space="preserve"> starting</w:t>
      </w:r>
      <w:r w:rsidR="00822329" w:rsidRPr="00E60D17">
        <w:t xml:space="preserve"> age/frailty stocks</w:t>
      </w:r>
      <w:r w:rsidR="0059235A">
        <w:t xml:space="preserve"> </w:t>
      </w:r>
      <w:r w:rsidR="00536E89">
        <w:t xml:space="preserve">were </w:t>
      </w:r>
      <w:r w:rsidR="00462100">
        <w:t xml:space="preserve">populated </w:t>
      </w:r>
      <w:r w:rsidR="00822329" w:rsidRPr="00E60D17">
        <w:t>with their equivalents from the</w:t>
      </w:r>
      <w:r w:rsidR="00462100">
        <w:t xml:space="preserve"> 2006</w:t>
      </w:r>
      <w:r w:rsidR="00822329" w:rsidRPr="00E60D17">
        <w:t xml:space="preserve"> SAIL cohort</w:t>
      </w:r>
      <w:r w:rsidR="0059235A">
        <w:t xml:space="preserve">.  </w:t>
      </w:r>
      <w:r w:rsidR="009C7708">
        <w:t>T</w:t>
      </w:r>
      <w:r w:rsidR="009C7708" w:rsidRPr="009C7708">
        <w:t xml:space="preserve">he SAIL data had greater population coverage </w:t>
      </w:r>
      <w:r w:rsidR="009C7708">
        <w:t xml:space="preserve">than RCGP RSC </w:t>
      </w:r>
      <w:r w:rsidR="009C7708">
        <w:lastRenderedPageBreak/>
        <w:t xml:space="preserve">(80% versus approximately 8%) </w:t>
      </w:r>
      <w:r w:rsidR="009C7708" w:rsidRPr="009C7708">
        <w:t xml:space="preserve">and therefore lower entry and de-registration rates than </w:t>
      </w:r>
      <w:r w:rsidR="00EA6339">
        <w:t xml:space="preserve">were </w:t>
      </w:r>
      <w:r w:rsidR="00E53ACB">
        <w:t xml:space="preserve">used in </w:t>
      </w:r>
      <w:r w:rsidR="009C7708" w:rsidRPr="009C7708">
        <w:t xml:space="preserve">the original model, which meant that these had to be modified </w:t>
      </w:r>
      <w:r w:rsidR="000F56A2">
        <w:t>to reflect th</w:t>
      </w:r>
      <w:r w:rsidR="00D3277C">
        <w:t xml:space="preserve">ose rates in the </w:t>
      </w:r>
      <w:r w:rsidR="00072568">
        <w:t xml:space="preserve">external </w:t>
      </w:r>
      <w:r w:rsidR="00D3277C">
        <w:t>validatio</w:t>
      </w:r>
      <w:r w:rsidR="00072568">
        <w:t>n</w:t>
      </w:r>
      <w:r w:rsidR="00D3277C">
        <w:t xml:space="preserve">. </w:t>
      </w:r>
      <w:r w:rsidR="00E3313E">
        <w:t xml:space="preserve">  </w:t>
      </w:r>
      <w:r w:rsidR="0059235A">
        <w:t>Initially</w:t>
      </w:r>
      <w:r w:rsidR="00C101F3">
        <w:t xml:space="preserve"> </w:t>
      </w:r>
      <w:r w:rsidR="0059235A">
        <w:t xml:space="preserve">the RCGP </w:t>
      </w:r>
      <w:r w:rsidR="00D3277C">
        <w:t>RSC entry and de-regis</w:t>
      </w:r>
      <w:r w:rsidR="00BD15CF">
        <w:t xml:space="preserve">tration </w:t>
      </w:r>
      <w:r w:rsidR="0059235A">
        <w:t xml:space="preserve">values </w:t>
      </w:r>
      <w:r w:rsidR="00C17100">
        <w:t xml:space="preserve">were </w:t>
      </w:r>
      <w:r w:rsidR="00C101F3">
        <w:t>multiplied by constant scaling factors</w:t>
      </w:r>
      <w:r w:rsidR="00E41C43">
        <w:t>,</w:t>
      </w:r>
      <w:r w:rsidR="008341C7">
        <w:t xml:space="preserve"> </w:t>
      </w:r>
      <w:r w:rsidR="00C101F3">
        <w:t>s</w:t>
      </w:r>
      <w:r w:rsidR="008341C7">
        <w:t xml:space="preserve">o </w:t>
      </w:r>
      <w:r w:rsidR="00C101F3">
        <w:t xml:space="preserve">they </w:t>
      </w:r>
      <w:r w:rsidR="008341C7">
        <w:t>match</w:t>
      </w:r>
      <w:r w:rsidR="00C101F3">
        <w:t>ed</w:t>
      </w:r>
      <w:r w:rsidR="008341C7">
        <w:t xml:space="preserve"> </w:t>
      </w:r>
      <w:r w:rsidR="00822329">
        <w:t xml:space="preserve">the </w:t>
      </w:r>
      <w:r w:rsidR="00BD15CF">
        <w:t xml:space="preserve">rates within </w:t>
      </w:r>
      <w:r w:rsidR="00822329">
        <w:t>SAIL</w:t>
      </w:r>
      <w:r w:rsidR="0059235A">
        <w:t>;</w:t>
      </w:r>
      <w:r w:rsidR="00822329">
        <w:t xml:space="preserve"> </w:t>
      </w:r>
      <w:r>
        <w:t>see</w:t>
      </w:r>
      <w:r w:rsidR="00822329" w:rsidRPr="00E60D17">
        <w:t xml:space="preserve"> </w:t>
      </w:r>
      <w:r>
        <w:t xml:space="preserve">Table A3 in the </w:t>
      </w:r>
      <w:r w:rsidR="00822329" w:rsidRPr="00E60D17">
        <w:t xml:space="preserve">Technical Appendix. </w:t>
      </w:r>
      <w:r>
        <w:t xml:space="preserve"> </w:t>
      </w:r>
    </w:p>
    <w:p w14:paraId="43A5C7DB" w14:textId="77777777" w:rsidR="007C0770" w:rsidRDefault="007C0770" w:rsidP="00AF3336"/>
    <w:p w14:paraId="584F3158" w14:textId="66A8B732" w:rsidR="00B66EFC" w:rsidRDefault="00822329" w:rsidP="001A1923">
      <w:pPr>
        <w:pStyle w:val="Newparagraph"/>
      </w:pPr>
      <w:r w:rsidRPr="00E60D17">
        <w:t xml:space="preserve">The </w:t>
      </w:r>
      <w:r>
        <w:t xml:space="preserve">model </w:t>
      </w:r>
      <w:r w:rsidRPr="00E60D17">
        <w:t xml:space="preserve">outputs (number of patients living, deaths, leaving GP practices, ageing, and transitioning to the next frailty state) were compared </w:t>
      </w:r>
      <w:r w:rsidR="00636B3C">
        <w:t xml:space="preserve">with </w:t>
      </w:r>
      <w:r w:rsidRPr="00E60D17">
        <w:t xml:space="preserve">the observed data from </w:t>
      </w:r>
      <w:r>
        <w:t xml:space="preserve">the </w:t>
      </w:r>
      <w:r w:rsidRPr="00E60D17">
        <w:t>SAIL</w:t>
      </w:r>
      <w:r>
        <w:t xml:space="preserve"> cohort</w:t>
      </w:r>
      <w:r w:rsidRPr="00E60D17">
        <w:t xml:space="preserve">. </w:t>
      </w:r>
      <w:r w:rsidR="00636B3C">
        <w:t xml:space="preserve"> </w:t>
      </w:r>
      <w:r w:rsidR="00BC615E">
        <w:t>Table 3 shows</w:t>
      </w:r>
      <w:r w:rsidRPr="00E60D17">
        <w:t xml:space="preserve"> </w:t>
      </w:r>
      <w:r w:rsidR="00BC615E">
        <w:t>the</w:t>
      </w:r>
      <w:r w:rsidRPr="00E60D17">
        <w:t xml:space="preserve"> MAPEs for each age/frailty category</w:t>
      </w:r>
      <w:r w:rsidR="00BC615E">
        <w:t xml:space="preserve">. </w:t>
      </w:r>
      <w:r w:rsidRPr="00E60D17">
        <w:t xml:space="preserve"> The error statistics associated with the number of living patients range in size from 1.38% (Moderate, 75 to 84-year-olds) to 11.05% (Severe, 65 to 74-year-olds) with almost all less than 10% and nine of the 16 error statistics less than 5%. The MAPEs are </w:t>
      </w:r>
      <w:proofErr w:type="gramStart"/>
      <w:r w:rsidRPr="00E60D17">
        <w:t>similar to</w:t>
      </w:r>
      <w:proofErr w:type="gramEnd"/>
      <w:r w:rsidRPr="00E60D17">
        <w:t xml:space="preserve"> those in the internal validation exercise for most of the age groups with the 75 to 85-year-old group </w:t>
      </w:r>
      <w:r w:rsidR="004215DA">
        <w:t>experiencing</w:t>
      </w:r>
      <w:r w:rsidRPr="00E60D17">
        <w:t xml:space="preserve"> </w:t>
      </w:r>
      <w:r w:rsidR="00351AA1">
        <w:t>lower MAPE values</w:t>
      </w:r>
      <w:r w:rsidR="004E4463">
        <w:t xml:space="preserve"> </w:t>
      </w:r>
      <w:r w:rsidRPr="00E60D17">
        <w:t xml:space="preserve">in most of the frailty categories. </w:t>
      </w:r>
    </w:p>
    <w:p w14:paraId="3E00E384" w14:textId="77777777" w:rsidR="007C0770" w:rsidRPr="00E60D17" w:rsidRDefault="007C0770">
      <w:pPr>
        <w:pStyle w:val="Newparagraph"/>
      </w:pPr>
    </w:p>
    <w:p w14:paraId="0F0BF78D" w14:textId="44090ACF" w:rsidR="00550FC9" w:rsidRDefault="00550FC9" w:rsidP="001A1923">
      <w:pPr>
        <w:pStyle w:val="Newparagraph"/>
      </w:pPr>
      <w:r w:rsidRPr="004774CA">
        <w:t xml:space="preserve">The </w:t>
      </w:r>
      <w:r>
        <w:t>MAPEs</w:t>
      </w:r>
      <w:r w:rsidRPr="004774CA">
        <w:t xml:space="preserve"> associated with </w:t>
      </w:r>
      <w:r>
        <w:t xml:space="preserve">deaths were </w:t>
      </w:r>
      <w:r w:rsidR="008A6A6A">
        <w:t xml:space="preserve">lower </w:t>
      </w:r>
      <w:r w:rsidR="001B2D68">
        <w:t>for some of the moderately and severely frail groups</w:t>
      </w:r>
      <w:r w:rsidR="008A6A6A">
        <w:t>,</w:t>
      </w:r>
      <w:r w:rsidR="001B2D68">
        <w:t xml:space="preserve"> and in most of the 16 age/frailty subgroups </w:t>
      </w:r>
      <w:r w:rsidR="008A6A6A">
        <w:t xml:space="preserve">were no more than </w:t>
      </w:r>
      <w:r w:rsidR="001B2D68">
        <w:t xml:space="preserve">4% </w:t>
      </w:r>
      <w:r w:rsidRPr="004774CA">
        <w:t xml:space="preserve">worse </w:t>
      </w:r>
      <w:r>
        <w:t>than the original model</w:t>
      </w:r>
      <w:r w:rsidRPr="004774CA">
        <w:t xml:space="preserve">. </w:t>
      </w:r>
      <w:r>
        <w:t xml:space="preserve"> For the </w:t>
      </w:r>
      <w:r w:rsidRPr="004774CA">
        <w:t>frailty transitions</w:t>
      </w:r>
      <w:r>
        <w:t>, the MAPEs</w:t>
      </w:r>
      <w:r w:rsidRPr="004774CA">
        <w:t xml:space="preserve"> </w:t>
      </w:r>
      <w:r w:rsidR="00323604">
        <w:t xml:space="preserve">were within acceptable levels and </w:t>
      </w:r>
      <w:r w:rsidRPr="004774CA">
        <w:t>range</w:t>
      </w:r>
      <w:r>
        <w:t>d</w:t>
      </w:r>
      <w:r w:rsidRPr="004774CA">
        <w:t xml:space="preserve"> between 3.05% (Fit to Mild in the 50 to 64-year-old age group) and 10.61% (Fit to Mild in the 75 to 84-year-old age group).</w:t>
      </w:r>
      <w:r>
        <w:t xml:space="preserve"> </w:t>
      </w:r>
      <w:r w:rsidRPr="004774CA">
        <w:t xml:space="preserve">Improvements </w:t>
      </w:r>
      <w:r>
        <w:t xml:space="preserve">compared with the RCGP RSC model </w:t>
      </w:r>
      <w:r w:rsidRPr="004774CA">
        <w:t xml:space="preserve">were also observed in the </w:t>
      </w:r>
      <w:r>
        <w:t>MAPEs</w:t>
      </w:r>
      <w:r w:rsidRPr="000519B5">
        <w:t xml:space="preserve"> associated with ageing.</w:t>
      </w:r>
    </w:p>
    <w:p w14:paraId="03571CDA" w14:textId="77777777" w:rsidR="007C0770" w:rsidRDefault="007C0770">
      <w:pPr>
        <w:pStyle w:val="Newparagraph"/>
      </w:pPr>
    </w:p>
    <w:p w14:paraId="46BCE510" w14:textId="48D39912" w:rsidR="00B66EFC" w:rsidRDefault="0066341C">
      <w:pPr>
        <w:pStyle w:val="Newparagraph"/>
      </w:pPr>
      <w:r>
        <w:t>Although the MAPE</w:t>
      </w:r>
      <w:r w:rsidR="00B6027A">
        <w:t>s</w:t>
      </w:r>
      <w:r>
        <w:t xml:space="preserve"> for simulation outputs were acceptable, t</w:t>
      </w:r>
      <w:r w:rsidR="00B66EFC" w:rsidRPr="00E60D17">
        <w:t xml:space="preserve">he </w:t>
      </w:r>
      <w:r w:rsidR="00BF1552">
        <w:t>MAPEs</w:t>
      </w:r>
      <w:r w:rsidR="00B66EFC" w:rsidRPr="00E60D17">
        <w:t xml:space="preserve"> associated with the number of patients </w:t>
      </w:r>
      <w:r>
        <w:t>entering</w:t>
      </w:r>
      <w:r w:rsidRPr="00E60D17">
        <w:t xml:space="preserve"> </w:t>
      </w:r>
      <w:r w:rsidR="00B66EFC" w:rsidRPr="00E60D17">
        <w:t>the SAIL cohort varied between 5.05% and 48.84%</w:t>
      </w:r>
      <w:r w:rsidR="00566B05">
        <w:t>;</w:t>
      </w:r>
      <w:r w:rsidR="00194DA0">
        <w:t xml:space="preserve"> </w:t>
      </w:r>
      <w:r w:rsidR="00566B05">
        <w:t>the fit was worse</w:t>
      </w:r>
      <w:r w:rsidR="008341C7">
        <w:t xml:space="preserve"> </w:t>
      </w:r>
      <w:r w:rsidR="00566B05">
        <w:t>in all</w:t>
      </w:r>
      <w:r w:rsidR="00B66EFC" w:rsidRPr="00E60D17">
        <w:t xml:space="preserve"> 16 population subgroups</w:t>
      </w:r>
      <w:r w:rsidR="00566B05">
        <w:t xml:space="preserve">, </w:t>
      </w:r>
      <w:r w:rsidR="00194DA0">
        <w:t>compared with</w:t>
      </w:r>
      <w:r w:rsidR="00B66EFC" w:rsidRPr="00E60D17">
        <w:t xml:space="preserve"> the </w:t>
      </w:r>
      <w:r w:rsidR="00536E89">
        <w:t>RCGP</w:t>
      </w:r>
      <w:r w:rsidR="0087636D">
        <w:t xml:space="preserve"> RSC</w:t>
      </w:r>
      <w:r w:rsidR="00B66EFC" w:rsidRPr="00E60D17">
        <w:t xml:space="preserve">. </w:t>
      </w:r>
      <w:r w:rsidR="00194DA0">
        <w:t xml:space="preserve"> </w:t>
      </w:r>
      <w:r w:rsidR="00B3109A">
        <w:t xml:space="preserve"> T</w:t>
      </w:r>
      <w:r w:rsidR="00B3109A" w:rsidRPr="00E60D17">
        <w:t xml:space="preserve">he error statistics </w:t>
      </w:r>
      <w:r w:rsidR="00B3109A">
        <w:t>for de</w:t>
      </w:r>
      <w:r w:rsidR="00C246B8">
        <w:t>-</w:t>
      </w:r>
      <w:r w:rsidR="00B3109A">
        <w:t xml:space="preserve">registrations were </w:t>
      </w:r>
      <w:r w:rsidR="00B3109A" w:rsidRPr="00E60D17">
        <w:t>also worse</w:t>
      </w:r>
      <w:r w:rsidR="00B3109A">
        <w:t>,</w:t>
      </w:r>
      <w:r w:rsidR="00B3109A" w:rsidRPr="00E60D17">
        <w:t xml:space="preserve"> by as much as 9%</w:t>
      </w:r>
      <w:r w:rsidR="00B3109A">
        <w:t>.</w:t>
      </w:r>
      <w:r w:rsidR="00B3109A" w:rsidRPr="00E60D17">
        <w:t xml:space="preserve"> </w:t>
      </w:r>
      <w:r w:rsidR="005D701B">
        <w:t xml:space="preserve">With both these flows, the larger errors were due in part to the smaller </w:t>
      </w:r>
      <w:r w:rsidR="00E94721">
        <w:t>proportions</w:t>
      </w:r>
      <w:r w:rsidR="008A6A6A">
        <w:t xml:space="preserve"> of people entering the </w:t>
      </w:r>
      <w:r w:rsidR="00E94721">
        <w:t xml:space="preserve">SAIL </w:t>
      </w:r>
      <w:r w:rsidR="008A6A6A">
        <w:t xml:space="preserve">cohort (other than by reaching </w:t>
      </w:r>
      <w:r w:rsidR="00E94721">
        <w:t xml:space="preserve">the age of </w:t>
      </w:r>
      <w:r w:rsidR="008A6A6A">
        <w:t xml:space="preserve">50) and leaving it (other than by dying) </w:t>
      </w:r>
      <w:r w:rsidR="005D701B">
        <w:t xml:space="preserve">compared with </w:t>
      </w:r>
      <w:r w:rsidR="00E94721">
        <w:t xml:space="preserve">the </w:t>
      </w:r>
      <w:r w:rsidR="005D701B">
        <w:t>RCGP RSC</w:t>
      </w:r>
      <w:r w:rsidR="00E94721">
        <w:t xml:space="preserve"> cohort, which had much lower population coverage than SAIL</w:t>
      </w:r>
      <w:r w:rsidR="005D701B">
        <w:t>.</w:t>
      </w:r>
      <w:r w:rsidR="001A367A">
        <w:t xml:space="preserve"> Applying the de-registration rates from the RCGP data to the SAIL cohort may have also over-estimated the number of de-registrations</w:t>
      </w:r>
      <w:r w:rsidR="005D701B">
        <w:t xml:space="preserve"> </w:t>
      </w:r>
      <w:r w:rsidR="001A367A">
        <w:t xml:space="preserve">resulting in increased error statistics. </w:t>
      </w:r>
      <w:r w:rsidR="00E7798D" w:rsidRPr="00E60D17">
        <w:t xml:space="preserve">SAIL entry flow data in 2008 and 2016 </w:t>
      </w:r>
      <w:r w:rsidR="00E7798D">
        <w:t>were</w:t>
      </w:r>
      <w:r w:rsidR="00E7798D" w:rsidRPr="00E60D17">
        <w:t xml:space="preserve"> initial</w:t>
      </w:r>
      <w:r w:rsidR="00E7798D">
        <w:t xml:space="preserve">ly </w:t>
      </w:r>
      <w:r w:rsidR="00E7798D" w:rsidRPr="00E60D17">
        <w:t xml:space="preserve">thought to be due to additional data and/or GP practices being </w:t>
      </w:r>
      <w:r w:rsidR="00E7798D">
        <w:t>uploa</w:t>
      </w:r>
      <w:r w:rsidR="00E7798D" w:rsidRPr="00E60D17">
        <w:t>ded into the SAIL database</w:t>
      </w:r>
      <w:r w:rsidR="00E7798D">
        <w:t xml:space="preserve">, but on </w:t>
      </w:r>
      <w:r w:rsidR="00E7798D" w:rsidRPr="00BF0077">
        <w:t xml:space="preserve">further examination </w:t>
      </w:r>
      <w:r w:rsidR="00E7798D">
        <w:t xml:space="preserve">these appeared </w:t>
      </w:r>
      <w:r w:rsidR="00E7798D" w:rsidRPr="00BF0077">
        <w:t xml:space="preserve">to be </w:t>
      </w:r>
      <w:r w:rsidR="00E7798D">
        <w:t xml:space="preserve">due to wider demographic trends, </w:t>
      </w:r>
      <w:r w:rsidR="00E7798D" w:rsidRPr="00BF0077">
        <w:t>related to “baby boom</w:t>
      </w:r>
      <w:r w:rsidR="00E7798D">
        <w:t>”</w:t>
      </w:r>
      <w:r w:rsidR="00E7798D" w:rsidRPr="00BF0077">
        <w:t xml:space="preserve"> periods between the Second World War and the 1960s</w:t>
      </w:r>
      <w:r w:rsidR="00E7798D">
        <w:t>, a phenomenon which also needed to be taken into account in the development of the national simulation model for England</w:t>
      </w:r>
      <w:r w:rsidR="00E7798D" w:rsidRPr="00BF0077">
        <w:t>.</w:t>
      </w:r>
      <w:r w:rsidR="00E7798D">
        <w:t xml:space="preserve"> </w:t>
      </w:r>
      <w:r w:rsidR="0059235A">
        <w:t>This suggested that merely scaling the RCGP</w:t>
      </w:r>
      <w:r>
        <w:t xml:space="preserve"> RSC</w:t>
      </w:r>
      <w:r w:rsidR="0059235A">
        <w:t xml:space="preserve"> </w:t>
      </w:r>
      <w:r w:rsidR="00BF1552">
        <w:t xml:space="preserve">entry and deregistration </w:t>
      </w:r>
      <w:r w:rsidR="0059235A">
        <w:t xml:space="preserve">rates was not an ideal approach. </w:t>
      </w:r>
      <w:r w:rsidR="00866658">
        <w:t xml:space="preserve"> </w:t>
      </w:r>
      <w:r w:rsidR="00360251">
        <w:t xml:space="preserve">However, since </w:t>
      </w:r>
      <w:r w:rsidR="007A4749" w:rsidRPr="00EC0A91">
        <w:t>the</w:t>
      </w:r>
      <w:r w:rsidR="00536E89" w:rsidRPr="00EC0A91">
        <w:t xml:space="preserve"> </w:t>
      </w:r>
      <w:r w:rsidR="004A056C" w:rsidRPr="00EC0A91">
        <w:t>aim</w:t>
      </w:r>
      <w:r w:rsidR="007A4749" w:rsidRPr="00EC0A91">
        <w:t xml:space="preserve"> was</w:t>
      </w:r>
      <w:r w:rsidR="007A4749" w:rsidRPr="00AF3336">
        <w:rPr>
          <w:color w:val="FF0000"/>
        </w:rPr>
        <w:t xml:space="preserve"> </w:t>
      </w:r>
      <w:r w:rsidR="007A4749">
        <w:t>to extend</w:t>
      </w:r>
      <w:r w:rsidR="00536E89">
        <w:t xml:space="preserve"> the model to </w:t>
      </w:r>
      <w:r w:rsidR="007A4749">
        <w:lastRenderedPageBreak/>
        <w:t xml:space="preserve">cover </w:t>
      </w:r>
      <w:r w:rsidR="00536E89">
        <w:t xml:space="preserve">the </w:t>
      </w:r>
      <w:r w:rsidR="00BF1552">
        <w:t>entire population of</w:t>
      </w:r>
      <w:r w:rsidR="00536E89">
        <w:t xml:space="preserve"> England </w:t>
      </w:r>
      <w:r w:rsidR="007A4749">
        <w:t>(ignoring migration), so that</w:t>
      </w:r>
      <w:r w:rsidR="00536E89">
        <w:t xml:space="preserve"> people </w:t>
      </w:r>
      <w:r w:rsidR="007A4749">
        <w:t>w</w:t>
      </w:r>
      <w:r w:rsidR="00536E89">
        <w:t xml:space="preserve">ould only enter </w:t>
      </w:r>
      <w:r w:rsidR="007A4749">
        <w:t xml:space="preserve">the model </w:t>
      </w:r>
      <w:r w:rsidR="00536E89">
        <w:t xml:space="preserve">by reaching age 50 and </w:t>
      </w:r>
      <w:r w:rsidR="007A4749">
        <w:t>w</w:t>
      </w:r>
      <w:r w:rsidR="00536E89">
        <w:t>ould only leave by dying</w:t>
      </w:r>
      <w:r w:rsidR="007A4749">
        <w:t>, errors</w:t>
      </w:r>
      <w:r w:rsidR="001A367A">
        <w:t xml:space="preserve"> due to new registrations and de-registrations</w:t>
      </w:r>
      <w:r w:rsidR="007A4749">
        <w:t xml:space="preserve"> were not a concern</w:t>
      </w:r>
      <w:r w:rsidR="00BF1552">
        <w:t xml:space="preserve"> as these </w:t>
      </w:r>
      <w:proofErr w:type="gramStart"/>
      <w:r w:rsidR="00BF1552">
        <w:t>particular flows</w:t>
      </w:r>
      <w:proofErr w:type="gramEnd"/>
      <w:r w:rsidR="00BF1552">
        <w:t xml:space="preserve"> </w:t>
      </w:r>
      <w:r w:rsidR="00E94721">
        <w:t xml:space="preserve">do </w:t>
      </w:r>
      <w:r w:rsidR="00BF1552">
        <w:t xml:space="preserve">not </w:t>
      </w:r>
      <w:r w:rsidR="005C7284">
        <w:t>occur in the whole population</w:t>
      </w:r>
      <w:r w:rsidR="007A4749">
        <w:t xml:space="preserve">.   </w:t>
      </w:r>
    </w:p>
    <w:p w14:paraId="10964B58" w14:textId="72094C11" w:rsidR="00BC615E" w:rsidRPr="004774CA" w:rsidRDefault="00BC615E" w:rsidP="00AF3336">
      <w:pPr>
        <w:pStyle w:val="Caption"/>
      </w:pPr>
      <w:r w:rsidRPr="00BF0077">
        <w:t>Table 3: Validati</w:t>
      </w:r>
      <w:r>
        <w:t>o</w:t>
      </w:r>
      <w:r w:rsidRPr="00BF0077">
        <w:t xml:space="preserve">n </w:t>
      </w:r>
      <w:r>
        <w:t xml:space="preserve">using </w:t>
      </w:r>
      <w:r w:rsidRPr="004774CA">
        <w:t>the SAIL cohort</w:t>
      </w:r>
      <w:r>
        <w:t>:</w:t>
      </w:r>
      <w:r w:rsidRPr="004774CA">
        <w:t xml:space="preserve"> </w:t>
      </w:r>
      <w:r>
        <w:t xml:space="preserve"> </w:t>
      </w:r>
      <w:r w:rsidRPr="004774CA">
        <w:t>MAPE (%) for each age/frailty subgroup.</w:t>
      </w:r>
    </w:p>
    <w:tbl>
      <w:tblPr>
        <w:tblStyle w:val="TableGrid"/>
        <w:tblW w:w="5000" w:type="pct"/>
        <w:tblLook w:val="04A0" w:firstRow="1" w:lastRow="0" w:firstColumn="1" w:lastColumn="0" w:noHBand="0" w:noVBand="1"/>
      </w:tblPr>
      <w:tblGrid>
        <w:gridCol w:w="2262"/>
        <w:gridCol w:w="994"/>
        <w:gridCol w:w="1275"/>
        <w:gridCol w:w="851"/>
        <w:gridCol w:w="1556"/>
        <w:gridCol w:w="1203"/>
        <w:gridCol w:w="875"/>
      </w:tblGrid>
      <w:tr w:rsidR="004F2E7F" w:rsidRPr="007404CA" w14:paraId="08DCE05D" w14:textId="77777777" w:rsidTr="004F2E7F">
        <w:trPr>
          <w:trHeight w:val="227"/>
        </w:trPr>
        <w:tc>
          <w:tcPr>
            <w:tcW w:w="1255" w:type="pct"/>
          </w:tcPr>
          <w:p w14:paraId="70D51A33" w14:textId="77777777" w:rsidR="00BC615E" w:rsidRPr="004774CA" w:rsidRDefault="00BC615E">
            <w:pPr>
              <w:spacing w:line="240" w:lineRule="auto"/>
            </w:pPr>
          </w:p>
        </w:tc>
        <w:tc>
          <w:tcPr>
            <w:tcW w:w="551" w:type="pct"/>
          </w:tcPr>
          <w:p w14:paraId="3A5B0F50" w14:textId="77777777" w:rsidR="00BC615E" w:rsidRPr="004774CA" w:rsidRDefault="00BC615E" w:rsidP="00AF3336">
            <w:pPr>
              <w:spacing w:line="240" w:lineRule="auto"/>
            </w:pPr>
            <w:r w:rsidRPr="004774CA">
              <w:t>Living</w:t>
            </w:r>
          </w:p>
        </w:tc>
        <w:tc>
          <w:tcPr>
            <w:tcW w:w="707" w:type="pct"/>
          </w:tcPr>
          <w:p w14:paraId="52674268" w14:textId="77777777" w:rsidR="00BC615E" w:rsidRPr="004774CA" w:rsidRDefault="00BC615E" w:rsidP="00AF3336">
            <w:pPr>
              <w:spacing w:line="240" w:lineRule="auto"/>
              <w:rPr>
                <w:i/>
                <w:iCs/>
              </w:rPr>
            </w:pPr>
            <w:r w:rsidRPr="004774CA">
              <w:t>Entering the cohort</w:t>
            </w:r>
          </w:p>
          <w:p w14:paraId="5E6B8185" w14:textId="77777777" w:rsidR="00BC615E" w:rsidRPr="004774CA" w:rsidRDefault="00BC615E" w:rsidP="00AF3336">
            <w:pPr>
              <w:spacing w:line="240" w:lineRule="auto"/>
            </w:pPr>
          </w:p>
        </w:tc>
        <w:tc>
          <w:tcPr>
            <w:tcW w:w="472" w:type="pct"/>
          </w:tcPr>
          <w:p w14:paraId="5D54C12D" w14:textId="77777777" w:rsidR="00BC615E" w:rsidRPr="004774CA" w:rsidRDefault="00BC615E" w:rsidP="00AF3336">
            <w:pPr>
              <w:spacing w:line="240" w:lineRule="auto"/>
            </w:pPr>
            <w:r w:rsidRPr="004774CA">
              <w:t>Dying</w:t>
            </w:r>
          </w:p>
        </w:tc>
        <w:tc>
          <w:tcPr>
            <w:tcW w:w="863" w:type="pct"/>
          </w:tcPr>
          <w:p w14:paraId="1783D0D7" w14:textId="77777777" w:rsidR="00BC615E" w:rsidRPr="004774CA" w:rsidRDefault="00BC615E" w:rsidP="00AF3336">
            <w:pPr>
              <w:spacing w:line="240" w:lineRule="auto"/>
            </w:pPr>
            <w:r w:rsidRPr="004774CA">
              <w:t>Deregistration</w:t>
            </w:r>
          </w:p>
        </w:tc>
        <w:tc>
          <w:tcPr>
            <w:tcW w:w="667" w:type="pct"/>
          </w:tcPr>
          <w:p w14:paraId="36EF7464" w14:textId="77777777" w:rsidR="00BC615E" w:rsidRPr="004774CA" w:rsidRDefault="00BC615E" w:rsidP="00AF3336">
            <w:pPr>
              <w:spacing w:line="240" w:lineRule="auto"/>
            </w:pPr>
            <w:r w:rsidRPr="004774CA">
              <w:t>Frailty Transitions</w:t>
            </w:r>
          </w:p>
        </w:tc>
        <w:tc>
          <w:tcPr>
            <w:tcW w:w="485" w:type="pct"/>
          </w:tcPr>
          <w:p w14:paraId="1B50E138" w14:textId="77777777" w:rsidR="00BC615E" w:rsidRPr="004774CA" w:rsidRDefault="00BC615E" w:rsidP="00AF3336">
            <w:pPr>
              <w:spacing w:line="240" w:lineRule="auto"/>
            </w:pPr>
            <w:r w:rsidRPr="004774CA">
              <w:t>Ageing</w:t>
            </w:r>
          </w:p>
        </w:tc>
      </w:tr>
      <w:tr w:rsidR="001256E0" w:rsidRPr="007404CA" w14:paraId="4F9A6539" w14:textId="77777777" w:rsidTr="004F2E7F">
        <w:trPr>
          <w:trHeight w:val="227"/>
        </w:trPr>
        <w:tc>
          <w:tcPr>
            <w:tcW w:w="1255" w:type="pct"/>
          </w:tcPr>
          <w:p w14:paraId="3E7A8E7B" w14:textId="476BB170" w:rsidR="001256E0" w:rsidRPr="004774CA" w:rsidRDefault="001256E0">
            <w:pPr>
              <w:spacing w:line="240" w:lineRule="auto"/>
            </w:pPr>
            <w:r w:rsidRPr="004774CA">
              <w:t xml:space="preserve">50 </w:t>
            </w:r>
            <w:r>
              <w:t>–</w:t>
            </w:r>
            <w:r w:rsidRPr="004774CA">
              <w:t xml:space="preserve"> 64</w:t>
            </w:r>
          </w:p>
        </w:tc>
        <w:tc>
          <w:tcPr>
            <w:tcW w:w="551" w:type="pct"/>
          </w:tcPr>
          <w:p w14:paraId="7EB8E7CF" w14:textId="77777777" w:rsidR="001256E0" w:rsidRPr="004774CA" w:rsidRDefault="001256E0">
            <w:pPr>
              <w:spacing w:line="240" w:lineRule="auto"/>
            </w:pPr>
          </w:p>
        </w:tc>
        <w:tc>
          <w:tcPr>
            <w:tcW w:w="707" w:type="pct"/>
          </w:tcPr>
          <w:p w14:paraId="16A1FC51" w14:textId="77777777" w:rsidR="001256E0" w:rsidRPr="004774CA" w:rsidRDefault="001256E0">
            <w:pPr>
              <w:spacing w:line="240" w:lineRule="auto"/>
            </w:pPr>
          </w:p>
        </w:tc>
        <w:tc>
          <w:tcPr>
            <w:tcW w:w="472" w:type="pct"/>
          </w:tcPr>
          <w:p w14:paraId="5F597CAD" w14:textId="77777777" w:rsidR="001256E0" w:rsidRPr="004774CA" w:rsidRDefault="001256E0">
            <w:pPr>
              <w:spacing w:line="240" w:lineRule="auto"/>
            </w:pPr>
          </w:p>
        </w:tc>
        <w:tc>
          <w:tcPr>
            <w:tcW w:w="863" w:type="pct"/>
          </w:tcPr>
          <w:p w14:paraId="0710DD1B" w14:textId="77777777" w:rsidR="001256E0" w:rsidRPr="004774CA" w:rsidRDefault="001256E0">
            <w:pPr>
              <w:spacing w:line="240" w:lineRule="auto"/>
            </w:pPr>
          </w:p>
        </w:tc>
        <w:tc>
          <w:tcPr>
            <w:tcW w:w="667" w:type="pct"/>
          </w:tcPr>
          <w:p w14:paraId="2CFF09A2" w14:textId="77777777" w:rsidR="001256E0" w:rsidRPr="004774CA" w:rsidRDefault="001256E0">
            <w:pPr>
              <w:spacing w:line="240" w:lineRule="auto"/>
            </w:pPr>
          </w:p>
        </w:tc>
        <w:tc>
          <w:tcPr>
            <w:tcW w:w="485" w:type="pct"/>
          </w:tcPr>
          <w:p w14:paraId="4F2167DD" w14:textId="77777777" w:rsidR="001256E0" w:rsidRPr="004774CA" w:rsidRDefault="001256E0">
            <w:pPr>
              <w:spacing w:line="240" w:lineRule="auto"/>
            </w:pPr>
          </w:p>
        </w:tc>
      </w:tr>
      <w:tr w:rsidR="004F2E7F" w:rsidRPr="007404CA" w14:paraId="0847EEBF" w14:textId="77777777" w:rsidTr="004F2E7F">
        <w:trPr>
          <w:trHeight w:val="227"/>
        </w:trPr>
        <w:tc>
          <w:tcPr>
            <w:tcW w:w="1255" w:type="pct"/>
          </w:tcPr>
          <w:p w14:paraId="0D6062EC" w14:textId="77777777" w:rsidR="00BC615E" w:rsidRPr="00AF3336" w:rsidRDefault="00BC615E">
            <w:pPr>
              <w:spacing w:line="240" w:lineRule="auto"/>
              <w:rPr>
                <w:b/>
                <w:bCs/>
                <w:i/>
                <w:iCs/>
              </w:rPr>
            </w:pPr>
            <w:r w:rsidRPr="004774CA">
              <w:t>Fit</w:t>
            </w:r>
          </w:p>
        </w:tc>
        <w:tc>
          <w:tcPr>
            <w:tcW w:w="551" w:type="pct"/>
          </w:tcPr>
          <w:p w14:paraId="66401AF7" w14:textId="77777777" w:rsidR="00BC615E" w:rsidRPr="004774CA" w:rsidRDefault="00BC615E" w:rsidP="00AF3336">
            <w:pPr>
              <w:spacing w:line="240" w:lineRule="auto"/>
            </w:pPr>
            <w:r w:rsidRPr="004774CA">
              <w:t>2.09</w:t>
            </w:r>
          </w:p>
        </w:tc>
        <w:tc>
          <w:tcPr>
            <w:tcW w:w="707" w:type="pct"/>
          </w:tcPr>
          <w:p w14:paraId="69E4088A" w14:textId="77777777" w:rsidR="00BC615E" w:rsidRPr="004774CA" w:rsidRDefault="00BC615E" w:rsidP="00AF3336">
            <w:pPr>
              <w:spacing w:line="240" w:lineRule="auto"/>
            </w:pPr>
            <w:r w:rsidRPr="004774CA">
              <w:t>5.05</w:t>
            </w:r>
          </w:p>
        </w:tc>
        <w:tc>
          <w:tcPr>
            <w:tcW w:w="472" w:type="pct"/>
          </w:tcPr>
          <w:p w14:paraId="6762095C" w14:textId="77777777" w:rsidR="00BC615E" w:rsidRPr="004774CA" w:rsidRDefault="00BC615E" w:rsidP="00AF3336">
            <w:pPr>
              <w:spacing w:line="240" w:lineRule="auto"/>
            </w:pPr>
            <w:r w:rsidRPr="004774CA">
              <w:t>9.48</w:t>
            </w:r>
          </w:p>
        </w:tc>
        <w:tc>
          <w:tcPr>
            <w:tcW w:w="863" w:type="pct"/>
          </w:tcPr>
          <w:p w14:paraId="2CD055CA" w14:textId="77777777" w:rsidR="00BC615E" w:rsidRPr="004774CA" w:rsidRDefault="00BC615E" w:rsidP="00AF3336">
            <w:pPr>
              <w:spacing w:line="240" w:lineRule="auto"/>
            </w:pPr>
            <w:r w:rsidRPr="004774CA">
              <w:t>4.77</w:t>
            </w:r>
          </w:p>
        </w:tc>
        <w:tc>
          <w:tcPr>
            <w:tcW w:w="667" w:type="pct"/>
          </w:tcPr>
          <w:p w14:paraId="4F77E074" w14:textId="77777777" w:rsidR="00BC615E" w:rsidRPr="004774CA" w:rsidRDefault="00BC615E" w:rsidP="00AF3336">
            <w:pPr>
              <w:spacing w:line="240" w:lineRule="auto"/>
            </w:pPr>
          </w:p>
        </w:tc>
        <w:tc>
          <w:tcPr>
            <w:tcW w:w="485" w:type="pct"/>
          </w:tcPr>
          <w:p w14:paraId="761E6CFC" w14:textId="77777777" w:rsidR="00BC615E" w:rsidRPr="004774CA" w:rsidRDefault="00BC615E" w:rsidP="00AF3336">
            <w:pPr>
              <w:spacing w:line="240" w:lineRule="auto"/>
            </w:pPr>
            <w:r w:rsidRPr="004774CA">
              <w:t>8.17</w:t>
            </w:r>
          </w:p>
        </w:tc>
      </w:tr>
      <w:tr w:rsidR="004F2E7F" w:rsidRPr="007404CA" w14:paraId="727CD810" w14:textId="77777777" w:rsidTr="004F2E7F">
        <w:trPr>
          <w:trHeight w:val="227"/>
        </w:trPr>
        <w:tc>
          <w:tcPr>
            <w:tcW w:w="1255" w:type="pct"/>
          </w:tcPr>
          <w:p w14:paraId="4A9EB7C7" w14:textId="77777777" w:rsidR="00BC615E" w:rsidRPr="004774CA" w:rsidRDefault="00BC615E">
            <w:pPr>
              <w:spacing w:line="240" w:lineRule="auto"/>
              <w:rPr>
                <w:b/>
                <w:bCs/>
              </w:rPr>
            </w:pPr>
            <w:r w:rsidRPr="004774CA">
              <w:t>Mild</w:t>
            </w:r>
          </w:p>
        </w:tc>
        <w:tc>
          <w:tcPr>
            <w:tcW w:w="551" w:type="pct"/>
          </w:tcPr>
          <w:p w14:paraId="45FD3571" w14:textId="77777777" w:rsidR="00BC615E" w:rsidRPr="004774CA" w:rsidRDefault="00BC615E" w:rsidP="00AF3336">
            <w:pPr>
              <w:spacing w:line="240" w:lineRule="auto"/>
            </w:pPr>
            <w:r w:rsidRPr="004774CA">
              <w:t>1.41</w:t>
            </w:r>
          </w:p>
        </w:tc>
        <w:tc>
          <w:tcPr>
            <w:tcW w:w="707" w:type="pct"/>
          </w:tcPr>
          <w:p w14:paraId="1DF81C53" w14:textId="77777777" w:rsidR="00BC615E" w:rsidRPr="004774CA" w:rsidRDefault="00BC615E" w:rsidP="00AF3336">
            <w:pPr>
              <w:spacing w:line="240" w:lineRule="auto"/>
            </w:pPr>
            <w:r w:rsidRPr="004774CA">
              <w:t>5.64</w:t>
            </w:r>
          </w:p>
        </w:tc>
        <w:tc>
          <w:tcPr>
            <w:tcW w:w="472" w:type="pct"/>
          </w:tcPr>
          <w:p w14:paraId="526361AF" w14:textId="77777777" w:rsidR="00BC615E" w:rsidRPr="004774CA" w:rsidRDefault="00BC615E" w:rsidP="00AF3336">
            <w:pPr>
              <w:spacing w:line="240" w:lineRule="auto"/>
            </w:pPr>
            <w:r w:rsidRPr="004774CA">
              <w:t>8.36</w:t>
            </w:r>
          </w:p>
        </w:tc>
        <w:tc>
          <w:tcPr>
            <w:tcW w:w="863" w:type="pct"/>
          </w:tcPr>
          <w:p w14:paraId="49A765FE" w14:textId="77777777" w:rsidR="00BC615E" w:rsidRPr="004774CA" w:rsidRDefault="00BC615E" w:rsidP="00AF3336">
            <w:pPr>
              <w:spacing w:line="240" w:lineRule="auto"/>
            </w:pPr>
            <w:r w:rsidRPr="004774CA">
              <w:t>7.38</w:t>
            </w:r>
          </w:p>
        </w:tc>
        <w:tc>
          <w:tcPr>
            <w:tcW w:w="667" w:type="pct"/>
          </w:tcPr>
          <w:p w14:paraId="36009EEF" w14:textId="77777777" w:rsidR="00BC615E" w:rsidRPr="004774CA" w:rsidRDefault="00BC615E" w:rsidP="00AF3336">
            <w:pPr>
              <w:spacing w:line="240" w:lineRule="auto"/>
            </w:pPr>
          </w:p>
        </w:tc>
        <w:tc>
          <w:tcPr>
            <w:tcW w:w="485" w:type="pct"/>
          </w:tcPr>
          <w:p w14:paraId="50DE129C" w14:textId="77777777" w:rsidR="00BC615E" w:rsidRPr="004774CA" w:rsidRDefault="00BC615E" w:rsidP="00AF3336">
            <w:pPr>
              <w:spacing w:line="240" w:lineRule="auto"/>
            </w:pPr>
            <w:r w:rsidRPr="004774CA">
              <w:t>12.3</w:t>
            </w:r>
          </w:p>
        </w:tc>
      </w:tr>
      <w:tr w:rsidR="004F2E7F" w:rsidRPr="007404CA" w14:paraId="41E89AF0" w14:textId="77777777" w:rsidTr="004F2E7F">
        <w:trPr>
          <w:trHeight w:val="227"/>
        </w:trPr>
        <w:tc>
          <w:tcPr>
            <w:tcW w:w="1255" w:type="pct"/>
          </w:tcPr>
          <w:p w14:paraId="3A79E582" w14:textId="77777777" w:rsidR="00BC615E" w:rsidRPr="004774CA" w:rsidRDefault="00BC615E">
            <w:pPr>
              <w:spacing w:line="240" w:lineRule="auto"/>
              <w:rPr>
                <w:b/>
                <w:bCs/>
              </w:rPr>
            </w:pPr>
            <w:r w:rsidRPr="004774CA">
              <w:t>Moderate</w:t>
            </w:r>
          </w:p>
        </w:tc>
        <w:tc>
          <w:tcPr>
            <w:tcW w:w="551" w:type="pct"/>
          </w:tcPr>
          <w:p w14:paraId="71668444" w14:textId="77777777" w:rsidR="00BC615E" w:rsidRPr="004774CA" w:rsidRDefault="00BC615E" w:rsidP="00AF3336">
            <w:pPr>
              <w:spacing w:line="240" w:lineRule="auto"/>
            </w:pPr>
            <w:r w:rsidRPr="004774CA">
              <w:t>6.45</w:t>
            </w:r>
          </w:p>
        </w:tc>
        <w:tc>
          <w:tcPr>
            <w:tcW w:w="707" w:type="pct"/>
          </w:tcPr>
          <w:p w14:paraId="04ED0EF5" w14:textId="77777777" w:rsidR="00BC615E" w:rsidRPr="004774CA" w:rsidRDefault="00BC615E" w:rsidP="00AF3336">
            <w:pPr>
              <w:spacing w:line="240" w:lineRule="auto"/>
            </w:pPr>
            <w:r w:rsidRPr="004774CA">
              <w:t>8.35</w:t>
            </w:r>
          </w:p>
        </w:tc>
        <w:tc>
          <w:tcPr>
            <w:tcW w:w="472" w:type="pct"/>
          </w:tcPr>
          <w:p w14:paraId="15637000" w14:textId="77777777" w:rsidR="00BC615E" w:rsidRPr="004774CA" w:rsidRDefault="00BC615E" w:rsidP="00AF3336">
            <w:pPr>
              <w:spacing w:line="240" w:lineRule="auto"/>
            </w:pPr>
            <w:r w:rsidRPr="004774CA">
              <w:t>5.37</w:t>
            </w:r>
          </w:p>
        </w:tc>
        <w:tc>
          <w:tcPr>
            <w:tcW w:w="863" w:type="pct"/>
          </w:tcPr>
          <w:p w14:paraId="22CC5CCF" w14:textId="77777777" w:rsidR="00BC615E" w:rsidRPr="004774CA" w:rsidRDefault="00BC615E" w:rsidP="00AF3336">
            <w:pPr>
              <w:spacing w:line="240" w:lineRule="auto"/>
            </w:pPr>
            <w:r w:rsidRPr="004774CA">
              <w:t>11.73</w:t>
            </w:r>
          </w:p>
        </w:tc>
        <w:tc>
          <w:tcPr>
            <w:tcW w:w="667" w:type="pct"/>
          </w:tcPr>
          <w:p w14:paraId="15113C81" w14:textId="77777777" w:rsidR="00BC615E" w:rsidRPr="004774CA" w:rsidRDefault="00BC615E" w:rsidP="00AF3336">
            <w:pPr>
              <w:spacing w:line="240" w:lineRule="auto"/>
            </w:pPr>
          </w:p>
        </w:tc>
        <w:tc>
          <w:tcPr>
            <w:tcW w:w="485" w:type="pct"/>
          </w:tcPr>
          <w:p w14:paraId="514AE965" w14:textId="77777777" w:rsidR="00BC615E" w:rsidRPr="004774CA" w:rsidRDefault="00BC615E" w:rsidP="00AF3336">
            <w:pPr>
              <w:spacing w:line="240" w:lineRule="auto"/>
            </w:pPr>
            <w:r w:rsidRPr="004774CA">
              <w:t>10.26</w:t>
            </w:r>
          </w:p>
        </w:tc>
      </w:tr>
      <w:tr w:rsidR="004F2E7F" w:rsidRPr="007404CA" w14:paraId="4688F087" w14:textId="77777777" w:rsidTr="004F2E7F">
        <w:trPr>
          <w:trHeight w:val="227"/>
        </w:trPr>
        <w:tc>
          <w:tcPr>
            <w:tcW w:w="1255" w:type="pct"/>
          </w:tcPr>
          <w:p w14:paraId="138CBB76" w14:textId="77777777" w:rsidR="00BC615E" w:rsidRPr="004774CA" w:rsidRDefault="00BC615E">
            <w:pPr>
              <w:spacing w:line="240" w:lineRule="auto"/>
              <w:rPr>
                <w:b/>
                <w:bCs/>
              </w:rPr>
            </w:pPr>
            <w:r w:rsidRPr="004774CA">
              <w:t>Severe</w:t>
            </w:r>
          </w:p>
        </w:tc>
        <w:tc>
          <w:tcPr>
            <w:tcW w:w="551" w:type="pct"/>
          </w:tcPr>
          <w:p w14:paraId="19006248" w14:textId="77777777" w:rsidR="00BC615E" w:rsidRPr="004774CA" w:rsidRDefault="00BC615E" w:rsidP="00AF3336">
            <w:pPr>
              <w:spacing w:line="240" w:lineRule="auto"/>
            </w:pPr>
            <w:r w:rsidRPr="004774CA">
              <w:t>6.73</w:t>
            </w:r>
          </w:p>
        </w:tc>
        <w:tc>
          <w:tcPr>
            <w:tcW w:w="707" w:type="pct"/>
          </w:tcPr>
          <w:p w14:paraId="3EC7116A" w14:textId="77777777" w:rsidR="00BC615E" w:rsidRPr="004774CA" w:rsidRDefault="00BC615E" w:rsidP="00AF3336">
            <w:pPr>
              <w:spacing w:line="240" w:lineRule="auto"/>
            </w:pPr>
            <w:r w:rsidRPr="004774CA">
              <w:t>18.86</w:t>
            </w:r>
          </w:p>
        </w:tc>
        <w:tc>
          <w:tcPr>
            <w:tcW w:w="472" w:type="pct"/>
          </w:tcPr>
          <w:p w14:paraId="75F3DE41" w14:textId="77777777" w:rsidR="00BC615E" w:rsidRPr="004774CA" w:rsidRDefault="00BC615E" w:rsidP="00AF3336">
            <w:pPr>
              <w:spacing w:line="240" w:lineRule="auto"/>
            </w:pPr>
            <w:r w:rsidRPr="004774CA">
              <w:t>5.12</w:t>
            </w:r>
          </w:p>
        </w:tc>
        <w:tc>
          <w:tcPr>
            <w:tcW w:w="863" w:type="pct"/>
          </w:tcPr>
          <w:p w14:paraId="27A26025" w14:textId="77777777" w:rsidR="00BC615E" w:rsidRPr="004774CA" w:rsidRDefault="00BC615E" w:rsidP="00AF3336">
            <w:pPr>
              <w:spacing w:line="240" w:lineRule="auto"/>
            </w:pPr>
            <w:r w:rsidRPr="004774CA">
              <w:t>10.92</w:t>
            </w:r>
          </w:p>
        </w:tc>
        <w:tc>
          <w:tcPr>
            <w:tcW w:w="667" w:type="pct"/>
          </w:tcPr>
          <w:p w14:paraId="1B4F4116" w14:textId="77777777" w:rsidR="00BC615E" w:rsidRPr="004774CA" w:rsidRDefault="00BC615E" w:rsidP="00AF3336">
            <w:pPr>
              <w:spacing w:line="240" w:lineRule="auto"/>
            </w:pPr>
          </w:p>
        </w:tc>
        <w:tc>
          <w:tcPr>
            <w:tcW w:w="485" w:type="pct"/>
          </w:tcPr>
          <w:p w14:paraId="4A80B412" w14:textId="77777777" w:rsidR="00BC615E" w:rsidRPr="004774CA" w:rsidRDefault="00BC615E" w:rsidP="00AF3336">
            <w:pPr>
              <w:spacing w:line="240" w:lineRule="auto"/>
            </w:pPr>
            <w:r w:rsidRPr="004774CA">
              <w:t>21.38</w:t>
            </w:r>
          </w:p>
        </w:tc>
      </w:tr>
      <w:tr w:rsidR="004F2E7F" w:rsidRPr="007404CA" w14:paraId="566E952C" w14:textId="77777777" w:rsidTr="004F2E7F">
        <w:trPr>
          <w:trHeight w:val="227"/>
        </w:trPr>
        <w:tc>
          <w:tcPr>
            <w:tcW w:w="1255" w:type="pct"/>
          </w:tcPr>
          <w:p w14:paraId="0E804AA8" w14:textId="77777777" w:rsidR="00BC615E" w:rsidRPr="004774CA" w:rsidRDefault="00BC615E">
            <w:pPr>
              <w:spacing w:line="240" w:lineRule="auto"/>
              <w:rPr>
                <w:b/>
                <w:bCs/>
              </w:rPr>
            </w:pPr>
            <w:r w:rsidRPr="004774CA">
              <w:t>Fit to Mild</w:t>
            </w:r>
          </w:p>
        </w:tc>
        <w:tc>
          <w:tcPr>
            <w:tcW w:w="551" w:type="pct"/>
          </w:tcPr>
          <w:p w14:paraId="6ABCB9D0" w14:textId="77777777" w:rsidR="00BC615E" w:rsidRPr="004774CA" w:rsidRDefault="00BC615E" w:rsidP="00AF3336">
            <w:pPr>
              <w:spacing w:line="240" w:lineRule="auto"/>
            </w:pPr>
          </w:p>
        </w:tc>
        <w:tc>
          <w:tcPr>
            <w:tcW w:w="707" w:type="pct"/>
          </w:tcPr>
          <w:p w14:paraId="653155E6" w14:textId="77777777" w:rsidR="00BC615E" w:rsidRPr="004774CA" w:rsidRDefault="00BC615E" w:rsidP="00AF3336">
            <w:pPr>
              <w:spacing w:line="240" w:lineRule="auto"/>
            </w:pPr>
          </w:p>
        </w:tc>
        <w:tc>
          <w:tcPr>
            <w:tcW w:w="472" w:type="pct"/>
          </w:tcPr>
          <w:p w14:paraId="30B943A1" w14:textId="77777777" w:rsidR="00BC615E" w:rsidRPr="004774CA" w:rsidRDefault="00BC615E" w:rsidP="00AF3336">
            <w:pPr>
              <w:spacing w:line="240" w:lineRule="auto"/>
            </w:pPr>
          </w:p>
        </w:tc>
        <w:tc>
          <w:tcPr>
            <w:tcW w:w="863" w:type="pct"/>
          </w:tcPr>
          <w:p w14:paraId="4E64409E" w14:textId="77777777" w:rsidR="00BC615E" w:rsidRPr="004774CA" w:rsidRDefault="00BC615E" w:rsidP="00AF3336">
            <w:pPr>
              <w:spacing w:line="240" w:lineRule="auto"/>
            </w:pPr>
          </w:p>
        </w:tc>
        <w:tc>
          <w:tcPr>
            <w:tcW w:w="667" w:type="pct"/>
          </w:tcPr>
          <w:p w14:paraId="770FD206" w14:textId="77777777" w:rsidR="00BC615E" w:rsidRPr="004774CA" w:rsidRDefault="00BC615E" w:rsidP="00AF3336">
            <w:pPr>
              <w:spacing w:line="240" w:lineRule="auto"/>
            </w:pPr>
            <w:r w:rsidRPr="004774CA">
              <w:t>3.05</w:t>
            </w:r>
          </w:p>
        </w:tc>
        <w:tc>
          <w:tcPr>
            <w:tcW w:w="485" w:type="pct"/>
          </w:tcPr>
          <w:p w14:paraId="34F92E36" w14:textId="77777777" w:rsidR="00BC615E" w:rsidRPr="004774CA" w:rsidRDefault="00BC615E" w:rsidP="00AF3336">
            <w:pPr>
              <w:spacing w:line="240" w:lineRule="auto"/>
            </w:pPr>
          </w:p>
        </w:tc>
      </w:tr>
      <w:tr w:rsidR="004F2E7F" w:rsidRPr="007404CA" w14:paraId="0DF9377F" w14:textId="77777777" w:rsidTr="004F2E7F">
        <w:trPr>
          <w:trHeight w:val="227"/>
        </w:trPr>
        <w:tc>
          <w:tcPr>
            <w:tcW w:w="1255" w:type="pct"/>
          </w:tcPr>
          <w:p w14:paraId="6B5DA4BB" w14:textId="77777777" w:rsidR="00BC615E" w:rsidRPr="004774CA" w:rsidRDefault="00BC615E">
            <w:pPr>
              <w:spacing w:line="240" w:lineRule="auto"/>
              <w:rPr>
                <w:b/>
                <w:bCs/>
              </w:rPr>
            </w:pPr>
            <w:r w:rsidRPr="004774CA">
              <w:t>Mild to Moderate</w:t>
            </w:r>
          </w:p>
        </w:tc>
        <w:tc>
          <w:tcPr>
            <w:tcW w:w="551" w:type="pct"/>
          </w:tcPr>
          <w:p w14:paraId="02857B6B" w14:textId="77777777" w:rsidR="00BC615E" w:rsidRPr="004774CA" w:rsidRDefault="00BC615E" w:rsidP="00AF3336">
            <w:pPr>
              <w:spacing w:line="240" w:lineRule="auto"/>
            </w:pPr>
          </w:p>
        </w:tc>
        <w:tc>
          <w:tcPr>
            <w:tcW w:w="707" w:type="pct"/>
          </w:tcPr>
          <w:p w14:paraId="55DC777C" w14:textId="77777777" w:rsidR="00BC615E" w:rsidRPr="004774CA" w:rsidRDefault="00BC615E" w:rsidP="00AF3336">
            <w:pPr>
              <w:spacing w:line="240" w:lineRule="auto"/>
            </w:pPr>
          </w:p>
        </w:tc>
        <w:tc>
          <w:tcPr>
            <w:tcW w:w="472" w:type="pct"/>
          </w:tcPr>
          <w:p w14:paraId="05E0B20F" w14:textId="77777777" w:rsidR="00BC615E" w:rsidRPr="004774CA" w:rsidRDefault="00BC615E" w:rsidP="00AF3336">
            <w:pPr>
              <w:spacing w:line="240" w:lineRule="auto"/>
            </w:pPr>
          </w:p>
        </w:tc>
        <w:tc>
          <w:tcPr>
            <w:tcW w:w="863" w:type="pct"/>
          </w:tcPr>
          <w:p w14:paraId="181BA40C" w14:textId="77777777" w:rsidR="00BC615E" w:rsidRPr="004774CA" w:rsidRDefault="00BC615E" w:rsidP="00AF3336">
            <w:pPr>
              <w:spacing w:line="240" w:lineRule="auto"/>
            </w:pPr>
          </w:p>
        </w:tc>
        <w:tc>
          <w:tcPr>
            <w:tcW w:w="667" w:type="pct"/>
          </w:tcPr>
          <w:p w14:paraId="7771157B" w14:textId="77777777" w:rsidR="00BC615E" w:rsidRPr="004774CA" w:rsidRDefault="00BC615E" w:rsidP="00AF3336">
            <w:pPr>
              <w:spacing w:line="240" w:lineRule="auto"/>
            </w:pPr>
            <w:r w:rsidRPr="004774CA">
              <w:t>4.94</w:t>
            </w:r>
          </w:p>
        </w:tc>
        <w:tc>
          <w:tcPr>
            <w:tcW w:w="485" w:type="pct"/>
          </w:tcPr>
          <w:p w14:paraId="48520792" w14:textId="77777777" w:rsidR="00BC615E" w:rsidRPr="004774CA" w:rsidRDefault="00BC615E" w:rsidP="00AF3336">
            <w:pPr>
              <w:spacing w:line="240" w:lineRule="auto"/>
            </w:pPr>
          </w:p>
        </w:tc>
      </w:tr>
      <w:tr w:rsidR="004F2E7F" w:rsidRPr="007404CA" w14:paraId="4F5235BF" w14:textId="77777777" w:rsidTr="004F2E7F">
        <w:trPr>
          <w:trHeight w:val="227"/>
        </w:trPr>
        <w:tc>
          <w:tcPr>
            <w:tcW w:w="1255" w:type="pct"/>
          </w:tcPr>
          <w:p w14:paraId="2CD2B33E" w14:textId="77777777" w:rsidR="00BC615E" w:rsidRPr="004774CA" w:rsidRDefault="00BC615E">
            <w:pPr>
              <w:spacing w:line="240" w:lineRule="auto"/>
              <w:rPr>
                <w:b/>
                <w:bCs/>
              </w:rPr>
            </w:pPr>
            <w:r w:rsidRPr="004774CA">
              <w:t>Moderate to Severe</w:t>
            </w:r>
          </w:p>
        </w:tc>
        <w:tc>
          <w:tcPr>
            <w:tcW w:w="551" w:type="pct"/>
          </w:tcPr>
          <w:p w14:paraId="2A331C87" w14:textId="77777777" w:rsidR="00BC615E" w:rsidRPr="004774CA" w:rsidRDefault="00BC615E" w:rsidP="00AF3336">
            <w:pPr>
              <w:spacing w:line="240" w:lineRule="auto"/>
            </w:pPr>
          </w:p>
        </w:tc>
        <w:tc>
          <w:tcPr>
            <w:tcW w:w="707" w:type="pct"/>
          </w:tcPr>
          <w:p w14:paraId="05DA3A11" w14:textId="77777777" w:rsidR="00BC615E" w:rsidRPr="004774CA" w:rsidRDefault="00BC615E" w:rsidP="00AF3336">
            <w:pPr>
              <w:spacing w:line="240" w:lineRule="auto"/>
            </w:pPr>
          </w:p>
        </w:tc>
        <w:tc>
          <w:tcPr>
            <w:tcW w:w="472" w:type="pct"/>
          </w:tcPr>
          <w:p w14:paraId="1FF25B8B" w14:textId="77777777" w:rsidR="00BC615E" w:rsidRPr="004774CA" w:rsidRDefault="00BC615E" w:rsidP="00AF3336">
            <w:pPr>
              <w:spacing w:line="240" w:lineRule="auto"/>
            </w:pPr>
          </w:p>
        </w:tc>
        <w:tc>
          <w:tcPr>
            <w:tcW w:w="863" w:type="pct"/>
          </w:tcPr>
          <w:p w14:paraId="2FAEB445" w14:textId="77777777" w:rsidR="00BC615E" w:rsidRPr="004774CA" w:rsidRDefault="00BC615E" w:rsidP="00AF3336">
            <w:pPr>
              <w:spacing w:line="240" w:lineRule="auto"/>
            </w:pPr>
          </w:p>
        </w:tc>
        <w:tc>
          <w:tcPr>
            <w:tcW w:w="667" w:type="pct"/>
          </w:tcPr>
          <w:p w14:paraId="5C468D90" w14:textId="77777777" w:rsidR="00BC615E" w:rsidRPr="004774CA" w:rsidRDefault="00BC615E" w:rsidP="00AF3336">
            <w:pPr>
              <w:spacing w:line="240" w:lineRule="auto"/>
            </w:pPr>
            <w:r w:rsidRPr="004774CA">
              <w:t>3.85</w:t>
            </w:r>
          </w:p>
        </w:tc>
        <w:tc>
          <w:tcPr>
            <w:tcW w:w="485" w:type="pct"/>
          </w:tcPr>
          <w:p w14:paraId="19B1A6A1" w14:textId="77777777" w:rsidR="00BC615E" w:rsidRPr="004774CA" w:rsidRDefault="00BC615E" w:rsidP="00AF3336">
            <w:pPr>
              <w:spacing w:line="240" w:lineRule="auto"/>
            </w:pPr>
          </w:p>
        </w:tc>
      </w:tr>
      <w:tr w:rsidR="001256E0" w:rsidRPr="007404CA" w14:paraId="30A30381" w14:textId="77777777" w:rsidTr="004F2E7F">
        <w:trPr>
          <w:trHeight w:val="227"/>
        </w:trPr>
        <w:tc>
          <w:tcPr>
            <w:tcW w:w="1255" w:type="pct"/>
          </w:tcPr>
          <w:p w14:paraId="30D42B10" w14:textId="77777777" w:rsidR="001256E0" w:rsidRPr="004774CA" w:rsidRDefault="001256E0">
            <w:pPr>
              <w:spacing w:line="240" w:lineRule="auto"/>
            </w:pPr>
          </w:p>
        </w:tc>
        <w:tc>
          <w:tcPr>
            <w:tcW w:w="551" w:type="pct"/>
          </w:tcPr>
          <w:p w14:paraId="5684C5D9" w14:textId="77777777" w:rsidR="001256E0" w:rsidRPr="004774CA" w:rsidRDefault="001256E0">
            <w:pPr>
              <w:spacing w:line="240" w:lineRule="auto"/>
            </w:pPr>
          </w:p>
        </w:tc>
        <w:tc>
          <w:tcPr>
            <w:tcW w:w="707" w:type="pct"/>
          </w:tcPr>
          <w:p w14:paraId="3EA70926" w14:textId="77777777" w:rsidR="001256E0" w:rsidRPr="004774CA" w:rsidRDefault="001256E0">
            <w:pPr>
              <w:spacing w:line="240" w:lineRule="auto"/>
            </w:pPr>
          </w:p>
        </w:tc>
        <w:tc>
          <w:tcPr>
            <w:tcW w:w="472" w:type="pct"/>
          </w:tcPr>
          <w:p w14:paraId="2916BF30" w14:textId="77777777" w:rsidR="001256E0" w:rsidRPr="004774CA" w:rsidRDefault="001256E0">
            <w:pPr>
              <w:spacing w:line="240" w:lineRule="auto"/>
            </w:pPr>
          </w:p>
        </w:tc>
        <w:tc>
          <w:tcPr>
            <w:tcW w:w="863" w:type="pct"/>
          </w:tcPr>
          <w:p w14:paraId="68B159BE" w14:textId="77777777" w:rsidR="001256E0" w:rsidRPr="004774CA" w:rsidRDefault="001256E0">
            <w:pPr>
              <w:spacing w:line="240" w:lineRule="auto"/>
            </w:pPr>
          </w:p>
        </w:tc>
        <w:tc>
          <w:tcPr>
            <w:tcW w:w="667" w:type="pct"/>
          </w:tcPr>
          <w:p w14:paraId="76CCCEE6" w14:textId="77777777" w:rsidR="001256E0" w:rsidRPr="004774CA" w:rsidRDefault="001256E0">
            <w:pPr>
              <w:spacing w:line="240" w:lineRule="auto"/>
            </w:pPr>
          </w:p>
        </w:tc>
        <w:tc>
          <w:tcPr>
            <w:tcW w:w="485" w:type="pct"/>
          </w:tcPr>
          <w:p w14:paraId="2A2A3794" w14:textId="77777777" w:rsidR="001256E0" w:rsidRPr="004774CA" w:rsidRDefault="001256E0">
            <w:pPr>
              <w:spacing w:line="240" w:lineRule="auto"/>
            </w:pPr>
          </w:p>
        </w:tc>
      </w:tr>
      <w:tr w:rsidR="004F2E7F" w:rsidRPr="007404CA" w14:paraId="75068363" w14:textId="77777777" w:rsidTr="004F2E7F">
        <w:trPr>
          <w:trHeight w:val="227"/>
        </w:trPr>
        <w:tc>
          <w:tcPr>
            <w:tcW w:w="1255" w:type="pct"/>
          </w:tcPr>
          <w:p w14:paraId="1FE4B043" w14:textId="0D9AD646" w:rsidR="00BC615E" w:rsidRPr="00302F75" w:rsidRDefault="001256E0">
            <w:pPr>
              <w:spacing w:line="240" w:lineRule="auto"/>
              <w:rPr>
                <w:bCs/>
              </w:rPr>
            </w:pPr>
            <w:r w:rsidRPr="004774CA">
              <w:t>65 – 74</w:t>
            </w:r>
          </w:p>
        </w:tc>
        <w:tc>
          <w:tcPr>
            <w:tcW w:w="551" w:type="pct"/>
          </w:tcPr>
          <w:p w14:paraId="234AC5F2" w14:textId="77777777" w:rsidR="00BC615E" w:rsidRPr="004774CA" w:rsidRDefault="00BC615E" w:rsidP="00AF3336">
            <w:pPr>
              <w:spacing w:line="240" w:lineRule="auto"/>
            </w:pPr>
          </w:p>
        </w:tc>
        <w:tc>
          <w:tcPr>
            <w:tcW w:w="707" w:type="pct"/>
          </w:tcPr>
          <w:p w14:paraId="069892F5" w14:textId="77777777" w:rsidR="00BC615E" w:rsidRPr="004774CA" w:rsidRDefault="00BC615E" w:rsidP="00AF3336">
            <w:pPr>
              <w:spacing w:line="240" w:lineRule="auto"/>
            </w:pPr>
          </w:p>
        </w:tc>
        <w:tc>
          <w:tcPr>
            <w:tcW w:w="472" w:type="pct"/>
          </w:tcPr>
          <w:p w14:paraId="264A83C4" w14:textId="77777777" w:rsidR="00BC615E" w:rsidRPr="004774CA" w:rsidRDefault="00BC615E" w:rsidP="00AF3336">
            <w:pPr>
              <w:spacing w:line="240" w:lineRule="auto"/>
            </w:pPr>
          </w:p>
        </w:tc>
        <w:tc>
          <w:tcPr>
            <w:tcW w:w="863" w:type="pct"/>
          </w:tcPr>
          <w:p w14:paraId="13ADC9FA" w14:textId="77777777" w:rsidR="00BC615E" w:rsidRPr="004774CA" w:rsidRDefault="00BC615E" w:rsidP="00AF3336">
            <w:pPr>
              <w:spacing w:line="240" w:lineRule="auto"/>
            </w:pPr>
          </w:p>
        </w:tc>
        <w:tc>
          <w:tcPr>
            <w:tcW w:w="667" w:type="pct"/>
          </w:tcPr>
          <w:p w14:paraId="0D2A3226" w14:textId="77777777" w:rsidR="00BC615E" w:rsidRPr="004774CA" w:rsidRDefault="00BC615E" w:rsidP="00AF3336">
            <w:pPr>
              <w:spacing w:line="240" w:lineRule="auto"/>
            </w:pPr>
          </w:p>
        </w:tc>
        <w:tc>
          <w:tcPr>
            <w:tcW w:w="485" w:type="pct"/>
          </w:tcPr>
          <w:p w14:paraId="26D2835E" w14:textId="77777777" w:rsidR="00BC615E" w:rsidRPr="004774CA" w:rsidRDefault="00BC615E" w:rsidP="00AF3336">
            <w:pPr>
              <w:spacing w:line="240" w:lineRule="auto"/>
            </w:pPr>
          </w:p>
        </w:tc>
      </w:tr>
      <w:tr w:rsidR="004F2E7F" w:rsidRPr="007404CA" w14:paraId="53B4DFF3" w14:textId="77777777" w:rsidTr="004F2E7F">
        <w:trPr>
          <w:trHeight w:val="227"/>
        </w:trPr>
        <w:tc>
          <w:tcPr>
            <w:tcW w:w="1255" w:type="pct"/>
          </w:tcPr>
          <w:p w14:paraId="042C77EC" w14:textId="77777777" w:rsidR="00BC615E" w:rsidRPr="004774CA" w:rsidRDefault="00BC615E">
            <w:pPr>
              <w:spacing w:line="240" w:lineRule="auto"/>
              <w:rPr>
                <w:b/>
                <w:bCs/>
              </w:rPr>
            </w:pPr>
            <w:r w:rsidRPr="004774CA">
              <w:t>Fit</w:t>
            </w:r>
          </w:p>
        </w:tc>
        <w:tc>
          <w:tcPr>
            <w:tcW w:w="551" w:type="pct"/>
          </w:tcPr>
          <w:p w14:paraId="7F7CC051" w14:textId="77777777" w:rsidR="00BC615E" w:rsidRPr="004774CA" w:rsidRDefault="00BC615E" w:rsidP="00AF3336">
            <w:pPr>
              <w:spacing w:line="240" w:lineRule="auto"/>
            </w:pPr>
            <w:r w:rsidRPr="004774CA">
              <w:t>2.4</w:t>
            </w:r>
          </w:p>
        </w:tc>
        <w:tc>
          <w:tcPr>
            <w:tcW w:w="707" w:type="pct"/>
          </w:tcPr>
          <w:p w14:paraId="1DF26E47" w14:textId="77777777" w:rsidR="00BC615E" w:rsidRPr="004774CA" w:rsidRDefault="00BC615E" w:rsidP="00AF3336">
            <w:pPr>
              <w:spacing w:line="240" w:lineRule="auto"/>
            </w:pPr>
            <w:r w:rsidRPr="004774CA">
              <w:t>16.99</w:t>
            </w:r>
          </w:p>
        </w:tc>
        <w:tc>
          <w:tcPr>
            <w:tcW w:w="472" w:type="pct"/>
          </w:tcPr>
          <w:p w14:paraId="7EC16B6B" w14:textId="77777777" w:rsidR="00BC615E" w:rsidRPr="004774CA" w:rsidRDefault="00BC615E" w:rsidP="00AF3336">
            <w:pPr>
              <w:spacing w:line="240" w:lineRule="auto"/>
            </w:pPr>
            <w:r w:rsidRPr="004774CA">
              <w:t>9.69</w:t>
            </w:r>
          </w:p>
        </w:tc>
        <w:tc>
          <w:tcPr>
            <w:tcW w:w="863" w:type="pct"/>
          </w:tcPr>
          <w:p w14:paraId="6A15FAEC" w14:textId="77777777" w:rsidR="00BC615E" w:rsidRPr="004774CA" w:rsidRDefault="00BC615E" w:rsidP="00AF3336">
            <w:pPr>
              <w:spacing w:line="240" w:lineRule="auto"/>
            </w:pPr>
            <w:r w:rsidRPr="004774CA">
              <w:t>10.95</w:t>
            </w:r>
          </w:p>
        </w:tc>
        <w:tc>
          <w:tcPr>
            <w:tcW w:w="667" w:type="pct"/>
          </w:tcPr>
          <w:p w14:paraId="684831A8" w14:textId="77777777" w:rsidR="00BC615E" w:rsidRPr="004774CA" w:rsidRDefault="00BC615E" w:rsidP="00AF3336">
            <w:pPr>
              <w:spacing w:line="240" w:lineRule="auto"/>
            </w:pPr>
          </w:p>
        </w:tc>
        <w:tc>
          <w:tcPr>
            <w:tcW w:w="485" w:type="pct"/>
          </w:tcPr>
          <w:p w14:paraId="5E49E3CC" w14:textId="77777777" w:rsidR="00BC615E" w:rsidRPr="004774CA" w:rsidRDefault="00BC615E" w:rsidP="00AF3336">
            <w:pPr>
              <w:spacing w:line="240" w:lineRule="auto"/>
            </w:pPr>
            <w:r w:rsidRPr="004774CA">
              <w:t>6.08</w:t>
            </w:r>
          </w:p>
        </w:tc>
      </w:tr>
      <w:tr w:rsidR="004F2E7F" w:rsidRPr="007404CA" w14:paraId="37419F56" w14:textId="77777777" w:rsidTr="004F2E7F">
        <w:trPr>
          <w:trHeight w:val="227"/>
        </w:trPr>
        <w:tc>
          <w:tcPr>
            <w:tcW w:w="1255" w:type="pct"/>
          </w:tcPr>
          <w:p w14:paraId="5D005B1F" w14:textId="77777777" w:rsidR="00BC615E" w:rsidRPr="004774CA" w:rsidRDefault="00BC615E">
            <w:pPr>
              <w:spacing w:line="240" w:lineRule="auto"/>
              <w:rPr>
                <w:b/>
                <w:bCs/>
              </w:rPr>
            </w:pPr>
            <w:r w:rsidRPr="004774CA">
              <w:t>Mild</w:t>
            </w:r>
          </w:p>
        </w:tc>
        <w:tc>
          <w:tcPr>
            <w:tcW w:w="551" w:type="pct"/>
          </w:tcPr>
          <w:p w14:paraId="71B4990A" w14:textId="77777777" w:rsidR="00BC615E" w:rsidRPr="004774CA" w:rsidRDefault="00BC615E" w:rsidP="00AF3336">
            <w:pPr>
              <w:spacing w:line="240" w:lineRule="auto"/>
            </w:pPr>
            <w:r w:rsidRPr="004774CA">
              <w:t>7.10</w:t>
            </w:r>
          </w:p>
        </w:tc>
        <w:tc>
          <w:tcPr>
            <w:tcW w:w="707" w:type="pct"/>
          </w:tcPr>
          <w:p w14:paraId="385FFA3D" w14:textId="77777777" w:rsidR="00BC615E" w:rsidRPr="004774CA" w:rsidRDefault="00BC615E" w:rsidP="00AF3336">
            <w:pPr>
              <w:spacing w:line="240" w:lineRule="auto"/>
            </w:pPr>
            <w:r w:rsidRPr="004774CA">
              <w:t>25.24</w:t>
            </w:r>
          </w:p>
        </w:tc>
        <w:tc>
          <w:tcPr>
            <w:tcW w:w="472" w:type="pct"/>
          </w:tcPr>
          <w:p w14:paraId="550FB553" w14:textId="77777777" w:rsidR="00BC615E" w:rsidRPr="004774CA" w:rsidRDefault="00BC615E" w:rsidP="00AF3336">
            <w:pPr>
              <w:spacing w:line="240" w:lineRule="auto"/>
            </w:pPr>
            <w:r w:rsidRPr="004774CA">
              <w:t>9.84</w:t>
            </w:r>
          </w:p>
        </w:tc>
        <w:tc>
          <w:tcPr>
            <w:tcW w:w="863" w:type="pct"/>
          </w:tcPr>
          <w:p w14:paraId="56AC0FB6" w14:textId="77777777" w:rsidR="00BC615E" w:rsidRPr="004774CA" w:rsidRDefault="00BC615E" w:rsidP="00AF3336">
            <w:pPr>
              <w:spacing w:line="240" w:lineRule="auto"/>
            </w:pPr>
            <w:r w:rsidRPr="004774CA">
              <w:t>7.26</w:t>
            </w:r>
          </w:p>
        </w:tc>
        <w:tc>
          <w:tcPr>
            <w:tcW w:w="667" w:type="pct"/>
          </w:tcPr>
          <w:p w14:paraId="21E39BCD" w14:textId="77777777" w:rsidR="00BC615E" w:rsidRPr="004774CA" w:rsidRDefault="00BC615E" w:rsidP="00AF3336">
            <w:pPr>
              <w:spacing w:line="240" w:lineRule="auto"/>
            </w:pPr>
          </w:p>
        </w:tc>
        <w:tc>
          <w:tcPr>
            <w:tcW w:w="485" w:type="pct"/>
          </w:tcPr>
          <w:p w14:paraId="33DCC36B" w14:textId="77777777" w:rsidR="00BC615E" w:rsidRPr="004774CA" w:rsidRDefault="00BC615E" w:rsidP="00AF3336">
            <w:pPr>
              <w:spacing w:line="240" w:lineRule="auto"/>
            </w:pPr>
            <w:r w:rsidRPr="004774CA">
              <w:t>9.21</w:t>
            </w:r>
          </w:p>
        </w:tc>
      </w:tr>
      <w:tr w:rsidR="004F2E7F" w:rsidRPr="007404CA" w14:paraId="060269F6" w14:textId="77777777" w:rsidTr="004F2E7F">
        <w:trPr>
          <w:trHeight w:val="227"/>
        </w:trPr>
        <w:tc>
          <w:tcPr>
            <w:tcW w:w="1255" w:type="pct"/>
          </w:tcPr>
          <w:p w14:paraId="6B8A7A4F" w14:textId="77777777" w:rsidR="00BC615E" w:rsidRPr="004774CA" w:rsidRDefault="00BC615E">
            <w:pPr>
              <w:spacing w:line="240" w:lineRule="auto"/>
              <w:rPr>
                <w:b/>
                <w:bCs/>
              </w:rPr>
            </w:pPr>
            <w:r w:rsidRPr="004774CA">
              <w:t>Moderate</w:t>
            </w:r>
          </w:p>
        </w:tc>
        <w:tc>
          <w:tcPr>
            <w:tcW w:w="551" w:type="pct"/>
          </w:tcPr>
          <w:p w14:paraId="3A832142" w14:textId="77777777" w:rsidR="00BC615E" w:rsidRPr="004774CA" w:rsidRDefault="00BC615E" w:rsidP="00AF3336">
            <w:pPr>
              <w:spacing w:line="240" w:lineRule="auto"/>
            </w:pPr>
            <w:r w:rsidRPr="004774CA">
              <w:t>5.58</w:t>
            </w:r>
          </w:p>
        </w:tc>
        <w:tc>
          <w:tcPr>
            <w:tcW w:w="707" w:type="pct"/>
          </w:tcPr>
          <w:p w14:paraId="539FC4DB" w14:textId="77777777" w:rsidR="00BC615E" w:rsidRPr="004774CA" w:rsidRDefault="00BC615E" w:rsidP="00AF3336">
            <w:pPr>
              <w:spacing w:line="240" w:lineRule="auto"/>
            </w:pPr>
            <w:r w:rsidRPr="004774CA">
              <w:t>28.12</w:t>
            </w:r>
          </w:p>
        </w:tc>
        <w:tc>
          <w:tcPr>
            <w:tcW w:w="472" w:type="pct"/>
          </w:tcPr>
          <w:p w14:paraId="334FE445" w14:textId="77777777" w:rsidR="00BC615E" w:rsidRPr="004774CA" w:rsidRDefault="00BC615E" w:rsidP="00AF3336">
            <w:pPr>
              <w:spacing w:line="240" w:lineRule="auto"/>
            </w:pPr>
            <w:r w:rsidRPr="004774CA">
              <w:t>4.01</w:t>
            </w:r>
          </w:p>
        </w:tc>
        <w:tc>
          <w:tcPr>
            <w:tcW w:w="863" w:type="pct"/>
          </w:tcPr>
          <w:p w14:paraId="1AF4F553" w14:textId="77777777" w:rsidR="00BC615E" w:rsidRPr="004774CA" w:rsidRDefault="00BC615E" w:rsidP="00AF3336">
            <w:pPr>
              <w:spacing w:line="240" w:lineRule="auto"/>
            </w:pPr>
            <w:r w:rsidRPr="004774CA">
              <w:t>18.2</w:t>
            </w:r>
          </w:p>
        </w:tc>
        <w:tc>
          <w:tcPr>
            <w:tcW w:w="667" w:type="pct"/>
          </w:tcPr>
          <w:p w14:paraId="427424DA" w14:textId="77777777" w:rsidR="00BC615E" w:rsidRPr="004774CA" w:rsidRDefault="00BC615E" w:rsidP="00AF3336">
            <w:pPr>
              <w:spacing w:line="240" w:lineRule="auto"/>
            </w:pPr>
          </w:p>
        </w:tc>
        <w:tc>
          <w:tcPr>
            <w:tcW w:w="485" w:type="pct"/>
          </w:tcPr>
          <w:p w14:paraId="7CB6A5C5" w14:textId="77777777" w:rsidR="00BC615E" w:rsidRPr="004774CA" w:rsidRDefault="00BC615E" w:rsidP="00AF3336">
            <w:pPr>
              <w:spacing w:line="240" w:lineRule="auto"/>
            </w:pPr>
            <w:r w:rsidRPr="004774CA">
              <w:t>2.78</w:t>
            </w:r>
          </w:p>
        </w:tc>
      </w:tr>
      <w:tr w:rsidR="004F2E7F" w:rsidRPr="007404CA" w14:paraId="293D2EE4" w14:textId="77777777" w:rsidTr="004F2E7F">
        <w:trPr>
          <w:trHeight w:val="227"/>
        </w:trPr>
        <w:tc>
          <w:tcPr>
            <w:tcW w:w="1255" w:type="pct"/>
          </w:tcPr>
          <w:p w14:paraId="25A7AB5B" w14:textId="77777777" w:rsidR="00BC615E" w:rsidRPr="004774CA" w:rsidRDefault="00BC615E">
            <w:pPr>
              <w:spacing w:line="240" w:lineRule="auto"/>
              <w:rPr>
                <w:b/>
                <w:bCs/>
              </w:rPr>
            </w:pPr>
            <w:r w:rsidRPr="004774CA">
              <w:t>Severe</w:t>
            </w:r>
          </w:p>
        </w:tc>
        <w:tc>
          <w:tcPr>
            <w:tcW w:w="551" w:type="pct"/>
          </w:tcPr>
          <w:p w14:paraId="2C65833F" w14:textId="77777777" w:rsidR="00BC615E" w:rsidRPr="004774CA" w:rsidRDefault="00BC615E" w:rsidP="00AF3336">
            <w:pPr>
              <w:spacing w:line="240" w:lineRule="auto"/>
            </w:pPr>
            <w:r w:rsidRPr="004774CA">
              <w:t>11.05</w:t>
            </w:r>
          </w:p>
        </w:tc>
        <w:tc>
          <w:tcPr>
            <w:tcW w:w="707" w:type="pct"/>
          </w:tcPr>
          <w:p w14:paraId="4D68E2C6" w14:textId="77777777" w:rsidR="00BC615E" w:rsidRPr="004774CA" w:rsidRDefault="00BC615E" w:rsidP="00AF3336">
            <w:pPr>
              <w:spacing w:line="240" w:lineRule="auto"/>
            </w:pPr>
            <w:r w:rsidRPr="004774CA">
              <w:t>48.84</w:t>
            </w:r>
          </w:p>
        </w:tc>
        <w:tc>
          <w:tcPr>
            <w:tcW w:w="472" w:type="pct"/>
          </w:tcPr>
          <w:p w14:paraId="4BD0AC6E" w14:textId="77777777" w:rsidR="00BC615E" w:rsidRPr="004774CA" w:rsidRDefault="00BC615E" w:rsidP="00AF3336">
            <w:pPr>
              <w:spacing w:line="240" w:lineRule="auto"/>
            </w:pPr>
            <w:r w:rsidRPr="004774CA">
              <w:t>1.13</w:t>
            </w:r>
          </w:p>
        </w:tc>
        <w:tc>
          <w:tcPr>
            <w:tcW w:w="863" w:type="pct"/>
          </w:tcPr>
          <w:p w14:paraId="1F73E462" w14:textId="77777777" w:rsidR="00BC615E" w:rsidRPr="004774CA" w:rsidRDefault="00BC615E" w:rsidP="00AF3336">
            <w:pPr>
              <w:spacing w:line="240" w:lineRule="auto"/>
            </w:pPr>
            <w:r w:rsidRPr="004774CA">
              <w:t>15.36</w:t>
            </w:r>
          </w:p>
        </w:tc>
        <w:tc>
          <w:tcPr>
            <w:tcW w:w="667" w:type="pct"/>
          </w:tcPr>
          <w:p w14:paraId="3C0D5712" w14:textId="77777777" w:rsidR="00BC615E" w:rsidRPr="004774CA" w:rsidRDefault="00BC615E" w:rsidP="00AF3336">
            <w:pPr>
              <w:spacing w:line="240" w:lineRule="auto"/>
            </w:pPr>
          </w:p>
        </w:tc>
        <w:tc>
          <w:tcPr>
            <w:tcW w:w="485" w:type="pct"/>
          </w:tcPr>
          <w:p w14:paraId="66D234B7" w14:textId="77777777" w:rsidR="00BC615E" w:rsidRPr="004774CA" w:rsidRDefault="00BC615E" w:rsidP="00AF3336">
            <w:pPr>
              <w:spacing w:line="240" w:lineRule="auto"/>
            </w:pPr>
            <w:r w:rsidRPr="004774CA">
              <w:t>14.05</w:t>
            </w:r>
          </w:p>
        </w:tc>
      </w:tr>
      <w:tr w:rsidR="004F2E7F" w:rsidRPr="007404CA" w14:paraId="6BDC53A9" w14:textId="77777777" w:rsidTr="004F2E7F">
        <w:trPr>
          <w:trHeight w:val="227"/>
        </w:trPr>
        <w:tc>
          <w:tcPr>
            <w:tcW w:w="1255" w:type="pct"/>
          </w:tcPr>
          <w:p w14:paraId="2B3CB593" w14:textId="77777777" w:rsidR="00BC615E" w:rsidRPr="004774CA" w:rsidRDefault="00BC615E">
            <w:pPr>
              <w:spacing w:line="240" w:lineRule="auto"/>
              <w:rPr>
                <w:b/>
                <w:bCs/>
              </w:rPr>
            </w:pPr>
            <w:r w:rsidRPr="004774CA">
              <w:t>Fit to Mild</w:t>
            </w:r>
          </w:p>
        </w:tc>
        <w:tc>
          <w:tcPr>
            <w:tcW w:w="551" w:type="pct"/>
          </w:tcPr>
          <w:p w14:paraId="530E8C96" w14:textId="77777777" w:rsidR="00BC615E" w:rsidRPr="004774CA" w:rsidRDefault="00BC615E" w:rsidP="00AF3336">
            <w:pPr>
              <w:spacing w:line="240" w:lineRule="auto"/>
            </w:pPr>
          </w:p>
        </w:tc>
        <w:tc>
          <w:tcPr>
            <w:tcW w:w="707" w:type="pct"/>
          </w:tcPr>
          <w:p w14:paraId="70343B91" w14:textId="77777777" w:rsidR="00BC615E" w:rsidRPr="004774CA" w:rsidRDefault="00BC615E" w:rsidP="00AF3336">
            <w:pPr>
              <w:spacing w:line="240" w:lineRule="auto"/>
            </w:pPr>
          </w:p>
        </w:tc>
        <w:tc>
          <w:tcPr>
            <w:tcW w:w="472" w:type="pct"/>
          </w:tcPr>
          <w:p w14:paraId="1EDE2B27" w14:textId="77777777" w:rsidR="00BC615E" w:rsidRPr="004774CA" w:rsidRDefault="00BC615E" w:rsidP="00AF3336">
            <w:pPr>
              <w:spacing w:line="240" w:lineRule="auto"/>
            </w:pPr>
          </w:p>
        </w:tc>
        <w:tc>
          <w:tcPr>
            <w:tcW w:w="863" w:type="pct"/>
          </w:tcPr>
          <w:p w14:paraId="4C2A4C36" w14:textId="77777777" w:rsidR="00BC615E" w:rsidRPr="004774CA" w:rsidRDefault="00BC615E" w:rsidP="00AF3336">
            <w:pPr>
              <w:spacing w:line="240" w:lineRule="auto"/>
            </w:pPr>
          </w:p>
        </w:tc>
        <w:tc>
          <w:tcPr>
            <w:tcW w:w="667" w:type="pct"/>
          </w:tcPr>
          <w:p w14:paraId="0DBA93AE" w14:textId="77777777" w:rsidR="00BC615E" w:rsidRPr="004774CA" w:rsidRDefault="00BC615E" w:rsidP="00AF3336">
            <w:pPr>
              <w:spacing w:line="240" w:lineRule="auto"/>
            </w:pPr>
            <w:r w:rsidRPr="004774CA">
              <w:t>6.68</w:t>
            </w:r>
          </w:p>
        </w:tc>
        <w:tc>
          <w:tcPr>
            <w:tcW w:w="485" w:type="pct"/>
          </w:tcPr>
          <w:p w14:paraId="49C02871" w14:textId="77777777" w:rsidR="00BC615E" w:rsidRPr="004774CA" w:rsidRDefault="00BC615E" w:rsidP="00AF3336">
            <w:pPr>
              <w:spacing w:line="240" w:lineRule="auto"/>
            </w:pPr>
          </w:p>
        </w:tc>
      </w:tr>
      <w:tr w:rsidR="004F2E7F" w:rsidRPr="007404CA" w14:paraId="32A714C4" w14:textId="77777777" w:rsidTr="004F2E7F">
        <w:trPr>
          <w:trHeight w:val="227"/>
        </w:trPr>
        <w:tc>
          <w:tcPr>
            <w:tcW w:w="1255" w:type="pct"/>
          </w:tcPr>
          <w:p w14:paraId="7E8267B6" w14:textId="77777777" w:rsidR="00BC615E" w:rsidRPr="004774CA" w:rsidRDefault="00BC615E">
            <w:pPr>
              <w:spacing w:line="240" w:lineRule="auto"/>
              <w:rPr>
                <w:b/>
                <w:bCs/>
              </w:rPr>
            </w:pPr>
            <w:r w:rsidRPr="004774CA">
              <w:t>Mild to Moderate</w:t>
            </w:r>
          </w:p>
        </w:tc>
        <w:tc>
          <w:tcPr>
            <w:tcW w:w="551" w:type="pct"/>
          </w:tcPr>
          <w:p w14:paraId="6BD1B1EB" w14:textId="77777777" w:rsidR="00BC615E" w:rsidRPr="004774CA" w:rsidRDefault="00BC615E" w:rsidP="00AF3336">
            <w:pPr>
              <w:spacing w:line="240" w:lineRule="auto"/>
            </w:pPr>
          </w:p>
        </w:tc>
        <w:tc>
          <w:tcPr>
            <w:tcW w:w="707" w:type="pct"/>
          </w:tcPr>
          <w:p w14:paraId="66A36780" w14:textId="77777777" w:rsidR="00BC615E" w:rsidRPr="004774CA" w:rsidRDefault="00BC615E" w:rsidP="00AF3336">
            <w:pPr>
              <w:spacing w:line="240" w:lineRule="auto"/>
            </w:pPr>
          </w:p>
        </w:tc>
        <w:tc>
          <w:tcPr>
            <w:tcW w:w="472" w:type="pct"/>
          </w:tcPr>
          <w:p w14:paraId="25C67F54" w14:textId="77777777" w:rsidR="00BC615E" w:rsidRPr="004774CA" w:rsidRDefault="00BC615E" w:rsidP="00AF3336">
            <w:pPr>
              <w:spacing w:line="240" w:lineRule="auto"/>
            </w:pPr>
          </w:p>
        </w:tc>
        <w:tc>
          <w:tcPr>
            <w:tcW w:w="863" w:type="pct"/>
          </w:tcPr>
          <w:p w14:paraId="4B0F8D96" w14:textId="77777777" w:rsidR="00BC615E" w:rsidRPr="004774CA" w:rsidRDefault="00BC615E" w:rsidP="00AF3336">
            <w:pPr>
              <w:spacing w:line="240" w:lineRule="auto"/>
            </w:pPr>
          </w:p>
        </w:tc>
        <w:tc>
          <w:tcPr>
            <w:tcW w:w="667" w:type="pct"/>
          </w:tcPr>
          <w:p w14:paraId="2EB785B1" w14:textId="77777777" w:rsidR="00BC615E" w:rsidRPr="004774CA" w:rsidRDefault="00BC615E" w:rsidP="00AF3336">
            <w:pPr>
              <w:spacing w:line="240" w:lineRule="auto"/>
            </w:pPr>
            <w:r w:rsidRPr="004774CA">
              <w:t>8.03</w:t>
            </w:r>
          </w:p>
        </w:tc>
        <w:tc>
          <w:tcPr>
            <w:tcW w:w="485" w:type="pct"/>
          </w:tcPr>
          <w:p w14:paraId="519094BE" w14:textId="77777777" w:rsidR="00BC615E" w:rsidRPr="004774CA" w:rsidRDefault="00BC615E" w:rsidP="00AF3336">
            <w:pPr>
              <w:spacing w:line="240" w:lineRule="auto"/>
            </w:pPr>
          </w:p>
        </w:tc>
      </w:tr>
      <w:tr w:rsidR="004F2E7F" w:rsidRPr="007404CA" w14:paraId="2CA34EDB" w14:textId="77777777" w:rsidTr="004F2E7F">
        <w:trPr>
          <w:trHeight w:val="227"/>
        </w:trPr>
        <w:tc>
          <w:tcPr>
            <w:tcW w:w="1255" w:type="pct"/>
          </w:tcPr>
          <w:p w14:paraId="4ED47194" w14:textId="77777777" w:rsidR="00BC615E" w:rsidRPr="004774CA" w:rsidRDefault="00BC615E">
            <w:pPr>
              <w:spacing w:line="240" w:lineRule="auto"/>
              <w:rPr>
                <w:b/>
                <w:bCs/>
              </w:rPr>
            </w:pPr>
            <w:r w:rsidRPr="004774CA">
              <w:t>Moderate to Severe</w:t>
            </w:r>
          </w:p>
        </w:tc>
        <w:tc>
          <w:tcPr>
            <w:tcW w:w="551" w:type="pct"/>
          </w:tcPr>
          <w:p w14:paraId="47161474" w14:textId="77777777" w:rsidR="00BC615E" w:rsidRPr="004774CA" w:rsidRDefault="00BC615E" w:rsidP="00AF3336">
            <w:pPr>
              <w:spacing w:line="240" w:lineRule="auto"/>
            </w:pPr>
          </w:p>
        </w:tc>
        <w:tc>
          <w:tcPr>
            <w:tcW w:w="707" w:type="pct"/>
          </w:tcPr>
          <w:p w14:paraId="351B903D" w14:textId="77777777" w:rsidR="00BC615E" w:rsidRPr="004774CA" w:rsidRDefault="00BC615E" w:rsidP="00AF3336">
            <w:pPr>
              <w:spacing w:line="240" w:lineRule="auto"/>
            </w:pPr>
          </w:p>
        </w:tc>
        <w:tc>
          <w:tcPr>
            <w:tcW w:w="472" w:type="pct"/>
          </w:tcPr>
          <w:p w14:paraId="7D7955CA" w14:textId="77777777" w:rsidR="00BC615E" w:rsidRPr="004774CA" w:rsidRDefault="00BC615E" w:rsidP="00AF3336">
            <w:pPr>
              <w:spacing w:line="240" w:lineRule="auto"/>
            </w:pPr>
          </w:p>
        </w:tc>
        <w:tc>
          <w:tcPr>
            <w:tcW w:w="863" w:type="pct"/>
          </w:tcPr>
          <w:p w14:paraId="32DD1A39" w14:textId="77777777" w:rsidR="00BC615E" w:rsidRPr="004774CA" w:rsidRDefault="00BC615E" w:rsidP="00AF3336">
            <w:pPr>
              <w:spacing w:line="240" w:lineRule="auto"/>
            </w:pPr>
          </w:p>
        </w:tc>
        <w:tc>
          <w:tcPr>
            <w:tcW w:w="667" w:type="pct"/>
          </w:tcPr>
          <w:p w14:paraId="6743CFA7" w14:textId="77777777" w:rsidR="00BC615E" w:rsidRPr="004774CA" w:rsidRDefault="00BC615E" w:rsidP="00AF3336">
            <w:pPr>
              <w:spacing w:line="240" w:lineRule="auto"/>
            </w:pPr>
            <w:r w:rsidRPr="004774CA">
              <w:t>3.33</w:t>
            </w:r>
          </w:p>
        </w:tc>
        <w:tc>
          <w:tcPr>
            <w:tcW w:w="485" w:type="pct"/>
          </w:tcPr>
          <w:p w14:paraId="2F82166E" w14:textId="77777777" w:rsidR="00BC615E" w:rsidRPr="004774CA" w:rsidRDefault="00BC615E" w:rsidP="00AF3336">
            <w:pPr>
              <w:spacing w:line="240" w:lineRule="auto"/>
            </w:pPr>
          </w:p>
        </w:tc>
      </w:tr>
      <w:tr w:rsidR="004F2E7F" w:rsidRPr="007404CA" w14:paraId="7CCC1190" w14:textId="77777777" w:rsidTr="004F2E7F">
        <w:trPr>
          <w:trHeight w:val="227"/>
        </w:trPr>
        <w:tc>
          <w:tcPr>
            <w:tcW w:w="1255" w:type="pct"/>
          </w:tcPr>
          <w:p w14:paraId="1014F9AF" w14:textId="77777777" w:rsidR="00BC615E" w:rsidRPr="004774CA" w:rsidRDefault="00BC615E">
            <w:pPr>
              <w:spacing w:line="240" w:lineRule="auto"/>
            </w:pPr>
          </w:p>
        </w:tc>
        <w:tc>
          <w:tcPr>
            <w:tcW w:w="551" w:type="pct"/>
          </w:tcPr>
          <w:p w14:paraId="0FBB650D" w14:textId="77777777" w:rsidR="00BC615E" w:rsidRPr="004774CA" w:rsidRDefault="00BC615E" w:rsidP="00AF3336">
            <w:pPr>
              <w:spacing w:line="240" w:lineRule="auto"/>
            </w:pPr>
          </w:p>
        </w:tc>
        <w:tc>
          <w:tcPr>
            <w:tcW w:w="707" w:type="pct"/>
          </w:tcPr>
          <w:p w14:paraId="23205939" w14:textId="77777777" w:rsidR="00BC615E" w:rsidRPr="004774CA" w:rsidRDefault="00BC615E" w:rsidP="00AF3336">
            <w:pPr>
              <w:spacing w:line="240" w:lineRule="auto"/>
            </w:pPr>
          </w:p>
        </w:tc>
        <w:tc>
          <w:tcPr>
            <w:tcW w:w="472" w:type="pct"/>
          </w:tcPr>
          <w:p w14:paraId="2B0BADB6" w14:textId="77777777" w:rsidR="00BC615E" w:rsidRPr="004774CA" w:rsidRDefault="00BC615E" w:rsidP="00AF3336">
            <w:pPr>
              <w:spacing w:line="240" w:lineRule="auto"/>
            </w:pPr>
          </w:p>
        </w:tc>
        <w:tc>
          <w:tcPr>
            <w:tcW w:w="863" w:type="pct"/>
          </w:tcPr>
          <w:p w14:paraId="7A13D5F6" w14:textId="77777777" w:rsidR="00BC615E" w:rsidRPr="004774CA" w:rsidRDefault="00BC615E" w:rsidP="00AF3336">
            <w:pPr>
              <w:spacing w:line="240" w:lineRule="auto"/>
            </w:pPr>
          </w:p>
        </w:tc>
        <w:tc>
          <w:tcPr>
            <w:tcW w:w="667" w:type="pct"/>
          </w:tcPr>
          <w:p w14:paraId="66043D12" w14:textId="77777777" w:rsidR="00BC615E" w:rsidRPr="004774CA" w:rsidRDefault="00BC615E" w:rsidP="00AF3336">
            <w:pPr>
              <w:spacing w:line="240" w:lineRule="auto"/>
            </w:pPr>
          </w:p>
        </w:tc>
        <w:tc>
          <w:tcPr>
            <w:tcW w:w="485" w:type="pct"/>
          </w:tcPr>
          <w:p w14:paraId="4BA7BB5F" w14:textId="77777777" w:rsidR="00BC615E" w:rsidRPr="004774CA" w:rsidRDefault="00BC615E" w:rsidP="00AF3336">
            <w:pPr>
              <w:spacing w:line="240" w:lineRule="auto"/>
            </w:pPr>
          </w:p>
        </w:tc>
      </w:tr>
      <w:tr w:rsidR="001256E0" w:rsidRPr="007404CA" w14:paraId="4E2D6A8D" w14:textId="77777777" w:rsidTr="004F2E7F">
        <w:trPr>
          <w:trHeight w:val="227"/>
        </w:trPr>
        <w:tc>
          <w:tcPr>
            <w:tcW w:w="1255" w:type="pct"/>
          </w:tcPr>
          <w:p w14:paraId="59B0C05A" w14:textId="60D46417" w:rsidR="001256E0" w:rsidRPr="00302F75" w:rsidRDefault="001256E0">
            <w:pPr>
              <w:spacing w:line="240" w:lineRule="auto"/>
              <w:rPr>
                <w:bCs/>
              </w:rPr>
            </w:pPr>
            <w:r w:rsidRPr="004774CA">
              <w:t>75 – 84</w:t>
            </w:r>
          </w:p>
        </w:tc>
        <w:tc>
          <w:tcPr>
            <w:tcW w:w="551" w:type="pct"/>
          </w:tcPr>
          <w:p w14:paraId="6CD02DE9" w14:textId="77777777" w:rsidR="001256E0" w:rsidRPr="004774CA" w:rsidRDefault="001256E0">
            <w:pPr>
              <w:spacing w:line="240" w:lineRule="auto"/>
            </w:pPr>
          </w:p>
        </w:tc>
        <w:tc>
          <w:tcPr>
            <w:tcW w:w="707" w:type="pct"/>
          </w:tcPr>
          <w:p w14:paraId="097E2F18" w14:textId="77777777" w:rsidR="001256E0" w:rsidRPr="004774CA" w:rsidRDefault="001256E0">
            <w:pPr>
              <w:spacing w:line="240" w:lineRule="auto"/>
            </w:pPr>
          </w:p>
        </w:tc>
        <w:tc>
          <w:tcPr>
            <w:tcW w:w="472" w:type="pct"/>
          </w:tcPr>
          <w:p w14:paraId="48E1717A" w14:textId="77777777" w:rsidR="001256E0" w:rsidRPr="004774CA" w:rsidRDefault="001256E0">
            <w:pPr>
              <w:spacing w:line="240" w:lineRule="auto"/>
            </w:pPr>
          </w:p>
        </w:tc>
        <w:tc>
          <w:tcPr>
            <w:tcW w:w="863" w:type="pct"/>
          </w:tcPr>
          <w:p w14:paraId="0BCB3349" w14:textId="77777777" w:rsidR="001256E0" w:rsidRPr="004774CA" w:rsidRDefault="001256E0">
            <w:pPr>
              <w:spacing w:line="240" w:lineRule="auto"/>
            </w:pPr>
          </w:p>
        </w:tc>
        <w:tc>
          <w:tcPr>
            <w:tcW w:w="667" w:type="pct"/>
          </w:tcPr>
          <w:p w14:paraId="0D7B2275" w14:textId="77777777" w:rsidR="001256E0" w:rsidRPr="004774CA" w:rsidRDefault="001256E0">
            <w:pPr>
              <w:spacing w:line="240" w:lineRule="auto"/>
            </w:pPr>
          </w:p>
        </w:tc>
        <w:tc>
          <w:tcPr>
            <w:tcW w:w="485" w:type="pct"/>
          </w:tcPr>
          <w:p w14:paraId="47E5990D" w14:textId="77777777" w:rsidR="001256E0" w:rsidRPr="004774CA" w:rsidRDefault="001256E0">
            <w:pPr>
              <w:spacing w:line="240" w:lineRule="auto"/>
            </w:pPr>
          </w:p>
        </w:tc>
      </w:tr>
      <w:tr w:rsidR="004F2E7F" w:rsidRPr="007404CA" w14:paraId="3FD08D0D" w14:textId="77777777" w:rsidTr="004F2E7F">
        <w:trPr>
          <w:trHeight w:val="227"/>
        </w:trPr>
        <w:tc>
          <w:tcPr>
            <w:tcW w:w="1255" w:type="pct"/>
          </w:tcPr>
          <w:p w14:paraId="68F39ECA" w14:textId="77777777" w:rsidR="00BC615E" w:rsidRPr="004774CA" w:rsidRDefault="00BC615E">
            <w:pPr>
              <w:spacing w:line="240" w:lineRule="auto"/>
              <w:rPr>
                <w:b/>
              </w:rPr>
            </w:pPr>
            <w:r w:rsidRPr="004774CA">
              <w:t>Fit</w:t>
            </w:r>
          </w:p>
        </w:tc>
        <w:tc>
          <w:tcPr>
            <w:tcW w:w="551" w:type="pct"/>
          </w:tcPr>
          <w:p w14:paraId="07FB6E37" w14:textId="77777777" w:rsidR="00BC615E" w:rsidRPr="004774CA" w:rsidRDefault="00BC615E" w:rsidP="00AF3336">
            <w:pPr>
              <w:spacing w:line="240" w:lineRule="auto"/>
            </w:pPr>
            <w:r w:rsidRPr="004774CA">
              <w:t>3.31</w:t>
            </w:r>
          </w:p>
        </w:tc>
        <w:tc>
          <w:tcPr>
            <w:tcW w:w="707" w:type="pct"/>
          </w:tcPr>
          <w:p w14:paraId="04B1DE96" w14:textId="77777777" w:rsidR="00BC615E" w:rsidRPr="004774CA" w:rsidRDefault="00BC615E" w:rsidP="00AF3336">
            <w:pPr>
              <w:spacing w:line="240" w:lineRule="auto"/>
            </w:pPr>
            <w:r w:rsidRPr="004774CA">
              <w:t>19.97</w:t>
            </w:r>
          </w:p>
        </w:tc>
        <w:tc>
          <w:tcPr>
            <w:tcW w:w="472" w:type="pct"/>
          </w:tcPr>
          <w:p w14:paraId="4F63233A" w14:textId="77777777" w:rsidR="00BC615E" w:rsidRPr="004774CA" w:rsidRDefault="00BC615E" w:rsidP="00AF3336">
            <w:pPr>
              <w:spacing w:line="240" w:lineRule="auto"/>
            </w:pPr>
            <w:r w:rsidRPr="004774CA">
              <w:t>11.2</w:t>
            </w:r>
          </w:p>
        </w:tc>
        <w:tc>
          <w:tcPr>
            <w:tcW w:w="863" w:type="pct"/>
          </w:tcPr>
          <w:p w14:paraId="46E47C8D" w14:textId="77777777" w:rsidR="00BC615E" w:rsidRPr="004774CA" w:rsidRDefault="00BC615E" w:rsidP="00AF3336">
            <w:pPr>
              <w:spacing w:line="240" w:lineRule="auto"/>
            </w:pPr>
            <w:r w:rsidRPr="004774CA">
              <w:t>4.13</w:t>
            </w:r>
          </w:p>
        </w:tc>
        <w:tc>
          <w:tcPr>
            <w:tcW w:w="667" w:type="pct"/>
          </w:tcPr>
          <w:p w14:paraId="468AFA8C" w14:textId="77777777" w:rsidR="00BC615E" w:rsidRPr="004774CA" w:rsidRDefault="00BC615E" w:rsidP="00AF3336">
            <w:pPr>
              <w:spacing w:line="240" w:lineRule="auto"/>
            </w:pPr>
          </w:p>
        </w:tc>
        <w:tc>
          <w:tcPr>
            <w:tcW w:w="485" w:type="pct"/>
          </w:tcPr>
          <w:p w14:paraId="0234D4B3" w14:textId="77777777" w:rsidR="00BC615E" w:rsidRPr="004774CA" w:rsidRDefault="00BC615E" w:rsidP="00AF3336">
            <w:pPr>
              <w:spacing w:line="240" w:lineRule="auto"/>
            </w:pPr>
            <w:r w:rsidRPr="004774CA">
              <w:t>10.12</w:t>
            </w:r>
          </w:p>
        </w:tc>
      </w:tr>
      <w:tr w:rsidR="004F2E7F" w:rsidRPr="007404CA" w14:paraId="2120AC1A" w14:textId="77777777" w:rsidTr="004F2E7F">
        <w:trPr>
          <w:trHeight w:val="227"/>
        </w:trPr>
        <w:tc>
          <w:tcPr>
            <w:tcW w:w="1255" w:type="pct"/>
          </w:tcPr>
          <w:p w14:paraId="3EC00424" w14:textId="77777777" w:rsidR="00BC615E" w:rsidRPr="004774CA" w:rsidRDefault="00BC615E">
            <w:pPr>
              <w:spacing w:line="240" w:lineRule="auto"/>
              <w:rPr>
                <w:b/>
                <w:bCs/>
              </w:rPr>
            </w:pPr>
            <w:r w:rsidRPr="004774CA">
              <w:t>Mild</w:t>
            </w:r>
          </w:p>
        </w:tc>
        <w:tc>
          <w:tcPr>
            <w:tcW w:w="551" w:type="pct"/>
          </w:tcPr>
          <w:p w14:paraId="676BB071" w14:textId="77777777" w:rsidR="00BC615E" w:rsidRPr="004774CA" w:rsidRDefault="00BC615E" w:rsidP="00AF3336">
            <w:pPr>
              <w:spacing w:line="240" w:lineRule="auto"/>
            </w:pPr>
            <w:r w:rsidRPr="004774CA">
              <w:t>4.32</w:t>
            </w:r>
          </w:p>
        </w:tc>
        <w:tc>
          <w:tcPr>
            <w:tcW w:w="707" w:type="pct"/>
          </w:tcPr>
          <w:p w14:paraId="295CD750" w14:textId="77777777" w:rsidR="00BC615E" w:rsidRPr="004774CA" w:rsidRDefault="00BC615E" w:rsidP="00AF3336">
            <w:pPr>
              <w:spacing w:line="240" w:lineRule="auto"/>
            </w:pPr>
            <w:r w:rsidRPr="004774CA">
              <w:t>21.98</w:t>
            </w:r>
          </w:p>
        </w:tc>
        <w:tc>
          <w:tcPr>
            <w:tcW w:w="472" w:type="pct"/>
          </w:tcPr>
          <w:p w14:paraId="69BCDFFE" w14:textId="77777777" w:rsidR="00BC615E" w:rsidRPr="004774CA" w:rsidRDefault="00BC615E" w:rsidP="00AF3336">
            <w:pPr>
              <w:spacing w:line="240" w:lineRule="auto"/>
            </w:pPr>
            <w:r w:rsidRPr="004774CA">
              <w:t>10.7</w:t>
            </w:r>
          </w:p>
        </w:tc>
        <w:tc>
          <w:tcPr>
            <w:tcW w:w="863" w:type="pct"/>
          </w:tcPr>
          <w:p w14:paraId="0DE9FB81" w14:textId="77777777" w:rsidR="00BC615E" w:rsidRPr="004774CA" w:rsidRDefault="00BC615E" w:rsidP="00AF3336">
            <w:pPr>
              <w:spacing w:line="240" w:lineRule="auto"/>
            </w:pPr>
            <w:r w:rsidRPr="004774CA">
              <w:t>6.6</w:t>
            </w:r>
          </w:p>
        </w:tc>
        <w:tc>
          <w:tcPr>
            <w:tcW w:w="667" w:type="pct"/>
          </w:tcPr>
          <w:p w14:paraId="64622A60" w14:textId="77777777" w:rsidR="00BC615E" w:rsidRPr="004774CA" w:rsidRDefault="00BC615E" w:rsidP="00AF3336">
            <w:pPr>
              <w:spacing w:line="240" w:lineRule="auto"/>
            </w:pPr>
          </w:p>
        </w:tc>
        <w:tc>
          <w:tcPr>
            <w:tcW w:w="485" w:type="pct"/>
          </w:tcPr>
          <w:p w14:paraId="25008CA7" w14:textId="77777777" w:rsidR="00BC615E" w:rsidRPr="004774CA" w:rsidRDefault="00BC615E" w:rsidP="00AF3336">
            <w:pPr>
              <w:spacing w:line="240" w:lineRule="auto"/>
            </w:pPr>
            <w:r w:rsidRPr="004774CA">
              <w:t>3.24</w:t>
            </w:r>
          </w:p>
        </w:tc>
      </w:tr>
      <w:tr w:rsidR="004F2E7F" w:rsidRPr="007404CA" w14:paraId="6334F245" w14:textId="77777777" w:rsidTr="004F2E7F">
        <w:trPr>
          <w:trHeight w:val="227"/>
        </w:trPr>
        <w:tc>
          <w:tcPr>
            <w:tcW w:w="1255" w:type="pct"/>
          </w:tcPr>
          <w:p w14:paraId="7D771538" w14:textId="77777777" w:rsidR="00BC615E" w:rsidRPr="004774CA" w:rsidRDefault="00BC615E">
            <w:pPr>
              <w:spacing w:line="240" w:lineRule="auto"/>
              <w:rPr>
                <w:b/>
                <w:bCs/>
              </w:rPr>
            </w:pPr>
            <w:r w:rsidRPr="004774CA">
              <w:t>Moderate</w:t>
            </w:r>
          </w:p>
        </w:tc>
        <w:tc>
          <w:tcPr>
            <w:tcW w:w="551" w:type="pct"/>
          </w:tcPr>
          <w:p w14:paraId="5C75F2E3" w14:textId="77777777" w:rsidR="00BC615E" w:rsidRPr="004774CA" w:rsidRDefault="00BC615E" w:rsidP="00AF3336">
            <w:pPr>
              <w:spacing w:line="240" w:lineRule="auto"/>
            </w:pPr>
            <w:r w:rsidRPr="004774CA">
              <w:t>1.38</w:t>
            </w:r>
          </w:p>
        </w:tc>
        <w:tc>
          <w:tcPr>
            <w:tcW w:w="707" w:type="pct"/>
          </w:tcPr>
          <w:p w14:paraId="33F3DDE2" w14:textId="77777777" w:rsidR="00BC615E" w:rsidRPr="004774CA" w:rsidRDefault="00BC615E" w:rsidP="00AF3336">
            <w:pPr>
              <w:spacing w:line="240" w:lineRule="auto"/>
            </w:pPr>
            <w:r w:rsidRPr="004774CA">
              <w:t>23.23</w:t>
            </w:r>
          </w:p>
        </w:tc>
        <w:tc>
          <w:tcPr>
            <w:tcW w:w="472" w:type="pct"/>
          </w:tcPr>
          <w:p w14:paraId="2D9404C3" w14:textId="77777777" w:rsidR="00BC615E" w:rsidRPr="004774CA" w:rsidRDefault="00BC615E" w:rsidP="00AF3336">
            <w:pPr>
              <w:spacing w:line="240" w:lineRule="auto"/>
            </w:pPr>
            <w:r w:rsidRPr="004774CA">
              <w:t>6.62</w:t>
            </w:r>
          </w:p>
        </w:tc>
        <w:tc>
          <w:tcPr>
            <w:tcW w:w="863" w:type="pct"/>
          </w:tcPr>
          <w:p w14:paraId="228788A1" w14:textId="77777777" w:rsidR="00BC615E" w:rsidRPr="004774CA" w:rsidRDefault="00BC615E" w:rsidP="00AF3336">
            <w:pPr>
              <w:spacing w:line="240" w:lineRule="auto"/>
            </w:pPr>
            <w:r w:rsidRPr="004774CA">
              <w:t>12.34</w:t>
            </w:r>
          </w:p>
        </w:tc>
        <w:tc>
          <w:tcPr>
            <w:tcW w:w="667" w:type="pct"/>
          </w:tcPr>
          <w:p w14:paraId="44914F85" w14:textId="77777777" w:rsidR="00BC615E" w:rsidRPr="004774CA" w:rsidRDefault="00BC615E" w:rsidP="00AF3336">
            <w:pPr>
              <w:spacing w:line="240" w:lineRule="auto"/>
            </w:pPr>
          </w:p>
        </w:tc>
        <w:tc>
          <w:tcPr>
            <w:tcW w:w="485" w:type="pct"/>
          </w:tcPr>
          <w:p w14:paraId="15A482A7" w14:textId="77777777" w:rsidR="00BC615E" w:rsidRPr="004774CA" w:rsidRDefault="00BC615E" w:rsidP="00AF3336">
            <w:pPr>
              <w:spacing w:line="240" w:lineRule="auto"/>
            </w:pPr>
            <w:r w:rsidRPr="004774CA">
              <w:t>7.39</w:t>
            </w:r>
          </w:p>
        </w:tc>
      </w:tr>
      <w:tr w:rsidR="004F2E7F" w:rsidRPr="007404CA" w14:paraId="7E847D17" w14:textId="77777777" w:rsidTr="004F2E7F">
        <w:trPr>
          <w:trHeight w:val="227"/>
        </w:trPr>
        <w:tc>
          <w:tcPr>
            <w:tcW w:w="1255" w:type="pct"/>
          </w:tcPr>
          <w:p w14:paraId="013F245A" w14:textId="77777777" w:rsidR="00BC615E" w:rsidRPr="004774CA" w:rsidRDefault="00BC615E">
            <w:pPr>
              <w:spacing w:line="240" w:lineRule="auto"/>
              <w:rPr>
                <w:b/>
                <w:bCs/>
              </w:rPr>
            </w:pPr>
            <w:r w:rsidRPr="004774CA">
              <w:t>Severe</w:t>
            </w:r>
          </w:p>
        </w:tc>
        <w:tc>
          <w:tcPr>
            <w:tcW w:w="551" w:type="pct"/>
          </w:tcPr>
          <w:p w14:paraId="6E6237A8" w14:textId="77777777" w:rsidR="00BC615E" w:rsidRPr="004774CA" w:rsidRDefault="00BC615E" w:rsidP="00AF3336">
            <w:pPr>
              <w:spacing w:line="240" w:lineRule="auto"/>
            </w:pPr>
            <w:r w:rsidRPr="004774CA">
              <w:t>2.33</w:t>
            </w:r>
          </w:p>
        </w:tc>
        <w:tc>
          <w:tcPr>
            <w:tcW w:w="707" w:type="pct"/>
          </w:tcPr>
          <w:p w14:paraId="48FE1341" w14:textId="77777777" w:rsidR="00BC615E" w:rsidRPr="004774CA" w:rsidRDefault="00BC615E" w:rsidP="00AF3336">
            <w:pPr>
              <w:spacing w:line="240" w:lineRule="auto"/>
            </w:pPr>
            <w:r w:rsidRPr="004774CA">
              <w:t>27.49</w:t>
            </w:r>
          </w:p>
        </w:tc>
        <w:tc>
          <w:tcPr>
            <w:tcW w:w="472" w:type="pct"/>
          </w:tcPr>
          <w:p w14:paraId="5635874B" w14:textId="77777777" w:rsidR="00BC615E" w:rsidRPr="004774CA" w:rsidRDefault="00BC615E" w:rsidP="00AF3336">
            <w:pPr>
              <w:spacing w:line="240" w:lineRule="auto"/>
            </w:pPr>
            <w:r w:rsidRPr="004774CA">
              <w:t>1.99</w:t>
            </w:r>
          </w:p>
        </w:tc>
        <w:tc>
          <w:tcPr>
            <w:tcW w:w="863" w:type="pct"/>
          </w:tcPr>
          <w:p w14:paraId="5E942A8D" w14:textId="77777777" w:rsidR="00BC615E" w:rsidRPr="004774CA" w:rsidRDefault="00BC615E" w:rsidP="00AF3336">
            <w:pPr>
              <w:spacing w:line="240" w:lineRule="auto"/>
            </w:pPr>
            <w:r w:rsidRPr="004774CA">
              <w:t>4.32</w:t>
            </w:r>
          </w:p>
        </w:tc>
        <w:tc>
          <w:tcPr>
            <w:tcW w:w="667" w:type="pct"/>
          </w:tcPr>
          <w:p w14:paraId="7531490C" w14:textId="77777777" w:rsidR="00BC615E" w:rsidRPr="004774CA" w:rsidRDefault="00BC615E" w:rsidP="00AF3336">
            <w:pPr>
              <w:spacing w:line="240" w:lineRule="auto"/>
            </w:pPr>
          </w:p>
        </w:tc>
        <w:tc>
          <w:tcPr>
            <w:tcW w:w="485" w:type="pct"/>
          </w:tcPr>
          <w:p w14:paraId="7ECC4BCA" w14:textId="77777777" w:rsidR="00BC615E" w:rsidRPr="004774CA" w:rsidRDefault="00BC615E" w:rsidP="00AF3336">
            <w:pPr>
              <w:spacing w:line="240" w:lineRule="auto"/>
            </w:pPr>
            <w:r w:rsidRPr="004774CA">
              <w:t>3.19</w:t>
            </w:r>
          </w:p>
        </w:tc>
      </w:tr>
      <w:tr w:rsidR="004F2E7F" w:rsidRPr="007404CA" w14:paraId="5341600E" w14:textId="77777777" w:rsidTr="004F2E7F">
        <w:trPr>
          <w:trHeight w:val="227"/>
        </w:trPr>
        <w:tc>
          <w:tcPr>
            <w:tcW w:w="1255" w:type="pct"/>
          </w:tcPr>
          <w:p w14:paraId="3BBFCD2C" w14:textId="77777777" w:rsidR="00BC615E" w:rsidRPr="004774CA" w:rsidRDefault="00BC615E">
            <w:pPr>
              <w:spacing w:line="240" w:lineRule="auto"/>
              <w:rPr>
                <w:b/>
                <w:bCs/>
              </w:rPr>
            </w:pPr>
            <w:r w:rsidRPr="004774CA">
              <w:t>Fit to Mild</w:t>
            </w:r>
          </w:p>
        </w:tc>
        <w:tc>
          <w:tcPr>
            <w:tcW w:w="551" w:type="pct"/>
          </w:tcPr>
          <w:p w14:paraId="482EE787" w14:textId="77777777" w:rsidR="00BC615E" w:rsidRPr="004774CA" w:rsidRDefault="00BC615E" w:rsidP="00AF3336">
            <w:pPr>
              <w:spacing w:line="240" w:lineRule="auto"/>
            </w:pPr>
          </w:p>
        </w:tc>
        <w:tc>
          <w:tcPr>
            <w:tcW w:w="707" w:type="pct"/>
          </w:tcPr>
          <w:p w14:paraId="4A74F804" w14:textId="77777777" w:rsidR="00BC615E" w:rsidRPr="004774CA" w:rsidRDefault="00BC615E" w:rsidP="00AF3336">
            <w:pPr>
              <w:spacing w:line="240" w:lineRule="auto"/>
            </w:pPr>
          </w:p>
        </w:tc>
        <w:tc>
          <w:tcPr>
            <w:tcW w:w="472" w:type="pct"/>
          </w:tcPr>
          <w:p w14:paraId="045B805B" w14:textId="77777777" w:rsidR="00BC615E" w:rsidRPr="004774CA" w:rsidRDefault="00BC615E" w:rsidP="00AF3336">
            <w:pPr>
              <w:spacing w:line="240" w:lineRule="auto"/>
            </w:pPr>
          </w:p>
        </w:tc>
        <w:tc>
          <w:tcPr>
            <w:tcW w:w="863" w:type="pct"/>
          </w:tcPr>
          <w:p w14:paraId="4557E0CD" w14:textId="77777777" w:rsidR="00BC615E" w:rsidRPr="004774CA" w:rsidRDefault="00BC615E" w:rsidP="00AF3336">
            <w:pPr>
              <w:spacing w:line="240" w:lineRule="auto"/>
            </w:pPr>
          </w:p>
        </w:tc>
        <w:tc>
          <w:tcPr>
            <w:tcW w:w="667" w:type="pct"/>
          </w:tcPr>
          <w:p w14:paraId="5757E5B9" w14:textId="77777777" w:rsidR="00BC615E" w:rsidRPr="004774CA" w:rsidRDefault="00BC615E" w:rsidP="00AF3336">
            <w:pPr>
              <w:spacing w:line="240" w:lineRule="auto"/>
            </w:pPr>
            <w:r w:rsidRPr="004774CA">
              <w:t>10.61</w:t>
            </w:r>
          </w:p>
        </w:tc>
        <w:tc>
          <w:tcPr>
            <w:tcW w:w="485" w:type="pct"/>
          </w:tcPr>
          <w:p w14:paraId="6214CE76" w14:textId="77777777" w:rsidR="00BC615E" w:rsidRPr="004774CA" w:rsidRDefault="00BC615E" w:rsidP="00AF3336">
            <w:pPr>
              <w:spacing w:line="240" w:lineRule="auto"/>
            </w:pPr>
          </w:p>
        </w:tc>
      </w:tr>
      <w:tr w:rsidR="004F2E7F" w:rsidRPr="007404CA" w14:paraId="0085349F" w14:textId="77777777" w:rsidTr="004F2E7F">
        <w:trPr>
          <w:trHeight w:val="227"/>
        </w:trPr>
        <w:tc>
          <w:tcPr>
            <w:tcW w:w="1255" w:type="pct"/>
          </w:tcPr>
          <w:p w14:paraId="0E0ED51A" w14:textId="77777777" w:rsidR="00BC615E" w:rsidRPr="004774CA" w:rsidRDefault="00BC615E">
            <w:pPr>
              <w:spacing w:line="240" w:lineRule="auto"/>
              <w:rPr>
                <w:b/>
                <w:bCs/>
              </w:rPr>
            </w:pPr>
            <w:r w:rsidRPr="004774CA">
              <w:t>Mild to Moderate</w:t>
            </w:r>
          </w:p>
        </w:tc>
        <w:tc>
          <w:tcPr>
            <w:tcW w:w="551" w:type="pct"/>
          </w:tcPr>
          <w:p w14:paraId="6A11FC04" w14:textId="77777777" w:rsidR="00BC615E" w:rsidRPr="004774CA" w:rsidRDefault="00BC615E" w:rsidP="00AF3336">
            <w:pPr>
              <w:spacing w:line="240" w:lineRule="auto"/>
            </w:pPr>
          </w:p>
        </w:tc>
        <w:tc>
          <w:tcPr>
            <w:tcW w:w="707" w:type="pct"/>
          </w:tcPr>
          <w:p w14:paraId="4EFE20C9" w14:textId="77777777" w:rsidR="00BC615E" w:rsidRPr="004774CA" w:rsidRDefault="00BC615E" w:rsidP="00AF3336">
            <w:pPr>
              <w:spacing w:line="240" w:lineRule="auto"/>
            </w:pPr>
          </w:p>
        </w:tc>
        <w:tc>
          <w:tcPr>
            <w:tcW w:w="472" w:type="pct"/>
          </w:tcPr>
          <w:p w14:paraId="063C981D" w14:textId="77777777" w:rsidR="00BC615E" w:rsidRPr="004774CA" w:rsidRDefault="00BC615E" w:rsidP="00AF3336">
            <w:pPr>
              <w:spacing w:line="240" w:lineRule="auto"/>
            </w:pPr>
          </w:p>
        </w:tc>
        <w:tc>
          <w:tcPr>
            <w:tcW w:w="863" w:type="pct"/>
          </w:tcPr>
          <w:p w14:paraId="5DA442E3" w14:textId="77777777" w:rsidR="00BC615E" w:rsidRPr="004774CA" w:rsidRDefault="00BC615E" w:rsidP="00AF3336">
            <w:pPr>
              <w:spacing w:line="240" w:lineRule="auto"/>
            </w:pPr>
          </w:p>
        </w:tc>
        <w:tc>
          <w:tcPr>
            <w:tcW w:w="667" w:type="pct"/>
          </w:tcPr>
          <w:p w14:paraId="01A6DAB5" w14:textId="77777777" w:rsidR="00BC615E" w:rsidRPr="004774CA" w:rsidRDefault="00BC615E" w:rsidP="00AF3336">
            <w:pPr>
              <w:spacing w:line="240" w:lineRule="auto"/>
            </w:pPr>
            <w:r w:rsidRPr="004774CA">
              <w:t>4.39</w:t>
            </w:r>
          </w:p>
        </w:tc>
        <w:tc>
          <w:tcPr>
            <w:tcW w:w="485" w:type="pct"/>
          </w:tcPr>
          <w:p w14:paraId="7920F5DE" w14:textId="77777777" w:rsidR="00BC615E" w:rsidRPr="004774CA" w:rsidRDefault="00BC615E" w:rsidP="00AF3336">
            <w:pPr>
              <w:spacing w:line="240" w:lineRule="auto"/>
            </w:pPr>
          </w:p>
        </w:tc>
      </w:tr>
      <w:tr w:rsidR="004F2E7F" w:rsidRPr="007404CA" w14:paraId="65DF414C" w14:textId="77777777" w:rsidTr="004F2E7F">
        <w:trPr>
          <w:trHeight w:val="227"/>
        </w:trPr>
        <w:tc>
          <w:tcPr>
            <w:tcW w:w="1255" w:type="pct"/>
          </w:tcPr>
          <w:p w14:paraId="1140773B" w14:textId="77777777" w:rsidR="00BC615E" w:rsidRPr="004774CA" w:rsidRDefault="00BC615E">
            <w:pPr>
              <w:spacing w:line="240" w:lineRule="auto"/>
              <w:rPr>
                <w:b/>
                <w:bCs/>
              </w:rPr>
            </w:pPr>
            <w:r w:rsidRPr="004774CA">
              <w:t>Moderate to Severe</w:t>
            </w:r>
          </w:p>
        </w:tc>
        <w:tc>
          <w:tcPr>
            <w:tcW w:w="551" w:type="pct"/>
          </w:tcPr>
          <w:p w14:paraId="712AC023" w14:textId="77777777" w:rsidR="00BC615E" w:rsidRPr="004774CA" w:rsidRDefault="00BC615E" w:rsidP="00AF3336">
            <w:pPr>
              <w:spacing w:line="240" w:lineRule="auto"/>
            </w:pPr>
          </w:p>
        </w:tc>
        <w:tc>
          <w:tcPr>
            <w:tcW w:w="707" w:type="pct"/>
          </w:tcPr>
          <w:p w14:paraId="101A02C7" w14:textId="77777777" w:rsidR="00BC615E" w:rsidRPr="004774CA" w:rsidRDefault="00BC615E" w:rsidP="00AF3336">
            <w:pPr>
              <w:spacing w:line="240" w:lineRule="auto"/>
            </w:pPr>
          </w:p>
        </w:tc>
        <w:tc>
          <w:tcPr>
            <w:tcW w:w="472" w:type="pct"/>
          </w:tcPr>
          <w:p w14:paraId="50E9587F" w14:textId="77777777" w:rsidR="00BC615E" w:rsidRPr="004774CA" w:rsidRDefault="00BC615E" w:rsidP="00AF3336">
            <w:pPr>
              <w:spacing w:line="240" w:lineRule="auto"/>
            </w:pPr>
          </w:p>
        </w:tc>
        <w:tc>
          <w:tcPr>
            <w:tcW w:w="863" w:type="pct"/>
          </w:tcPr>
          <w:p w14:paraId="22F4CF90" w14:textId="77777777" w:rsidR="00BC615E" w:rsidRPr="004774CA" w:rsidRDefault="00BC615E" w:rsidP="00AF3336">
            <w:pPr>
              <w:spacing w:line="240" w:lineRule="auto"/>
            </w:pPr>
          </w:p>
        </w:tc>
        <w:tc>
          <w:tcPr>
            <w:tcW w:w="667" w:type="pct"/>
          </w:tcPr>
          <w:p w14:paraId="24CB8F78" w14:textId="77777777" w:rsidR="00BC615E" w:rsidRPr="004774CA" w:rsidRDefault="00BC615E" w:rsidP="00AF3336">
            <w:pPr>
              <w:spacing w:line="240" w:lineRule="auto"/>
            </w:pPr>
            <w:r w:rsidRPr="004774CA">
              <w:t>5.37</w:t>
            </w:r>
          </w:p>
        </w:tc>
        <w:tc>
          <w:tcPr>
            <w:tcW w:w="485" w:type="pct"/>
          </w:tcPr>
          <w:p w14:paraId="304BC55D" w14:textId="77777777" w:rsidR="00BC615E" w:rsidRPr="004774CA" w:rsidRDefault="00BC615E" w:rsidP="00AF3336">
            <w:pPr>
              <w:spacing w:line="240" w:lineRule="auto"/>
            </w:pPr>
          </w:p>
        </w:tc>
      </w:tr>
      <w:tr w:rsidR="004F2E7F" w:rsidRPr="007404CA" w14:paraId="2AF25B63" w14:textId="77777777" w:rsidTr="004F2E7F">
        <w:trPr>
          <w:trHeight w:val="227"/>
        </w:trPr>
        <w:tc>
          <w:tcPr>
            <w:tcW w:w="1255" w:type="pct"/>
          </w:tcPr>
          <w:p w14:paraId="40D8E982" w14:textId="77777777" w:rsidR="00BC615E" w:rsidRPr="004774CA" w:rsidRDefault="00BC615E">
            <w:pPr>
              <w:spacing w:line="240" w:lineRule="auto"/>
            </w:pPr>
          </w:p>
        </w:tc>
        <w:tc>
          <w:tcPr>
            <w:tcW w:w="551" w:type="pct"/>
          </w:tcPr>
          <w:p w14:paraId="5C830574" w14:textId="77777777" w:rsidR="00BC615E" w:rsidRPr="004774CA" w:rsidRDefault="00BC615E" w:rsidP="00AF3336">
            <w:pPr>
              <w:spacing w:line="240" w:lineRule="auto"/>
            </w:pPr>
          </w:p>
        </w:tc>
        <w:tc>
          <w:tcPr>
            <w:tcW w:w="707" w:type="pct"/>
          </w:tcPr>
          <w:p w14:paraId="29751C31" w14:textId="77777777" w:rsidR="00BC615E" w:rsidRPr="004774CA" w:rsidRDefault="00BC615E" w:rsidP="00AF3336">
            <w:pPr>
              <w:spacing w:line="240" w:lineRule="auto"/>
            </w:pPr>
          </w:p>
        </w:tc>
        <w:tc>
          <w:tcPr>
            <w:tcW w:w="472" w:type="pct"/>
          </w:tcPr>
          <w:p w14:paraId="0CC7509B" w14:textId="77777777" w:rsidR="00BC615E" w:rsidRPr="004774CA" w:rsidRDefault="00BC615E" w:rsidP="00AF3336">
            <w:pPr>
              <w:spacing w:line="240" w:lineRule="auto"/>
            </w:pPr>
          </w:p>
        </w:tc>
        <w:tc>
          <w:tcPr>
            <w:tcW w:w="863" w:type="pct"/>
          </w:tcPr>
          <w:p w14:paraId="556C04C0" w14:textId="77777777" w:rsidR="00BC615E" w:rsidRPr="004774CA" w:rsidRDefault="00BC615E" w:rsidP="00AF3336">
            <w:pPr>
              <w:spacing w:line="240" w:lineRule="auto"/>
            </w:pPr>
          </w:p>
        </w:tc>
        <w:tc>
          <w:tcPr>
            <w:tcW w:w="667" w:type="pct"/>
          </w:tcPr>
          <w:p w14:paraId="2BFF2DAA" w14:textId="77777777" w:rsidR="00BC615E" w:rsidRPr="004774CA" w:rsidRDefault="00BC615E" w:rsidP="00AF3336">
            <w:pPr>
              <w:spacing w:line="240" w:lineRule="auto"/>
            </w:pPr>
          </w:p>
        </w:tc>
        <w:tc>
          <w:tcPr>
            <w:tcW w:w="485" w:type="pct"/>
          </w:tcPr>
          <w:p w14:paraId="7787AC85" w14:textId="77777777" w:rsidR="00BC615E" w:rsidRPr="004774CA" w:rsidRDefault="00BC615E" w:rsidP="00AF3336">
            <w:pPr>
              <w:spacing w:line="240" w:lineRule="auto"/>
            </w:pPr>
          </w:p>
        </w:tc>
      </w:tr>
      <w:tr w:rsidR="001256E0" w:rsidRPr="007404CA" w14:paraId="631713F4" w14:textId="77777777" w:rsidTr="004F2E7F">
        <w:trPr>
          <w:trHeight w:val="227"/>
        </w:trPr>
        <w:tc>
          <w:tcPr>
            <w:tcW w:w="1255" w:type="pct"/>
          </w:tcPr>
          <w:p w14:paraId="1FC1F28E" w14:textId="091F6357" w:rsidR="001256E0" w:rsidRPr="004774CA" w:rsidRDefault="001256E0">
            <w:pPr>
              <w:spacing w:line="240" w:lineRule="auto"/>
            </w:pPr>
            <w:r>
              <w:t>85+</w:t>
            </w:r>
          </w:p>
        </w:tc>
        <w:tc>
          <w:tcPr>
            <w:tcW w:w="551" w:type="pct"/>
          </w:tcPr>
          <w:p w14:paraId="6E82EFA0" w14:textId="77777777" w:rsidR="001256E0" w:rsidRPr="004774CA" w:rsidRDefault="001256E0">
            <w:pPr>
              <w:spacing w:line="240" w:lineRule="auto"/>
            </w:pPr>
          </w:p>
        </w:tc>
        <w:tc>
          <w:tcPr>
            <w:tcW w:w="707" w:type="pct"/>
          </w:tcPr>
          <w:p w14:paraId="302FB640" w14:textId="77777777" w:rsidR="001256E0" w:rsidRPr="004774CA" w:rsidRDefault="001256E0">
            <w:pPr>
              <w:spacing w:line="240" w:lineRule="auto"/>
            </w:pPr>
          </w:p>
        </w:tc>
        <w:tc>
          <w:tcPr>
            <w:tcW w:w="472" w:type="pct"/>
          </w:tcPr>
          <w:p w14:paraId="316F8919" w14:textId="77777777" w:rsidR="001256E0" w:rsidRPr="004774CA" w:rsidRDefault="001256E0">
            <w:pPr>
              <w:spacing w:line="240" w:lineRule="auto"/>
            </w:pPr>
          </w:p>
        </w:tc>
        <w:tc>
          <w:tcPr>
            <w:tcW w:w="863" w:type="pct"/>
          </w:tcPr>
          <w:p w14:paraId="1EEB4160" w14:textId="77777777" w:rsidR="001256E0" w:rsidRPr="004774CA" w:rsidRDefault="001256E0">
            <w:pPr>
              <w:spacing w:line="240" w:lineRule="auto"/>
            </w:pPr>
          </w:p>
        </w:tc>
        <w:tc>
          <w:tcPr>
            <w:tcW w:w="667" w:type="pct"/>
          </w:tcPr>
          <w:p w14:paraId="4237C9AE" w14:textId="77777777" w:rsidR="001256E0" w:rsidRPr="004774CA" w:rsidRDefault="001256E0">
            <w:pPr>
              <w:spacing w:line="240" w:lineRule="auto"/>
            </w:pPr>
          </w:p>
        </w:tc>
        <w:tc>
          <w:tcPr>
            <w:tcW w:w="485" w:type="pct"/>
          </w:tcPr>
          <w:p w14:paraId="7140EED3" w14:textId="77777777" w:rsidR="001256E0" w:rsidRPr="004774CA" w:rsidRDefault="001256E0">
            <w:pPr>
              <w:spacing w:line="240" w:lineRule="auto"/>
            </w:pPr>
          </w:p>
        </w:tc>
      </w:tr>
      <w:tr w:rsidR="004F2E7F" w:rsidRPr="007404CA" w14:paraId="26129E67" w14:textId="77777777" w:rsidTr="004F2E7F">
        <w:trPr>
          <w:trHeight w:val="227"/>
        </w:trPr>
        <w:tc>
          <w:tcPr>
            <w:tcW w:w="1255" w:type="pct"/>
          </w:tcPr>
          <w:p w14:paraId="157CB242" w14:textId="77777777" w:rsidR="00BC615E" w:rsidRPr="004774CA" w:rsidRDefault="00BC615E">
            <w:pPr>
              <w:spacing w:line="240" w:lineRule="auto"/>
              <w:rPr>
                <w:b/>
                <w:bCs/>
              </w:rPr>
            </w:pPr>
            <w:r w:rsidRPr="004774CA">
              <w:t>Fit</w:t>
            </w:r>
          </w:p>
        </w:tc>
        <w:tc>
          <w:tcPr>
            <w:tcW w:w="551" w:type="pct"/>
          </w:tcPr>
          <w:p w14:paraId="0C9B27F3" w14:textId="77777777" w:rsidR="00BC615E" w:rsidRPr="004774CA" w:rsidRDefault="00BC615E" w:rsidP="00AF3336">
            <w:pPr>
              <w:spacing w:line="240" w:lineRule="auto"/>
            </w:pPr>
            <w:r w:rsidRPr="004774CA">
              <w:t>9.12</w:t>
            </w:r>
          </w:p>
        </w:tc>
        <w:tc>
          <w:tcPr>
            <w:tcW w:w="707" w:type="pct"/>
          </w:tcPr>
          <w:p w14:paraId="5130E2AE" w14:textId="77777777" w:rsidR="00BC615E" w:rsidRPr="004774CA" w:rsidRDefault="00BC615E" w:rsidP="00AF3336">
            <w:pPr>
              <w:spacing w:line="240" w:lineRule="auto"/>
            </w:pPr>
            <w:r w:rsidRPr="004774CA">
              <w:t>12.02</w:t>
            </w:r>
          </w:p>
        </w:tc>
        <w:tc>
          <w:tcPr>
            <w:tcW w:w="472" w:type="pct"/>
          </w:tcPr>
          <w:p w14:paraId="35F7F43D" w14:textId="77777777" w:rsidR="00BC615E" w:rsidRPr="004774CA" w:rsidRDefault="00BC615E" w:rsidP="00AF3336">
            <w:pPr>
              <w:spacing w:line="240" w:lineRule="auto"/>
            </w:pPr>
            <w:r w:rsidRPr="004774CA">
              <w:t>8.01</w:t>
            </w:r>
          </w:p>
        </w:tc>
        <w:tc>
          <w:tcPr>
            <w:tcW w:w="863" w:type="pct"/>
          </w:tcPr>
          <w:p w14:paraId="2D495170" w14:textId="77777777" w:rsidR="00BC615E" w:rsidRPr="004774CA" w:rsidRDefault="00BC615E" w:rsidP="00AF3336">
            <w:pPr>
              <w:spacing w:line="240" w:lineRule="auto"/>
            </w:pPr>
            <w:r w:rsidRPr="004774CA">
              <w:t>7.38</w:t>
            </w:r>
          </w:p>
        </w:tc>
        <w:tc>
          <w:tcPr>
            <w:tcW w:w="667" w:type="pct"/>
          </w:tcPr>
          <w:p w14:paraId="70C5F6CC" w14:textId="77777777" w:rsidR="00BC615E" w:rsidRPr="004774CA" w:rsidRDefault="00BC615E" w:rsidP="00AF3336">
            <w:pPr>
              <w:spacing w:line="240" w:lineRule="auto"/>
            </w:pPr>
          </w:p>
        </w:tc>
        <w:tc>
          <w:tcPr>
            <w:tcW w:w="485" w:type="pct"/>
          </w:tcPr>
          <w:p w14:paraId="2CC1E8F4" w14:textId="77777777" w:rsidR="00BC615E" w:rsidRPr="004774CA" w:rsidRDefault="00BC615E" w:rsidP="00AF3336">
            <w:pPr>
              <w:spacing w:line="240" w:lineRule="auto"/>
            </w:pPr>
            <w:r w:rsidRPr="004774CA">
              <w:t>n/a</w:t>
            </w:r>
          </w:p>
        </w:tc>
      </w:tr>
      <w:tr w:rsidR="004F2E7F" w:rsidRPr="007404CA" w14:paraId="16E739F7" w14:textId="77777777" w:rsidTr="004F2E7F">
        <w:trPr>
          <w:trHeight w:val="227"/>
        </w:trPr>
        <w:tc>
          <w:tcPr>
            <w:tcW w:w="1255" w:type="pct"/>
          </w:tcPr>
          <w:p w14:paraId="33538D04" w14:textId="77777777" w:rsidR="00BC615E" w:rsidRPr="004774CA" w:rsidRDefault="00BC615E">
            <w:pPr>
              <w:spacing w:line="240" w:lineRule="auto"/>
              <w:rPr>
                <w:b/>
                <w:bCs/>
              </w:rPr>
            </w:pPr>
            <w:r w:rsidRPr="004774CA">
              <w:t>Mild</w:t>
            </w:r>
          </w:p>
        </w:tc>
        <w:tc>
          <w:tcPr>
            <w:tcW w:w="551" w:type="pct"/>
          </w:tcPr>
          <w:p w14:paraId="2755A3C1" w14:textId="77777777" w:rsidR="00BC615E" w:rsidRPr="004774CA" w:rsidRDefault="00BC615E" w:rsidP="00AF3336">
            <w:pPr>
              <w:spacing w:line="240" w:lineRule="auto"/>
            </w:pPr>
            <w:r w:rsidRPr="004774CA">
              <w:t>4.15</w:t>
            </w:r>
          </w:p>
        </w:tc>
        <w:tc>
          <w:tcPr>
            <w:tcW w:w="707" w:type="pct"/>
          </w:tcPr>
          <w:p w14:paraId="1B77D9AA" w14:textId="77777777" w:rsidR="00BC615E" w:rsidRPr="004774CA" w:rsidRDefault="00BC615E" w:rsidP="00AF3336">
            <w:pPr>
              <w:spacing w:line="240" w:lineRule="auto"/>
            </w:pPr>
            <w:r w:rsidRPr="004774CA">
              <w:t>15.76</w:t>
            </w:r>
          </w:p>
        </w:tc>
        <w:tc>
          <w:tcPr>
            <w:tcW w:w="472" w:type="pct"/>
          </w:tcPr>
          <w:p w14:paraId="5FE60B39" w14:textId="77777777" w:rsidR="00BC615E" w:rsidRPr="004774CA" w:rsidRDefault="00BC615E" w:rsidP="00AF3336">
            <w:pPr>
              <w:spacing w:line="240" w:lineRule="auto"/>
            </w:pPr>
            <w:r w:rsidRPr="004774CA">
              <w:t>6.70</w:t>
            </w:r>
          </w:p>
        </w:tc>
        <w:tc>
          <w:tcPr>
            <w:tcW w:w="863" w:type="pct"/>
          </w:tcPr>
          <w:p w14:paraId="174979F4" w14:textId="77777777" w:rsidR="00BC615E" w:rsidRPr="004774CA" w:rsidRDefault="00BC615E" w:rsidP="00AF3336">
            <w:pPr>
              <w:spacing w:line="240" w:lineRule="auto"/>
            </w:pPr>
            <w:r w:rsidRPr="004774CA">
              <w:t>8.23</w:t>
            </w:r>
          </w:p>
        </w:tc>
        <w:tc>
          <w:tcPr>
            <w:tcW w:w="667" w:type="pct"/>
          </w:tcPr>
          <w:p w14:paraId="78D83CDC" w14:textId="77777777" w:rsidR="00BC615E" w:rsidRPr="004774CA" w:rsidRDefault="00BC615E" w:rsidP="00AF3336">
            <w:pPr>
              <w:spacing w:line="240" w:lineRule="auto"/>
            </w:pPr>
          </w:p>
        </w:tc>
        <w:tc>
          <w:tcPr>
            <w:tcW w:w="485" w:type="pct"/>
          </w:tcPr>
          <w:p w14:paraId="1AA3BF1B" w14:textId="77777777" w:rsidR="00BC615E" w:rsidRPr="004774CA" w:rsidRDefault="00BC615E" w:rsidP="00AF3336">
            <w:pPr>
              <w:spacing w:line="240" w:lineRule="auto"/>
            </w:pPr>
            <w:r w:rsidRPr="004774CA">
              <w:t>n/a</w:t>
            </w:r>
          </w:p>
        </w:tc>
      </w:tr>
      <w:tr w:rsidR="004F2E7F" w:rsidRPr="007404CA" w14:paraId="2F619473" w14:textId="77777777" w:rsidTr="004F2E7F">
        <w:trPr>
          <w:trHeight w:val="227"/>
        </w:trPr>
        <w:tc>
          <w:tcPr>
            <w:tcW w:w="1255" w:type="pct"/>
          </w:tcPr>
          <w:p w14:paraId="3FA77353" w14:textId="77777777" w:rsidR="00BC615E" w:rsidRPr="004774CA" w:rsidRDefault="00BC615E">
            <w:pPr>
              <w:spacing w:line="240" w:lineRule="auto"/>
              <w:rPr>
                <w:b/>
                <w:bCs/>
              </w:rPr>
            </w:pPr>
            <w:r w:rsidRPr="004774CA">
              <w:t>Moderate</w:t>
            </w:r>
          </w:p>
        </w:tc>
        <w:tc>
          <w:tcPr>
            <w:tcW w:w="551" w:type="pct"/>
          </w:tcPr>
          <w:p w14:paraId="160012A5" w14:textId="77777777" w:rsidR="00BC615E" w:rsidRPr="004774CA" w:rsidRDefault="00BC615E" w:rsidP="00AF3336">
            <w:pPr>
              <w:spacing w:line="240" w:lineRule="auto"/>
            </w:pPr>
            <w:r w:rsidRPr="004774CA">
              <w:t>2.93</w:t>
            </w:r>
          </w:p>
        </w:tc>
        <w:tc>
          <w:tcPr>
            <w:tcW w:w="707" w:type="pct"/>
          </w:tcPr>
          <w:p w14:paraId="1BD7EF1A" w14:textId="77777777" w:rsidR="00BC615E" w:rsidRPr="004774CA" w:rsidRDefault="00BC615E" w:rsidP="00AF3336">
            <w:pPr>
              <w:spacing w:line="240" w:lineRule="auto"/>
            </w:pPr>
            <w:r w:rsidRPr="004774CA">
              <w:t>19.19</w:t>
            </w:r>
          </w:p>
        </w:tc>
        <w:tc>
          <w:tcPr>
            <w:tcW w:w="472" w:type="pct"/>
          </w:tcPr>
          <w:p w14:paraId="45FC83E6" w14:textId="77777777" w:rsidR="00BC615E" w:rsidRPr="004774CA" w:rsidRDefault="00BC615E" w:rsidP="00AF3336">
            <w:pPr>
              <w:spacing w:line="240" w:lineRule="auto"/>
            </w:pPr>
            <w:r w:rsidRPr="004774CA">
              <w:t>3.09</w:t>
            </w:r>
          </w:p>
        </w:tc>
        <w:tc>
          <w:tcPr>
            <w:tcW w:w="863" w:type="pct"/>
          </w:tcPr>
          <w:p w14:paraId="035CE507" w14:textId="77777777" w:rsidR="00BC615E" w:rsidRPr="004774CA" w:rsidRDefault="00BC615E" w:rsidP="00AF3336">
            <w:pPr>
              <w:spacing w:line="240" w:lineRule="auto"/>
            </w:pPr>
            <w:r w:rsidRPr="004774CA">
              <w:t>11.13</w:t>
            </w:r>
          </w:p>
        </w:tc>
        <w:tc>
          <w:tcPr>
            <w:tcW w:w="667" w:type="pct"/>
          </w:tcPr>
          <w:p w14:paraId="1DCAE22F" w14:textId="77777777" w:rsidR="00BC615E" w:rsidRPr="004774CA" w:rsidRDefault="00BC615E" w:rsidP="00AF3336">
            <w:pPr>
              <w:spacing w:line="240" w:lineRule="auto"/>
            </w:pPr>
          </w:p>
        </w:tc>
        <w:tc>
          <w:tcPr>
            <w:tcW w:w="485" w:type="pct"/>
          </w:tcPr>
          <w:p w14:paraId="0B53F819" w14:textId="77777777" w:rsidR="00BC615E" w:rsidRPr="004774CA" w:rsidRDefault="00BC615E" w:rsidP="00AF3336">
            <w:pPr>
              <w:spacing w:line="240" w:lineRule="auto"/>
            </w:pPr>
            <w:r w:rsidRPr="004774CA">
              <w:t>n/a</w:t>
            </w:r>
          </w:p>
        </w:tc>
      </w:tr>
      <w:tr w:rsidR="004F2E7F" w:rsidRPr="007404CA" w14:paraId="7075E19A" w14:textId="77777777" w:rsidTr="004F2E7F">
        <w:trPr>
          <w:trHeight w:val="227"/>
        </w:trPr>
        <w:tc>
          <w:tcPr>
            <w:tcW w:w="1255" w:type="pct"/>
          </w:tcPr>
          <w:p w14:paraId="4D88D08D" w14:textId="77777777" w:rsidR="00BC615E" w:rsidRPr="004774CA" w:rsidRDefault="00BC615E">
            <w:pPr>
              <w:spacing w:line="240" w:lineRule="auto"/>
              <w:rPr>
                <w:b/>
                <w:bCs/>
              </w:rPr>
            </w:pPr>
            <w:r w:rsidRPr="004774CA">
              <w:t>Severe</w:t>
            </w:r>
          </w:p>
        </w:tc>
        <w:tc>
          <w:tcPr>
            <w:tcW w:w="551" w:type="pct"/>
          </w:tcPr>
          <w:p w14:paraId="14B583B9" w14:textId="77777777" w:rsidR="00BC615E" w:rsidRPr="004774CA" w:rsidRDefault="00BC615E" w:rsidP="00AF3336">
            <w:pPr>
              <w:spacing w:line="240" w:lineRule="auto"/>
            </w:pPr>
            <w:r w:rsidRPr="004774CA">
              <w:t>8.92</w:t>
            </w:r>
          </w:p>
        </w:tc>
        <w:tc>
          <w:tcPr>
            <w:tcW w:w="707" w:type="pct"/>
          </w:tcPr>
          <w:p w14:paraId="128B0329" w14:textId="77777777" w:rsidR="00BC615E" w:rsidRPr="004774CA" w:rsidRDefault="00BC615E" w:rsidP="00AF3336">
            <w:pPr>
              <w:spacing w:line="240" w:lineRule="auto"/>
            </w:pPr>
            <w:r w:rsidRPr="004774CA">
              <w:t>34.64</w:t>
            </w:r>
          </w:p>
        </w:tc>
        <w:tc>
          <w:tcPr>
            <w:tcW w:w="472" w:type="pct"/>
          </w:tcPr>
          <w:p w14:paraId="7A050326" w14:textId="77777777" w:rsidR="00BC615E" w:rsidRPr="004774CA" w:rsidRDefault="00BC615E" w:rsidP="00AF3336">
            <w:pPr>
              <w:spacing w:line="240" w:lineRule="auto"/>
            </w:pPr>
            <w:r w:rsidRPr="004774CA">
              <w:t>4.43</w:t>
            </w:r>
          </w:p>
        </w:tc>
        <w:tc>
          <w:tcPr>
            <w:tcW w:w="863" w:type="pct"/>
          </w:tcPr>
          <w:p w14:paraId="2D56BF0B" w14:textId="77777777" w:rsidR="00BC615E" w:rsidRPr="004774CA" w:rsidRDefault="00BC615E" w:rsidP="00AF3336">
            <w:pPr>
              <w:spacing w:line="240" w:lineRule="auto"/>
            </w:pPr>
            <w:r w:rsidRPr="004774CA">
              <w:t>4.3</w:t>
            </w:r>
          </w:p>
        </w:tc>
        <w:tc>
          <w:tcPr>
            <w:tcW w:w="667" w:type="pct"/>
          </w:tcPr>
          <w:p w14:paraId="73EBD4BF" w14:textId="77777777" w:rsidR="00BC615E" w:rsidRPr="004774CA" w:rsidRDefault="00BC615E" w:rsidP="00AF3336">
            <w:pPr>
              <w:spacing w:line="240" w:lineRule="auto"/>
            </w:pPr>
          </w:p>
        </w:tc>
        <w:tc>
          <w:tcPr>
            <w:tcW w:w="485" w:type="pct"/>
          </w:tcPr>
          <w:p w14:paraId="394D95BA" w14:textId="77777777" w:rsidR="00BC615E" w:rsidRPr="004774CA" w:rsidRDefault="00BC615E" w:rsidP="00AF3336">
            <w:pPr>
              <w:spacing w:line="240" w:lineRule="auto"/>
            </w:pPr>
            <w:r w:rsidRPr="004774CA">
              <w:t>n/a</w:t>
            </w:r>
          </w:p>
        </w:tc>
      </w:tr>
      <w:tr w:rsidR="004F2E7F" w:rsidRPr="007404CA" w14:paraId="1894CF33" w14:textId="77777777" w:rsidTr="004F2E7F">
        <w:trPr>
          <w:trHeight w:val="227"/>
        </w:trPr>
        <w:tc>
          <w:tcPr>
            <w:tcW w:w="1255" w:type="pct"/>
          </w:tcPr>
          <w:p w14:paraId="755CB366" w14:textId="77777777" w:rsidR="00BC615E" w:rsidRPr="004774CA" w:rsidRDefault="00BC615E">
            <w:pPr>
              <w:spacing w:line="240" w:lineRule="auto"/>
              <w:rPr>
                <w:b/>
                <w:bCs/>
              </w:rPr>
            </w:pPr>
            <w:r w:rsidRPr="004774CA">
              <w:t>Fit to Mild</w:t>
            </w:r>
          </w:p>
        </w:tc>
        <w:tc>
          <w:tcPr>
            <w:tcW w:w="551" w:type="pct"/>
          </w:tcPr>
          <w:p w14:paraId="005B43F9" w14:textId="77777777" w:rsidR="00BC615E" w:rsidRPr="004774CA" w:rsidRDefault="00BC615E" w:rsidP="00AF3336">
            <w:pPr>
              <w:spacing w:line="240" w:lineRule="auto"/>
            </w:pPr>
          </w:p>
        </w:tc>
        <w:tc>
          <w:tcPr>
            <w:tcW w:w="707" w:type="pct"/>
          </w:tcPr>
          <w:p w14:paraId="484B5AEF" w14:textId="77777777" w:rsidR="00BC615E" w:rsidRPr="004774CA" w:rsidRDefault="00BC615E" w:rsidP="00AF3336">
            <w:pPr>
              <w:spacing w:line="240" w:lineRule="auto"/>
            </w:pPr>
          </w:p>
        </w:tc>
        <w:tc>
          <w:tcPr>
            <w:tcW w:w="472" w:type="pct"/>
          </w:tcPr>
          <w:p w14:paraId="0DEC5480" w14:textId="77777777" w:rsidR="00BC615E" w:rsidRPr="004774CA" w:rsidRDefault="00BC615E" w:rsidP="00AF3336">
            <w:pPr>
              <w:spacing w:line="240" w:lineRule="auto"/>
            </w:pPr>
          </w:p>
        </w:tc>
        <w:tc>
          <w:tcPr>
            <w:tcW w:w="863" w:type="pct"/>
          </w:tcPr>
          <w:p w14:paraId="3E7273EA" w14:textId="77777777" w:rsidR="00BC615E" w:rsidRPr="004774CA" w:rsidRDefault="00BC615E" w:rsidP="00AF3336">
            <w:pPr>
              <w:spacing w:line="240" w:lineRule="auto"/>
            </w:pPr>
          </w:p>
        </w:tc>
        <w:tc>
          <w:tcPr>
            <w:tcW w:w="667" w:type="pct"/>
          </w:tcPr>
          <w:p w14:paraId="47D5A170" w14:textId="77777777" w:rsidR="00BC615E" w:rsidRPr="004774CA" w:rsidRDefault="00BC615E" w:rsidP="00AF3336">
            <w:pPr>
              <w:spacing w:line="240" w:lineRule="auto"/>
            </w:pPr>
            <w:r w:rsidRPr="004774CA">
              <w:t>4.45</w:t>
            </w:r>
          </w:p>
        </w:tc>
        <w:tc>
          <w:tcPr>
            <w:tcW w:w="485" w:type="pct"/>
          </w:tcPr>
          <w:p w14:paraId="699F1FD3" w14:textId="77777777" w:rsidR="00BC615E" w:rsidRPr="004774CA" w:rsidRDefault="00BC615E" w:rsidP="00AF3336">
            <w:pPr>
              <w:spacing w:line="240" w:lineRule="auto"/>
            </w:pPr>
          </w:p>
        </w:tc>
      </w:tr>
      <w:tr w:rsidR="004F2E7F" w:rsidRPr="007404CA" w14:paraId="5A05137F" w14:textId="77777777" w:rsidTr="004F2E7F">
        <w:trPr>
          <w:trHeight w:val="227"/>
        </w:trPr>
        <w:tc>
          <w:tcPr>
            <w:tcW w:w="1255" w:type="pct"/>
          </w:tcPr>
          <w:p w14:paraId="1FDDA06F" w14:textId="77777777" w:rsidR="00BC615E" w:rsidRPr="004774CA" w:rsidRDefault="00BC615E">
            <w:pPr>
              <w:spacing w:line="240" w:lineRule="auto"/>
              <w:rPr>
                <w:b/>
                <w:bCs/>
              </w:rPr>
            </w:pPr>
            <w:r w:rsidRPr="004774CA">
              <w:t>Mild to Moderate</w:t>
            </w:r>
          </w:p>
        </w:tc>
        <w:tc>
          <w:tcPr>
            <w:tcW w:w="551" w:type="pct"/>
          </w:tcPr>
          <w:p w14:paraId="1460920D" w14:textId="77777777" w:rsidR="00BC615E" w:rsidRPr="004774CA" w:rsidRDefault="00BC615E" w:rsidP="00AF3336">
            <w:pPr>
              <w:spacing w:line="240" w:lineRule="auto"/>
            </w:pPr>
          </w:p>
        </w:tc>
        <w:tc>
          <w:tcPr>
            <w:tcW w:w="707" w:type="pct"/>
          </w:tcPr>
          <w:p w14:paraId="57CFBA63" w14:textId="77777777" w:rsidR="00BC615E" w:rsidRPr="004774CA" w:rsidRDefault="00BC615E" w:rsidP="00AF3336">
            <w:pPr>
              <w:spacing w:line="240" w:lineRule="auto"/>
            </w:pPr>
          </w:p>
        </w:tc>
        <w:tc>
          <w:tcPr>
            <w:tcW w:w="472" w:type="pct"/>
          </w:tcPr>
          <w:p w14:paraId="572E549C" w14:textId="77777777" w:rsidR="00BC615E" w:rsidRPr="004774CA" w:rsidRDefault="00BC615E" w:rsidP="00AF3336">
            <w:pPr>
              <w:spacing w:line="240" w:lineRule="auto"/>
            </w:pPr>
          </w:p>
        </w:tc>
        <w:tc>
          <w:tcPr>
            <w:tcW w:w="863" w:type="pct"/>
          </w:tcPr>
          <w:p w14:paraId="2770CD0C" w14:textId="77777777" w:rsidR="00BC615E" w:rsidRPr="004774CA" w:rsidRDefault="00BC615E" w:rsidP="00AF3336">
            <w:pPr>
              <w:spacing w:line="240" w:lineRule="auto"/>
            </w:pPr>
          </w:p>
        </w:tc>
        <w:tc>
          <w:tcPr>
            <w:tcW w:w="667" w:type="pct"/>
          </w:tcPr>
          <w:p w14:paraId="2D77202D" w14:textId="77777777" w:rsidR="00BC615E" w:rsidRPr="004774CA" w:rsidRDefault="00BC615E" w:rsidP="00AF3336">
            <w:pPr>
              <w:spacing w:line="240" w:lineRule="auto"/>
            </w:pPr>
            <w:r w:rsidRPr="004774CA">
              <w:t>5.97</w:t>
            </w:r>
          </w:p>
        </w:tc>
        <w:tc>
          <w:tcPr>
            <w:tcW w:w="485" w:type="pct"/>
          </w:tcPr>
          <w:p w14:paraId="4E1A1784" w14:textId="77777777" w:rsidR="00BC615E" w:rsidRPr="004774CA" w:rsidRDefault="00BC615E" w:rsidP="00AF3336">
            <w:pPr>
              <w:spacing w:line="240" w:lineRule="auto"/>
            </w:pPr>
          </w:p>
        </w:tc>
      </w:tr>
      <w:tr w:rsidR="004F2E7F" w:rsidRPr="007404CA" w14:paraId="7C494E98" w14:textId="77777777" w:rsidTr="004F2E7F">
        <w:trPr>
          <w:trHeight w:val="227"/>
        </w:trPr>
        <w:tc>
          <w:tcPr>
            <w:tcW w:w="1255" w:type="pct"/>
          </w:tcPr>
          <w:p w14:paraId="0FC9C23C" w14:textId="77777777" w:rsidR="00BC615E" w:rsidRPr="004774CA" w:rsidRDefault="00BC615E">
            <w:pPr>
              <w:spacing w:line="240" w:lineRule="auto"/>
              <w:rPr>
                <w:b/>
                <w:bCs/>
              </w:rPr>
            </w:pPr>
            <w:r w:rsidRPr="004774CA">
              <w:t>Moderate to Severe</w:t>
            </w:r>
          </w:p>
        </w:tc>
        <w:tc>
          <w:tcPr>
            <w:tcW w:w="551" w:type="pct"/>
          </w:tcPr>
          <w:p w14:paraId="4A2D3C22" w14:textId="77777777" w:rsidR="00BC615E" w:rsidRPr="004774CA" w:rsidRDefault="00BC615E" w:rsidP="00AF3336">
            <w:pPr>
              <w:spacing w:line="240" w:lineRule="auto"/>
            </w:pPr>
          </w:p>
        </w:tc>
        <w:tc>
          <w:tcPr>
            <w:tcW w:w="707" w:type="pct"/>
          </w:tcPr>
          <w:p w14:paraId="4468B101" w14:textId="77777777" w:rsidR="00BC615E" w:rsidRPr="004774CA" w:rsidRDefault="00BC615E" w:rsidP="00AF3336">
            <w:pPr>
              <w:spacing w:line="240" w:lineRule="auto"/>
            </w:pPr>
          </w:p>
        </w:tc>
        <w:tc>
          <w:tcPr>
            <w:tcW w:w="472" w:type="pct"/>
          </w:tcPr>
          <w:p w14:paraId="7F5B463B" w14:textId="77777777" w:rsidR="00BC615E" w:rsidRPr="004774CA" w:rsidRDefault="00BC615E" w:rsidP="00AF3336">
            <w:pPr>
              <w:spacing w:line="240" w:lineRule="auto"/>
            </w:pPr>
          </w:p>
        </w:tc>
        <w:tc>
          <w:tcPr>
            <w:tcW w:w="863" w:type="pct"/>
          </w:tcPr>
          <w:p w14:paraId="6BA24196" w14:textId="77777777" w:rsidR="00BC615E" w:rsidRPr="004774CA" w:rsidRDefault="00BC615E" w:rsidP="00AF3336">
            <w:pPr>
              <w:spacing w:line="240" w:lineRule="auto"/>
            </w:pPr>
          </w:p>
        </w:tc>
        <w:tc>
          <w:tcPr>
            <w:tcW w:w="667" w:type="pct"/>
          </w:tcPr>
          <w:p w14:paraId="4ABB16F2" w14:textId="77777777" w:rsidR="00BC615E" w:rsidRPr="004774CA" w:rsidRDefault="00BC615E" w:rsidP="00AF3336">
            <w:pPr>
              <w:spacing w:line="240" w:lineRule="auto"/>
            </w:pPr>
            <w:r w:rsidRPr="004774CA">
              <w:t>7.38</w:t>
            </w:r>
          </w:p>
        </w:tc>
        <w:tc>
          <w:tcPr>
            <w:tcW w:w="485" w:type="pct"/>
          </w:tcPr>
          <w:p w14:paraId="066C1AB5" w14:textId="77777777" w:rsidR="00BC615E" w:rsidRPr="004774CA" w:rsidRDefault="00BC615E" w:rsidP="00AF3336">
            <w:pPr>
              <w:spacing w:line="240" w:lineRule="auto"/>
            </w:pPr>
          </w:p>
        </w:tc>
      </w:tr>
    </w:tbl>
    <w:p w14:paraId="235909F1" w14:textId="77777777" w:rsidR="00BC615E" w:rsidRPr="004774CA" w:rsidRDefault="00BC615E" w:rsidP="00AF3336">
      <w:pPr>
        <w:pStyle w:val="Newparagraph"/>
      </w:pPr>
    </w:p>
    <w:p w14:paraId="7A74D3C0" w14:textId="2F4457B6" w:rsidR="00006ACF" w:rsidRPr="000519B5" w:rsidRDefault="00006ACF">
      <w:pPr>
        <w:pStyle w:val="Newparagraph"/>
      </w:pPr>
    </w:p>
    <w:p w14:paraId="22AC5247" w14:textId="5B258F58" w:rsidR="00B75AF1" w:rsidRDefault="00006ACF" w:rsidP="001A1923">
      <w:pPr>
        <w:pStyle w:val="Newparagraph"/>
      </w:pPr>
      <w:r w:rsidRPr="000519B5">
        <w:t>The overall error statistic</w:t>
      </w:r>
      <w:r w:rsidR="00951CA3">
        <w:t xml:space="preserve"> for external validation</w:t>
      </w:r>
      <w:r w:rsidR="00B75AF1">
        <w:t>,</w:t>
      </w:r>
      <w:r w:rsidRPr="00422687">
        <w:t xml:space="preserve"> </w:t>
      </w:r>
      <w:r w:rsidR="00BF1552">
        <w:t>weighting all</w:t>
      </w:r>
      <w:r w:rsidRPr="00422687">
        <w:t xml:space="preserve"> variables of interest</w:t>
      </w:r>
      <w:r w:rsidR="00BF1552">
        <w:t xml:space="preserve"> equally</w:t>
      </w:r>
      <w:r w:rsidRPr="00422687">
        <w:t xml:space="preserve"> was 9.53%</w:t>
      </w:r>
      <w:r w:rsidR="00B75AF1">
        <w:t xml:space="preserve">. This was </w:t>
      </w:r>
      <w:r w:rsidR="00D00925">
        <w:t xml:space="preserve">still within acceptable bounds, </w:t>
      </w:r>
      <w:r w:rsidR="00B75AF1">
        <w:t>a</w:t>
      </w:r>
      <w:r w:rsidRPr="00422687">
        <w:t xml:space="preserve">pproximately 2.5% worse than with the original </w:t>
      </w:r>
      <w:r w:rsidRPr="00422687">
        <w:lastRenderedPageBreak/>
        <w:t xml:space="preserve">model. </w:t>
      </w:r>
      <w:r w:rsidR="00056F3B">
        <w:t>After adjusting for</w:t>
      </w:r>
      <w:r w:rsidR="00056F3B" w:rsidRPr="00422687">
        <w:t xml:space="preserve"> </w:t>
      </w:r>
      <w:r w:rsidRPr="00422687">
        <w:t xml:space="preserve">the </w:t>
      </w:r>
      <w:r w:rsidR="00BF1552">
        <w:t xml:space="preserve">demographic and socio-economic </w:t>
      </w:r>
      <w:r w:rsidRPr="00422687">
        <w:t>differences between the two cohorts, external validation shows that the underlying model structure is robust</w:t>
      </w:r>
      <w:r w:rsidR="0054485F">
        <w:t xml:space="preserve"> </w:t>
      </w:r>
      <w:r w:rsidRPr="00422687">
        <w:t>and can be used for different populations</w:t>
      </w:r>
      <w:r w:rsidR="00B75AF1">
        <w:t>, although th</w:t>
      </w:r>
      <w:r w:rsidR="0054485F">
        <w:t xml:space="preserve">is may require </w:t>
      </w:r>
      <w:r w:rsidRPr="00422687">
        <w:t>appropriate adjustment of the</w:t>
      </w:r>
      <w:r w:rsidR="00B75AF1">
        <w:t xml:space="preserve"> i</w:t>
      </w:r>
      <w:r w:rsidRPr="00422687">
        <w:t>nput</w:t>
      </w:r>
      <w:r w:rsidR="00B75AF1">
        <w:t xml:space="preserve"> </w:t>
      </w:r>
      <w:r w:rsidRPr="00422687">
        <w:t xml:space="preserve">parameters to account for socio-economic </w:t>
      </w:r>
      <w:r w:rsidR="009F1C5E">
        <w:t xml:space="preserve">and demographic </w:t>
      </w:r>
      <w:r w:rsidRPr="00422687">
        <w:t>differences that impact on population health status.</w:t>
      </w:r>
      <w:r w:rsidR="00B3109A">
        <w:t xml:space="preserve"> </w:t>
      </w:r>
      <w:r w:rsidR="00C372F4">
        <w:t xml:space="preserve"> The fact that sample data were used to estimate the</w:t>
      </w:r>
      <w:r w:rsidR="00C96032">
        <w:t xml:space="preserve"> original</w:t>
      </w:r>
      <w:r w:rsidR="00C372F4">
        <w:t xml:space="preserve"> state transitions may have led to some of the model parameters</w:t>
      </w:r>
      <w:r w:rsidR="00C372F4" w:rsidRPr="00C372F4">
        <w:t xml:space="preserve"> </w:t>
      </w:r>
      <w:r w:rsidR="00C372F4">
        <w:t>being</w:t>
      </w:r>
      <w:r w:rsidR="00C372F4" w:rsidRPr="00C372F4">
        <w:t xml:space="preserve"> over-fitted</w:t>
      </w:r>
      <w:r w:rsidR="00C372F4">
        <w:t xml:space="preserve"> to that </w:t>
      </w:r>
      <w:proofErr w:type="gramStart"/>
      <w:r w:rsidR="00C372F4">
        <w:t>particular sample</w:t>
      </w:r>
      <w:proofErr w:type="gramEnd"/>
      <w:r w:rsidR="00C372F4">
        <w:t>, rather than taking account of wider demographic trends</w:t>
      </w:r>
      <w:r w:rsidR="00C96032">
        <w:t>, an issue that needs to be considered when using large-scale data for model building</w:t>
      </w:r>
      <w:r w:rsidR="00C372F4">
        <w:t xml:space="preserve">. </w:t>
      </w:r>
    </w:p>
    <w:p w14:paraId="0B0A1624" w14:textId="77777777" w:rsidR="007C0770" w:rsidRDefault="007C0770">
      <w:pPr>
        <w:pStyle w:val="Newparagraph"/>
      </w:pPr>
    </w:p>
    <w:p w14:paraId="1500B81D" w14:textId="56E45C87" w:rsidR="00255C8B" w:rsidRPr="00AE0E68" w:rsidRDefault="00B75AF1">
      <w:pPr>
        <w:pStyle w:val="Newparagraph"/>
      </w:pPr>
      <w:r>
        <w:t xml:space="preserve">The final step was to scale up </w:t>
      </w:r>
      <w:r w:rsidR="00255C8B" w:rsidRPr="00AE0E68">
        <w:t>the model to provide a national view of frailty progression</w:t>
      </w:r>
      <w:r w:rsidR="00951CA3">
        <w:t xml:space="preserve"> in England</w:t>
      </w:r>
      <w:r w:rsidR="00C101F3">
        <w:t xml:space="preserve">, and to </w:t>
      </w:r>
      <w:r w:rsidR="00E3313E">
        <w:t>run the model with</w:t>
      </w:r>
      <w:r w:rsidR="00C101F3" w:rsidRPr="00AE0E68">
        <w:t xml:space="preserve"> an extended time horizon of ten years</w:t>
      </w:r>
      <w:r>
        <w:t>. The model was p</w:t>
      </w:r>
      <w:r w:rsidR="00056F3B">
        <w:t>opulat</w:t>
      </w:r>
      <w:r>
        <w:t>ed</w:t>
      </w:r>
      <w:r w:rsidR="00056F3B">
        <w:t xml:space="preserve"> </w:t>
      </w:r>
      <w:r w:rsidR="00056F3B" w:rsidRPr="00782B8B">
        <w:t xml:space="preserve">with </w:t>
      </w:r>
      <w:r w:rsidR="00255C8B" w:rsidRPr="00782B8B">
        <w:t>O</w:t>
      </w:r>
      <w:r w:rsidR="00116CFF" w:rsidRPr="00782B8B">
        <w:t xml:space="preserve">ffice for </w:t>
      </w:r>
      <w:r w:rsidR="00255C8B" w:rsidRPr="00782B8B">
        <w:t>N</w:t>
      </w:r>
      <w:r w:rsidR="00116CFF" w:rsidRPr="00782B8B">
        <w:t xml:space="preserve">ational </w:t>
      </w:r>
      <w:r w:rsidR="00255C8B" w:rsidRPr="00782B8B">
        <w:t>S</w:t>
      </w:r>
      <w:r w:rsidR="00116CFF" w:rsidRPr="00782B8B">
        <w:t>tatistics (ONS)</w:t>
      </w:r>
      <w:r w:rsidR="00255C8B" w:rsidRPr="00782B8B">
        <w:t xml:space="preserve"> </w:t>
      </w:r>
      <w:r w:rsidR="00436191" w:rsidRPr="00782B8B">
        <w:t xml:space="preserve">2021 </w:t>
      </w:r>
      <w:r w:rsidR="00255C8B" w:rsidRPr="00782B8B">
        <w:t>mid-year population estimates</w:t>
      </w:r>
      <w:r w:rsidR="00DF0627" w:rsidRPr="00782B8B">
        <w:t xml:space="preserve"> </w:t>
      </w:r>
      <w:r w:rsidRPr="00782B8B">
        <w:t xml:space="preserve">and </w:t>
      </w:r>
      <w:r w:rsidR="00EC0A91" w:rsidRPr="00782B8B">
        <w:t xml:space="preserve">principal </w:t>
      </w:r>
      <w:r w:rsidRPr="00782B8B">
        <w:t xml:space="preserve">projections </w:t>
      </w:r>
      <w:r w:rsidR="00255C8B" w:rsidRPr="00AE0E68">
        <w:t>for England</w:t>
      </w:r>
      <w:r w:rsidR="000C300D">
        <w:t xml:space="preserve"> </w:t>
      </w:r>
      <w:r w:rsidR="00255C8B" w:rsidRPr="00AE0E68">
        <w:t xml:space="preserve"> </w:t>
      </w:r>
      <w:r w:rsidR="004E7213" w:rsidRPr="00AE0E68">
        <w:t>(</w:t>
      </w:r>
      <w:r w:rsidR="004E7213" w:rsidRPr="00AE0E68">
        <w:fldChar w:fldCharType="begin"/>
      </w:r>
      <w:r w:rsidR="000C300D">
        <w:instrText xml:space="preserve"> ADDIN EN.CITE &lt;EndNote&gt;&lt;Cite&gt;&lt;Author&gt;Office for National Statistics&lt;/Author&gt;&lt;Year&gt;2022&lt;/Year&gt;&lt;RecNum&gt;19&lt;/RecNum&gt;&lt;DisplayText&gt;(Office for National Statistics, 2022a)&lt;/DisplayText&gt;&lt;record&gt;&lt;rec-number&gt;19&lt;/rec-number&gt;&lt;foreign-keys&gt;&lt;key app="EN" db-id="0sxsezaf7atedqef9vk5drdt9xzpawp0w5rv" timestamp="1684243712"&gt;19&lt;/key&gt;&lt;/foreign-keys&gt;&lt;ref-type name="Web Page"&gt;12&lt;/ref-type&gt;&lt;contributors&gt;&lt;authors&gt;&lt;author&gt;Office for National Statistics,&lt;/author&gt;&lt;/authors&gt;&lt;/contributors&gt;&lt;titles&gt;&lt;title&gt;Population estimates for the UK, England, Wales, Scotland and Northern Ireland: mid-2021.&lt;/title&gt;&lt;/titles&gt;&lt;volume&gt;2023&lt;/volume&gt;&lt;number&gt;2/3/2023&lt;/number&gt;&lt;dates&gt;&lt;year&gt;2022&lt;/year&gt;&lt;pub-dates&gt;&lt;date&gt;21/12/2022&lt;/date&gt;&lt;/pub-dates&gt;&lt;/dates&gt;&lt;urls&gt;&lt;related-urls&gt;&lt;url&gt;https://www.ons.gov.uk/peoplepopulationandcommunity/populationandmigration/populationestimates/bulletins/annualmidyearpopulationestimates/latest#population-change-for-uk-countries&lt;/url&gt;&lt;/related-urls&gt;&lt;/urls&gt;&lt;/record&gt;&lt;/Cite&gt;&lt;/EndNote&gt;</w:instrText>
      </w:r>
      <w:r w:rsidR="004E7213" w:rsidRPr="00AE0E68">
        <w:fldChar w:fldCharType="separate"/>
      </w:r>
      <w:r w:rsidR="000C300D">
        <w:rPr>
          <w:noProof/>
        </w:rPr>
        <w:t>(Office for National Statistics, 2022a)</w:t>
      </w:r>
      <w:r w:rsidR="004E7213" w:rsidRPr="00AE0E68">
        <w:fldChar w:fldCharType="end"/>
      </w:r>
      <w:r w:rsidR="004E7213" w:rsidRPr="00AE0E68">
        <w:t xml:space="preserve">, </w:t>
      </w:r>
      <w:r w:rsidR="004E7213" w:rsidRPr="00AE0E68">
        <w:fldChar w:fldCharType="begin"/>
      </w:r>
      <w:r w:rsidR="000C300D">
        <w:instrText xml:space="preserve"> ADDIN EN.CITE &lt;EndNote&gt;&lt;Cite&gt;&lt;Author&gt;Office for National Statistics&lt;/Author&gt;&lt;Year&gt;2022&lt;/Year&gt;&lt;RecNum&gt;15&lt;/RecNum&gt;&lt;DisplayText&gt;(Office for National Statistics, 2022b)&lt;/DisplayText&gt;&lt;record&gt;&lt;rec-number&gt;15&lt;/rec-number&gt;&lt;foreign-keys&gt;&lt;key app="EN" db-id="0sxsezaf7atedqef9vk5drdt9xzpawp0w5rv" timestamp="1684239784"&gt;15&lt;/key&gt;&lt;/foreign-keys&gt;&lt;ref-type name="Online Database"&gt;45&lt;/ref-type&gt;&lt;contributors&gt;&lt;authors&gt;&lt;author&gt;Office for National Statistics,&lt;/author&gt;&lt;/authors&gt;&lt;/contributors&gt;&lt;auth-address&gt;pop.info@ons.gov.uk&lt;/auth-address&gt;&lt;titles&gt;&lt;title&gt;Zipped population projections data files, England&lt;/title&gt;&lt;/titles&gt;&lt;edition&gt;12/1/2022&lt;/edition&gt;&lt;dates&gt;&lt;year&gt;2022&lt;/year&gt;&lt;pub-dates&gt;&lt;date&gt;26/1/2023&lt;/date&gt;&lt;/pub-dates&gt;&lt;/dates&gt;&lt;urls&gt;&lt;related-urls&gt;&lt;url&gt;https://www.ons.gov.uk/peoplepopulationandcommunity/populationandmigration/populationprojections/datasets/z3zippedpopulationprojectionsdatafilesengland&lt;/url&gt;&lt;/related-urls&gt;&lt;/urls&gt;&lt;/record&gt;&lt;/Cite&gt;&lt;/EndNote&gt;</w:instrText>
      </w:r>
      <w:r w:rsidR="004E7213" w:rsidRPr="00AE0E68">
        <w:fldChar w:fldCharType="separate"/>
      </w:r>
      <w:r w:rsidR="000C300D">
        <w:rPr>
          <w:noProof/>
        </w:rPr>
        <w:t>(Office for National Statistics, 2022b)</w:t>
      </w:r>
      <w:r w:rsidR="004E7213" w:rsidRPr="00AE0E68">
        <w:fldChar w:fldCharType="end"/>
      </w:r>
      <w:r w:rsidR="004E7213" w:rsidRPr="00AE0E68">
        <w:t>) for 2006 – 2027</w:t>
      </w:r>
      <w:r w:rsidR="00C101F3">
        <w:t xml:space="preserve">.   </w:t>
      </w:r>
      <w:r>
        <w:t>As noted earlier, both entries and de</w:t>
      </w:r>
      <w:r w:rsidR="002619E5">
        <w:t>-</w:t>
      </w:r>
      <w:r>
        <w:t>r</w:t>
      </w:r>
      <w:r w:rsidR="004E7213" w:rsidRPr="00AE0E68">
        <w:t xml:space="preserve">egistrations </w:t>
      </w:r>
      <w:r w:rsidR="00056F3B">
        <w:t>were</w:t>
      </w:r>
      <w:r w:rsidR="004E7213" w:rsidRPr="00AE0E68">
        <w:t xml:space="preserve"> removed</w:t>
      </w:r>
      <w:r w:rsidR="00056F3B">
        <w:t xml:space="preserve"> from this final model,</w:t>
      </w:r>
      <w:r w:rsidR="004E7213" w:rsidRPr="00AE0E68">
        <w:t xml:space="preserve"> under the assumption</w:t>
      </w:r>
      <w:r>
        <w:t xml:space="preserve"> of a </w:t>
      </w:r>
      <w:r w:rsidRPr="00AE0E68">
        <w:t xml:space="preserve">negligible net migration effect at national level </w:t>
      </w:r>
      <w:r w:rsidRPr="00AE0E68">
        <w:fldChar w:fldCharType="begin"/>
      </w:r>
      <w:r w:rsidR="000C300D">
        <w:instrText xml:space="preserve"> ADDIN EN.CITE &lt;EndNote&gt;&lt;Cite&gt;&lt;Author&gt;Office for National Statistics&lt;/Author&gt;&lt;Year&gt;2022&lt;/Year&gt;&lt;RecNum&gt;19&lt;/RecNum&gt;&lt;DisplayText&gt;(Office for National Statistics, 2022a)&lt;/DisplayText&gt;&lt;record&gt;&lt;rec-number&gt;19&lt;/rec-number&gt;&lt;foreign-keys&gt;&lt;key app="EN" db-id="0sxsezaf7atedqef9vk5drdt9xzpawp0w5rv" timestamp="1684243712"&gt;19&lt;/key&gt;&lt;/foreign-keys&gt;&lt;ref-type name="Web Page"&gt;12&lt;/ref-type&gt;&lt;contributors&gt;&lt;authors&gt;&lt;author&gt;Office for National Statistics,&lt;/author&gt;&lt;/authors&gt;&lt;/contributors&gt;&lt;titles&gt;&lt;title&gt;Population estimates for the UK, England, Wales, Scotland and Northern Ireland: mid-2021.&lt;/title&gt;&lt;/titles&gt;&lt;volume&gt;2023&lt;/volume&gt;&lt;number&gt;2/3/2023&lt;/number&gt;&lt;dates&gt;&lt;year&gt;2022&lt;/year&gt;&lt;pub-dates&gt;&lt;date&gt;21/12/2022&lt;/date&gt;&lt;/pub-dates&gt;&lt;/dates&gt;&lt;urls&gt;&lt;related-urls&gt;&lt;url&gt;https://www.ons.gov.uk/peoplepopulationandcommunity/populationandmigration/populationestimates/bulletins/annualmidyearpopulationestimates/latest#population-change-for-uk-countries&lt;/url&gt;&lt;/related-urls&gt;&lt;/urls&gt;&lt;/record&gt;&lt;/Cite&gt;&lt;/EndNote&gt;</w:instrText>
      </w:r>
      <w:r w:rsidRPr="00AE0E68">
        <w:fldChar w:fldCharType="separate"/>
      </w:r>
      <w:r w:rsidR="000C300D">
        <w:rPr>
          <w:noProof/>
        </w:rPr>
        <w:t>(Office for National Statistics, 2022a)</w:t>
      </w:r>
      <w:r w:rsidRPr="00AE0E68">
        <w:fldChar w:fldCharType="end"/>
      </w:r>
      <w:r w:rsidRPr="00AE0E68">
        <w:t>.</w:t>
      </w:r>
      <w:r>
        <w:t xml:space="preserve">  Hence</w:t>
      </w:r>
      <w:r w:rsidR="002619E5">
        <w:t>,</w:t>
      </w:r>
      <w:r>
        <w:t xml:space="preserve"> </w:t>
      </w:r>
      <w:r w:rsidR="004E7213" w:rsidRPr="00AE0E68">
        <w:t xml:space="preserve">once a patient </w:t>
      </w:r>
      <w:r>
        <w:t xml:space="preserve">reaches age 50, </w:t>
      </w:r>
      <w:r w:rsidR="004E7213" w:rsidRPr="00AE0E68">
        <w:t xml:space="preserve">they will remain in </w:t>
      </w:r>
      <w:r>
        <w:t>the model</w:t>
      </w:r>
      <w:r w:rsidR="004E7213" w:rsidRPr="00AE0E68">
        <w:t xml:space="preserve"> un</w:t>
      </w:r>
      <w:r>
        <w:t>til</w:t>
      </w:r>
      <w:r w:rsidR="004E7213" w:rsidRPr="00AE0E68">
        <w:t xml:space="preserve"> they die. </w:t>
      </w:r>
      <w:r w:rsidR="00C372F4">
        <w:t xml:space="preserve"> This national model therefore took account of </w:t>
      </w:r>
      <w:r w:rsidR="00C372F4" w:rsidRPr="00C372F4">
        <w:t>broader population trends in the study period</w:t>
      </w:r>
      <w:r w:rsidR="00C372F4">
        <w:t xml:space="preserve">, compared with the original model based on the RCGP </w:t>
      </w:r>
      <w:r w:rsidR="002619E5">
        <w:t xml:space="preserve">RSC </w:t>
      </w:r>
      <w:r w:rsidR="00C372F4">
        <w:t xml:space="preserve">data alone.  </w:t>
      </w:r>
      <w:r w:rsidR="00DF0627">
        <w:t xml:space="preserve">This reduced the likelihood of over-fitting to sample data, albeit a very large sample. </w:t>
      </w:r>
    </w:p>
    <w:p w14:paraId="7B24573C" w14:textId="77777777" w:rsidR="00AF0724" w:rsidRPr="00AE0E68" w:rsidRDefault="00AF0724" w:rsidP="00F84EC4"/>
    <w:p w14:paraId="24365317" w14:textId="77777777" w:rsidR="00AF0724" w:rsidRPr="00AE0E68" w:rsidRDefault="00AF0724" w:rsidP="004055A8">
      <w:pPr>
        <w:pStyle w:val="Heading1"/>
      </w:pPr>
      <w:r w:rsidRPr="00AE0E68">
        <w:t xml:space="preserve">Results </w:t>
      </w:r>
    </w:p>
    <w:p w14:paraId="282896EE" w14:textId="45CB6F87" w:rsidR="00D75486" w:rsidRDefault="008A3189" w:rsidP="006574DE">
      <w:r>
        <w:t xml:space="preserve">The </w:t>
      </w:r>
      <w:r w:rsidR="006315A9">
        <w:t xml:space="preserve">baseline </w:t>
      </w:r>
      <w:r w:rsidR="00ED2621">
        <w:t xml:space="preserve">model was run from 2006 to 2027 </w:t>
      </w:r>
      <w:r w:rsidR="00307D2E">
        <w:t xml:space="preserve">with the assumption that after 2017, health care service delivery as well as individual lifestyles remain constant thereby mitigating any changes on </w:t>
      </w:r>
      <w:r w:rsidR="00535CBF">
        <w:t>the onset or progression of frailty.</w:t>
      </w:r>
      <w:r w:rsidR="006C3D9A">
        <w:t xml:space="preserve"> </w:t>
      </w:r>
      <w:r w:rsidR="00942222">
        <w:t xml:space="preserve"> </w:t>
      </w:r>
      <w:bookmarkStart w:id="19" w:name="_Hlk183184201"/>
      <w:r w:rsidR="006574DE">
        <w:rPr>
          <w:color w:val="FF0000"/>
        </w:rPr>
        <w:t xml:space="preserve">We recognise this assumption may not be correct, </w:t>
      </w:r>
      <w:r w:rsidR="006574DE" w:rsidRPr="00B00ACC">
        <w:rPr>
          <w:color w:val="FF0000"/>
        </w:rPr>
        <w:t xml:space="preserve">especially as it ignores the impact of </w:t>
      </w:r>
      <w:r w:rsidR="006574DE">
        <w:rPr>
          <w:color w:val="FF0000"/>
        </w:rPr>
        <w:t xml:space="preserve">the </w:t>
      </w:r>
      <w:r w:rsidR="006574DE" w:rsidRPr="00B00ACC">
        <w:rPr>
          <w:color w:val="FF0000"/>
        </w:rPr>
        <w:t xml:space="preserve">COVID-19 </w:t>
      </w:r>
      <w:r w:rsidR="006574DE">
        <w:rPr>
          <w:color w:val="FF0000"/>
        </w:rPr>
        <w:t xml:space="preserve">pandemic </w:t>
      </w:r>
      <w:r w:rsidR="006574DE" w:rsidRPr="00B00ACC">
        <w:rPr>
          <w:color w:val="FF0000"/>
        </w:rPr>
        <w:t>on older people</w:t>
      </w:r>
      <w:r w:rsidR="006574DE">
        <w:rPr>
          <w:color w:val="FF0000"/>
        </w:rPr>
        <w:t>,</w:t>
      </w:r>
      <w:r w:rsidR="006574DE" w:rsidRPr="00B00ACC">
        <w:rPr>
          <w:color w:val="FF0000"/>
        </w:rPr>
        <w:t xml:space="preserve"> </w:t>
      </w:r>
      <w:r w:rsidR="006574DE">
        <w:rPr>
          <w:color w:val="FF0000"/>
        </w:rPr>
        <w:t xml:space="preserve">and therefore the results should be interpreted with caution. </w:t>
      </w:r>
      <w:bookmarkEnd w:id="19"/>
      <w:r w:rsidR="00FB5F26">
        <w:t>Figure 2 shows the numbers of people in each age group, broken down by frailty state, for each year from 2006 to 2027.</w:t>
      </w:r>
      <w:r w:rsidR="00447199">
        <w:t xml:space="preserve"> </w:t>
      </w:r>
      <w:r w:rsidR="005F691A">
        <w:t xml:space="preserve">The model estimates that the </w:t>
      </w:r>
      <w:r w:rsidR="001B1F21">
        <w:t>&gt;=</w:t>
      </w:r>
      <w:r w:rsidR="005F691A">
        <w:t>50 population increases from 17.02 million in 2006 to 20.05 million in 2017 and will reach 21.75 million in 2027.</w:t>
      </w:r>
      <w:r w:rsidR="00040851">
        <w:t xml:space="preserve"> Those experiencing some level of frailty (mild, moderate or severe) is estimated to increase from 4.48 million in 2006 to 8.32 million in 2017 and to 10.59 million in 2027.</w:t>
      </w:r>
      <w:r w:rsidR="00453022">
        <w:t xml:space="preserve"> Considering those experiencing moderate or severe frailty, the model estimates that the number will increase from 1.02 million in 2006 to 2.91 million in 2017 and to 4.28 million in 2027.</w:t>
      </w:r>
    </w:p>
    <w:p w14:paraId="70219A7F" w14:textId="3DBB9066" w:rsidR="00FB5F26" w:rsidRPr="00B45AE3" w:rsidRDefault="00FB5F26"/>
    <w:p w14:paraId="75C44F45" w14:textId="1747FE51" w:rsidR="005748B8" w:rsidRDefault="005748B8" w:rsidP="00F84EC4">
      <w:pPr>
        <w:pStyle w:val="Caption"/>
      </w:pPr>
      <w:r>
        <w:rPr>
          <w:noProof/>
        </w:rPr>
        <w:lastRenderedPageBreak/>
        <w:drawing>
          <wp:inline distT="0" distB="0" distL="0" distR="0" wp14:anchorId="3FF423F2" wp14:editId="35AFECF9">
            <wp:extent cx="5731510" cy="3223895"/>
            <wp:effectExtent l="0" t="0" r="2540" b="0"/>
            <wp:docPr id="4" name="Picture 4" descr="A close-up of several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several graph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430F312" w14:textId="65B1EC54" w:rsidR="00FB5F26" w:rsidRPr="00B45AE3" w:rsidRDefault="00FB5F26" w:rsidP="00F84EC4">
      <w:pPr>
        <w:pStyle w:val="Caption"/>
      </w:pPr>
      <w:r w:rsidRPr="00B45AE3">
        <w:t xml:space="preserve">Figure </w:t>
      </w:r>
      <w:r>
        <w:fldChar w:fldCharType="begin"/>
      </w:r>
      <w:r>
        <w:instrText xml:space="preserve"> SEQ Figure \* ARABIC </w:instrText>
      </w:r>
      <w:r>
        <w:fldChar w:fldCharType="separate"/>
      </w:r>
      <w:r>
        <w:rPr>
          <w:noProof/>
        </w:rPr>
        <w:t>2</w:t>
      </w:r>
      <w:r>
        <w:rPr>
          <w:noProof/>
        </w:rPr>
        <w:fldChar w:fldCharType="end"/>
      </w:r>
      <w:r w:rsidRPr="00B45AE3">
        <w:t>: Baseline projected estimates of the 16 age/frailty population subgroups, England, 2006-2027</w:t>
      </w:r>
    </w:p>
    <w:p w14:paraId="1C03B744" w14:textId="7660D38B" w:rsidR="008758FC" w:rsidRDefault="008758FC" w:rsidP="00F84EC4"/>
    <w:p w14:paraId="561FE0C7" w14:textId="523D486B" w:rsidR="007C0770" w:rsidRDefault="00B41C5E" w:rsidP="00F84EC4">
      <w:pPr>
        <w:ind w:firstLine="720"/>
      </w:pPr>
      <w:r>
        <w:t>Table 4 shows the changes between 2017 and 2027 (both in absolute numbers and as a percentage of the total population aged over 50) in each age/frailty subgroup.</w:t>
      </w:r>
      <w:r w:rsidR="007C0770">
        <w:t xml:space="preserve"> Over the period 2017 to 2027, </w:t>
      </w:r>
      <w:r w:rsidR="0027006D">
        <w:rPr>
          <w:color w:val="FF0000"/>
        </w:rPr>
        <w:t xml:space="preserve">the model suggests that </w:t>
      </w:r>
      <w:r w:rsidR="007C0770">
        <w:t xml:space="preserve">the percentage of people aged &gt;=50 experiencing some level of frailty </w:t>
      </w:r>
      <w:r w:rsidR="0027006D">
        <w:rPr>
          <w:color w:val="FF0000"/>
        </w:rPr>
        <w:t>will rise</w:t>
      </w:r>
      <w:r w:rsidR="007C0770">
        <w:t xml:space="preserve"> from 41.5% in 2017 to 48.7% in 2027. The</w:t>
      </w:r>
      <w:r w:rsidR="007C0770" w:rsidRPr="00C83341">
        <w:t xml:space="preserve"> </w:t>
      </w:r>
      <w:r w:rsidR="007C0770">
        <w:t xml:space="preserve">total </w:t>
      </w:r>
      <w:r w:rsidR="007C0770" w:rsidRPr="00C83341">
        <w:t xml:space="preserve">number of people </w:t>
      </w:r>
      <w:r w:rsidR="007C0770" w:rsidRPr="00B45AE3">
        <w:t xml:space="preserve">categorised as Fit </w:t>
      </w:r>
      <w:r w:rsidR="007C0770">
        <w:t xml:space="preserve">falls by 4.7% </w:t>
      </w:r>
      <w:r w:rsidR="007C0770" w:rsidRPr="00B45AE3">
        <w:t>whil</w:t>
      </w:r>
      <w:r w:rsidR="007C0770">
        <w:t>e</w:t>
      </w:r>
      <w:r w:rsidR="007C0770" w:rsidRPr="00B45AE3">
        <w:t xml:space="preserve"> th</w:t>
      </w:r>
      <w:r w:rsidR="007C0770">
        <w:t xml:space="preserve">e number </w:t>
      </w:r>
      <w:r w:rsidR="007C0770" w:rsidRPr="00B45AE3">
        <w:t xml:space="preserve">with mild frailty increases </w:t>
      </w:r>
      <w:r w:rsidR="007C0770">
        <w:t>by 16.1%</w:t>
      </w:r>
      <w:r w:rsidR="007C0770" w:rsidRPr="00B45AE3">
        <w:t>.</w:t>
      </w:r>
      <w:r w:rsidR="007C0770">
        <w:t xml:space="preserve"> </w:t>
      </w:r>
      <w:r w:rsidR="007C0770" w:rsidRPr="00B45AE3">
        <w:t xml:space="preserve"> The </w:t>
      </w:r>
      <w:r w:rsidR="007C0770">
        <w:t>most striking change, however, is for</w:t>
      </w:r>
      <w:r w:rsidR="007C0770" w:rsidRPr="00B45AE3">
        <w:t xml:space="preserve"> people with moderate and severe frailty</w:t>
      </w:r>
      <w:r w:rsidR="007C0770">
        <w:t>: the total number</w:t>
      </w:r>
      <w:r w:rsidR="007C0770" w:rsidRPr="00B45AE3">
        <w:t xml:space="preserve"> </w:t>
      </w:r>
      <w:r w:rsidR="007C0770">
        <w:t xml:space="preserve">in these two categories </w:t>
      </w:r>
      <w:r w:rsidR="007C0770" w:rsidRPr="00B45AE3">
        <w:t xml:space="preserve">increases </w:t>
      </w:r>
      <w:r w:rsidR="007C0770">
        <w:t xml:space="preserve">by 47% </w:t>
      </w:r>
      <w:r w:rsidR="007C0770" w:rsidRPr="00B45AE3">
        <w:t>from 2</w:t>
      </w:r>
      <w:r w:rsidR="007C0770">
        <w:t>.</w:t>
      </w:r>
      <w:r w:rsidR="007C0770" w:rsidRPr="00B45AE3">
        <w:t xml:space="preserve">9 </w:t>
      </w:r>
      <w:r w:rsidR="007C0770">
        <w:t xml:space="preserve">million </w:t>
      </w:r>
      <w:r w:rsidR="007C0770" w:rsidRPr="00B45AE3">
        <w:t>to 4</w:t>
      </w:r>
      <w:r w:rsidR="007C0770">
        <w:t xml:space="preserve">.3 million, comprising </w:t>
      </w:r>
      <w:r w:rsidR="007C0770" w:rsidRPr="00B45AE3">
        <w:t xml:space="preserve">almost 20% of the population aged </w:t>
      </w:r>
      <w:r w:rsidR="007C0770">
        <w:t>&gt;=</w:t>
      </w:r>
      <w:r w:rsidR="007C0770" w:rsidRPr="00B45AE3">
        <w:t xml:space="preserve">50. </w:t>
      </w:r>
      <w:r w:rsidR="007C0770">
        <w:t xml:space="preserve">  This means that compared with 2017, </w:t>
      </w:r>
      <w:bookmarkStart w:id="20" w:name="_Hlk183185314"/>
      <w:r w:rsidR="003F6E56">
        <w:rPr>
          <w:color w:val="FF0000"/>
        </w:rPr>
        <w:t xml:space="preserve">the model estimates that </w:t>
      </w:r>
      <w:bookmarkEnd w:id="20"/>
      <w:r w:rsidR="007C0770">
        <w:t xml:space="preserve">by 2027 an additional </w:t>
      </w:r>
      <w:r w:rsidR="007C0770" w:rsidRPr="005648ED">
        <w:t>2</w:t>
      </w:r>
      <w:r w:rsidR="007C0770">
        <w:t>.</w:t>
      </w:r>
      <w:r w:rsidR="007C0770" w:rsidRPr="005648ED">
        <w:t>27</w:t>
      </w:r>
      <w:r w:rsidR="007C0770">
        <w:t xml:space="preserve"> million people (with 1.37 million living with moderate or severe frailty) may require some level of care (as increasing frailty is associated with increased care needs or service use </w:t>
      </w:r>
      <w:r w:rsidR="007C0770">
        <w:fldChar w:fldCharType="begin"/>
      </w:r>
      <w:r w:rsidR="007C0770">
        <w:instrText xml:space="preserve"> ADDIN EN.CITE &lt;EndNote&gt;&lt;Cite&gt;&lt;Author&gt;Fried&lt;/Author&gt;&lt;Year&gt;2001&lt;/Year&gt;&lt;RecNum&gt;32&lt;/RecNum&gt;&lt;DisplayText&gt;(Fried et al., 2001)&lt;/DisplayText&gt;&lt;record&gt;&lt;rec-number&gt;32&lt;/rec-number&gt;&lt;foreign-keys&gt;&lt;key app="EN" db-id="0sxsezaf7atedqef9vk5drdt9xzpawp0w5rv" timestamp="1684435055"&gt;32&lt;/key&gt;&lt;/foreign-keys&gt;&lt;ref-type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lt;/isbn&gt;&lt;accession-num&gt;11253156&lt;/accession-num&gt;&lt;urls&gt;&lt;/urls&gt;&lt;electronic-resource-num&gt;10.1093/gerona/56.3.m146&lt;/electronic-resource-num&gt;&lt;remote-database-provider&gt;NLM&lt;/remote-database-provider&gt;&lt;language&gt;eng&lt;/language&gt;&lt;/record&gt;&lt;/Cite&gt;&lt;/EndNote&gt;</w:instrText>
      </w:r>
      <w:r w:rsidR="007C0770">
        <w:fldChar w:fldCharType="separate"/>
      </w:r>
      <w:r w:rsidR="007C0770">
        <w:rPr>
          <w:noProof/>
        </w:rPr>
        <w:t>(Fried et al., 2001)</w:t>
      </w:r>
      <w:r w:rsidR="007C0770">
        <w:fldChar w:fldCharType="end"/>
      </w:r>
      <w:r w:rsidR="007C0770">
        <w:t xml:space="preserve">, </w:t>
      </w:r>
      <w:r w:rsidR="007C0770">
        <w:fldChar w:fldCharType="begin"/>
      </w:r>
      <w:r w:rsidR="007C0770">
        <w:instrText xml:space="preserve"> ADDIN EN.CITE &lt;EndNote&gt;&lt;Cite&gt;&lt;Author&gt;Ge&lt;/Author&gt;&lt;Year&gt;2020&lt;/Year&gt;&lt;RecNum&gt;108&lt;/RecNum&gt;&lt;DisplayText&gt;(Ge et al., 2020)&lt;/DisplayText&gt;&lt;record&gt;&lt;rec-number&gt;108&lt;/rec-number&gt;&lt;foreign-keys&gt;&lt;key app="EN" db-id="0sxsezaf7atedqef9vk5drdt9xzpawp0w5rv" timestamp="1691575506"&gt;108&lt;/key&gt;&lt;/foreign-keys&gt;&lt;ref-type name="Journal Article"&gt;17&lt;/ref-type&gt;&lt;contributors&gt;&lt;authors&gt;&lt;author&gt;Ge, Lixia&lt;/author&gt;&lt;author&gt;Yap, Chun Wei&lt;/author&gt;&lt;author&gt;Heng, Bee Hoon&lt;/author&gt;&lt;author&gt;Tan, Woan Shin&lt;/author&gt;&lt;/authors&gt;&lt;/contributors&gt;&lt;titles&gt;&lt;title&gt;Frailty and healthcare utilisation across care settings among community-dwelling older adults in Singapore&lt;/title&gt;&lt;secondary-title&gt;BMC Geriatrics&lt;/secondary-title&gt;&lt;/titles&gt;&lt;periodical&gt;&lt;full-title&gt;BMC Geriatrics&lt;/full-title&gt;&lt;/periodical&gt;&lt;pages&gt;389&lt;/pages&gt;&lt;volume&gt;20&lt;/volume&gt;&lt;number&gt;1&lt;/number&gt;&lt;dates&gt;&lt;year&gt;2020&lt;/year&gt;&lt;pub-dates&gt;&lt;date&gt;2020/10/06&lt;/date&gt;&lt;/pub-dates&gt;&lt;/dates&gt;&lt;isbn&gt;1471-2318&lt;/isbn&gt;&lt;urls&gt;&lt;related-urls&gt;&lt;url&gt;https://doi.org/10.1186/s12877-020-01800-8&lt;/url&gt;&lt;/related-urls&gt;&lt;/urls&gt;&lt;electronic-resource-num&gt;10.1186/s12877-020-01800-8&lt;/electronic-resource-num&gt;&lt;/record&gt;&lt;/Cite&gt;&lt;/EndNote&gt;</w:instrText>
      </w:r>
      <w:r w:rsidR="007C0770">
        <w:fldChar w:fldCharType="separate"/>
      </w:r>
      <w:r w:rsidR="007C0770">
        <w:rPr>
          <w:noProof/>
        </w:rPr>
        <w:t>(Ge et al., 2020)</w:t>
      </w:r>
      <w:r w:rsidR="007C0770">
        <w:fldChar w:fldCharType="end"/>
      </w:r>
      <w:r w:rsidR="007C0770">
        <w:t xml:space="preserve">, </w:t>
      </w:r>
      <w:r w:rsidR="007C0770">
        <w:fldChar w:fldCharType="begin"/>
      </w:r>
      <w:r w:rsidR="007C0770">
        <w:instrText xml:space="preserve"> ADDIN EN.CITE &lt;EndNote&gt;&lt;Cite&gt;&lt;Author&gt;Ikonen&lt;/Author&gt;&lt;Year&gt;2022&lt;/Year&gt;&lt;RecNum&gt;107&lt;/RecNum&gt;&lt;DisplayText&gt;(Ikonen et al., 2022)&lt;/DisplayText&gt;&lt;record&gt;&lt;rec-number&gt;107&lt;/rec-number&gt;&lt;foreign-keys&gt;&lt;key app="EN" db-id="0sxsezaf7atedqef9vk5drdt9xzpawp0w5rv" timestamp="1691575391"&gt;107&lt;/key&gt;&lt;/foreign-keys&gt;&lt;ref-type name="Journal Article"&gt;17&lt;/ref-type&gt;&lt;contributors&gt;&lt;authors&gt;&lt;author&gt;Ikonen, Jenni N.&lt;/author&gt;&lt;author&gt;Eriksson, Johan G.&lt;/author&gt;&lt;author&gt;von Bonsdorff, Mikaela B.&lt;/author&gt;&lt;author&gt;Kajantie, Eero&lt;/author&gt;&lt;author&gt;Arponen, Otso&lt;/author&gt;&lt;author&gt;Haapanen, Markus J.&lt;/author&gt;&lt;/authors&gt;&lt;/contributors&gt;&lt;titles&gt;&lt;title&gt;The utilization of primary healthcare services among frail older adults – findings from the Helsinki Birth Cohort Study&lt;/title&gt;&lt;secondary-title&gt;BMC Geriatrics&lt;/secondary-title&gt;&lt;/titles&gt;&lt;periodical&gt;&lt;full-title&gt;BMC Geriatrics&lt;/full-title&gt;&lt;/periodical&gt;&lt;pages&gt;79&lt;/pages&gt;&lt;volume&gt;22&lt;/volume&gt;&lt;number&gt;1&lt;/number&gt;&lt;dates&gt;&lt;year&gt;2022&lt;/year&gt;&lt;pub-dates&gt;&lt;date&gt;2022/01/26&lt;/date&gt;&lt;/pub-dates&gt;&lt;/dates&gt;&lt;isbn&gt;1471-2318&lt;/isbn&gt;&lt;urls&gt;&lt;related-urls&gt;&lt;url&gt;https://doi.org/10.1186/s12877-022-02767-4&lt;/url&gt;&lt;/related-urls&gt;&lt;/urls&gt;&lt;electronic-resource-num&gt;10.1186/s12877-022-02767-4&lt;/electronic-resource-num&gt;&lt;/record&gt;&lt;/Cite&gt;&lt;/EndNote&gt;</w:instrText>
      </w:r>
      <w:r w:rsidR="007C0770">
        <w:fldChar w:fldCharType="separate"/>
      </w:r>
      <w:r w:rsidR="007C0770">
        <w:rPr>
          <w:noProof/>
        </w:rPr>
        <w:t>(Ikonen et al., 2022)</w:t>
      </w:r>
      <w:r w:rsidR="007C0770">
        <w:fldChar w:fldCharType="end"/>
      </w:r>
      <w:r w:rsidR="007C0770">
        <w:t xml:space="preserve">).  This </w:t>
      </w:r>
      <w:r w:rsidR="003F6E56">
        <w:rPr>
          <w:color w:val="FF0000"/>
        </w:rPr>
        <w:t>would be</w:t>
      </w:r>
      <w:r w:rsidR="007C0770">
        <w:t xml:space="preserve"> a significant increase in a relatively short period of time. </w:t>
      </w:r>
    </w:p>
    <w:p w14:paraId="67D58A87" w14:textId="06304B6B" w:rsidR="007C0770" w:rsidRDefault="007C0770" w:rsidP="001A1923"/>
    <w:p w14:paraId="05C9EA58" w14:textId="2E2FD45D" w:rsidR="007C0770" w:rsidRDefault="007C0770" w:rsidP="001A1923"/>
    <w:p w14:paraId="7BF2B592" w14:textId="292C8E50" w:rsidR="007C0770" w:rsidRDefault="007C0770" w:rsidP="001A1923"/>
    <w:p w14:paraId="2D5C58AC" w14:textId="4AC28E82" w:rsidR="007C0770" w:rsidRDefault="007C0770" w:rsidP="001A1923"/>
    <w:p w14:paraId="24E1EAC5" w14:textId="09F83D5E" w:rsidR="007C0770" w:rsidRDefault="007C0770" w:rsidP="001A1923"/>
    <w:p w14:paraId="135702A9" w14:textId="0C0DDA20" w:rsidR="007C0770" w:rsidRDefault="007C0770" w:rsidP="001A1923"/>
    <w:p w14:paraId="0A75B11B" w14:textId="6018041E" w:rsidR="007C0770" w:rsidRDefault="007C0770" w:rsidP="001A1923"/>
    <w:p w14:paraId="07662CF4" w14:textId="098DD99F" w:rsidR="00447199" w:rsidRPr="001256E0" w:rsidRDefault="00447199">
      <w:pPr>
        <w:pStyle w:val="Caption"/>
      </w:pPr>
      <w:r w:rsidRPr="001256E0">
        <w:lastRenderedPageBreak/>
        <w:t>Table 4: Percentage of the total population aged over 50, and numbers</w:t>
      </w:r>
      <w:r w:rsidR="00A83C93" w:rsidRPr="001256E0">
        <w:t xml:space="preserve"> of people</w:t>
      </w:r>
      <w:r w:rsidRPr="001256E0">
        <w:t xml:space="preserve">, in each age/frailty subgroup in 2017 and </w:t>
      </w:r>
      <w:r w:rsidR="003362DD" w:rsidRPr="001256E0">
        <w:t xml:space="preserve">in </w:t>
      </w:r>
      <w:r w:rsidRPr="001256E0">
        <w:t>2027</w:t>
      </w:r>
    </w:p>
    <w:tbl>
      <w:tblPr>
        <w:tblStyle w:val="TableGrid"/>
        <w:tblW w:w="6296" w:type="dxa"/>
        <w:tblInd w:w="562" w:type="dxa"/>
        <w:tblLook w:val="04A0" w:firstRow="1" w:lastRow="0" w:firstColumn="1" w:lastColumn="0" w:noHBand="0" w:noVBand="1"/>
      </w:tblPr>
      <w:tblGrid>
        <w:gridCol w:w="1832"/>
        <w:gridCol w:w="893"/>
        <w:gridCol w:w="1250"/>
        <w:gridCol w:w="1103"/>
        <w:gridCol w:w="1218"/>
      </w:tblGrid>
      <w:tr w:rsidR="00447199" w:rsidRPr="00D75486" w14:paraId="47B2C7FC" w14:textId="77777777" w:rsidTr="00F84EC4">
        <w:trPr>
          <w:trHeight w:val="315"/>
        </w:trPr>
        <w:tc>
          <w:tcPr>
            <w:tcW w:w="1832" w:type="dxa"/>
            <w:noWrap/>
            <w:hideMark/>
          </w:tcPr>
          <w:p w14:paraId="75D738B2" w14:textId="77777777" w:rsidR="00447199" w:rsidRPr="00D75486" w:rsidRDefault="00447199">
            <w:pPr>
              <w:spacing w:line="240" w:lineRule="auto"/>
              <w:rPr>
                <w:lang w:eastAsia="zh-CN"/>
              </w:rPr>
            </w:pPr>
            <w:r w:rsidRPr="00D75486">
              <w:rPr>
                <w:lang w:eastAsia="zh-CN"/>
              </w:rPr>
              <w:t> </w:t>
            </w:r>
          </w:p>
        </w:tc>
        <w:tc>
          <w:tcPr>
            <w:tcW w:w="2143" w:type="dxa"/>
            <w:gridSpan w:val="2"/>
            <w:noWrap/>
            <w:hideMark/>
          </w:tcPr>
          <w:p w14:paraId="5CA6FD5F" w14:textId="77777777" w:rsidR="00447199" w:rsidRPr="00373758" w:rsidRDefault="00447199" w:rsidP="00F84EC4">
            <w:pPr>
              <w:spacing w:line="240" w:lineRule="auto"/>
              <w:rPr>
                <w:lang w:eastAsia="zh-CN"/>
              </w:rPr>
            </w:pPr>
            <w:r w:rsidRPr="00373758">
              <w:rPr>
                <w:lang w:eastAsia="zh-CN"/>
              </w:rPr>
              <w:t>2017</w:t>
            </w:r>
          </w:p>
        </w:tc>
        <w:tc>
          <w:tcPr>
            <w:tcW w:w="2321" w:type="dxa"/>
            <w:gridSpan w:val="2"/>
            <w:noWrap/>
            <w:hideMark/>
          </w:tcPr>
          <w:p w14:paraId="0D531755" w14:textId="77777777" w:rsidR="00447199" w:rsidRPr="00373758" w:rsidRDefault="00447199" w:rsidP="00F84EC4">
            <w:pPr>
              <w:spacing w:line="240" w:lineRule="auto"/>
              <w:rPr>
                <w:lang w:eastAsia="zh-CN"/>
              </w:rPr>
            </w:pPr>
            <w:r w:rsidRPr="00373758">
              <w:rPr>
                <w:lang w:eastAsia="zh-CN"/>
              </w:rPr>
              <w:t>2027</w:t>
            </w:r>
          </w:p>
        </w:tc>
      </w:tr>
      <w:tr w:rsidR="00447199" w:rsidRPr="00D75486" w14:paraId="79240D2E" w14:textId="77777777" w:rsidTr="00F84EC4">
        <w:trPr>
          <w:trHeight w:val="315"/>
        </w:trPr>
        <w:tc>
          <w:tcPr>
            <w:tcW w:w="1832" w:type="dxa"/>
            <w:noWrap/>
            <w:hideMark/>
          </w:tcPr>
          <w:p w14:paraId="30AED98D" w14:textId="4D94878A" w:rsidR="00447199" w:rsidRPr="00373758" w:rsidRDefault="00373758">
            <w:pPr>
              <w:spacing w:line="240" w:lineRule="auto"/>
              <w:rPr>
                <w:lang w:eastAsia="zh-CN"/>
              </w:rPr>
            </w:pPr>
            <w:r w:rsidRPr="00373758">
              <w:rPr>
                <w:lang w:eastAsia="zh-CN"/>
              </w:rPr>
              <w:t>Age/frailty group</w:t>
            </w:r>
          </w:p>
        </w:tc>
        <w:tc>
          <w:tcPr>
            <w:tcW w:w="893" w:type="dxa"/>
            <w:noWrap/>
            <w:hideMark/>
          </w:tcPr>
          <w:p w14:paraId="3EDCC93E" w14:textId="77777777" w:rsidR="00447199" w:rsidRPr="00373758" w:rsidRDefault="00447199" w:rsidP="00F84EC4">
            <w:pPr>
              <w:spacing w:line="240" w:lineRule="auto"/>
              <w:rPr>
                <w:lang w:eastAsia="zh-CN"/>
              </w:rPr>
            </w:pPr>
            <w:r w:rsidRPr="00373758">
              <w:rPr>
                <w:lang w:eastAsia="zh-CN"/>
              </w:rPr>
              <w:t>%</w:t>
            </w:r>
          </w:p>
        </w:tc>
        <w:tc>
          <w:tcPr>
            <w:tcW w:w="1250" w:type="dxa"/>
            <w:noWrap/>
            <w:hideMark/>
          </w:tcPr>
          <w:p w14:paraId="37213341" w14:textId="5CD8008C" w:rsidR="00447199" w:rsidRPr="00373758" w:rsidRDefault="00447199" w:rsidP="00F84EC4">
            <w:pPr>
              <w:spacing w:line="240" w:lineRule="auto"/>
              <w:rPr>
                <w:lang w:eastAsia="zh-CN"/>
              </w:rPr>
            </w:pPr>
            <w:r w:rsidRPr="00373758">
              <w:rPr>
                <w:lang w:eastAsia="zh-CN"/>
              </w:rPr>
              <w:t>Number</w:t>
            </w:r>
          </w:p>
        </w:tc>
        <w:tc>
          <w:tcPr>
            <w:tcW w:w="1103" w:type="dxa"/>
            <w:noWrap/>
            <w:hideMark/>
          </w:tcPr>
          <w:p w14:paraId="0FB81564" w14:textId="77777777" w:rsidR="00447199" w:rsidRPr="00373758" w:rsidRDefault="00447199" w:rsidP="00F84EC4">
            <w:pPr>
              <w:spacing w:line="240" w:lineRule="auto"/>
              <w:rPr>
                <w:lang w:eastAsia="zh-CN"/>
              </w:rPr>
            </w:pPr>
            <w:r w:rsidRPr="00373758">
              <w:rPr>
                <w:lang w:eastAsia="zh-CN"/>
              </w:rPr>
              <w:t>%</w:t>
            </w:r>
          </w:p>
        </w:tc>
        <w:tc>
          <w:tcPr>
            <w:tcW w:w="1218" w:type="dxa"/>
            <w:noWrap/>
            <w:hideMark/>
          </w:tcPr>
          <w:p w14:paraId="24194977" w14:textId="3A32D1CE" w:rsidR="00447199" w:rsidRPr="00373758" w:rsidRDefault="00447199" w:rsidP="00F84EC4">
            <w:pPr>
              <w:spacing w:line="240" w:lineRule="auto"/>
              <w:rPr>
                <w:lang w:eastAsia="zh-CN"/>
              </w:rPr>
            </w:pPr>
            <w:r w:rsidRPr="00373758">
              <w:rPr>
                <w:lang w:eastAsia="zh-CN"/>
              </w:rPr>
              <w:t>Number</w:t>
            </w:r>
          </w:p>
        </w:tc>
      </w:tr>
      <w:tr w:rsidR="00373758" w:rsidRPr="00D75486" w14:paraId="1E80B923" w14:textId="77777777" w:rsidTr="00F84EC4">
        <w:trPr>
          <w:trHeight w:val="300"/>
        </w:trPr>
        <w:tc>
          <w:tcPr>
            <w:tcW w:w="1832" w:type="dxa"/>
            <w:noWrap/>
          </w:tcPr>
          <w:p w14:paraId="1615E624" w14:textId="4AFE1D8C" w:rsidR="00373758" w:rsidRPr="00A906C7" w:rsidRDefault="00373758">
            <w:pPr>
              <w:spacing w:line="240" w:lineRule="auto"/>
              <w:rPr>
                <w:lang w:eastAsia="zh-CN"/>
              </w:rPr>
            </w:pPr>
            <w:r w:rsidRPr="00A906C7">
              <w:rPr>
                <w:lang w:eastAsia="zh-CN"/>
              </w:rPr>
              <w:t>Fit</w:t>
            </w:r>
          </w:p>
        </w:tc>
        <w:tc>
          <w:tcPr>
            <w:tcW w:w="893" w:type="dxa"/>
            <w:noWrap/>
          </w:tcPr>
          <w:p w14:paraId="612ABF6E" w14:textId="77777777" w:rsidR="00373758" w:rsidRPr="00D75486" w:rsidRDefault="00373758" w:rsidP="00F84EC4">
            <w:pPr>
              <w:spacing w:line="240" w:lineRule="auto"/>
              <w:rPr>
                <w:lang w:eastAsia="zh-CN"/>
              </w:rPr>
            </w:pPr>
          </w:p>
        </w:tc>
        <w:tc>
          <w:tcPr>
            <w:tcW w:w="1250" w:type="dxa"/>
            <w:noWrap/>
          </w:tcPr>
          <w:p w14:paraId="3FFEBC52" w14:textId="77777777" w:rsidR="00373758" w:rsidRDefault="00373758" w:rsidP="00F84EC4">
            <w:pPr>
              <w:spacing w:line="240" w:lineRule="auto"/>
              <w:rPr>
                <w:lang w:eastAsia="zh-CN"/>
              </w:rPr>
            </w:pPr>
          </w:p>
        </w:tc>
        <w:tc>
          <w:tcPr>
            <w:tcW w:w="1103" w:type="dxa"/>
            <w:noWrap/>
          </w:tcPr>
          <w:p w14:paraId="2A8B7C11" w14:textId="77777777" w:rsidR="00373758" w:rsidRPr="00D75486" w:rsidRDefault="00373758" w:rsidP="00F84EC4">
            <w:pPr>
              <w:spacing w:line="240" w:lineRule="auto"/>
              <w:rPr>
                <w:lang w:eastAsia="zh-CN"/>
              </w:rPr>
            </w:pPr>
          </w:p>
        </w:tc>
        <w:tc>
          <w:tcPr>
            <w:tcW w:w="1218" w:type="dxa"/>
            <w:noWrap/>
          </w:tcPr>
          <w:p w14:paraId="44236FB1" w14:textId="77777777" w:rsidR="00373758" w:rsidRDefault="00373758" w:rsidP="00F84EC4">
            <w:pPr>
              <w:spacing w:line="240" w:lineRule="auto"/>
              <w:rPr>
                <w:lang w:eastAsia="zh-CN"/>
              </w:rPr>
            </w:pPr>
          </w:p>
        </w:tc>
      </w:tr>
      <w:tr w:rsidR="00447199" w:rsidRPr="00D75486" w14:paraId="52E05569" w14:textId="77777777" w:rsidTr="00F84EC4">
        <w:trPr>
          <w:trHeight w:val="300"/>
        </w:trPr>
        <w:tc>
          <w:tcPr>
            <w:tcW w:w="1832" w:type="dxa"/>
            <w:noWrap/>
            <w:hideMark/>
          </w:tcPr>
          <w:p w14:paraId="771A8B54" w14:textId="72F5F6A6" w:rsidR="00447199" w:rsidRPr="00A906C7" w:rsidRDefault="00DE28BB">
            <w:pPr>
              <w:spacing w:line="240" w:lineRule="auto"/>
              <w:rPr>
                <w:lang w:eastAsia="zh-CN"/>
              </w:rPr>
            </w:pPr>
            <w:r w:rsidRPr="00A906C7">
              <w:rPr>
                <w:lang w:eastAsia="zh-CN"/>
              </w:rPr>
              <w:t xml:space="preserve">   </w:t>
            </w:r>
            <w:r w:rsidR="00447199" w:rsidRPr="00A906C7">
              <w:rPr>
                <w:lang w:eastAsia="zh-CN"/>
              </w:rPr>
              <w:t>50-64</w:t>
            </w:r>
          </w:p>
        </w:tc>
        <w:tc>
          <w:tcPr>
            <w:tcW w:w="893" w:type="dxa"/>
            <w:noWrap/>
            <w:hideMark/>
          </w:tcPr>
          <w:p w14:paraId="50600BD4" w14:textId="77777777" w:rsidR="00447199" w:rsidRPr="00D75486" w:rsidRDefault="00447199" w:rsidP="00CD19AB">
            <w:pPr>
              <w:spacing w:line="240" w:lineRule="auto"/>
              <w:jc w:val="right"/>
              <w:rPr>
                <w:lang w:eastAsia="zh-CN"/>
              </w:rPr>
            </w:pPr>
            <w:r w:rsidRPr="00D75486">
              <w:rPr>
                <w:lang w:eastAsia="zh-CN"/>
              </w:rPr>
              <w:t>38.36</w:t>
            </w:r>
          </w:p>
        </w:tc>
        <w:tc>
          <w:tcPr>
            <w:tcW w:w="1250" w:type="dxa"/>
            <w:noWrap/>
            <w:hideMark/>
          </w:tcPr>
          <w:p w14:paraId="0FB296AA" w14:textId="26A69DD6" w:rsidR="00447199" w:rsidRPr="00D75486" w:rsidRDefault="00144574" w:rsidP="00CD19AB">
            <w:pPr>
              <w:spacing w:line="240" w:lineRule="auto"/>
              <w:jc w:val="right"/>
              <w:rPr>
                <w:lang w:eastAsia="zh-CN"/>
              </w:rPr>
            </w:pPr>
            <w:r>
              <w:rPr>
                <w:lang w:eastAsia="zh-CN"/>
              </w:rPr>
              <w:t xml:space="preserve"> </w:t>
            </w:r>
            <w:r w:rsidRPr="00144574">
              <w:rPr>
                <w:lang w:eastAsia="zh-CN"/>
              </w:rPr>
              <w:t>7,689,306</w:t>
            </w:r>
          </w:p>
        </w:tc>
        <w:tc>
          <w:tcPr>
            <w:tcW w:w="1103" w:type="dxa"/>
            <w:noWrap/>
            <w:hideMark/>
          </w:tcPr>
          <w:p w14:paraId="514AB8A5" w14:textId="77777777" w:rsidR="00447199" w:rsidRPr="00D75486" w:rsidRDefault="00447199" w:rsidP="00CD19AB">
            <w:pPr>
              <w:spacing w:line="240" w:lineRule="auto"/>
              <w:jc w:val="right"/>
              <w:rPr>
                <w:lang w:eastAsia="zh-CN"/>
              </w:rPr>
            </w:pPr>
            <w:r w:rsidRPr="00D75486">
              <w:rPr>
                <w:lang w:eastAsia="zh-CN"/>
              </w:rPr>
              <w:t>34.85</w:t>
            </w:r>
          </w:p>
        </w:tc>
        <w:tc>
          <w:tcPr>
            <w:tcW w:w="1218" w:type="dxa"/>
            <w:noWrap/>
            <w:hideMark/>
          </w:tcPr>
          <w:p w14:paraId="3A9A7752" w14:textId="70219D83" w:rsidR="00950460" w:rsidRPr="00D75486" w:rsidRDefault="00950460" w:rsidP="00CD19AB">
            <w:pPr>
              <w:spacing w:line="240" w:lineRule="auto"/>
              <w:jc w:val="right"/>
              <w:rPr>
                <w:lang w:eastAsia="zh-CN"/>
              </w:rPr>
            </w:pPr>
            <w:r w:rsidRPr="00950460">
              <w:rPr>
                <w:lang w:eastAsia="zh-CN"/>
              </w:rPr>
              <w:t>7,580,985</w:t>
            </w:r>
          </w:p>
        </w:tc>
      </w:tr>
      <w:tr w:rsidR="00447199" w:rsidRPr="00D75486" w14:paraId="21BCBF68" w14:textId="77777777" w:rsidTr="00F84EC4">
        <w:trPr>
          <w:trHeight w:val="300"/>
        </w:trPr>
        <w:tc>
          <w:tcPr>
            <w:tcW w:w="1832" w:type="dxa"/>
            <w:noWrap/>
            <w:hideMark/>
          </w:tcPr>
          <w:p w14:paraId="03398812" w14:textId="117B4642" w:rsidR="00447199" w:rsidRPr="00A906C7" w:rsidRDefault="00DE28BB">
            <w:pPr>
              <w:spacing w:line="240" w:lineRule="auto"/>
              <w:rPr>
                <w:lang w:eastAsia="zh-CN"/>
              </w:rPr>
            </w:pPr>
            <w:r w:rsidRPr="00A906C7">
              <w:rPr>
                <w:lang w:eastAsia="zh-CN"/>
              </w:rPr>
              <w:t xml:space="preserve">   </w:t>
            </w:r>
            <w:r w:rsidR="00447199" w:rsidRPr="00A906C7">
              <w:rPr>
                <w:lang w:eastAsia="zh-CN"/>
              </w:rPr>
              <w:t>65-74</w:t>
            </w:r>
          </w:p>
        </w:tc>
        <w:tc>
          <w:tcPr>
            <w:tcW w:w="893" w:type="dxa"/>
            <w:noWrap/>
            <w:hideMark/>
          </w:tcPr>
          <w:p w14:paraId="5125D5BB" w14:textId="77777777" w:rsidR="00447199" w:rsidRPr="00D75486" w:rsidRDefault="00447199" w:rsidP="00CD19AB">
            <w:pPr>
              <w:spacing w:line="240" w:lineRule="auto"/>
              <w:jc w:val="right"/>
              <w:rPr>
                <w:lang w:eastAsia="zh-CN"/>
              </w:rPr>
            </w:pPr>
            <w:r w:rsidRPr="00D75486">
              <w:rPr>
                <w:lang w:eastAsia="zh-CN"/>
              </w:rPr>
              <w:t>14.04</w:t>
            </w:r>
          </w:p>
        </w:tc>
        <w:tc>
          <w:tcPr>
            <w:tcW w:w="1250" w:type="dxa"/>
            <w:noWrap/>
            <w:hideMark/>
          </w:tcPr>
          <w:p w14:paraId="338553CF" w14:textId="485BC4E7" w:rsidR="00447199" w:rsidRPr="00D75486" w:rsidRDefault="00D40D89" w:rsidP="00CD19AB">
            <w:pPr>
              <w:spacing w:line="240" w:lineRule="auto"/>
              <w:jc w:val="right"/>
              <w:rPr>
                <w:lang w:eastAsia="zh-CN"/>
              </w:rPr>
            </w:pPr>
            <w:r w:rsidRPr="00D40D89">
              <w:rPr>
                <w:lang w:eastAsia="zh-CN"/>
              </w:rPr>
              <w:t>2,813,696</w:t>
            </w:r>
            <w:r w:rsidR="00144574">
              <w:rPr>
                <w:lang w:eastAsia="zh-CN"/>
              </w:rPr>
              <w:t xml:space="preserve"> </w:t>
            </w:r>
          </w:p>
        </w:tc>
        <w:tc>
          <w:tcPr>
            <w:tcW w:w="1103" w:type="dxa"/>
            <w:noWrap/>
            <w:hideMark/>
          </w:tcPr>
          <w:p w14:paraId="1CECF3C2" w14:textId="77777777" w:rsidR="00447199" w:rsidRPr="00D75486" w:rsidRDefault="00447199" w:rsidP="00CD19AB">
            <w:pPr>
              <w:spacing w:line="240" w:lineRule="auto"/>
              <w:jc w:val="right"/>
              <w:rPr>
                <w:lang w:eastAsia="zh-CN"/>
              </w:rPr>
            </w:pPr>
            <w:r w:rsidRPr="00D75486">
              <w:rPr>
                <w:lang w:eastAsia="zh-CN"/>
              </w:rPr>
              <w:t>11.92</w:t>
            </w:r>
          </w:p>
        </w:tc>
        <w:tc>
          <w:tcPr>
            <w:tcW w:w="1218" w:type="dxa"/>
            <w:noWrap/>
            <w:hideMark/>
          </w:tcPr>
          <w:p w14:paraId="49501EDC" w14:textId="110D424E" w:rsidR="00950460" w:rsidRPr="00D75486" w:rsidRDefault="00791A42" w:rsidP="00CD19AB">
            <w:pPr>
              <w:spacing w:line="240" w:lineRule="auto"/>
              <w:jc w:val="right"/>
              <w:rPr>
                <w:lang w:eastAsia="zh-CN"/>
              </w:rPr>
            </w:pPr>
            <w:r w:rsidRPr="00791A42">
              <w:rPr>
                <w:lang w:eastAsia="zh-CN"/>
              </w:rPr>
              <w:t>2,593,440</w:t>
            </w:r>
          </w:p>
        </w:tc>
      </w:tr>
      <w:tr w:rsidR="00447199" w:rsidRPr="00D75486" w14:paraId="354AE137" w14:textId="77777777" w:rsidTr="00F84EC4">
        <w:trPr>
          <w:trHeight w:val="300"/>
        </w:trPr>
        <w:tc>
          <w:tcPr>
            <w:tcW w:w="1832" w:type="dxa"/>
            <w:noWrap/>
            <w:hideMark/>
          </w:tcPr>
          <w:p w14:paraId="6107B852" w14:textId="147CE880" w:rsidR="00447199" w:rsidRPr="00A906C7" w:rsidRDefault="00DE28BB">
            <w:pPr>
              <w:spacing w:line="240" w:lineRule="auto"/>
              <w:rPr>
                <w:lang w:eastAsia="zh-CN"/>
              </w:rPr>
            </w:pPr>
            <w:r w:rsidRPr="00A906C7">
              <w:rPr>
                <w:lang w:eastAsia="zh-CN"/>
              </w:rPr>
              <w:t xml:space="preserve">   </w:t>
            </w:r>
            <w:r w:rsidR="00447199" w:rsidRPr="00A906C7">
              <w:rPr>
                <w:lang w:eastAsia="zh-CN"/>
              </w:rPr>
              <w:t>75-84</w:t>
            </w:r>
          </w:p>
        </w:tc>
        <w:tc>
          <w:tcPr>
            <w:tcW w:w="893" w:type="dxa"/>
            <w:noWrap/>
            <w:hideMark/>
          </w:tcPr>
          <w:p w14:paraId="0036FCD5" w14:textId="77777777" w:rsidR="00447199" w:rsidRPr="00D75486" w:rsidRDefault="00447199" w:rsidP="00CD19AB">
            <w:pPr>
              <w:spacing w:line="240" w:lineRule="auto"/>
              <w:jc w:val="right"/>
              <w:rPr>
                <w:lang w:eastAsia="zh-CN"/>
              </w:rPr>
            </w:pPr>
            <w:r w:rsidRPr="00D75486">
              <w:rPr>
                <w:lang w:eastAsia="zh-CN"/>
              </w:rPr>
              <w:t>4.99</w:t>
            </w:r>
          </w:p>
        </w:tc>
        <w:tc>
          <w:tcPr>
            <w:tcW w:w="1250" w:type="dxa"/>
            <w:noWrap/>
            <w:hideMark/>
          </w:tcPr>
          <w:p w14:paraId="588E1F17" w14:textId="44209487" w:rsidR="001C0807" w:rsidRPr="00D75486" w:rsidRDefault="001C0807" w:rsidP="00CD19AB">
            <w:pPr>
              <w:spacing w:line="240" w:lineRule="auto"/>
              <w:jc w:val="right"/>
              <w:rPr>
                <w:lang w:eastAsia="zh-CN"/>
              </w:rPr>
            </w:pPr>
            <w:r w:rsidRPr="001C0807">
              <w:rPr>
                <w:lang w:eastAsia="zh-CN"/>
              </w:rPr>
              <w:t>1,000,342</w:t>
            </w:r>
          </w:p>
        </w:tc>
        <w:tc>
          <w:tcPr>
            <w:tcW w:w="1103" w:type="dxa"/>
            <w:noWrap/>
            <w:hideMark/>
          </w:tcPr>
          <w:p w14:paraId="5F4B9989" w14:textId="77777777" w:rsidR="00447199" w:rsidRPr="00D75486" w:rsidRDefault="00447199" w:rsidP="00CD19AB">
            <w:pPr>
              <w:spacing w:line="240" w:lineRule="auto"/>
              <w:jc w:val="right"/>
              <w:rPr>
                <w:lang w:eastAsia="zh-CN"/>
              </w:rPr>
            </w:pPr>
            <w:r w:rsidRPr="00D75486">
              <w:rPr>
                <w:lang w:eastAsia="zh-CN"/>
              </w:rPr>
              <w:t>4.15</w:t>
            </w:r>
          </w:p>
        </w:tc>
        <w:tc>
          <w:tcPr>
            <w:tcW w:w="1218" w:type="dxa"/>
            <w:noWrap/>
            <w:hideMark/>
          </w:tcPr>
          <w:p w14:paraId="724DFF5F" w14:textId="53814F81" w:rsidR="00861153" w:rsidRPr="00D75486" w:rsidRDefault="00861153" w:rsidP="00CD19AB">
            <w:pPr>
              <w:spacing w:line="240" w:lineRule="auto"/>
              <w:jc w:val="right"/>
              <w:rPr>
                <w:lang w:eastAsia="zh-CN"/>
              </w:rPr>
            </w:pPr>
            <w:r w:rsidRPr="00861153">
              <w:rPr>
                <w:lang w:eastAsia="zh-CN"/>
              </w:rPr>
              <w:t>902,502</w:t>
            </w:r>
          </w:p>
        </w:tc>
      </w:tr>
      <w:tr w:rsidR="00447199" w:rsidRPr="00D75486" w14:paraId="29FFD71D" w14:textId="77777777" w:rsidTr="00F84EC4">
        <w:trPr>
          <w:trHeight w:val="300"/>
        </w:trPr>
        <w:tc>
          <w:tcPr>
            <w:tcW w:w="1832" w:type="dxa"/>
            <w:noWrap/>
            <w:hideMark/>
          </w:tcPr>
          <w:p w14:paraId="14AEBEA5" w14:textId="08F9FA6E" w:rsidR="00447199" w:rsidRPr="00A906C7" w:rsidRDefault="00DE28BB">
            <w:pPr>
              <w:spacing w:line="240" w:lineRule="auto"/>
              <w:rPr>
                <w:lang w:eastAsia="zh-CN"/>
              </w:rPr>
            </w:pPr>
            <w:r w:rsidRPr="00A906C7">
              <w:rPr>
                <w:lang w:eastAsia="zh-CN"/>
              </w:rPr>
              <w:t xml:space="preserve">   </w:t>
            </w:r>
            <w:r w:rsidR="00447199" w:rsidRPr="00A906C7">
              <w:rPr>
                <w:lang w:eastAsia="zh-CN"/>
              </w:rPr>
              <w:t>85+</w:t>
            </w:r>
          </w:p>
        </w:tc>
        <w:tc>
          <w:tcPr>
            <w:tcW w:w="893" w:type="dxa"/>
            <w:noWrap/>
            <w:hideMark/>
          </w:tcPr>
          <w:p w14:paraId="0ED4743F" w14:textId="77777777" w:rsidR="00447199" w:rsidRPr="00D75486" w:rsidRDefault="00447199" w:rsidP="00CD19AB">
            <w:pPr>
              <w:spacing w:line="240" w:lineRule="auto"/>
              <w:jc w:val="right"/>
              <w:rPr>
                <w:lang w:eastAsia="zh-CN"/>
              </w:rPr>
            </w:pPr>
            <w:r w:rsidRPr="00D75486">
              <w:rPr>
                <w:lang w:eastAsia="zh-CN"/>
              </w:rPr>
              <w:t>1.09</w:t>
            </w:r>
          </w:p>
        </w:tc>
        <w:tc>
          <w:tcPr>
            <w:tcW w:w="1250" w:type="dxa"/>
            <w:noWrap/>
            <w:hideMark/>
          </w:tcPr>
          <w:p w14:paraId="077C4020" w14:textId="4D05E3E0" w:rsidR="00361529" w:rsidRPr="00D75486" w:rsidRDefault="00361529" w:rsidP="00CD19AB">
            <w:pPr>
              <w:spacing w:line="240" w:lineRule="auto"/>
              <w:jc w:val="right"/>
              <w:rPr>
                <w:lang w:eastAsia="zh-CN"/>
              </w:rPr>
            </w:pPr>
            <w:r w:rsidRPr="00361529">
              <w:rPr>
                <w:lang w:eastAsia="zh-CN"/>
              </w:rPr>
              <w:t>218,329</w:t>
            </w:r>
          </w:p>
        </w:tc>
        <w:tc>
          <w:tcPr>
            <w:tcW w:w="1103" w:type="dxa"/>
            <w:noWrap/>
            <w:hideMark/>
          </w:tcPr>
          <w:p w14:paraId="44B4B7AF" w14:textId="77777777" w:rsidR="00447199" w:rsidRPr="00D75486" w:rsidRDefault="00447199" w:rsidP="00CD19AB">
            <w:pPr>
              <w:spacing w:line="240" w:lineRule="auto"/>
              <w:jc w:val="right"/>
              <w:rPr>
                <w:lang w:eastAsia="zh-CN"/>
              </w:rPr>
            </w:pPr>
            <w:r w:rsidRPr="00D75486">
              <w:rPr>
                <w:lang w:eastAsia="zh-CN"/>
              </w:rPr>
              <w:t>0.42</w:t>
            </w:r>
          </w:p>
        </w:tc>
        <w:tc>
          <w:tcPr>
            <w:tcW w:w="1218" w:type="dxa"/>
            <w:noWrap/>
            <w:hideMark/>
          </w:tcPr>
          <w:p w14:paraId="63F786EB" w14:textId="0AF58B4E" w:rsidR="00861153" w:rsidRPr="00D75486" w:rsidRDefault="00861153" w:rsidP="00CD19AB">
            <w:pPr>
              <w:spacing w:line="240" w:lineRule="auto"/>
              <w:jc w:val="right"/>
              <w:rPr>
                <w:lang w:eastAsia="zh-CN"/>
              </w:rPr>
            </w:pPr>
            <w:r w:rsidRPr="00861153">
              <w:rPr>
                <w:lang w:eastAsia="zh-CN"/>
              </w:rPr>
              <w:t>92,415</w:t>
            </w:r>
          </w:p>
        </w:tc>
      </w:tr>
      <w:tr w:rsidR="00447199" w:rsidRPr="00D75486" w14:paraId="4F1205CA" w14:textId="77777777" w:rsidTr="00F84EC4">
        <w:trPr>
          <w:trHeight w:val="300"/>
        </w:trPr>
        <w:tc>
          <w:tcPr>
            <w:tcW w:w="1832" w:type="dxa"/>
            <w:noWrap/>
            <w:hideMark/>
          </w:tcPr>
          <w:p w14:paraId="56EC4308" w14:textId="474370C5" w:rsidR="00447199" w:rsidRPr="00A906C7" w:rsidRDefault="00373758">
            <w:pPr>
              <w:spacing w:line="240" w:lineRule="auto"/>
              <w:rPr>
                <w:lang w:eastAsia="zh-CN"/>
              </w:rPr>
            </w:pPr>
            <w:r w:rsidRPr="00A906C7">
              <w:rPr>
                <w:lang w:eastAsia="zh-CN"/>
              </w:rPr>
              <w:t>Mild</w:t>
            </w:r>
            <w:r w:rsidR="00447199" w:rsidRPr="00A906C7">
              <w:rPr>
                <w:lang w:eastAsia="zh-CN"/>
              </w:rPr>
              <w:t> </w:t>
            </w:r>
          </w:p>
        </w:tc>
        <w:tc>
          <w:tcPr>
            <w:tcW w:w="893" w:type="dxa"/>
            <w:noWrap/>
            <w:hideMark/>
          </w:tcPr>
          <w:p w14:paraId="40D47F65" w14:textId="77777777" w:rsidR="00447199" w:rsidRPr="00D75486" w:rsidRDefault="00447199" w:rsidP="00CD19AB">
            <w:pPr>
              <w:spacing w:line="240" w:lineRule="auto"/>
              <w:jc w:val="right"/>
              <w:rPr>
                <w:lang w:eastAsia="zh-CN"/>
              </w:rPr>
            </w:pPr>
            <w:r w:rsidRPr="00D75486">
              <w:rPr>
                <w:lang w:eastAsia="zh-CN"/>
              </w:rPr>
              <w:t> </w:t>
            </w:r>
          </w:p>
        </w:tc>
        <w:tc>
          <w:tcPr>
            <w:tcW w:w="1250" w:type="dxa"/>
            <w:noWrap/>
            <w:hideMark/>
          </w:tcPr>
          <w:p w14:paraId="33281857" w14:textId="77777777" w:rsidR="00447199" w:rsidRPr="00D75486" w:rsidRDefault="00447199" w:rsidP="00CD19AB">
            <w:pPr>
              <w:spacing w:line="240" w:lineRule="auto"/>
              <w:jc w:val="right"/>
              <w:rPr>
                <w:lang w:eastAsia="zh-CN"/>
              </w:rPr>
            </w:pPr>
            <w:r w:rsidRPr="00D75486">
              <w:rPr>
                <w:lang w:eastAsia="zh-CN"/>
              </w:rPr>
              <w:t> </w:t>
            </w:r>
          </w:p>
        </w:tc>
        <w:tc>
          <w:tcPr>
            <w:tcW w:w="1103" w:type="dxa"/>
            <w:noWrap/>
            <w:hideMark/>
          </w:tcPr>
          <w:p w14:paraId="243A827F" w14:textId="77777777" w:rsidR="00447199" w:rsidRPr="00D75486" w:rsidRDefault="00447199" w:rsidP="00CD19AB">
            <w:pPr>
              <w:spacing w:line="240" w:lineRule="auto"/>
              <w:jc w:val="right"/>
              <w:rPr>
                <w:lang w:eastAsia="zh-CN"/>
              </w:rPr>
            </w:pPr>
            <w:r w:rsidRPr="00D75486">
              <w:rPr>
                <w:lang w:eastAsia="zh-CN"/>
              </w:rPr>
              <w:t> </w:t>
            </w:r>
          </w:p>
        </w:tc>
        <w:tc>
          <w:tcPr>
            <w:tcW w:w="1218" w:type="dxa"/>
            <w:noWrap/>
            <w:hideMark/>
          </w:tcPr>
          <w:p w14:paraId="73AD0126" w14:textId="77777777" w:rsidR="00447199" w:rsidRPr="00D75486" w:rsidRDefault="00447199" w:rsidP="00CD19AB">
            <w:pPr>
              <w:spacing w:line="240" w:lineRule="auto"/>
              <w:jc w:val="right"/>
              <w:rPr>
                <w:lang w:eastAsia="zh-CN"/>
              </w:rPr>
            </w:pPr>
            <w:r w:rsidRPr="00D75486">
              <w:rPr>
                <w:lang w:eastAsia="zh-CN"/>
              </w:rPr>
              <w:t> </w:t>
            </w:r>
          </w:p>
        </w:tc>
      </w:tr>
      <w:tr w:rsidR="00447199" w:rsidRPr="00D75486" w14:paraId="6DA1424C" w14:textId="77777777" w:rsidTr="00F84EC4">
        <w:trPr>
          <w:trHeight w:val="300"/>
        </w:trPr>
        <w:tc>
          <w:tcPr>
            <w:tcW w:w="1832" w:type="dxa"/>
            <w:noWrap/>
            <w:hideMark/>
          </w:tcPr>
          <w:p w14:paraId="0175014F" w14:textId="70EBB495" w:rsidR="00447199" w:rsidRPr="00A906C7" w:rsidRDefault="00DE28BB">
            <w:pPr>
              <w:spacing w:line="240" w:lineRule="auto"/>
              <w:rPr>
                <w:lang w:eastAsia="zh-CN"/>
              </w:rPr>
            </w:pPr>
            <w:r w:rsidRPr="00A906C7">
              <w:rPr>
                <w:lang w:eastAsia="zh-CN"/>
              </w:rPr>
              <w:t xml:space="preserve">   </w:t>
            </w:r>
            <w:r w:rsidR="00447199" w:rsidRPr="00A906C7">
              <w:rPr>
                <w:lang w:eastAsia="zh-CN"/>
              </w:rPr>
              <w:t>50-64</w:t>
            </w:r>
          </w:p>
        </w:tc>
        <w:tc>
          <w:tcPr>
            <w:tcW w:w="893" w:type="dxa"/>
            <w:noWrap/>
            <w:hideMark/>
          </w:tcPr>
          <w:p w14:paraId="00BFEEE6" w14:textId="77777777" w:rsidR="00447199" w:rsidRPr="00D75486" w:rsidRDefault="00447199" w:rsidP="00CD19AB">
            <w:pPr>
              <w:spacing w:line="240" w:lineRule="auto"/>
              <w:jc w:val="right"/>
              <w:rPr>
                <w:lang w:eastAsia="zh-CN"/>
              </w:rPr>
            </w:pPr>
            <w:r w:rsidRPr="00D75486">
              <w:rPr>
                <w:lang w:eastAsia="zh-CN"/>
              </w:rPr>
              <w:t>9.43</w:t>
            </w:r>
          </w:p>
        </w:tc>
        <w:tc>
          <w:tcPr>
            <w:tcW w:w="1250" w:type="dxa"/>
            <w:noWrap/>
            <w:hideMark/>
          </w:tcPr>
          <w:p w14:paraId="5E3C8DB3" w14:textId="0D619D46" w:rsidR="00144574" w:rsidRPr="00D75486" w:rsidRDefault="00144574" w:rsidP="00CD19AB">
            <w:pPr>
              <w:spacing w:line="240" w:lineRule="auto"/>
              <w:jc w:val="right"/>
              <w:rPr>
                <w:lang w:eastAsia="zh-CN"/>
              </w:rPr>
            </w:pPr>
            <w:r w:rsidRPr="00144574">
              <w:rPr>
                <w:lang w:eastAsia="zh-CN"/>
              </w:rPr>
              <w:t>1,890,524</w:t>
            </w:r>
          </w:p>
        </w:tc>
        <w:tc>
          <w:tcPr>
            <w:tcW w:w="1103" w:type="dxa"/>
            <w:noWrap/>
            <w:hideMark/>
          </w:tcPr>
          <w:p w14:paraId="5414EE71" w14:textId="77777777" w:rsidR="00447199" w:rsidRPr="00D75486" w:rsidRDefault="00447199" w:rsidP="00CD19AB">
            <w:pPr>
              <w:spacing w:line="240" w:lineRule="auto"/>
              <w:jc w:val="right"/>
              <w:rPr>
                <w:lang w:eastAsia="zh-CN"/>
              </w:rPr>
            </w:pPr>
            <w:r w:rsidRPr="00D75486">
              <w:rPr>
                <w:lang w:eastAsia="zh-CN"/>
              </w:rPr>
              <w:t>11.31</w:t>
            </w:r>
          </w:p>
        </w:tc>
        <w:tc>
          <w:tcPr>
            <w:tcW w:w="1218" w:type="dxa"/>
            <w:noWrap/>
            <w:hideMark/>
          </w:tcPr>
          <w:p w14:paraId="420C518C" w14:textId="31F91F2C" w:rsidR="00950460" w:rsidRPr="00D75486" w:rsidRDefault="00950460" w:rsidP="00CD19AB">
            <w:pPr>
              <w:spacing w:line="240" w:lineRule="auto"/>
              <w:jc w:val="right"/>
              <w:rPr>
                <w:lang w:eastAsia="zh-CN"/>
              </w:rPr>
            </w:pPr>
            <w:r w:rsidRPr="00950460">
              <w:rPr>
                <w:lang w:eastAsia="zh-CN"/>
              </w:rPr>
              <w:t>2,460,389</w:t>
            </w:r>
          </w:p>
        </w:tc>
      </w:tr>
      <w:tr w:rsidR="00447199" w:rsidRPr="00D75486" w14:paraId="6E6766A1" w14:textId="77777777" w:rsidTr="00F84EC4">
        <w:trPr>
          <w:trHeight w:val="300"/>
        </w:trPr>
        <w:tc>
          <w:tcPr>
            <w:tcW w:w="1832" w:type="dxa"/>
            <w:noWrap/>
            <w:hideMark/>
          </w:tcPr>
          <w:p w14:paraId="5E7940AA" w14:textId="4A5DA212" w:rsidR="00447199" w:rsidRPr="00A906C7" w:rsidRDefault="00DE28BB">
            <w:pPr>
              <w:spacing w:line="240" w:lineRule="auto"/>
              <w:rPr>
                <w:lang w:eastAsia="zh-CN"/>
              </w:rPr>
            </w:pPr>
            <w:r w:rsidRPr="00A906C7">
              <w:rPr>
                <w:lang w:eastAsia="zh-CN"/>
              </w:rPr>
              <w:t xml:space="preserve">   </w:t>
            </w:r>
            <w:r w:rsidR="00447199" w:rsidRPr="00A906C7">
              <w:rPr>
                <w:lang w:eastAsia="zh-CN"/>
              </w:rPr>
              <w:t>65-74</w:t>
            </w:r>
          </w:p>
        </w:tc>
        <w:tc>
          <w:tcPr>
            <w:tcW w:w="893" w:type="dxa"/>
            <w:noWrap/>
            <w:hideMark/>
          </w:tcPr>
          <w:p w14:paraId="6CB298B1" w14:textId="77777777" w:rsidR="00447199" w:rsidRPr="00D75486" w:rsidRDefault="00447199" w:rsidP="00CD19AB">
            <w:pPr>
              <w:spacing w:line="240" w:lineRule="auto"/>
              <w:jc w:val="right"/>
              <w:rPr>
                <w:lang w:eastAsia="zh-CN"/>
              </w:rPr>
            </w:pPr>
            <w:r w:rsidRPr="00D75486">
              <w:rPr>
                <w:lang w:eastAsia="zh-CN"/>
              </w:rPr>
              <w:t>9.34</w:t>
            </w:r>
          </w:p>
        </w:tc>
        <w:tc>
          <w:tcPr>
            <w:tcW w:w="1250" w:type="dxa"/>
            <w:noWrap/>
            <w:hideMark/>
          </w:tcPr>
          <w:p w14:paraId="1A989D76" w14:textId="3EA48D0C" w:rsidR="00D40D89" w:rsidRPr="00D75486" w:rsidRDefault="00D40D89" w:rsidP="00CD19AB">
            <w:pPr>
              <w:spacing w:line="240" w:lineRule="auto"/>
              <w:jc w:val="right"/>
              <w:rPr>
                <w:lang w:eastAsia="zh-CN"/>
              </w:rPr>
            </w:pPr>
            <w:r w:rsidRPr="00D40D89">
              <w:rPr>
                <w:lang w:eastAsia="zh-CN"/>
              </w:rPr>
              <w:t>1,871,634</w:t>
            </w:r>
          </w:p>
        </w:tc>
        <w:tc>
          <w:tcPr>
            <w:tcW w:w="1103" w:type="dxa"/>
            <w:noWrap/>
            <w:hideMark/>
          </w:tcPr>
          <w:p w14:paraId="6BDD85B7" w14:textId="77777777" w:rsidR="00447199" w:rsidRPr="00D75486" w:rsidRDefault="00447199" w:rsidP="00CD19AB">
            <w:pPr>
              <w:spacing w:line="240" w:lineRule="auto"/>
              <w:jc w:val="right"/>
              <w:rPr>
                <w:lang w:eastAsia="zh-CN"/>
              </w:rPr>
            </w:pPr>
            <w:r w:rsidRPr="00D75486">
              <w:rPr>
                <w:lang w:eastAsia="zh-CN"/>
              </w:rPr>
              <w:t>10.35</w:t>
            </w:r>
          </w:p>
        </w:tc>
        <w:tc>
          <w:tcPr>
            <w:tcW w:w="1218" w:type="dxa"/>
            <w:noWrap/>
            <w:hideMark/>
          </w:tcPr>
          <w:p w14:paraId="2C5FB31F" w14:textId="63DDE6A5" w:rsidR="00791A42" w:rsidRPr="00D75486" w:rsidRDefault="00791A42" w:rsidP="00CD19AB">
            <w:pPr>
              <w:spacing w:line="240" w:lineRule="auto"/>
              <w:jc w:val="right"/>
              <w:rPr>
                <w:lang w:eastAsia="zh-CN"/>
              </w:rPr>
            </w:pPr>
            <w:r w:rsidRPr="00791A42">
              <w:rPr>
                <w:lang w:eastAsia="zh-CN"/>
              </w:rPr>
              <w:t>2,252,318</w:t>
            </w:r>
          </w:p>
        </w:tc>
      </w:tr>
      <w:tr w:rsidR="00447199" w:rsidRPr="00D75486" w14:paraId="139CAEA7" w14:textId="77777777" w:rsidTr="00F84EC4">
        <w:trPr>
          <w:trHeight w:val="300"/>
        </w:trPr>
        <w:tc>
          <w:tcPr>
            <w:tcW w:w="1832" w:type="dxa"/>
            <w:noWrap/>
            <w:hideMark/>
          </w:tcPr>
          <w:p w14:paraId="0FD91B70" w14:textId="6BEB1702" w:rsidR="00447199" w:rsidRPr="00A906C7" w:rsidRDefault="00DE28BB">
            <w:pPr>
              <w:spacing w:line="240" w:lineRule="auto"/>
              <w:rPr>
                <w:lang w:eastAsia="zh-CN"/>
              </w:rPr>
            </w:pPr>
            <w:r w:rsidRPr="00A906C7">
              <w:rPr>
                <w:lang w:eastAsia="zh-CN"/>
              </w:rPr>
              <w:t xml:space="preserve">   </w:t>
            </w:r>
            <w:r w:rsidR="00447199" w:rsidRPr="00A906C7">
              <w:rPr>
                <w:lang w:eastAsia="zh-CN"/>
              </w:rPr>
              <w:t>75-84</w:t>
            </w:r>
          </w:p>
        </w:tc>
        <w:tc>
          <w:tcPr>
            <w:tcW w:w="893" w:type="dxa"/>
            <w:noWrap/>
            <w:hideMark/>
          </w:tcPr>
          <w:p w14:paraId="16FE4F5D" w14:textId="77777777" w:rsidR="00447199" w:rsidRPr="00D75486" w:rsidRDefault="00447199" w:rsidP="00CD19AB">
            <w:pPr>
              <w:spacing w:line="240" w:lineRule="auto"/>
              <w:jc w:val="right"/>
              <w:rPr>
                <w:lang w:eastAsia="zh-CN"/>
              </w:rPr>
            </w:pPr>
            <w:r w:rsidRPr="00D75486">
              <w:rPr>
                <w:lang w:eastAsia="zh-CN"/>
              </w:rPr>
              <w:t>5.87</w:t>
            </w:r>
          </w:p>
        </w:tc>
        <w:tc>
          <w:tcPr>
            <w:tcW w:w="1250" w:type="dxa"/>
            <w:noWrap/>
            <w:hideMark/>
          </w:tcPr>
          <w:p w14:paraId="353754B0" w14:textId="25D1C472" w:rsidR="00447199" w:rsidRPr="00D75486" w:rsidRDefault="0090354F" w:rsidP="00CD19AB">
            <w:pPr>
              <w:spacing w:line="240" w:lineRule="auto"/>
              <w:jc w:val="right"/>
              <w:rPr>
                <w:lang w:eastAsia="zh-CN"/>
              </w:rPr>
            </w:pPr>
            <w:r>
              <w:t>1,175,918</w:t>
            </w:r>
          </w:p>
        </w:tc>
        <w:tc>
          <w:tcPr>
            <w:tcW w:w="1103" w:type="dxa"/>
            <w:noWrap/>
            <w:hideMark/>
          </w:tcPr>
          <w:p w14:paraId="26B8BCBB" w14:textId="77777777" w:rsidR="00447199" w:rsidRPr="00D75486" w:rsidRDefault="00447199" w:rsidP="00CD19AB">
            <w:pPr>
              <w:spacing w:line="240" w:lineRule="auto"/>
              <w:jc w:val="right"/>
              <w:rPr>
                <w:lang w:eastAsia="zh-CN"/>
              </w:rPr>
            </w:pPr>
            <w:r w:rsidRPr="00D75486">
              <w:rPr>
                <w:lang w:eastAsia="zh-CN"/>
              </w:rPr>
              <w:t>5.95</w:t>
            </w:r>
          </w:p>
        </w:tc>
        <w:tc>
          <w:tcPr>
            <w:tcW w:w="1218" w:type="dxa"/>
            <w:noWrap/>
            <w:hideMark/>
          </w:tcPr>
          <w:p w14:paraId="182D0EC7" w14:textId="57C9C55E" w:rsidR="00861153" w:rsidRPr="00D75486" w:rsidRDefault="00861153" w:rsidP="00CD19AB">
            <w:pPr>
              <w:spacing w:line="240" w:lineRule="auto"/>
              <w:jc w:val="right"/>
              <w:rPr>
                <w:lang w:eastAsia="zh-CN"/>
              </w:rPr>
            </w:pPr>
            <w:r w:rsidRPr="00861153">
              <w:rPr>
                <w:lang w:eastAsia="zh-CN"/>
              </w:rPr>
              <w:t>1,294,121</w:t>
            </w:r>
          </w:p>
        </w:tc>
      </w:tr>
      <w:tr w:rsidR="00447199" w:rsidRPr="00D75486" w14:paraId="580A0F72" w14:textId="77777777" w:rsidTr="00F84EC4">
        <w:trPr>
          <w:trHeight w:val="315"/>
        </w:trPr>
        <w:tc>
          <w:tcPr>
            <w:tcW w:w="1832" w:type="dxa"/>
            <w:noWrap/>
            <w:hideMark/>
          </w:tcPr>
          <w:p w14:paraId="7CE505A5" w14:textId="7638E1C9" w:rsidR="00447199" w:rsidRPr="00A906C7" w:rsidRDefault="00DE28BB">
            <w:pPr>
              <w:spacing w:line="240" w:lineRule="auto"/>
              <w:rPr>
                <w:lang w:eastAsia="zh-CN"/>
              </w:rPr>
            </w:pPr>
            <w:r w:rsidRPr="00A906C7">
              <w:rPr>
                <w:lang w:eastAsia="zh-CN"/>
              </w:rPr>
              <w:t xml:space="preserve">   </w:t>
            </w:r>
            <w:r w:rsidR="00447199" w:rsidRPr="00A906C7">
              <w:rPr>
                <w:lang w:eastAsia="zh-CN"/>
              </w:rPr>
              <w:t>85+</w:t>
            </w:r>
          </w:p>
        </w:tc>
        <w:tc>
          <w:tcPr>
            <w:tcW w:w="893" w:type="dxa"/>
            <w:noWrap/>
            <w:hideMark/>
          </w:tcPr>
          <w:p w14:paraId="791687FE" w14:textId="77777777" w:rsidR="00447199" w:rsidRPr="00D75486" w:rsidRDefault="00447199" w:rsidP="00CD19AB">
            <w:pPr>
              <w:spacing w:line="240" w:lineRule="auto"/>
              <w:jc w:val="right"/>
              <w:rPr>
                <w:lang w:eastAsia="zh-CN"/>
              </w:rPr>
            </w:pPr>
            <w:r w:rsidRPr="00D75486">
              <w:rPr>
                <w:lang w:eastAsia="zh-CN"/>
              </w:rPr>
              <w:t>2.38</w:t>
            </w:r>
          </w:p>
        </w:tc>
        <w:tc>
          <w:tcPr>
            <w:tcW w:w="1250" w:type="dxa"/>
            <w:noWrap/>
            <w:hideMark/>
          </w:tcPr>
          <w:p w14:paraId="706C219E" w14:textId="20336135" w:rsidR="00447199" w:rsidRPr="00D75486" w:rsidRDefault="00361529" w:rsidP="00CD19AB">
            <w:pPr>
              <w:spacing w:line="240" w:lineRule="auto"/>
              <w:jc w:val="right"/>
              <w:rPr>
                <w:lang w:eastAsia="zh-CN"/>
              </w:rPr>
            </w:pPr>
            <w:r w:rsidRPr="00361529">
              <w:rPr>
                <w:lang w:eastAsia="zh-CN"/>
              </w:rPr>
              <w:t>476,438</w:t>
            </w:r>
          </w:p>
        </w:tc>
        <w:tc>
          <w:tcPr>
            <w:tcW w:w="1103" w:type="dxa"/>
            <w:noWrap/>
            <w:hideMark/>
          </w:tcPr>
          <w:p w14:paraId="7F529E75" w14:textId="77777777" w:rsidR="00447199" w:rsidRPr="00D75486" w:rsidRDefault="00447199" w:rsidP="00CD19AB">
            <w:pPr>
              <w:spacing w:line="240" w:lineRule="auto"/>
              <w:jc w:val="right"/>
              <w:rPr>
                <w:lang w:eastAsia="zh-CN"/>
              </w:rPr>
            </w:pPr>
            <w:r w:rsidRPr="00D75486">
              <w:rPr>
                <w:lang w:eastAsia="zh-CN"/>
              </w:rPr>
              <w:t>1.39</w:t>
            </w:r>
          </w:p>
        </w:tc>
        <w:tc>
          <w:tcPr>
            <w:tcW w:w="1218" w:type="dxa"/>
            <w:noWrap/>
            <w:hideMark/>
          </w:tcPr>
          <w:p w14:paraId="1F95FCA5" w14:textId="70B85182" w:rsidR="00861153" w:rsidRPr="00D75486" w:rsidRDefault="00861153" w:rsidP="00CD19AB">
            <w:pPr>
              <w:spacing w:line="240" w:lineRule="auto"/>
              <w:jc w:val="right"/>
              <w:rPr>
                <w:lang w:eastAsia="zh-CN"/>
              </w:rPr>
            </w:pPr>
            <w:r w:rsidRPr="00861153">
              <w:rPr>
                <w:lang w:eastAsia="zh-CN"/>
              </w:rPr>
              <w:t>302,014</w:t>
            </w:r>
          </w:p>
        </w:tc>
      </w:tr>
      <w:tr w:rsidR="00447199" w:rsidRPr="00D75486" w14:paraId="11DF011C" w14:textId="77777777" w:rsidTr="00F84EC4">
        <w:trPr>
          <w:trHeight w:val="315"/>
        </w:trPr>
        <w:tc>
          <w:tcPr>
            <w:tcW w:w="1832" w:type="dxa"/>
            <w:noWrap/>
            <w:hideMark/>
          </w:tcPr>
          <w:p w14:paraId="14FF6986" w14:textId="43DCF698" w:rsidR="00447199" w:rsidRPr="00A906C7" w:rsidRDefault="00447199">
            <w:pPr>
              <w:spacing w:line="240" w:lineRule="auto"/>
              <w:rPr>
                <w:lang w:eastAsia="zh-CN"/>
              </w:rPr>
            </w:pPr>
            <w:r w:rsidRPr="00A906C7">
              <w:rPr>
                <w:lang w:eastAsia="zh-CN"/>
              </w:rPr>
              <w:t> </w:t>
            </w:r>
            <w:r w:rsidR="00373758" w:rsidRPr="00A906C7">
              <w:rPr>
                <w:lang w:eastAsia="zh-CN"/>
              </w:rPr>
              <w:t>Moderate</w:t>
            </w:r>
          </w:p>
        </w:tc>
        <w:tc>
          <w:tcPr>
            <w:tcW w:w="893" w:type="dxa"/>
            <w:noWrap/>
            <w:hideMark/>
          </w:tcPr>
          <w:p w14:paraId="257FFCBE" w14:textId="77777777" w:rsidR="00447199" w:rsidRPr="00D75486" w:rsidRDefault="00447199" w:rsidP="00CD19AB">
            <w:pPr>
              <w:spacing w:line="240" w:lineRule="auto"/>
              <w:jc w:val="right"/>
              <w:rPr>
                <w:lang w:eastAsia="zh-CN"/>
              </w:rPr>
            </w:pPr>
            <w:r w:rsidRPr="00D75486">
              <w:rPr>
                <w:lang w:eastAsia="zh-CN"/>
              </w:rPr>
              <w:t> </w:t>
            </w:r>
          </w:p>
        </w:tc>
        <w:tc>
          <w:tcPr>
            <w:tcW w:w="1250" w:type="dxa"/>
            <w:noWrap/>
            <w:hideMark/>
          </w:tcPr>
          <w:p w14:paraId="3A0FCE4E" w14:textId="77777777" w:rsidR="00447199" w:rsidRPr="00D75486" w:rsidRDefault="00447199" w:rsidP="00CD19AB">
            <w:pPr>
              <w:spacing w:line="240" w:lineRule="auto"/>
              <w:jc w:val="right"/>
              <w:rPr>
                <w:lang w:eastAsia="zh-CN"/>
              </w:rPr>
            </w:pPr>
            <w:r w:rsidRPr="00D75486">
              <w:rPr>
                <w:lang w:eastAsia="zh-CN"/>
              </w:rPr>
              <w:t> </w:t>
            </w:r>
          </w:p>
        </w:tc>
        <w:tc>
          <w:tcPr>
            <w:tcW w:w="1103" w:type="dxa"/>
            <w:noWrap/>
            <w:hideMark/>
          </w:tcPr>
          <w:p w14:paraId="0B6A528B" w14:textId="77777777" w:rsidR="00447199" w:rsidRPr="00D75486" w:rsidRDefault="00447199" w:rsidP="00CD19AB">
            <w:pPr>
              <w:spacing w:line="240" w:lineRule="auto"/>
              <w:jc w:val="right"/>
              <w:rPr>
                <w:lang w:eastAsia="zh-CN"/>
              </w:rPr>
            </w:pPr>
            <w:r w:rsidRPr="00D75486">
              <w:rPr>
                <w:lang w:eastAsia="zh-CN"/>
              </w:rPr>
              <w:t> </w:t>
            </w:r>
          </w:p>
        </w:tc>
        <w:tc>
          <w:tcPr>
            <w:tcW w:w="1218" w:type="dxa"/>
            <w:noWrap/>
            <w:hideMark/>
          </w:tcPr>
          <w:p w14:paraId="08ED478F" w14:textId="77777777" w:rsidR="00447199" w:rsidRPr="00D75486" w:rsidRDefault="00447199" w:rsidP="00CD19AB">
            <w:pPr>
              <w:spacing w:line="240" w:lineRule="auto"/>
              <w:jc w:val="right"/>
              <w:rPr>
                <w:lang w:eastAsia="zh-CN"/>
              </w:rPr>
            </w:pPr>
            <w:r w:rsidRPr="00D75486">
              <w:rPr>
                <w:lang w:eastAsia="zh-CN"/>
              </w:rPr>
              <w:t> </w:t>
            </w:r>
          </w:p>
        </w:tc>
      </w:tr>
      <w:tr w:rsidR="00447199" w:rsidRPr="00D75486" w14:paraId="6DB0D985" w14:textId="77777777" w:rsidTr="00F84EC4">
        <w:trPr>
          <w:trHeight w:val="300"/>
        </w:trPr>
        <w:tc>
          <w:tcPr>
            <w:tcW w:w="1832" w:type="dxa"/>
            <w:noWrap/>
            <w:hideMark/>
          </w:tcPr>
          <w:p w14:paraId="333A3F94" w14:textId="35E8BB5B" w:rsidR="00447199" w:rsidRPr="00A906C7" w:rsidRDefault="00CB53EC">
            <w:pPr>
              <w:spacing w:line="240" w:lineRule="auto"/>
              <w:rPr>
                <w:lang w:eastAsia="zh-CN"/>
              </w:rPr>
            </w:pPr>
            <w:r w:rsidRPr="00A906C7">
              <w:rPr>
                <w:lang w:eastAsia="zh-CN"/>
              </w:rPr>
              <w:t xml:space="preserve">   </w:t>
            </w:r>
            <w:r w:rsidR="00447199" w:rsidRPr="00A906C7">
              <w:rPr>
                <w:lang w:eastAsia="zh-CN"/>
              </w:rPr>
              <w:t>50-64</w:t>
            </w:r>
          </w:p>
        </w:tc>
        <w:tc>
          <w:tcPr>
            <w:tcW w:w="893" w:type="dxa"/>
            <w:noWrap/>
            <w:hideMark/>
          </w:tcPr>
          <w:p w14:paraId="5CA5D147" w14:textId="77777777" w:rsidR="00447199" w:rsidRPr="00D75486" w:rsidRDefault="00447199" w:rsidP="00CD19AB">
            <w:pPr>
              <w:spacing w:line="240" w:lineRule="auto"/>
              <w:jc w:val="right"/>
              <w:rPr>
                <w:lang w:eastAsia="zh-CN"/>
              </w:rPr>
            </w:pPr>
            <w:r w:rsidRPr="00D75486">
              <w:rPr>
                <w:lang w:eastAsia="zh-CN"/>
              </w:rPr>
              <w:t>1.93</w:t>
            </w:r>
          </w:p>
        </w:tc>
        <w:tc>
          <w:tcPr>
            <w:tcW w:w="1250" w:type="dxa"/>
            <w:noWrap/>
            <w:hideMark/>
          </w:tcPr>
          <w:p w14:paraId="605A79B1" w14:textId="232280B7" w:rsidR="00447199" w:rsidRPr="00D75486" w:rsidRDefault="00144574" w:rsidP="00CD19AB">
            <w:pPr>
              <w:spacing w:line="240" w:lineRule="auto"/>
              <w:jc w:val="right"/>
              <w:rPr>
                <w:lang w:eastAsia="zh-CN"/>
              </w:rPr>
            </w:pPr>
            <w:r w:rsidRPr="00144574">
              <w:rPr>
                <w:lang w:eastAsia="zh-CN"/>
              </w:rPr>
              <w:t>387,793</w:t>
            </w:r>
          </w:p>
        </w:tc>
        <w:tc>
          <w:tcPr>
            <w:tcW w:w="1103" w:type="dxa"/>
            <w:noWrap/>
            <w:hideMark/>
          </w:tcPr>
          <w:p w14:paraId="09FB6088" w14:textId="77777777" w:rsidR="00447199" w:rsidRPr="00D75486" w:rsidRDefault="00447199" w:rsidP="00CD19AB">
            <w:pPr>
              <w:spacing w:line="240" w:lineRule="auto"/>
              <w:jc w:val="right"/>
              <w:rPr>
                <w:lang w:eastAsia="zh-CN"/>
              </w:rPr>
            </w:pPr>
            <w:r w:rsidRPr="00D75486">
              <w:rPr>
                <w:lang w:eastAsia="zh-CN"/>
              </w:rPr>
              <w:t>3.02</w:t>
            </w:r>
          </w:p>
        </w:tc>
        <w:tc>
          <w:tcPr>
            <w:tcW w:w="1218" w:type="dxa"/>
            <w:noWrap/>
            <w:hideMark/>
          </w:tcPr>
          <w:p w14:paraId="0BB30419" w14:textId="1E1B0030" w:rsidR="00303FA8" w:rsidRPr="00D75486" w:rsidRDefault="00303FA8" w:rsidP="00CD19AB">
            <w:pPr>
              <w:spacing w:line="240" w:lineRule="auto"/>
              <w:jc w:val="right"/>
              <w:rPr>
                <w:lang w:eastAsia="zh-CN"/>
              </w:rPr>
            </w:pPr>
            <w:r w:rsidRPr="00303FA8">
              <w:rPr>
                <w:lang w:eastAsia="zh-CN"/>
              </w:rPr>
              <w:t>657,204</w:t>
            </w:r>
          </w:p>
        </w:tc>
      </w:tr>
      <w:tr w:rsidR="00447199" w:rsidRPr="00D75486" w14:paraId="0E2AF51F" w14:textId="77777777" w:rsidTr="00F84EC4">
        <w:trPr>
          <w:trHeight w:val="300"/>
        </w:trPr>
        <w:tc>
          <w:tcPr>
            <w:tcW w:w="1832" w:type="dxa"/>
            <w:noWrap/>
            <w:hideMark/>
          </w:tcPr>
          <w:p w14:paraId="3495A420" w14:textId="669A34F5" w:rsidR="00447199" w:rsidRPr="00A906C7" w:rsidRDefault="00CB53EC">
            <w:pPr>
              <w:spacing w:line="240" w:lineRule="auto"/>
              <w:rPr>
                <w:lang w:eastAsia="zh-CN"/>
              </w:rPr>
            </w:pPr>
            <w:r w:rsidRPr="00A906C7">
              <w:rPr>
                <w:lang w:eastAsia="zh-CN"/>
              </w:rPr>
              <w:t xml:space="preserve">   </w:t>
            </w:r>
            <w:r w:rsidR="00447199" w:rsidRPr="00A906C7">
              <w:rPr>
                <w:lang w:eastAsia="zh-CN"/>
              </w:rPr>
              <w:t>65-74</w:t>
            </w:r>
          </w:p>
        </w:tc>
        <w:tc>
          <w:tcPr>
            <w:tcW w:w="893" w:type="dxa"/>
            <w:noWrap/>
            <w:hideMark/>
          </w:tcPr>
          <w:p w14:paraId="6BC62D2C" w14:textId="16E1E134" w:rsidR="00447199" w:rsidRPr="00D75486" w:rsidRDefault="00447199" w:rsidP="00CD19AB">
            <w:pPr>
              <w:spacing w:line="240" w:lineRule="auto"/>
              <w:jc w:val="right"/>
              <w:rPr>
                <w:lang w:eastAsia="zh-CN"/>
              </w:rPr>
            </w:pPr>
            <w:r w:rsidRPr="00D75486">
              <w:rPr>
                <w:lang w:eastAsia="zh-CN"/>
              </w:rPr>
              <w:t>2.6</w:t>
            </w:r>
            <w:r w:rsidR="00B377CA">
              <w:rPr>
                <w:lang w:eastAsia="zh-CN"/>
              </w:rPr>
              <w:t>0</w:t>
            </w:r>
          </w:p>
        </w:tc>
        <w:tc>
          <w:tcPr>
            <w:tcW w:w="1250" w:type="dxa"/>
            <w:noWrap/>
            <w:hideMark/>
          </w:tcPr>
          <w:p w14:paraId="2CBFF11D" w14:textId="77E71B39" w:rsidR="00D40D89" w:rsidRPr="00D75486" w:rsidRDefault="00D40D89" w:rsidP="00CD19AB">
            <w:pPr>
              <w:spacing w:line="240" w:lineRule="auto"/>
              <w:jc w:val="right"/>
              <w:rPr>
                <w:lang w:eastAsia="zh-CN"/>
              </w:rPr>
            </w:pPr>
            <w:r w:rsidRPr="00D40D89">
              <w:rPr>
                <w:lang w:eastAsia="zh-CN"/>
              </w:rPr>
              <w:t>521,885</w:t>
            </w:r>
          </w:p>
        </w:tc>
        <w:tc>
          <w:tcPr>
            <w:tcW w:w="1103" w:type="dxa"/>
            <w:noWrap/>
            <w:hideMark/>
          </w:tcPr>
          <w:p w14:paraId="5A91B063" w14:textId="746929A5" w:rsidR="00447199" w:rsidRPr="00D75486" w:rsidRDefault="00447199" w:rsidP="00CD19AB">
            <w:pPr>
              <w:spacing w:line="240" w:lineRule="auto"/>
              <w:jc w:val="right"/>
              <w:rPr>
                <w:lang w:eastAsia="zh-CN"/>
              </w:rPr>
            </w:pPr>
            <w:r w:rsidRPr="00D75486">
              <w:rPr>
                <w:lang w:eastAsia="zh-CN"/>
              </w:rPr>
              <w:t>2.4</w:t>
            </w:r>
            <w:r w:rsidR="00B377CA">
              <w:rPr>
                <w:lang w:eastAsia="zh-CN"/>
              </w:rPr>
              <w:t>0</w:t>
            </w:r>
          </w:p>
        </w:tc>
        <w:tc>
          <w:tcPr>
            <w:tcW w:w="1218" w:type="dxa"/>
            <w:noWrap/>
            <w:hideMark/>
          </w:tcPr>
          <w:p w14:paraId="2228B16A" w14:textId="181A9128" w:rsidR="00303FA8" w:rsidRPr="00D75486" w:rsidRDefault="00791A42" w:rsidP="00CD19AB">
            <w:pPr>
              <w:spacing w:line="240" w:lineRule="auto"/>
              <w:jc w:val="right"/>
              <w:rPr>
                <w:lang w:eastAsia="zh-CN"/>
              </w:rPr>
            </w:pPr>
            <w:r w:rsidRPr="00791A42">
              <w:rPr>
                <w:lang w:eastAsia="zh-CN"/>
              </w:rPr>
              <w:t>521,665</w:t>
            </w:r>
          </w:p>
        </w:tc>
      </w:tr>
      <w:tr w:rsidR="00447199" w:rsidRPr="00D75486" w14:paraId="7CF9983B" w14:textId="77777777" w:rsidTr="00F84EC4">
        <w:trPr>
          <w:trHeight w:val="315"/>
        </w:trPr>
        <w:tc>
          <w:tcPr>
            <w:tcW w:w="1832" w:type="dxa"/>
            <w:noWrap/>
            <w:hideMark/>
          </w:tcPr>
          <w:p w14:paraId="210A4FED" w14:textId="7A839825" w:rsidR="00447199" w:rsidRPr="00A906C7" w:rsidRDefault="00CB53EC">
            <w:pPr>
              <w:spacing w:line="240" w:lineRule="auto"/>
              <w:rPr>
                <w:lang w:eastAsia="zh-CN"/>
              </w:rPr>
            </w:pPr>
            <w:r w:rsidRPr="00A906C7">
              <w:rPr>
                <w:lang w:eastAsia="zh-CN"/>
              </w:rPr>
              <w:t xml:space="preserve">   </w:t>
            </w:r>
            <w:r w:rsidR="00447199" w:rsidRPr="00A906C7">
              <w:rPr>
                <w:lang w:eastAsia="zh-CN"/>
              </w:rPr>
              <w:t>75-84</w:t>
            </w:r>
          </w:p>
        </w:tc>
        <w:tc>
          <w:tcPr>
            <w:tcW w:w="893" w:type="dxa"/>
            <w:noWrap/>
            <w:hideMark/>
          </w:tcPr>
          <w:p w14:paraId="23A8EA47" w14:textId="77777777" w:rsidR="00447199" w:rsidRPr="00D75486" w:rsidRDefault="00447199" w:rsidP="00CD19AB">
            <w:pPr>
              <w:spacing w:line="240" w:lineRule="auto"/>
              <w:jc w:val="right"/>
              <w:rPr>
                <w:lang w:eastAsia="zh-CN"/>
              </w:rPr>
            </w:pPr>
            <w:r w:rsidRPr="00D75486">
              <w:rPr>
                <w:lang w:eastAsia="zh-CN"/>
              </w:rPr>
              <w:t>3.42</w:t>
            </w:r>
          </w:p>
        </w:tc>
        <w:tc>
          <w:tcPr>
            <w:tcW w:w="1250" w:type="dxa"/>
            <w:noWrap/>
            <w:hideMark/>
          </w:tcPr>
          <w:p w14:paraId="22305B98" w14:textId="3AB04C4B" w:rsidR="009A1820" w:rsidRPr="00D75486" w:rsidRDefault="009A1820" w:rsidP="00CD19AB">
            <w:pPr>
              <w:spacing w:line="240" w:lineRule="auto"/>
              <w:jc w:val="right"/>
              <w:rPr>
                <w:lang w:eastAsia="zh-CN"/>
              </w:rPr>
            </w:pPr>
            <w:r w:rsidRPr="009A1820">
              <w:rPr>
                <w:lang w:eastAsia="zh-CN"/>
              </w:rPr>
              <w:t>686,230</w:t>
            </w:r>
          </w:p>
        </w:tc>
        <w:tc>
          <w:tcPr>
            <w:tcW w:w="1103" w:type="dxa"/>
            <w:noWrap/>
            <w:hideMark/>
          </w:tcPr>
          <w:p w14:paraId="343699BB" w14:textId="77777777" w:rsidR="00447199" w:rsidRPr="00D75486" w:rsidRDefault="00447199" w:rsidP="00CD19AB">
            <w:pPr>
              <w:spacing w:line="240" w:lineRule="auto"/>
              <w:jc w:val="right"/>
              <w:rPr>
                <w:lang w:eastAsia="zh-CN"/>
              </w:rPr>
            </w:pPr>
            <w:r w:rsidRPr="00D75486">
              <w:rPr>
                <w:lang w:eastAsia="zh-CN"/>
              </w:rPr>
              <w:t>4.02</w:t>
            </w:r>
          </w:p>
        </w:tc>
        <w:tc>
          <w:tcPr>
            <w:tcW w:w="1218" w:type="dxa"/>
            <w:noWrap/>
            <w:hideMark/>
          </w:tcPr>
          <w:p w14:paraId="2DB467A9" w14:textId="5C7205EC" w:rsidR="00861153" w:rsidRPr="00D75486" w:rsidRDefault="00861153" w:rsidP="00CD19AB">
            <w:pPr>
              <w:spacing w:line="240" w:lineRule="auto"/>
              <w:jc w:val="right"/>
              <w:rPr>
                <w:lang w:eastAsia="zh-CN"/>
              </w:rPr>
            </w:pPr>
            <w:r w:rsidRPr="00861153">
              <w:rPr>
                <w:lang w:eastAsia="zh-CN"/>
              </w:rPr>
              <w:t>875,014</w:t>
            </w:r>
          </w:p>
        </w:tc>
      </w:tr>
      <w:tr w:rsidR="00447199" w:rsidRPr="00D75486" w14:paraId="7CDE289F" w14:textId="77777777" w:rsidTr="00F84EC4">
        <w:trPr>
          <w:trHeight w:val="315"/>
        </w:trPr>
        <w:tc>
          <w:tcPr>
            <w:tcW w:w="1832" w:type="dxa"/>
            <w:noWrap/>
            <w:hideMark/>
          </w:tcPr>
          <w:p w14:paraId="0E520779" w14:textId="1B49597C" w:rsidR="00447199" w:rsidRPr="00A906C7" w:rsidRDefault="00CB53EC">
            <w:pPr>
              <w:spacing w:line="240" w:lineRule="auto"/>
              <w:rPr>
                <w:lang w:eastAsia="zh-CN"/>
              </w:rPr>
            </w:pPr>
            <w:r w:rsidRPr="00A906C7">
              <w:rPr>
                <w:lang w:eastAsia="zh-CN"/>
              </w:rPr>
              <w:t xml:space="preserve">   </w:t>
            </w:r>
            <w:r w:rsidR="00447199" w:rsidRPr="00A906C7">
              <w:rPr>
                <w:lang w:eastAsia="zh-CN"/>
              </w:rPr>
              <w:t>85+</w:t>
            </w:r>
          </w:p>
        </w:tc>
        <w:tc>
          <w:tcPr>
            <w:tcW w:w="893" w:type="dxa"/>
            <w:noWrap/>
            <w:hideMark/>
          </w:tcPr>
          <w:p w14:paraId="7BF56021" w14:textId="77777777" w:rsidR="00447199" w:rsidRPr="00D75486" w:rsidRDefault="00447199" w:rsidP="00CD19AB">
            <w:pPr>
              <w:spacing w:line="240" w:lineRule="auto"/>
              <w:jc w:val="right"/>
              <w:rPr>
                <w:lang w:eastAsia="zh-CN"/>
              </w:rPr>
            </w:pPr>
            <w:r w:rsidRPr="00D75486">
              <w:rPr>
                <w:lang w:eastAsia="zh-CN"/>
              </w:rPr>
              <w:t>2.3</w:t>
            </w:r>
          </w:p>
        </w:tc>
        <w:tc>
          <w:tcPr>
            <w:tcW w:w="1250" w:type="dxa"/>
            <w:noWrap/>
            <w:hideMark/>
          </w:tcPr>
          <w:p w14:paraId="0F75D484" w14:textId="591460B3" w:rsidR="00361529" w:rsidRPr="00D75486" w:rsidRDefault="00361529" w:rsidP="00CD19AB">
            <w:pPr>
              <w:spacing w:line="240" w:lineRule="auto"/>
              <w:jc w:val="right"/>
              <w:rPr>
                <w:lang w:eastAsia="zh-CN"/>
              </w:rPr>
            </w:pPr>
            <w:r w:rsidRPr="00361529">
              <w:rPr>
                <w:lang w:eastAsia="zh-CN"/>
              </w:rPr>
              <w:t>460,649</w:t>
            </w:r>
          </w:p>
        </w:tc>
        <w:tc>
          <w:tcPr>
            <w:tcW w:w="1103" w:type="dxa"/>
            <w:noWrap/>
            <w:hideMark/>
          </w:tcPr>
          <w:p w14:paraId="36668F9D" w14:textId="77777777" w:rsidR="00447199" w:rsidRPr="00D75486" w:rsidRDefault="00447199" w:rsidP="00CD19AB">
            <w:pPr>
              <w:spacing w:line="240" w:lineRule="auto"/>
              <w:jc w:val="right"/>
              <w:rPr>
                <w:lang w:eastAsia="zh-CN"/>
              </w:rPr>
            </w:pPr>
            <w:r w:rsidRPr="00D75486">
              <w:rPr>
                <w:lang w:eastAsia="zh-CN"/>
              </w:rPr>
              <w:t>1.77</w:t>
            </w:r>
          </w:p>
        </w:tc>
        <w:tc>
          <w:tcPr>
            <w:tcW w:w="1218" w:type="dxa"/>
            <w:noWrap/>
            <w:hideMark/>
          </w:tcPr>
          <w:p w14:paraId="17A054B4" w14:textId="0C3F3B5F" w:rsidR="00861153" w:rsidRPr="00D75486" w:rsidRDefault="00861153" w:rsidP="00CD19AB">
            <w:pPr>
              <w:spacing w:line="240" w:lineRule="auto"/>
              <w:jc w:val="right"/>
              <w:rPr>
                <w:lang w:eastAsia="zh-CN"/>
              </w:rPr>
            </w:pPr>
            <w:r w:rsidRPr="00861153">
              <w:rPr>
                <w:lang w:eastAsia="zh-CN"/>
              </w:rPr>
              <w:t>384,709</w:t>
            </w:r>
          </w:p>
        </w:tc>
      </w:tr>
      <w:tr w:rsidR="00447199" w:rsidRPr="00D75486" w14:paraId="50F1ED36" w14:textId="77777777" w:rsidTr="00F84EC4">
        <w:trPr>
          <w:trHeight w:val="300"/>
        </w:trPr>
        <w:tc>
          <w:tcPr>
            <w:tcW w:w="1832" w:type="dxa"/>
            <w:noWrap/>
            <w:hideMark/>
          </w:tcPr>
          <w:p w14:paraId="71C9548B" w14:textId="3E8E9385" w:rsidR="00447199" w:rsidRPr="00A906C7" w:rsidRDefault="00373758">
            <w:pPr>
              <w:spacing w:line="240" w:lineRule="auto"/>
              <w:rPr>
                <w:lang w:eastAsia="zh-CN"/>
              </w:rPr>
            </w:pPr>
            <w:r w:rsidRPr="00A906C7">
              <w:rPr>
                <w:lang w:eastAsia="zh-CN"/>
              </w:rPr>
              <w:t>Severe</w:t>
            </w:r>
            <w:r w:rsidR="00447199" w:rsidRPr="00A906C7">
              <w:rPr>
                <w:lang w:eastAsia="zh-CN"/>
              </w:rPr>
              <w:t> </w:t>
            </w:r>
          </w:p>
        </w:tc>
        <w:tc>
          <w:tcPr>
            <w:tcW w:w="893" w:type="dxa"/>
            <w:noWrap/>
            <w:hideMark/>
          </w:tcPr>
          <w:p w14:paraId="53BD5134" w14:textId="77777777" w:rsidR="00447199" w:rsidRPr="00D75486" w:rsidRDefault="00447199" w:rsidP="00CD19AB">
            <w:pPr>
              <w:spacing w:line="240" w:lineRule="auto"/>
              <w:jc w:val="right"/>
              <w:rPr>
                <w:lang w:eastAsia="zh-CN"/>
              </w:rPr>
            </w:pPr>
            <w:r w:rsidRPr="00D75486">
              <w:rPr>
                <w:lang w:eastAsia="zh-CN"/>
              </w:rPr>
              <w:t> </w:t>
            </w:r>
          </w:p>
        </w:tc>
        <w:tc>
          <w:tcPr>
            <w:tcW w:w="1250" w:type="dxa"/>
            <w:noWrap/>
            <w:hideMark/>
          </w:tcPr>
          <w:p w14:paraId="20E129B5" w14:textId="77777777" w:rsidR="00447199" w:rsidRPr="00D75486" w:rsidRDefault="00447199" w:rsidP="00CD19AB">
            <w:pPr>
              <w:spacing w:line="240" w:lineRule="auto"/>
              <w:jc w:val="right"/>
              <w:rPr>
                <w:lang w:eastAsia="zh-CN"/>
              </w:rPr>
            </w:pPr>
            <w:r w:rsidRPr="00D75486">
              <w:rPr>
                <w:lang w:eastAsia="zh-CN"/>
              </w:rPr>
              <w:t> </w:t>
            </w:r>
          </w:p>
        </w:tc>
        <w:tc>
          <w:tcPr>
            <w:tcW w:w="1103" w:type="dxa"/>
            <w:noWrap/>
            <w:hideMark/>
          </w:tcPr>
          <w:p w14:paraId="7909DB38" w14:textId="77777777" w:rsidR="00447199" w:rsidRPr="00D75486" w:rsidRDefault="00447199" w:rsidP="00CD19AB">
            <w:pPr>
              <w:spacing w:line="240" w:lineRule="auto"/>
              <w:jc w:val="right"/>
              <w:rPr>
                <w:lang w:eastAsia="zh-CN"/>
              </w:rPr>
            </w:pPr>
            <w:r w:rsidRPr="00D75486">
              <w:rPr>
                <w:lang w:eastAsia="zh-CN"/>
              </w:rPr>
              <w:t> </w:t>
            </w:r>
          </w:p>
        </w:tc>
        <w:tc>
          <w:tcPr>
            <w:tcW w:w="1218" w:type="dxa"/>
            <w:noWrap/>
            <w:hideMark/>
          </w:tcPr>
          <w:p w14:paraId="0A2BE4B7" w14:textId="77777777" w:rsidR="00447199" w:rsidRPr="00D75486" w:rsidRDefault="00447199" w:rsidP="00CD19AB">
            <w:pPr>
              <w:spacing w:line="240" w:lineRule="auto"/>
              <w:jc w:val="right"/>
              <w:rPr>
                <w:lang w:eastAsia="zh-CN"/>
              </w:rPr>
            </w:pPr>
            <w:r w:rsidRPr="00D75486">
              <w:rPr>
                <w:lang w:eastAsia="zh-CN"/>
              </w:rPr>
              <w:t> </w:t>
            </w:r>
          </w:p>
        </w:tc>
      </w:tr>
      <w:tr w:rsidR="00447199" w:rsidRPr="00D75486" w14:paraId="61F4AD79" w14:textId="77777777" w:rsidTr="00F84EC4">
        <w:trPr>
          <w:trHeight w:val="300"/>
        </w:trPr>
        <w:tc>
          <w:tcPr>
            <w:tcW w:w="1832" w:type="dxa"/>
            <w:noWrap/>
            <w:hideMark/>
          </w:tcPr>
          <w:p w14:paraId="6C261B50" w14:textId="6502A5B2" w:rsidR="00447199" w:rsidRPr="00A906C7" w:rsidRDefault="00EC39DF">
            <w:pPr>
              <w:spacing w:line="240" w:lineRule="auto"/>
              <w:rPr>
                <w:lang w:eastAsia="zh-CN"/>
              </w:rPr>
            </w:pPr>
            <w:r w:rsidRPr="00A906C7">
              <w:rPr>
                <w:lang w:eastAsia="zh-CN"/>
              </w:rPr>
              <w:t xml:space="preserve">   </w:t>
            </w:r>
            <w:r w:rsidR="00447199" w:rsidRPr="00A906C7">
              <w:rPr>
                <w:lang w:eastAsia="zh-CN"/>
              </w:rPr>
              <w:t>50-64</w:t>
            </w:r>
          </w:p>
        </w:tc>
        <w:tc>
          <w:tcPr>
            <w:tcW w:w="893" w:type="dxa"/>
            <w:noWrap/>
            <w:hideMark/>
          </w:tcPr>
          <w:p w14:paraId="0CF2BF15" w14:textId="12F04A95" w:rsidR="00447199" w:rsidRPr="00D75486" w:rsidRDefault="00447199" w:rsidP="00CD19AB">
            <w:pPr>
              <w:spacing w:line="240" w:lineRule="auto"/>
              <w:jc w:val="right"/>
              <w:rPr>
                <w:lang w:eastAsia="zh-CN"/>
              </w:rPr>
            </w:pPr>
            <w:r w:rsidRPr="00D75486">
              <w:rPr>
                <w:lang w:eastAsia="zh-CN"/>
              </w:rPr>
              <w:t>0.3</w:t>
            </w:r>
            <w:r w:rsidR="00B377CA">
              <w:rPr>
                <w:lang w:eastAsia="zh-CN"/>
              </w:rPr>
              <w:t>2</w:t>
            </w:r>
          </w:p>
        </w:tc>
        <w:tc>
          <w:tcPr>
            <w:tcW w:w="1250" w:type="dxa"/>
            <w:noWrap/>
            <w:hideMark/>
          </w:tcPr>
          <w:p w14:paraId="57993536" w14:textId="5D01B1E7" w:rsidR="00447199" w:rsidRPr="00D75486" w:rsidRDefault="000A60C0" w:rsidP="00CD19AB">
            <w:pPr>
              <w:spacing w:line="240" w:lineRule="auto"/>
              <w:jc w:val="right"/>
              <w:rPr>
                <w:lang w:eastAsia="zh-CN"/>
              </w:rPr>
            </w:pPr>
            <w:r w:rsidRPr="000A60C0">
              <w:rPr>
                <w:lang w:eastAsia="zh-CN"/>
              </w:rPr>
              <w:t>63,186</w:t>
            </w:r>
          </w:p>
        </w:tc>
        <w:tc>
          <w:tcPr>
            <w:tcW w:w="1103" w:type="dxa"/>
            <w:noWrap/>
            <w:hideMark/>
          </w:tcPr>
          <w:p w14:paraId="2B9B3561" w14:textId="77777777" w:rsidR="00447199" w:rsidRPr="00D75486" w:rsidRDefault="00447199" w:rsidP="00CD19AB">
            <w:pPr>
              <w:spacing w:line="240" w:lineRule="auto"/>
              <w:jc w:val="right"/>
              <w:rPr>
                <w:lang w:eastAsia="zh-CN"/>
              </w:rPr>
            </w:pPr>
            <w:r w:rsidRPr="00D75486">
              <w:rPr>
                <w:lang w:eastAsia="zh-CN"/>
              </w:rPr>
              <w:t>0.64</w:t>
            </w:r>
          </w:p>
        </w:tc>
        <w:tc>
          <w:tcPr>
            <w:tcW w:w="1218" w:type="dxa"/>
            <w:noWrap/>
            <w:hideMark/>
          </w:tcPr>
          <w:p w14:paraId="7C5B9F21" w14:textId="45CEE151" w:rsidR="00303FA8" w:rsidRPr="00D75486" w:rsidRDefault="00303FA8" w:rsidP="00CD19AB">
            <w:pPr>
              <w:spacing w:line="240" w:lineRule="auto"/>
              <w:jc w:val="right"/>
              <w:rPr>
                <w:lang w:eastAsia="zh-CN"/>
              </w:rPr>
            </w:pPr>
            <w:r w:rsidRPr="00303FA8">
              <w:rPr>
                <w:lang w:eastAsia="zh-CN"/>
              </w:rPr>
              <w:t>139,944</w:t>
            </w:r>
          </w:p>
        </w:tc>
      </w:tr>
      <w:tr w:rsidR="00447199" w:rsidRPr="00D75486" w14:paraId="777D368D" w14:textId="77777777" w:rsidTr="00F84EC4">
        <w:trPr>
          <w:trHeight w:val="300"/>
        </w:trPr>
        <w:tc>
          <w:tcPr>
            <w:tcW w:w="1832" w:type="dxa"/>
            <w:noWrap/>
            <w:hideMark/>
          </w:tcPr>
          <w:p w14:paraId="02AFD7CC" w14:textId="522CAC58" w:rsidR="00447199" w:rsidRPr="00A906C7" w:rsidRDefault="00EC39DF">
            <w:pPr>
              <w:spacing w:line="240" w:lineRule="auto"/>
              <w:rPr>
                <w:lang w:eastAsia="zh-CN"/>
              </w:rPr>
            </w:pPr>
            <w:r w:rsidRPr="00A906C7">
              <w:rPr>
                <w:lang w:eastAsia="zh-CN"/>
              </w:rPr>
              <w:t xml:space="preserve">   </w:t>
            </w:r>
            <w:r w:rsidR="00447199" w:rsidRPr="00A906C7">
              <w:rPr>
                <w:lang w:eastAsia="zh-CN"/>
              </w:rPr>
              <w:t>65-74</w:t>
            </w:r>
          </w:p>
        </w:tc>
        <w:tc>
          <w:tcPr>
            <w:tcW w:w="893" w:type="dxa"/>
            <w:noWrap/>
            <w:hideMark/>
          </w:tcPr>
          <w:p w14:paraId="2EF6629C" w14:textId="77777777" w:rsidR="00447199" w:rsidRPr="00D75486" w:rsidRDefault="00447199" w:rsidP="00CD19AB">
            <w:pPr>
              <w:spacing w:line="240" w:lineRule="auto"/>
              <w:jc w:val="right"/>
              <w:rPr>
                <w:lang w:eastAsia="zh-CN"/>
              </w:rPr>
            </w:pPr>
            <w:r w:rsidRPr="00D75486">
              <w:rPr>
                <w:lang w:eastAsia="zh-CN"/>
              </w:rPr>
              <w:t>0.74</w:t>
            </w:r>
          </w:p>
        </w:tc>
        <w:tc>
          <w:tcPr>
            <w:tcW w:w="1250" w:type="dxa"/>
            <w:noWrap/>
            <w:hideMark/>
          </w:tcPr>
          <w:p w14:paraId="3D31C8AD" w14:textId="4D3B18E9" w:rsidR="00D40D89" w:rsidRPr="00D75486" w:rsidRDefault="00D40D89" w:rsidP="00CD19AB">
            <w:pPr>
              <w:spacing w:line="240" w:lineRule="auto"/>
              <w:jc w:val="right"/>
              <w:rPr>
                <w:lang w:eastAsia="zh-CN"/>
              </w:rPr>
            </w:pPr>
            <w:r w:rsidRPr="00D40D89">
              <w:rPr>
                <w:lang w:eastAsia="zh-CN"/>
              </w:rPr>
              <w:t>148,237</w:t>
            </w:r>
          </w:p>
        </w:tc>
        <w:tc>
          <w:tcPr>
            <w:tcW w:w="1103" w:type="dxa"/>
            <w:noWrap/>
            <w:hideMark/>
          </w:tcPr>
          <w:p w14:paraId="39EC62B3" w14:textId="77777777" w:rsidR="00447199" w:rsidRPr="00D75486" w:rsidRDefault="00447199" w:rsidP="00CD19AB">
            <w:pPr>
              <w:spacing w:line="240" w:lineRule="auto"/>
              <w:jc w:val="right"/>
              <w:rPr>
                <w:lang w:eastAsia="zh-CN"/>
              </w:rPr>
            </w:pPr>
            <w:r w:rsidRPr="00D75486">
              <w:rPr>
                <w:lang w:eastAsia="zh-CN"/>
              </w:rPr>
              <w:t>0.96</w:t>
            </w:r>
          </w:p>
        </w:tc>
        <w:tc>
          <w:tcPr>
            <w:tcW w:w="1218" w:type="dxa"/>
            <w:noWrap/>
            <w:hideMark/>
          </w:tcPr>
          <w:p w14:paraId="3C933C4D" w14:textId="01275616" w:rsidR="00791A42" w:rsidRPr="00D75486" w:rsidRDefault="00791A42" w:rsidP="00CD19AB">
            <w:pPr>
              <w:spacing w:line="240" w:lineRule="auto"/>
              <w:jc w:val="right"/>
              <w:rPr>
                <w:lang w:eastAsia="zh-CN"/>
              </w:rPr>
            </w:pPr>
            <w:r w:rsidRPr="00791A42">
              <w:rPr>
                <w:lang w:eastAsia="zh-CN"/>
              </w:rPr>
              <w:t>208,367</w:t>
            </w:r>
          </w:p>
        </w:tc>
      </w:tr>
      <w:tr w:rsidR="00447199" w:rsidRPr="00D75486" w14:paraId="6A414175" w14:textId="77777777" w:rsidTr="00F84EC4">
        <w:trPr>
          <w:trHeight w:val="300"/>
        </w:trPr>
        <w:tc>
          <w:tcPr>
            <w:tcW w:w="1832" w:type="dxa"/>
            <w:noWrap/>
            <w:hideMark/>
          </w:tcPr>
          <w:p w14:paraId="19A2C499" w14:textId="60F2A14F" w:rsidR="00447199" w:rsidRPr="00A906C7" w:rsidRDefault="00EC39DF">
            <w:pPr>
              <w:spacing w:line="240" w:lineRule="auto"/>
              <w:rPr>
                <w:lang w:eastAsia="zh-CN"/>
              </w:rPr>
            </w:pPr>
            <w:r w:rsidRPr="00A906C7">
              <w:rPr>
                <w:lang w:eastAsia="zh-CN"/>
              </w:rPr>
              <w:t xml:space="preserve">   </w:t>
            </w:r>
            <w:r w:rsidR="00447199" w:rsidRPr="00A906C7">
              <w:rPr>
                <w:lang w:eastAsia="zh-CN"/>
              </w:rPr>
              <w:t>75-84</w:t>
            </w:r>
          </w:p>
        </w:tc>
        <w:tc>
          <w:tcPr>
            <w:tcW w:w="893" w:type="dxa"/>
            <w:noWrap/>
            <w:hideMark/>
          </w:tcPr>
          <w:p w14:paraId="145CE159" w14:textId="77777777" w:rsidR="00447199" w:rsidRPr="00D75486" w:rsidRDefault="00447199" w:rsidP="00CD19AB">
            <w:pPr>
              <w:spacing w:line="240" w:lineRule="auto"/>
              <w:jc w:val="right"/>
              <w:rPr>
                <w:lang w:eastAsia="zh-CN"/>
              </w:rPr>
            </w:pPr>
            <w:r w:rsidRPr="00D75486">
              <w:rPr>
                <w:lang w:eastAsia="zh-CN"/>
              </w:rPr>
              <w:t>1.61</w:t>
            </w:r>
          </w:p>
        </w:tc>
        <w:tc>
          <w:tcPr>
            <w:tcW w:w="1250" w:type="dxa"/>
            <w:noWrap/>
            <w:hideMark/>
          </w:tcPr>
          <w:p w14:paraId="4A3DDCE9" w14:textId="40095045" w:rsidR="00B17651" w:rsidRPr="00D75486" w:rsidRDefault="00B17651" w:rsidP="00CD19AB">
            <w:pPr>
              <w:spacing w:line="240" w:lineRule="auto"/>
              <w:jc w:val="right"/>
              <w:rPr>
                <w:lang w:eastAsia="zh-CN"/>
              </w:rPr>
            </w:pPr>
            <w:r w:rsidRPr="00B17651">
              <w:rPr>
                <w:lang w:eastAsia="zh-CN"/>
              </w:rPr>
              <w:t>323,287</w:t>
            </w:r>
          </w:p>
        </w:tc>
        <w:tc>
          <w:tcPr>
            <w:tcW w:w="1103" w:type="dxa"/>
            <w:noWrap/>
            <w:hideMark/>
          </w:tcPr>
          <w:p w14:paraId="4250BEB8" w14:textId="126ADB97" w:rsidR="00447199" w:rsidRPr="00D75486" w:rsidRDefault="00447199" w:rsidP="00CD19AB">
            <w:pPr>
              <w:spacing w:line="240" w:lineRule="auto"/>
              <w:jc w:val="right"/>
              <w:rPr>
                <w:lang w:eastAsia="zh-CN"/>
              </w:rPr>
            </w:pPr>
            <w:r w:rsidRPr="00D75486">
              <w:rPr>
                <w:lang w:eastAsia="zh-CN"/>
              </w:rPr>
              <w:t>3.</w:t>
            </w:r>
            <w:r w:rsidR="00265A66">
              <w:rPr>
                <w:lang w:eastAsia="zh-CN"/>
              </w:rPr>
              <w:t>6</w:t>
            </w:r>
            <w:r w:rsidRPr="00D75486">
              <w:rPr>
                <w:lang w:eastAsia="zh-CN"/>
              </w:rPr>
              <w:t>1</w:t>
            </w:r>
          </w:p>
        </w:tc>
        <w:tc>
          <w:tcPr>
            <w:tcW w:w="1218" w:type="dxa"/>
            <w:noWrap/>
            <w:hideMark/>
          </w:tcPr>
          <w:p w14:paraId="2EB17E26" w14:textId="115B04B5" w:rsidR="00861153" w:rsidRPr="00D75486" w:rsidRDefault="00861153" w:rsidP="00CD19AB">
            <w:pPr>
              <w:spacing w:line="240" w:lineRule="auto"/>
              <w:jc w:val="right"/>
              <w:rPr>
                <w:lang w:eastAsia="zh-CN"/>
              </w:rPr>
            </w:pPr>
            <w:r w:rsidRPr="00861153">
              <w:rPr>
                <w:lang w:eastAsia="zh-CN"/>
              </w:rPr>
              <w:t>785,707</w:t>
            </w:r>
          </w:p>
        </w:tc>
      </w:tr>
      <w:tr w:rsidR="00447199" w:rsidRPr="00D75486" w14:paraId="2BC0EFFF" w14:textId="77777777" w:rsidTr="00F84EC4">
        <w:trPr>
          <w:trHeight w:val="300"/>
        </w:trPr>
        <w:tc>
          <w:tcPr>
            <w:tcW w:w="1832" w:type="dxa"/>
            <w:noWrap/>
            <w:hideMark/>
          </w:tcPr>
          <w:p w14:paraId="6479148C" w14:textId="14E43C35" w:rsidR="00447199" w:rsidRPr="00A906C7" w:rsidRDefault="00EC39DF">
            <w:pPr>
              <w:spacing w:line="240" w:lineRule="auto"/>
              <w:rPr>
                <w:lang w:eastAsia="zh-CN"/>
              </w:rPr>
            </w:pPr>
            <w:r w:rsidRPr="00A906C7">
              <w:rPr>
                <w:lang w:eastAsia="zh-CN"/>
              </w:rPr>
              <w:t xml:space="preserve">   </w:t>
            </w:r>
            <w:r w:rsidR="00447199" w:rsidRPr="00A906C7">
              <w:rPr>
                <w:lang w:eastAsia="zh-CN"/>
              </w:rPr>
              <w:t>85+</w:t>
            </w:r>
          </w:p>
        </w:tc>
        <w:tc>
          <w:tcPr>
            <w:tcW w:w="893" w:type="dxa"/>
            <w:noWrap/>
            <w:hideMark/>
          </w:tcPr>
          <w:p w14:paraId="1416200B" w14:textId="77777777" w:rsidR="00447199" w:rsidRPr="00D75486" w:rsidRDefault="00447199" w:rsidP="00CD19AB">
            <w:pPr>
              <w:spacing w:line="240" w:lineRule="auto"/>
              <w:jc w:val="right"/>
              <w:rPr>
                <w:lang w:eastAsia="zh-CN"/>
              </w:rPr>
            </w:pPr>
            <w:r w:rsidRPr="00D75486">
              <w:rPr>
                <w:lang w:eastAsia="zh-CN"/>
              </w:rPr>
              <w:t>1.59</w:t>
            </w:r>
          </w:p>
        </w:tc>
        <w:tc>
          <w:tcPr>
            <w:tcW w:w="1250" w:type="dxa"/>
            <w:noWrap/>
            <w:hideMark/>
          </w:tcPr>
          <w:p w14:paraId="2FD81007" w14:textId="17F9E37C" w:rsidR="00361529" w:rsidRPr="00D75486" w:rsidRDefault="00361529" w:rsidP="00CD19AB">
            <w:pPr>
              <w:spacing w:line="240" w:lineRule="auto"/>
              <w:jc w:val="right"/>
              <w:rPr>
                <w:lang w:eastAsia="zh-CN"/>
              </w:rPr>
            </w:pPr>
            <w:r w:rsidRPr="00361529">
              <w:rPr>
                <w:lang w:eastAsia="zh-CN"/>
              </w:rPr>
              <w:t>318,311</w:t>
            </w:r>
          </w:p>
        </w:tc>
        <w:tc>
          <w:tcPr>
            <w:tcW w:w="1103" w:type="dxa"/>
            <w:noWrap/>
            <w:hideMark/>
          </w:tcPr>
          <w:p w14:paraId="0EEBA1B5" w14:textId="4528FCBF" w:rsidR="00447199" w:rsidRPr="00D75486" w:rsidRDefault="00447199" w:rsidP="00CD19AB">
            <w:pPr>
              <w:spacing w:line="240" w:lineRule="auto"/>
              <w:jc w:val="right"/>
              <w:rPr>
                <w:lang w:eastAsia="zh-CN"/>
              </w:rPr>
            </w:pPr>
            <w:r w:rsidRPr="00D75486">
              <w:rPr>
                <w:lang w:eastAsia="zh-CN"/>
              </w:rPr>
              <w:t>3.</w:t>
            </w:r>
            <w:r w:rsidR="00265A66">
              <w:rPr>
                <w:lang w:eastAsia="zh-CN"/>
              </w:rPr>
              <w:t>2</w:t>
            </w:r>
            <w:r w:rsidRPr="00D75486">
              <w:rPr>
                <w:lang w:eastAsia="zh-CN"/>
              </w:rPr>
              <w:t>4</w:t>
            </w:r>
          </w:p>
        </w:tc>
        <w:tc>
          <w:tcPr>
            <w:tcW w:w="1218" w:type="dxa"/>
            <w:noWrap/>
            <w:hideMark/>
          </w:tcPr>
          <w:p w14:paraId="00A742F9" w14:textId="23E347B6" w:rsidR="00861153" w:rsidRPr="00D75486" w:rsidRDefault="00861153" w:rsidP="00CD19AB">
            <w:pPr>
              <w:spacing w:line="240" w:lineRule="auto"/>
              <w:jc w:val="right"/>
              <w:rPr>
                <w:lang w:eastAsia="zh-CN"/>
              </w:rPr>
            </w:pPr>
            <w:r w:rsidRPr="00861153">
              <w:rPr>
                <w:lang w:eastAsia="zh-CN"/>
              </w:rPr>
              <w:t>704,303</w:t>
            </w:r>
          </w:p>
        </w:tc>
      </w:tr>
      <w:tr w:rsidR="003362DD" w:rsidRPr="00D75486" w14:paraId="5E6C96F4" w14:textId="77777777" w:rsidTr="00F84EC4">
        <w:trPr>
          <w:trHeight w:val="300"/>
        </w:trPr>
        <w:tc>
          <w:tcPr>
            <w:tcW w:w="1832" w:type="dxa"/>
            <w:noWrap/>
          </w:tcPr>
          <w:p w14:paraId="126B5CE4" w14:textId="11C93F20" w:rsidR="003362DD" w:rsidRPr="00A906C7" w:rsidRDefault="003362DD">
            <w:pPr>
              <w:spacing w:line="240" w:lineRule="auto"/>
              <w:rPr>
                <w:lang w:eastAsia="zh-CN"/>
              </w:rPr>
            </w:pPr>
            <w:r w:rsidRPr="00A906C7">
              <w:rPr>
                <w:lang w:eastAsia="zh-CN"/>
              </w:rPr>
              <w:t>Total</w:t>
            </w:r>
          </w:p>
        </w:tc>
        <w:tc>
          <w:tcPr>
            <w:tcW w:w="893" w:type="dxa"/>
            <w:noWrap/>
          </w:tcPr>
          <w:p w14:paraId="3BD7431D" w14:textId="77777777" w:rsidR="003362DD" w:rsidRPr="00EC39DF" w:rsidRDefault="003362DD" w:rsidP="00CD19AB">
            <w:pPr>
              <w:spacing w:line="240" w:lineRule="auto"/>
              <w:jc w:val="right"/>
              <w:rPr>
                <w:lang w:eastAsia="zh-CN"/>
              </w:rPr>
            </w:pPr>
          </w:p>
        </w:tc>
        <w:tc>
          <w:tcPr>
            <w:tcW w:w="1250" w:type="dxa"/>
            <w:noWrap/>
          </w:tcPr>
          <w:p w14:paraId="4C36706C" w14:textId="772F36F4" w:rsidR="003362DD" w:rsidRPr="00EC39DF" w:rsidRDefault="003362DD" w:rsidP="00CD19AB">
            <w:pPr>
              <w:spacing w:line="240" w:lineRule="auto"/>
              <w:jc w:val="right"/>
              <w:rPr>
                <w:color w:val="000000"/>
                <w:lang w:eastAsia="zh-CN"/>
              </w:rPr>
            </w:pPr>
            <w:r w:rsidRPr="00EC39DF">
              <w:t xml:space="preserve">20,046,000 </w:t>
            </w:r>
          </w:p>
        </w:tc>
        <w:tc>
          <w:tcPr>
            <w:tcW w:w="1103" w:type="dxa"/>
            <w:noWrap/>
          </w:tcPr>
          <w:p w14:paraId="5F83C49C" w14:textId="77777777" w:rsidR="003362DD" w:rsidRPr="00EC39DF" w:rsidRDefault="003362DD" w:rsidP="00CD19AB">
            <w:pPr>
              <w:spacing w:line="240" w:lineRule="auto"/>
              <w:jc w:val="right"/>
              <w:rPr>
                <w:lang w:eastAsia="zh-CN"/>
              </w:rPr>
            </w:pPr>
          </w:p>
        </w:tc>
        <w:tc>
          <w:tcPr>
            <w:tcW w:w="1218" w:type="dxa"/>
            <w:noWrap/>
          </w:tcPr>
          <w:p w14:paraId="5D1A8BA8" w14:textId="018316FA" w:rsidR="003362DD" w:rsidRPr="00EC39DF" w:rsidRDefault="003362DD" w:rsidP="00CD19AB">
            <w:pPr>
              <w:spacing w:line="240" w:lineRule="auto"/>
              <w:jc w:val="right"/>
              <w:rPr>
                <w:color w:val="000000"/>
                <w:lang w:eastAsia="zh-CN"/>
              </w:rPr>
            </w:pPr>
            <w:r w:rsidRPr="00EC39DF">
              <w:t>21,755,000</w:t>
            </w:r>
          </w:p>
        </w:tc>
      </w:tr>
    </w:tbl>
    <w:p w14:paraId="48C21084" w14:textId="77777777" w:rsidR="00AF186D" w:rsidRDefault="00AF186D" w:rsidP="00F84EC4"/>
    <w:p w14:paraId="152FE4FF" w14:textId="34AAA815" w:rsidR="00447199" w:rsidRDefault="00447199" w:rsidP="00F84EC4">
      <w:pPr>
        <w:ind w:firstLine="720"/>
      </w:pPr>
      <w:r>
        <w:t>Un</w:t>
      </w:r>
      <w:r w:rsidR="006315A9">
        <w:t>surprising</w:t>
      </w:r>
      <w:r>
        <w:t xml:space="preserve">ly it is the older age groups who experience the highest levels of frailty, but it </w:t>
      </w:r>
      <w:r w:rsidR="00241B9D">
        <w:t>may be</w:t>
      </w:r>
      <w:r>
        <w:t xml:space="preserve"> surprising </w:t>
      </w:r>
      <w:r w:rsidR="00241B9D">
        <w:t xml:space="preserve">to some readers to learn </w:t>
      </w:r>
      <w:r>
        <w:t xml:space="preserve">that the prevalence of frailty is still relatively high in the youngest age group, and because this age group </w:t>
      </w:r>
      <w:r w:rsidR="00A83C93">
        <w:t>contains so many people</w:t>
      </w:r>
      <w:r w:rsidR="006315A9">
        <w:t xml:space="preserve"> it</w:t>
      </w:r>
      <w:r w:rsidR="00A83C93">
        <w:t xml:space="preserve"> contribute</w:t>
      </w:r>
      <w:r w:rsidR="006315A9">
        <w:t>s</w:t>
      </w:r>
      <w:r w:rsidR="00A83C93">
        <w:t xml:space="preserve"> significantly towards overall</w:t>
      </w:r>
      <w:r>
        <w:t xml:space="preserve"> </w:t>
      </w:r>
      <w:r w:rsidR="003623DC">
        <w:t xml:space="preserve">need and </w:t>
      </w:r>
      <w:r>
        <w:t xml:space="preserve">demand for services.  The </w:t>
      </w:r>
      <w:r w:rsidR="003F6E56">
        <w:rPr>
          <w:color w:val="FF0000"/>
        </w:rPr>
        <w:t xml:space="preserve">results indicate that the </w:t>
      </w:r>
      <w:r>
        <w:t xml:space="preserve">50-64 age group </w:t>
      </w:r>
      <w:r w:rsidR="003F6E56">
        <w:rPr>
          <w:color w:val="FF0000"/>
        </w:rPr>
        <w:t xml:space="preserve">will </w:t>
      </w:r>
      <w:r>
        <w:t>form 28.1% of the total frail population in 2017, rising to 30.7% in 2027</w:t>
      </w:r>
      <w:r w:rsidR="006315A9">
        <w:t xml:space="preserve">. </w:t>
      </w:r>
      <w:r w:rsidR="00A83C93">
        <w:t xml:space="preserve"> </w:t>
      </w:r>
      <w:r w:rsidR="006315A9" w:rsidRPr="003F6E56">
        <w:rPr>
          <w:color w:val="FF0000"/>
        </w:rPr>
        <w:t>T</w:t>
      </w:r>
      <w:r w:rsidRPr="003F6E56">
        <w:rPr>
          <w:color w:val="FF0000"/>
        </w:rPr>
        <w:t xml:space="preserve">he model suggests </w:t>
      </w:r>
      <w:r w:rsidR="006315A9" w:rsidRPr="003F6E56">
        <w:rPr>
          <w:color w:val="FF0000"/>
        </w:rPr>
        <w:t xml:space="preserve">that </w:t>
      </w:r>
      <w:r w:rsidR="006315A9">
        <w:t xml:space="preserve">by 2027 </w:t>
      </w:r>
      <w:r>
        <w:t xml:space="preserve">there will be </w:t>
      </w:r>
      <w:r w:rsidR="00DB5C5E">
        <w:t xml:space="preserve">around </w:t>
      </w:r>
      <w:r w:rsidRPr="00AF186D">
        <w:t>3</w:t>
      </w:r>
      <w:r w:rsidR="00DB5C5E">
        <w:t>.</w:t>
      </w:r>
      <w:r w:rsidRPr="00AF186D">
        <w:t>25</w:t>
      </w:r>
      <w:r w:rsidR="00DB5C5E">
        <w:t xml:space="preserve"> million </w:t>
      </w:r>
      <w:r>
        <w:t xml:space="preserve">people aged 50-64 living with frailty. </w:t>
      </w:r>
      <w:proofErr w:type="gramStart"/>
      <w:r w:rsidR="006315A9">
        <w:t>In particular</w:t>
      </w:r>
      <w:r w:rsidR="00A1460C">
        <w:t>,</w:t>
      </w:r>
      <w:r w:rsidR="00A83C93">
        <w:t xml:space="preserve"> </w:t>
      </w:r>
      <w:r w:rsidR="006315A9">
        <w:t>it</w:t>
      </w:r>
      <w:proofErr w:type="gramEnd"/>
      <w:r w:rsidR="006315A9">
        <w:t xml:space="preserve"> can be seen from Table 4 that severe frailty </w:t>
      </w:r>
      <w:r w:rsidR="003362DD">
        <w:t xml:space="preserve">more than </w:t>
      </w:r>
      <w:r w:rsidR="006315A9">
        <w:t>doubles in this age group between 2017 and 2027</w:t>
      </w:r>
      <w:r w:rsidR="00241B9D">
        <w:t>, and moderate frailty increases by 50%</w:t>
      </w:r>
      <w:r w:rsidR="003362DD">
        <w:t xml:space="preserve">.  </w:t>
      </w:r>
      <w:r w:rsidR="006315A9">
        <w:t xml:space="preserve"> </w:t>
      </w:r>
      <w:r w:rsidR="003362DD">
        <w:t xml:space="preserve"> T</w:t>
      </w:r>
      <w:r w:rsidR="00A83C93">
        <w:t xml:space="preserve">he older age groups, while smaller in terms of absolute numbers, will see </w:t>
      </w:r>
      <w:r w:rsidR="006315A9">
        <w:t>a similar doubling</w:t>
      </w:r>
      <w:r w:rsidR="00A83C93">
        <w:t xml:space="preserve"> in the proportion with severe frailty</w:t>
      </w:r>
      <w:r w:rsidR="00353958">
        <w:t xml:space="preserve">, although the proportions with moderate frailty </w:t>
      </w:r>
      <w:r w:rsidR="00241B9D">
        <w:t>do not increase so sharply (and even, in the 85+ age group, decrease slightly)</w:t>
      </w:r>
      <w:r w:rsidR="006315A9">
        <w:t xml:space="preserve">. </w:t>
      </w:r>
    </w:p>
    <w:p w14:paraId="4A540AD2" w14:textId="77777777" w:rsidR="00447199" w:rsidRDefault="00447199"/>
    <w:p w14:paraId="56F06AFF" w14:textId="6BED29C8" w:rsidR="00447199" w:rsidRDefault="00353958" w:rsidP="004055A8">
      <w:pPr>
        <w:pStyle w:val="Heading1"/>
      </w:pPr>
      <w:r>
        <w:lastRenderedPageBreak/>
        <w:t>Discussion</w:t>
      </w:r>
    </w:p>
    <w:p w14:paraId="677BAAB7" w14:textId="3C5045FC" w:rsidR="00447199" w:rsidRDefault="006D70B9" w:rsidP="00F84EC4">
      <w:pPr>
        <w:ind w:firstLine="720"/>
      </w:pPr>
      <w:r>
        <w:t xml:space="preserve">We have </w:t>
      </w:r>
      <w:r w:rsidRPr="006D70B9">
        <w:t>develop</w:t>
      </w:r>
      <w:r>
        <w:t>ed</w:t>
      </w:r>
      <w:r w:rsidRPr="006D70B9">
        <w:t xml:space="preserve"> and validat</w:t>
      </w:r>
      <w:r>
        <w:t xml:space="preserve">ed </w:t>
      </w:r>
      <w:r w:rsidRPr="006D70B9">
        <w:t>a</w:t>
      </w:r>
      <w:r w:rsidR="006C4EA4">
        <w:t>n</w:t>
      </w:r>
      <w:r>
        <w:t xml:space="preserve"> </w:t>
      </w:r>
      <w:r w:rsidRPr="006D70B9">
        <w:t>SD model representing frailty onset and progression in people aged ≥50years, stratified by age</w:t>
      </w:r>
      <w:r>
        <w:t>, using large-scale, routine health service data</w:t>
      </w:r>
      <w:r w:rsidRPr="006D70B9">
        <w:t xml:space="preserve">. </w:t>
      </w:r>
      <w:r>
        <w:t xml:space="preserve">We have used </w:t>
      </w:r>
      <w:r w:rsidRPr="006D70B9">
        <w:t>the model to estimate the incidence and prevalence of frailty states over time</w:t>
      </w:r>
      <w:r w:rsidR="009A6946">
        <w:t xml:space="preserve">. </w:t>
      </w:r>
      <w:bookmarkStart w:id="21" w:name="_Hlk157603298"/>
      <w:r w:rsidR="009A6946" w:rsidRPr="00066990">
        <w:t xml:space="preserve">Our baseline results suggest that there </w:t>
      </w:r>
      <w:r w:rsidR="00157EC0">
        <w:rPr>
          <w:color w:val="FF0000"/>
        </w:rPr>
        <w:t>could</w:t>
      </w:r>
      <w:r w:rsidR="009A6946" w:rsidRPr="00066990">
        <w:t xml:space="preserve"> be a significant increase in demand for both health and social care associated with frailty</w:t>
      </w:r>
      <w:bookmarkEnd w:id="21"/>
      <w:r w:rsidR="009A6946" w:rsidRPr="00066990">
        <w:t xml:space="preserve">.  </w:t>
      </w:r>
      <w:r w:rsidR="00C019EB" w:rsidRPr="00066990">
        <w:t xml:space="preserve">Whilst clinical attention has focused on severe frailty and the oldest old, the main growth </w:t>
      </w:r>
      <w:r w:rsidR="00A301D6">
        <w:rPr>
          <w:color w:val="FF0000"/>
        </w:rPr>
        <w:t>could</w:t>
      </w:r>
      <w:r w:rsidR="00C019EB" w:rsidRPr="00066990">
        <w:t xml:space="preserve"> be in mild/moderate frailty in the middle aged and younger old groups that are not generally considered in planning.</w:t>
      </w:r>
      <w:r w:rsidR="009A6946" w:rsidRPr="00066990">
        <w:t xml:space="preserve"> </w:t>
      </w:r>
      <w:bookmarkStart w:id="22" w:name="_Hlk157603152"/>
      <w:r w:rsidR="000241F1" w:rsidRPr="00066990">
        <w:t xml:space="preserve">These groups may require medication reviews or falls risk assessments (if appropriate). </w:t>
      </w:r>
      <w:r w:rsidR="009A6946" w:rsidRPr="00066990">
        <w:t xml:space="preserve">Future work will </w:t>
      </w:r>
      <w:r w:rsidRPr="00066990">
        <w:t xml:space="preserve">consider the </w:t>
      </w:r>
      <w:r w:rsidR="00063B9B" w:rsidRPr="00066990">
        <w:t xml:space="preserve">associated healthcare demand, </w:t>
      </w:r>
      <w:r w:rsidRPr="00066990">
        <w:t xml:space="preserve">workforce </w:t>
      </w:r>
      <w:r w:rsidR="009A6946" w:rsidRPr="00066990">
        <w:t>and other resources</w:t>
      </w:r>
      <w:r w:rsidRPr="00066990">
        <w:t xml:space="preserve"> needed for health and social care provision for people living with frailty</w:t>
      </w:r>
      <w:bookmarkEnd w:id="22"/>
      <w:r w:rsidRPr="00066990">
        <w:t xml:space="preserve">. </w:t>
      </w:r>
      <w:r w:rsidR="00577C0B" w:rsidRPr="00066990">
        <w:t xml:space="preserve"> </w:t>
      </w:r>
      <w:r w:rsidR="00074682" w:rsidRPr="00066990">
        <w:t>A</w:t>
      </w:r>
      <w:r w:rsidR="00577C0B" w:rsidRPr="00066990">
        <w:t xml:space="preserve"> rec</w:t>
      </w:r>
      <w:r w:rsidR="00577C0B" w:rsidRPr="00577C0B">
        <w:t xml:space="preserve">ent report by the Health Foundation </w:t>
      </w:r>
      <w:r w:rsidR="00074682">
        <w:t>contained</w:t>
      </w:r>
      <w:r w:rsidR="00074682" w:rsidRPr="00577C0B">
        <w:t xml:space="preserve"> </w:t>
      </w:r>
      <w:r w:rsidR="00577C0B" w:rsidRPr="00577C0B">
        <w:t>projections suggest</w:t>
      </w:r>
      <w:r w:rsidR="00074682">
        <w:t>ing</w:t>
      </w:r>
      <w:r w:rsidR="00577C0B" w:rsidRPr="00577C0B">
        <w:t xml:space="preserve"> that</w:t>
      </w:r>
      <w:r w:rsidR="00074682">
        <w:t xml:space="preserve"> in 2040 </w:t>
      </w:r>
      <w:r w:rsidR="00577C0B" w:rsidRPr="00577C0B">
        <w:t xml:space="preserve">there would be an extra 2.5 million adults above 20 years of age in </w:t>
      </w:r>
      <w:r w:rsidR="00074682">
        <w:t>England</w:t>
      </w:r>
      <w:r w:rsidR="00577C0B" w:rsidRPr="00577C0B">
        <w:t xml:space="preserve"> living with a major illness (defined using the Cambridge Multimorbidity Score (CMS)) compared with the situation in 2019 (Watt, 2022).</w:t>
      </w:r>
      <w:r w:rsidR="00577C0B">
        <w:t xml:space="preserve"> </w:t>
      </w:r>
      <w:r w:rsidR="009B6C17">
        <w:t>As the Health Foundation report state</w:t>
      </w:r>
      <w:r w:rsidR="0074366A">
        <w:t>s</w:t>
      </w:r>
      <w:r w:rsidR="009B6C17">
        <w:t xml:space="preserve">, there is no silver bullet to reduce the growth in the number of people living with major illness / multi-comorbidities </w:t>
      </w:r>
      <w:r w:rsidR="009B6C17">
        <w:fldChar w:fldCharType="begin"/>
      </w:r>
      <w:r w:rsidR="009B6C17">
        <w:instrText xml:space="preserve"> ADDIN EN.CITE &lt;EndNote&gt;&lt;Cite&gt;&lt;Author&gt;Watt&lt;/Author&gt;&lt;Year&gt;2022&lt;/Year&gt;&lt;RecNum&gt;100&lt;/RecNum&gt;&lt;DisplayText&gt;(Watt, 2022)&lt;/DisplayText&gt;&lt;record&gt;&lt;rec-number&gt;100&lt;/rec-number&gt;&lt;foreign-keys&gt;&lt;key app="EN" db-id="0sxsezaf7atedqef9vk5drdt9xzpawp0w5rv" timestamp="1691420126"&gt;100&lt;/key&gt;&lt;/foreign-keys&gt;&lt;ref-type name="Report"&gt;27&lt;/ref-type&gt;&lt;contributors&gt;&lt;authors&gt;&lt;author&gt;Watt, T., Raymond, A., Rachet-Jacquet, L., Head, A., Kypridemos, C.&lt;/author&gt;&lt;/authors&gt;&lt;secondary-authors&gt;&lt;author&gt;The Health Foundation&lt;/author&gt;&lt;/secondary-authors&gt;&lt;/contributors&gt;&lt;titles&gt;&lt;title&gt;A microsimulation model for multimorbidity in England&lt;/title&gt;&lt;/titles&gt;&lt;dates&gt;&lt;year&gt;2022&lt;/year&gt;&lt;pub-dates&gt;&lt;date&gt;July 2022&lt;/date&gt;&lt;/pub-dates&gt;&lt;/dates&gt;&lt;urls&gt;&lt;related-urls&gt;&lt;url&gt;www.health.org.uk/publications/health-in-2040&lt;/url&gt;&lt;/related-urls&gt;&lt;/urls&gt;&lt;access-date&gt;7/8/2023&lt;/access-date&gt;&lt;/record&gt;&lt;/Cite&gt;&lt;/EndNote&gt;</w:instrText>
      </w:r>
      <w:r w:rsidR="009B6C17">
        <w:fldChar w:fldCharType="separate"/>
      </w:r>
      <w:r w:rsidR="009B6C17">
        <w:rPr>
          <w:noProof/>
        </w:rPr>
        <w:t>(Watt, 2022)</w:t>
      </w:r>
      <w:r w:rsidR="009B6C17">
        <w:fldChar w:fldCharType="end"/>
      </w:r>
      <w:r w:rsidR="009B6C17">
        <w:t xml:space="preserve">; the same can be said for those living with frailty. </w:t>
      </w:r>
      <w:r w:rsidR="00241B9D">
        <w:t xml:space="preserve">Clearly, the </w:t>
      </w:r>
      <w:r w:rsidR="00DB5C5E">
        <w:t xml:space="preserve">substantive </w:t>
      </w:r>
      <w:r w:rsidR="00241B9D">
        <w:t>findings</w:t>
      </w:r>
      <w:r w:rsidR="002619E5">
        <w:t xml:space="preserve"> </w:t>
      </w:r>
      <w:r w:rsidR="00577C0B">
        <w:t xml:space="preserve">from our study </w:t>
      </w:r>
      <w:r w:rsidR="00241B9D">
        <w:t xml:space="preserve">are highly relevant for </w:t>
      </w:r>
      <w:r w:rsidR="00367938">
        <w:t xml:space="preserve">policy and </w:t>
      </w:r>
      <w:r w:rsidR="00241B9D">
        <w:t xml:space="preserve">decision-makers involved in planning </w:t>
      </w:r>
      <w:r w:rsidR="00A92C8C">
        <w:t xml:space="preserve">future </w:t>
      </w:r>
      <w:r w:rsidR="00241B9D">
        <w:t>services for people living with frailt</w:t>
      </w:r>
      <w:r w:rsidR="002A207D">
        <w:t>y.</w:t>
      </w:r>
      <w:r w:rsidR="00320082">
        <w:t xml:space="preserve"> The approach outlined here provides the potential to quantify service requirements</w:t>
      </w:r>
      <w:r w:rsidR="002A207D">
        <w:t xml:space="preserve"> (staff and facilities)</w:t>
      </w:r>
      <w:r w:rsidR="00320082">
        <w:t xml:space="preserve"> and how they might change over time especially when combined with population projections. </w:t>
      </w:r>
      <w:r w:rsidR="002619E5">
        <w:t>This work also provides useful learning in relation to use of large-scale, routine health service data for development and validation of simulation models in this field.</w:t>
      </w:r>
      <w:r w:rsidR="009B151C">
        <w:t xml:space="preserve"> </w:t>
      </w:r>
    </w:p>
    <w:p w14:paraId="030B4401" w14:textId="0F0E3599" w:rsidR="00A12F69" w:rsidRDefault="004E7837" w:rsidP="004E7837">
      <w:pPr>
        <w:pStyle w:val="Heading2"/>
        <w:numPr>
          <w:ilvl w:val="0"/>
          <w:numId w:val="0"/>
        </w:numPr>
      </w:pPr>
      <w:r>
        <w:t xml:space="preserve">4.1 </w:t>
      </w:r>
      <w:r w:rsidR="00A12F69">
        <w:t>Limitations</w:t>
      </w:r>
    </w:p>
    <w:p w14:paraId="4EF03869" w14:textId="4264E408" w:rsidR="0003006C" w:rsidRDefault="00A60AC5" w:rsidP="00F84EC4">
      <w:pPr>
        <w:ind w:firstLine="720"/>
      </w:pPr>
      <w:r w:rsidRPr="001A1923">
        <w:t>A strength of this study is that w</w:t>
      </w:r>
      <w:r w:rsidR="00A92C8C" w:rsidRPr="001A1923">
        <w:t xml:space="preserve">e have demonstrated that </w:t>
      </w:r>
      <w:r w:rsidR="00DB5C5E" w:rsidRPr="001A1923">
        <w:t>we were able</w:t>
      </w:r>
      <w:r w:rsidR="00A92C8C" w:rsidRPr="001A1923">
        <w:t xml:space="preserve"> to use real-world, </w:t>
      </w:r>
      <w:r w:rsidR="00E52A2B" w:rsidRPr="001A1923">
        <w:t xml:space="preserve">nationally representative, </w:t>
      </w:r>
      <w:r w:rsidR="00A92C8C" w:rsidRPr="001A1923">
        <w:t>large-scale data to develop and validate a model that generates useful and stable projections over a 10</w:t>
      </w:r>
      <w:r w:rsidR="00BE4474" w:rsidRPr="001A1923">
        <w:t>-</w:t>
      </w:r>
      <w:r w:rsidR="00A92C8C" w:rsidRPr="001A1923">
        <w:t xml:space="preserve">year </w:t>
      </w:r>
      <w:proofErr w:type="gramStart"/>
      <w:r w:rsidR="00A92C8C" w:rsidRPr="001A1923">
        <w:t>time period</w:t>
      </w:r>
      <w:proofErr w:type="gramEnd"/>
      <w:r w:rsidR="00A92C8C" w:rsidRPr="001A1923">
        <w:t xml:space="preserve">.  However, </w:t>
      </w:r>
      <w:r w:rsidR="00DB5C5E" w:rsidRPr="001A1923">
        <w:t xml:space="preserve">despite the </w:t>
      </w:r>
      <w:r w:rsidRPr="001A1923">
        <w:t xml:space="preserve">large </w:t>
      </w:r>
      <w:r w:rsidR="00DB5C5E" w:rsidRPr="001A1923">
        <w:t>size of the dataset, there were challenges in fitting some model parameters that became apparent during the external validation process.  These included the issues with entries and de</w:t>
      </w:r>
      <w:r w:rsidRPr="001A1923">
        <w:t>-</w:t>
      </w:r>
      <w:r w:rsidR="00DB5C5E" w:rsidRPr="001A1923">
        <w:t>registrations</w:t>
      </w:r>
      <w:r w:rsidR="00E52A2B" w:rsidRPr="001A1923">
        <w:t xml:space="preserve"> from the cohort sample</w:t>
      </w:r>
      <w:r w:rsidR="00DB5C5E" w:rsidRPr="001A1923">
        <w:t xml:space="preserve"> </w:t>
      </w:r>
      <w:r w:rsidR="00300805">
        <w:t>(</w:t>
      </w:r>
      <w:r w:rsidR="00072568" w:rsidRPr="001A1923">
        <w:t xml:space="preserve">flows which would be </w:t>
      </w:r>
      <w:r w:rsidR="00300805">
        <w:t>negligible</w:t>
      </w:r>
      <w:r w:rsidR="00300805" w:rsidRPr="001A1923">
        <w:t xml:space="preserve"> </w:t>
      </w:r>
      <w:r w:rsidR="00072568" w:rsidRPr="001A1923">
        <w:t>in the population</w:t>
      </w:r>
      <w:r w:rsidR="00072568">
        <w:t xml:space="preserve"> as a whole</w:t>
      </w:r>
      <w:r w:rsidR="00300805">
        <w:t>),</w:t>
      </w:r>
      <w:r w:rsidR="00072568">
        <w:t xml:space="preserve"> </w:t>
      </w:r>
      <w:r w:rsidR="00DB5C5E">
        <w:t xml:space="preserve">the impact of socio-economic differences and wider demographic trends </w:t>
      </w:r>
      <w:r w:rsidR="009B151C">
        <w:t>such as</w:t>
      </w:r>
      <w:r w:rsidR="00DB5C5E">
        <w:t xml:space="preserve"> the ‘baby boomers’, </w:t>
      </w:r>
      <w:r w:rsidR="009B151C">
        <w:t xml:space="preserve">as </w:t>
      </w:r>
      <w:r w:rsidR="00DB5C5E">
        <w:t>described earlier.  Arguably, if we had been using a smaller dataset</w:t>
      </w:r>
      <w:r w:rsidR="00543831">
        <w:t>,</w:t>
      </w:r>
      <w:r w:rsidR="00DB5C5E">
        <w:t xml:space="preserve"> we might have been more alert to these issues, as it would have been more obvious that our data</w:t>
      </w:r>
      <w:r w:rsidR="00072568">
        <w:t xml:space="preserve"> flows</w:t>
      </w:r>
      <w:r w:rsidR="00DB5C5E">
        <w:t xml:space="preserve"> w</w:t>
      </w:r>
      <w:r w:rsidR="009B151C">
        <w:t>ere</w:t>
      </w:r>
      <w:r w:rsidR="00DB5C5E">
        <w:t xml:space="preserve"> </w:t>
      </w:r>
      <w:r w:rsidR="009B151C">
        <w:t xml:space="preserve">not necessarily representative of the </w:t>
      </w:r>
      <w:r w:rsidR="00072568">
        <w:t xml:space="preserve">flows in the </w:t>
      </w:r>
      <w:r w:rsidR="009B151C">
        <w:t>wider population.</w:t>
      </w:r>
      <w:r w:rsidR="004C2B09">
        <w:t xml:space="preserve"> </w:t>
      </w:r>
      <w:r w:rsidR="00300805">
        <w:t xml:space="preserve"> </w:t>
      </w:r>
      <w:bookmarkStart w:id="23" w:name="_Hlk161326208"/>
      <w:r w:rsidR="00CB7717" w:rsidRPr="00066990">
        <w:t xml:space="preserve">A key learning point is that </w:t>
      </w:r>
      <w:r w:rsidR="001033E7" w:rsidRPr="00066990">
        <w:t xml:space="preserve">even although the </w:t>
      </w:r>
      <w:r w:rsidR="00300805" w:rsidRPr="00066990">
        <w:t>RCGP</w:t>
      </w:r>
      <w:r w:rsidR="001C6EE0" w:rsidRPr="00066990">
        <w:t xml:space="preserve"> RSC</w:t>
      </w:r>
      <w:r w:rsidR="00300805" w:rsidRPr="00066990">
        <w:t xml:space="preserve"> </w:t>
      </w:r>
      <w:r w:rsidR="00A5477A" w:rsidRPr="00066990">
        <w:t>cohort</w:t>
      </w:r>
      <w:r w:rsidR="00CB7717" w:rsidRPr="00066990">
        <w:t xml:space="preserve"> </w:t>
      </w:r>
      <w:r w:rsidR="00A5477A" w:rsidRPr="00066990">
        <w:t>had been</w:t>
      </w:r>
      <w:r w:rsidR="001033E7" w:rsidRPr="00066990">
        <w:t xml:space="preserve"> shown to be nationally representative </w:t>
      </w:r>
      <w:r w:rsidR="0005125E" w:rsidRPr="00066990">
        <w:t>in terms of</w:t>
      </w:r>
      <w:r w:rsidR="001033E7" w:rsidRPr="00066990">
        <w:t xml:space="preserve"> cross-sectional demographic </w:t>
      </w:r>
      <w:r w:rsidR="0005125E" w:rsidRPr="00066990">
        <w:t>characteristics</w:t>
      </w:r>
      <w:r w:rsidR="00A5477A" w:rsidRPr="00066990">
        <w:t xml:space="preserve"> (Correa et al., </w:t>
      </w:r>
      <w:r w:rsidR="00A5477A" w:rsidRPr="00066990">
        <w:lastRenderedPageBreak/>
        <w:t>2016)</w:t>
      </w:r>
      <w:r w:rsidR="00CB7717" w:rsidRPr="00066990">
        <w:t xml:space="preserve">, </w:t>
      </w:r>
      <w:r w:rsidR="00A5477A" w:rsidRPr="00066990">
        <w:t>it</w:t>
      </w:r>
      <w:r w:rsidR="0005125E" w:rsidRPr="00066990">
        <w:t xml:space="preserve"> </w:t>
      </w:r>
      <w:r w:rsidR="00A5477A" w:rsidRPr="00066990">
        <w:t>was still necessary to take account</w:t>
      </w:r>
      <w:r w:rsidR="00CB7717" w:rsidRPr="00066990">
        <w:t xml:space="preserve"> of </w:t>
      </w:r>
      <w:r w:rsidR="00A5477A" w:rsidRPr="00066990">
        <w:t xml:space="preserve">wider </w:t>
      </w:r>
      <w:r w:rsidR="00CB7717" w:rsidRPr="00066990">
        <w:t>demographic trends</w:t>
      </w:r>
      <w:r w:rsidR="0005125E" w:rsidRPr="00066990">
        <w:t xml:space="preserve"> when extending the model to the entire population of England</w:t>
      </w:r>
      <w:r w:rsidR="00CB7717" w:rsidRPr="00066990">
        <w:t>.</w:t>
      </w:r>
      <w:r w:rsidR="00CB7717">
        <w:t xml:space="preserve"> </w:t>
      </w:r>
      <w:bookmarkEnd w:id="23"/>
      <w:r w:rsidR="009B6F59">
        <w:t>Due to these differences in population flows in our primary datasets, q</w:t>
      </w:r>
      <w:r w:rsidR="005A4121" w:rsidRPr="00B45AE3">
        <w:t xml:space="preserve">uestions about </w:t>
      </w:r>
      <w:r w:rsidR="005A4121">
        <w:t>the</w:t>
      </w:r>
      <w:r w:rsidR="005A4121" w:rsidRPr="00B45AE3">
        <w:t xml:space="preserve"> representativeness</w:t>
      </w:r>
      <w:r w:rsidR="005A4121">
        <w:t xml:space="preserve"> of the </w:t>
      </w:r>
      <w:r w:rsidR="004C2B09">
        <w:t>RCGP</w:t>
      </w:r>
      <w:r w:rsidR="009B6F59">
        <w:t xml:space="preserve"> RSC</w:t>
      </w:r>
      <w:r w:rsidR="004C2B09">
        <w:t xml:space="preserve"> </w:t>
      </w:r>
      <w:r w:rsidR="005A4121">
        <w:t>cohort on which transition probabilities are based,</w:t>
      </w:r>
      <w:r w:rsidR="005A4121" w:rsidRPr="00B45AE3">
        <w:t xml:space="preserve"> and therefore </w:t>
      </w:r>
      <w:r w:rsidR="005A4121">
        <w:t xml:space="preserve">the </w:t>
      </w:r>
      <w:r w:rsidR="005A4121" w:rsidRPr="00B45AE3">
        <w:t>generalisability of the model to the wider English population</w:t>
      </w:r>
      <w:r w:rsidR="005A4121">
        <w:t>,</w:t>
      </w:r>
      <w:r w:rsidR="005A4121" w:rsidRPr="00B45AE3">
        <w:t xml:space="preserve"> could arise. </w:t>
      </w:r>
      <w:r w:rsidR="004C2B09">
        <w:t xml:space="preserve"> </w:t>
      </w:r>
      <w:r w:rsidR="005A4121" w:rsidRPr="00B45AE3">
        <w:t xml:space="preserve">However, by using the SAIL dataset in the external validation we have been able to examine the behaviour patterns in a cohort which has a much higher coverage of a national </w:t>
      </w:r>
      <w:r w:rsidR="005A4121" w:rsidRPr="00782B8B">
        <w:t xml:space="preserve">population before adapting the model and using ONS population </w:t>
      </w:r>
      <w:r w:rsidR="00066990" w:rsidRPr="00782B8B">
        <w:t xml:space="preserve">principal </w:t>
      </w:r>
      <w:r w:rsidR="005A4121" w:rsidRPr="00782B8B">
        <w:t xml:space="preserve">projections to describe the </w:t>
      </w:r>
      <w:r w:rsidR="005A4121" w:rsidRPr="00B45AE3">
        <w:t>age structure and ageing process of people aged &gt;=50 in England.</w:t>
      </w:r>
      <w:r w:rsidR="005A4121">
        <w:t xml:space="preserve"> </w:t>
      </w:r>
      <w:r w:rsidR="009F7830">
        <w:t>A similar approach of using ONS population projections with prevalence estimates</w:t>
      </w:r>
      <w:r w:rsidR="004D05F2">
        <w:t xml:space="preserve"> (based on linked primary care data)</w:t>
      </w:r>
      <w:r w:rsidR="009F7830">
        <w:t xml:space="preserve"> for 20 conditions was used in a recent Health Foundation study on comorbidities to ensure changes in the underlying ageing population</w:t>
      </w:r>
      <w:r w:rsidR="004D05F2">
        <w:t xml:space="preserve"> </w:t>
      </w:r>
      <w:r w:rsidR="008C016A">
        <w:t xml:space="preserve">(such as the Baby boomers) </w:t>
      </w:r>
      <w:r w:rsidR="009F7830">
        <w:t xml:space="preserve">were captured ahead of model projections </w:t>
      </w:r>
      <w:r w:rsidR="004D05F2">
        <w:t xml:space="preserve">for England </w:t>
      </w:r>
      <w:r w:rsidR="008C016A">
        <w:t xml:space="preserve">up to </w:t>
      </w:r>
      <w:r w:rsidR="009F7830">
        <w:t xml:space="preserve">2040 </w:t>
      </w:r>
      <w:r w:rsidR="009F7830">
        <w:fldChar w:fldCharType="begin"/>
      </w:r>
      <w:r w:rsidR="009F7830">
        <w:instrText xml:space="preserve"> ADDIN EN.CITE &lt;EndNote&gt;&lt;Cite&gt;&lt;Author&gt;Watt&lt;/Author&gt;&lt;Year&gt;2022&lt;/Year&gt;&lt;RecNum&gt;100&lt;/RecNum&gt;&lt;DisplayText&gt;(Watt, 2022)&lt;/DisplayText&gt;&lt;record&gt;&lt;rec-number&gt;100&lt;/rec-number&gt;&lt;foreign-keys&gt;&lt;key app="EN" db-id="0sxsezaf7atedqef9vk5drdt9xzpawp0w5rv" timestamp="1691420126"&gt;100&lt;/key&gt;&lt;/foreign-keys&gt;&lt;ref-type name="Report"&gt;27&lt;/ref-type&gt;&lt;contributors&gt;&lt;authors&gt;&lt;author&gt;Watt, T., Raymond, A., Rachet-Jacquet, L., Head, A., Kypridemos, C.&lt;/author&gt;&lt;/authors&gt;&lt;secondary-authors&gt;&lt;author&gt;The Health Foundation&lt;/author&gt;&lt;/secondary-authors&gt;&lt;/contributors&gt;&lt;titles&gt;&lt;title&gt;A microsimulation model for multimorbidity in England&lt;/title&gt;&lt;/titles&gt;&lt;dates&gt;&lt;year&gt;2022&lt;/year&gt;&lt;pub-dates&gt;&lt;date&gt;July 2022&lt;/date&gt;&lt;/pub-dates&gt;&lt;/dates&gt;&lt;urls&gt;&lt;related-urls&gt;&lt;url&gt;www.health.org.uk/publications/health-in-2040&lt;/url&gt;&lt;/related-urls&gt;&lt;/urls&gt;&lt;access-date&gt;7/8/2023&lt;/access-date&gt;&lt;/record&gt;&lt;/Cite&gt;&lt;/EndNote&gt;</w:instrText>
      </w:r>
      <w:r w:rsidR="009F7830">
        <w:fldChar w:fldCharType="separate"/>
      </w:r>
      <w:r w:rsidR="009F7830">
        <w:rPr>
          <w:noProof/>
        </w:rPr>
        <w:t>(Watt, 2022)</w:t>
      </w:r>
      <w:r w:rsidR="009F7830">
        <w:fldChar w:fldCharType="end"/>
      </w:r>
      <w:r w:rsidR="009F7830">
        <w:t xml:space="preserve">. </w:t>
      </w:r>
      <w:r w:rsidR="0003006C">
        <w:t xml:space="preserve">The external validation </w:t>
      </w:r>
      <w:r w:rsidR="006227FD">
        <w:t xml:space="preserve">in this study </w:t>
      </w:r>
      <w:r w:rsidR="0003006C">
        <w:t xml:space="preserve">process has showed that whilst the model structure is universally generic and could be transferable to other </w:t>
      </w:r>
      <w:r w:rsidR="009B6F59">
        <w:t xml:space="preserve">populations or </w:t>
      </w:r>
      <w:r w:rsidR="0003006C">
        <w:t>countries, work would be needed to identify suitable data sources to adapt the model for different regions, countries, and time periods.</w:t>
      </w:r>
    </w:p>
    <w:p w14:paraId="73F07A7E" w14:textId="77777777" w:rsidR="007C0770" w:rsidRDefault="007C0770" w:rsidP="001A1923"/>
    <w:p w14:paraId="5F593E85" w14:textId="4339F8B6" w:rsidR="006E6875" w:rsidRPr="00393744" w:rsidRDefault="006A47EB" w:rsidP="00F84EC4">
      <w:pPr>
        <w:ind w:firstLine="720"/>
        <w:rPr>
          <w:color w:val="FF0000"/>
        </w:rPr>
      </w:pPr>
      <w:r w:rsidRPr="00B45AE3">
        <w:t xml:space="preserve">As with all models, </w:t>
      </w:r>
      <w:r w:rsidR="005748BE">
        <w:t xml:space="preserve">some </w:t>
      </w:r>
      <w:r w:rsidRPr="00B45AE3">
        <w:t xml:space="preserve">simplifications </w:t>
      </w:r>
      <w:r w:rsidR="005A4121">
        <w:t>were</w:t>
      </w:r>
      <w:r w:rsidRPr="00B45AE3">
        <w:t xml:space="preserve"> </w:t>
      </w:r>
      <w:r w:rsidR="005A4121">
        <w:t>necessary</w:t>
      </w:r>
      <w:r w:rsidR="009B6F59">
        <w:t xml:space="preserve"> due to the complexity </w:t>
      </w:r>
      <w:r w:rsidR="00D45390">
        <w:rPr>
          <w:color w:val="FF0000"/>
        </w:rPr>
        <w:t xml:space="preserve">and limitations </w:t>
      </w:r>
      <w:r w:rsidR="009B6F59">
        <w:t>of the data on which the model was developed</w:t>
      </w:r>
      <w:r w:rsidRPr="00B45AE3">
        <w:t xml:space="preserve">. </w:t>
      </w:r>
      <w:r w:rsidR="004C2B09">
        <w:t xml:space="preserve"> </w:t>
      </w:r>
      <w:r w:rsidR="00555666">
        <w:t xml:space="preserve">Firstly, the </w:t>
      </w:r>
      <w:proofErr w:type="spellStart"/>
      <w:r w:rsidR="00555666">
        <w:t>eFI</w:t>
      </w:r>
      <w:proofErr w:type="spellEnd"/>
      <w:r w:rsidR="00555666">
        <w:t xml:space="preserve"> was</w:t>
      </w:r>
      <w:r w:rsidR="004C2B09" w:rsidRPr="00B45AE3">
        <w:t xml:space="preserve"> </w:t>
      </w:r>
      <w:r w:rsidR="001A77A8">
        <w:t>updat</w:t>
      </w:r>
      <w:r w:rsidR="00555666">
        <w:t>ed</w:t>
      </w:r>
      <w:r w:rsidR="004C2B09" w:rsidRPr="00B45AE3">
        <w:t xml:space="preserve"> </w:t>
      </w:r>
      <w:r w:rsidR="00555666">
        <w:t xml:space="preserve">annually </w:t>
      </w:r>
      <w:r w:rsidR="004C2B09" w:rsidRPr="00B45AE3">
        <w:t>(on 1</w:t>
      </w:r>
      <w:r w:rsidR="004C2B09" w:rsidRPr="00B45AE3">
        <w:rPr>
          <w:vertAlign w:val="superscript"/>
        </w:rPr>
        <w:t>st</w:t>
      </w:r>
      <w:r w:rsidR="004C2B09" w:rsidRPr="00B45AE3">
        <w:t xml:space="preserve"> January)</w:t>
      </w:r>
      <w:r w:rsidR="009B6F59">
        <w:t xml:space="preserve"> based on GP data from the preceding 12 months</w:t>
      </w:r>
      <w:r w:rsidR="00555666">
        <w:t>; we did not attempt to</w:t>
      </w:r>
      <w:r w:rsidR="004C2B09" w:rsidRPr="00B45AE3">
        <w:t xml:space="preserve"> </w:t>
      </w:r>
      <w:r w:rsidR="009B6F59">
        <w:t xml:space="preserve">model transitions based on </w:t>
      </w:r>
      <w:r w:rsidR="004C2B09" w:rsidRPr="00B45AE3">
        <w:t xml:space="preserve">the actual dates of transitions between frailty states. </w:t>
      </w:r>
      <w:r w:rsidR="004C2B09">
        <w:t xml:space="preserve"> </w:t>
      </w:r>
      <w:proofErr w:type="gramStart"/>
      <w:r w:rsidR="004C2B09">
        <w:t>In reality</w:t>
      </w:r>
      <w:r w:rsidR="00472A52">
        <w:t>,</w:t>
      </w:r>
      <w:r w:rsidR="004C2B09">
        <w:t xml:space="preserve"> frailty</w:t>
      </w:r>
      <w:proofErr w:type="gramEnd"/>
      <w:r w:rsidR="004C2B09">
        <w:t xml:space="preserve"> progression is a gradual process</w:t>
      </w:r>
      <w:r w:rsidR="001A77A8">
        <w:t>,</w:t>
      </w:r>
      <w:r w:rsidR="004C2B09">
        <w:t xml:space="preserve"> and </w:t>
      </w:r>
      <w:r w:rsidR="00555666">
        <w:t xml:space="preserve">it </w:t>
      </w:r>
      <w:r w:rsidR="004C2B09">
        <w:t xml:space="preserve">may be </w:t>
      </w:r>
      <w:r w:rsidR="00555666">
        <w:t>difficult to specify precisely</w:t>
      </w:r>
      <w:r w:rsidR="004C2B09">
        <w:t xml:space="preserve"> when </w:t>
      </w:r>
      <w:r w:rsidR="00555666">
        <w:t>some of the</w:t>
      </w:r>
      <w:r w:rsidR="004C2B09">
        <w:t xml:space="preserve"> deficits that constitute the </w:t>
      </w:r>
      <w:proofErr w:type="spellStart"/>
      <w:r w:rsidR="004C2B09">
        <w:t>eFI</w:t>
      </w:r>
      <w:proofErr w:type="spellEnd"/>
      <w:r w:rsidR="004C2B09">
        <w:t xml:space="preserve"> actually </w:t>
      </w:r>
      <w:r w:rsidR="00555666">
        <w:t>began</w:t>
      </w:r>
      <w:r w:rsidR="004C2B09">
        <w:t xml:space="preserve"> </w:t>
      </w:r>
      <w:r w:rsidR="001A77A8">
        <w:t>(</w:t>
      </w:r>
      <w:r w:rsidR="004C2B09">
        <w:t xml:space="preserve">as opposed to </w:t>
      </w:r>
      <w:r w:rsidR="00555666">
        <w:t>when they were</w:t>
      </w:r>
      <w:r w:rsidR="004C2B09">
        <w:t xml:space="preserve"> noted in </w:t>
      </w:r>
      <w:r w:rsidR="00555666">
        <w:t xml:space="preserve">a </w:t>
      </w:r>
      <w:r w:rsidR="004C2B09">
        <w:t>patient</w:t>
      </w:r>
      <w:r w:rsidR="00555666">
        <w:t>’s</w:t>
      </w:r>
      <w:r w:rsidR="004C2B09">
        <w:t xml:space="preserve"> record</w:t>
      </w:r>
      <w:r w:rsidR="001A77A8">
        <w:t>)</w:t>
      </w:r>
      <w:r w:rsidR="00555666">
        <w:t xml:space="preserve">.  There was no evidence to suggest that this annual update would lead to bias (in either direction) but as noted earlier, it may have </w:t>
      </w:r>
      <w:r w:rsidR="001A77A8">
        <w:t>had a small e</w:t>
      </w:r>
      <w:r w:rsidR="00555666">
        <w:t>ffect</w:t>
      </w:r>
      <w:r w:rsidR="001A77A8">
        <w:t xml:space="preserve"> on</w:t>
      </w:r>
      <w:r w:rsidR="00555666">
        <w:t xml:space="preserve"> the error statistics for some transitions</w:t>
      </w:r>
      <w:r w:rsidR="001A77A8">
        <w:t xml:space="preserve"> since age was updated on a more granular basis</w:t>
      </w:r>
      <w:r w:rsidR="00555666">
        <w:t>.   Secondly, t</w:t>
      </w:r>
      <w:r w:rsidR="00D723F6" w:rsidRPr="00B45AE3">
        <w:t xml:space="preserve">he model </w:t>
      </w:r>
      <w:r w:rsidR="005A4121">
        <w:t>was</w:t>
      </w:r>
      <w:r w:rsidR="00D723F6" w:rsidRPr="00B45AE3">
        <w:t xml:space="preserve"> developed with age and frailty as the main variables of interest. While gender, deprivation, and ethnicity have</w:t>
      </w:r>
      <w:r w:rsidR="005748BE">
        <w:t xml:space="preserve"> also </w:t>
      </w:r>
      <w:r w:rsidR="00D723F6" w:rsidRPr="00B45AE3">
        <w:t>been shown to be associated with frailty</w:t>
      </w:r>
      <w:r w:rsidR="00EF4E05" w:rsidRPr="00B45AE3">
        <w:t xml:space="preserve"> (</w:t>
      </w:r>
      <w:r w:rsidR="00EF4E05" w:rsidRPr="00B45AE3">
        <w:fldChar w:fldCharType="begin"/>
      </w:r>
      <w:r w:rsidR="00EF4E05" w:rsidRPr="00B45AE3">
        <w:instrText xml:space="preserve"> ADDIN EN.CITE &lt;EndNote&gt;&lt;Cite&gt;&lt;Author&gt;Romero-Ortuno&lt;/Author&gt;&lt;Year&gt;2014&lt;/Year&gt;&lt;RecNum&gt;42&lt;/RecNum&gt;&lt;DisplayText&gt;(Romero-Ortuno et al., 2014)&lt;/DisplayText&gt;&lt;record&gt;&lt;rec-number&gt;42&lt;/rec-number&gt;&lt;foreign-keys&gt;&lt;key app="EN" db-id="0sxsezaf7atedqef9vk5drdt9xzpawp0w5rv" timestamp="1684438618"&gt;42&lt;/key&gt;&lt;/foreign-keys&gt;&lt;ref-type name="Journal Article"&gt;17&lt;/ref-type&gt;&lt;contributors&gt;&lt;authors&gt;&lt;author&gt;Romero-Ortuno, R.&lt;/author&gt;&lt;author&gt;Fouweather, T.&lt;/author&gt;&lt;author&gt;Jagger, C.&lt;/author&gt;&lt;/authors&gt;&lt;/contributors&gt;&lt;auth-address&gt;Department of Medical Gerontology, Trinity Colleg</w:instrText>
      </w:r>
      <w:r w:rsidR="00EF4E05" w:rsidRPr="00F84EC4">
        <w:rPr>
          <w:lang w:val="it-IT"/>
        </w:rPr>
        <w:instrText>e Dublin, Dublin, Co. Dublin, Ireland.&lt;/auth-address&gt;&lt;titles&gt;&lt;title&gt;Cross-national disparities in sex differences in life expectancy with and without frailty&lt;/title&gt;&lt;secondary-title&gt;Age Ageing&lt;/secondary-title&gt;&lt;/titles&gt;&lt;periodical&gt;&lt;full-title&gt;Age Ageing&lt;/full-title&gt;&lt;/periodical&gt;&lt;pages&gt;222-8&lt;/pages&gt;&lt;volume&gt;43&lt;/volume&gt;&lt;number&gt;2&lt;/number&gt;&lt;edition&gt;2013/08/07&lt;/edition&gt;&lt;keywords&gt;&lt;keyword&gt;Age Distribution&lt;/keyword&gt;&lt;keyword&gt;Age Factors&lt;/keyword&gt;&lt;keyword&gt;Aged&lt;/keyword&gt;&lt;keyword&gt;Aged, 80 and over&lt;/keyword&gt;&lt;keyword&gt;*Aging&lt;/keyword&gt;&lt;keyword&gt;Disability Evaluation&lt;/keyword&gt;&lt;keyword&gt;Europe&lt;/keyword&gt;&lt;keyword&gt;Female&lt;/keyword&gt;&lt;keyword&gt;*Frail Elderly&lt;/keyword&gt;&lt;keyword&gt;*Health Status Disparities&lt;/keyword&gt;&lt;keyword&gt;Health Surveys&lt;/keyword&gt;&lt;keyword&gt;Humans&lt;/keyword&gt;&lt;keyword&gt;*Life Expectancy&lt;/keyword&gt;&lt;keyword&gt;Male&lt;/keyword&gt;&lt;keyword&gt;Middle Aged&lt;/keyword&gt;&lt;keyword&gt;Sex Distribution&lt;/keyword&gt;&lt;keyword&gt;Sex Factors&lt;/keyword&gt;&lt;keyword&gt;Time Factors&lt;/keyword&gt;&lt;keyword&gt;comparative study&lt;/keyword&gt;&lt;keyword&gt;frail older adults&lt;/keyword&gt;&lt;keyword&gt;healthy life expectancy&lt;/keyword&gt;&lt;keyword&gt;older people&lt;/keyword&gt;&lt;keyword&gt;sex differences&lt;/keyword&gt;&lt;/keywords&gt;&lt;dates&gt;&lt;year&gt;2014&lt;/year&gt;&lt;pub-dates&gt;&lt;date&gt;Mar&lt;/date&gt;&lt;/pub-dates&gt;&lt;/dates&gt;&lt;isbn&gt;0002-0729 (Print)&amp;#xD;0002-0729&lt;/isbn&gt;&lt;accession-num&gt;23917483&lt;/accession-num&gt;&lt;urls&gt;&lt;/urls&gt;&lt;custom2&gt;PMC3927770&lt;/custom2&gt;&lt;electronic-resource-num&gt;10.1093/ageing/aft115&lt;/electronic-resource-num&gt;&lt;remote-database-provider&gt;NLM&lt;/remote-database-provider&gt;&lt;language&gt;eng&lt;/language&gt;&lt;/record&gt;&lt;/Cite&gt;&lt;/EndNote&gt;</w:instrText>
      </w:r>
      <w:r w:rsidR="00EF4E05" w:rsidRPr="00B45AE3">
        <w:fldChar w:fldCharType="separate"/>
      </w:r>
      <w:r w:rsidR="00EF4E05" w:rsidRPr="00F84EC4">
        <w:rPr>
          <w:noProof/>
          <w:lang w:val="it-IT"/>
        </w:rPr>
        <w:t>(Romero-Ortuno et al., 2014)</w:t>
      </w:r>
      <w:r w:rsidR="00EF4E05" w:rsidRPr="00B45AE3">
        <w:fldChar w:fldCharType="end"/>
      </w:r>
      <w:r w:rsidR="00EF4E05" w:rsidRPr="00F84EC4">
        <w:rPr>
          <w:lang w:val="it-IT"/>
        </w:rPr>
        <w:t xml:space="preserve">, </w:t>
      </w:r>
      <w:r w:rsidR="006E6875" w:rsidRPr="00B45AE3">
        <w:fldChar w:fldCharType="begin"/>
      </w:r>
      <w:r w:rsidR="006E6875" w:rsidRPr="00F84EC4">
        <w:rPr>
          <w:lang w:val="it-IT"/>
        </w:rPr>
        <w:instrText xml:space="preserve"> ADDIN EN.CITE &lt;EndNote&gt;&lt;Cite&gt;&lt;Author&gt;Stow&lt;/Author&gt;&lt;Year&gt;2022&lt;/Year&gt;&lt;RecNum&gt;45&lt;/RecNum&gt;&lt;DisplayText&gt;(Stow et al., 2022)&lt;/DisplayText&gt;&lt;record&gt;&lt;rec-number&gt;45&lt;/rec-number&gt;&lt;foreign-keys&gt;&lt;key app="EN" db-id="0sxsezaf7atedqef9vk5drdt9xzpawp0w5rv" timestamp="1684439264"&gt;45&lt;/key&gt;&lt;/foreign-keys&gt;&lt;ref-type name="Journal Article"&gt;17&lt;/ref-type&gt;&lt;contributors&gt;&lt;authors&gt;&lt;author&gt;Stow, D.&lt;/author&gt;&lt;author&gt;Hanratty, B.&lt;/author&gt;&lt;author&gt;Matthews, F. E.&lt;/author&gt;&lt;/authors&gt;&lt;/contributors&gt;&lt;auth-address&gt;Population and Health Sciences Institute, Newcastle University, Newcastle upon Tyne NE2 4AX, UK.&lt;/auth-address&gt;&lt;titles&gt;&lt;title&gt;The relationship between deprivation and frailty trajectories over 1 year and at the end of life: a case-control study&lt;/title&gt;&lt;secondary-title&gt;J Public Health (Oxf)&lt;/secondary-title&gt;&lt;/titles&gt;&lt;periodical&gt;&lt;full-title&gt;J Public Health (Oxf)&lt;/full-title&gt;&lt;/periodical&gt;&lt;pages&gt;844-850&lt;/pages&gt;&lt;volume&gt;44&lt;/volume&gt;&lt;number&gt;4&lt;/number&gt;&lt;edition&gt;2021/09/21&lt;/edition&gt;&lt;keywords&gt;&lt;keyword&gt;Humans&lt;/keyword&gt;&lt;keyword&gt;Aged&lt;/keyword&gt;&lt;keyword&gt;*Frailty/epidemiology&lt;/keyword&gt;&lt;keyword&gt;Frail Elderly&lt;/keyword&gt;&lt;keyword&gt;Case-Control Studies&lt;/keyword&gt;&lt;keyword&gt;Geriatric Assessment&lt;/keyword&gt;&lt;keyword&gt;Death&lt;/keyword&gt;&lt;keyword&gt;deprivation&lt;/keyword&gt;&lt;keyword&gt;frailty&lt;/keyword&gt;&lt;keyword&gt;longitudinal&lt;/keyword&gt;&lt;keyword&gt;socio-economic-status&lt;/keyword&gt;&lt;keyword&gt;trajectories&lt;/keyword&gt;&lt;/keywords&gt;&lt;dates&gt;&lt;year&gt;2022&lt;/year&gt;&lt;pub-dates&gt;&lt;date&gt;Dec 1&lt;/date&gt;&lt;/pub-dates&gt;&lt;/dates&gt;&lt;isbn&gt;1741-3842 (Print)&amp;#xD;1741-3842&lt;/isbn&gt;&lt;accession-num&gt;34542629&lt;/accession-num&gt;&lt;urls&gt;&lt;/urls&gt;&lt;custom2&gt;PMC9715292&lt;/custom2&gt;&lt;electronic-resource-num&gt;10.1093/pubmed/fdab320&lt;/electronic-resource-num&gt;&lt;remote-database-provider&gt;NLM&lt;/remote-database-provider&gt;&lt;language&gt;eng&lt;/language&gt;&lt;/record&gt;&lt;/Cite&gt;&lt;/EndNote&gt;</w:instrText>
      </w:r>
      <w:r w:rsidR="006E6875" w:rsidRPr="00B45AE3">
        <w:fldChar w:fldCharType="separate"/>
      </w:r>
      <w:r w:rsidR="006E6875" w:rsidRPr="00064BE6">
        <w:rPr>
          <w:noProof/>
        </w:rPr>
        <w:t>(Stow et al., 2022)</w:t>
      </w:r>
      <w:r w:rsidR="006E6875" w:rsidRPr="00B45AE3">
        <w:fldChar w:fldCharType="end"/>
      </w:r>
      <w:r w:rsidR="006E6875" w:rsidRPr="00064BE6">
        <w:t xml:space="preserve">, </w:t>
      </w:r>
      <w:r w:rsidR="006E6875" w:rsidRPr="00B45AE3">
        <w:fldChar w:fldCharType="begin">
          <w:fldData xml:space="preserve">PEVuZE5vdGU+PENpdGU+PEF1dGhvcj5NYWppZDwvQXV0aG9yPjxZZWFyPjIwMjA8L1llYXI+PFJl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=
</w:fldData>
        </w:fldChar>
      </w:r>
      <w:r w:rsidR="006E6875" w:rsidRPr="00064BE6">
        <w:instrText xml:space="preserve"> ADDIN EN.CITE </w:instrText>
      </w:r>
      <w:r w:rsidR="006E6875" w:rsidRPr="00B45AE3">
        <w:fldChar w:fldCharType="begin">
          <w:fldData xml:space="preserve">PEVuZE5vdGU+PENpdGU+PEF1dGhvcj5NYWppZDwvQXV0aG9yPjxZZWFyPjIwMjA8L1llYXI+PFJl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=
</w:fldData>
        </w:fldChar>
      </w:r>
      <w:r w:rsidR="006E6875" w:rsidRPr="00064BE6">
        <w:instrText xml:space="preserve"> ADDIN EN.CITE.DATA </w:instrText>
      </w:r>
      <w:r w:rsidR="006E6875" w:rsidRPr="00B45AE3">
        <w:fldChar w:fldCharType="end"/>
      </w:r>
      <w:r w:rsidR="006E6875" w:rsidRPr="00B45AE3">
        <w:fldChar w:fldCharType="separate"/>
      </w:r>
      <w:r w:rsidR="006E6875" w:rsidRPr="00064BE6">
        <w:rPr>
          <w:noProof/>
        </w:rPr>
        <w:t>(Majid et al., 2020)</w:t>
      </w:r>
      <w:r w:rsidR="006E6875" w:rsidRPr="00B45AE3">
        <w:fldChar w:fldCharType="end"/>
      </w:r>
      <w:r w:rsidR="006E6875" w:rsidRPr="00064BE6">
        <w:t xml:space="preserve"> and </w:t>
      </w:r>
      <w:r w:rsidR="006E6875" w:rsidRPr="00B45AE3">
        <w:fldChar w:fldCharType="begin"/>
      </w:r>
      <w:r w:rsidR="00F02A38" w:rsidRPr="00064BE6">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6E6875" w:rsidRPr="00B45AE3">
        <w:fldChar w:fldCharType="separate"/>
      </w:r>
      <w:r w:rsidR="00F02A38" w:rsidRPr="00064BE6">
        <w:rPr>
          <w:noProof/>
        </w:rPr>
        <w:t>(Walsh et al., 2023)</w:t>
      </w:r>
      <w:r w:rsidR="006E6875" w:rsidRPr="00B45AE3">
        <w:fldChar w:fldCharType="end"/>
      </w:r>
      <w:r w:rsidR="00EF4E05" w:rsidRPr="00064BE6">
        <w:t>)</w:t>
      </w:r>
      <w:r w:rsidR="006E6875" w:rsidRPr="00064BE6">
        <w:t xml:space="preserve">, the marginal benefits of </w:t>
      </w:r>
      <w:r w:rsidR="001A77A8" w:rsidRPr="00064BE6">
        <w:t>inclu</w:t>
      </w:r>
      <w:r w:rsidR="006E6875" w:rsidRPr="00064BE6">
        <w:t>ding one or more of these f</w:t>
      </w:r>
      <w:r w:rsidR="006E6875" w:rsidRPr="00B45AE3">
        <w:t xml:space="preserve">actors </w:t>
      </w:r>
      <w:r w:rsidR="005A4121">
        <w:t xml:space="preserve">explicitly </w:t>
      </w:r>
      <w:r w:rsidR="001A77A8">
        <w:t xml:space="preserve">in the model </w:t>
      </w:r>
      <w:r w:rsidR="005A4121">
        <w:t xml:space="preserve">would be </w:t>
      </w:r>
      <w:r w:rsidR="006E6875" w:rsidRPr="00B45AE3">
        <w:t xml:space="preserve">outweighed by the exponential increase in complexity. The “curse of dimensionality” would make the model almost impossible to parameterise, and hence far less useful in practice. </w:t>
      </w:r>
      <w:r w:rsidR="005A4121">
        <w:t xml:space="preserve"> In the model, the </w:t>
      </w:r>
      <w:r w:rsidR="005A4121" w:rsidRPr="005A4121">
        <w:t>frailty transition</w:t>
      </w:r>
      <w:r w:rsidR="009B6F59">
        <w:t xml:space="preserve"> rates</w:t>
      </w:r>
      <w:r w:rsidR="005A4121" w:rsidRPr="005A4121">
        <w:t xml:space="preserve"> are</w:t>
      </w:r>
      <w:r w:rsidR="009139C7">
        <w:t xml:space="preserve"> instead</w:t>
      </w:r>
      <w:r w:rsidR="005A4121" w:rsidRPr="005A4121">
        <w:t xml:space="preserve"> adjusted for these important covariates</w:t>
      </w:r>
      <w:r w:rsidR="009B6F59">
        <w:t>, based on analysis of the RCGP RSC cohort (</w:t>
      </w:r>
      <w:r w:rsidR="00EC640C">
        <w:fldChar w:fldCharType="begin"/>
      </w:r>
      <w:r w:rsidR="00F02A38">
        <w:instrText xml:space="preserve"> ADDIN EN.CITE &lt;EndNote&gt;&lt;Cite&gt;&lt;Author&gt;Walsh&lt;/Author&gt;&lt;Year&gt;2023&lt;/Year&gt;&lt;RecNum&gt;18&lt;/RecNum&gt;&lt;DisplayText&gt;(Walsh et al., 2023)&lt;/DisplayText&gt;&lt;record&gt;&lt;rec-number&gt;18&lt;/rec-number&gt;&lt;foreign-keys&gt;&lt;key app="EN" db-id="0sxsezaf7atedqef9vk5drdt9xzpawp0w5rv" timestamp="1684242293"&gt;18&lt;/key&gt;&lt;/foreign-keys&gt;&lt;ref-type name="Journal Article"&gt;17&lt;/ref-type&gt;&lt;contributors&gt;&lt;authors&gt;&lt;author&gt;Walsh, Bronagh&lt;/author&gt;&lt;author&gt;Fogg, Carole&lt;/author&gt;&lt;author&gt;Harris, Scott&lt;/author&gt;&lt;author&gt;Roderick, Paul&lt;/author&gt;&lt;author&gt;de Lusignan, Simon&lt;/author&gt;&lt;author&gt;England, Tracey&lt;/author&gt;&lt;author&gt;Clegg, Andrew&lt;/author&gt;&lt;author&gt;Brailsford, Sally&lt;/author&gt;&lt;author&gt;Fraser, Simon D S&lt;/author&gt;&lt;/authors&gt;&lt;/contributors&gt;&lt;titles&gt;&lt;title&gt;Frailty transitions and prevalence in an ageing population: longitudinal analysis of primary care data from an open cohort of adults aged 50 and over in England, 2006–2017&lt;/title&gt;&lt;secondary-title&gt;Age and Ageing&lt;/secondary-title&gt;&lt;/titles&gt;&lt;periodical&gt;&lt;full-title&gt;Age and Ageing&lt;/full-title&gt;&lt;/periodical&gt;&lt;volume&gt;52&lt;/volume&gt;&lt;number&gt;5&lt;/number&gt;&lt;dates&gt;&lt;year&gt;2023&lt;/year&gt;&lt;/dates&gt;&lt;isbn&gt;1468-2834&lt;/isbn&gt;&lt;urls&gt;&lt;related-urls&gt;&lt;url&gt;https://doi.org/10.1093/ageing/afad058&lt;/url&gt;&lt;/related-urls&gt;&lt;/urls&gt;&lt;custom1&gt;afad058&lt;/custom1&gt;&lt;electronic-resource-num&gt;10.1093/ageing/afad058&lt;/electronic-resource-num&gt;&lt;access-date&gt;5/16/2023&lt;/access-date&gt;&lt;/record&gt;&lt;/Cite&gt;&lt;/EndNote&gt;</w:instrText>
      </w:r>
      <w:r w:rsidR="00EC640C">
        <w:fldChar w:fldCharType="separate"/>
      </w:r>
      <w:r w:rsidR="00F02A38">
        <w:rPr>
          <w:noProof/>
        </w:rPr>
        <w:t>(Walsh et al., 2023)</w:t>
      </w:r>
      <w:r w:rsidR="00EC640C">
        <w:fldChar w:fldCharType="end"/>
      </w:r>
      <w:r w:rsidR="009B6F59">
        <w:t>)</w:t>
      </w:r>
      <w:r w:rsidR="005A4121" w:rsidRPr="005A4121">
        <w:t xml:space="preserve">. </w:t>
      </w:r>
      <w:r w:rsidR="005A4121">
        <w:t>While t</w:t>
      </w:r>
      <w:r w:rsidR="005A4121" w:rsidRPr="005A4121">
        <w:t>his is a strength, the</w:t>
      </w:r>
      <w:r w:rsidR="005A4121">
        <w:t>re is also a</w:t>
      </w:r>
      <w:r w:rsidR="005A4121" w:rsidRPr="005A4121">
        <w:t xml:space="preserve"> limitation in using a single composite measure of transition probability</w:t>
      </w:r>
      <w:r w:rsidR="001A77A8">
        <w:t>, especially as</w:t>
      </w:r>
      <w:r w:rsidR="005A4121">
        <w:t xml:space="preserve"> </w:t>
      </w:r>
      <w:r w:rsidR="001A77A8">
        <w:t>s</w:t>
      </w:r>
      <w:r w:rsidR="00B41B4E" w:rsidRPr="00B45AE3">
        <w:t xml:space="preserve">takeholders commented that they would like to be able to understand differences in the future needs of their populations in relation to underlying factors </w:t>
      </w:r>
      <w:r w:rsidR="00B41B4E" w:rsidRPr="00B45AE3">
        <w:lastRenderedPageBreak/>
        <w:t>such as deprivation</w:t>
      </w:r>
      <w:r w:rsidR="003B5F84">
        <w:t xml:space="preserve"> which may become more important in the face of austerity measures and the current cost of living crisis</w:t>
      </w:r>
      <w:r w:rsidR="00B41B4E" w:rsidRPr="00B45AE3">
        <w:t>.</w:t>
      </w:r>
      <w:r w:rsidR="001A77A8">
        <w:t xml:space="preserve"> </w:t>
      </w:r>
      <w:r w:rsidR="00B41B4E" w:rsidRPr="00B45AE3">
        <w:t xml:space="preserve"> </w:t>
      </w:r>
      <w:r w:rsidR="006E6875" w:rsidRPr="00B45AE3">
        <w:t xml:space="preserve">It is, however, possible to address these issues </w:t>
      </w:r>
      <w:r w:rsidR="005A4121">
        <w:t>by</w:t>
      </w:r>
      <w:r w:rsidR="006E6875" w:rsidRPr="00B45AE3">
        <w:t xml:space="preserve"> adjust</w:t>
      </w:r>
      <w:r w:rsidR="005A4121">
        <w:t>ing the</w:t>
      </w:r>
      <w:r w:rsidR="006E6875" w:rsidRPr="00B45AE3">
        <w:t xml:space="preserve"> </w:t>
      </w:r>
      <w:r w:rsidR="003B5F84">
        <w:t xml:space="preserve">model’s input parameters (e.g. </w:t>
      </w:r>
      <w:r w:rsidR="006E6875" w:rsidRPr="00B45AE3">
        <w:t xml:space="preserve">transition </w:t>
      </w:r>
      <w:r w:rsidR="003B5F84">
        <w:t>and mortality rates) t</w:t>
      </w:r>
      <w:r w:rsidR="009139C7">
        <w:t>o reflect different population structures</w:t>
      </w:r>
      <w:r w:rsidR="001A77A8">
        <w:t xml:space="preserve">, as we </w:t>
      </w:r>
      <w:r w:rsidR="001A77A8" w:rsidRPr="00782B8B">
        <w:t xml:space="preserve">did for the SAIL population. </w:t>
      </w:r>
      <w:r w:rsidR="001613B2" w:rsidRPr="00782B8B">
        <w:t>Thirdly</w:t>
      </w:r>
      <w:r w:rsidR="001F0451" w:rsidRPr="00782B8B">
        <w:t xml:space="preserve">, </w:t>
      </w:r>
      <w:r w:rsidR="00846F10" w:rsidRPr="00782B8B">
        <w:t>the model assum</w:t>
      </w:r>
      <w:r w:rsidR="002D4CA0" w:rsidRPr="00782B8B">
        <w:t>es</w:t>
      </w:r>
      <w:r w:rsidR="00846F10" w:rsidRPr="00782B8B">
        <w:t xml:space="preserve"> that frailty is not reversible.  </w:t>
      </w:r>
      <w:r w:rsidR="001F0451" w:rsidRPr="00782B8B">
        <w:t xml:space="preserve">Analysis of the </w:t>
      </w:r>
      <w:r w:rsidR="001F0451" w:rsidRPr="001F0451">
        <w:t>RSC dataset showed that</w:t>
      </w:r>
      <w:r w:rsidR="00B31A72">
        <w:t>,</w:t>
      </w:r>
      <w:r w:rsidR="001F0451" w:rsidRPr="001F0451">
        <w:t xml:space="preserve"> although frailty scores did occasionally improve over time, this was uncommon.  The extent to which such improvements are an artefact of the scoring system used to measure frailty is unclear. Moreover, implementation issues can mean that changes in the </w:t>
      </w:r>
      <w:proofErr w:type="spellStart"/>
      <w:r w:rsidR="001F0451" w:rsidRPr="001F0451">
        <w:t>eFI</w:t>
      </w:r>
      <w:proofErr w:type="spellEnd"/>
      <w:r w:rsidR="001F0451" w:rsidRPr="001F0451">
        <w:t xml:space="preserve"> deficit metrics are not captured consistently in patient records.   In 3.9% of patients, reversals such as from Moderate to Mild were an artefact of the scoring of polypharmacy (i.e., being prescribed multiple medications) (Walsh et al., 2023) (</w:t>
      </w:r>
      <w:proofErr w:type="spellStart"/>
      <w:r w:rsidR="001F0451" w:rsidRPr="001F0451">
        <w:t>Uchmanowicz</w:t>
      </w:r>
      <w:proofErr w:type="spellEnd"/>
      <w:r w:rsidR="001F0451" w:rsidRPr="001F0451">
        <w:t xml:space="preserve"> et al., 2018) and could not be assumed to be due to </w:t>
      </w:r>
      <w:r w:rsidR="001F0451" w:rsidRPr="00782B8B">
        <w:t>the true underlying frailty state of the patient.</w:t>
      </w:r>
      <w:r w:rsidR="009C1E75" w:rsidRPr="00782B8B">
        <w:t xml:space="preserve"> </w:t>
      </w:r>
      <w:bookmarkStart w:id="24" w:name="_Hlk183171320"/>
      <w:r w:rsidR="009C1E75" w:rsidRPr="00393744">
        <w:rPr>
          <w:color w:val="FF0000"/>
        </w:rPr>
        <w:t>F</w:t>
      </w:r>
      <w:r w:rsidR="00D45390" w:rsidRPr="00393744">
        <w:rPr>
          <w:color w:val="FF0000"/>
        </w:rPr>
        <w:t>ourth</w:t>
      </w:r>
      <w:r w:rsidR="009C1E75" w:rsidRPr="00393744">
        <w:rPr>
          <w:color w:val="FF0000"/>
        </w:rPr>
        <w:t xml:space="preserve">ly, </w:t>
      </w:r>
      <w:r w:rsidR="00393744" w:rsidRPr="00393744">
        <w:rPr>
          <w:color w:val="FF0000"/>
        </w:rPr>
        <w:t xml:space="preserve">as noted in the Materials and Methods section, </w:t>
      </w:r>
      <w:r w:rsidR="009C1E75" w:rsidRPr="00393744">
        <w:rPr>
          <w:color w:val="FF0000"/>
        </w:rPr>
        <w:t xml:space="preserve">like many ageing chain models in the literature the model </w:t>
      </w:r>
      <w:r w:rsidR="00AC192F">
        <w:rPr>
          <w:color w:val="FF0000"/>
        </w:rPr>
        <w:t xml:space="preserve">is </w:t>
      </w:r>
      <w:r w:rsidR="00C823EB">
        <w:rPr>
          <w:color w:val="FF0000"/>
        </w:rPr>
        <w:t>subject</w:t>
      </w:r>
      <w:r w:rsidR="009C1E75" w:rsidRPr="00393744">
        <w:rPr>
          <w:color w:val="FF0000"/>
        </w:rPr>
        <w:t xml:space="preserve"> to </w:t>
      </w:r>
      <w:r w:rsidR="00AC192F">
        <w:rPr>
          <w:color w:val="FF0000"/>
        </w:rPr>
        <w:t xml:space="preserve">the </w:t>
      </w:r>
      <w:r w:rsidR="009C1E75" w:rsidRPr="00393744">
        <w:rPr>
          <w:color w:val="FF0000"/>
        </w:rPr>
        <w:t>blending</w:t>
      </w:r>
      <w:r w:rsidR="00AC192F">
        <w:rPr>
          <w:color w:val="FF0000"/>
        </w:rPr>
        <w:t xml:space="preserve"> problem, especially for the widest age group (50-64)</w:t>
      </w:r>
      <w:r w:rsidR="00393744">
        <w:rPr>
          <w:color w:val="FF0000"/>
        </w:rPr>
        <w:t xml:space="preserve">. </w:t>
      </w:r>
      <w:r w:rsidR="009C1E75" w:rsidRPr="00393744">
        <w:rPr>
          <w:color w:val="FF0000"/>
        </w:rPr>
        <w:t xml:space="preserve"> While </w:t>
      </w:r>
      <w:r w:rsidR="00D45390" w:rsidRPr="00393744">
        <w:rPr>
          <w:color w:val="FF0000"/>
        </w:rPr>
        <w:t>our approach</w:t>
      </w:r>
      <w:r w:rsidR="009C1E75" w:rsidRPr="00393744">
        <w:rPr>
          <w:color w:val="FF0000"/>
        </w:rPr>
        <w:t xml:space="preserve"> clearly </w:t>
      </w:r>
      <w:r w:rsidR="00AC192F">
        <w:rPr>
          <w:color w:val="FF0000"/>
        </w:rPr>
        <w:t>involves some loss of accuracy</w:t>
      </w:r>
      <w:r w:rsidR="009C1E75" w:rsidRPr="00393744">
        <w:rPr>
          <w:color w:val="FF0000"/>
        </w:rPr>
        <w:t xml:space="preserve">, we </w:t>
      </w:r>
      <w:r w:rsidR="00AC192F">
        <w:rPr>
          <w:color w:val="FF0000"/>
        </w:rPr>
        <w:t xml:space="preserve">decided that the </w:t>
      </w:r>
      <w:r w:rsidR="00393744" w:rsidRPr="00393744">
        <w:rPr>
          <w:color w:val="FF0000"/>
        </w:rPr>
        <w:t xml:space="preserve">use of methods like continuous </w:t>
      </w:r>
      <w:proofErr w:type="spellStart"/>
      <w:r w:rsidR="00393744" w:rsidRPr="00393744">
        <w:rPr>
          <w:color w:val="FF0000"/>
        </w:rPr>
        <w:t>cohorting</w:t>
      </w:r>
      <w:proofErr w:type="spellEnd"/>
      <w:r w:rsidR="00393744" w:rsidRPr="00393744">
        <w:rPr>
          <w:color w:val="FF0000"/>
        </w:rPr>
        <w:t xml:space="preserve"> (Eberlein &amp; Thompson, 2013) </w:t>
      </w:r>
      <w:r w:rsidR="009C1E75" w:rsidRPr="00393744">
        <w:rPr>
          <w:color w:val="FF0000"/>
        </w:rPr>
        <w:t xml:space="preserve">was </w:t>
      </w:r>
      <w:r w:rsidR="00AC192F">
        <w:rPr>
          <w:color w:val="FF0000"/>
        </w:rPr>
        <w:t xml:space="preserve">not </w:t>
      </w:r>
      <w:r w:rsidR="009C1E75" w:rsidRPr="00393744">
        <w:rPr>
          <w:color w:val="FF0000"/>
        </w:rPr>
        <w:t xml:space="preserve">justified given </w:t>
      </w:r>
      <w:r w:rsidR="00DD0E8F" w:rsidRPr="00393744">
        <w:rPr>
          <w:color w:val="FF0000"/>
        </w:rPr>
        <w:t xml:space="preserve">the </w:t>
      </w:r>
      <w:r w:rsidR="00DD0E8F">
        <w:rPr>
          <w:color w:val="FF0000"/>
        </w:rPr>
        <w:t xml:space="preserve">uncertainty around other model parameters and </w:t>
      </w:r>
      <w:r w:rsidR="00DD0E8F" w:rsidRPr="00393744">
        <w:rPr>
          <w:color w:val="FF0000"/>
        </w:rPr>
        <w:t xml:space="preserve">the fact that </w:t>
      </w:r>
      <w:r w:rsidR="009C1E75" w:rsidRPr="00393744">
        <w:rPr>
          <w:color w:val="FF0000"/>
        </w:rPr>
        <w:t>other factors such as migration are not included</w:t>
      </w:r>
      <w:r w:rsidR="00C823EB">
        <w:rPr>
          <w:color w:val="FF0000"/>
        </w:rPr>
        <w:t xml:space="preserve">. </w:t>
      </w:r>
      <w:r w:rsidR="009C1E75" w:rsidRPr="00393744">
        <w:rPr>
          <w:color w:val="FF0000"/>
        </w:rPr>
        <w:t xml:space="preserve"> An intermediate approach of using one-year age bands would require a major reparameterization exercise (over 500 parameters) using the RCGP RSC dataset.</w:t>
      </w:r>
      <w:r w:rsidR="00C71DBD" w:rsidRPr="00393744">
        <w:rPr>
          <w:color w:val="FF0000"/>
        </w:rPr>
        <w:t xml:space="preserve"> </w:t>
      </w:r>
      <w:r w:rsidR="003306EE" w:rsidRPr="00393744">
        <w:rPr>
          <w:color w:val="FF0000"/>
        </w:rPr>
        <w:t xml:space="preserve"> </w:t>
      </w:r>
      <w:r w:rsidR="006D6DBE" w:rsidRPr="00393744">
        <w:rPr>
          <w:color w:val="FF0000"/>
        </w:rPr>
        <w:t xml:space="preserve"> </w:t>
      </w:r>
      <w:bookmarkStart w:id="25" w:name="_Hlk183172181"/>
      <w:bookmarkEnd w:id="24"/>
      <w:r w:rsidR="00D45390" w:rsidRPr="00393744">
        <w:rPr>
          <w:color w:val="FF0000"/>
        </w:rPr>
        <w:t>Finally, the assumption that frailty transition rates</w:t>
      </w:r>
      <w:r w:rsidR="004055A8">
        <w:rPr>
          <w:color w:val="FF0000"/>
        </w:rPr>
        <w:t>, service provision</w:t>
      </w:r>
      <w:r w:rsidR="00D45390" w:rsidRPr="00393744">
        <w:rPr>
          <w:color w:val="FF0000"/>
        </w:rPr>
        <w:t xml:space="preserve"> and other model parameters remain constant after 2017 is clearly a limitation</w:t>
      </w:r>
      <w:r w:rsidR="006574DE">
        <w:rPr>
          <w:color w:val="FF0000"/>
        </w:rPr>
        <w:t>;</w:t>
      </w:r>
      <w:r w:rsidR="00D45390" w:rsidRPr="00393744">
        <w:rPr>
          <w:color w:val="FF0000"/>
        </w:rPr>
        <w:t xml:space="preserve"> in particular, it ignores the impact of </w:t>
      </w:r>
      <w:r w:rsidR="00AC192F">
        <w:rPr>
          <w:color w:val="FF0000"/>
        </w:rPr>
        <w:t xml:space="preserve">the </w:t>
      </w:r>
      <w:r w:rsidR="00D45390" w:rsidRPr="00393744">
        <w:rPr>
          <w:color w:val="FF0000"/>
        </w:rPr>
        <w:t>COVID-19</w:t>
      </w:r>
      <w:r w:rsidR="00AC192F">
        <w:rPr>
          <w:color w:val="FF0000"/>
        </w:rPr>
        <w:t xml:space="preserve"> pandemic</w:t>
      </w:r>
      <w:r w:rsidR="006574DE">
        <w:rPr>
          <w:color w:val="FF0000"/>
        </w:rPr>
        <w:t>.  F</w:t>
      </w:r>
      <w:r w:rsidR="00393744" w:rsidRPr="00393744">
        <w:rPr>
          <w:color w:val="FF0000"/>
        </w:rPr>
        <w:t>uture work</w:t>
      </w:r>
      <w:r w:rsidR="00C823EB">
        <w:rPr>
          <w:color w:val="FF0000"/>
        </w:rPr>
        <w:t>, which</w:t>
      </w:r>
      <w:r w:rsidR="00393744" w:rsidRPr="00393744">
        <w:rPr>
          <w:color w:val="FF0000"/>
        </w:rPr>
        <w:t xml:space="preserve"> consider</w:t>
      </w:r>
      <w:r w:rsidR="00C823EB">
        <w:rPr>
          <w:color w:val="FF0000"/>
        </w:rPr>
        <w:t>s</w:t>
      </w:r>
      <w:r w:rsidR="00393744" w:rsidRPr="00393744">
        <w:rPr>
          <w:color w:val="FF0000"/>
        </w:rPr>
        <w:t xml:space="preserve"> workforce issues</w:t>
      </w:r>
      <w:r w:rsidR="00C823EB">
        <w:rPr>
          <w:color w:val="FF0000"/>
        </w:rPr>
        <w:t>,</w:t>
      </w:r>
      <w:r w:rsidR="00393744" w:rsidRPr="00393744">
        <w:rPr>
          <w:color w:val="FF0000"/>
        </w:rPr>
        <w:t xml:space="preserve"> will address this.  </w:t>
      </w:r>
      <w:bookmarkEnd w:id="25"/>
    </w:p>
    <w:p w14:paraId="443A52CB" w14:textId="1642AB03" w:rsidR="00A12F69" w:rsidRDefault="00A12F69" w:rsidP="004E7837">
      <w:pPr>
        <w:pStyle w:val="Heading2"/>
        <w:numPr>
          <w:ilvl w:val="1"/>
          <w:numId w:val="11"/>
        </w:numPr>
      </w:pPr>
      <w:r>
        <w:t>Conclusions</w:t>
      </w:r>
    </w:p>
    <w:p w14:paraId="39ECC66F" w14:textId="481762E9" w:rsidR="005748BE" w:rsidRDefault="005748BE" w:rsidP="00F84EC4">
      <w:pPr>
        <w:ind w:firstLine="720"/>
      </w:pPr>
      <w:r w:rsidRPr="00B45AE3">
        <w:t>Involving stakeholder groups throughout the study has</w:t>
      </w:r>
      <w:r>
        <w:t xml:space="preserve"> ensured that the simulation is informed by</w:t>
      </w:r>
      <w:r w:rsidR="009139C7">
        <w:t>,</w:t>
      </w:r>
      <w:r>
        <w:t xml:space="preserve"> and responds to</w:t>
      </w:r>
      <w:r w:rsidR="009139C7">
        <w:t>,</w:t>
      </w:r>
      <w:r>
        <w:t xml:space="preserve"> the real-world context, whilst at the same time</w:t>
      </w:r>
      <w:r w:rsidRPr="00B45AE3">
        <w:t xml:space="preserve"> allow</w:t>
      </w:r>
      <w:r>
        <w:t>ing</w:t>
      </w:r>
      <w:r w:rsidRPr="00B45AE3">
        <w:t xml:space="preserve"> us to communicate findings arising from the data analysis and model development to patient</w:t>
      </w:r>
      <w:r>
        <w:t>s,</w:t>
      </w:r>
      <w:r w:rsidRPr="00B45AE3">
        <w:t xml:space="preserve"> carers and clinicians.  </w:t>
      </w:r>
      <w:r>
        <w:t>Consultation</w:t>
      </w:r>
      <w:r w:rsidRPr="00B45AE3">
        <w:t xml:space="preserve"> has provided valuable opportunities to gather information and feedback from different groups</w:t>
      </w:r>
      <w:r>
        <w:t xml:space="preserve"> in relation to the simulation structure and aims, data needs and sources and the </w:t>
      </w:r>
      <w:r w:rsidRPr="00B45AE3">
        <w:t>scenarios of interest</w:t>
      </w:r>
      <w:r>
        <w:t xml:space="preserve">. We also obtained valuable feedback on </w:t>
      </w:r>
      <w:r w:rsidRPr="00B45AE3">
        <w:t>how the findings from the study should be communicated to commissioners and those planning services to older people living with frailty.</w:t>
      </w:r>
      <w:r>
        <w:t xml:space="preserve"> </w:t>
      </w:r>
      <w:r w:rsidR="009139C7">
        <w:t>This will inform preparation of guidance which includes simulation scenarios that address different socio-demographic contexts as well as modifications to health services.</w:t>
      </w:r>
      <w:r>
        <w:t xml:space="preserve"> </w:t>
      </w:r>
      <w:r w:rsidR="004D06F5" w:rsidRPr="00B45AE3">
        <w:t xml:space="preserve"> </w:t>
      </w:r>
    </w:p>
    <w:p w14:paraId="363F899B" w14:textId="77777777" w:rsidR="00887AEE" w:rsidRDefault="00887AEE" w:rsidP="001A1923"/>
    <w:p w14:paraId="64FD88B4" w14:textId="6D24B252" w:rsidR="00AA4D8F" w:rsidRPr="00256066" w:rsidRDefault="004D06F5" w:rsidP="00F84EC4">
      <w:pPr>
        <w:ind w:firstLine="720"/>
      </w:pPr>
      <w:r w:rsidRPr="00256066">
        <w:t>C</w:t>
      </w:r>
      <w:r w:rsidR="00887AEE">
        <w:t>OVID</w:t>
      </w:r>
      <w:r w:rsidRPr="00256066">
        <w:t xml:space="preserve">-19 </w:t>
      </w:r>
      <w:r w:rsidR="00503036">
        <w:t xml:space="preserve">had an impact </w:t>
      </w:r>
      <w:r w:rsidRPr="00256066">
        <w:t xml:space="preserve">on the timing and delivery of </w:t>
      </w:r>
      <w:r w:rsidR="009A557A">
        <w:t xml:space="preserve">planned </w:t>
      </w:r>
      <w:r w:rsidR="00A3609E" w:rsidRPr="00256066">
        <w:t xml:space="preserve">stakeholder events. </w:t>
      </w:r>
      <w:r w:rsidR="009A557A">
        <w:t xml:space="preserve">We were, however, able to adapt our approach to </w:t>
      </w:r>
      <w:r w:rsidR="00A3609E" w:rsidRPr="00256066">
        <w:t xml:space="preserve">hold a mix of face-to-face and virtual events with patient and </w:t>
      </w:r>
      <w:r w:rsidR="00A3609E" w:rsidRPr="00256066">
        <w:lastRenderedPageBreak/>
        <w:t>service providers</w:t>
      </w:r>
      <w:r w:rsidR="009A557A">
        <w:t xml:space="preserve"> as restrictions permitted</w:t>
      </w:r>
      <w:r w:rsidR="00A3609E" w:rsidRPr="00256066">
        <w:t xml:space="preserve">, </w:t>
      </w:r>
      <w:r w:rsidR="009A557A">
        <w:t>during which we were able to</w:t>
      </w:r>
      <w:r w:rsidR="00A3609E" w:rsidRPr="00256066">
        <w:t xml:space="preserve"> concentrate on stages 3 (</w:t>
      </w:r>
      <w:r w:rsidR="001A77A8">
        <w:t>S</w:t>
      </w:r>
      <w:r w:rsidR="00A3609E" w:rsidRPr="00256066">
        <w:t xml:space="preserve">pecify the conceptual model) </w:t>
      </w:r>
      <w:r w:rsidR="001A77A8">
        <w:t>to</w:t>
      </w:r>
      <w:r w:rsidR="00A3609E" w:rsidRPr="00256066">
        <w:t xml:space="preserve"> 5 (Experiment with model) </w:t>
      </w:r>
      <w:r w:rsidR="001A77A8">
        <w:t>of</w:t>
      </w:r>
      <w:r w:rsidR="00A3609E" w:rsidRPr="00256066">
        <w:t xml:space="preserve"> the </w:t>
      </w:r>
      <w:proofErr w:type="spellStart"/>
      <w:r w:rsidR="00A3609E" w:rsidRPr="00256066">
        <w:t>PartiSim</w:t>
      </w:r>
      <w:proofErr w:type="spellEnd"/>
      <w:r w:rsidR="00A3609E" w:rsidRPr="00256066">
        <w:t xml:space="preserve"> Framework </w:t>
      </w:r>
      <w:r w:rsidR="001A77A8" w:rsidRPr="00256066">
        <w:fldChar w:fldCharType="begin"/>
      </w:r>
      <w:r w:rsidR="001A77A8" w:rsidRPr="00256066">
        <w:instrText xml:space="preserve"> ADDIN EN.CITE &lt;EndNote&gt;&lt;Cite&gt;&lt;Author&gt;Tako&lt;/Author&gt;&lt;Year&gt;2015&lt;/Year&gt;&lt;RecNum&gt;46&lt;/RecNum&gt;&lt;DisplayText&gt;(Tako &amp;amp; Kotiadis, 2015)&lt;/DisplayText&gt;&lt;record&gt;&lt;rec-number&gt;46&lt;/rec-number&gt;&lt;foreign-keys&gt;&lt;key app="EN" db-id="0sxsezaf7atedqef9vk5drdt9xzpawp0w5rv" timestamp="1684439435"&gt;46&lt;/key&gt;&lt;/foreign-keys&gt;&lt;ref-type name="Journal Article"&gt;17&lt;/ref-type&gt;&lt;contributors&gt;&lt;authors&gt;&lt;author&gt;Tako, Antuela A.&lt;/author&gt;&lt;author&gt;Kotiadis, Kathy&lt;/author&gt;&lt;/authors&gt;&lt;/contributors&gt;&lt;titles&gt;&lt;title&gt;PartiSim: A multi-methodology framework to support facilitated simulation modelling in healthcare&lt;/title&gt;&lt;secondary-title&gt;European Journal of Operational Research&lt;/secondary-title&gt;&lt;/titles&gt;&lt;periodical&gt;&lt;full-title&gt;European Journal of Operational Research&lt;/full-title&gt;&lt;/periodical&gt;&lt;pages&gt;555-564&lt;/pages&gt;&lt;volume&gt;244&lt;/volume&gt;&lt;number&gt;2&lt;/number&gt;&lt;keywords&gt;&lt;keyword&gt;Problem structuring&lt;/keyword&gt;&lt;keyword&gt;Facilitated modelling&lt;/keyword&gt;&lt;keyword&gt;Simulation&lt;/keyword&gt;&lt;keyword&gt;Multi-methodology framework&lt;/keyword&gt;&lt;keyword&gt;Healthcare&lt;/keyword&gt;&lt;/keywords&gt;&lt;dates&gt;&lt;year&gt;2015&lt;/year&gt;&lt;pub-dates&gt;&lt;date&gt;2015/07/16/&lt;/date&gt;&lt;/pub-dates&gt;&lt;/dates&gt;&lt;isbn&gt;0377-2217&lt;/isbn&gt;&lt;urls&gt;&lt;related-urls&gt;&lt;url&gt;https://www.sciencedirect.com/science/article/pii/S0377221715000661&lt;/url&gt;&lt;/related-urls&gt;&lt;/urls&gt;&lt;electronic-resource-num&gt;https://doi.org/10.1016/j.ejor.2015.01.046&lt;/electronic-resource-num&gt;&lt;/record&gt;&lt;/Cite&gt;&lt;/EndNote&gt;</w:instrText>
      </w:r>
      <w:r w:rsidR="001A77A8" w:rsidRPr="00256066">
        <w:fldChar w:fldCharType="separate"/>
      </w:r>
      <w:r w:rsidR="001A77A8" w:rsidRPr="00256066">
        <w:rPr>
          <w:noProof/>
        </w:rPr>
        <w:t>(Tako &amp; Kotiadis, 2015)</w:t>
      </w:r>
      <w:r w:rsidR="001A77A8" w:rsidRPr="00256066">
        <w:fldChar w:fldCharType="end"/>
      </w:r>
      <w:r w:rsidR="001A77A8">
        <w:t xml:space="preserve">  </w:t>
      </w:r>
      <w:r w:rsidR="00A3609E" w:rsidRPr="00256066">
        <w:t>designed to support facilitated simulation modelling in healthcare</w:t>
      </w:r>
      <w:r w:rsidR="00356925" w:rsidRPr="00256066">
        <w:t>.</w:t>
      </w:r>
    </w:p>
    <w:p w14:paraId="317AD438" w14:textId="77777777" w:rsidR="00887AEE" w:rsidRDefault="00887AEE" w:rsidP="001A1923"/>
    <w:p w14:paraId="2E173AF3" w14:textId="5E4A0563" w:rsidR="00983306" w:rsidRPr="00256066" w:rsidRDefault="003A10AE" w:rsidP="00F84EC4">
      <w:pPr>
        <w:ind w:firstLine="720"/>
      </w:pPr>
      <w:r>
        <w:t xml:space="preserve">Having a population level </w:t>
      </w:r>
      <w:r w:rsidR="005748BE">
        <w:t xml:space="preserve">model </w:t>
      </w:r>
      <w:r>
        <w:t xml:space="preserve">based on a large routine healthcare dataset </w:t>
      </w:r>
      <w:r w:rsidR="006574DE" w:rsidRPr="006574DE">
        <w:rPr>
          <w:color w:val="FF0000"/>
        </w:rPr>
        <w:t xml:space="preserve">will </w:t>
      </w:r>
      <w:r w:rsidR="006227FD" w:rsidRPr="006574DE">
        <w:rPr>
          <w:color w:val="FF0000"/>
        </w:rPr>
        <w:t>e</w:t>
      </w:r>
      <w:r w:rsidRPr="006574DE">
        <w:rPr>
          <w:color w:val="FF0000"/>
        </w:rPr>
        <w:t xml:space="preserve">nable </w:t>
      </w:r>
      <w:r>
        <w:t xml:space="preserve">us </w:t>
      </w:r>
      <w:r w:rsidR="00F67171">
        <w:t>to understand</w:t>
      </w:r>
      <w:r w:rsidR="00983306" w:rsidRPr="00256066">
        <w:t xml:space="preserve"> the</w:t>
      </w:r>
      <w:r w:rsidR="00F14B6C" w:rsidRPr="00F67171">
        <w:t xml:space="preserve"> </w:t>
      </w:r>
      <w:r w:rsidR="00F67171">
        <w:t xml:space="preserve">current and future </w:t>
      </w:r>
      <w:r>
        <w:t xml:space="preserve">primary and secondary care </w:t>
      </w:r>
      <w:r w:rsidR="00F67171">
        <w:t xml:space="preserve">needs </w:t>
      </w:r>
      <w:r>
        <w:t xml:space="preserve">and the associated </w:t>
      </w:r>
      <w:r w:rsidR="0084684C">
        <w:t xml:space="preserve">costs </w:t>
      </w:r>
      <w:r w:rsidR="00F14B6C" w:rsidRPr="00F67171">
        <w:t xml:space="preserve">of </w:t>
      </w:r>
      <w:r w:rsidR="00242BA8" w:rsidRPr="00F67171">
        <w:t xml:space="preserve">older people </w:t>
      </w:r>
      <w:r>
        <w:t xml:space="preserve">(aged </w:t>
      </w:r>
      <w:r w:rsidR="001B1F21">
        <w:t>&gt;=</w:t>
      </w:r>
      <w:r>
        <w:t xml:space="preserve">50) </w:t>
      </w:r>
      <w:r w:rsidR="00242BA8" w:rsidRPr="00F67171">
        <w:t>living with frailty</w:t>
      </w:r>
      <w:r w:rsidR="00F67171">
        <w:t>(</w:t>
      </w:r>
      <w:r w:rsidR="00472A52" w:rsidRPr="00472A52">
        <w:fldChar w:fldCharType="begin"/>
      </w:r>
      <w:r w:rsidR="00472A52">
        <w:instrText xml:space="preserve"> ADDIN EN.CITE &lt;EndNote&gt;&lt;Cite&gt;&lt;Author&gt;Fogg&lt;/Author&gt;&lt;Year&gt;2023&lt;/Year&gt;&lt;RecNum&gt;52&lt;/RecNum&gt;&lt;DisplayText&gt;(Fogg et al., 2023)&lt;/DisplayText&gt;&lt;record&gt;&lt;rec-number&gt;52&lt;/rec-number&gt;&lt;foreign-keys&gt;&lt;key app="EN" db-id="0sxsezaf7atedqef9vk5drdt9xzpawp0w5rv" timestamp="1685090055"&gt;52&lt;/key&gt;&lt;/foreign-keys&gt;&lt;ref-type name="Journal Article"&gt;17&lt;/ref-type&gt;&lt;contributors&gt;&lt;authors&gt;&lt;author&gt;Fogg, Carole&lt;/author&gt;&lt;author&gt;Zhu, S.&lt;/author&gt;&lt;author&gt;England, T.&lt;/author&gt;&lt;author&gt;Roderick, P. J.&lt;/author&gt;&lt;author&gt;Fraser, S.&lt;/author&gt;&lt;author&gt;Clegg, A.&lt;/author&gt;&lt;author&gt;Harris, S.&lt;/author&gt;&lt;author&gt;de Lusignan, S.&lt;/author&gt;&lt;author&gt;Brailsford, S. C.&lt;/author&gt;&lt;author&gt;Barkham, A.&lt;/author&gt;&lt;author&gt;Patel, H.&lt;/author&gt;&lt;author&gt;Walsh, B.&lt;/author&gt;&lt;/authors&gt;&lt;/contributors&gt;&lt;titles&gt;&lt;title&gt;Primary and secondary care service use and associated costs associated with frailty in an ageing population: longitudinal analysis of an English primary care cohort , 2006–2017&lt;/title&gt;&lt;/titles&gt;&lt;dates&gt;&lt;year&gt;2023&lt;/year&gt;&lt;/dates&gt;&lt;urls&gt;&lt;/urls&gt;&lt;/record&gt;&lt;/Cite&gt;&lt;/EndNote&gt;</w:instrText>
      </w:r>
      <w:r w:rsidR="00472A52" w:rsidRPr="00472A52">
        <w:fldChar w:fldCharType="separate"/>
      </w:r>
      <w:r w:rsidR="00472A52">
        <w:rPr>
          <w:noProof/>
        </w:rPr>
        <w:t>(Fogg et al., 2023)</w:t>
      </w:r>
      <w:r w:rsidR="00472A52" w:rsidRPr="00472A52">
        <w:fldChar w:fldCharType="end"/>
      </w:r>
      <w:r w:rsidR="00F67171">
        <w:t xml:space="preserve">).  </w:t>
      </w:r>
      <w:r>
        <w:t>Scenario analysis will allow examination of both preventative and management strategies</w:t>
      </w:r>
      <w:r w:rsidR="00F67171">
        <w:t xml:space="preserve"> </w:t>
      </w:r>
      <w:r>
        <w:t xml:space="preserve">to address the potential increase in the number of </w:t>
      </w:r>
      <w:r w:rsidRPr="00782B8B">
        <w:t xml:space="preserve">people living with frailty due to an ageing population. </w:t>
      </w:r>
      <w:r w:rsidR="00FB7ABC" w:rsidRPr="00782B8B">
        <w:t xml:space="preserve">Further scenario analyses could consider the effect of austerity and the COVID-19 pandemic on frailty </w:t>
      </w:r>
      <w:r w:rsidR="00D60303" w:rsidRPr="00782B8B">
        <w:t>incidence and prevalence</w:t>
      </w:r>
      <w:r w:rsidR="00FB7ABC" w:rsidRPr="00782B8B">
        <w:t xml:space="preserve"> in the national population aged 50 and over. </w:t>
      </w:r>
      <w:r w:rsidR="00F67171" w:rsidRPr="00782B8B">
        <w:t>Ongoing</w:t>
      </w:r>
      <w:r w:rsidR="00983306" w:rsidRPr="00782B8B">
        <w:t xml:space="preserve"> research </w:t>
      </w:r>
      <w:r w:rsidR="009139C7" w:rsidRPr="00782B8B">
        <w:t>will build on the simulation presented here to explore</w:t>
      </w:r>
      <w:r w:rsidR="00983306" w:rsidRPr="00782B8B">
        <w:t xml:space="preserve"> </w:t>
      </w:r>
      <w:r w:rsidR="00983306" w:rsidRPr="00256066">
        <w:t xml:space="preserve">the workforce </w:t>
      </w:r>
      <w:r w:rsidR="00F67171">
        <w:t>requirements</w:t>
      </w:r>
      <w:r w:rsidR="00983306" w:rsidRPr="00256066">
        <w:t xml:space="preserve"> in primary</w:t>
      </w:r>
      <w:r w:rsidR="00242BA8" w:rsidRPr="00F67171">
        <w:t>,</w:t>
      </w:r>
      <w:r w:rsidR="00182891" w:rsidRPr="00F67171">
        <w:t xml:space="preserve"> </w:t>
      </w:r>
      <w:r w:rsidR="00983306" w:rsidRPr="00256066">
        <w:t xml:space="preserve">secondary </w:t>
      </w:r>
      <w:r w:rsidR="00242BA8" w:rsidRPr="00F67171">
        <w:t>and</w:t>
      </w:r>
      <w:r w:rsidR="00983306" w:rsidRPr="00256066">
        <w:t xml:space="preserve"> social care to </w:t>
      </w:r>
      <w:r w:rsidR="00242BA8" w:rsidRPr="00F67171">
        <w:t>support</w:t>
      </w:r>
      <w:r w:rsidR="00983306" w:rsidRPr="00256066">
        <w:t xml:space="preserve"> the over 50s population as they become older and frail. </w:t>
      </w:r>
      <w:r w:rsidR="00F14210">
        <w:t>Developing a demand-based workforce model may prove useful in relation to the NHS’ workforce plan for the next 15 years</w:t>
      </w:r>
      <w:r w:rsidR="00A12F69">
        <w:t xml:space="preserve"> </w:t>
      </w:r>
      <w:r w:rsidR="00244F1B">
        <w:fldChar w:fldCharType="begin"/>
      </w:r>
      <w:r w:rsidR="00244F1B">
        <w:instrText xml:space="preserve"> ADDIN EN.CITE &lt;EndNote&gt;&lt;Cite&gt;&lt;Author&gt;National Health Service (NHS)&lt;/Author&gt;&lt;Year&gt;2023&lt;/Year&gt;&lt;RecNum&gt;89&lt;/RecNum&gt;&lt;DisplayText&gt;(National Health Service (NHS), 2023b)&lt;/DisplayText&gt;&lt;record&gt;&lt;rec-number&gt;89&lt;/rec-number&gt;&lt;foreign-keys&gt;&lt;key app="EN" db-id="0sxsezaf7atedqef9vk5drdt9xzpawp0w5rv" timestamp="1689609348"&gt;89&lt;/key&gt;&lt;/foreign-keys&gt;&lt;ref-type name="Report"&gt;27&lt;/ref-type&gt;&lt;contributors&gt;&lt;authors&gt;&lt;author&gt;National Health Service (NHS),&lt;/author&gt;&lt;/authors&gt;&lt;/contributors&gt;&lt;titles&gt;&lt;title&gt;NHS Long Term Workforce Plan&lt;/title&gt;&lt;/titles&gt;&lt;dates&gt;&lt;year&gt;2023&lt;/year&gt;&lt;pub-dates&gt;&lt;date&gt;June 2023&lt;/date&gt;&lt;/pub-dates&gt;&lt;/dates&gt;&lt;urls&gt;&lt;/urls&gt;&lt;/record&gt;&lt;/Cite&gt;&lt;/EndNote&gt;</w:instrText>
      </w:r>
      <w:r w:rsidR="00244F1B">
        <w:fldChar w:fldCharType="separate"/>
      </w:r>
      <w:r w:rsidR="00244F1B">
        <w:rPr>
          <w:noProof/>
        </w:rPr>
        <w:t>(National Health Service (NHS), 2023b)</w:t>
      </w:r>
      <w:r w:rsidR="00244F1B">
        <w:fldChar w:fldCharType="end"/>
      </w:r>
      <w:r w:rsidR="00F14210">
        <w:t>.</w:t>
      </w:r>
      <w:r w:rsidR="006D6DBE" w:rsidRPr="006D6DBE">
        <w:t xml:space="preserve"> </w:t>
      </w:r>
    </w:p>
    <w:p w14:paraId="529707F9" w14:textId="75DAD970" w:rsidR="00A67215" w:rsidRPr="00256066" w:rsidRDefault="00A67215"/>
    <w:p w14:paraId="4A3F8D8B" w14:textId="77777777" w:rsidR="00A642EC" w:rsidRPr="00F84EC4" w:rsidRDefault="00A642EC">
      <w:r w:rsidRPr="00F84EC4">
        <w:br w:type="page"/>
      </w:r>
    </w:p>
    <w:p w14:paraId="4BA4E32B" w14:textId="70641326" w:rsidR="00800908" w:rsidRPr="00F84EC4" w:rsidRDefault="00A67215">
      <w:r w:rsidRPr="00F84EC4">
        <w:lastRenderedPageBreak/>
        <w:t>References</w:t>
      </w:r>
    </w:p>
    <w:p w14:paraId="0B415CEB" w14:textId="41921D4E" w:rsidR="00C55207" w:rsidRPr="00F84EC4" w:rsidRDefault="00800908" w:rsidP="00736599">
      <w:pPr>
        <w:pStyle w:val="EndNoteBibliography"/>
        <w:spacing w:after="240"/>
        <w:rPr>
          <w:lang w:val="fr-FR"/>
        </w:rPr>
      </w:pPr>
      <w:r w:rsidRPr="00256066">
        <w:fldChar w:fldCharType="begin"/>
      </w:r>
      <w:r w:rsidRPr="00F84EC4">
        <w:instrText xml:space="preserve"> ADDIN EN.REFLIST </w:instrText>
      </w:r>
      <w:r w:rsidRPr="00256066">
        <w:fldChar w:fldCharType="separate"/>
      </w:r>
      <w:r w:rsidR="00C55207" w:rsidRPr="00C55207">
        <w:t xml:space="preserve">Abel, G. A., Barclay, M. E., &amp; Payne, R. A. (2016). Adjusted indices of multiple deprivation to enable comparisons within and between constituent countries of the UK including an illustration using mortality rates. </w:t>
      </w:r>
      <w:r w:rsidR="00C55207" w:rsidRPr="00F84EC4">
        <w:rPr>
          <w:i/>
          <w:lang w:val="fr-FR"/>
        </w:rPr>
        <w:t>BMJ Open</w:t>
      </w:r>
      <w:r w:rsidR="00C55207" w:rsidRPr="00F84EC4">
        <w:rPr>
          <w:lang w:val="fr-FR"/>
        </w:rPr>
        <w:t>,</w:t>
      </w:r>
      <w:r w:rsidR="00C55207" w:rsidRPr="00F84EC4">
        <w:rPr>
          <w:i/>
          <w:lang w:val="fr-FR"/>
        </w:rPr>
        <w:t xml:space="preserve"> 6</w:t>
      </w:r>
      <w:r w:rsidR="00C55207" w:rsidRPr="00F84EC4">
        <w:rPr>
          <w:lang w:val="fr-FR"/>
        </w:rPr>
        <w:t xml:space="preserve">. </w:t>
      </w:r>
      <w:hyperlink r:id="rId14" w:history="1">
        <w:r w:rsidR="00C55207" w:rsidRPr="00F84EC4">
          <w:rPr>
            <w:rStyle w:val="Hyperlink"/>
            <w:lang w:val="fr-FR"/>
          </w:rPr>
          <w:t>https://doi.org/doi:10.1136/bmjopen-2016-012750</w:t>
        </w:r>
      </w:hyperlink>
      <w:r w:rsidR="00C55207" w:rsidRPr="00F84EC4">
        <w:rPr>
          <w:lang w:val="fr-FR"/>
        </w:rPr>
        <w:t xml:space="preserve"> </w:t>
      </w:r>
    </w:p>
    <w:p w14:paraId="72EE51B6" w14:textId="3703066B" w:rsidR="00C55207" w:rsidRPr="00C55207" w:rsidRDefault="00C55207" w:rsidP="00736599">
      <w:pPr>
        <w:pStyle w:val="EndNoteBibliography"/>
        <w:spacing w:after="240"/>
      </w:pPr>
      <w:r w:rsidRPr="00F84EC4">
        <w:rPr>
          <w:lang w:val="fr-FR"/>
        </w:rPr>
        <w:t xml:space="preserve">Aguayo, G. A., Donneau, A. F., Vaillant, M. T., Schritz, A., Franco, O. H., Stranges, S., Malisoux, L., Guillaume, M., &amp; Witte, D. R. (2017). </w:t>
      </w:r>
      <w:r w:rsidRPr="00C55207">
        <w:t xml:space="preserve">Agreement Between 35 Published Frailty Scores in the General Population. </w:t>
      </w:r>
      <w:r w:rsidRPr="00C55207">
        <w:rPr>
          <w:i/>
        </w:rPr>
        <w:t>Am J Epidemiol</w:t>
      </w:r>
      <w:r w:rsidRPr="00C55207">
        <w:t>,</w:t>
      </w:r>
      <w:r w:rsidRPr="00C55207">
        <w:rPr>
          <w:i/>
        </w:rPr>
        <w:t xml:space="preserve"> 186</w:t>
      </w:r>
      <w:r w:rsidRPr="00C55207">
        <w:t xml:space="preserve">(4), 420-434. </w:t>
      </w:r>
      <w:hyperlink r:id="rId15" w:history="1">
        <w:r w:rsidRPr="00C55207">
          <w:rPr>
            <w:rStyle w:val="Hyperlink"/>
          </w:rPr>
          <w:t>https://doi.org/10.1093/aje/kwx061</w:t>
        </w:r>
      </w:hyperlink>
      <w:r w:rsidRPr="00C55207">
        <w:t xml:space="preserve"> </w:t>
      </w:r>
    </w:p>
    <w:p w14:paraId="20720233" w14:textId="5F90F4C9" w:rsidR="00955456" w:rsidRDefault="00955456" w:rsidP="00736599">
      <w:pPr>
        <w:pStyle w:val="EndNoteBibliography"/>
        <w:spacing w:after="240"/>
      </w:pPr>
      <w:r w:rsidRPr="00F84EC4">
        <w:rPr>
          <w:lang w:val="nl-NL"/>
        </w:rPr>
        <w:t xml:space="preserve">Age UK, www.ageuk.org.uk/our-impact/policy-research/frailty-in-older-people/.  </w:t>
      </w:r>
      <w:r>
        <w:t>Accessed 30/01/2024.</w:t>
      </w:r>
    </w:p>
    <w:p w14:paraId="1ABAF24C" w14:textId="6E88C392" w:rsidR="00C55207" w:rsidRDefault="00C55207" w:rsidP="00736599">
      <w:pPr>
        <w:pStyle w:val="EndNoteBibliography"/>
        <w:spacing w:after="240"/>
      </w:pPr>
      <w:r w:rsidRPr="00C55207">
        <w:t xml:space="preserve">British Geriatrics Society and the Royal College of General Practitioners. (2015). Fit for Frailty Part 2: Developing, commissioning and managing services for people living with frailty in community settings </w:t>
      </w:r>
    </w:p>
    <w:p w14:paraId="6281CC9D" w14:textId="1A30D70F" w:rsidR="00724359" w:rsidRPr="00C55207" w:rsidRDefault="00724359" w:rsidP="00736599">
      <w:pPr>
        <w:pStyle w:val="EndNoteBibliography"/>
        <w:spacing w:after="240"/>
      </w:pPr>
      <w:bookmarkStart w:id="26" w:name="_Hlk184731176"/>
      <w:r>
        <w:t xml:space="preserve">Cassidy R, Singh NS, Schiratti P-R, Semwanga A, Binyaruka P, Sachingongu N, </w:t>
      </w:r>
      <w:r w:rsidRPr="00724359">
        <w:t>Chama-Chiliba</w:t>
      </w:r>
      <w:r>
        <w:t xml:space="preserve"> CM</w:t>
      </w:r>
      <w:r w:rsidRPr="00724359">
        <w:t>, Chalabi</w:t>
      </w:r>
      <w:r>
        <w:t xml:space="preserve"> Z</w:t>
      </w:r>
      <w:r w:rsidRPr="00724359">
        <w:t>, Borghi</w:t>
      </w:r>
      <w:r>
        <w:t xml:space="preserve"> J</w:t>
      </w:r>
      <w:r w:rsidRPr="00724359">
        <w:t xml:space="preserve"> and Blanchet</w:t>
      </w:r>
      <w:r>
        <w:t xml:space="preserve"> K. (2019). Mathematical modelling for health systems research: a systematic review of system dynamics and agent based models. BMC Health Serv Research 19:845. </w:t>
      </w:r>
      <w:r w:rsidRPr="00724359">
        <w:t>https://doi.org/10.1186/s12913-019-4627-7</w:t>
      </w:r>
    </w:p>
    <w:bookmarkEnd w:id="26"/>
    <w:p w14:paraId="3FF9619F" w14:textId="6E6B10B5" w:rsidR="00C55207" w:rsidRPr="00C55207" w:rsidRDefault="00C55207" w:rsidP="00736599">
      <w:pPr>
        <w:pStyle w:val="EndNoteBibliography"/>
        <w:spacing w:after="240"/>
      </w:pPr>
      <w:r w:rsidRPr="00F84EC4">
        <w:rPr>
          <w:lang w:val="de-DE"/>
        </w:rPr>
        <w:t xml:space="preserve">Cepoiu-Martin, M., &amp; Bischak, D. P. (2018). </w:t>
      </w:r>
      <w:r w:rsidRPr="00C55207">
        <w:t xml:space="preserve">Policy choices in dementia care—An exploratory analysis of the Alberta continuing care system (ACCS) using system dynamics. </w:t>
      </w:r>
      <w:r w:rsidRPr="00C55207">
        <w:rPr>
          <w:i/>
        </w:rPr>
        <w:t>Journal of Evaluation in Clinical Practice</w:t>
      </w:r>
      <w:r w:rsidRPr="00C55207">
        <w:t>,</w:t>
      </w:r>
      <w:r w:rsidRPr="00C55207">
        <w:rPr>
          <w:i/>
        </w:rPr>
        <w:t xml:space="preserve"> 24</w:t>
      </w:r>
      <w:r w:rsidRPr="00C55207">
        <w:t xml:space="preserve">(1), 278-284. </w:t>
      </w:r>
      <w:hyperlink r:id="rId16" w:history="1">
        <w:r w:rsidRPr="00C55207">
          <w:rPr>
            <w:rStyle w:val="Hyperlink"/>
          </w:rPr>
          <w:t>https://doi.org/https://doi.org/10.1111/jep.12790</w:t>
        </w:r>
      </w:hyperlink>
      <w:r w:rsidRPr="00C55207">
        <w:t xml:space="preserve"> </w:t>
      </w:r>
    </w:p>
    <w:p w14:paraId="4E2C3B16" w14:textId="08A2D1D6" w:rsidR="00C55207" w:rsidRPr="00C55207" w:rsidRDefault="00C55207" w:rsidP="00736599">
      <w:pPr>
        <w:pStyle w:val="EndNoteBibliography"/>
        <w:spacing w:after="240"/>
      </w:pPr>
      <w:r w:rsidRPr="00C55207">
        <w:t xml:space="preserve">Clegg, A., Bates, C., Young, J., Ryan, R., Nichols, L., Ann Teale, E., Mohammed, M. A., Parry, J., &amp; Marshall, T. (2016). Development and validation of an electronic frailty index using routine primary care electronic health record data. </w:t>
      </w:r>
      <w:r w:rsidRPr="00C55207">
        <w:rPr>
          <w:i/>
        </w:rPr>
        <w:t>Age and Ageing</w:t>
      </w:r>
      <w:r w:rsidRPr="00C55207">
        <w:t>,</w:t>
      </w:r>
      <w:r w:rsidRPr="00C55207">
        <w:rPr>
          <w:i/>
        </w:rPr>
        <w:t xml:space="preserve"> 45</w:t>
      </w:r>
      <w:r w:rsidRPr="00C55207">
        <w:t xml:space="preserve">(3), 353-360. </w:t>
      </w:r>
      <w:hyperlink r:id="rId17" w:history="1">
        <w:r w:rsidRPr="00C55207">
          <w:rPr>
            <w:rStyle w:val="Hyperlink"/>
          </w:rPr>
          <w:t>https://doi.org/10.1093/ageing/afw039</w:t>
        </w:r>
      </w:hyperlink>
      <w:r w:rsidRPr="00C55207">
        <w:t xml:space="preserve"> </w:t>
      </w:r>
    </w:p>
    <w:p w14:paraId="72D17A8D" w14:textId="6D543AD4" w:rsidR="00C55207" w:rsidRPr="00C55207" w:rsidRDefault="00C55207" w:rsidP="00736599">
      <w:pPr>
        <w:pStyle w:val="EndNoteBibliography"/>
        <w:spacing w:after="240"/>
      </w:pPr>
      <w:r w:rsidRPr="00C55207">
        <w:t xml:space="preserve">Clegg, A., Young, J., Iliffe, S., Rikkert, M. O., &amp; Rockwood, K. (2013). Frailty in elderly people. </w:t>
      </w:r>
      <w:r w:rsidRPr="00C55207">
        <w:rPr>
          <w:i/>
        </w:rPr>
        <w:t>The Lancet</w:t>
      </w:r>
      <w:r w:rsidRPr="00C55207">
        <w:t>,</w:t>
      </w:r>
      <w:r w:rsidRPr="00C55207">
        <w:rPr>
          <w:i/>
        </w:rPr>
        <w:t xml:space="preserve"> 381</w:t>
      </w:r>
      <w:r w:rsidRPr="00C55207">
        <w:t xml:space="preserve">(9868), 752-762. </w:t>
      </w:r>
      <w:hyperlink r:id="rId18" w:history="1">
        <w:r w:rsidRPr="00C55207">
          <w:rPr>
            <w:rStyle w:val="Hyperlink"/>
          </w:rPr>
          <w:t>https://doi.org/https://doi.org/10.1016/S0140-6736(12)62167-9</w:t>
        </w:r>
      </w:hyperlink>
      <w:r w:rsidRPr="00C55207">
        <w:t xml:space="preserve"> </w:t>
      </w:r>
    </w:p>
    <w:p w14:paraId="4416D895" w14:textId="6AA1706D" w:rsidR="00C55207" w:rsidRPr="00C55207" w:rsidRDefault="00C55207" w:rsidP="00736599">
      <w:pPr>
        <w:pStyle w:val="EndNoteBibliography"/>
        <w:spacing w:after="240"/>
      </w:pPr>
      <w:r w:rsidRPr="00C55207">
        <w:t xml:space="preserve">Correa, A., Hinton, W., McGovern, A., Vlymen, J. v., Yonova, I., Jones, S., &amp; de Lusignan, S. (2016). Royal College of General Practitioners Research and Surveillance Centre (RCGP RSC) sentinel network: a cohort profile. </w:t>
      </w:r>
      <w:r w:rsidRPr="00C55207">
        <w:rPr>
          <w:i/>
        </w:rPr>
        <w:t>BMJ Open</w:t>
      </w:r>
      <w:r w:rsidRPr="00C55207">
        <w:t>,</w:t>
      </w:r>
      <w:r w:rsidRPr="00C55207">
        <w:rPr>
          <w:i/>
        </w:rPr>
        <w:t xml:space="preserve"> 6</w:t>
      </w:r>
      <w:r w:rsidRPr="00C55207">
        <w:t xml:space="preserve">(4), e011092. </w:t>
      </w:r>
      <w:hyperlink r:id="rId19" w:history="1">
        <w:r w:rsidRPr="00C55207">
          <w:rPr>
            <w:rStyle w:val="Hyperlink"/>
          </w:rPr>
          <w:t>https://doi.org/10.1136/bmjopen-2016-011092</w:t>
        </w:r>
      </w:hyperlink>
      <w:r w:rsidRPr="00C55207">
        <w:t xml:space="preserve"> </w:t>
      </w:r>
    </w:p>
    <w:p w14:paraId="2BB5A544" w14:textId="77777777" w:rsidR="00C55207" w:rsidRPr="00C55207" w:rsidRDefault="00C55207" w:rsidP="00736599">
      <w:pPr>
        <w:pStyle w:val="EndNoteBibliography"/>
        <w:spacing w:after="240"/>
      </w:pPr>
      <w:r w:rsidRPr="00C55207">
        <w:t xml:space="preserve">Darabi, N., &amp; Hosseinichimeh, N. (2020). System dynamics modeling in health and medicine: a systematic literature review. </w:t>
      </w:r>
      <w:r w:rsidRPr="00C55207">
        <w:rPr>
          <w:i/>
        </w:rPr>
        <w:t>System Dynamics Review</w:t>
      </w:r>
      <w:r w:rsidRPr="00C55207">
        <w:t>,</w:t>
      </w:r>
      <w:r w:rsidRPr="00C55207">
        <w:rPr>
          <w:i/>
        </w:rPr>
        <w:t xml:space="preserve"> 36</w:t>
      </w:r>
      <w:r w:rsidRPr="00C55207">
        <w:t xml:space="preserve">, 29-73.  </w:t>
      </w:r>
    </w:p>
    <w:p w14:paraId="0AC261B9" w14:textId="0AA8AC2B" w:rsidR="00C55207" w:rsidRPr="00C55207" w:rsidRDefault="00C55207" w:rsidP="00736599">
      <w:pPr>
        <w:pStyle w:val="EndNoteBibliography"/>
        <w:spacing w:after="240"/>
      </w:pPr>
      <w:r w:rsidRPr="00C55207">
        <w:t xml:space="preserve">Databank, S. (2021). </w:t>
      </w:r>
      <w:r w:rsidRPr="00C55207">
        <w:rPr>
          <w:i/>
        </w:rPr>
        <w:t>SAIL Databank</w:t>
      </w:r>
      <w:r w:rsidRPr="00C55207">
        <w:t xml:space="preserve">. Retrieved 23/8/2022 from </w:t>
      </w:r>
      <w:hyperlink r:id="rId20" w:history="1">
        <w:r w:rsidRPr="00C55207">
          <w:rPr>
            <w:rStyle w:val="Hyperlink"/>
          </w:rPr>
          <w:t>https://saildatabank.com/</w:t>
        </w:r>
      </w:hyperlink>
    </w:p>
    <w:p w14:paraId="5BC620B2" w14:textId="66933E25" w:rsidR="00C55207" w:rsidRPr="00C55207" w:rsidRDefault="00C55207" w:rsidP="00736599">
      <w:pPr>
        <w:pStyle w:val="EndNoteBibliography"/>
        <w:spacing w:after="240"/>
      </w:pPr>
      <w:r w:rsidRPr="00C55207">
        <w:t xml:space="preserve">Davahli, M. R., Karwowski, W., &amp; Taiar, R. (2020). A System Dynamics Simulation Applied to Healthcare: A Systematic Review. </w:t>
      </w:r>
      <w:r w:rsidRPr="00C55207">
        <w:rPr>
          <w:i/>
        </w:rPr>
        <w:t>Int J Environ Res Public Health</w:t>
      </w:r>
      <w:r w:rsidRPr="00C55207">
        <w:t>,</w:t>
      </w:r>
      <w:r w:rsidRPr="00C55207">
        <w:rPr>
          <w:i/>
        </w:rPr>
        <w:t xml:space="preserve"> 17</w:t>
      </w:r>
      <w:r w:rsidRPr="00C55207">
        <w:t xml:space="preserve">(16). </w:t>
      </w:r>
      <w:hyperlink r:id="rId21" w:history="1">
        <w:r w:rsidRPr="00C55207">
          <w:rPr>
            <w:rStyle w:val="Hyperlink"/>
          </w:rPr>
          <w:t>https://doi.org/10.3390/ijerph17165741</w:t>
        </w:r>
      </w:hyperlink>
      <w:r w:rsidRPr="00C55207">
        <w:t xml:space="preserve"> </w:t>
      </w:r>
    </w:p>
    <w:p w14:paraId="53BF09BA" w14:textId="6247F8BA" w:rsidR="007E129F" w:rsidRDefault="007E129F" w:rsidP="00736599">
      <w:pPr>
        <w:pStyle w:val="EndNoteBibliography"/>
        <w:spacing w:after="240"/>
      </w:pPr>
      <w:r>
        <w:t>Eberlein RL &amp; Thompson JP (2013). Precise modelling of aging populations. System Dynamics Review, 29(2), 87-101. https://doi.org/10.1002/sdr.1497</w:t>
      </w:r>
    </w:p>
    <w:p w14:paraId="19947039" w14:textId="01953280" w:rsidR="00C55207" w:rsidRPr="00C55207" w:rsidRDefault="00C55207" w:rsidP="00736599">
      <w:pPr>
        <w:pStyle w:val="EndNoteBibliography"/>
        <w:spacing w:after="240"/>
      </w:pPr>
      <w:r w:rsidRPr="00C55207">
        <w:t xml:space="preserve">Evenden, D. C., Brailsford, S. C., Kipps, C. M., Roderick, P. J., &amp; Walsh, B. (2021). Hybrid simulation modelling for dementia care services planning. </w:t>
      </w:r>
      <w:r w:rsidRPr="00C55207">
        <w:rPr>
          <w:i/>
        </w:rPr>
        <w:t>Journal of the Operational Research Society</w:t>
      </w:r>
      <w:r w:rsidRPr="00C55207">
        <w:t>,</w:t>
      </w:r>
      <w:r w:rsidRPr="00C55207">
        <w:rPr>
          <w:i/>
        </w:rPr>
        <w:t xml:space="preserve"> 72</w:t>
      </w:r>
      <w:r w:rsidRPr="00C55207">
        <w:t xml:space="preserve">(9), 2147-2159. </w:t>
      </w:r>
      <w:hyperlink r:id="rId22" w:history="1">
        <w:r w:rsidRPr="00C55207">
          <w:rPr>
            <w:rStyle w:val="Hyperlink"/>
          </w:rPr>
          <w:t>https://doi.org/10.1080/01605682.2020.1772020</w:t>
        </w:r>
      </w:hyperlink>
      <w:r w:rsidRPr="00C55207">
        <w:t xml:space="preserve"> </w:t>
      </w:r>
    </w:p>
    <w:p w14:paraId="57AB16AE" w14:textId="6BC291E7" w:rsidR="00C55207" w:rsidRPr="00C55207" w:rsidRDefault="00C55207">
      <w:pPr>
        <w:pStyle w:val="EndNoteBibliography"/>
      </w:pPr>
      <w:r w:rsidRPr="00C55207">
        <w:lastRenderedPageBreak/>
        <w:t xml:space="preserve">Farrell, S., Stubbings, G., Rockwood, K., Mitnitski, A., &amp; Rutenberg, A. (2021). The potential for complex computational models of aging. </w:t>
      </w:r>
      <w:r w:rsidRPr="00C55207">
        <w:rPr>
          <w:i/>
        </w:rPr>
        <w:t>Mechanisms of Ageing and Development</w:t>
      </w:r>
      <w:r w:rsidRPr="00C55207">
        <w:t>,</w:t>
      </w:r>
      <w:r w:rsidRPr="00C55207">
        <w:rPr>
          <w:i/>
        </w:rPr>
        <w:t xml:space="preserve"> 193</w:t>
      </w:r>
      <w:r w:rsidRPr="00C55207">
        <w:t xml:space="preserve">, 111403. </w:t>
      </w:r>
      <w:hyperlink r:id="rId23" w:history="1">
        <w:r w:rsidRPr="00C55207">
          <w:rPr>
            <w:rStyle w:val="Hyperlink"/>
          </w:rPr>
          <w:t>https://doi.org/https://doi.org/10.1016/j.mad.2020.111403</w:t>
        </w:r>
      </w:hyperlink>
      <w:r w:rsidRPr="00C55207">
        <w:t xml:space="preserve"> </w:t>
      </w:r>
    </w:p>
    <w:p w14:paraId="6B59A508" w14:textId="3C355884" w:rsidR="00C55207" w:rsidRPr="00C55207" w:rsidRDefault="00C55207" w:rsidP="00736599">
      <w:pPr>
        <w:pStyle w:val="EndNoteBibliography"/>
        <w:spacing w:after="240"/>
      </w:pPr>
      <w:r w:rsidRPr="00C55207">
        <w:t xml:space="preserve">Fogg, C., Fraser, S. D. S., Roderick, P., de Lusignan, S., Clegg, A., Brailsford, S., Barkham, A., Patel, H. P., Windle, V., Harris, S., Zhu, S., England, T., Evenden, D., Lambert, F., Walsh, B., &amp; The Frailty Dynamics study, t. (2022). The dynamics of frailty development and progression in older adults in primary care in England (2006–2017): a retrospective cohort profile. </w:t>
      </w:r>
      <w:r w:rsidRPr="00C55207">
        <w:rPr>
          <w:i/>
        </w:rPr>
        <w:t>BMC Geriatrics</w:t>
      </w:r>
      <w:r w:rsidRPr="00C55207">
        <w:t>,</w:t>
      </w:r>
      <w:r w:rsidRPr="00C55207">
        <w:rPr>
          <w:i/>
        </w:rPr>
        <w:t xml:space="preserve"> 22</w:t>
      </w:r>
      <w:r w:rsidRPr="00C55207">
        <w:t xml:space="preserve">(1), 30. </w:t>
      </w:r>
      <w:hyperlink r:id="rId24" w:history="1">
        <w:r w:rsidRPr="00C55207">
          <w:rPr>
            <w:rStyle w:val="Hyperlink"/>
          </w:rPr>
          <w:t>https://doi.org/10.1186/s12877-021-02684-y</w:t>
        </w:r>
      </w:hyperlink>
      <w:r w:rsidRPr="00C55207">
        <w:t xml:space="preserve"> </w:t>
      </w:r>
    </w:p>
    <w:p w14:paraId="4403C244" w14:textId="77777777" w:rsidR="00C55207" w:rsidRPr="00C55207" w:rsidRDefault="00C55207" w:rsidP="00736599">
      <w:pPr>
        <w:pStyle w:val="EndNoteBibliography"/>
        <w:spacing w:after="240"/>
      </w:pPr>
      <w:r w:rsidRPr="00C55207">
        <w:t xml:space="preserve">Fogg, C., Zhu, S., England, T., Roderick, P. J., Fraser, S., Clegg, A., Harris, S., de Lusignan, S., Brailsford, S. C., Barkham, A., Patel, H., &amp; Walsh, B. (2023). Primary and secondary care service use and associated costs associated with frailty in an ageing population: longitudinal analysis of an English primary care cohort , 2006–2017.  </w:t>
      </w:r>
    </w:p>
    <w:p w14:paraId="034D315C" w14:textId="0C1C5A6E" w:rsidR="00C55207" w:rsidRPr="00C55207" w:rsidRDefault="00C55207" w:rsidP="00736599">
      <w:pPr>
        <w:pStyle w:val="EndNoteBibliography"/>
        <w:spacing w:after="240"/>
      </w:pPr>
      <w:r w:rsidRPr="00C55207">
        <w:t xml:space="preserve">Ford, D. V., Jones, K. H., Verplancke, J.-P., Lyons, R. A., John, G., Brown, G., Brooks, C. J., Thompson, S., Bodger, O., Couch, T., &amp; Leake, K. (2009). The SAIL Databank: building a national architecture for e-health research and evaluation. </w:t>
      </w:r>
      <w:r w:rsidRPr="00C55207">
        <w:rPr>
          <w:i/>
        </w:rPr>
        <w:t>BMC Health Services Research</w:t>
      </w:r>
      <w:r w:rsidRPr="00C55207">
        <w:t>,</w:t>
      </w:r>
      <w:r w:rsidRPr="00C55207">
        <w:rPr>
          <w:i/>
        </w:rPr>
        <w:t xml:space="preserve"> 9</w:t>
      </w:r>
      <w:r w:rsidRPr="00C55207">
        <w:t xml:space="preserve">(1), 157. </w:t>
      </w:r>
      <w:hyperlink r:id="rId25" w:history="1">
        <w:r w:rsidRPr="00C55207">
          <w:rPr>
            <w:rStyle w:val="Hyperlink"/>
          </w:rPr>
          <w:t>https://doi.org/10.1186/1472-6963-9-157</w:t>
        </w:r>
      </w:hyperlink>
      <w:r w:rsidRPr="00C55207">
        <w:t xml:space="preserve"> </w:t>
      </w:r>
    </w:p>
    <w:p w14:paraId="1ADD2025" w14:textId="35551DD3" w:rsidR="00C55207" w:rsidRPr="00C55207" w:rsidRDefault="00C55207" w:rsidP="00736599">
      <w:pPr>
        <w:pStyle w:val="EndNoteBibliography"/>
        <w:spacing w:after="240"/>
      </w:pPr>
      <w:r w:rsidRPr="00C55207">
        <w:t xml:space="preserve">Fried, L. P., Tangen, C. M., Walston, J., Newman, A. B., Hirsch, C., Gottdiener, J., Seeman, T., Tracy, R., Kop, W. J., Burke, G., &amp; McBurnie, M. A. (2001). Frailty in older adults: evidence for a phenotype. </w:t>
      </w:r>
      <w:r w:rsidRPr="00C55207">
        <w:rPr>
          <w:i/>
        </w:rPr>
        <w:t>J Gerontol A Biol Sci Med Sci</w:t>
      </w:r>
      <w:r w:rsidRPr="00C55207">
        <w:t>,</w:t>
      </w:r>
      <w:r w:rsidRPr="00C55207">
        <w:rPr>
          <w:i/>
        </w:rPr>
        <w:t xml:space="preserve"> 56</w:t>
      </w:r>
      <w:r w:rsidRPr="00C55207">
        <w:t xml:space="preserve">(3), M146-156. </w:t>
      </w:r>
      <w:hyperlink r:id="rId26" w:history="1">
        <w:r w:rsidRPr="00C55207">
          <w:rPr>
            <w:rStyle w:val="Hyperlink"/>
          </w:rPr>
          <w:t>https://doi.org/10.1093/gerona/56.3.m146</w:t>
        </w:r>
      </w:hyperlink>
      <w:r w:rsidRPr="00C55207">
        <w:t xml:space="preserve"> </w:t>
      </w:r>
    </w:p>
    <w:p w14:paraId="4CB16BF0" w14:textId="38B38AE4" w:rsidR="00C55207" w:rsidRPr="00C55207" w:rsidRDefault="00C55207" w:rsidP="00736599">
      <w:pPr>
        <w:pStyle w:val="EndNoteBibliography"/>
        <w:spacing w:after="240"/>
      </w:pPr>
      <w:r w:rsidRPr="00F84EC4">
        <w:rPr>
          <w:lang w:val="nl-NL"/>
        </w:rPr>
        <w:t xml:space="preserve">Ge, L., Yap, C. W., Heng, B. H., &amp; Tan, W. S. (2020). </w:t>
      </w:r>
      <w:r w:rsidRPr="00C55207">
        <w:t xml:space="preserve">Frailty and healthcare utilisation across care settings among community-dwelling older adults in Singapore. </w:t>
      </w:r>
      <w:r w:rsidRPr="00C55207">
        <w:rPr>
          <w:i/>
        </w:rPr>
        <w:t>BMC Geriatrics</w:t>
      </w:r>
      <w:r w:rsidRPr="00C55207">
        <w:t>,</w:t>
      </w:r>
      <w:r w:rsidRPr="00C55207">
        <w:rPr>
          <w:i/>
        </w:rPr>
        <w:t xml:space="preserve"> 20</w:t>
      </w:r>
      <w:r w:rsidRPr="00C55207">
        <w:t xml:space="preserve">(1), 389. </w:t>
      </w:r>
      <w:hyperlink r:id="rId27" w:history="1">
        <w:r w:rsidRPr="00C55207">
          <w:rPr>
            <w:rStyle w:val="Hyperlink"/>
          </w:rPr>
          <w:t>https://doi.org/10.1186/s12877-020-01800-8</w:t>
        </w:r>
      </w:hyperlink>
      <w:r w:rsidRPr="00C55207">
        <w:t xml:space="preserve"> </w:t>
      </w:r>
    </w:p>
    <w:p w14:paraId="09572D6D" w14:textId="027CF333" w:rsidR="00CB6A74" w:rsidRDefault="00CB6A74" w:rsidP="00736599">
      <w:pPr>
        <w:pStyle w:val="EndNoteBibliography"/>
        <w:spacing w:after="240"/>
      </w:pPr>
      <w:r>
        <w:t>Graham E, Gariepy G &amp; Orpana H. (2023). System dynamics models of depression at the population level: a scoping review. Health Research POlicy and Systems, 21:50. https://doi.org/10.1186/s12961-023-00995-7</w:t>
      </w:r>
    </w:p>
    <w:p w14:paraId="0E79C812" w14:textId="3DF55F56" w:rsidR="00C55207" w:rsidRPr="00C55207" w:rsidRDefault="00C55207" w:rsidP="00736599">
      <w:pPr>
        <w:pStyle w:val="EndNoteBibliography"/>
        <w:spacing w:after="240"/>
      </w:pPr>
      <w:r w:rsidRPr="00C55207">
        <w:t xml:space="preserve">Health Improvement Scotland. (2023). </w:t>
      </w:r>
      <w:r w:rsidRPr="00C55207">
        <w:rPr>
          <w:i/>
        </w:rPr>
        <w:t>Electronic Frailty INdex</w:t>
      </w:r>
      <w:r w:rsidRPr="00C55207">
        <w:t xml:space="preserve">. Retrieved 2nd August 2023 from </w:t>
      </w:r>
      <w:hyperlink r:id="rId28" w:history="1">
        <w:r w:rsidRPr="00C55207">
          <w:rPr>
            <w:rStyle w:val="Hyperlink"/>
          </w:rPr>
          <w:t>https://ihub.scot/improvement-programmes/community-care/electronic-frailty-index-efi/</w:t>
        </w:r>
      </w:hyperlink>
    </w:p>
    <w:p w14:paraId="4093DEFA" w14:textId="5B28344D" w:rsidR="00D231A4" w:rsidRDefault="00D231A4" w:rsidP="00D231A4">
      <w:pPr>
        <w:pStyle w:val="EndNoteBibliography"/>
        <w:spacing w:after="240"/>
      </w:pPr>
      <w:r>
        <w:t>Hirsch G, Homer J. Modeling the dynamics of health care services for improved chronic illness management. In: Kennedy M, Winch GW, Langer RS, Rowe JI, Yanni JM, eds. 22nd International System Dynamics Conference. Oxford, England: System Dynamics Society; 2004.</w:t>
      </w:r>
    </w:p>
    <w:p w14:paraId="526564CF" w14:textId="16F498BA" w:rsidR="00504A44" w:rsidRDefault="00504A44" w:rsidP="00736599">
      <w:pPr>
        <w:pStyle w:val="EndNoteBibliography"/>
        <w:spacing w:after="240"/>
      </w:pPr>
      <w:bookmarkStart w:id="27" w:name="_Hlk184731114"/>
      <w:r>
        <w:t>Homer JB, Hirsch GB. (2006). System dynamics modelling for public health: Background and opportunities. Am J Public Health. 96(3), 452-458.</w:t>
      </w:r>
    </w:p>
    <w:bookmarkEnd w:id="27"/>
    <w:p w14:paraId="38DE4C4E" w14:textId="52F3147A" w:rsidR="00C55207" w:rsidRPr="00F84EC4" w:rsidRDefault="00C55207" w:rsidP="00736599">
      <w:pPr>
        <w:pStyle w:val="EndNoteBibliography"/>
        <w:spacing w:after="240"/>
        <w:rPr>
          <w:lang w:val="de-DE"/>
        </w:rPr>
      </w:pPr>
      <w:r w:rsidRPr="00C55207">
        <w:t xml:space="preserve">Howlett, S. E., Rutenberg, A. D., &amp; Rockwood, K. (2021). The degree of frailty as a translational measure of health in aging. </w:t>
      </w:r>
      <w:r w:rsidRPr="00F84EC4">
        <w:rPr>
          <w:i/>
          <w:lang w:val="de-DE"/>
        </w:rPr>
        <w:t>Nature Aging</w:t>
      </w:r>
      <w:r w:rsidRPr="00F84EC4">
        <w:rPr>
          <w:lang w:val="de-DE"/>
        </w:rPr>
        <w:t>,</w:t>
      </w:r>
      <w:r w:rsidRPr="00F84EC4">
        <w:rPr>
          <w:i/>
          <w:lang w:val="de-DE"/>
        </w:rPr>
        <w:t xml:space="preserve"> 1</w:t>
      </w:r>
      <w:r w:rsidRPr="00F84EC4">
        <w:rPr>
          <w:lang w:val="de-DE"/>
        </w:rPr>
        <w:t xml:space="preserve">(8), 651-665. </w:t>
      </w:r>
      <w:hyperlink r:id="rId29" w:history="1">
        <w:r w:rsidRPr="00F84EC4">
          <w:rPr>
            <w:rStyle w:val="Hyperlink"/>
            <w:lang w:val="de-DE"/>
          </w:rPr>
          <w:t>https://doi.org/10.1038/s43587-021-00099-3</w:t>
        </w:r>
      </w:hyperlink>
      <w:r w:rsidRPr="00F84EC4">
        <w:rPr>
          <w:lang w:val="de-DE"/>
        </w:rPr>
        <w:t xml:space="preserve"> </w:t>
      </w:r>
    </w:p>
    <w:p w14:paraId="241CA7B4" w14:textId="42A016D4" w:rsidR="00B20CFC" w:rsidRDefault="00B20CFC" w:rsidP="00736599">
      <w:pPr>
        <w:pStyle w:val="EndNoteBibliography"/>
        <w:spacing w:after="240"/>
        <w:rPr>
          <w:lang w:val="de-DE"/>
        </w:rPr>
      </w:pPr>
      <w:r>
        <w:rPr>
          <w:lang w:val="de-DE"/>
        </w:rPr>
        <w:t>Husain MJ, Datta BK, Kostova D. (2021). Disease and demography: a system dynamics cohort-component population model to assess the implications of disease-specific mortality targets. BMJ Open, 11:e043313. https://doi.org/10.1136/bmjopen-2020-043313</w:t>
      </w:r>
    </w:p>
    <w:p w14:paraId="644142D8" w14:textId="47F8DFDD" w:rsidR="00C55207" w:rsidRPr="00C55207" w:rsidRDefault="00C55207" w:rsidP="00736599">
      <w:pPr>
        <w:pStyle w:val="EndNoteBibliography"/>
        <w:spacing w:after="240"/>
      </w:pPr>
      <w:r w:rsidRPr="00F84EC4">
        <w:rPr>
          <w:lang w:val="de-DE"/>
        </w:rPr>
        <w:t xml:space="preserve">Ikonen, J. N., Eriksson, J. G., von Bonsdorff, M. B., Kajantie, E., Arponen, O., &amp; Haapanen, M. J. (2022). </w:t>
      </w:r>
      <w:r w:rsidRPr="00C55207">
        <w:t xml:space="preserve">The utilization of primary healthcare services among frail older adults – findings from the Helsinki Birth Cohort Study. </w:t>
      </w:r>
      <w:r w:rsidRPr="00C55207">
        <w:rPr>
          <w:i/>
        </w:rPr>
        <w:t>BMC Geriatrics</w:t>
      </w:r>
      <w:r w:rsidRPr="00C55207">
        <w:t>,</w:t>
      </w:r>
      <w:r w:rsidRPr="00C55207">
        <w:rPr>
          <w:i/>
        </w:rPr>
        <w:t xml:space="preserve"> 22</w:t>
      </w:r>
      <w:r w:rsidRPr="00C55207">
        <w:t xml:space="preserve">(1), 79. </w:t>
      </w:r>
      <w:hyperlink r:id="rId30" w:history="1">
        <w:r w:rsidRPr="00C55207">
          <w:rPr>
            <w:rStyle w:val="Hyperlink"/>
          </w:rPr>
          <w:t>https://doi.org/10.1186/s12877-022-02767-4</w:t>
        </w:r>
      </w:hyperlink>
      <w:r w:rsidRPr="00C55207">
        <w:t xml:space="preserve"> </w:t>
      </w:r>
    </w:p>
    <w:p w14:paraId="59479342" w14:textId="4FBA9375" w:rsidR="00C55207" w:rsidRPr="00C55207" w:rsidRDefault="00C55207" w:rsidP="00736599">
      <w:pPr>
        <w:pStyle w:val="EndNoteBibliography"/>
        <w:spacing w:after="240"/>
      </w:pPr>
      <w:r w:rsidRPr="00C55207">
        <w:lastRenderedPageBreak/>
        <w:t xml:space="preserve">Jones, K. H., Ford, D. V., Thompson, S., &amp; Lyons, R. A. (2019). A Profile of the SAIL Databank on the UK Secure Research Platform. </w:t>
      </w:r>
      <w:r w:rsidRPr="00C55207">
        <w:rPr>
          <w:i/>
        </w:rPr>
        <w:t>Int J Popul Data Sci</w:t>
      </w:r>
      <w:r w:rsidRPr="00C55207">
        <w:t>,</w:t>
      </w:r>
      <w:r w:rsidRPr="00C55207">
        <w:rPr>
          <w:i/>
        </w:rPr>
        <w:t xml:space="preserve"> 4</w:t>
      </w:r>
      <w:r w:rsidRPr="00C55207">
        <w:t xml:space="preserve">(2), 1134. </w:t>
      </w:r>
      <w:hyperlink r:id="rId31" w:history="1">
        <w:r w:rsidRPr="00C55207">
          <w:rPr>
            <w:rStyle w:val="Hyperlink"/>
          </w:rPr>
          <w:t>https://doi.org/10.23889/ijpds.v4i2.1134</w:t>
        </w:r>
      </w:hyperlink>
      <w:r w:rsidRPr="00C55207">
        <w:t xml:space="preserve"> </w:t>
      </w:r>
    </w:p>
    <w:p w14:paraId="56C3B643" w14:textId="0DD5578C" w:rsidR="00C55207" w:rsidRPr="00C55207" w:rsidRDefault="00C55207" w:rsidP="00736599">
      <w:pPr>
        <w:pStyle w:val="EndNoteBibliography"/>
        <w:spacing w:after="240"/>
      </w:pPr>
      <w:r w:rsidRPr="00C55207">
        <w:t xml:space="preserve">Kotiadis, K., &amp; Tako, A. A. (2021). </w:t>
      </w:r>
      <w:r w:rsidRPr="00C55207">
        <w:rPr>
          <w:i/>
        </w:rPr>
        <w:t>A Tutorial on Involving Stakeholders in Facilitated Simulation Studies</w:t>
      </w:r>
      <w:r w:rsidRPr="00C55207">
        <w:t xml:space="preserve">. </w:t>
      </w:r>
      <w:hyperlink r:id="rId32" w:history="1">
        <w:r w:rsidRPr="00C55207">
          <w:rPr>
            <w:rStyle w:val="Hyperlink"/>
          </w:rPr>
          <w:t>https://doi.org/10.36819/SW21.005</w:t>
        </w:r>
      </w:hyperlink>
      <w:r w:rsidRPr="00C55207">
        <w:t xml:space="preserve"> </w:t>
      </w:r>
    </w:p>
    <w:p w14:paraId="5A8AFB66" w14:textId="442767B0" w:rsidR="00842863" w:rsidRDefault="00842863" w:rsidP="00842863">
      <w:pPr>
        <w:pStyle w:val="EndNoteBibliography"/>
        <w:spacing w:after="240"/>
      </w:pPr>
      <w:bookmarkStart w:id="28" w:name="_Hlk184731088"/>
      <w:r>
        <w:t>Lane DC, Monefeldt C, Rosenhead JV. Looking in the wrong place for healthcare improvements: a system dynamics study of an accident and emergency department. J Operational Res Soc. 2000;51:518–531.</w:t>
      </w:r>
      <w:bookmarkEnd w:id="28"/>
    </w:p>
    <w:p w14:paraId="6A68BB40" w14:textId="1E63178B" w:rsidR="00C55207" w:rsidRPr="00C55207" w:rsidRDefault="00C55207" w:rsidP="00736599">
      <w:pPr>
        <w:pStyle w:val="EndNoteBibliography"/>
        <w:spacing w:after="240"/>
      </w:pPr>
      <w:r w:rsidRPr="00C55207">
        <w:t xml:space="preserve">Lipsitz, L. A. (2008). Dynamic models for the study of frailty. </w:t>
      </w:r>
      <w:r w:rsidRPr="00C55207">
        <w:rPr>
          <w:i/>
        </w:rPr>
        <w:t>Mech Ageing Dev</w:t>
      </w:r>
      <w:r w:rsidRPr="00C55207">
        <w:t>,</w:t>
      </w:r>
      <w:r w:rsidRPr="00C55207">
        <w:rPr>
          <w:i/>
        </w:rPr>
        <w:t xml:space="preserve"> 129</w:t>
      </w:r>
      <w:r w:rsidRPr="00C55207">
        <w:t xml:space="preserve">(11), 675-676. </w:t>
      </w:r>
      <w:hyperlink r:id="rId33" w:history="1">
        <w:r w:rsidRPr="00C55207">
          <w:rPr>
            <w:rStyle w:val="Hyperlink"/>
          </w:rPr>
          <w:t>https://doi.org/10.1016/j.mad.2008.09.012</w:t>
        </w:r>
      </w:hyperlink>
      <w:r w:rsidRPr="00C55207">
        <w:t xml:space="preserve"> </w:t>
      </w:r>
    </w:p>
    <w:p w14:paraId="7E06D824" w14:textId="7C3CEF0C" w:rsidR="00C55207" w:rsidRPr="00C55207" w:rsidRDefault="00C55207" w:rsidP="00736599">
      <w:pPr>
        <w:pStyle w:val="EndNoteBibliography"/>
        <w:spacing w:after="240"/>
      </w:pPr>
      <w:r w:rsidRPr="00C55207">
        <w:t xml:space="preserve">Lyons, R. A., Jones, K. H., John, G., Brooks, C. J., Verplancke, J.-P., Ford, D. V., Brown, G., &amp; Leake, K. (2009). The SAIL databank: linking multiple health and social care datasets. </w:t>
      </w:r>
      <w:r w:rsidRPr="00C55207">
        <w:rPr>
          <w:i/>
        </w:rPr>
        <w:t>BMC Medical Informatics and Decision Making</w:t>
      </w:r>
      <w:r w:rsidRPr="00C55207">
        <w:t>,</w:t>
      </w:r>
      <w:r w:rsidRPr="00C55207">
        <w:rPr>
          <w:i/>
        </w:rPr>
        <w:t xml:space="preserve"> 9</w:t>
      </w:r>
      <w:r w:rsidRPr="00C55207">
        <w:t xml:space="preserve">(1), 3. </w:t>
      </w:r>
      <w:hyperlink r:id="rId34" w:history="1">
        <w:r w:rsidRPr="00C55207">
          <w:rPr>
            <w:rStyle w:val="Hyperlink"/>
          </w:rPr>
          <w:t>https://doi.org/10.1186/1472-6947-9-3</w:t>
        </w:r>
      </w:hyperlink>
      <w:r w:rsidRPr="00C55207">
        <w:t xml:space="preserve"> </w:t>
      </w:r>
    </w:p>
    <w:p w14:paraId="51884856" w14:textId="12ED2D62" w:rsidR="00C55207" w:rsidRPr="00C55207" w:rsidRDefault="00C55207" w:rsidP="00736599">
      <w:pPr>
        <w:pStyle w:val="EndNoteBibliography"/>
        <w:spacing w:after="240"/>
      </w:pPr>
      <w:r w:rsidRPr="00C55207">
        <w:t xml:space="preserve">Majid, Z., Welch, C., Davies, J., &amp; Jackson, T. (2020). Global frailty: The role of ethnicity, migration and socioeconomic factors. </w:t>
      </w:r>
      <w:r w:rsidRPr="00C55207">
        <w:rPr>
          <w:i/>
        </w:rPr>
        <w:t>Maturitas</w:t>
      </w:r>
      <w:r w:rsidRPr="00C55207">
        <w:t>,</w:t>
      </w:r>
      <w:r w:rsidRPr="00C55207">
        <w:rPr>
          <w:i/>
        </w:rPr>
        <w:t xml:space="preserve"> 139</w:t>
      </w:r>
      <w:r w:rsidRPr="00C55207">
        <w:t xml:space="preserve">, 33-41. </w:t>
      </w:r>
      <w:hyperlink r:id="rId35" w:history="1">
        <w:r w:rsidRPr="00C55207">
          <w:rPr>
            <w:rStyle w:val="Hyperlink"/>
          </w:rPr>
          <w:t>https://doi.org/10.1016/j.maturitas.2020.05.010</w:t>
        </w:r>
      </w:hyperlink>
      <w:r w:rsidRPr="00C55207">
        <w:t xml:space="preserve"> </w:t>
      </w:r>
    </w:p>
    <w:p w14:paraId="1C34BBA8" w14:textId="77777777" w:rsidR="00C55207" w:rsidRPr="00C55207" w:rsidRDefault="00C55207">
      <w:pPr>
        <w:pStyle w:val="EndNoteBibliography"/>
      </w:pPr>
      <w:r w:rsidRPr="00C55207">
        <w:t xml:space="preserve">McLucas, A., Ryan, M., &amp; Chan, K. (2012). </w:t>
      </w:r>
      <w:r w:rsidRPr="00C55207">
        <w:rPr>
          <w:i/>
        </w:rPr>
        <w:t>On the Validation of System Dynamics Models</w:t>
      </w:r>
      <w:r w:rsidRPr="00C55207">
        <w:t xml:space="preserve">.  </w:t>
      </w:r>
    </w:p>
    <w:p w14:paraId="2F0026C1" w14:textId="45AB84C4" w:rsidR="00C55207" w:rsidRPr="00C55207" w:rsidRDefault="00C55207" w:rsidP="00736599">
      <w:pPr>
        <w:pStyle w:val="EndNoteBibliography"/>
        <w:spacing w:after="240"/>
      </w:pPr>
      <w:r w:rsidRPr="00C55207">
        <w:t xml:space="preserve">National Health Service (NHS). (2023a). </w:t>
      </w:r>
      <w:r w:rsidRPr="00C55207">
        <w:rPr>
          <w:i/>
        </w:rPr>
        <w:t>Electronic Frailty Index</w:t>
      </w:r>
      <w:r w:rsidRPr="00C55207">
        <w:t xml:space="preserve">. Retrieved 2nd August 2023 from </w:t>
      </w:r>
      <w:hyperlink r:id="rId36" w:history="1">
        <w:r w:rsidRPr="00C55207">
          <w:rPr>
            <w:rStyle w:val="Hyperlink"/>
          </w:rPr>
          <w:t>https://www.england.nhs.uk/ourwork/clinical-policy/older-people/frailty/efi/</w:t>
        </w:r>
      </w:hyperlink>
    </w:p>
    <w:p w14:paraId="19AD6F47" w14:textId="77777777" w:rsidR="00C55207" w:rsidRPr="00C55207" w:rsidRDefault="00C55207">
      <w:pPr>
        <w:pStyle w:val="EndNoteBibliography"/>
      </w:pPr>
      <w:r w:rsidRPr="00C55207">
        <w:t xml:space="preserve">National Health Service (NHS). (2023b). </w:t>
      </w:r>
      <w:r w:rsidRPr="00C55207">
        <w:rPr>
          <w:i/>
        </w:rPr>
        <w:t>NHS Long Term Workforce Plan</w:t>
      </w:r>
      <w:r w:rsidRPr="00C55207">
        <w:t xml:space="preserve"> (</w:t>
      </w:r>
    </w:p>
    <w:p w14:paraId="0B068426" w14:textId="2065E2A6" w:rsidR="00C55207" w:rsidRPr="00C55207" w:rsidRDefault="00C55207" w:rsidP="00736599">
      <w:pPr>
        <w:pStyle w:val="EndNoteBibliography"/>
        <w:spacing w:after="240"/>
      </w:pPr>
      <w:r w:rsidRPr="00C55207">
        <w:t xml:space="preserve">NHS, E. (2019, 12/6/2019). </w:t>
      </w:r>
      <w:r w:rsidRPr="00C55207">
        <w:rPr>
          <w:i/>
        </w:rPr>
        <w:t>Supporting routine frailty identification and frailty through the GP Contract 2017/2018</w:t>
      </w:r>
      <w:r w:rsidRPr="00C55207">
        <w:t xml:space="preserve">. Retrieved 7/10/21 from https:// </w:t>
      </w:r>
      <w:hyperlink r:id="rId37" w:history="1">
        <w:r w:rsidRPr="00C55207">
          <w:rPr>
            <w:rStyle w:val="Hyperlink"/>
          </w:rPr>
          <w:t>www.england.nhs.uk/publication/supporting-routine-frailty-identification-and-frailty-through-the-gp-contract-20172018/</w:t>
        </w:r>
      </w:hyperlink>
    </w:p>
    <w:p w14:paraId="36ECC9B9" w14:textId="045A84D8" w:rsidR="00C55207" w:rsidRPr="00C55207" w:rsidRDefault="00C55207" w:rsidP="00736599">
      <w:pPr>
        <w:pStyle w:val="EndNoteBibliography"/>
        <w:spacing w:after="240"/>
      </w:pPr>
      <w:r w:rsidRPr="00C55207">
        <w:t xml:space="preserve">O’Caoimh, R., Sezgin, D., O’Donovan, M. R., Molloy, D. W., Clegg, A., Rockwood, K., &amp; Liew, A. (2020). Prevalence of frailty in 62 countries across the world: a systematic review and meta-analysis of population-level studies. </w:t>
      </w:r>
      <w:r w:rsidRPr="00C55207">
        <w:rPr>
          <w:i/>
        </w:rPr>
        <w:t>Age and Ageing</w:t>
      </w:r>
      <w:r w:rsidRPr="00C55207">
        <w:t>,</w:t>
      </w:r>
      <w:r w:rsidRPr="00C55207">
        <w:rPr>
          <w:i/>
        </w:rPr>
        <w:t xml:space="preserve"> 50</w:t>
      </w:r>
      <w:r w:rsidRPr="00C55207">
        <w:t xml:space="preserve">(1), 96-104. </w:t>
      </w:r>
      <w:hyperlink r:id="rId38" w:history="1">
        <w:r w:rsidRPr="00C55207">
          <w:rPr>
            <w:rStyle w:val="Hyperlink"/>
          </w:rPr>
          <w:t>https://doi.org/10.1093/ageing/afaa219</w:t>
        </w:r>
      </w:hyperlink>
      <w:r w:rsidRPr="00C55207">
        <w:t xml:space="preserve"> </w:t>
      </w:r>
    </w:p>
    <w:p w14:paraId="4FEDCDCF" w14:textId="13ABB6E1" w:rsidR="00C55207" w:rsidRPr="00C55207" w:rsidRDefault="00C55207" w:rsidP="00736599">
      <w:pPr>
        <w:pStyle w:val="EndNoteBibliography"/>
        <w:spacing w:after="240"/>
      </w:pPr>
      <w:r w:rsidRPr="00C55207">
        <w:t xml:space="preserve">Office for National Statistics. (2022a, 21/12/2022). </w:t>
      </w:r>
      <w:r w:rsidRPr="00C55207">
        <w:rPr>
          <w:i/>
        </w:rPr>
        <w:t>Population estimates for the UK, England, Wales, Scotland and Northern Ireland: mid-2021.</w:t>
      </w:r>
      <w:r w:rsidRPr="00C55207">
        <w:t xml:space="preserve"> Retrieved 2/3/2023 from </w:t>
      </w:r>
      <w:hyperlink r:id="rId39" w:anchor="population-change-for-uk-countries" w:history="1">
        <w:r w:rsidRPr="00C55207">
          <w:rPr>
            <w:rStyle w:val="Hyperlink"/>
          </w:rPr>
          <w:t>https://www.ons.gov.uk/peoplepopulationandcommunity/populationandmigration/populationestimates/bulletins/annualmidyearpopulationestimates/latest#population-change-for-uk-countries</w:t>
        </w:r>
      </w:hyperlink>
    </w:p>
    <w:p w14:paraId="5EBFCB41" w14:textId="78B4E2ED" w:rsidR="00C55207" w:rsidRPr="00C55207" w:rsidRDefault="00C55207" w:rsidP="00736599">
      <w:pPr>
        <w:pStyle w:val="EndNoteBibliography"/>
        <w:spacing w:after="240"/>
      </w:pPr>
      <w:r w:rsidRPr="00C55207">
        <w:t xml:space="preserve">Office for National Statistics. (2022b). Zipped population projections data files, England. </w:t>
      </w:r>
      <w:hyperlink r:id="rId40" w:history="1">
        <w:r w:rsidRPr="00C55207">
          <w:rPr>
            <w:rStyle w:val="Hyperlink"/>
          </w:rPr>
          <w:t>https://www.ons.gov.uk/peoplepopulationandcommunity/populationandmigration/populationprojections/datasets/z3zippedpopulationprojectionsdatafilesengland</w:t>
        </w:r>
      </w:hyperlink>
    </w:p>
    <w:p w14:paraId="56316BA2" w14:textId="531EDA3E" w:rsidR="00C55207" w:rsidRPr="00C55207" w:rsidRDefault="00C55207" w:rsidP="00736599">
      <w:pPr>
        <w:pStyle w:val="EndNoteBibliography"/>
        <w:spacing w:after="240"/>
      </w:pPr>
      <w:r w:rsidRPr="00C55207">
        <w:t xml:space="preserve">Palmer, W. L., &amp; Rosen, R. (2023). The NHS workforce plan. </w:t>
      </w:r>
      <w:r w:rsidRPr="00C55207">
        <w:rPr>
          <w:i/>
        </w:rPr>
        <w:t>Bmj</w:t>
      </w:r>
      <w:r w:rsidRPr="00C55207">
        <w:t>,</w:t>
      </w:r>
      <w:r w:rsidRPr="00C55207">
        <w:rPr>
          <w:i/>
        </w:rPr>
        <w:t xml:space="preserve"> 382</w:t>
      </w:r>
      <w:r w:rsidRPr="00C55207">
        <w:t xml:space="preserve">, p1577. </w:t>
      </w:r>
      <w:hyperlink r:id="rId41" w:history="1">
        <w:r w:rsidRPr="00C55207">
          <w:rPr>
            <w:rStyle w:val="Hyperlink"/>
          </w:rPr>
          <w:t>https://doi.org/10.1136/bmj.p1577</w:t>
        </w:r>
      </w:hyperlink>
      <w:r w:rsidRPr="00C55207">
        <w:t xml:space="preserve"> </w:t>
      </w:r>
    </w:p>
    <w:p w14:paraId="281FDEB0" w14:textId="1D9C1CB4" w:rsidR="00C55207" w:rsidRPr="00C55207" w:rsidRDefault="00C55207" w:rsidP="00736599">
      <w:pPr>
        <w:pStyle w:val="EndNoteBibliography"/>
        <w:spacing w:after="240"/>
      </w:pPr>
      <w:r w:rsidRPr="00C55207">
        <w:t xml:space="preserve">Rashwan, W., Abo-Hamad, W., &amp; Arisha, A. (2015). A system dynamics view of the acute bed blockage problem in the Irish healthcare system. </w:t>
      </w:r>
      <w:r w:rsidRPr="00C55207">
        <w:rPr>
          <w:i/>
        </w:rPr>
        <w:t>European Journal of Operational Research</w:t>
      </w:r>
      <w:r w:rsidRPr="00C55207">
        <w:t>,</w:t>
      </w:r>
      <w:r w:rsidRPr="00C55207">
        <w:rPr>
          <w:i/>
        </w:rPr>
        <w:t xml:space="preserve"> 247</w:t>
      </w:r>
      <w:r w:rsidRPr="00C55207">
        <w:t xml:space="preserve">(1), 276-293. </w:t>
      </w:r>
      <w:hyperlink r:id="rId42" w:history="1">
        <w:r w:rsidRPr="00C55207">
          <w:rPr>
            <w:rStyle w:val="Hyperlink"/>
          </w:rPr>
          <w:t>https://doi.org/https://doi.org/10.1016/j.ejor.2015.05.043</w:t>
        </w:r>
      </w:hyperlink>
      <w:r w:rsidRPr="00C55207">
        <w:t xml:space="preserve"> </w:t>
      </w:r>
    </w:p>
    <w:p w14:paraId="0B33F7FD" w14:textId="62212041" w:rsidR="00C55207" w:rsidRPr="00C55207" w:rsidRDefault="00C55207" w:rsidP="00736599">
      <w:pPr>
        <w:pStyle w:val="EndNoteBibliography"/>
        <w:spacing w:after="240"/>
      </w:pPr>
      <w:r w:rsidRPr="00C55207">
        <w:t xml:space="preserve">Romero-Ortuno, R., Fouweather, T., &amp; Jagger, C. (2014). Cross-national disparities in sex differences in life expectancy with and without frailty. </w:t>
      </w:r>
      <w:r w:rsidRPr="00C55207">
        <w:rPr>
          <w:i/>
        </w:rPr>
        <w:t>Age Ageing</w:t>
      </w:r>
      <w:r w:rsidRPr="00C55207">
        <w:t>,</w:t>
      </w:r>
      <w:r w:rsidRPr="00C55207">
        <w:rPr>
          <w:i/>
        </w:rPr>
        <w:t xml:space="preserve"> 43</w:t>
      </w:r>
      <w:r w:rsidRPr="00C55207">
        <w:t xml:space="preserve">(2), 222-228. </w:t>
      </w:r>
      <w:hyperlink r:id="rId43" w:history="1">
        <w:r w:rsidRPr="00C55207">
          <w:rPr>
            <w:rStyle w:val="Hyperlink"/>
          </w:rPr>
          <w:t>https://doi.org/10.1093/ageing/aft115</w:t>
        </w:r>
      </w:hyperlink>
      <w:r w:rsidRPr="00C55207">
        <w:t xml:space="preserve"> </w:t>
      </w:r>
    </w:p>
    <w:p w14:paraId="781FF541" w14:textId="48195576" w:rsidR="0098346E" w:rsidRDefault="0098346E" w:rsidP="0098346E">
      <w:pPr>
        <w:pStyle w:val="EndNoteBibliography"/>
        <w:spacing w:after="240"/>
      </w:pPr>
      <w:bookmarkStart w:id="29" w:name="_Hlk184731065"/>
      <w:r>
        <w:lastRenderedPageBreak/>
        <w:t>Royston G, Dost A, Townshend J, Turner H. Using system dynamics to help develop and implement policies and programmes in health care in England. System Dynamics Rev. 1999;15: 293–313.</w:t>
      </w:r>
    </w:p>
    <w:bookmarkEnd w:id="29"/>
    <w:p w14:paraId="05AAAED4" w14:textId="0BA29AF9" w:rsidR="00C55207" w:rsidRPr="00C55207" w:rsidRDefault="00C55207" w:rsidP="00736599">
      <w:pPr>
        <w:pStyle w:val="EndNoteBibliography"/>
        <w:spacing w:after="240"/>
      </w:pPr>
      <w:r w:rsidRPr="00C55207">
        <w:t xml:space="preserve">Siriwardhana, D. D., Hardoon, S., Rait, G., Weerasinghe, M. C., &amp; Walters, K. R. (2018). Prevalence of frailty and prefrailty among community-dwelling older adults in low-income and middle-income countries: a systematic review and meta-analysis. </w:t>
      </w:r>
      <w:r w:rsidRPr="00C55207">
        <w:rPr>
          <w:i/>
        </w:rPr>
        <w:t>BMJ Open</w:t>
      </w:r>
      <w:r w:rsidRPr="00C55207">
        <w:t>,</w:t>
      </w:r>
      <w:r w:rsidRPr="00C55207">
        <w:rPr>
          <w:i/>
        </w:rPr>
        <w:t xml:space="preserve"> 8</w:t>
      </w:r>
      <w:r w:rsidRPr="00C55207">
        <w:t xml:space="preserve">(3), e018195. </w:t>
      </w:r>
      <w:hyperlink r:id="rId44" w:history="1">
        <w:r w:rsidRPr="00C55207">
          <w:rPr>
            <w:rStyle w:val="Hyperlink"/>
          </w:rPr>
          <w:t>https://doi.org/10.1136/bmjopen-2017-018195</w:t>
        </w:r>
      </w:hyperlink>
      <w:r w:rsidRPr="00C55207">
        <w:t xml:space="preserve"> </w:t>
      </w:r>
    </w:p>
    <w:p w14:paraId="6DE41ABF" w14:textId="4D4B6A7E" w:rsidR="00C55207" w:rsidRPr="00C55207" w:rsidRDefault="00C55207" w:rsidP="00736599">
      <w:pPr>
        <w:pStyle w:val="EndNoteBibliography"/>
        <w:spacing w:after="240"/>
      </w:pPr>
      <w:r w:rsidRPr="00C55207">
        <w:t xml:space="preserve">Sterman, J. (2000). Business Dynamics, System Thinking and Modeling for a Complex World. </w:t>
      </w:r>
      <w:hyperlink r:id="rId45" w:history="1">
        <w:r w:rsidRPr="00C55207">
          <w:rPr>
            <w:rStyle w:val="Hyperlink"/>
            <w:i/>
          </w:rPr>
          <w:t>http://lst-iiep.iiep-unesco.org/cgi-bin/wwwi32.exe/[in=epidoc1.in]/?t2000=013598/(100</w:t>
        </w:r>
      </w:hyperlink>
      <w:r w:rsidRPr="00C55207">
        <w:rPr>
          <w:i/>
        </w:rPr>
        <w:t>)</w:t>
      </w:r>
      <w:r w:rsidRPr="00C55207">
        <w:t>,</w:t>
      </w:r>
      <w:r w:rsidRPr="00C55207">
        <w:rPr>
          <w:i/>
        </w:rPr>
        <w:t xml:space="preserve"> 19</w:t>
      </w:r>
      <w:r w:rsidRPr="00C55207">
        <w:t xml:space="preserve">.  </w:t>
      </w:r>
    </w:p>
    <w:p w14:paraId="39BF7B47" w14:textId="2229B0C8" w:rsidR="00C55207" w:rsidRPr="00C55207" w:rsidRDefault="00C55207" w:rsidP="00736599">
      <w:pPr>
        <w:pStyle w:val="EndNoteBibliography"/>
        <w:spacing w:after="240"/>
      </w:pPr>
      <w:r w:rsidRPr="00C55207">
        <w:t xml:space="preserve">Stow, D., Hanratty, B., &amp; Matthews, F. E. (2022). The relationship between deprivation and frailty trajectories over 1 year and at the end of life: a case-control study. </w:t>
      </w:r>
      <w:r w:rsidRPr="00C55207">
        <w:rPr>
          <w:i/>
        </w:rPr>
        <w:t>J Public Health (Oxf)</w:t>
      </w:r>
      <w:r w:rsidRPr="00C55207">
        <w:t>,</w:t>
      </w:r>
      <w:r w:rsidRPr="00C55207">
        <w:rPr>
          <w:i/>
        </w:rPr>
        <w:t xml:space="preserve"> 44</w:t>
      </w:r>
      <w:r w:rsidRPr="00C55207">
        <w:t xml:space="preserve">(4), 844-850. </w:t>
      </w:r>
      <w:hyperlink r:id="rId46" w:history="1">
        <w:r w:rsidRPr="00C55207">
          <w:rPr>
            <w:rStyle w:val="Hyperlink"/>
          </w:rPr>
          <w:t>https://doi.org/10.1093/pubmed/fdab320</w:t>
        </w:r>
      </w:hyperlink>
      <w:r w:rsidRPr="00C55207">
        <w:t xml:space="preserve"> </w:t>
      </w:r>
    </w:p>
    <w:p w14:paraId="6A4AEA0C" w14:textId="4E3EE3CF" w:rsidR="00C55207" w:rsidRPr="00C55207" w:rsidRDefault="00C55207">
      <w:pPr>
        <w:pStyle w:val="EndNoteBibliography"/>
      </w:pPr>
      <w:r w:rsidRPr="00C55207">
        <w:t xml:space="preserve">Swansea University. (2021). </w:t>
      </w:r>
      <w:r w:rsidRPr="00C55207">
        <w:rPr>
          <w:i/>
        </w:rPr>
        <w:t>The People &amp; Projects Using SAIL Databank in Health &amp; Care Research Wales’ £6.5M Funding Announcement</w:t>
      </w:r>
      <w:r w:rsidRPr="00C55207">
        <w:t xml:space="preserve">. Retrieved 4/6/2023 from </w:t>
      </w:r>
      <w:hyperlink r:id="rId47" w:history="1">
        <w:r w:rsidRPr="00C55207">
          <w:rPr>
            <w:rStyle w:val="Hyperlink"/>
          </w:rPr>
          <w:t>https://popdatasci.swan.ac.uk/sail-projects-funding/</w:t>
        </w:r>
      </w:hyperlink>
    </w:p>
    <w:p w14:paraId="323D8A24" w14:textId="22073668" w:rsidR="00C55207" w:rsidRPr="00C55207" w:rsidRDefault="00C55207" w:rsidP="00736599">
      <w:pPr>
        <w:pStyle w:val="EndNoteBibliography"/>
        <w:spacing w:after="240"/>
      </w:pPr>
      <w:r w:rsidRPr="00C55207">
        <w:t xml:space="preserve">Tako, A. A., &amp; Kotiadis, K. (2015). PartiSim: A multi-methodology framework to support facilitated simulation modelling in healthcare. </w:t>
      </w:r>
      <w:r w:rsidRPr="00C55207">
        <w:rPr>
          <w:i/>
        </w:rPr>
        <w:t>European Journal of Operational Research</w:t>
      </w:r>
      <w:r w:rsidRPr="00C55207">
        <w:t>,</w:t>
      </w:r>
      <w:r w:rsidRPr="00C55207">
        <w:rPr>
          <w:i/>
        </w:rPr>
        <w:t xml:space="preserve"> 244</w:t>
      </w:r>
      <w:r w:rsidRPr="00C55207">
        <w:t xml:space="preserve">(2), 555-564. </w:t>
      </w:r>
      <w:hyperlink r:id="rId48" w:history="1">
        <w:r w:rsidRPr="00C55207">
          <w:rPr>
            <w:rStyle w:val="Hyperlink"/>
          </w:rPr>
          <w:t>https://doi.org/https://doi.org/10.1016/j.ejor.2015.01.046</w:t>
        </w:r>
      </w:hyperlink>
      <w:r w:rsidRPr="00C55207">
        <w:t xml:space="preserve"> </w:t>
      </w:r>
    </w:p>
    <w:p w14:paraId="5AF53BCA" w14:textId="030047E9" w:rsidR="00C55207" w:rsidRPr="00C55207" w:rsidRDefault="00C55207" w:rsidP="00736599">
      <w:pPr>
        <w:pStyle w:val="EndNoteBibliography"/>
        <w:spacing w:after="240"/>
      </w:pPr>
      <w:r w:rsidRPr="00C55207">
        <w:t xml:space="preserve">Thompson, J. P., Riley, C. M., &amp; Eberlein, R. L. (2014). Modelling for Insight: The Case of Dementia in Singapore. </w:t>
      </w:r>
      <w:r w:rsidRPr="00C55207">
        <w:rPr>
          <w:i/>
        </w:rPr>
        <w:t>Systems Research and Behavioral Science</w:t>
      </w:r>
      <w:r w:rsidRPr="00C55207">
        <w:t>,</w:t>
      </w:r>
      <w:r w:rsidRPr="00C55207">
        <w:rPr>
          <w:i/>
        </w:rPr>
        <w:t xml:space="preserve"> 31</w:t>
      </w:r>
      <w:r w:rsidRPr="00C55207">
        <w:t xml:space="preserve">(2), 227-235. </w:t>
      </w:r>
      <w:hyperlink r:id="rId49" w:history="1">
        <w:r w:rsidRPr="00C55207">
          <w:rPr>
            <w:rStyle w:val="Hyperlink"/>
          </w:rPr>
          <w:t>https://doi.org/https://doi.org/10.1002/sres.2202</w:t>
        </w:r>
      </w:hyperlink>
      <w:r w:rsidRPr="00C55207">
        <w:t xml:space="preserve"> </w:t>
      </w:r>
    </w:p>
    <w:p w14:paraId="7125355F" w14:textId="20F12351" w:rsidR="00C55207" w:rsidRPr="00C55207" w:rsidRDefault="00C55207" w:rsidP="00736599">
      <w:pPr>
        <w:pStyle w:val="EndNoteBibliography"/>
        <w:spacing w:after="240"/>
      </w:pPr>
      <w:r w:rsidRPr="00C55207">
        <w:t xml:space="preserve">Thompson, J. P., Riley, C. M., Eberlein, R. L., &amp; Matchar, D. B. (2012). Future living arrangements of Singaporeans with age-related dementia. </w:t>
      </w:r>
      <w:r w:rsidRPr="00C55207">
        <w:rPr>
          <w:i/>
        </w:rPr>
        <w:t>Int Psychogeriatr</w:t>
      </w:r>
      <w:r w:rsidRPr="00C55207">
        <w:t>,</w:t>
      </w:r>
      <w:r w:rsidRPr="00C55207">
        <w:rPr>
          <w:i/>
        </w:rPr>
        <w:t xml:space="preserve"> 24</w:t>
      </w:r>
      <w:r w:rsidRPr="00C55207">
        <w:t xml:space="preserve">(10), 1592-1599. </w:t>
      </w:r>
      <w:hyperlink r:id="rId50" w:history="1">
        <w:r w:rsidRPr="00C55207">
          <w:rPr>
            <w:rStyle w:val="Hyperlink"/>
          </w:rPr>
          <w:t>https://doi.org/10.1017/s1041610212000282</w:t>
        </w:r>
      </w:hyperlink>
      <w:r w:rsidRPr="00C55207">
        <w:t xml:space="preserve"> </w:t>
      </w:r>
    </w:p>
    <w:p w14:paraId="09E19343" w14:textId="47BABDE7" w:rsidR="00C55207" w:rsidRPr="00C55207" w:rsidRDefault="00C55207" w:rsidP="00736599">
      <w:pPr>
        <w:pStyle w:val="EndNoteBibliography"/>
        <w:spacing w:after="240"/>
      </w:pPr>
      <w:r w:rsidRPr="00C55207">
        <w:t xml:space="preserve">Varadhan, R., Seplaki, C. L., Xue, Q. L., Bandeen-Roche, K., &amp; Fried, L. P. (2008). Stimulus-response paradigm for characterizing the loss of resilience in homeostatic regulation associated with frailty. </w:t>
      </w:r>
      <w:r w:rsidRPr="00C55207">
        <w:rPr>
          <w:i/>
        </w:rPr>
        <w:t>Mech Ageing Dev</w:t>
      </w:r>
      <w:r w:rsidRPr="00C55207">
        <w:t>,</w:t>
      </w:r>
      <w:r w:rsidRPr="00C55207">
        <w:rPr>
          <w:i/>
        </w:rPr>
        <w:t xml:space="preserve"> 129</w:t>
      </w:r>
      <w:r w:rsidRPr="00C55207">
        <w:t xml:space="preserve">(11), 666-670. </w:t>
      </w:r>
      <w:hyperlink r:id="rId51" w:history="1">
        <w:r w:rsidRPr="00C55207">
          <w:rPr>
            <w:rStyle w:val="Hyperlink"/>
          </w:rPr>
          <w:t>https://doi.org/10.1016/j.mad.2008.09.013</w:t>
        </w:r>
      </w:hyperlink>
      <w:r w:rsidRPr="00C55207">
        <w:t xml:space="preserve"> </w:t>
      </w:r>
    </w:p>
    <w:p w14:paraId="59107E72" w14:textId="65F6B4E2" w:rsidR="00C55207" w:rsidRPr="00C55207" w:rsidRDefault="00C55207" w:rsidP="00736599">
      <w:pPr>
        <w:pStyle w:val="EndNoteBibliography"/>
        <w:spacing w:after="240"/>
      </w:pPr>
      <w:r w:rsidRPr="00C55207">
        <w:t xml:space="preserve">Walker, B., &amp; Haslett, T. (2001). System dynamics and action research in aged care. </w:t>
      </w:r>
      <w:r w:rsidRPr="00C55207">
        <w:rPr>
          <w:i/>
        </w:rPr>
        <w:t>Australian Health Review</w:t>
      </w:r>
      <w:r w:rsidRPr="00C55207">
        <w:t>,</w:t>
      </w:r>
      <w:r w:rsidRPr="00C55207">
        <w:rPr>
          <w:i/>
        </w:rPr>
        <w:t xml:space="preserve"> 24</w:t>
      </w:r>
      <w:r w:rsidRPr="00C55207">
        <w:t xml:space="preserve">(1), 183-191. </w:t>
      </w:r>
      <w:hyperlink r:id="rId52" w:history="1">
        <w:r w:rsidRPr="00C55207">
          <w:rPr>
            <w:rStyle w:val="Hyperlink"/>
          </w:rPr>
          <w:t>https://doi.org/https://doi.org/10.1071/AH010183</w:t>
        </w:r>
      </w:hyperlink>
      <w:r w:rsidRPr="00C55207">
        <w:t xml:space="preserve"> </w:t>
      </w:r>
    </w:p>
    <w:p w14:paraId="000DA336" w14:textId="114BBE86" w:rsidR="00C55207" w:rsidRDefault="00C55207" w:rsidP="00736599">
      <w:pPr>
        <w:pStyle w:val="EndNoteBibliography"/>
        <w:spacing w:after="240"/>
      </w:pPr>
      <w:r w:rsidRPr="00C55207">
        <w:t xml:space="preserve">Walsh, B., Fogg, C., Harris, S., Roderick, P., de Lusignan, S., England, T., Clegg, A., Brailsford, S., &amp; Fraser, S. D. S. (2023). Frailty transitions and prevalence in an ageing population: longitudinal analysis of primary care data from an open cohort of adults aged 50 and over in England, 2006–2017. </w:t>
      </w:r>
      <w:r w:rsidRPr="00C55207">
        <w:rPr>
          <w:i/>
        </w:rPr>
        <w:t>Age and Ageing</w:t>
      </w:r>
      <w:r w:rsidRPr="00C55207">
        <w:t>,</w:t>
      </w:r>
      <w:r w:rsidRPr="00C55207">
        <w:rPr>
          <w:i/>
        </w:rPr>
        <w:t xml:space="preserve"> 52</w:t>
      </w:r>
      <w:r w:rsidRPr="00C55207">
        <w:t xml:space="preserve">(5). </w:t>
      </w:r>
      <w:hyperlink r:id="rId53" w:history="1">
        <w:r w:rsidRPr="00C55207">
          <w:rPr>
            <w:rStyle w:val="Hyperlink"/>
          </w:rPr>
          <w:t>https://doi.org/10.1093/ageing/afad058</w:t>
        </w:r>
      </w:hyperlink>
      <w:r w:rsidRPr="00C55207">
        <w:t xml:space="preserve"> </w:t>
      </w:r>
    </w:p>
    <w:p w14:paraId="6B86EB63" w14:textId="5D9F7C5F" w:rsidR="00A5477A" w:rsidRPr="00C55207" w:rsidRDefault="00AE71C4" w:rsidP="00736599">
      <w:pPr>
        <w:pStyle w:val="EndNoteBibliography"/>
        <w:spacing w:after="240"/>
      </w:pPr>
      <w:r>
        <w:t>Walsh, B., Fogg, C., England, T., Brailsford, S., Roderick, P., Harris, S., Fraser, S., Clegg, A., De Lusignan, S., Zhu, S., Lambert, F., Barkham, A., Patel, H., Windle, V. (2024). Impact of frailty in older people on health care demand: simulation modelling of population dynamics to inform service planning". H</w:t>
      </w:r>
      <w:r w:rsidR="00662215">
        <w:t>ealth Services Delivery Rsearch (in press).</w:t>
      </w:r>
    </w:p>
    <w:p w14:paraId="0F3C6509" w14:textId="6025CD3E" w:rsidR="00A5477A" w:rsidRPr="0005125E" w:rsidRDefault="00C55207" w:rsidP="00736599">
      <w:pPr>
        <w:pStyle w:val="EndNoteBibliography"/>
        <w:spacing w:after="240"/>
      </w:pPr>
      <w:r w:rsidRPr="006F055C">
        <w:t xml:space="preserve">Watt, T., Raymond, A., Rachet-Jacquet, L., Head, A., Kypridemos, C. (2022). </w:t>
      </w:r>
      <w:r w:rsidRPr="006F055C">
        <w:rPr>
          <w:i/>
        </w:rPr>
        <w:t>A microsimulation model for multimorbidity in England</w:t>
      </w:r>
      <w:r w:rsidR="0005125E" w:rsidRPr="006F055C">
        <w:rPr>
          <w:iCs/>
        </w:rPr>
        <w:t>.  The Health Foundation</w:t>
      </w:r>
      <w:r w:rsidRPr="006F055C">
        <w:t xml:space="preserve"> (</w:t>
      </w:r>
      <w:hyperlink r:id="rId54" w:history="1">
        <w:r w:rsidRPr="006F055C">
          <w:rPr>
            <w:rStyle w:val="Hyperlink"/>
          </w:rPr>
          <w:t>www.health.org.uk/publications/health-in-2040</w:t>
        </w:r>
      </w:hyperlink>
      <w:r w:rsidR="0005125E" w:rsidRPr="006F055C">
        <w:rPr>
          <w:rStyle w:val="Hyperlink"/>
        </w:rPr>
        <w:t>,</w:t>
      </w:r>
      <w:r w:rsidR="0005125E" w:rsidRPr="006F055C">
        <w:rPr>
          <w:rStyle w:val="Hyperlink"/>
          <w:u w:val="none"/>
        </w:rPr>
        <w:t xml:space="preserve">  </w:t>
      </w:r>
      <w:r w:rsidR="0005125E" w:rsidRPr="006F055C">
        <w:rPr>
          <w:rStyle w:val="Hyperlink"/>
          <w:color w:val="auto"/>
          <w:u w:val="none"/>
        </w:rPr>
        <w:t>accessed 14.03.2024.</w:t>
      </w:r>
      <w:r w:rsidR="0005125E">
        <w:rPr>
          <w:rStyle w:val="Hyperlink"/>
          <w:color w:val="auto"/>
          <w:u w:val="none"/>
        </w:rPr>
        <w:t xml:space="preserve"> </w:t>
      </w:r>
    </w:p>
    <w:p w14:paraId="171A6E89" w14:textId="77777777" w:rsidR="00C55207" w:rsidRPr="00C55207" w:rsidRDefault="00C55207" w:rsidP="00736599">
      <w:pPr>
        <w:pStyle w:val="EndNoteBibliography"/>
        <w:spacing w:after="240"/>
      </w:pPr>
      <w:r w:rsidRPr="00C55207">
        <w:t xml:space="preserve">Welsh Index of Multiple Deprivation ((2011). </w:t>
      </w:r>
    </w:p>
    <w:p w14:paraId="26CCD9CF" w14:textId="6128E689" w:rsidR="00C55207" w:rsidRPr="00C55207" w:rsidRDefault="00C55207" w:rsidP="00736599">
      <w:pPr>
        <w:pStyle w:val="EndNoteBibliography"/>
        <w:spacing w:after="240"/>
      </w:pPr>
      <w:r w:rsidRPr="00C55207">
        <w:lastRenderedPageBreak/>
        <w:t xml:space="preserve">Whole System Partnership. (2018). </w:t>
      </w:r>
      <w:r w:rsidRPr="00C55207">
        <w:rPr>
          <w:i/>
        </w:rPr>
        <w:t>System Dynamics in Healthcare</w:t>
      </w:r>
      <w:r w:rsidRPr="00C55207">
        <w:t xml:space="preserve">. Retrieved 26/8/2021 from </w:t>
      </w:r>
      <w:hyperlink r:id="rId55" w:history="1">
        <w:r w:rsidRPr="00C55207">
          <w:rPr>
            <w:rStyle w:val="Hyperlink"/>
          </w:rPr>
          <w:t>https://www.thewholesystem.co.uk/wp-content/uploads/2019/01/SCIO-talk.pdf</w:t>
        </w:r>
      </w:hyperlink>
    </w:p>
    <w:p w14:paraId="79747A74" w14:textId="61ABD3D3" w:rsidR="00C55207" w:rsidRPr="00C55207" w:rsidRDefault="00C55207">
      <w:pPr>
        <w:pStyle w:val="EndNoteBibliography"/>
      </w:pPr>
      <w:r w:rsidRPr="00C55207">
        <w:t xml:space="preserve">Williams, E., Gartner, D., &amp; Harper, P. (2021). A survey of OR/MS models on care planning for frail and elderly patients. </w:t>
      </w:r>
      <w:r w:rsidRPr="00C55207">
        <w:rPr>
          <w:i/>
        </w:rPr>
        <w:t>Operations Research for Health Care</w:t>
      </w:r>
      <w:r w:rsidRPr="00C55207">
        <w:t>,</w:t>
      </w:r>
      <w:r w:rsidRPr="00C55207">
        <w:rPr>
          <w:i/>
        </w:rPr>
        <w:t xml:space="preserve"> 31</w:t>
      </w:r>
      <w:r w:rsidRPr="00C55207">
        <w:t xml:space="preserve">, 100325. </w:t>
      </w:r>
      <w:hyperlink r:id="rId56" w:history="1">
        <w:r w:rsidRPr="00C55207">
          <w:rPr>
            <w:rStyle w:val="Hyperlink"/>
          </w:rPr>
          <w:t>https://doi.org/https://doi.org/10.1016/j.orhc.2021.100325</w:t>
        </w:r>
      </w:hyperlink>
      <w:r w:rsidRPr="00C55207">
        <w:t xml:space="preserve"> </w:t>
      </w:r>
    </w:p>
    <w:p w14:paraId="7F87B299" w14:textId="423CB0B7" w:rsidR="00D93785" w:rsidRPr="00256066" w:rsidRDefault="00800908">
      <w:r w:rsidRPr="00256066">
        <w:fldChar w:fldCharType="end"/>
      </w:r>
    </w:p>
    <w:sectPr w:rsidR="00D93785" w:rsidRPr="00256066" w:rsidSect="0071321D">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796E9" w14:textId="77777777" w:rsidR="00026999" w:rsidRDefault="00026999" w:rsidP="0032014A">
      <w:r>
        <w:separator/>
      </w:r>
    </w:p>
    <w:p w14:paraId="59C529AE" w14:textId="77777777" w:rsidR="00026999" w:rsidRDefault="00026999" w:rsidP="0032014A"/>
  </w:endnote>
  <w:endnote w:type="continuationSeparator" w:id="0">
    <w:p w14:paraId="6544626C" w14:textId="77777777" w:rsidR="00026999" w:rsidRDefault="00026999" w:rsidP="0032014A">
      <w:r>
        <w:continuationSeparator/>
      </w:r>
    </w:p>
    <w:p w14:paraId="0B80B50F" w14:textId="77777777" w:rsidR="00026999" w:rsidRDefault="00026999" w:rsidP="00320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865304"/>
      <w:docPartObj>
        <w:docPartGallery w:val="Page Numbers (Bottom of Page)"/>
        <w:docPartUnique/>
      </w:docPartObj>
    </w:sdtPr>
    <w:sdtEndPr>
      <w:rPr>
        <w:noProof/>
      </w:rPr>
    </w:sdtEndPr>
    <w:sdtContent>
      <w:p w14:paraId="32B5F97B" w14:textId="5FEF8946" w:rsidR="008A6A6A" w:rsidRDefault="008A6A6A" w:rsidP="0032014A">
        <w:pPr>
          <w:pStyle w:val="Footer"/>
        </w:pPr>
        <w:r>
          <w:fldChar w:fldCharType="begin"/>
        </w:r>
        <w:r>
          <w:instrText xml:space="preserve"> PAGE   \* MERGEFORMAT </w:instrText>
        </w:r>
        <w:r>
          <w:fldChar w:fldCharType="separate"/>
        </w:r>
        <w:r>
          <w:rPr>
            <w:noProof/>
          </w:rPr>
          <w:t>1</w:t>
        </w:r>
        <w:r>
          <w:rPr>
            <w:noProof/>
          </w:rPr>
          <w:fldChar w:fldCharType="end"/>
        </w:r>
      </w:p>
    </w:sdtContent>
  </w:sdt>
  <w:p w14:paraId="6B7DC24A" w14:textId="77777777" w:rsidR="008A6A6A" w:rsidRDefault="008A6A6A" w:rsidP="007C0770">
    <w:pPr>
      <w:pStyle w:val="Footer"/>
    </w:pPr>
  </w:p>
  <w:p w14:paraId="646594EB" w14:textId="77777777" w:rsidR="008A6A6A" w:rsidRDefault="008A6A6A" w:rsidP="00F84E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6C20C" w14:textId="77777777" w:rsidR="00026999" w:rsidRDefault="00026999" w:rsidP="001A1923">
      <w:r>
        <w:separator/>
      </w:r>
    </w:p>
    <w:p w14:paraId="523F454A" w14:textId="77777777" w:rsidR="00026999" w:rsidRDefault="00026999" w:rsidP="0032014A"/>
  </w:footnote>
  <w:footnote w:type="continuationSeparator" w:id="0">
    <w:p w14:paraId="435E3BCC" w14:textId="77777777" w:rsidR="00026999" w:rsidRDefault="00026999" w:rsidP="0032014A">
      <w:r>
        <w:continuationSeparator/>
      </w:r>
    </w:p>
    <w:p w14:paraId="1128C8F8" w14:textId="77777777" w:rsidR="00026999" w:rsidRDefault="00026999" w:rsidP="0032014A"/>
  </w:footnote>
  <w:footnote w:id="1">
    <w:p w14:paraId="796E2962" w14:textId="3A0F76BC" w:rsidR="008A6A6A" w:rsidRDefault="008A6A6A" w:rsidP="001A1923">
      <w:pPr>
        <w:pStyle w:val="FootnoteText"/>
      </w:pPr>
      <w:r>
        <w:rPr>
          <w:rStyle w:val="FootnoteReference"/>
        </w:rPr>
        <w:footnoteRef/>
      </w:r>
      <w:r>
        <w:t xml:space="preserve"> MAPE = mean absolute percentage error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307C5"/>
    <w:multiLevelType w:val="hybridMultilevel"/>
    <w:tmpl w:val="8D7EBB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A03C66"/>
    <w:multiLevelType w:val="hybridMultilevel"/>
    <w:tmpl w:val="8F7AB6F4"/>
    <w:lvl w:ilvl="0" w:tplc="338839E8">
      <w:start w:val="1"/>
      <w:numFmt w:val="decimal"/>
      <w:lvlText w:val="%1."/>
      <w:lvlJc w:val="left"/>
      <w:pPr>
        <w:ind w:left="1020" w:hanging="360"/>
      </w:pPr>
    </w:lvl>
    <w:lvl w:ilvl="1" w:tplc="C8FACF64">
      <w:start w:val="1"/>
      <w:numFmt w:val="decimal"/>
      <w:lvlText w:val="%2."/>
      <w:lvlJc w:val="left"/>
      <w:pPr>
        <w:ind w:left="1020" w:hanging="360"/>
      </w:pPr>
    </w:lvl>
    <w:lvl w:ilvl="2" w:tplc="C51A0378">
      <w:start w:val="1"/>
      <w:numFmt w:val="decimal"/>
      <w:lvlText w:val="%3."/>
      <w:lvlJc w:val="left"/>
      <w:pPr>
        <w:ind w:left="1020" w:hanging="360"/>
      </w:pPr>
    </w:lvl>
    <w:lvl w:ilvl="3" w:tplc="782A78F4">
      <w:start w:val="1"/>
      <w:numFmt w:val="decimal"/>
      <w:lvlText w:val="%4."/>
      <w:lvlJc w:val="left"/>
      <w:pPr>
        <w:ind w:left="1020" w:hanging="360"/>
      </w:pPr>
    </w:lvl>
    <w:lvl w:ilvl="4" w:tplc="8A12703C">
      <w:start w:val="1"/>
      <w:numFmt w:val="decimal"/>
      <w:lvlText w:val="%5."/>
      <w:lvlJc w:val="left"/>
      <w:pPr>
        <w:ind w:left="1020" w:hanging="360"/>
      </w:pPr>
    </w:lvl>
    <w:lvl w:ilvl="5" w:tplc="10945B58">
      <w:start w:val="1"/>
      <w:numFmt w:val="decimal"/>
      <w:lvlText w:val="%6."/>
      <w:lvlJc w:val="left"/>
      <w:pPr>
        <w:ind w:left="1020" w:hanging="360"/>
      </w:pPr>
    </w:lvl>
    <w:lvl w:ilvl="6" w:tplc="CBF2BBBE">
      <w:start w:val="1"/>
      <w:numFmt w:val="decimal"/>
      <w:lvlText w:val="%7."/>
      <w:lvlJc w:val="left"/>
      <w:pPr>
        <w:ind w:left="1020" w:hanging="360"/>
      </w:pPr>
    </w:lvl>
    <w:lvl w:ilvl="7" w:tplc="22C67956">
      <w:start w:val="1"/>
      <w:numFmt w:val="decimal"/>
      <w:lvlText w:val="%8."/>
      <w:lvlJc w:val="left"/>
      <w:pPr>
        <w:ind w:left="1020" w:hanging="360"/>
      </w:pPr>
    </w:lvl>
    <w:lvl w:ilvl="8" w:tplc="7C5EB856">
      <w:start w:val="1"/>
      <w:numFmt w:val="decimal"/>
      <w:lvlText w:val="%9."/>
      <w:lvlJc w:val="left"/>
      <w:pPr>
        <w:ind w:left="1020" w:hanging="360"/>
      </w:pPr>
    </w:lvl>
  </w:abstractNum>
  <w:abstractNum w:abstractNumId="2" w15:restartNumberingAfterBreak="0">
    <w:nsid w:val="1A8A4A22"/>
    <w:multiLevelType w:val="hybridMultilevel"/>
    <w:tmpl w:val="9F5AC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EB52AA"/>
    <w:multiLevelType w:val="hybridMultilevel"/>
    <w:tmpl w:val="03B22E1E"/>
    <w:lvl w:ilvl="0" w:tplc="B8425A0C">
      <w:start w:val="1"/>
      <w:numFmt w:val="decimal"/>
      <w:lvlText w:val="%1."/>
      <w:lvlJc w:val="left"/>
      <w:pPr>
        <w:ind w:left="1020" w:hanging="360"/>
      </w:pPr>
    </w:lvl>
    <w:lvl w:ilvl="1" w:tplc="DA86C67E">
      <w:start w:val="1"/>
      <w:numFmt w:val="decimal"/>
      <w:lvlText w:val="%2."/>
      <w:lvlJc w:val="left"/>
      <w:pPr>
        <w:ind w:left="1020" w:hanging="360"/>
      </w:pPr>
    </w:lvl>
    <w:lvl w:ilvl="2" w:tplc="681A3AD2">
      <w:start w:val="1"/>
      <w:numFmt w:val="decimal"/>
      <w:lvlText w:val="%3."/>
      <w:lvlJc w:val="left"/>
      <w:pPr>
        <w:ind w:left="1020" w:hanging="360"/>
      </w:pPr>
    </w:lvl>
    <w:lvl w:ilvl="3" w:tplc="F6E2055E">
      <w:start w:val="1"/>
      <w:numFmt w:val="decimal"/>
      <w:lvlText w:val="%4."/>
      <w:lvlJc w:val="left"/>
      <w:pPr>
        <w:ind w:left="1020" w:hanging="360"/>
      </w:pPr>
    </w:lvl>
    <w:lvl w:ilvl="4" w:tplc="2F4613E8">
      <w:start w:val="1"/>
      <w:numFmt w:val="decimal"/>
      <w:lvlText w:val="%5."/>
      <w:lvlJc w:val="left"/>
      <w:pPr>
        <w:ind w:left="1020" w:hanging="360"/>
      </w:pPr>
    </w:lvl>
    <w:lvl w:ilvl="5" w:tplc="07D26F80">
      <w:start w:val="1"/>
      <w:numFmt w:val="decimal"/>
      <w:lvlText w:val="%6."/>
      <w:lvlJc w:val="left"/>
      <w:pPr>
        <w:ind w:left="1020" w:hanging="360"/>
      </w:pPr>
    </w:lvl>
    <w:lvl w:ilvl="6" w:tplc="20FA998A">
      <w:start w:val="1"/>
      <w:numFmt w:val="decimal"/>
      <w:lvlText w:val="%7."/>
      <w:lvlJc w:val="left"/>
      <w:pPr>
        <w:ind w:left="1020" w:hanging="360"/>
      </w:pPr>
    </w:lvl>
    <w:lvl w:ilvl="7" w:tplc="DC2637C2">
      <w:start w:val="1"/>
      <w:numFmt w:val="decimal"/>
      <w:lvlText w:val="%8."/>
      <w:lvlJc w:val="left"/>
      <w:pPr>
        <w:ind w:left="1020" w:hanging="360"/>
      </w:pPr>
    </w:lvl>
    <w:lvl w:ilvl="8" w:tplc="89C4876A">
      <w:start w:val="1"/>
      <w:numFmt w:val="decimal"/>
      <w:lvlText w:val="%9."/>
      <w:lvlJc w:val="left"/>
      <w:pPr>
        <w:ind w:left="1020" w:hanging="360"/>
      </w:pPr>
    </w:lvl>
  </w:abstractNum>
  <w:abstractNum w:abstractNumId="4" w15:restartNumberingAfterBreak="0">
    <w:nsid w:val="1FE55C60"/>
    <w:multiLevelType w:val="multilevel"/>
    <w:tmpl w:val="1B9ED94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1B654F"/>
    <w:multiLevelType w:val="multilevel"/>
    <w:tmpl w:val="16262514"/>
    <w:lvl w:ilvl="0">
      <w:start w:val="1"/>
      <w:numFmt w:val="decimal"/>
      <w:pStyle w:val="Heading1"/>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A724392"/>
    <w:multiLevelType w:val="hybridMultilevel"/>
    <w:tmpl w:val="4D169D2E"/>
    <w:lvl w:ilvl="0" w:tplc="65DC03FC">
      <w:start w:val="65"/>
      <w:numFmt w:val="bullet"/>
      <w:lvlText w:val=""/>
      <w:lvlJc w:val="left"/>
      <w:pPr>
        <w:ind w:left="720" w:hanging="360"/>
      </w:pPr>
      <w:rPr>
        <w:rFonts w:ascii="Wingdings" w:eastAsia="Times New Roman" w:hAnsi="Wingding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B4283"/>
    <w:multiLevelType w:val="multilevel"/>
    <w:tmpl w:val="A56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B59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3644CD"/>
    <w:multiLevelType w:val="hybridMultilevel"/>
    <w:tmpl w:val="FB2E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056159">
    <w:abstractNumId w:val="9"/>
  </w:num>
  <w:num w:numId="2" w16cid:durableId="2143688126">
    <w:abstractNumId w:val="7"/>
  </w:num>
  <w:num w:numId="3" w16cid:durableId="1334723276">
    <w:abstractNumId w:val="6"/>
  </w:num>
  <w:num w:numId="4" w16cid:durableId="1107044505">
    <w:abstractNumId w:val="3"/>
  </w:num>
  <w:num w:numId="5" w16cid:durableId="446123360">
    <w:abstractNumId w:val="1"/>
  </w:num>
  <w:num w:numId="6" w16cid:durableId="1350255780">
    <w:abstractNumId w:val="2"/>
  </w:num>
  <w:num w:numId="7" w16cid:durableId="1923827747">
    <w:abstractNumId w:val="5"/>
  </w:num>
  <w:num w:numId="8" w16cid:durableId="1552158080">
    <w:abstractNumId w:val="0"/>
  </w:num>
  <w:num w:numId="9" w16cid:durableId="1334526977">
    <w:abstractNumId w:val="4"/>
  </w:num>
  <w:num w:numId="10" w16cid:durableId="906379380">
    <w:abstractNumId w:val="8"/>
  </w:num>
  <w:num w:numId="11" w16cid:durableId="544215505">
    <w:abstractNumId w:val="5"/>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TF-Standard APA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xsezaf7atedqef9vk5drdt9xzpawp0w5rv&quot;&gt;AgeandFrailty&lt;record-ids&gt;&lt;item&gt;5&lt;/item&gt;&lt;item&gt;6&lt;/item&gt;&lt;item&gt;8&lt;/item&gt;&lt;item&gt;9&lt;/item&gt;&lt;item&gt;13&lt;/item&gt;&lt;item&gt;14&lt;/item&gt;&lt;item&gt;15&lt;/item&gt;&lt;item&gt;16&lt;/item&gt;&lt;item&gt;18&lt;/item&gt;&lt;item&gt;19&lt;/item&gt;&lt;item&gt;20&lt;/item&gt;&lt;item&gt;21&lt;/item&gt;&lt;item&gt;22&lt;/item&gt;&lt;item&gt;23&lt;/item&gt;&lt;item&gt;25&lt;/item&gt;&lt;item&gt;26&lt;/item&gt;&lt;item&gt;27&lt;/item&gt;&lt;item&gt;29&lt;/item&gt;&lt;item&gt;30&lt;/item&gt;&lt;item&gt;31&lt;/item&gt;&lt;item&gt;32&lt;/item&gt;&lt;item&gt;33&lt;/item&gt;&lt;item&gt;34&lt;/item&gt;&lt;item&gt;36&lt;/item&gt;&lt;item&gt;38&lt;/item&gt;&lt;item&gt;39&lt;/item&gt;&lt;item&gt;40&lt;/item&gt;&lt;item&gt;41&lt;/item&gt;&lt;item&gt;42&lt;/item&gt;&lt;item&gt;44&lt;/item&gt;&lt;item&gt;45&lt;/item&gt;&lt;item&gt;46&lt;/item&gt;&lt;item&gt;47&lt;/item&gt;&lt;item&gt;48&lt;/item&gt;&lt;item&gt;50&lt;/item&gt;&lt;item&gt;52&lt;/item&gt;&lt;item&gt;69&lt;/item&gt;&lt;item&gt;75&lt;/item&gt;&lt;item&gt;89&lt;/item&gt;&lt;item&gt;91&lt;/item&gt;&lt;item&gt;95&lt;/item&gt;&lt;item&gt;96&lt;/item&gt;&lt;item&gt;97&lt;/item&gt;&lt;item&gt;99&lt;/item&gt;&lt;item&gt;100&lt;/item&gt;&lt;item&gt;107&lt;/item&gt;&lt;item&gt;108&lt;/item&gt;&lt;item&gt;109&lt;/item&gt;&lt;/record-ids&gt;&lt;/item&gt;&lt;/Libraries&gt;"/>
  </w:docVars>
  <w:rsids>
    <w:rsidRoot w:val="003E60FB"/>
    <w:rsid w:val="00000ED2"/>
    <w:rsid w:val="00002561"/>
    <w:rsid w:val="00002BD8"/>
    <w:rsid w:val="00006214"/>
    <w:rsid w:val="00006ACF"/>
    <w:rsid w:val="000100E3"/>
    <w:rsid w:val="000112B8"/>
    <w:rsid w:val="00012257"/>
    <w:rsid w:val="000126F7"/>
    <w:rsid w:val="00012B33"/>
    <w:rsid w:val="00012C8C"/>
    <w:rsid w:val="00012D3A"/>
    <w:rsid w:val="000156F1"/>
    <w:rsid w:val="00015E28"/>
    <w:rsid w:val="000177BF"/>
    <w:rsid w:val="00017BBE"/>
    <w:rsid w:val="0002411F"/>
    <w:rsid w:val="000241F1"/>
    <w:rsid w:val="00026999"/>
    <w:rsid w:val="0003006C"/>
    <w:rsid w:val="000333EB"/>
    <w:rsid w:val="00034586"/>
    <w:rsid w:val="0003609B"/>
    <w:rsid w:val="00037182"/>
    <w:rsid w:val="000373BE"/>
    <w:rsid w:val="00037B72"/>
    <w:rsid w:val="00040597"/>
    <w:rsid w:val="00040831"/>
    <w:rsid w:val="00040851"/>
    <w:rsid w:val="000411DB"/>
    <w:rsid w:val="00043D09"/>
    <w:rsid w:val="00043F04"/>
    <w:rsid w:val="00044183"/>
    <w:rsid w:val="00046F7A"/>
    <w:rsid w:val="00050EB4"/>
    <w:rsid w:val="0005125E"/>
    <w:rsid w:val="000519B5"/>
    <w:rsid w:val="00052633"/>
    <w:rsid w:val="0005290F"/>
    <w:rsid w:val="00056F3B"/>
    <w:rsid w:val="0005744B"/>
    <w:rsid w:val="000574CF"/>
    <w:rsid w:val="00057A52"/>
    <w:rsid w:val="00057EBD"/>
    <w:rsid w:val="00060472"/>
    <w:rsid w:val="00063B9B"/>
    <w:rsid w:val="0006408C"/>
    <w:rsid w:val="00064BE6"/>
    <w:rsid w:val="00065122"/>
    <w:rsid w:val="00066990"/>
    <w:rsid w:val="00070FDE"/>
    <w:rsid w:val="00071665"/>
    <w:rsid w:val="00072078"/>
    <w:rsid w:val="00072568"/>
    <w:rsid w:val="0007258F"/>
    <w:rsid w:val="000737AD"/>
    <w:rsid w:val="00074682"/>
    <w:rsid w:val="000757CD"/>
    <w:rsid w:val="000758CD"/>
    <w:rsid w:val="000775BE"/>
    <w:rsid w:val="000800E4"/>
    <w:rsid w:val="00081371"/>
    <w:rsid w:val="00081900"/>
    <w:rsid w:val="00083990"/>
    <w:rsid w:val="00085594"/>
    <w:rsid w:val="00086346"/>
    <w:rsid w:val="00086E0A"/>
    <w:rsid w:val="00087EC4"/>
    <w:rsid w:val="00090646"/>
    <w:rsid w:val="00090979"/>
    <w:rsid w:val="00093195"/>
    <w:rsid w:val="00093E17"/>
    <w:rsid w:val="000952CA"/>
    <w:rsid w:val="0009560E"/>
    <w:rsid w:val="0009610C"/>
    <w:rsid w:val="000967E0"/>
    <w:rsid w:val="00097710"/>
    <w:rsid w:val="000A0575"/>
    <w:rsid w:val="000A122B"/>
    <w:rsid w:val="000A16B8"/>
    <w:rsid w:val="000A1ED1"/>
    <w:rsid w:val="000A2777"/>
    <w:rsid w:val="000A2A09"/>
    <w:rsid w:val="000A33EE"/>
    <w:rsid w:val="000A3A81"/>
    <w:rsid w:val="000A5D34"/>
    <w:rsid w:val="000A60C0"/>
    <w:rsid w:val="000B08D5"/>
    <w:rsid w:val="000B1445"/>
    <w:rsid w:val="000B1ED6"/>
    <w:rsid w:val="000B3D7F"/>
    <w:rsid w:val="000B4307"/>
    <w:rsid w:val="000B4549"/>
    <w:rsid w:val="000B5120"/>
    <w:rsid w:val="000C300D"/>
    <w:rsid w:val="000C3439"/>
    <w:rsid w:val="000C4077"/>
    <w:rsid w:val="000C4FB0"/>
    <w:rsid w:val="000C51FD"/>
    <w:rsid w:val="000C5611"/>
    <w:rsid w:val="000C7677"/>
    <w:rsid w:val="000C77C4"/>
    <w:rsid w:val="000D25C0"/>
    <w:rsid w:val="000D2E55"/>
    <w:rsid w:val="000D3DBF"/>
    <w:rsid w:val="000D3E0D"/>
    <w:rsid w:val="000D4415"/>
    <w:rsid w:val="000D4921"/>
    <w:rsid w:val="000D4933"/>
    <w:rsid w:val="000D699B"/>
    <w:rsid w:val="000D75B8"/>
    <w:rsid w:val="000E3C15"/>
    <w:rsid w:val="000E4B21"/>
    <w:rsid w:val="000F09B5"/>
    <w:rsid w:val="000F3358"/>
    <w:rsid w:val="000F56A2"/>
    <w:rsid w:val="000F5809"/>
    <w:rsid w:val="000F5C05"/>
    <w:rsid w:val="000F6161"/>
    <w:rsid w:val="000F6C75"/>
    <w:rsid w:val="000F7134"/>
    <w:rsid w:val="0010181F"/>
    <w:rsid w:val="001033E7"/>
    <w:rsid w:val="00104E02"/>
    <w:rsid w:val="00111217"/>
    <w:rsid w:val="0011143D"/>
    <w:rsid w:val="0011233A"/>
    <w:rsid w:val="0011254C"/>
    <w:rsid w:val="001125FF"/>
    <w:rsid w:val="00112794"/>
    <w:rsid w:val="00112DE2"/>
    <w:rsid w:val="001162C0"/>
    <w:rsid w:val="00116CFF"/>
    <w:rsid w:val="00116E68"/>
    <w:rsid w:val="0011732C"/>
    <w:rsid w:val="00117C75"/>
    <w:rsid w:val="00121F19"/>
    <w:rsid w:val="00122E84"/>
    <w:rsid w:val="00124F44"/>
    <w:rsid w:val="00124FE8"/>
    <w:rsid w:val="00125028"/>
    <w:rsid w:val="001256E0"/>
    <w:rsid w:val="00125D6A"/>
    <w:rsid w:val="0012606E"/>
    <w:rsid w:val="00126B18"/>
    <w:rsid w:val="00127883"/>
    <w:rsid w:val="00130307"/>
    <w:rsid w:val="00130754"/>
    <w:rsid w:val="00131307"/>
    <w:rsid w:val="00131952"/>
    <w:rsid w:val="00134CC8"/>
    <w:rsid w:val="00136B81"/>
    <w:rsid w:val="00136DFA"/>
    <w:rsid w:val="00141776"/>
    <w:rsid w:val="0014232D"/>
    <w:rsid w:val="0014315E"/>
    <w:rsid w:val="0014367B"/>
    <w:rsid w:val="00144574"/>
    <w:rsid w:val="001458B5"/>
    <w:rsid w:val="00145C6F"/>
    <w:rsid w:val="00146097"/>
    <w:rsid w:val="001525CD"/>
    <w:rsid w:val="0015334A"/>
    <w:rsid w:val="00153B3A"/>
    <w:rsid w:val="00153FDA"/>
    <w:rsid w:val="00154F73"/>
    <w:rsid w:val="0015588D"/>
    <w:rsid w:val="00155E84"/>
    <w:rsid w:val="00156B0E"/>
    <w:rsid w:val="00157ACD"/>
    <w:rsid w:val="00157EC0"/>
    <w:rsid w:val="00160AAF"/>
    <w:rsid w:val="00160EAB"/>
    <w:rsid w:val="00160F17"/>
    <w:rsid w:val="001613B2"/>
    <w:rsid w:val="00166DA9"/>
    <w:rsid w:val="0016739D"/>
    <w:rsid w:val="00170073"/>
    <w:rsid w:val="001737A0"/>
    <w:rsid w:val="00173CD4"/>
    <w:rsid w:val="00173CE5"/>
    <w:rsid w:val="00175266"/>
    <w:rsid w:val="00175D64"/>
    <w:rsid w:val="00180415"/>
    <w:rsid w:val="00182891"/>
    <w:rsid w:val="001843BA"/>
    <w:rsid w:val="00184E66"/>
    <w:rsid w:val="001852EC"/>
    <w:rsid w:val="00190C20"/>
    <w:rsid w:val="00193B1D"/>
    <w:rsid w:val="00194DA0"/>
    <w:rsid w:val="00197075"/>
    <w:rsid w:val="001A0061"/>
    <w:rsid w:val="001A15F5"/>
    <w:rsid w:val="001A1923"/>
    <w:rsid w:val="001A2860"/>
    <w:rsid w:val="001A367A"/>
    <w:rsid w:val="001A44F1"/>
    <w:rsid w:val="001A77A8"/>
    <w:rsid w:val="001B10C8"/>
    <w:rsid w:val="001B17BF"/>
    <w:rsid w:val="001B1F21"/>
    <w:rsid w:val="001B2D68"/>
    <w:rsid w:val="001B6AFA"/>
    <w:rsid w:val="001B7261"/>
    <w:rsid w:val="001B7B07"/>
    <w:rsid w:val="001B7E3E"/>
    <w:rsid w:val="001C037F"/>
    <w:rsid w:val="001C0807"/>
    <w:rsid w:val="001C1F5F"/>
    <w:rsid w:val="001C3281"/>
    <w:rsid w:val="001C35AC"/>
    <w:rsid w:val="001C3A73"/>
    <w:rsid w:val="001C528F"/>
    <w:rsid w:val="001C6EE0"/>
    <w:rsid w:val="001D01A0"/>
    <w:rsid w:val="001D10A1"/>
    <w:rsid w:val="001D156C"/>
    <w:rsid w:val="001D1BB2"/>
    <w:rsid w:val="001D5A18"/>
    <w:rsid w:val="001D60DA"/>
    <w:rsid w:val="001D6154"/>
    <w:rsid w:val="001D63F0"/>
    <w:rsid w:val="001D7259"/>
    <w:rsid w:val="001E00F6"/>
    <w:rsid w:val="001E1174"/>
    <w:rsid w:val="001E126D"/>
    <w:rsid w:val="001E2D79"/>
    <w:rsid w:val="001E74AA"/>
    <w:rsid w:val="001E7F9E"/>
    <w:rsid w:val="001F0451"/>
    <w:rsid w:val="001F058D"/>
    <w:rsid w:val="001F16FA"/>
    <w:rsid w:val="001F1F40"/>
    <w:rsid w:val="001F251B"/>
    <w:rsid w:val="001F28F1"/>
    <w:rsid w:val="001F2E23"/>
    <w:rsid w:val="001F5927"/>
    <w:rsid w:val="001F6776"/>
    <w:rsid w:val="0020103E"/>
    <w:rsid w:val="0020138E"/>
    <w:rsid w:val="00203836"/>
    <w:rsid w:val="00205F4B"/>
    <w:rsid w:val="0020676E"/>
    <w:rsid w:val="00207442"/>
    <w:rsid w:val="00212DB4"/>
    <w:rsid w:val="00213DBA"/>
    <w:rsid w:val="002153CE"/>
    <w:rsid w:val="00216B51"/>
    <w:rsid w:val="00217C5A"/>
    <w:rsid w:val="00221228"/>
    <w:rsid w:val="00221C6E"/>
    <w:rsid w:val="00223365"/>
    <w:rsid w:val="0022563A"/>
    <w:rsid w:val="00227F92"/>
    <w:rsid w:val="0023070A"/>
    <w:rsid w:val="00230E86"/>
    <w:rsid w:val="002321A1"/>
    <w:rsid w:val="00232DA1"/>
    <w:rsid w:val="00233AC2"/>
    <w:rsid w:val="002341AE"/>
    <w:rsid w:val="002351AC"/>
    <w:rsid w:val="002412D3"/>
    <w:rsid w:val="00241B9D"/>
    <w:rsid w:val="00241EAC"/>
    <w:rsid w:val="002424F7"/>
    <w:rsid w:val="00242779"/>
    <w:rsid w:val="00242BA8"/>
    <w:rsid w:val="0024389D"/>
    <w:rsid w:val="00243D82"/>
    <w:rsid w:val="00244F1B"/>
    <w:rsid w:val="002476B7"/>
    <w:rsid w:val="00252B81"/>
    <w:rsid w:val="00253220"/>
    <w:rsid w:val="002541CB"/>
    <w:rsid w:val="00254D58"/>
    <w:rsid w:val="00255C8B"/>
    <w:rsid w:val="00256066"/>
    <w:rsid w:val="00261352"/>
    <w:rsid w:val="002619E5"/>
    <w:rsid w:val="00263B7E"/>
    <w:rsid w:val="002658EC"/>
    <w:rsid w:val="00265A66"/>
    <w:rsid w:val="00265CD0"/>
    <w:rsid w:val="002661EB"/>
    <w:rsid w:val="0027006D"/>
    <w:rsid w:val="00271B99"/>
    <w:rsid w:val="00271F25"/>
    <w:rsid w:val="002752DA"/>
    <w:rsid w:val="00277135"/>
    <w:rsid w:val="002801F7"/>
    <w:rsid w:val="002804B0"/>
    <w:rsid w:val="0028158D"/>
    <w:rsid w:val="00281F12"/>
    <w:rsid w:val="00283743"/>
    <w:rsid w:val="00285882"/>
    <w:rsid w:val="00285EB8"/>
    <w:rsid w:val="00291460"/>
    <w:rsid w:val="0029419E"/>
    <w:rsid w:val="0029747B"/>
    <w:rsid w:val="002A207D"/>
    <w:rsid w:val="002A65EF"/>
    <w:rsid w:val="002A6A5C"/>
    <w:rsid w:val="002A777F"/>
    <w:rsid w:val="002B080C"/>
    <w:rsid w:val="002B1536"/>
    <w:rsid w:val="002B1EDB"/>
    <w:rsid w:val="002B23F4"/>
    <w:rsid w:val="002B6FE1"/>
    <w:rsid w:val="002B7494"/>
    <w:rsid w:val="002B7A2E"/>
    <w:rsid w:val="002B7E6E"/>
    <w:rsid w:val="002C0EC5"/>
    <w:rsid w:val="002C6532"/>
    <w:rsid w:val="002D3414"/>
    <w:rsid w:val="002D35E4"/>
    <w:rsid w:val="002D3C97"/>
    <w:rsid w:val="002D4CA0"/>
    <w:rsid w:val="002D57B1"/>
    <w:rsid w:val="002D6BF0"/>
    <w:rsid w:val="002D73A4"/>
    <w:rsid w:val="002E067D"/>
    <w:rsid w:val="002E0BF3"/>
    <w:rsid w:val="002E1B6D"/>
    <w:rsid w:val="002E28C8"/>
    <w:rsid w:val="002E2F1A"/>
    <w:rsid w:val="002E3E85"/>
    <w:rsid w:val="002E435C"/>
    <w:rsid w:val="002E5766"/>
    <w:rsid w:val="002E62A3"/>
    <w:rsid w:val="002E665B"/>
    <w:rsid w:val="002E7BB0"/>
    <w:rsid w:val="002F0DBD"/>
    <w:rsid w:val="002F29FD"/>
    <w:rsid w:val="002F3ECE"/>
    <w:rsid w:val="002F4898"/>
    <w:rsid w:val="002F4D5C"/>
    <w:rsid w:val="002F659A"/>
    <w:rsid w:val="002F6807"/>
    <w:rsid w:val="002F6E10"/>
    <w:rsid w:val="00300805"/>
    <w:rsid w:val="00302774"/>
    <w:rsid w:val="0030278F"/>
    <w:rsid w:val="00302A4E"/>
    <w:rsid w:val="00302F75"/>
    <w:rsid w:val="00303E93"/>
    <w:rsid w:val="00303FA8"/>
    <w:rsid w:val="00306A06"/>
    <w:rsid w:val="00307D2E"/>
    <w:rsid w:val="00312269"/>
    <w:rsid w:val="0031399E"/>
    <w:rsid w:val="003141A1"/>
    <w:rsid w:val="00314F42"/>
    <w:rsid w:val="00315833"/>
    <w:rsid w:val="0031668C"/>
    <w:rsid w:val="00320082"/>
    <w:rsid w:val="0032014A"/>
    <w:rsid w:val="003205C8"/>
    <w:rsid w:val="003229FC"/>
    <w:rsid w:val="00323604"/>
    <w:rsid w:val="00323800"/>
    <w:rsid w:val="00323E38"/>
    <w:rsid w:val="00323FB8"/>
    <w:rsid w:val="0032550C"/>
    <w:rsid w:val="00326119"/>
    <w:rsid w:val="00330578"/>
    <w:rsid w:val="003306EE"/>
    <w:rsid w:val="0033120D"/>
    <w:rsid w:val="0033323D"/>
    <w:rsid w:val="00333273"/>
    <w:rsid w:val="003362DD"/>
    <w:rsid w:val="00336657"/>
    <w:rsid w:val="003377ED"/>
    <w:rsid w:val="00344BA1"/>
    <w:rsid w:val="00346071"/>
    <w:rsid w:val="003512E1"/>
    <w:rsid w:val="00351AA1"/>
    <w:rsid w:val="00352C48"/>
    <w:rsid w:val="00353958"/>
    <w:rsid w:val="00355111"/>
    <w:rsid w:val="00355702"/>
    <w:rsid w:val="003560CE"/>
    <w:rsid w:val="00356925"/>
    <w:rsid w:val="00360251"/>
    <w:rsid w:val="00360276"/>
    <w:rsid w:val="00361529"/>
    <w:rsid w:val="003619E5"/>
    <w:rsid w:val="00361C6F"/>
    <w:rsid w:val="003623DC"/>
    <w:rsid w:val="00362B51"/>
    <w:rsid w:val="00363C0F"/>
    <w:rsid w:val="003642F7"/>
    <w:rsid w:val="00365BE5"/>
    <w:rsid w:val="003673C3"/>
    <w:rsid w:val="00367938"/>
    <w:rsid w:val="00373758"/>
    <w:rsid w:val="003742D0"/>
    <w:rsid w:val="0037454B"/>
    <w:rsid w:val="00374F83"/>
    <w:rsid w:val="003777F4"/>
    <w:rsid w:val="00377837"/>
    <w:rsid w:val="00377BFB"/>
    <w:rsid w:val="003802DE"/>
    <w:rsid w:val="00380C7E"/>
    <w:rsid w:val="003810DC"/>
    <w:rsid w:val="0038215B"/>
    <w:rsid w:val="003827C8"/>
    <w:rsid w:val="0038331A"/>
    <w:rsid w:val="00385EEB"/>
    <w:rsid w:val="00386538"/>
    <w:rsid w:val="00390478"/>
    <w:rsid w:val="00390EFD"/>
    <w:rsid w:val="00391799"/>
    <w:rsid w:val="003930E7"/>
    <w:rsid w:val="00393744"/>
    <w:rsid w:val="003954DA"/>
    <w:rsid w:val="00395566"/>
    <w:rsid w:val="00395EC9"/>
    <w:rsid w:val="00397245"/>
    <w:rsid w:val="003A10AE"/>
    <w:rsid w:val="003A4A58"/>
    <w:rsid w:val="003A6A30"/>
    <w:rsid w:val="003A6EF1"/>
    <w:rsid w:val="003B1990"/>
    <w:rsid w:val="003B1CD1"/>
    <w:rsid w:val="003B1FF1"/>
    <w:rsid w:val="003B3543"/>
    <w:rsid w:val="003B5614"/>
    <w:rsid w:val="003B5DE7"/>
    <w:rsid w:val="003B5F84"/>
    <w:rsid w:val="003B600B"/>
    <w:rsid w:val="003B672D"/>
    <w:rsid w:val="003B7C56"/>
    <w:rsid w:val="003C0EF0"/>
    <w:rsid w:val="003C3580"/>
    <w:rsid w:val="003C4A43"/>
    <w:rsid w:val="003C58DD"/>
    <w:rsid w:val="003C5F8F"/>
    <w:rsid w:val="003D1BE8"/>
    <w:rsid w:val="003D3141"/>
    <w:rsid w:val="003E196A"/>
    <w:rsid w:val="003E1D32"/>
    <w:rsid w:val="003E1ED1"/>
    <w:rsid w:val="003E32D9"/>
    <w:rsid w:val="003E4FD9"/>
    <w:rsid w:val="003E500C"/>
    <w:rsid w:val="003E51D6"/>
    <w:rsid w:val="003E60FB"/>
    <w:rsid w:val="003E706A"/>
    <w:rsid w:val="003F0F3F"/>
    <w:rsid w:val="003F1511"/>
    <w:rsid w:val="003F28A5"/>
    <w:rsid w:val="003F2CB5"/>
    <w:rsid w:val="003F6E56"/>
    <w:rsid w:val="003F7D31"/>
    <w:rsid w:val="00400F15"/>
    <w:rsid w:val="004012E9"/>
    <w:rsid w:val="00405474"/>
    <w:rsid w:val="004055A8"/>
    <w:rsid w:val="004072AA"/>
    <w:rsid w:val="00411AAF"/>
    <w:rsid w:val="00415D02"/>
    <w:rsid w:val="004165C2"/>
    <w:rsid w:val="00420E38"/>
    <w:rsid w:val="004215DA"/>
    <w:rsid w:val="00422687"/>
    <w:rsid w:val="00422F20"/>
    <w:rsid w:val="00423F30"/>
    <w:rsid w:val="0043093E"/>
    <w:rsid w:val="004327E0"/>
    <w:rsid w:val="00432E35"/>
    <w:rsid w:val="00433620"/>
    <w:rsid w:val="00433A2D"/>
    <w:rsid w:val="00435237"/>
    <w:rsid w:val="00436191"/>
    <w:rsid w:val="0043689D"/>
    <w:rsid w:val="00436BF9"/>
    <w:rsid w:val="00441BBE"/>
    <w:rsid w:val="0044294B"/>
    <w:rsid w:val="00442C28"/>
    <w:rsid w:val="00447199"/>
    <w:rsid w:val="004472B4"/>
    <w:rsid w:val="004513F0"/>
    <w:rsid w:val="004517B4"/>
    <w:rsid w:val="00451962"/>
    <w:rsid w:val="00453022"/>
    <w:rsid w:val="0045557F"/>
    <w:rsid w:val="0045578F"/>
    <w:rsid w:val="004567EA"/>
    <w:rsid w:val="004571A0"/>
    <w:rsid w:val="00457459"/>
    <w:rsid w:val="004576E3"/>
    <w:rsid w:val="004617FE"/>
    <w:rsid w:val="00462100"/>
    <w:rsid w:val="00463BBC"/>
    <w:rsid w:val="004641CF"/>
    <w:rsid w:val="004648E2"/>
    <w:rsid w:val="004663C9"/>
    <w:rsid w:val="00470570"/>
    <w:rsid w:val="00470DF3"/>
    <w:rsid w:val="00472475"/>
    <w:rsid w:val="00472A52"/>
    <w:rsid w:val="004774CA"/>
    <w:rsid w:val="004774FA"/>
    <w:rsid w:val="00485200"/>
    <w:rsid w:val="00486F42"/>
    <w:rsid w:val="004902CA"/>
    <w:rsid w:val="00491946"/>
    <w:rsid w:val="00492D51"/>
    <w:rsid w:val="00493D82"/>
    <w:rsid w:val="004956F7"/>
    <w:rsid w:val="00497647"/>
    <w:rsid w:val="004A00C1"/>
    <w:rsid w:val="004A056C"/>
    <w:rsid w:val="004A28F8"/>
    <w:rsid w:val="004A3945"/>
    <w:rsid w:val="004A466D"/>
    <w:rsid w:val="004A4E33"/>
    <w:rsid w:val="004A5888"/>
    <w:rsid w:val="004A63B8"/>
    <w:rsid w:val="004B0753"/>
    <w:rsid w:val="004B258A"/>
    <w:rsid w:val="004B2A7A"/>
    <w:rsid w:val="004B4A41"/>
    <w:rsid w:val="004B7F8D"/>
    <w:rsid w:val="004C0FE0"/>
    <w:rsid w:val="004C13DC"/>
    <w:rsid w:val="004C1663"/>
    <w:rsid w:val="004C1D22"/>
    <w:rsid w:val="004C2B09"/>
    <w:rsid w:val="004C2BA2"/>
    <w:rsid w:val="004C351C"/>
    <w:rsid w:val="004C4FE0"/>
    <w:rsid w:val="004C596A"/>
    <w:rsid w:val="004C5D31"/>
    <w:rsid w:val="004C735B"/>
    <w:rsid w:val="004D05F2"/>
    <w:rsid w:val="004D06F5"/>
    <w:rsid w:val="004D0B21"/>
    <w:rsid w:val="004D0BAB"/>
    <w:rsid w:val="004D213C"/>
    <w:rsid w:val="004D29A7"/>
    <w:rsid w:val="004D29E9"/>
    <w:rsid w:val="004D476E"/>
    <w:rsid w:val="004D4A7C"/>
    <w:rsid w:val="004D6F3E"/>
    <w:rsid w:val="004E00DD"/>
    <w:rsid w:val="004E0676"/>
    <w:rsid w:val="004E10CE"/>
    <w:rsid w:val="004E133F"/>
    <w:rsid w:val="004E1C74"/>
    <w:rsid w:val="004E1EC8"/>
    <w:rsid w:val="004E2E73"/>
    <w:rsid w:val="004E383B"/>
    <w:rsid w:val="004E4463"/>
    <w:rsid w:val="004E6FDD"/>
    <w:rsid w:val="004E7213"/>
    <w:rsid w:val="004E7837"/>
    <w:rsid w:val="004E7A8C"/>
    <w:rsid w:val="004F0F2A"/>
    <w:rsid w:val="004F18B8"/>
    <w:rsid w:val="004F2E7F"/>
    <w:rsid w:val="004F45B4"/>
    <w:rsid w:val="004F5BE4"/>
    <w:rsid w:val="004F67A3"/>
    <w:rsid w:val="004F7F54"/>
    <w:rsid w:val="00500A0E"/>
    <w:rsid w:val="00503036"/>
    <w:rsid w:val="00504A44"/>
    <w:rsid w:val="00504AC0"/>
    <w:rsid w:val="00505620"/>
    <w:rsid w:val="005056F3"/>
    <w:rsid w:val="00507DE4"/>
    <w:rsid w:val="005109CB"/>
    <w:rsid w:val="00510EFB"/>
    <w:rsid w:val="00511B36"/>
    <w:rsid w:val="0051499D"/>
    <w:rsid w:val="00521315"/>
    <w:rsid w:val="005215AA"/>
    <w:rsid w:val="00523595"/>
    <w:rsid w:val="0052393A"/>
    <w:rsid w:val="00524547"/>
    <w:rsid w:val="00526294"/>
    <w:rsid w:val="0052680D"/>
    <w:rsid w:val="00527437"/>
    <w:rsid w:val="00527DE3"/>
    <w:rsid w:val="00535CBF"/>
    <w:rsid w:val="00536DD5"/>
    <w:rsid w:val="00536E89"/>
    <w:rsid w:val="0053776A"/>
    <w:rsid w:val="00542D43"/>
    <w:rsid w:val="00543051"/>
    <w:rsid w:val="00543831"/>
    <w:rsid w:val="0054485F"/>
    <w:rsid w:val="00547233"/>
    <w:rsid w:val="005508E7"/>
    <w:rsid w:val="00550F6E"/>
    <w:rsid w:val="00550FC9"/>
    <w:rsid w:val="00551C80"/>
    <w:rsid w:val="00553103"/>
    <w:rsid w:val="0055314D"/>
    <w:rsid w:val="0055419E"/>
    <w:rsid w:val="00554521"/>
    <w:rsid w:val="00555666"/>
    <w:rsid w:val="005567B3"/>
    <w:rsid w:val="00557006"/>
    <w:rsid w:val="00560028"/>
    <w:rsid w:val="00562EA4"/>
    <w:rsid w:val="005630C2"/>
    <w:rsid w:val="005648ED"/>
    <w:rsid w:val="00564EA9"/>
    <w:rsid w:val="00566B05"/>
    <w:rsid w:val="00567B08"/>
    <w:rsid w:val="005748B8"/>
    <w:rsid w:val="005748BE"/>
    <w:rsid w:val="005750C2"/>
    <w:rsid w:val="00577C0B"/>
    <w:rsid w:val="00580825"/>
    <w:rsid w:val="005812FB"/>
    <w:rsid w:val="00586207"/>
    <w:rsid w:val="00586558"/>
    <w:rsid w:val="005912FE"/>
    <w:rsid w:val="005915F8"/>
    <w:rsid w:val="00591F10"/>
    <w:rsid w:val="0059235A"/>
    <w:rsid w:val="0059414C"/>
    <w:rsid w:val="00594FF0"/>
    <w:rsid w:val="00595703"/>
    <w:rsid w:val="005A03E2"/>
    <w:rsid w:val="005A0D4F"/>
    <w:rsid w:val="005A1CAA"/>
    <w:rsid w:val="005A1E65"/>
    <w:rsid w:val="005A3E22"/>
    <w:rsid w:val="005A4121"/>
    <w:rsid w:val="005A4519"/>
    <w:rsid w:val="005A54A2"/>
    <w:rsid w:val="005A5872"/>
    <w:rsid w:val="005A6302"/>
    <w:rsid w:val="005A6BF4"/>
    <w:rsid w:val="005A7177"/>
    <w:rsid w:val="005A7B68"/>
    <w:rsid w:val="005B1665"/>
    <w:rsid w:val="005B1D4B"/>
    <w:rsid w:val="005B243F"/>
    <w:rsid w:val="005B34BD"/>
    <w:rsid w:val="005B5328"/>
    <w:rsid w:val="005B6CB5"/>
    <w:rsid w:val="005B7532"/>
    <w:rsid w:val="005B7BAD"/>
    <w:rsid w:val="005C0813"/>
    <w:rsid w:val="005C4A0C"/>
    <w:rsid w:val="005C594B"/>
    <w:rsid w:val="005C66EF"/>
    <w:rsid w:val="005C6CD3"/>
    <w:rsid w:val="005C7099"/>
    <w:rsid w:val="005C7284"/>
    <w:rsid w:val="005D13B9"/>
    <w:rsid w:val="005D2075"/>
    <w:rsid w:val="005D5060"/>
    <w:rsid w:val="005D687F"/>
    <w:rsid w:val="005D701B"/>
    <w:rsid w:val="005D7F67"/>
    <w:rsid w:val="005E1D39"/>
    <w:rsid w:val="005E1EE8"/>
    <w:rsid w:val="005E212C"/>
    <w:rsid w:val="005E31CD"/>
    <w:rsid w:val="005E3A1E"/>
    <w:rsid w:val="005E4005"/>
    <w:rsid w:val="005E4ADB"/>
    <w:rsid w:val="005E55D8"/>
    <w:rsid w:val="005E6CEB"/>
    <w:rsid w:val="005F0FAC"/>
    <w:rsid w:val="005F1B50"/>
    <w:rsid w:val="005F39F6"/>
    <w:rsid w:val="005F42D6"/>
    <w:rsid w:val="005F56D4"/>
    <w:rsid w:val="005F691A"/>
    <w:rsid w:val="0060306D"/>
    <w:rsid w:val="006044A7"/>
    <w:rsid w:val="00604543"/>
    <w:rsid w:val="00610CC5"/>
    <w:rsid w:val="00613CC4"/>
    <w:rsid w:val="006140AB"/>
    <w:rsid w:val="00614CFA"/>
    <w:rsid w:val="0061656D"/>
    <w:rsid w:val="006172F9"/>
    <w:rsid w:val="0062087A"/>
    <w:rsid w:val="00620D6C"/>
    <w:rsid w:val="006217E7"/>
    <w:rsid w:val="006221A4"/>
    <w:rsid w:val="006227FD"/>
    <w:rsid w:val="00623012"/>
    <w:rsid w:val="00623A0B"/>
    <w:rsid w:val="006315A9"/>
    <w:rsid w:val="006319EE"/>
    <w:rsid w:val="00631FB6"/>
    <w:rsid w:val="0063354E"/>
    <w:rsid w:val="0063478E"/>
    <w:rsid w:val="006351F9"/>
    <w:rsid w:val="00635940"/>
    <w:rsid w:val="00635EEA"/>
    <w:rsid w:val="00636B3C"/>
    <w:rsid w:val="00637FDE"/>
    <w:rsid w:val="006400EB"/>
    <w:rsid w:val="006407A6"/>
    <w:rsid w:val="00643888"/>
    <w:rsid w:val="00644D98"/>
    <w:rsid w:val="006454FE"/>
    <w:rsid w:val="00646465"/>
    <w:rsid w:val="006476E0"/>
    <w:rsid w:val="0065004B"/>
    <w:rsid w:val="0065284C"/>
    <w:rsid w:val="00653180"/>
    <w:rsid w:val="00653398"/>
    <w:rsid w:val="00653C6D"/>
    <w:rsid w:val="00654794"/>
    <w:rsid w:val="00655B1F"/>
    <w:rsid w:val="006572C9"/>
    <w:rsid w:val="006574DE"/>
    <w:rsid w:val="0066146C"/>
    <w:rsid w:val="0066153E"/>
    <w:rsid w:val="00662215"/>
    <w:rsid w:val="0066341C"/>
    <w:rsid w:val="00664512"/>
    <w:rsid w:val="006658F9"/>
    <w:rsid w:val="00666A2B"/>
    <w:rsid w:val="00666C88"/>
    <w:rsid w:val="00667B62"/>
    <w:rsid w:val="00671BDC"/>
    <w:rsid w:val="00673111"/>
    <w:rsid w:val="00673EFB"/>
    <w:rsid w:val="00676B7C"/>
    <w:rsid w:val="00683732"/>
    <w:rsid w:val="00684F82"/>
    <w:rsid w:val="006872C9"/>
    <w:rsid w:val="0068774F"/>
    <w:rsid w:val="0069299E"/>
    <w:rsid w:val="00692A23"/>
    <w:rsid w:val="0069325C"/>
    <w:rsid w:val="00693DC0"/>
    <w:rsid w:val="006961C6"/>
    <w:rsid w:val="00696409"/>
    <w:rsid w:val="006A0B20"/>
    <w:rsid w:val="006A0E95"/>
    <w:rsid w:val="006A1E8D"/>
    <w:rsid w:val="006A1F0D"/>
    <w:rsid w:val="006A2789"/>
    <w:rsid w:val="006A307C"/>
    <w:rsid w:val="006A34AE"/>
    <w:rsid w:val="006A472E"/>
    <w:rsid w:val="006A47EB"/>
    <w:rsid w:val="006A6357"/>
    <w:rsid w:val="006A738C"/>
    <w:rsid w:val="006A7963"/>
    <w:rsid w:val="006B28F6"/>
    <w:rsid w:val="006B3DDD"/>
    <w:rsid w:val="006B4C7A"/>
    <w:rsid w:val="006B4F40"/>
    <w:rsid w:val="006B708C"/>
    <w:rsid w:val="006C2538"/>
    <w:rsid w:val="006C3D01"/>
    <w:rsid w:val="006C3D9A"/>
    <w:rsid w:val="006C48C2"/>
    <w:rsid w:val="006C49A8"/>
    <w:rsid w:val="006C4EA4"/>
    <w:rsid w:val="006C64FC"/>
    <w:rsid w:val="006C6524"/>
    <w:rsid w:val="006C6C58"/>
    <w:rsid w:val="006C704D"/>
    <w:rsid w:val="006D40D6"/>
    <w:rsid w:val="006D6DBE"/>
    <w:rsid w:val="006D70B9"/>
    <w:rsid w:val="006E0330"/>
    <w:rsid w:val="006E2655"/>
    <w:rsid w:val="006E287E"/>
    <w:rsid w:val="006E5DCE"/>
    <w:rsid w:val="006E6875"/>
    <w:rsid w:val="006E7C9D"/>
    <w:rsid w:val="006F055C"/>
    <w:rsid w:val="006F1BC2"/>
    <w:rsid w:val="006F2235"/>
    <w:rsid w:val="006F2754"/>
    <w:rsid w:val="006F2852"/>
    <w:rsid w:val="0070030B"/>
    <w:rsid w:val="00701CDD"/>
    <w:rsid w:val="00702713"/>
    <w:rsid w:val="00703D95"/>
    <w:rsid w:val="00706137"/>
    <w:rsid w:val="0070699B"/>
    <w:rsid w:val="00706A25"/>
    <w:rsid w:val="00706D7D"/>
    <w:rsid w:val="00707B2D"/>
    <w:rsid w:val="0071209C"/>
    <w:rsid w:val="007129B2"/>
    <w:rsid w:val="00712F4D"/>
    <w:rsid w:val="007131B4"/>
    <w:rsid w:val="0071321D"/>
    <w:rsid w:val="00713E07"/>
    <w:rsid w:val="007149F2"/>
    <w:rsid w:val="00716351"/>
    <w:rsid w:val="00721169"/>
    <w:rsid w:val="0072342F"/>
    <w:rsid w:val="00723BB4"/>
    <w:rsid w:val="00723D3F"/>
    <w:rsid w:val="00724039"/>
    <w:rsid w:val="00724359"/>
    <w:rsid w:val="007252BC"/>
    <w:rsid w:val="00725C3D"/>
    <w:rsid w:val="00727A7C"/>
    <w:rsid w:val="00730CF8"/>
    <w:rsid w:val="007321B0"/>
    <w:rsid w:val="0073390B"/>
    <w:rsid w:val="00736599"/>
    <w:rsid w:val="007404CA"/>
    <w:rsid w:val="00741BA2"/>
    <w:rsid w:val="00741E4A"/>
    <w:rsid w:val="00741F72"/>
    <w:rsid w:val="0074366A"/>
    <w:rsid w:val="00743A6D"/>
    <w:rsid w:val="00743A79"/>
    <w:rsid w:val="00743E3D"/>
    <w:rsid w:val="00743F99"/>
    <w:rsid w:val="00744410"/>
    <w:rsid w:val="0075253E"/>
    <w:rsid w:val="00753AAE"/>
    <w:rsid w:val="007551A3"/>
    <w:rsid w:val="0075669A"/>
    <w:rsid w:val="00756753"/>
    <w:rsid w:val="0075761F"/>
    <w:rsid w:val="0076168A"/>
    <w:rsid w:val="00761AD0"/>
    <w:rsid w:val="00766CBE"/>
    <w:rsid w:val="00767C50"/>
    <w:rsid w:val="00770040"/>
    <w:rsid w:val="007716A9"/>
    <w:rsid w:val="00771B76"/>
    <w:rsid w:val="00773360"/>
    <w:rsid w:val="00775F97"/>
    <w:rsid w:val="00777DE1"/>
    <w:rsid w:val="00780AB5"/>
    <w:rsid w:val="0078162F"/>
    <w:rsid w:val="00781DF8"/>
    <w:rsid w:val="00782B8B"/>
    <w:rsid w:val="00786ABD"/>
    <w:rsid w:val="00786C8F"/>
    <w:rsid w:val="00787BED"/>
    <w:rsid w:val="007911E1"/>
    <w:rsid w:val="00791A42"/>
    <w:rsid w:val="00793363"/>
    <w:rsid w:val="0079360B"/>
    <w:rsid w:val="0079383C"/>
    <w:rsid w:val="007938D9"/>
    <w:rsid w:val="00794091"/>
    <w:rsid w:val="007949CA"/>
    <w:rsid w:val="00795CEE"/>
    <w:rsid w:val="007A17EA"/>
    <w:rsid w:val="007A282B"/>
    <w:rsid w:val="007A32DB"/>
    <w:rsid w:val="007A4749"/>
    <w:rsid w:val="007A4D41"/>
    <w:rsid w:val="007A547B"/>
    <w:rsid w:val="007A5E82"/>
    <w:rsid w:val="007A6028"/>
    <w:rsid w:val="007A6357"/>
    <w:rsid w:val="007A6735"/>
    <w:rsid w:val="007A788C"/>
    <w:rsid w:val="007A7D7A"/>
    <w:rsid w:val="007B1980"/>
    <w:rsid w:val="007B294F"/>
    <w:rsid w:val="007B2F2B"/>
    <w:rsid w:val="007B336D"/>
    <w:rsid w:val="007B4016"/>
    <w:rsid w:val="007C00D9"/>
    <w:rsid w:val="007C03ED"/>
    <w:rsid w:val="007C05E9"/>
    <w:rsid w:val="007C0770"/>
    <w:rsid w:val="007C3115"/>
    <w:rsid w:val="007C38A1"/>
    <w:rsid w:val="007C3DCF"/>
    <w:rsid w:val="007C5C4B"/>
    <w:rsid w:val="007C662A"/>
    <w:rsid w:val="007C72EC"/>
    <w:rsid w:val="007D0AFF"/>
    <w:rsid w:val="007D123C"/>
    <w:rsid w:val="007D3D5E"/>
    <w:rsid w:val="007D4051"/>
    <w:rsid w:val="007D56AC"/>
    <w:rsid w:val="007D57E8"/>
    <w:rsid w:val="007D5BC8"/>
    <w:rsid w:val="007D6AA7"/>
    <w:rsid w:val="007D7071"/>
    <w:rsid w:val="007D7BC6"/>
    <w:rsid w:val="007E08FB"/>
    <w:rsid w:val="007E096C"/>
    <w:rsid w:val="007E0B99"/>
    <w:rsid w:val="007E129F"/>
    <w:rsid w:val="007E13C8"/>
    <w:rsid w:val="007E362D"/>
    <w:rsid w:val="007E38BD"/>
    <w:rsid w:val="007E4A74"/>
    <w:rsid w:val="007F21AC"/>
    <w:rsid w:val="007F374D"/>
    <w:rsid w:val="007F3B74"/>
    <w:rsid w:val="007F4B50"/>
    <w:rsid w:val="007F7B9B"/>
    <w:rsid w:val="008000E0"/>
    <w:rsid w:val="00800908"/>
    <w:rsid w:val="00801EF7"/>
    <w:rsid w:val="00802101"/>
    <w:rsid w:val="00804FFC"/>
    <w:rsid w:val="00805754"/>
    <w:rsid w:val="00806328"/>
    <w:rsid w:val="00806579"/>
    <w:rsid w:val="00807315"/>
    <w:rsid w:val="0080784B"/>
    <w:rsid w:val="0080795A"/>
    <w:rsid w:val="00810AF9"/>
    <w:rsid w:val="00812D4A"/>
    <w:rsid w:val="00813994"/>
    <w:rsid w:val="00813EC7"/>
    <w:rsid w:val="00814E4A"/>
    <w:rsid w:val="00816D42"/>
    <w:rsid w:val="00817C31"/>
    <w:rsid w:val="00821227"/>
    <w:rsid w:val="0082177C"/>
    <w:rsid w:val="0082221B"/>
    <w:rsid w:val="00822329"/>
    <w:rsid w:val="00822FC2"/>
    <w:rsid w:val="00826B94"/>
    <w:rsid w:val="008276CD"/>
    <w:rsid w:val="00827796"/>
    <w:rsid w:val="00830658"/>
    <w:rsid w:val="008306F0"/>
    <w:rsid w:val="0083132C"/>
    <w:rsid w:val="008333FC"/>
    <w:rsid w:val="008341C7"/>
    <w:rsid w:val="00834C66"/>
    <w:rsid w:val="00834F79"/>
    <w:rsid w:val="008351CF"/>
    <w:rsid w:val="00835454"/>
    <w:rsid w:val="00836BBE"/>
    <w:rsid w:val="00837A65"/>
    <w:rsid w:val="00840F57"/>
    <w:rsid w:val="00841BEE"/>
    <w:rsid w:val="00842863"/>
    <w:rsid w:val="0084339E"/>
    <w:rsid w:val="00843D11"/>
    <w:rsid w:val="00843FA8"/>
    <w:rsid w:val="00844C68"/>
    <w:rsid w:val="00844D04"/>
    <w:rsid w:val="00845BA0"/>
    <w:rsid w:val="00845C06"/>
    <w:rsid w:val="00846165"/>
    <w:rsid w:val="0084684C"/>
    <w:rsid w:val="00846F10"/>
    <w:rsid w:val="0084726D"/>
    <w:rsid w:val="008509FF"/>
    <w:rsid w:val="00850DC9"/>
    <w:rsid w:val="00851529"/>
    <w:rsid w:val="00851863"/>
    <w:rsid w:val="008548CB"/>
    <w:rsid w:val="00855B65"/>
    <w:rsid w:val="00855D13"/>
    <w:rsid w:val="008568A8"/>
    <w:rsid w:val="0085695C"/>
    <w:rsid w:val="00856D06"/>
    <w:rsid w:val="00857683"/>
    <w:rsid w:val="00861153"/>
    <w:rsid w:val="0086281D"/>
    <w:rsid w:val="00864B8D"/>
    <w:rsid w:val="00866658"/>
    <w:rsid w:val="00866BAC"/>
    <w:rsid w:val="00867E64"/>
    <w:rsid w:val="008701DC"/>
    <w:rsid w:val="008708EB"/>
    <w:rsid w:val="00870C58"/>
    <w:rsid w:val="00871875"/>
    <w:rsid w:val="008758FC"/>
    <w:rsid w:val="00875CD8"/>
    <w:rsid w:val="0087636D"/>
    <w:rsid w:val="008773BD"/>
    <w:rsid w:val="00881083"/>
    <w:rsid w:val="00882355"/>
    <w:rsid w:val="00882FD7"/>
    <w:rsid w:val="00884CFB"/>
    <w:rsid w:val="00885009"/>
    <w:rsid w:val="008850C2"/>
    <w:rsid w:val="00886094"/>
    <w:rsid w:val="0088682A"/>
    <w:rsid w:val="00887AEE"/>
    <w:rsid w:val="00892D8E"/>
    <w:rsid w:val="00893DC4"/>
    <w:rsid w:val="00895A09"/>
    <w:rsid w:val="00895B39"/>
    <w:rsid w:val="008963D8"/>
    <w:rsid w:val="008A0E82"/>
    <w:rsid w:val="008A3189"/>
    <w:rsid w:val="008A491C"/>
    <w:rsid w:val="008A494D"/>
    <w:rsid w:val="008A4BED"/>
    <w:rsid w:val="008A63E0"/>
    <w:rsid w:val="008A6A6A"/>
    <w:rsid w:val="008A7860"/>
    <w:rsid w:val="008B10CF"/>
    <w:rsid w:val="008B19B2"/>
    <w:rsid w:val="008B1C52"/>
    <w:rsid w:val="008B2671"/>
    <w:rsid w:val="008B3ABA"/>
    <w:rsid w:val="008B4198"/>
    <w:rsid w:val="008B6149"/>
    <w:rsid w:val="008B6F80"/>
    <w:rsid w:val="008C0007"/>
    <w:rsid w:val="008C016A"/>
    <w:rsid w:val="008C0364"/>
    <w:rsid w:val="008C0996"/>
    <w:rsid w:val="008C5843"/>
    <w:rsid w:val="008C78FA"/>
    <w:rsid w:val="008D1316"/>
    <w:rsid w:val="008D19D4"/>
    <w:rsid w:val="008D3A1C"/>
    <w:rsid w:val="008D48CC"/>
    <w:rsid w:val="008D538B"/>
    <w:rsid w:val="008D5BFE"/>
    <w:rsid w:val="008E0264"/>
    <w:rsid w:val="008E0F6C"/>
    <w:rsid w:val="008E16F3"/>
    <w:rsid w:val="008E1963"/>
    <w:rsid w:val="008E375B"/>
    <w:rsid w:val="008E64CC"/>
    <w:rsid w:val="008F19C4"/>
    <w:rsid w:val="008F2218"/>
    <w:rsid w:val="008F3025"/>
    <w:rsid w:val="008F3BBC"/>
    <w:rsid w:val="008F40D5"/>
    <w:rsid w:val="008F444C"/>
    <w:rsid w:val="008F47A8"/>
    <w:rsid w:val="008F5059"/>
    <w:rsid w:val="008F5950"/>
    <w:rsid w:val="008F6643"/>
    <w:rsid w:val="008F681E"/>
    <w:rsid w:val="00900AD2"/>
    <w:rsid w:val="0090188C"/>
    <w:rsid w:val="009018FB"/>
    <w:rsid w:val="0090354F"/>
    <w:rsid w:val="00907773"/>
    <w:rsid w:val="00907F93"/>
    <w:rsid w:val="0091024E"/>
    <w:rsid w:val="009105B2"/>
    <w:rsid w:val="0091087A"/>
    <w:rsid w:val="009111B8"/>
    <w:rsid w:val="009134EF"/>
    <w:rsid w:val="009139C7"/>
    <w:rsid w:val="009172AF"/>
    <w:rsid w:val="00917CCC"/>
    <w:rsid w:val="009205CD"/>
    <w:rsid w:val="00920ACD"/>
    <w:rsid w:val="00921525"/>
    <w:rsid w:val="00921ADF"/>
    <w:rsid w:val="00921F78"/>
    <w:rsid w:val="00924AFB"/>
    <w:rsid w:val="00925299"/>
    <w:rsid w:val="009317BA"/>
    <w:rsid w:val="00931A13"/>
    <w:rsid w:val="00931A97"/>
    <w:rsid w:val="009328FD"/>
    <w:rsid w:val="00933535"/>
    <w:rsid w:val="00933F60"/>
    <w:rsid w:val="0093696E"/>
    <w:rsid w:val="009410D6"/>
    <w:rsid w:val="00941E62"/>
    <w:rsid w:val="00942222"/>
    <w:rsid w:val="00946AF9"/>
    <w:rsid w:val="00946F08"/>
    <w:rsid w:val="00947D30"/>
    <w:rsid w:val="00950460"/>
    <w:rsid w:val="009506B8"/>
    <w:rsid w:val="00950758"/>
    <w:rsid w:val="009511D4"/>
    <w:rsid w:val="00951CA3"/>
    <w:rsid w:val="0095332C"/>
    <w:rsid w:val="00953460"/>
    <w:rsid w:val="00955456"/>
    <w:rsid w:val="0095560C"/>
    <w:rsid w:val="009569B2"/>
    <w:rsid w:val="009570EE"/>
    <w:rsid w:val="00961A4A"/>
    <w:rsid w:val="009621C5"/>
    <w:rsid w:val="009623E8"/>
    <w:rsid w:val="00964DC3"/>
    <w:rsid w:val="00965619"/>
    <w:rsid w:val="009662B2"/>
    <w:rsid w:val="009663C3"/>
    <w:rsid w:val="00966AA5"/>
    <w:rsid w:val="00967D03"/>
    <w:rsid w:val="00973169"/>
    <w:rsid w:val="00973208"/>
    <w:rsid w:val="00977D97"/>
    <w:rsid w:val="0098112B"/>
    <w:rsid w:val="00981F85"/>
    <w:rsid w:val="009830B0"/>
    <w:rsid w:val="00983306"/>
    <w:rsid w:val="0098346E"/>
    <w:rsid w:val="00983F1F"/>
    <w:rsid w:val="00985DA2"/>
    <w:rsid w:val="009928D6"/>
    <w:rsid w:val="00995033"/>
    <w:rsid w:val="009950D6"/>
    <w:rsid w:val="00997023"/>
    <w:rsid w:val="009971C4"/>
    <w:rsid w:val="009A1820"/>
    <w:rsid w:val="009A557A"/>
    <w:rsid w:val="009A5A3E"/>
    <w:rsid w:val="009A6946"/>
    <w:rsid w:val="009A7701"/>
    <w:rsid w:val="009A78DB"/>
    <w:rsid w:val="009B151C"/>
    <w:rsid w:val="009B1F59"/>
    <w:rsid w:val="009B2F1A"/>
    <w:rsid w:val="009B45F9"/>
    <w:rsid w:val="009B4E79"/>
    <w:rsid w:val="009B57F9"/>
    <w:rsid w:val="009B6C17"/>
    <w:rsid w:val="009B6F59"/>
    <w:rsid w:val="009B7788"/>
    <w:rsid w:val="009B7C65"/>
    <w:rsid w:val="009C1E75"/>
    <w:rsid w:val="009C28F7"/>
    <w:rsid w:val="009C47BF"/>
    <w:rsid w:val="009C7708"/>
    <w:rsid w:val="009D43B4"/>
    <w:rsid w:val="009D5D3F"/>
    <w:rsid w:val="009D626D"/>
    <w:rsid w:val="009D7D56"/>
    <w:rsid w:val="009D7EAE"/>
    <w:rsid w:val="009E16F4"/>
    <w:rsid w:val="009E3022"/>
    <w:rsid w:val="009E33E4"/>
    <w:rsid w:val="009E43F5"/>
    <w:rsid w:val="009E6E43"/>
    <w:rsid w:val="009E73B3"/>
    <w:rsid w:val="009F0B5E"/>
    <w:rsid w:val="009F1C5E"/>
    <w:rsid w:val="009F46BE"/>
    <w:rsid w:val="009F4B33"/>
    <w:rsid w:val="009F5273"/>
    <w:rsid w:val="009F6EB3"/>
    <w:rsid w:val="009F6FAA"/>
    <w:rsid w:val="009F7830"/>
    <w:rsid w:val="009F7BDF"/>
    <w:rsid w:val="00A003E6"/>
    <w:rsid w:val="00A02315"/>
    <w:rsid w:val="00A02A32"/>
    <w:rsid w:val="00A03F2C"/>
    <w:rsid w:val="00A04552"/>
    <w:rsid w:val="00A0532D"/>
    <w:rsid w:val="00A10B42"/>
    <w:rsid w:val="00A12F69"/>
    <w:rsid w:val="00A134E0"/>
    <w:rsid w:val="00A1460C"/>
    <w:rsid w:val="00A15019"/>
    <w:rsid w:val="00A204E4"/>
    <w:rsid w:val="00A21C72"/>
    <w:rsid w:val="00A2286F"/>
    <w:rsid w:val="00A2301A"/>
    <w:rsid w:val="00A267B4"/>
    <w:rsid w:val="00A273F0"/>
    <w:rsid w:val="00A27B02"/>
    <w:rsid w:val="00A27E0B"/>
    <w:rsid w:val="00A301D6"/>
    <w:rsid w:val="00A30A9A"/>
    <w:rsid w:val="00A32508"/>
    <w:rsid w:val="00A33208"/>
    <w:rsid w:val="00A338B7"/>
    <w:rsid w:val="00A33B2B"/>
    <w:rsid w:val="00A34949"/>
    <w:rsid w:val="00A34BD8"/>
    <w:rsid w:val="00A34CA3"/>
    <w:rsid w:val="00A34D4C"/>
    <w:rsid w:val="00A35F4F"/>
    <w:rsid w:val="00A3609E"/>
    <w:rsid w:val="00A37EB9"/>
    <w:rsid w:val="00A441D7"/>
    <w:rsid w:val="00A46B9C"/>
    <w:rsid w:val="00A47E8D"/>
    <w:rsid w:val="00A52E89"/>
    <w:rsid w:val="00A531C2"/>
    <w:rsid w:val="00A5477A"/>
    <w:rsid w:val="00A54962"/>
    <w:rsid w:val="00A54A13"/>
    <w:rsid w:val="00A56B6D"/>
    <w:rsid w:val="00A57335"/>
    <w:rsid w:val="00A57587"/>
    <w:rsid w:val="00A57B69"/>
    <w:rsid w:val="00A60AC5"/>
    <w:rsid w:val="00A611B3"/>
    <w:rsid w:val="00A61A53"/>
    <w:rsid w:val="00A642EC"/>
    <w:rsid w:val="00A66208"/>
    <w:rsid w:val="00A6622E"/>
    <w:rsid w:val="00A663E0"/>
    <w:rsid w:val="00A67053"/>
    <w:rsid w:val="00A67215"/>
    <w:rsid w:val="00A67C24"/>
    <w:rsid w:val="00A752C2"/>
    <w:rsid w:val="00A75FA5"/>
    <w:rsid w:val="00A77385"/>
    <w:rsid w:val="00A821E0"/>
    <w:rsid w:val="00A83C93"/>
    <w:rsid w:val="00A84A1E"/>
    <w:rsid w:val="00A84E14"/>
    <w:rsid w:val="00A84FF9"/>
    <w:rsid w:val="00A906C7"/>
    <w:rsid w:val="00A90986"/>
    <w:rsid w:val="00A92C8C"/>
    <w:rsid w:val="00A9306F"/>
    <w:rsid w:val="00A939A5"/>
    <w:rsid w:val="00A9560F"/>
    <w:rsid w:val="00A97342"/>
    <w:rsid w:val="00A974E1"/>
    <w:rsid w:val="00AA21F9"/>
    <w:rsid w:val="00AA48FD"/>
    <w:rsid w:val="00AA4A25"/>
    <w:rsid w:val="00AA4D8F"/>
    <w:rsid w:val="00AA5E4C"/>
    <w:rsid w:val="00AA6ED1"/>
    <w:rsid w:val="00AB3D84"/>
    <w:rsid w:val="00AB3EA9"/>
    <w:rsid w:val="00AB410A"/>
    <w:rsid w:val="00AB49DF"/>
    <w:rsid w:val="00AB4CAC"/>
    <w:rsid w:val="00AB4D14"/>
    <w:rsid w:val="00AB5744"/>
    <w:rsid w:val="00AB5AED"/>
    <w:rsid w:val="00AB6FE3"/>
    <w:rsid w:val="00AC157F"/>
    <w:rsid w:val="00AC192F"/>
    <w:rsid w:val="00AC21E1"/>
    <w:rsid w:val="00AC5963"/>
    <w:rsid w:val="00AC5A48"/>
    <w:rsid w:val="00AC7033"/>
    <w:rsid w:val="00AC79E6"/>
    <w:rsid w:val="00AD1247"/>
    <w:rsid w:val="00AD1533"/>
    <w:rsid w:val="00AD1C80"/>
    <w:rsid w:val="00AD1FFC"/>
    <w:rsid w:val="00AD2192"/>
    <w:rsid w:val="00AD251D"/>
    <w:rsid w:val="00AD6381"/>
    <w:rsid w:val="00AD6484"/>
    <w:rsid w:val="00AD7A3A"/>
    <w:rsid w:val="00AD7F18"/>
    <w:rsid w:val="00AE0E68"/>
    <w:rsid w:val="00AE11C3"/>
    <w:rsid w:val="00AE144E"/>
    <w:rsid w:val="00AE178C"/>
    <w:rsid w:val="00AE31C7"/>
    <w:rsid w:val="00AE333E"/>
    <w:rsid w:val="00AE5380"/>
    <w:rsid w:val="00AE617F"/>
    <w:rsid w:val="00AE6EDB"/>
    <w:rsid w:val="00AE71C4"/>
    <w:rsid w:val="00AF0724"/>
    <w:rsid w:val="00AF096F"/>
    <w:rsid w:val="00AF186D"/>
    <w:rsid w:val="00AF1BDF"/>
    <w:rsid w:val="00AF200F"/>
    <w:rsid w:val="00AF3336"/>
    <w:rsid w:val="00AF5F08"/>
    <w:rsid w:val="00AF68E8"/>
    <w:rsid w:val="00B016D2"/>
    <w:rsid w:val="00B01C7E"/>
    <w:rsid w:val="00B020A9"/>
    <w:rsid w:val="00B071AE"/>
    <w:rsid w:val="00B07533"/>
    <w:rsid w:val="00B12358"/>
    <w:rsid w:val="00B13942"/>
    <w:rsid w:val="00B14624"/>
    <w:rsid w:val="00B17651"/>
    <w:rsid w:val="00B17DAA"/>
    <w:rsid w:val="00B20CFC"/>
    <w:rsid w:val="00B21970"/>
    <w:rsid w:val="00B21C42"/>
    <w:rsid w:val="00B2208D"/>
    <w:rsid w:val="00B22569"/>
    <w:rsid w:val="00B23329"/>
    <w:rsid w:val="00B238D6"/>
    <w:rsid w:val="00B23C6C"/>
    <w:rsid w:val="00B249BC"/>
    <w:rsid w:val="00B26436"/>
    <w:rsid w:val="00B26D7E"/>
    <w:rsid w:val="00B27FAB"/>
    <w:rsid w:val="00B3109A"/>
    <w:rsid w:val="00B31A72"/>
    <w:rsid w:val="00B33950"/>
    <w:rsid w:val="00B33BEE"/>
    <w:rsid w:val="00B3461F"/>
    <w:rsid w:val="00B34B1F"/>
    <w:rsid w:val="00B34F8A"/>
    <w:rsid w:val="00B377CA"/>
    <w:rsid w:val="00B400C6"/>
    <w:rsid w:val="00B41B4E"/>
    <w:rsid w:val="00B41C5E"/>
    <w:rsid w:val="00B41F9F"/>
    <w:rsid w:val="00B45AE3"/>
    <w:rsid w:val="00B47747"/>
    <w:rsid w:val="00B509B2"/>
    <w:rsid w:val="00B50F81"/>
    <w:rsid w:val="00B517F0"/>
    <w:rsid w:val="00B55633"/>
    <w:rsid w:val="00B55BE4"/>
    <w:rsid w:val="00B6027A"/>
    <w:rsid w:val="00B61079"/>
    <w:rsid w:val="00B632F3"/>
    <w:rsid w:val="00B6471D"/>
    <w:rsid w:val="00B65190"/>
    <w:rsid w:val="00B65880"/>
    <w:rsid w:val="00B65AD2"/>
    <w:rsid w:val="00B65EDD"/>
    <w:rsid w:val="00B65FCC"/>
    <w:rsid w:val="00B66EFC"/>
    <w:rsid w:val="00B6770C"/>
    <w:rsid w:val="00B70C7F"/>
    <w:rsid w:val="00B737E6"/>
    <w:rsid w:val="00B7518A"/>
    <w:rsid w:val="00B752FF"/>
    <w:rsid w:val="00B75AF1"/>
    <w:rsid w:val="00B76019"/>
    <w:rsid w:val="00B82A8D"/>
    <w:rsid w:val="00B833BA"/>
    <w:rsid w:val="00B83970"/>
    <w:rsid w:val="00B8403D"/>
    <w:rsid w:val="00B846E2"/>
    <w:rsid w:val="00B86106"/>
    <w:rsid w:val="00B874ED"/>
    <w:rsid w:val="00B875FF"/>
    <w:rsid w:val="00B87E02"/>
    <w:rsid w:val="00B90FF8"/>
    <w:rsid w:val="00B94C7B"/>
    <w:rsid w:val="00B96FB8"/>
    <w:rsid w:val="00B97189"/>
    <w:rsid w:val="00B97954"/>
    <w:rsid w:val="00BA1271"/>
    <w:rsid w:val="00BA25F7"/>
    <w:rsid w:val="00BA30E0"/>
    <w:rsid w:val="00BA35DA"/>
    <w:rsid w:val="00BA5055"/>
    <w:rsid w:val="00BA544C"/>
    <w:rsid w:val="00BA595A"/>
    <w:rsid w:val="00BA5CBD"/>
    <w:rsid w:val="00BA64B9"/>
    <w:rsid w:val="00BB27AB"/>
    <w:rsid w:val="00BB5408"/>
    <w:rsid w:val="00BB61B0"/>
    <w:rsid w:val="00BB7F82"/>
    <w:rsid w:val="00BC0025"/>
    <w:rsid w:val="00BC1E77"/>
    <w:rsid w:val="00BC1EFF"/>
    <w:rsid w:val="00BC28E4"/>
    <w:rsid w:val="00BC2C72"/>
    <w:rsid w:val="00BC2F34"/>
    <w:rsid w:val="00BC3C5A"/>
    <w:rsid w:val="00BC463A"/>
    <w:rsid w:val="00BC4F11"/>
    <w:rsid w:val="00BC53B1"/>
    <w:rsid w:val="00BC615E"/>
    <w:rsid w:val="00BC770C"/>
    <w:rsid w:val="00BC7E5B"/>
    <w:rsid w:val="00BD15CF"/>
    <w:rsid w:val="00BD1AFB"/>
    <w:rsid w:val="00BD2F87"/>
    <w:rsid w:val="00BD3BE4"/>
    <w:rsid w:val="00BD57B2"/>
    <w:rsid w:val="00BD5B2F"/>
    <w:rsid w:val="00BD78A7"/>
    <w:rsid w:val="00BE2101"/>
    <w:rsid w:val="00BE33DA"/>
    <w:rsid w:val="00BE3958"/>
    <w:rsid w:val="00BE4474"/>
    <w:rsid w:val="00BE4CB8"/>
    <w:rsid w:val="00BF0077"/>
    <w:rsid w:val="00BF0B87"/>
    <w:rsid w:val="00BF1552"/>
    <w:rsid w:val="00BF16FF"/>
    <w:rsid w:val="00BF24F1"/>
    <w:rsid w:val="00BF381B"/>
    <w:rsid w:val="00BF3F66"/>
    <w:rsid w:val="00BF4787"/>
    <w:rsid w:val="00BF51AB"/>
    <w:rsid w:val="00BF729B"/>
    <w:rsid w:val="00C00358"/>
    <w:rsid w:val="00C0118F"/>
    <w:rsid w:val="00C019EB"/>
    <w:rsid w:val="00C01B20"/>
    <w:rsid w:val="00C04128"/>
    <w:rsid w:val="00C04A96"/>
    <w:rsid w:val="00C04CE8"/>
    <w:rsid w:val="00C06965"/>
    <w:rsid w:val="00C101F3"/>
    <w:rsid w:val="00C11FF7"/>
    <w:rsid w:val="00C1205D"/>
    <w:rsid w:val="00C131BC"/>
    <w:rsid w:val="00C17100"/>
    <w:rsid w:val="00C17CED"/>
    <w:rsid w:val="00C221EC"/>
    <w:rsid w:val="00C246B8"/>
    <w:rsid w:val="00C2563D"/>
    <w:rsid w:val="00C2651E"/>
    <w:rsid w:val="00C27B39"/>
    <w:rsid w:val="00C305C0"/>
    <w:rsid w:val="00C3130F"/>
    <w:rsid w:val="00C35264"/>
    <w:rsid w:val="00C36CBB"/>
    <w:rsid w:val="00C372F4"/>
    <w:rsid w:val="00C4067E"/>
    <w:rsid w:val="00C41777"/>
    <w:rsid w:val="00C41ABC"/>
    <w:rsid w:val="00C44C12"/>
    <w:rsid w:val="00C45002"/>
    <w:rsid w:val="00C45B05"/>
    <w:rsid w:val="00C473AE"/>
    <w:rsid w:val="00C509D6"/>
    <w:rsid w:val="00C50CBB"/>
    <w:rsid w:val="00C521BB"/>
    <w:rsid w:val="00C52234"/>
    <w:rsid w:val="00C523C5"/>
    <w:rsid w:val="00C52F04"/>
    <w:rsid w:val="00C54396"/>
    <w:rsid w:val="00C55207"/>
    <w:rsid w:val="00C563B4"/>
    <w:rsid w:val="00C566B9"/>
    <w:rsid w:val="00C56CE6"/>
    <w:rsid w:val="00C570F9"/>
    <w:rsid w:val="00C57DE1"/>
    <w:rsid w:val="00C61798"/>
    <w:rsid w:val="00C61CEE"/>
    <w:rsid w:val="00C63B5C"/>
    <w:rsid w:val="00C6502A"/>
    <w:rsid w:val="00C655C8"/>
    <w:rsid w:val="00C6682D"/>
    <w:rsid w:val="00C7037D"/>
    <w:rsid w:val="00C70510"/>
    <w:rsid w:val="00C70BAB"/>
    <w:rsid w:val="00C712F1"/>
    <w:rsid w:val="00C7144D"/>
    <w:rsid w:val="00C71D87"/>
    <w:rsid w:val="00C71DBD"/>
    <w:rsid w:val="00C72DFA"/>
    <w:rsid w:val="00C73FD2"/>
    <w:rsid w:val="00C75712"/>
    <w:rsid w:val="00C75B39"/>
    <w:rsid w:val="00C76326"/>
    <w:rsid w:val="00C768B6"/>
    <w:rsid w:val="00C77339"/>
    <w:rsid w:val="00C80C65"/>
    <w:rsid w:val="00C823EB"/>
    <w:rsid w:val="00C82650"/>
    <w:rsid w:val="00C82AC4"/>
    <w:rsid w:val="00C82C28"/>
    <w:rsid w:val="00C82CF3"/>
    <w:rsid w:val="00C8411F"/>
    <w:rsid w:val="00C86DB2"/>
    <w:rsid w:val="00C9013D"/>
    <w:rsid w:val="00C91DE0"/>
    <w:rsid w:val="00C925F9"/>
    <w:rsid w:val="00C949ED"/>
    <w:rsid w:val="00C94B44"/>
    <w:rsid w:val="00C94F07"/>
    <w:rsid w:val="00C95508"/>
    <w:rsid w:val="00C95BE4"/>
    <w:rsid w:val="00C96032"/>
    <w:rsid w:val="00C96FE3"/>
    <w:rsid w:val="00CA0219"/>
    <w:rsid w:val="00CA1916"/>
    <w:rsid w:val="00CA4394"/>
    <w:rsid w:val="00CA4481"/>
    <w:rsid w:val="00CA4E38"/>
    <w:rsid w:val="00CA616B"/>
    <w:rsid w:val="00CA7828"/>
    <w:rsid w:val="00CB1388"/>
    <w:rsid w:val="00CB1403"/>
    <w:rsid w:val="00CB5168"/>
    <w:rsid w:val="00CB53EC"/>
    <w:rsid w:val="00CB6A74"/>
    <w:rsid w:val="00CB7717"/>
    <w:rsid w:val="00CB7B3E"/>
    <w:rsid w:val="00CC1C6B"/>
    <w:rsid w:val="00CC2D5E"/>
    <w:rsid w:val="00CD07F7"/>
    <w:rsid w:val="00CD19AB"/>
    <w:rsid w:val="00CD42A1"/>
    <w:rsid w:val="00CD5471"/>
    <w:rsid w:val="00CD668D"/>
    <w:rsid w:val="00CE2C92"/>
    <w:rsid w:val="00CE347F"/>
    <w:rsid w:val="00CE4452"/>
    <w:rsid w:val="00CE504E"/>
    <w:rsid w:val="00CE52B6"/>
    <w:rsid w:val="00CE52BB"/>
    <w:rsid w:val="00CF2790"/>
    <w:rsid w:val="00CF3BE3"/>
    <w:rsid w:val="00CF456B"/>
    <w:rsid w:val="00CF492C"/>
    <w:rsid w:val="00D00800"/>
    <w:rsid w:val="00D00925"/>
    <w:rsid w:val="00D01851"/>
    <w:rsid w:val="00D021D1"/>
    <w:rsid w:val="00D0276A"/>
    <w:rsid w:val="00D10657"/>
    <w:rsid w:val="00D10E01"/>
    <w:rsid w:val="00D10EC1"/>
    <w:rsid w:val="00D11234"/>
    <w:rsid w:val="00D12F14"/>
    <w:rsid w:val="00D14D45"/>
    <w:rsid w:val="00D15F0F"/>
    <w:rsid w:val="00D16412"/>
    <w:rsid w:val="00D1769D"/>
    <w:rsid w:val="00D17921"/>
    <w:rsid w:val="00D17F96"/>
    <w:rsid w:val="00D204C7"/>
    <w:rsid w:val="00D21E8C"/>
    <w:rsid w:val="00D22256"/>
    <w:rsid w:val="00D231A4"/>
    <w:rsid w:val="00D263AF"/>
    <w:rsid w:val="00D3253D"/>
    <w:rsid w:val="00D3277C"/>
    <w:rsid w:val="00D33207"/>
    <w:rsid w:val="00D3336C"/>
    <w:rsid w:val="00D35DA4"/>
    <w:rsid w:val="00D3669B"/>
    <w:rsid w:val="00D367D7"/>
    <w:rsid w:val="00D40327"/>
    <w:rsid w:val="00D40D89"/>
    <w:rsid w:val="00D40EA1"/>
    <w:rsid w:val="00D41EDD"/>
    <w:rsid w:val="00D43727"/>
    <w:rsid w:val="00D45390"/>
    <w:rsid w:val="00D45C21"/>
    <w:rsid w:val="00D46DA9"/>
    <w:rsid w:val="00D5030A"/>
    <w:rsid w:val="00D507BF"/>
    <w:rsid w:val="00D51345"/>
    <w:rsid w:val="00D52FC4"/>
    <w:rsid w:val="00D54ADC"/>
    <w:rsid w:val="00D57BB7"/>
    <w:rsid w:val="00D60303"/>
    <w:rsid w:val="00D613AF"/>
    <w:rsid w:val="00D63CEC"/>
    <w:rsid w:val="00D63FDD"/>
    <w:rsid w:val="00D65741"/>
    <w:rsid w:val="00D65F72"/>
    <w:rsid w:val="00D66126"/>
    <w:rsid w:val="00D723F6"/>
    <w:rsid w:val="00D7346E"/>
    <w:rsid w:val="00D7470E"/>
    <w:rsid w:val="00D75486"/>
    <w:rsid w:val="00D76DB2"/>
    <w:rsid w:val="00D843C4"/>
    <w:rsid w:val="00D85DD5"/>
    <w:rsid w:val="00D86917"/>
    <w:rsid w:val="00D86D18"/>
    <w:rsid w:val="00D91834"/>
    <w:rsid w:val="00D91CCF"/>
    <w:rsid w:val="00D93785"/>
    <w:rsid w:val="00D94599"/>
    <w:rsid w:val="00D973E3"/>
    <w:rsid w:val="00D97D80"/>
    <w:rsid w:val="00DA00A1"/>
    <w:rsid w:val="00DA0D64"/>
    <w:rsid w:val="00DA18E2"/>
    <w:rsid w:val="00DA1F29"/>
    <w:rsid w:val="00DA4F3D"/>
    <w:rsid w:val="00DB0A22"/>
    <w:rsid w:val="00DB1A80"/>
    <w:rsid w:val="00DB260A"/>
    <w:rsid w:val="00DB263D"/>
    <w:rsid w:val="00DB31E7"/>
    <w:rsid w:val="00DB3D3B"/>
    <w:rsid w:val="00DB517B"/>
    <w:rsid w:val="00DB5C5E"/>
    <w:rsid w:val="00DB7BE3"/>
    <w:rsid w:val="00DB7CCE"/>
    <w:rsid w:val="00DC158B"/>
    <w:rsid w:val="00DC1960"/>
    <w:rsid w:val="00DC3880"/>
    <w:rsid w:val="00DC6686"/>
    <w:rsid w:val="00DC6B75"/>
    <w:rsid w:val="00DD0E8F"/>
    <w:rsid w:val="00DD13D0"/>
    <w:rsid w:val="00DD262C"/>
    <w:rsid w:val="00DD3FA1"/>
    <w:rsid w:val="00DD6BD5"/>
    <w:rsid w:val="00DE004D"/>
    <w:rsid w:val="00DE257E"/>
    <w:rsid w:val="00DE28BB"/>
    <w:rsid w:val="00DE313B"/>
    <w:rsid w:val="00DE3301"/>
    <w:rsid w:val="00DE4819"/>
    <w:rsid w:val="00DE6E07"/>
    <w:rsid w:val="00DE7631"/>
    <w:rsid w:val="00DF0627"/>
    <w:rsid w:val="00DF09A7"/>
    <w:rsid w:val="00DF1833"/>
    <w:rsid w:val="00DF27A1"/>
    <w:rsid w:val="00DF3266"/>
    <w:rsid w:val="00DF348D"/>
    <w:rsid w:val="00DF671B"/>
    <w:rsid w:val="00DF6849"/>
    <w:rsid w:val="00DF75F3"/>
    <w:rsid w:val="00DF783B"/>
    <w:rsid w:val="00E021FF"/>
    <w:rsid w:val="00E03F48"/>
    <w:rsid w:val="00E1252B"/>
    <w:rsid w:val="00E13F6C"/>
    <w:rsid w:val="00E1477C"/>
    <w:rsid w:val="00E148FF"/>
    <w:rsid w:val="00E16D51"/>
    <w:rsid w:val="00E16FA1"/>
    <w:rsid w:val="00E17D18"/>
    <w:rsid w:val="00E20575"/>
    <w:rsid w:val="00E2150E"/>
    <w:rsid w:val="00E2156B"/>
    <w:rsid w:val="00E21828"/>
    <w:rsid w:val="00E21BDF"/>
    <w:rsid w:val="00E21C40"/>
    <w:rsid w:val="00E247A6"/>
    <w:rsid w:val="00E257EF"/>
    <w:rsid w:val="00E25D9F"/>
    <w:rsid w:val="00E301F7"/>
    <w:rsid w:val="00E304AD"/>
    <w:rsid w:val="00E31A11"/>
    <w:rsid w:val="00E32034"/>
    <w:rsid w:val="00E3313E"/>
    <w:rsid w:val="00E36668"/>
    <w:rsid w:val="00E3670B"/>
    <w:rsid w:val="00E36A88"/>
    <w:rsid w:val="00E41C43"/>
    <w:rsid w:val="00E42B9B"/>
    <w:rsid w:val="00E434D2"/>
    <w:rsid w:val="00E43715"/>
    <w:rsid w:val="00E44F50"/>
    <w:rsid w:val="00E52A2B"/>
    <w:rsid w:val="00E5309B"/>
    <w:rsid w:val="00E53905"/>
    <w:rsid w:val="00E53ACB"/>
    <w:rsid w:val="00E60D17"/>
    <w:rsid w:val="00E60D81"/>
    <w:rsid w:val="00E62A37"/>
    <w:rsid w:val="00E63360"/>
    <w:rsid w:val="00E636BF"/>
    <w:rsid w:val="00E66A8C"/>
    <w:rsid w:val="00E70331"/>
    <w:rsid w:val="00E72C7E"/>
    <w:rsid w:val="00E7621F"/>
    <w:rsid w:val="00E7798D"/>
    <w:rsid w:val="00E851F1"/>
    <w:rsid w:val="00E91971"/>
    <w:rsid w:val="00E940F1"/>
    <w:rsid w:val="00E94721"/>
    <w:rsid w:val="00EA0319"/>
    <w:rsid w:val="00EA11DB"/>
    <w:rsid w:val="00EA176F"/>
    <w:rsid w:val="00EA29AC"/>
    <w:rsid w:val="00EA38EA"/>
    <w:rsid w:val="00EA3B41"/>
    <w:rsid w:val="00EA47A2"/>
    <w:rsid w:val="00EA47BE"/>
    <w:rsid w:val="00EA5098"/>
    <w:rsid w:val="00EA6339"/>
    <w:rsid w:val="00EA6C69"/>
    <w:rsid w:val="00EA7224"/>
    <w:rsid w:val="00EA787B"/>
    <w:rsid w:val="00EB0071"/>
    <w:rsid w:val="00EB0CC8"/>
    <w:rsid w:val="00EB2B2C"/>
    <w:rsid w:val="00EB6A1A"/>
    <w:rsid w:val="00EB716F"/>
    <w:rsid w:val="00EB7EF0"/>
    <w:rsid w:val="00EC0A91"/>
    <w:rsid w:val="00EC1A84"/>
    <w:rsid w:val="00EC39DF"/>
    <w:rsid w:val="00EC4C67"/>
    <w:rsid w:val="00EC550B"/>
    <w:rsid w:val="00EC6284"/>
    <w:rsid w:val="00EC640C"/>
    <w:rsid w:val="00EC6718"/>
    <w:rsid w:val="00EC7598"/>
    <w:rsid w:val="00EC7AFA"/>
    <w:rsid w:val="00ED1366"/>
    <w:rsid w:val="00ED2621"/>
    <w:rsid w:val="00ED3393"/>
    <w:rsid w:val="00ED4192"/>
    <w:rsid w:val="00ED63F8"/>
    <w:rsid w:val="00ED7E4B"/>
    <w:rsid w:val="00EE2DC8"/>
    <w:rsid w:val="00EE3557"/>
    <w:rsid w:val="00EE3C08"/>
    <w:rsid w:val="00EE48D2"/>
    <w:rsid w:val="00EE73D7"/>
    <w:rsid w:val="00EF0DA8"/>
    <w:rsid w:val="00EF1229"/>
    <w:rsid w:val="00EF32E7"/>
    <w:rsid w:val="00EF4E05"/>
    <w:rsid w:val="00EF510F"/>
    <w:rsid w:val="00EF78CC"/>
    <w:rsid w:val="00F02A38"/>
    <w:rsid w:val="00F0360E"/>
    <w:rsid w:val="00F03B9D"/>
    <w:rsid w:val="00F06B01"/>
    <w:rsid w:val="00F071FC"/>
    <w:rsid w:val="00F111E2"/>
    <w:rsid w:val="00F113F9"/>
    <w:rsid w:val="00F13137"/>
    <w:rsid w:val="00F14210"/>
    <w:rsid w:val="00F14B6C"/>
    <w:rsid w:val="00F152B9"/>
    <w:rsid w:val="00F155F5"/>
    <w:rsid w:val="00F15D79"/>
    <w:rsid w:val="00F15E35"/>
    <w:rsid w:val="00F17A53"/>
    <w:rsid w:val="00F22934"/>
    <w:rsid w:val="00F231BB"/>
    <w:rsid w:val="00F25CDA"/>
    <w:rsid w:val="00F26364"/>
    <w:rsid w:val="00F27B9A"/>
    <w:rsid w:val="00F30155"/>
    <w:rsid w:val="00F305D9"/>
    <w:rsid w:val="00F30AA6"/>
    <w:rsid w:val="00F31A9A"/>
    <w:rsid w:val="00F32830"/>
    <w:rsid w:val="00F3389C"/>
    <w:rsid w:val="00F33D6C"/>
    <w:rsid w:val="00F33F8F"/>
    <w:rsid w:val="00F365DB"/>
    <w:rsid w:val="00F37146"/>
    <w:rsid w:val="00F37F86"/>
    <w:rsid w:val="00F40AEF"/>
    <w:rsid w:val="00F45221"/>
    <w:rsid w:val="00F45A43"/>
    <w:rsid w:val="00F464E7"/>
    <w:rsid w:val="00F5043E"/>
    <w:rsid w:val="00F507B9"/>
    <w:rsid w:val="00F51072"/>
    <w:rsid w:val="00F51FC5"/>
    <w:rsid w:val="00F54B51"/>
    <w:rsid w:val="00F54DAB"/>
    <w:rsid w:val="00F55795"/>
    <w:rsid w:val="00F60572"/>
    <w:rsid w:val="00F623F1"/>
    <w:rsid w:val="00F6348D"/>
    <w:rsid w:val="00F64CDE"/>
    <w:rsid w:val="00F65A9D"/>
    <w:rsid w:val="00F67171"/>
    <w:rsid w:val="00F72746"/>
    <w:rsid w:val="00F72DBC"/>
    <w:rsid w:val="00F72E7F"/>
    <w:rsid w:val="00F72FBC"/>
    <w:rsid w:val="00F72FDD"/>
    <w:rsid w:val="00F746B5"/>
    <w:rsid w:val="00F747CB"/>
    <w:rsid w:val="00F75F7A"/>
    <w:rsid w:val="00F762AD"/>
    <w:rsid w:val="00F77099"/>
    <w:rsid w:val="00F776A2"/>
    <w:rsid w:val="00F80331"/>
    <w:rsid w:val="00F8129E"/>
    <w:rsid w:val="00F81970"/>
    <w:rsid w:val="00F8328A"/>
    <w:rsid w:val="00F84EC4"/>
    <w:rsid w:val="00F84F59"/>
    <w:rsid w:val="00F9186A"/>
    <w:rsid w:val="00F92FA7"/>
    <w:rsid w:val="00F93819"/>
    <w:rsid w:val="00F9420C"/>
    <w:rsid w:val="00F94E87"/>
    <w:rsid w:val="00F955D6"/>
    <w:rsid w:val="00F95966"/>
    <w:rsid w:val="00F96616"/>
    <w:rsid w:val="00F96914"/>
    <w:rsid w:val="00F96F2C"/>
    <w:rsid w:val="00FA1A84"/>
    <w:rsid w:val="00FA1CBC"/>
    <w:rsid w:val="00FA225E"/>
    <w:rsid w:val="00FA27E3"/>
    <w:rsid w:val="00FA5BF6"/>
    <w:rsid w:val="00FA5DC5"/>
    <w:rsid w:val="00FA73E3"/>
    <w:rsid w:val="00FB0CDA"/>
    <w:rsid w:val="00FB0F6B"/>
    <w:rsid w:val="00FB10F9"/>
    <w:rsid w:val="00FB1252"/>
    <w:rsid w:val="00FB13CF"/>
    <w:rsid w:val="00FB1CC5"/>
    <w:rsid w:val="00FB2512"/>
    <w:rsid w:val="00FB2C12"/>
    <w:rsid w:val="00FB3EC0"/>
    <w:rsid w:val="00FB3F8E"/>
    <w:rsid w:val="00FB4138"/>
    <w:rsid w:val="00FB4D52"/>
    <w:rsid w:val="00FB5751"/>
    <w:rsid w:val="00FB5F26"/>
    <w:rsid w:val="00FB7ABC"/>
    <w:rsid w:val="00FC07AF"/>
    <w:rsid w:val="00FC484B"/>
    <w:rsid w:val="00FC56E0"/>
    <w:rsid w:val="00FC7917"/>
    <w:rsid w:val="00FD1259"/>
    <w:rsid w:val="00FD1AB9"/>
    <w:rsid w:val="00FD27B3"/>
    <w:rsid w:val="00FD2E41"/>
    <w:rsid w:val="00FD4EBD"/>
    <w:rsid w:val="00FD7B33"/>
    <w:rsid w:val="00FE1168"/>
    <w:rsid w:val="00FE173F"/>
    <w:rsid w:val="00FE6B2D"/>
    <w:rsid w:val="00FE74B6"/>
    <w:rsid w:val="00FE7C6A"/>
    <w:rsid w:val="00FF2223"/>
    <w:rsid w:val="00FF5930"/>
    <w:rsid w:val="00FF69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3D4A"/>
  <w15:docId w15:val="{56507ED9-3644-45B3-805D-A98D8C31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23"/>
    <w:pPr>
      <w:spacing w:after="0" w:line="360" w:lineRule="auto"/>
      <w:jc w:val="both"/>
    </w:pPr>
    <w:rPr>
      <w:rFonts w:eastAsia="Times New Roman" w:cstheme="minorHAnsi"/>
      <w:lang w:eastAsia="en-GB"/>
    </w:rPr>
  </w:style>
  <w:style w:type="paragraph" w:styleId="Heading1">
    <w:name w:val="heading 1"/>
    <w:basedOn w:val="Normal"/>
    <w:next w:val="Normal"/>
    <w:link w:val="Heading1Char"/>
    <w:uiPriority w:val="9"/>
    <w:qFormat/>
    <w:rsid w:val="004055A8"/>
    <w:pPr>
      <w:keepNext/>
      <w:keepLines/>
      <w:numPr>
        <w:numId w:val="7"/>
      </w:numPr>
      <w:spacing w:before="240"/>
      <w:outlineLvl w:val="0"/>
    </w:pPr>
    <w:rPr>
      <w:rFonts w:asciiTheme="majorHAnsi" w:eastAsiaTheme="majorEastAsia" w:hAnsiTheme="majorHAnsi" w:cstheme="majorBidi"/>
      <w:color w:val="2F5496" w:themeColor="accent1" w:themeShade="BF"/>
      <w:sz w:val="28"/>
      <w:szCs w:val="28"/>
    </w:rPr>
  </w:style>
  <w:style w:type="paragraph" w:styleId="Heading2">
    <w:name w:val="heading 2"/>
    <w:basedOn w:val="Normal"/>
    <w:next w:val="Normal"/>
    <w:link w:val="Heading2Char"/>
    <w:qFormat/>
    <w:rsid w:val="000D75B8"/>
    <w:pPr>
      <w:keepNext/>
      <w:numPr>
        <w:ilvl w:val="1"/>
        <w:numId w:val="9"/>
      </w:numPr>
      <w:spacing w:before="360" w:after="60"/>
      <w:ind w:right="567"/>
      <w:contextualSpacing/>
      <w:outlineLvl w:val="1"/>
    </w:pPr>
    <w:rPr>
      <w:rFonts w:cs="Arial"/>
      <w:b/>
      <w:bCs/>
      <w:i/>
      <w:iCs/>
      <w:szCs w:val="28"/>
    </w:rPr>
  </w:style>
  <w:style w:type="paragraph" w:styleId="Heading3">
    <w:name w:val="heading 3"/>
    <w:basedOn w:val="Normal"/>
    <w:next w:val="Normal"/>
    <w:link w:val="Heading3Char"/>
    <w:uiPriority w:val="9"/>
    <w:semiHidden/>
    <w:unhideWhenUsed/>
    <w:qFormat/>
    <w:rsid w:val="00FB1CC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7A6357"/>
    <w:pPr>
      <w:spacing w:after="120"/>
    </w:pPr>
    <w:rPr>
      <w:b/>
      <w:sz w:val="28"/>
    </w:rPr>
  </w:style>
  <w:style w:type="paragraph" w:customStyle="1" w:styleId="Authornames">
    <w:name w:val="Author names"/>
    <w:basedOn w:val="Normal"/>
    <w:next w:val="Normal"/>
    <w:qFormat/>
    <w:rsid w:val="007A6357"/>
    <w:pPr>
      <w:spacing w:before="240"/>
    </w:pPr>
    <w:rPr>
      <w:sz w:val="28"/>
    </w:rPr>
  </w:style>
  <w:style w:type="paragraph" w:customStyle="1" w:styleId="Affiliation">
    <w:name w:val="Affiliation"/>
    <w:basedOn w:val="Normal"/>
    <w:qFormat/>
    <w:rsid w:val="007A6357"/>
    <w:pPr>
      <w:spacing w:before="240"/>
    </w:pPr>
    <w:rPr>
      <w:i/>
    </w:rPr>
  </w:style>
  <w:style w:type="paragraph" w:customStyle="1" w:styleId="Acknowledgements">
    <w:name w:val="Acknowledgements"/>
    <w:basedOn w:val="Normal"/>
    <w:next w:val="Normal"/>
    <w:qFormat/>
    <w:rsid w:val="007A6357"/>
    <w:pPr>
      <w:spacing w:before="120"/>
    </w:pPr>
  </w:style>
  <w:style w:type="paragraph" w:customStyle="1" w:styleId="Notesoncontributors">
    <w:name w:val="Notes on contributors"/>
    <w:basedOn w:val="Normal"/>
    <w:qFormat/>
    <w:rsid w:val="007A6357"/>
    <w:pPr>
      <w:spacing w:before="240"/>
    </w:pPr>
  </w:style>
  <w:style w:type="character" w:styleId="CommentReference">
    <w:name w:val="annotation reference"/>
    <w:basedOn w:val="DefaultParagraphFont"/>
    <w:uiPriority w:val="99"/>
    <w:semiHidden/>
    <w:unhideWhenUsed/>
    <w:rsid w:val="007A6357"/>
    <w:rPr>
      <w:sz w:val="16"/>
      <w:szCs w:val="16"/>
    </w:rPr>
  </w:style>
  <w:style w:type="paragraph" w:styleId="CommentText">
    <w:name w:val="annotation text"/>
    <w:basedOn w:val="Normal"/>
    <w:link w:val="CommentTextChar"/>
    <w:uiPriority w:val="99"/>
    <w:unhideWhenUsed/>
    <w:rsid w:val="007A6357"/>
    <w:pPr>
      <w:spacing w:after="16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7A6357"/>
    <w:rPr>
      <w:sz w:val="20"/>
      <w:szCs w:val="20"/>
    </w:rPr>
  </w:style>
  <w:style w:type="character" w:styleId="Hyperlink">
    <w:name w:val="Hyperlink"/>
    <w:basedOn w:val="DefaultParagraphFont"/>
    <w:uiPriority w:val="99"/>
    <w:unhideWhenUsed/>
    <w:rsid w:val="007A6357"/>
    <w:rPr>
      <w:color w:val="0563C1"/>
      <w:u w:val="single"/>
    </w:rPr>
  </w:style>
  <w:style w:type="character" w:customStyle="1" w:styleId="normaltextrun">
    <w:name w:val="normaltextrun"/>
    <w:basedOn w:val="DefaultParagraphFont"/>
    <w:rsid w:val="007A6357"/>
  </w:style>
  <w:style w:type="character" w:customStyle="1" w:styleId="Heading2Char">
    <w:name w:val="Heading 2 Char"/>
    <w:basedOn w:val="DefaultParagraphFont"/>
    <w:link w:val="Heading2"/>
    <w:rsid w:val="000D75B8"/>
    <w:rPr>
      <w:rFonts w:eastAsia="Times New Roman" w:cs="Arial"/>
      <w:b/>
      <w:bCs/>
      <w:i/>
      <w:iCs/>
      <w:szCs w:val="28"/>
      <w:lang w:eastAsia="en-GB"/>
    </w:rPr>
  </w:style>
  <w:style w:type="paragraph" w:customStyle="1" w:styleId="Abstract">
    <w:name w:val="Abstract"/>
    <w:basedOn w:val="Normal"/>
    <w:next w:val="Keywords"/>
    <w:link w:val="AbstractChar"/>
    <w:qFormat/>
    <w:rsid w:val="00793363"/>
    <w:pPr>
      <w:spacing w:before="360" w:after="300"/>
      <w:ind w:left="720" w:right="567"/>
    </w:pPr>
  </w:style>
  <w:style w:type="paragraph" w:customStyle="1" w:styleId="Keywords">
    <w:name w:val="Keywords"/>
    <w:basedOn w:val="Normal"/>
    <w:next w:val="Normal"/>
    <w:qFormat/>
    <w:rsid w:val="00793363"/>
    <w:pPr>
      <w:spacing w:before="240" w:after="240"/>
      <w:ind w:left="720" w:right="567"/>
    </w:pPr>
  </w:style>
  <w:style w:type="paragraph" w:customStyle="1" w:styleId="Newparagraph">
    <w:name w:val="New paragraph"/>
    <w:basedOn w:val="Normal"/>
    <w:qFormat/>
    <w:rsid w:val="00793363"/>
    <w:pPr>
      <w:ind w:firstLine="720"/>
    </w:pPr>
  </w:style>
  <w:style w:type="paragraph" w:customStyle="1" w:styleId="Subjectcodes">
    <w:name w:val="Subject codes"/>
    <w:basedOn w:val="Keywords"/>
    <w:next w:val="Normal"/>
    <w:qFormat/>
    <w:rsid w:val="00793363"/>
  </w:style>
  <w:style w:type="character" w:customStyle="1" w:styleId="Heading1Char">
    <w:name w:val="Heading 1 Char"/>
    <w:basedOn w:val="DefaultParagraphFont"/>
    <w:link w:val="Heading1"/>
    <w:uiPriority w:val="9"/>
    <w:rsid w:val="004055A8"/>
    <w:rPr>
      <w:rFonts w:asciiTheme="majorHAnsi" w:eastAsiaTheme="majorEastAsia" w:hAnsiTheme="majorHAnsi" w:cstheme="majorBidi"/>
      <w:color w:val="2F5496" w:themeColor="accent1" w:themeShade="BF"/>
      <w:sz w:val="28"/>
      <w:szCs w:val="28"/>
      <w:lang w:eastAsia="en-GB"/>
    </w:rPr>
  </w:style>
  <w:style w:type="paragraph" w:customStyle="1" w:styleId="EndNoteBibliographyTitle">
    <w:name w:val="EndNote Bibliography Title"/>
    <w:basedOn w:val="Normal"/>
    <w:link w:val="EndNoteBibliographyTitleChar"/>
    <w:rsid w:val="00800908"/>
    <w:pPr>
      <w:jc w:val="center"/>
    </w:pPr>
    <w:rPr>
      <w:noProof/>
    </w:rPr>
  </w:style>
  <w:style w:type="character" w:customStyle="1" w:styleId="AbstractChar">
    <w:name w:val="Abstract Char"/>
    <w:basedOn w:val="DefaultParagraphFont"/>
    <w:link w:val="Abstract"/>
    <w:rsid w:val="00800908"/>
    <w:rPr>
      <w:rFonts w:ascii="Times New Roman" w:eastAsia="Times New Roman" w:hAnsi="Times New Roman" w:cs="Times New Roman"/>
      <w:szCs w:val="24"/>
      <w:lang w:eastAsia="en-GB"/>
    </w:rPr>
  </w:style>
  <w:style w:type="character" w:customStyle="1" w:styleId="EndNoteBibliographyTitleChar">
    <w:name w:val="EndNote Bibliography Title Char"/>
    <w:basedOn w:val="AbstractChar"/>
    <w:link w:val="EndNoteBibliographyTitle"/>
    <w:rsid w:val="00800908"/>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800908"/>
    <w:pPr>
      <w:spacing w:line="240" w:lineRule="auto"/>
    </w:pPr>
    <w:rPr>
      <w:noProof/>
    </w:rPr>
  </w:style>
  <w:style w:type="character" w:customStyle="1" w:styleId="EndNoteBibliographyChar">
    <w:name w:val="EndNote Bibliography Char"/>
    <w:basedOn w:val="AbstractChar"/>
    <w:link w:val="EndNoteBibliography"/>
    <w:rsid w:val="00800908"/>
    <w:rPr>
      <w:rFonts w:ascii="Times New Roman" w:eastAsia="Times New Roman" w:hAnsi="Times New Roman" w:cs="Times New Roman"/>
      <w:noProof/>
      <w:sz w:val="24"/>
      <w:szCs w:val="24"/>
      <w:lang w:eastAsia="en-GB"/>
    </w:rPr>
  </w:style>
  <w:style w:type="character" w:customStyle="1" w:styleId="UnresolvedMention1">
    <w:name w:val="Unresolved Mention1"/>
    <w:basedOn w:val="DefaultParagraphFont"/>
    <w:uiPriority w:val="99"/>
    <w:semiHidden/>
    <w:unhideWhenUsed/>
    <w:rsid w:val="008009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12DB4"/>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212DB4"/>
    <w:rPr>
      <w:rFonts w:ascii="Times New Roman" w:eastAsia="Times New Roman" w:hAnsi="Times New Roman" w:cs="Times New Roman"/>
      <w:b/>
      <w:bCs/>
      <w:sz w:val="20"/>
      <w:szCs w:val="20"/>
      <w:lang w:eastAsia="en-GB"/>
    </w:rPr>
  </w:style>
  <w:style w:type="paragraph" w:customStyle="1" w:styleId="Figurecaption">
    <w:name w:val="Figure caption"/>
    <w:basedOn w:val="Normal"/>
    <w:next w:val="Normal"/>
    <w:qFormat/>
    <w:rsid w:val="009569B2"/>
    <w:pPr>
      <w:spacing w:before="240"/>
    </w:pPr>
  </w:style>
  <w:style w:type="paragraph" w:customStyle="1" w:styleId="Paragraph">
    <w:name w:val="Paragraph"/>
    <w:basedOn w:val="Normal"/>
    <w:next w:val="Newparagraph"/>
    <w:qFormat/>
    <w:rsid w:val="009569B2"/>
    <w:pPr>
      <w:widowControl w:val="0"/>
      <w:spacing w:before="240"/>
    </w:pPr>
  </w:style>
  <w:style w:type="paragraph" w:styleId="Caption">
    <w:name w:val="caption"/>
    <w:basedOn w:val="Normal"/>
    <w:next w:val="Normal"/>
    <w:link w:val="CaptionChar"/>
    <w:uiPriority w:val="35"/>
    <w:unhideWhenUsed/>
    <w:qFormat/>
    <w:rsid w:val="009569B2"/>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9569B2"/>
    <w:rPr>
      <w:rFonts w:ascii="Times New Roman" w:eastAsia="Times New Roman" w:hAnsi="Times New Roman" w:cs="Times New Roman"/>
      <w:i/>
      <w:iCs/>
      <w:color w:val="44546A" w:themeColor="text2"/>
      <w:sz w:val="18"/>
      <w:szCs w:val="18"/>
      <w:lang w:eastAsia="en-GB"/>
    </w:rPr>
  </w:style>
  <w:style w:type="table" w:styleId="ListTable7Colorful-Accent1">
    <w:name w:val="List Table 7 Colorful Accent 1"/>
    <w:basedOn w:val="TableNormal"/>
    <w:uiPriority w:val="52"/>
    <w:rsid w:val="006C704D"/>
    <w:pPr>
      <w:spacing w:after="0" w:line="240" w:lineRule="auto"/>
    </w:pPr>
    <w:rPr>
      <w:rFonts w:ascii="Times New Roman" w:eastAsia="Times New Roman" w:hAnsi="Times New Roman" w:cs="Times New Roman"/>
      <w:color w:val="2F5496" w:themeColor="accent1" w:themeShade="BF"/>
      <w:sz w:val="20"/>
      <w:szCs w:val="20"/>
      <w:lang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FB1CC5"/>
    <w:rPr>
      <w:rFonts w:asciiTheme="majorHAnsi" w:eastAsiaTheme="majorEastAsia" w:hAnsiTheme="majorHAnsi" w:cstheme="majorBidi"/>
      <w:color w:val="1F3763" w:themeColor="accent1" w:themeShade="7F"/>
      <w:sz w:val="24"/>
      <w:szCs w:val="24"/>
      <w:lang w:eastAsia="en-GB"/>
    </w:rPr>
  </w:style>
  <w:style w:type="paragraph" w:customStyle="1" w:styleId="Footnotes">
    <w:name w:val="Footnotes"/>
    <w:basedOn w:val="Normal"/>
    <w:qFormat/>
    <w:rsid w:val="002D6BF0"/>
    <w:pPr>
      <w:spacing w:before="120"/>
      <w:ind w:left="482" w:hanging="482"/>
      <w:contextualSpacing/>
    </w:pPr>
  </w:style>
  <w:style w:type="table" w:styleId="ListTable6Colorful">
    <w:name w:val="List Table 6 Colorful"/>
    <w:basedOn w:val="TableNormal"/>
    <w:uiPriority w:val="51"/>
    <w:rsid w:val="00B66EFC"/>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AF072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on">
    <w:name w:val="Revision"/>
    <w:hidden/>
    <w:uiPriority w:val="99"/>
    <w:semiHidden/>
    <w:rsid w:val="009B1F59"/>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61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CE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AE333E"/>
    <w:pPr>
      <w:tabs>
        <w:tab w:val="center" w:pos="4513"/>
        <w:tab w:val="right" w:pos="9026"/>
      </w:tabs>
      <w:spacing w:line="240" w:lineRule="auto"/>
    </w:pPr>
  </w:style>
  <w:style w:type="character" w:customStyle="1" w:styleId="HeaderChar">
    <w:name w:val="Header Char"/>
    <w:basedOn w:val="DefaultParagraphFont"/>
    <w:link w:val="Header"/>
    <w:uiPriority w:val="99"/>
    <w:rsid w:val="00AE333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E333E"/>
    <w:pPr>
      <w:tabs>
        <w:tab w:val="center" w:pos="4513"/>
        <w:tab w:val="right" w:pos="9026"/>
      </w:tabs>
      <w:spacing w:line="240" w:lineRule="auto"/>
    </w:pPr>
  </w:style>
  <w:style w:type="character" w:customStyle="1" w:styleId="FooterChar">
    <w:name w:val="Footer Char"/>
    <w:basedOn w:val="DefaultParagraphFont"/>
    <w:link w:val="Footer"/>
    <w:uiPriority w:val="99"/>
    <w:rsid w:val="00AE333E"/>
    <w:rPr>
      <w:rFonts w:ascii="Times New Roman" w:eastAsia="Times New Roman" w:hAnsi="Times New Roman" w:cs="Times New Roman"/>
      <w:sz w:val="24"/>
      <w:szCs w:val="24"/>
      <w:lang w:eastAsia="en-GB"/>
    </w:rPr>
  </w:style>
  <w:style w:type="table" w:styleId="TableGrid">
    <w:name w:val="Table Grid"/>
    <w:basedOn w:val="TableNormal"/>
    <w:uiPriority w:val="39"/>
    <w:rsid w:val="00D7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7598"/>
    <w:rPr>
      <w:color w:val="605E5C"/>
      <w:shd w:val="clear" w:color="auto" w:fill="E1DFDD"/>
    </w:rPr>
  </w:style>
  <w:style w:type="paragraph" w:styleId="FootnoteText">
    <w:name w:val="footnote text"/>
    <w:basedOn w:val="Normal"/>
    <w:link w:val="FootnoteTextChar"/>
    <w:uiPriority w:val="99"/>
    <w:unhideWhenUsed/>
    <w:rsid w:val="00136DFA"/>
    <w:pPr>
      <w:spacing w:line="240" w:lineRule="auto"/>
    </w:pPr>
    <w:rPr>
      <w:sz w:val="20"/>
      <w:szCs w:val="20"/>
    </w:rPr>
  </w:style>
  <w:style w:type="character" w:customStyle="1" w:styleId="FootnoteTextChar">
    <w:name w:val="Footnote Text Char"/>
    <w:basedOn w:val="DefaultParagraphFont"/>
    <w:link w:val="FootnoteText"/>
    <w:uiPriority w:val="99"/>
    <w:rsid w:val="00136DF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36DFA"/>
    <w:rPr>
      <w:vertAlign w:val="superscript"/>
    </w:rPr>
  </w:style>
  <w:style w:type="paragraph" w:styleId="ListParagraph">
    <w:name w:val="List Paragraph"/>
    <w:basedOn w:val="Normal"/>
    <w:uiPriority w:val="34"/>
    <w:qFormat/>
    <w:rsid w:val="00125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36497">
      <w:bodyDiv w:val="1"/>
      <w:marLeft w:val="0"/>
      <w:marRight w:val="0"/>
      <w:marTop w:val="0"/>
      <w:marBottom w:val="0"/>
      <w:divBdr>
        <w:top w:val="none" w:sz="0" w:space="0" w:color="auto"/>
        <w:left w:val="none" w:sz="0" w:space="0" w:color="auto"/>
        <w:bottom w:val="none" w:sz="0" w:space="0" w:color="auto"/>
        <w:right w:val="none" w:sz="0" w:space="0" w:color="auto"/>
      </w:divBdr>
    </w:div>
    <w:div w:id="368729300">
      <w:bodyDiv w:val="1"/>
      <w:marLeft w:val="0"/>
      <w:marRight w:val="0"/>
      <w:marTop w:val="0"/>
      <w:marBottom w:val="0"/>
      <w:divBdr>
        <w:top w:val="none" w:sz="0" w:space="0" w:color="auto"/>
        <w:left w:val="none" w:sz="0" w:space="0" w:color="auto"/>
        <w:bottom w:val="none" w:sz="0" w:space="0" w:color="auto"/>
        <w:right w:val="none" w:sz="0" w:space="0" w:color="auto"/>
      </w:divBdr>
      <w:divsChild>
        <w:div w:id="1640961734">
          <w:marLeft w:val="0"/>
          <w:marRight w:val="0"/>
          <w:marTop w:val="0"/>
          <w:marBottom w:val="0"/>
          <w:divBdr>
            <w:top w:val="none" w:sz="0" w:space="0" w:color="auto"/>
            <w:left w:val="none" w:sz="0" w:space="0" w:color="auto"/>
            <w:bottom w:val="single" w:sz="6" w:space="30" w:color="DCDAD7"/>
            <w:right w:val="none" w:sz="0" w:space="0" w:color="auto"/>
          </w:divBdr>
          <w:divsChild>
            <w:div w:id="1802112891">
              <w:marLeft w:val="0"/>
              <w:marRight w:val="0"/>
              <w:marTop w:val="0"/>
              <w:marBottom w:val="0"/>
              <w:divBdr>
                <w:top w:val="none" w:sz="0" w:space="0" w:color="auto"/>
                <w:left w:val="none" w:sz="0" w:space="0" w:color="auto"/>
                <w:bottom w:val="none" w:sz="0" w:space="0" w:color="auto"/>
                <w:right w:val="none" w:sz="0" w:space="0" w:color="auto"/>
              </w:divBdr>
              <w:divsChild>
                <w:div w:id="1636838799">
                  <w:marLeft w:val="0"/>
                  <w:marRight w:val="0"/>
                  <w:marTop w:val="0"/>
                  <w:marBottom w:val="0"/>
                  <w:divBdr>
                    <w:top w:val="none" w:sz="0" w:space="0" w:color="auto"/>
                    <w:left w:val="none" w:sz="0" w:space="0" w:color="auto"/>
                    <w:bottom w:val="none" w:sz="0" w:space="0" w:color="auto"/>
                    <w:right w:val="none" w:sz="0" w:space="0" w:color="auto"/>
                  </w:divBdr>
                  <w:divsChild>
                    <w:div w:id="277763112">
                      <w:marLeft w:val="0"/>
                      <w:marRight w:val="0"/>
                      <w:marTop w:val="0"/>
                      <w:marBottom w:val="0"/>
                      <w:divBdr>
                        <w:top w:val="none" w:sz="0" w:space="0" w:color="auto"/>
                        <w:left w:val="none" w:sz="0" w:space="0" w:color="auto"/>
                        <w:bottom w:val="none" w:sz="0" w:space="0" w:color="auto"/>
                        <w:right w:val="none" w:sz="0" w:space="0" w:color="auto"/>
                      </w:divBdr>
                      <w:divsChild>
                        <w:div w:id="174274982">
                          <w:marLeft w:val="0"/>
                          <w:marRight w:val="0"/>
                          <w:marTop w:val="0"/>
                          <w:marBottom w:val="0"/>
                          <w:divBdr>
                            <w:top w:val="none" w:sz="0" w:space="0" w:color="auto"/>
                            <w:left w:val="none" w:sz="0" w:space="0" w:color="auto"/>
                            <w:bottom w:val="single" w:sz="6" w:space="8" w:color="DCDAD7"/>
                            <w:right w:val="none" w:sz="0" w:space="0" w:color="auto"/>
                          </w:divBdr>
                          <w:divsChild>
                            <w:div w:id="56170861">
                              <w:marLeft w:val="0"/>
                              <w:marRight w:val="0"/>
                              <w:marTop w:val="0"/>
                              <w:marBottom w:val="0"/>
                              <w:divBdr>
                                <w:top w:val="none" w:sz="0" w:space="0" w:color="auto"/>
                                <w:left w:val="none" w:sz="0" w:space="0" w:color="auto"/>
                                <w:bottom w:val="none" w:sz="0" w:space="0" w:color="auto"/>
                                <w:right w:val="none" w:sz="0" w:space="0" w:color="auto"/>
                              </w:divBdr>
                              <w:divsChild>
                                <w:div w:id="920526259">
                                  <w:marLeft w:val="0"/>
                                  <w:marRight w:val="120"/>
                                  <w:marTop w:val="0"/>
                                  <w:marBottom w:val="0"/>
                                  <w:divBdr>
                                    <w:top w:val="none" w:sz="0" w:space="0" w:color="auto"/>
                                    <w:left w:val="none" w:sz="0" w:space="0" w:color="auto"/>
                                    <w:bottom w:val="none" w:sz="0" w:space="0" w:color="auto"/>
                                    <w:right w:val="none" w:sz="0" w:space="0" w:color="auto"/>
                                  </w:divBdr>
                                </w:div>
                                <w:div w:id="198555057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47789674">
                          <w:marLeft w:val="0"/>
                          <w:marRight w:val="0"/>
                          <w:marTop w:val="0"/>
                          <w:marBottom w:val="0"/>
                          <w:divBdr>
                            <w:top w:val="none" w:sz="0" w:space="0" w:color="auto"/>
                            <w:left w:val="none" w:sz="0" w:space="0" w:color="auto"/>
                            <w:bottom w:val="none" w:sz="0" w:space="0" w:color="auto"/>
                            <w:right w:val="none" w:sz="0" w:space="0" w:color="auto"/>
                          </w:divBdr>
                          <w:divsChild>
                            <w:div w:id="1813910737">
                              <w:marLeft w:val="0"/>
                              <w:marRight w:val="0"/>
                              <w:marTop w:val="0"/>
                              <w:marBottom w:val="0"/>
                              <w:divBdr>
                                <w:top w:val="none" w:sz="0" w:space="0" w:color="auto"/>
                                <w:left w:val="none" w:sz="0" w:space="0" w:color="auto"/>
                                <w:bottom w:val="none" w:sz="0" w:space="0" w:color="auto"/>
                                <w:right w:val="none" w:sz="0" w:space="0" w:color="auto"/>
                              </w:divBdr>
                              <w:divsChild>
                                <w:div w:id="1213688649">
                                  <w:marLeft w:val="0"/>
                                  <w:marRight w:val="0"/>
                                  <w:marTop w:val="0"/>
                                  <w:marBottom w:val="0"/>
                                  <w:divBdr>
                                    <w:top w:val="none" w:sz="0" w:space="0" w:color="auto"/>
                                    <w:left w:val="none" w:sz="0" w:space="0" w:color="auto"/>
                                    <w:bottom w:val="none" w:sz="0" w:space="0" w:color="auto"/>
                                    <w:right w:val="none" w:sz="0" w:space="0" w:color="auto"/>
                                  </w:divBdr>
                                  <w:divsChild>
                                    <w:div w:id="9374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7040">
                      <w:marLeft w:val="295"/>
                      <w:marRight w:val="0"/>
                      <w:marTop w:val="150"/>
                      <w:marBottom w:val="0"/>
                      <w:divBdr>
                        <w:top w:val="none" w:sz="0" w:space="0" w:color="auto"/>
                        <w:left w:val="none" w:sz="0" w:space="0" w:color="auto"/>
                        <w:bottom w:val="none" w:sz="0" w:space="0" w:color="auto"/>
                        <w:right w:val="none" w:sz="0" w:space="0" w:color="auto"/>
                      </w:divBdr>
                      <w:divsChild>
                        <w:div w:id="1473323">
                          <w:marLeft w:val="0"/>
                          <w:marRight w:val="0"/>
                          <w:marTop w:val="0"/>
                          <w:marBottom w:val="0"/>
                          <w:divBdr>
                            <w:top w:val="none" w:sz="0" w:space="0" w:color="auto"/>
                            <w:left w:val="none" w:sz="0" w:space="0" w:color="auto"/>
                            <w:bottom w:val="none" w:sz="0" w:space="0" w:color="auto"/>
                            <w:right w:val="none" w:sz="0" w:space="0" w:color="auto"/>
                          </w:divBdr>
                          <w:divsChild>
                            <w:div w:id="6368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6359">
          <w:marLeft w:val="0"/>
          <w:marRight w:val="0"/>
          <w:marTop w:val="0"/>
          <w:marBottom w:val="0"/>
          <w:divBdr>
            <w:top w:val="none" w:sz="0" w:space="0" w:color="auto"/>
            <w:left w:val="none" w:sz="0" w:space="0" w:color="auto"/>
            <w:bottom w:val="none" w:sz="0" w:space="0" w:color="auto"/>
            <w:right w:val="none" w:sz="0" w:space="0" w:color="auto"/>
          </w:divBdr>
          <w:divsChild>
            <w:div w:id="702441348">
              <w:marLeft w:val="0"/>
              <w:marRight w:val="0"/>
              <w:marTop w:val="0"/>
              <w:marBottom w:val="0"/>
              <w:divBdr>
                <w:top w:val="none" w:sz="0" w:space="0" w:color="auto"/>
                <w:left w:val="none" w:sz="0" w:space="0" w:color="auto"/>
                <w:bottom w:val="none" w:sz="0" w:space="0" w:color="auto"/>
                <w:right w:val="none" w:sz="0" w:space="0" w:color="auto"/>
              </w:divBdr>
              <w:divsChild>
                <w:div w:id="874468314">
                  <w:marLeft w:val="0"/>
                  <w:marRight w:val="0"/>
                  <w:marTop w:val="0"/>
                  <w:marBottom w:val="0"/>
                  <w:divBdr>
                    <w:top w:val="none" w:sz="0" w:space="0" w:color="auto"/>
                    <w:left w:val="none" w:sz="0" w:space="0" w:color="auto"/>
                    <w:bottom w:val="none" w:sz="0" w:space="0" w:color="auto"/>
                    <w:right w:val="none" w:sz="0" w:space="0" w:color="auto"/>
                  </w:divBdr>
                </w:div>
                <w:div w:id="1085111202">
                  <w:marLeft w:val="0"/>
                  <w:marRight w:val="0"/>
                  <w:marTop w:val="0"/>
                  <w:marBottom w:val="0"/>
                  <w:divBdr>
                    <w:top w:val="none" w:sz="0" w:space="0" w:color="auto"/>
                    <w:left w:val="none" w:sz="0" w:space="0" w:color="auto"/>
                    <w:bottom w:val="none" w:sz="0" w:space="0" w:color="auto"/>
                    <w:right w:val="none" w:sz="0" w:space="0" w:color="auto"/>
                  </w:divBdr>
                  <w:divsChild>
                    <w:div w:id="994408078">
                      <w:marLeft w:val="0"/>
                      <w:marRight w:val="0"/>
                      <w:marTop w:val="0"/>
                      <w:marBottom w:val="0"/>
                      <w:divBdr>
                        <w:top w:val="none" w:sz="0" w:space="0" w:color="auto"/>
                        <w:left w:val="none" w:sz="0" w:space="0" w:color="auto"/>
                        <w:bottom w:val="none" w:sz="0" w:space="0" w:color="auto"/>
                        <w:right w:val="none" w:sz="0" w:space="0" w:color="auto"/>
                      </w:divBdr>
                      <w:divsChild>
                        <w:div w:id="1749038996">
                          <w:marLeft w:val="0"/>
                          <w:marRight w:val="0"/>
                          <w:marTop w:val="0"/>
                          <w:marBottom w:val="0"/>
                          <w:divBdr>
                            <w:top w:val="none" w:sz="0" w:space="0" w:color="auto"/>
                            <w:left w:val="none" w:sz="0" w:space="0" w:color="auto"/>
                            <w:bottom w:val="none" w:sz="0" w:space="0" w:color="auto"/>
                            <w:right w:val="none" w:sz="0" w:space="0" w:color="auto"/>
                          </w:divBdr>
                          <w:divsChild>
                            <w:div w:id="4492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94907">
      <w:bodyDiv w:val="1"/>
      <w:marLeft w:val="0"/>
      <w:marRight w:val="0"/>
      <w:marTop w:val="0"/>
      <w:marBottom w:val="0"/>
      <w:divBdr>
        <w:top w:val="none" w:sz="0" w:space="0" w:color="auto"/>
        <w:left w:val="none" w:sz="0" w:space="0" w:color="auto"/>
        <w:bottom w:val="none" w:sz="0" w:space="0" w:color="auto"/>
        <w:right w:val="none" w:sz="0" w:space="0" w:color="auto"/>
      </w:divBdr>
    </w:div>
    <w:div w:id="703404981">
      <w:bodyDiv w:val="1"/>
      <w:marLeft w:val="0"/>
      <w:marRight w:val="0"/>
      <w:marTop w:val="0"/>
      <w:marBottom w:val="0"/>
      <w:divBdr>
        <w:top w:val="none" w:sz="0" w:space="0" w:color="auto"/>
        <w:left w:val="none" w:sz="0" w:space="0" w:color="auto"/>
        <w:bottom w:val="none" w:sz="0" w:space="0" w:color="auto"/>
        <w:right w:val="none" w:sz="0" w:space="0" w:color="auto"/>
      </w:divBdr>
      <w:divsChild>
        <w:div w:id="451094995">
          <w:marLeft w:val="0"/>
          <w:marRight w:val="0"/>
          <w:marTop w:val="0"/>
          <w:marBottom w:val="0"/>
          <w:divBdr>
            <w:top w:val="none" w:sz="0" w:space="0" w:color="auto"/>
            <w:left w:val="none" w:sz="0" w:space="0" w:color="auto"/>
            <w:bottom w:val="none" w:sz="0" w:space="0" w:color="auto"/>
            <w:right w:val="none" w:sz="0" w:space="0" w:color="auto"/>
          </w:divBdr>
          <w:divsChild>
            <w:div w:id="1648970384">
              <w:marLeft w:val="0"/>
              <w:marRight w:val="0"/>
              <w:marTop w:val="0"/>
              <w:marBottom w:val="0"/>
              <w:divBdr>
                <w:top w:val="none" w:sz="0" w:space="0" w:color="auto"/>
                <w:left w:val="none" w:sz="0" w:space="0" w:color="auto"/>
                <w:bottom w:val="none" w:sz="0" w:space="0" w:color="auto"/>
                <w:right w:val="none" w:sz="0" w:space="0" w:color="auto"/>
              </w:divBdr>
              <w:divsChild>
                <w:div w:id="656344157">
                  <w:marLeft w:val="0"/>
                  <w:marRight w:val="0"/>
                  <w:marTop w:val="0"/>
                  <w:marBottom w:val="0"/>
                  <w:divBdr>
                    <w:top w:val="none" w:sz="0" w:space="0" w:color="auto"/>
                    <w:left w:val="none" w:sz="0" w:space="0" w:color="auto"/>
                    <w:bottom w:val="none" w:sz="0" w:space="0" w:color="auto"/>
                    <w:right w:val="none" w:sz="0" w:space="0" w:color="auto"/>
                  </w:divBdr>
                  <w:divsChild>
                    <w:div w:id="13839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82244">
      <w:bodyDiv w:val="1"/>
      <w:marLeft w:val="0"/>
      <w:marRight w:val="0"/>
      <w:marTop w:val="0"/>
      <w:marBottom w:val="0"/>
      <w:divBdr>
        <w:top w:val="none" w:sz="0" w:space="0" w:color="auto"/>
        <w:left w:val="none" w:sz="0" w:space="0" w:color="auto"/>
        <w:bottom w:val="none" w:sz="0" w:space="0" w:color="auto"/>
        <w:right w:val="none" w:sz="0" w:space="0" w:color="auto"/>
      </w:divBdr>
    </w:div>
    <w:div w:id="1014721548">
      <w:bodyDiv w:val="1"/>
      <w:marLeft w:val="0"/>
      <w:marRight w:val="0"/>
      <w:marTop w:val="0"/>
      <w:marBottom w:val="0"/>
      <w:divBdr>
        <w:top w:val="none" w:sz="0" w:space="0" w:color="auto"/>
        <w:left w:val="none" w:sz="0" w:space="0" w:color="auto"/>
        <w:bottom w:val="none" w:sz="0" w:space="0" w:color="auto"/>
        <w:right w:val="none" w:sz="0" w:space="0" w:color="auto"/>
      </w:divBdr>
    </w:div>
    <w:div w:id="1069116540">
      <w:bodyDiv w:val="1"/>
      <w:marLeft w:val="0"/>
      <w:marRight w:val="0"/>
      <w:marTop w:val="0"/>
      <w:marBottom w:val="0"/>
      <w:divBdr>
        <w:top w:val="none" w:sz="0" w:space="0" w:color="auto"/>
        <w:left w:val="none" w:sz="0" w:space="0" w:color="auto"/>
        <w:bottom w:val="none" w:sz="0" w:space="0" w:color="auto"/>
        <w:right w:val="none" w:sz="0" w:space="0" w:color="auto"/>
      </w:divBdr>
      <w:divsChild>
        <w:div w:id="656686900">
          <w:marLeft w:val="0"/>
          <w:marRight w:val="0"/>
          <w:marTop w:val="0"/>
          <w:marBottom w:val="0"/>
          <w:divBdr>
            <w:top w:val="none" w:sz="0" w:space="0" w:color="auto"/>
            <w:left w:val="none" w:sz="0" w:space="0" w:color="auto"/>
            <w:bottom w:val="none" w:sz="0" w:space="0" w:color="auto"/>
            <w:right w:val="none" w:sz="0" w:space="0" w:color="auto"/>
          </w:divBdr>
          <w:divsChild>
            <w:div w:id="551775698">
              <w:marLeft w:val="0"/>
              <w:marRight w:val="0"/>
              <w:marTop w:val="0"/>
              <w:marBottom w:val="0"/>
              <w:divBdr>
                <w:top w:val="none" w:sz="0" w:space="0" w:color="auto"/>
                <w:left w:val="none" w:sz="0" w:space="0" w:color="auto"/>
                <w:bottom w:val="none" w:sz="0" w:space="0" w:color="auto"/>
                <w:right w:val="none" w:sz="0" w:space="0" w:color="auto"/>
              </w:divBdr>
              <w:divsChild>
                <w:div w:id="1772428848">
                  <w:marLeft w:val="0"/>
                  <w:marRight w:val="0"/>
                  <w:marTop w:val="0"/>
                  <w:marBottom w:val="0"/>
                  <w:divBdr>
                    <w:top w:val="none" w:sz="0" w:space="0" w:color="auto"/>
                    <w:left w:val="none" w:sz="0" w:space="0" w:color="auto"/>
                    <w:bottom w:val="none" w:sz="0" w:space="0" w:color="auto"/>
                    <w:right w:val="none" w:sz="0" w:space="0" w:color="auto"/>
                  </w:divBdr>
                  <w:divsChild>
                    <w:div w:id="18939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doi.org/https://doi.org/10.1016/S0140-6736(12)62167-9" TargetMode="External"/><Relationship Id="rId26" Type="http://schemas.openxmlformats.org/officeDocument/2006/relationships/hyperlink" Target="https://doi.org/10.1093/gerona/56.3.m146" TargetMode="External"/><Relationship Id="rId39" Type="http://schemas.openxmlformats.org/officeDocument/2006/relationships/hyperlink" Target="https://www.ons.gov.uk/peoplepopulationandcommunity/populationandmigration/populationestimates/bulletins/annualmidyearpopulationestimates/latest" TargetMode="External"/><Relationship Id="rId21" Type="http://schemas.openxmlformats.org/officeDocument/2006/relationships/hyperlink" Target="https://doi.org/10.3390/ijerph17165741" TargetMode="External"/><Relationship Id="rId34" Type="http://schemas.openxmlformats.org/officeDocument/2006/relationships/hyperlink" Target="https://doi.org/10.1186/1472-6947-9-3" TargetMode="External"/><Relationship Id="rId42" Type="http://schemas.openxmlformats.org/officeDocument/2006/relationships/hyperlink" Target="https://doi.org/https://doi.org/10.1016/j.ejor.2015.05.043" TargetMode="External"/><Relationship Id="rId47" Type="http://schemas.openxmlformats.org/officeDocument/2006/relationships/hyperlink" Target="https://popdatasci.swan.ac.uk/sail-projects-funding/" TargetMode="External"/><Relationship Id="rId50" Type="http://schemas.openxmlformats.org/officeDocument/2006/relationships/hyperlink" Target="https://doi.org/10.1017/s1041610212000282" TargetMode="External"/><Relationship Id="rId55" Type="http://schemas.openxmlformats.org/officeDocument/2006/relationships/hyperlink" Target="https://www.thewholesystem.co.uk/wp-content/uploads/2019/01/SCIO-talk.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https://doi.org/10.1111/jep.12790" TargetMode="External"/><Relationship Id="rId29" Type="http://schemas.openxmlformats.org/officeDocument/2006/relationships/hyperlink" Target="https://doi.org/10.1038/s43587-021-00099-3" TargetMode="External"/><Relationship Id="rId11" Type="http://schemas.openxmlformats.org/officeDocument/2006/relationships/hyperlink" Target="mailto:" TargetMode="External"/><Relationship Id="rId24" Type="http://schemas.openxmlformats.org/officeDocument/2006/relationships/hyperlink" Target="https://doi.org/10.1186/s12877-021-02684-y" TargetMode="External"/><Relationship Id="rId32" Type="http://schemas.openxmlformats.org/officeDocument/2006/relationships/hyperlink" Target="https://doi.org/10.36819/SW21.005" TargetMode="External"/><Relationship Id="rId37" Type="http://schemas.openxmlformats.org/officeDocument/2006/relationships/hyperlink" Target="file:///C:\Users\scb\Dropbox\01%20Working%20docs\Research\Frailty%20Dynamics\Journal%20articles\Health%20Systems\V2%20Jan%202024\www.england.nhs.uk\publication\supporting-routine-frailty-identification-and-frailty-through-the-gp-contract-20172018\" TargetMode="External"/><Relationship Id="rId40" Type="http://schemas.openxmlformats.org/officeDocument/2006/relationships/hyperlink" Target="https://www.ons.gov.uk/peoplepopulationandcommunity/populationandmigration/populationprojections/datasets/z3zippedpopulationprojectionsdatafilesengland" TargetMode="External"/><Relationship Id="rId45" Type="http://schemas.openxmlformats.org/officeDocument/2006/relationships/hyperlink" Target="http://lst-iiep.iiep-unesco.org/cgi-bin/wwwi32.exe/%5bin=epidoc1.in%5d/?t2000=013598/(100" TargetMode="External"/><Relationship Id="rId53" Type="http://schemas.openxmlformats.org/officeDocument/2006/relationships/hyperlink" Target="https://doi.org/10.1093/ageing/afad058"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oi.org/10.1136/bmjopen-2016-0110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doi:10.1136/bmjopen-2016-012750" TargetMode="External"/><Relationship Id="rId22" Type="http://schemas.openxmlformats.org/officeDocument/2006/relationships/hyperlink" Target="https://doi.org/10.1080/01605682.2020.1772020" TargetMode="External"/><Relationship Id="rId27" Type="http://schemas.openxmlformats.org/officeDocument/2006/relationships/hyperlink" Target="https://doi.org/10.1186/s12877-020-01800-8" TargetMode="External"/><Relationship Id="rId30" Type="http://schemas.openxmlformats.org/officeDocument/2006/relationships/hyperlink" Target="https://doi.org/10.1186/s12877-022-02767-4" TargetMode="External"/><Relationship Id="rId35" Type="http://schemas.openxmlformats.org/officeDocument/2006/relationships/hyperlink" Target="https://doi.org/10.1016/j.maturitas.2020.05.010" TargetMode="External"/><Relationship Id="rId43" Type="http://schemas.openxmlformats.org/officeDocument/2006/relationships/hyperlink" Target="https://doi.org/10.1093/ageing/aft115" TargetMode="External"/><Relationship Id="rId48" Type="http://schemas.openxmlformats.org/officeDocument/2006/relationships/hyperlink" Target="https://doi.org/https://doi.org/10.1016/j.ejor.2015.01.046" TargetMode="External"/><Relationship Id="rId56" Type="http://schemas.openxmlformats.org/officeDocument/2006/relationships/hyperlink" Target="https://doi.org/https://doi.org/10.1016/j.orhc.2021.100325" TargetMode="External"/><Relationship Id="rId8" Type="http://schemas.openxmlformats.org/officeDocument/2006/relationships/webSettings" Target="webSettings.xml"/><Relationship Id="rId51" Type="http://schemas.openxmlformats.org/officeDocument/2006/relationships/hyperlink" Target="https://doi.org/10.1016/j.mad.2008.09.013"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doi.org/10.1093/ageing/afw039" TargetMode="External"/><Relationship Id="rId25" Type="http://schemas.openxmlformats.org/officeDocument/2006/relationships/hyperlink" Target="https://doi.org/10.1186/1472-6963-9-157" TargetMode="External"/><Relationship Id="rId33" Type="http://schemas.openxmlformats.org/officeDocument/2006/relationships/hyperlink" Target="https://doi.org/10.1016/j.mad.2008.09.012" TargetMode="External"/><Relationship Id="rId38" Type="http://schemas.openxmlformats.org/officeDocument/2006/relationships/hyperlink" Target="https://doi.org/10.1093/ageing/afaa219" TargetMode="External"/><Relationship Id="rId46" Type="http://schemas.openxmlformats.org/officeDocument/2006/relationships/hyperlink" Target="https://doi.org/10.1093/pubmed/fdab320" TargetMode="External"/><Relationship Id="rId59" Type="http://schemas.openxmlformats.org/officeDocument/2006/relationships/theme" Target="theme/theme1.xml"/><Relationship Id="rId20" Type="http://schemas.openxmlformats.org/officeDocument/2006/relationships/hyperlink" Target="https://saildatabank.com/" TargetMode="External"/><Relationship Id="rId41" Type="http://schemas.openxmlformats.org/officeDocument/2006/relationships/hyperlink" Target="https://doi.org/10.1136/bmj.p1577" TargetMode="External"/><Relationship Id="rId54" Type="http://schemas.openxmlformats.org/officeDocument/2006/relationships/hyperlink" Target="file:///C:\Users\scb\Dropbox\01%20Working%20docs\Research\Frailty%20Dynamics\Journal%20articles\Health%20Systems\V2%20Jan%202024\www.health.org.uk\publications\health-in-204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93/aje/kwx061" TargetMode="External"/><Relationship Id="rId23" Type="http://schemas.openxmlformats.org/officeDocument/2006/relationships/hyperlink" Target="https://doi.org/https://doi.org/10.1016/j.mad.2020.111403" TargetMode="External"/><Relationship Id="rId28" Type="http://schemas.openxmlformats.org/officeDocument/2006/relationships/hyperlink" Target="https://ihub.scot/improvement-programmes/community-care/electronic-frailty-index-efi/" TargetMode="External"/><Relationship Id="rId36" Type="http://schemas.openxmlformats.org/officeDocument/2006/relationships/hyperlink" Target="https://www.england.nhs.uk/ourwork/clinical-policy/older-people/frailty/efi/" TargetMode="External"/><Relationship Id="rId49" Type="http://schemas.openxmlformats.org/officeDocument/2006/relationships/hyperlink" Target="https://doi.org/https://doi.org/10.1002/sres.2202"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doi.org/10.23889/ijpds.v4i2.1134" TargetMode="External"/><Relationship Id="rId44" Type="http://schemas.openxmlformats.org/officeDocument/2006/relationships/hyperlink" Target="https://doi.org/10.1136/bmjopen-2017-018195" TargetMode="External"/><Relationship Id="rId52" Type="http://schemas.openxmlformats.org/officeDocument/2006/relationships/hyperlink" Target="https://doi.org/https://doi.org/10.1071/AH010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Wel11</b:Tag>
    <b:SourceType>Report</b:SourceType>
    <b:Guid>{49364F48-8FB1-4B3E-9642-0BC31CC5894D}</b:Guid>
    <b:Title>Welsh Index of Multiple Deprivation</b:Title>
    <b:Year>2011</b:Year>
    <b:RefOrder>30</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E61AB4F364B454B83FEA16008EDF8DD" ma:contentTypeVersion="17" ma:contentTypeDescription="Create a new document." ma:contentTypeScope="" ma:versionID="a70966eae06f28c5040eecafa78c8ec5">
  <xsd:schema xmlns:xsd="http://www.w3.org/2001/XMLSchema" xmlns:xs="http://www.w3.org/2001/XMLSchema" xmlns:p="http://schemas.microsoft.com/office/2006/metadata/properties" xmlns:ns3="40c5ab6e-594a-4683-a5e4-f308fd055df9" xmlns:ns4="3e601c14-a049-4d00-8f52-1ed166bfe125" targetNamespace="http://schemas.microsoft.com/office/2006/metadata/properties" ma:root="true" ma:fieldsID="d026e1dc7beb4553b7a55292e197404d" ns3:_="" ns4:_="">
    <xsd:import namespace="40c5ab6e-594a-4683-a5e4-f308fd055df9"/>
    <xsd:import namespace="3e601c14-a049-4d00-8f52-1ed166bfe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5ab6e-594a-4683-a5e4-f308fd05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1c14-a049-4d00-8f52-1ed166bfe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0c5ab6e-594a-4683-a5e4-f308fd055df9" xsi:nil="true"/>
  </documentManagement>
</p:properties>
</file>

<file path=customXml/itemProps1.xml><?xml version="1.0" encoding="utf-8"?>
<ds:datastoreItem xmlns:ds="http://schemas.openxmlformats.org/officeDocument/2006/customXml" ds:itemID="{6BA18FD8-B234-4664-890C-683A762D9EA6}">
  <ds:schemaRefs>
    <ds:schemaRef ds:uri="http://schemas.openxmlformats.org/officeDocument/2006/bibliography"/>
  </ds:schemaRefs>
</ds:datastoreItem>
</file>

<file path=customXml/itemProps2.xml><?xml version="1.0" encoding="utf-8"?>
<ds:datastoreItem xmlns:ds="http://schemas.openxmlformats.org/officeDocument/2006/customXml" ds:itemID="{2ACF321F-B028-410D-B006-2AD9C205E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5ab6e-594a-4683-a5e4-f308fd055df9"/>
    <ds:schemaRef ds:uri="3e601c14-a049-4d00-8f52-1ed166bfe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E80C0-839E-48C4-A7B0-DAE99B1ABA6A}">
  <ds:schemaRefs>
    <ds:schemaRef ds:uri="http://schemas.microsoft.com/sharepoint/v3/contenttype/forms"/>
  </ds:schemaRefs>
</ds:datastoreItem>
</file>

<file path=customXml/itemProps4.xml><?xml version="1.0" encoding="utf-8"?>
<ds:datastoreItem xmlns:ds="http://schemas.openxmlformats.org/officeDocument/2006/customXml" ds:itemID="{90AB1607-A92F-42D9-A57E-D8D44B59519E}">
  <ds:schemaRefs>
    <ds:schemaRef ds:uri="http://schemas.microsoft.com/office/2006/metadata/properties"/>
    <ds:schemaRef ds:uri="http://schemas.microsoft.com/office/infopath/2007/PartnerControls"/>
    <ds:schemaRef ds:uri="40c5ab6e-594a-4683-a5e4-f308fd055df9"/>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21269</Words>
  <Characters>121234</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England</dc:creator>
  <cp:keywords/>
  <dc:description/>
  <cp:lastModifiedBy>Tracey England</cp:lastModifiedBy>
  <cp:revision>9</cp:revision>
  <cp:lastPrinted>2023-06-16T13:48:00Z</cp:lastPrinted>
  <dcterms:created xsi:type="dcterms:W3CDTF">2024-11-25T08:28:00Z</dcterms:created>
  <dcterms:modified xsi:type="dcterms:W3CDTF">2024-12-10T13:53:00Z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0x010100DE61AB4F364B454B83FEA16008EDF8DD</vt:lpwstr>
  </property>
</Properties>
</file>