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7D229" w14:textId="77777777" w:rsidR="00DE13CA" w:rsidRPr="00DE13CA" w:rsidRDefault="00DE13CA" w:rsidP="00DE13CA">
      <w:pPr>
        <w:widowControl w:val="0"/>
        <w:autoSpaceDE w:val="0"/>
        <w:autoSpaceDN w:val="0"/>
        <w:adjustRightInd w:val="0"/>
        <w:spacing w:after="120" w:line="240" w:lineRule="auto"/>
        <w:jc w:val="center"/>
        <w:rPr>
          <w:rFonts w:ascii="Times New Roman" w:hAnsi="Times New Roman"/>
          <w:b/>
          <w:iCs/>
          <w:sz w:val="24"/>
          <w:szCs w:val="20"/>
          <w:lang w:val="en-US"/>
        </w:rPr>
      </w:pPr>
      <w:r w:rsidRPr="00DE13CA">
        <w:rPr>
          <w:rFonts w:ascii="Times New Roman" w:hAnsi="Times New Roman"/>
          <w:b/>
          <w:iCs/>
          <w:sz w:val="24"/>
          <w:szCs w:val="20"/>
          <w:lang w:val="en-US"/>
        </w:rPr>
        <w:t>Waste management, green initiatives, and financial distress in heavily regulated environmental contexts: Evidence from the United Kingdom</w:t>
      </w:r>
    </w:p>
    <w:p w14:paraId="55DF797E" w14:textId="77777777" w:rsidR="00DE13CA" w:rsidRPr="00DE13CA" w:rsidRDefault="00DE13CA" w:rsidP="00DE13CA">
      <w:pPr>
        <w:widowControl w:val="0"/>
        <w:autoSpaceDE w:val="0"/>
        <w:autoSpaceDN w:val="0"/>
        <w:adjustRightInd w:val="0"/>
        <w:spacing w:after="120" w:line="240" w:lineRule="auto"/>
        <w:jc w:val="center"/>
        <w:rPr>
          <w:rFonts w:ascii="Times New Roman" w:hAnsi="Times New Roman"/>
          <w:b/>
          <w:iCs/>
          <w:sz w:val="24"/>
          <w:szCs w:val="20"/>
          <w:lang w:val="en-US"/>
        </w:rPr>
      </w:pPr>
    </w:p>
    <w:p w14:paraId="7944C0CB" w14:textId="77777777" w:rsidR="00DE13CA" w:rsidRPr="00DE13CA" w:rsidRDefault="00DE13CA" w:rsidP="00DE13CA">
      <w:pPr>
        <w:widowControl w:val="0"/>
        <w:autoSpaceDE w:val="0"/>
        <w:autoSpaceDN w:val="0"/>
        <w:adjustRightInd w:val="0"/>
        <w:spacing w:after="120" w:line="240" w:lineRule="auto"/>
        <w:jc w:val="center"/>
        <w:rPr>
          <w:rFonts w:ascii="Times New Roman" w:hAnsi="Times New Roman"/>
          <w:b/>
          <w:iCs/>
          <w:sz w:val="24"/>
          <w:szCs w:val="20"/>
          <w:lang w:val="en-US"/>
        </w:rPr>
      </w:pPr>
      <w:r w:rsidRPr="00DE13CA">
        <w:rPr>
          <w:rFonts w:ascii="Times New Roman" w:hAnsi="Times New Roman"/>
          <w:b/>
          <w:iCs/>
          <w:sz w:val="24"/>
          <w:szCs w:val="20"/>
          <w:lang w:val="en-US"/>
        </w:rPr>
        <w:t>1. Co-author and corresponding author:</w:t>
      </w:r>
    </w:p>
    <w:p w14:paraId="58244633" w14:textId="77777777" w:rsidR="00DE13CA" w:rsidRPr="00DE13CA" w:rsidRDefault="00DE13CA" w:rsidP="00DE13CA">
      <w:pPr>
        <w:widowControl w:val="0"/>
        <w:autoSpaceDE w:val="0"/>
        <w:autoSpaceDN w:val="0"/>
        <w:adjustRightInd w:val="0"/>
        <w:spacing w:after="120" w:line="240" w:lineRule="auto"/>
        <w:jc w:val="center"/>
        <w:rPr>
          <w:rFonts w:ascii="Times New Roman" w:hAnsi="Times New Roman"/>
          <w:bCs/>
          <w:iCs/>
          <w:sz w:val="24"/>
          <w:szCs w:val="20"/>
          <w:lang w:val="en-US"/>
        </w:rPr>
      </w:pPr>
    </w:p>
    <w:p w14:paraId="5DA52CC5" w14:textId="351094AB" w:rsidR="00DE13CA" w:rsidRPr="00DE13CA" w:rsidRDefault="00DE13CA" w:rsidP="00DE13CA">
      <w:pPr>
        <w:widowControl w:val="0"/>
        <w:autoSpaceDE w:val="0"/>
        <w:autoSpaceDN w:val="0"/>
        <w:adjustRightInd w:val="0"/>
        <w:spacing w:after="120" w:line="240" w:lineRule="auto"/>
        <w:jc w:val="center"/>
        <w:rPr>
          <w:rFonts w:ascii="Times New Roman" w:hAnsi="Times New Roman"/>
          <w:bCs/>
          <w:iCs/>
          <w:sz w:val="24"/>
          <w:szCs w:val="20"/>
          <w:lang w:val="en-US"/>
        </w:rPr>
      </w:pPr>
      <w:r w:rsidRPr="00DE13CA">
        <w:rPr>
          <w:rFonts w:ascii="Times New Roman" w:hAnsi="Times New Roman"/>
          <w:bCs/>
          <w:iCs/>
          <w:sz w:val="24"/>
          <w:szCs w:val="20"/>
          <w:lang w:val="en-US"/>
        </w:rPr>
        <w:t xml:space="preserve">Nurlan Orazalin </w:t>
      </w:r>
    </w:p>
    <w:p w14:paraId="24B379AE" w14:textId="77777777" w:rsidR="00DE13CA" w:rsidRPr="00DE13CA" w:rsidRDefault="00DE13CA" w:rsidP="00DE13CA">
      <w:pPr>
        <w:widowControl w:val="0"/>
        <w:autoSpaceDE w:val="0"/>
        <w:autoSpaceDN w:val="0"/>
        <w:adjustRightInd w:val="0"/>
        <w:spacing w:after="120" w:line="240" w:lineRule="auto"/>
        <w:jc w:val="center"/>
        <w:rPr>
          <w:rFonts w:ascii="Times New Roman" w:hAnsi="Times New Roman"/>
          <w:bCs/>
          <w:iCs/>
          <w:sz w:val="24"/>
          <w:szCs w:val="20"/>
          <w:lang w:val="en-US"/>
        </w:rPr>
      </w:pPr>
      <w:r w:rsidRPr="00DE13CA">
        <w:rPr>
          <w:rFonts w:ascii="Times New Roman" w:hAnsi="Times New Roman"/>
          <w:bCs/>
          <w:iCs/>
          <w:sz w:val="24"/>
          <w:szCs w:val="20"/>
          <w:lang w:val="en-US"/>
        </w:rPr>
        <w:t>Bang College of Business, KIMEP University, Almaty, Kazakhstan.</w:t>
      </w:r>
    </w:p>
    <w:p w14:paraId="144FC235" w14:textId="77777777" w:rsidR="00DE13CA" w:rsidRPr="00DE13CA" w:rsidRDefault="00DE13CA" w:rsidP="00DE13CA">
      <w:pPr>
        <w:widowControl w:val="0"/>
        <w:autoSpaceDE w:val="0"/>
        <w:autoSpaceDN w:val="0"/>
        <w:adjustRightInd w:val="0"/>
        <w:spacing w:after="120" w:line="240" w:lineRule="auto"/>
        <w:jc w:val="center"/>
        <w:rPr>
          <w:rFonts w:ascii="Times New Roman" w:hAnsi="Times New Roman"/>
          <w:bCs/>
          <w:iCs/>
          <w:sz w:val="24"/>
          <w:szCs w:val="20"/>
          <w:lang w:val="en-US"/>
        </w:rPr>
      </w:pPr>
      <w:r w:rsidRPr="00DE13CA">
        <w:rPr>
          <w:rFonts w:ascii="Times New Roman" w:hAnsi="Times New Roman"/>
          <w:bCs/>
          <w:iCs/>
          <w:sz w:val="24"/>
          <w:szCs w:val="20"/>
          <w:lang w:val="en-US"/>
        </w:rPr>
        <w:t>Institute of Applied Sciences and Information Technology, Almaty, Republic of Kazakhstan</w:t>
      </w:r>
    </w:p>
    <w:p w14:paraId="52DA355B" w14:textId="77777777" w:rsidR="00DE13CA" w:rsidRPr="00DE13CA" w:rsidRDefault="00DE13CA" w:rsidP="00DE13CA">
      <w:pPr>
        <w:widowControl w:val="0"/>
        <w:autoSpaceDE w:val="0"/>
        <w:autoSpaceDN w:val="0"/>
        <w:adjustRightInd w:val="0"/>
        <w:spacing w:after="120" w:line="240" w:lineRule="auto"/>
        <w:jc w:val="center"/>
        <w:rPr>
          <w:rFonts w:ascii="Times New Roman" w:hAnsi="Times New Roman"/>
          <w:bCs/>
          <w:iCs/>
          <w:sz w:val="24"/>
          <w:szCs w:val="20"/>
          <w:lang w:val="en-US"/>
        </w:rPr>
      </w:pPr>
      <w:r w:rsidRPr="00DE13CA">
        <w:rPr>
          <w:rFonts w:ascii="Times New Roman" w:hAnsi="Times New Roman"/>
          <w:bCs/>
          <w:iCs/>
          <w:sz w:val="24"/>
          <w:szCs w:val="20"/>
          <w:lang w:val="en-US"/>
        </w:rPr>
        <w:t>Email: orazalin@kimep.kz</w:t>
      </w:r>
    </w:p>
    <w:p w14:paraId="183DD68D" w14:textId="77777777" w:rsidR="00DE13CA" w:rsidRPr="00DE13CA" w:rsidRDefault="00DE13CA" w:rsidP="00DE13CA">
      <w:pPr>
        <w:widowControl w:val="0"/>
        <w:autoSpaceDE w:val="0"/>
        <w:autoSpaceDN w:val="0"/>
        <w:adjustRightInd w:val="0"/>
        <w:spacing w:after="120" w:line="240" w:lineRule="auto"/>
        <w:jc w:val="center"/>
        <w:rPr>
          <w:rFonts w:ascii="Times New Roman" w:hAnsi="Times New Roman"/>
          <w:bCs/>
          <w:iCs/>
          <w:sz w:val="24"/>
          <w:szCs w:val="20"/>
          <w:lang w:val="en-US"/>
        </w:rPr>
      </w:pPr>
    </w:p>
    <w:p w14:paraId="175CA7AE" w14:textId="77777777" w:rsidR="00DE13CA" w:rsidRPr="00DE13CA" w:rsidRDefault="00DE13CA" w:rsidP="00DE13CA">
      <w:pPr>
        <w:widowControl w:val="0"/>
        <w:autoSpaceDE w:val="0"/>
        <w:autoSpaceDN w:val="0"/>
        <w:adjustRightInd w:val="0"/>
        <w:spacing w:after="120" w:line="240" w:lineRule="auto"/>
        <w:jc w:val="center"/>
        <w:rPr>
          <w:rFonts w:ascii="Times New Roman" w:hAnsi="Times New Roman"/>
          <w:bCs/>
          <w:iCs/>
          <w:sz w:val="24"/>
          <w:szCs w:val="20"/>
          <w:lang w:val="en-US"/>
        </w:rPr>
      </w:pPr>
    </w:p>
    <w:p w14:paraId="58998A7D" w14:textId="77777777" w:rsidR="00DE13CA" w:rsidRPr="00DE13CA" w:rsidRDefault="00DE13CA" w:rsidP="00DE13CA">
      <w:pPr>
        <w:widowControl w:val="0"/>
        <w:autoSpaceDE w:val="0"/>
        <w:autoSpaceDN w:val="0"/>
        <w:adjustRightInd w:val="0"/>
        <w:spacing w:after="120" w:line="240" w:lineRule="auto"/>
        <w:jc w:val="center"/>
        <w:rPr>
          <w:rFonts w:ascii="Times New Roman" w:hAnsi="Times New Roman"/>
          <w:bCs/>
          <w:iCs/>
          <w:sz w:val="24"/>
          <w:szCs w:val="20"/>
          <w:lang w:val="en-US"/>
        </w:rPr>
      </w:pPr>
      <w:r w:rsidRPr="00DE13CA">
        <w:rPr>
          <w:rFonts w:ascii="Times New Roman" w:hAnsi="Times New Roman"/>
          <w:bCs/>
          <w:iCs/>
          <w:sz w:val="24"/>
          <w:szCs w:val="20"/>
          <w:lang w:val="en-US"/>
        </w:rPr>
        <w:t>2. Co-author:</w:t>
      </w:r>
    </w:p>
    <w:p w14:paraId="1562B3CE" w14:textId="77777777" w:rsidR="00DE13CA" w:rsidRPr="00DE13CA" w:rsidRDefault="00DE13CA" w:rsidP="00DE13CA">
      <w:pPr>
        <w:widowControl w:val="0"/>
        <w:autoSpaceDE w:val="0"/>
        <w:autoSpaceDN w:val="0"/>
        <w:adjustRightInd w:val="0"/>
        <w:spacing w:after="120" w:line="240" w:lineRule="auto"/>
        <w:jc w:val="center"/>
        <w:rPr>
          <w:rFonts w:ascii="Times New Roman" w:hAnsi="Times New Roman"/>
          <w:bCs/>
          <w:iCs/>
          <w:sz w:val="24"/>
          <w:szCs w:val="20"/>
          <w:lang w:val="en-US"/>
        </w:rPr>
      </w:pPr>
      <w:r w:rsidRPr="00DE13CA">
        <w:rPr>
          <w:rFonts w:ascii="Times New Roman" w:hAnsi="Times New Roman"/>
          <w:bCs/>
          <w:iCs/>
          <w:sz w:val="24"/>
          <w:szCs w:val="20"/>
          <w:lang w:val="en-US"/>
        </w:rPr>
        <w:t>Collins G. Ntim</w:t>
      </w:r>
    </w:p>
    <w:p w14:paraId="0698A9E0" w14:textId="77777777" w:rsidR="00DE13CA" w:rsidRPr="00DE13CA" w:rsidRDefault="00DE13CA" w:rsidP="00DE13CA">
      <w:pPr>
        <w:widowControl w:val="0"/>
        <w:autoSpaceDE w:val="0"/>
        <w:autoSpaceDN w:val="0"/>
        <w:adjustRightInd w:val="0"/>
        <w:spacing w:after="120" w:line="240" w:lineRule="auto"/>
        <w:jc w:val="center"/>
        <w:rPr>
          <w:rFonts w:ascii="Times New Roman" w:hAnsi="Times New Roman"/>
          <w:bCs/>
          <w:iCs/>
          <w:sz w:val="24"/>
          <w:szCs w:val="20"/>
          <w:lang w:val="en-US"/>
        </w:rPr>
      </w:pPr>
      <w:r w:rsidRPr="00DE13CA">
        <w:rPr>
          <w:rFonts w:ascii="Times New Roman" w:hAnsi="Times New Roman"/>
          <w:bCs/>
          <w:iCs/>
          <w:sz w:val="24"/>
          <w:szCs w:val="20"/>
          <w:lang w:val="en-US"/>
        </w:rPr>
        <w:t>Southampton Business School, University of Southampton, UK</w:t>
      </w:r>
    </w:p>
    <w:p w14:paraId="29B9A728" w14:textId="77777777" w:rsidR="00DE13CA" w:rsidRPr="00DE13CA" w:rsidRDefault="00DE13CA" w:rsidP="00DE13CA">
      <w:pPr>
        <w:widowControl w:val="0"/>
        <w:autoSpaceDE w:val="0"/>
        <w:autoSpaceDN w:val="0"/>
        <w:adjustRightInd w:val="0"/>
        <w:spacing w:after="120" w:line="240" w:lineRule="auto"/>
        <w:jc w:val="center"/>
        <w:rPr>
          <w:rFonts w:ascii="Times New Roman" w:hAnsi="Times New Roman"/>
          <w:bCs/>
          <w:iCs/>
          <w:sz w:val="24"/>
          <w:szCs w:val="20"/>
          <w:lang w:val="en-US"/>
        </w:rPr>
      </w:pPr>
      <w:r w:rsidRPr="00DE13CA">
        <w:rPr>
          <w:rFonts w:ascii="Times New Roman" w:hAnsi="Times New Roman"/>
          <w:bCs/>
          <w:iCs/>
          <w:sz w:val="24"/>
          <w:szCs w:val="20"/>
          <w:lang w:val="en-US"/>
        </w:rPr>
        <w:t>Address: Southampton SO17 1BJ, UK</w:t>
      </w:r>
    </w:p>
    <w:p w14:paraId="524E6686" w14:textId="77777777" w:rsidR="00DE13CA" w:rsidRPr="00DE13CA" w:rsidRDefault="00DE13CA" w:rsidP="00DE13CA">
      <w:pPr>
        <w:widowControl w:val="0"/>
        <w:autoSpaceDE w:val="0"/>
        <w:autoSpaceDN w:val="0"/>
        <w:adjustRightInd w:val="0"/>
        <w:spacing w:after="120" w:line="240" w:lineRule="auto"/>
        <w:jc w:val="center"/>
        <w:rPr>
          <w:rFonts w:ascii="Times New Roman" w:hAnsi="Times New Roman"/>
          <w:bCs/>
          <w:iCs/>
          <w:sz w:val="24"/>
          <w:szCs w:val="20"/>
          <w:lang w:val="en-US"/>
        </w:rPr>
      </w:pPr>
      <w:r w:rsidRPr="00DE13CA">
        <w:rPr>
          <w:rFonts w:ascii="Times New Roman" w:hAnsi="Times New Roman"/>
          <w:bCs/>
          <w:iCs/>
          <w:sz w:val="24"/>
          <w:szCs w:val="20"/>
          <w:lang w:val="en-US"/>
        </w:rPr>
        <w:t>UNEC Accounting and Finance Research Center, Azerbaijan State University of Economics (UNEC), Azerbaijan</w:t>
      </w:r>
    </w:p>
    <w:p w14:paraId="24BFF6FA" w14:textId="77777777" w:rsidR="00DE13CA" w:rsidRPr="00DE13CA" w:rsidRDefault="00DE13CA" w:rsidP="00DE13CA">
      <w:pPr>
        <w:widowControl w:val="0"/>
        <w:autoSpaceDE w:val="0"/>
        <w:autoSpaceDN w:val="0"/>
        <w:adjustRightInd w:val="0"/>
        <w:spacing w:after="120" w:line="240" w:lineRule="auto"/>
        <w:jc w:val="center"/>
        <w:rPr>
          <w:rFonts w:ascii="Times New Roman" w:hAnsi="Times New Roman"/>
          <w:bCs/>
          <w:iCs/>
          <w:sz w:val="24"/>
          <w:szCs w:val="20"/>
          <w:lang w:val="en-US"/>
        </w:rPr>
      </w:pPr>
      <w:r w:rsidRPr="00DE13CA">
        <w:rPr>
          <w:rFonts w:ascii="Times New Roman" w:hAnsi="Times New Roman"/>
          <w:bCs/>
          <w:iCs/>
          <w:sz w:val="24"/>
          <w:szCs w:val="20"/>
          <w:lang w:val="en-US"/>
        </w:rPr>
        <w:t xml:space="preserve">Address: </w:t>
      </w:r>
      <w:proofErr w:type="spellStart"/>
      <w:r w:rsidRPr="00DE13CA">
        <w:rPr>
          <w:rFonts w:ascii="Times New Roman" w:hAnsi="Times New Roman"/>
          <w:bCs/>
          <w:iCs/>
          <w:sz w:val="24"/>
          <w:szCs w:val="20"/>
          <w:lang w:val="en-US"/>
        </w:rPr>
        <w:t>Istiqlaliyyat</w:t>
      </w:r>
      <w:proofErr w:type="spellEnd"/>
      <w:r w:rsidRPr="00DE13CA">
        <w:rPr>
          <w:rFonts w:ascii="Times New Roman" w:hAnsi="Times New Roman"/>
          <w:bCs/>
          <w:iCs/>
          <w:sz w:val="24"/>
          <w:szCs w:val="20"/>
          <w:lang w:val="en-US"/>
        </w:rPr>
        <w:t xml:space="preserve"> 6, AZ1001, Baku, Azerbaijan</w:t>
      </w:r>
    </w:p>
    <w:p w14:paraId="7372958E" w14:textId="77777777" w:rsidR="00DE13CA" w:rsidRPr="00DE13CA" w:rsidRDefault="00DE13CA" w:rsidP="00DE13CA">
      <w:pPr>
        <w:widowControl w:val="0"/>
        <w:autoSpaceDE w:val="0"/>
        <w:autoSpaceDN w:val="0"/>
        <w:adjustRightInd w:val="0"/>
        <w:spacing w:after="120" w:line="240" w:lineRule="auto"/>
        <w:jc w:val="center"/>
        <w:rPr>
          <w:rFonts w:ascii="Times New Roman" w:hAnsi="Times New Roman"/>
          <w:bCs/>
          <w:iCs/>
          <w:sz w:val="24"/>
          <w:szCs w:val="20"/>
          <w:lang w:val="en-US"/>
        </w:rPr>
      </w:pPr>
      <w:r w:rsidRPr="00DE13CA">
        <w:rPr>
          <w:rFonts w:ascii="Times New Roman" w:hAnsi="Times New Roman"/>
          <w:bCs/>
          <w:iCs/>
          <w:sz w:val="24"/>
          <w:szCs w:val="20"/>
          <w:lang w:val="en-US"/>
        </w:rPr>
        <w:t>Department of Accounting, UDS School of Business, University for Development Studies, Tamale, Ghana</w:t>
      </w:r>
    </w:p>
    <w:p w14:paraId="0DE06665" w14:textId="77777777" w:rsidR="00DE13CA" w:rsidRPr="00DE13CA" w:rsidRDefault="00DE13CA" w:rsidP="00DE13CA">
      <w:pPr>
        <w:widowControl w:val="0"/>
        <w:autoSpaceDE w:val="0"/>
        <w:autoSpaceDN w:val="0"/>
        <w:adjustRightInd w:val="0"/>
        <w:spacing w:after="120" w:line="240" w:lineRule="auto"/>
        <w:jc w:val="center"/>
        <w:rPr>
          <w:rFonts w:ascii="Times New Roman" w:hAnsi="Times New Roman"/>
          <w:bCs/>
          <w:iCs/>
          <w:sz w:val="24"/>
          <w:szCs w:val="20"/>
          <w:lang w:val="en-US"/>
        </w:rPr>
      </w:pPr>
      <w:r w:rsidRPr="00DE13CA">
        <w:rPr>
          <w:rFonts w:ascii="Times New Roman" w:hAnsi="Times New Roman"/>
          <w:bCs/>
          <w:iCs/>
          <w:sz w:val="24"/>
          <w:szCs w:val="20"/>
          <w:lang w:val="en-US"/>
        </w:rPr>
        <w:t>Department of Accounting, Taylor’s Business School, Taylor’s University, No. 1, Jalan Taylor's, 47500 Subang Jaya, Selangor, Malaysia.</w:t>
      </w:r>
    </w:p>
    <w:p w14:paraId="74C4E344" w14:textId="77777777" w:rsidR="00DE13CA" w:rsidRPr="00DE13CA" w:rsidRDefault="00DE13CA" w:rsidP="00DE13CA">
      <w:pPr>
        <w:widowControl w:val="0"/>
        <w:autoSpaceDE w:val="0"/>
        <w:autoSpaceDN w:val="0"/>
        <w:adjustRightInd w:val="0"/>
        <w:spacing w:after="120" w:line="240" w:lineRule="auto"/>
        <w:jc w:val="center"/>
        <w:rPr>
          <w:rFonts w:ascii="Times New Roman" w:hAnsi="Times New Roman"/>
          <w:bCs/>
          <w:iCs/>
          <w:sz w:val="24"/>
          <w:szCs w:val="20"/>
          <w:lang w:val="en-US"/>
        </w:rPr>
      </w:pPr>
      <w:r w:rsidRPr="00DE13CA">
        <w:rPr>
          <w:rFonts w:ascii="Times New Roman" w:hAnsi="Times New Roman"/>
          <w:bCs/>
          <w:iCs/>
          <w:sz w:val="24"/>
          <w:szCs w:val="20"/>
          <w:lang w:val="en-US"/>
        </w:rPr>
        <w:t>Email: C.G.Ntim@soton.ac.uk</w:t>
      </w:r>
    </w:p>
    <w:p w14:paraId="404F98D8" w14:textId="77777777" w:rsidR="00DE13CA" w:rsidRPr="00DE13CA" w:rsidRDefault="00DE13CA" w:rsidP="00DE13CA">
      <w:pPr>
        <w:widowControl w:val="0"/>
        <w:autoSpaceDE w:val="0"/>
        <w:autoSpaceDN w:val="0"/>
        <w:adjustRightInd w:val="0"/>
        <w:spacing w:after="120" w:line="240" w:lineRule="auto"/>
        <w:jc w:val="center"/>
        <w:rPr>
          <w:rFonts w:ascii="Times New Roman" w:hAnsi="Times New Roman"/>
          <w:bCs/>
          <w:iCs/>
          <w:sz w:val="24"/>
          <w:szCs w:val="20"/>
          <w:lang w:val="en-US"/>
        </w:rPr>
      </w:pPr>
    </w:p>
    <w:p w14:paraId="48A77B19" w14:textId="77777777" w:rsidR="00DE13CA" w:rsidRPr="00DE13CA" w:rsidRDefault="00DE13CA" w:rsidP="00DE13CA">
      <w:pPr>
        <w:widowControl w:val="0"/>
        <w:autoSpaceDE w:val="0"/>
        <w:autoSpaceDN w:val="0"/>
        <w:adjustRightInd w:val="0"/>
        <w:spacing w:after="120" w:line="240" w:lineRule="auto"/>
        <w:jc w:val="center"/>
        <w:rPr>
          <w:rFonts w:ascii="Times New Roman" w:hAnsi="Times New Roman"/>
          <w:bCs/>
          <w:iCs/>
          <w:sz w:val="24"/>
          <w:szCs w:val="20"/>
          <w:lang w:val="en-US"/>
        </w:rPr>
      </w:pPr>
    </w:p>
    <w:p w14:paraId="5C2A45BF" w14:textId="77777777" w:rsidR="00DE13CA" w:rsidRPr="00DE13CA" w:rsidRDefault="00DE13CA" w:rsidP="00DE13CA">
      <w:pPr>
        <w:widowControl w:val="0"/>
        <w:autoSpaceDE w:val="0"/>
        <w:autoSpaceDN w:val="0"/>
        <w:adjustRightInd w:val="0"/>
        <w:spacing w:after="120" w:line="240" w:lineRule="auto"/>
        <w:jc w:val="center"/>
        <w:rPr>
          <w:rFonts w:ascii="Times New Roman" w:hAnsi="Times New Roman"/>
          <w:bCs/>
          <w:iCs/>
          <w:sz w:val="24"/>
          <w:szCs w:val="20"/>
          <w:lang w:val="en-US"/>
        </w:rPr>
      </w:pPr>
      <w:r w:rsidRPr="00DE13CA">
        <w:rPr>
          <w:rFonts w:ascii="Times New Roman" w:hAnsi="Times New Roman"/>
          <w:bCs/>
          <w:iCs/>
          <w:sz w:val="24"/>
          <w:szCs w:val="20"/>
          <w:lang w:val="en-US"/>
        </w:rPr>
        <w:t>3. Co-author:</w:t>
      </w:r>
    </w:p>
    <w:p w14:paraId="5CC29E28" w14:textId="77777777" w:rsidR="00DE13CA" w:rsidRPr="00DE13CA" w:rsidRDefault="00DE13CA" w:rsidP="00DE13CA">
      <w:pPr>
        <w:widowControl w:val="0"/>
        <w:autoSpaceDE w:val="0"/>
        <w:autoSpaceDN w:val="0"/>
        <w:adjustRightInd w:val="0"/>
        <w:spacing w:after="120" w:line="240" w:lineRule="auto"/>
        <w:jc w:val="center"/>
        <w:rPr>
          <w:rFonts w:ascii="Times New Roman" w:hAnsi="Times New Roman"/>
          <w:bCs/>
          <w:iCs/>
          <w:sz w:val="24"/>
          <w:szCs w:val="20"/>
          <w:lang w:val="en-US"/>
        </w:rPr>
      </w:pPr>
      <w:r w:rsidRPr="00DE13CA">
        <w:rPr>
          <w:rFonts w:ascii="Times New Roman" w:hAnsi="Times New Roman"/>
          <w:bCs/>
          <w:iCs/>
          <w:sz w:val="24"/>
          <w:szCs w:val="20"/>
          <w:lang w:val="en-US"/>
        </w:rPr>
        <w:t xml:space="preserve">Timur </w:t>
      </w:r>
      <w:proofErr w:type="spellStart"/>
      <w:r w:rsidRPr="00DE13CA">
        <w:rPr>
          <w:rFonts w:ascii="Times New Roman" w:hAnsi="Times New Roman"/>
          <w:bCs/>
          <w:iCs/>
          <w:sz w:val="24"/>
          <w:szCs w:val="20"/>
          <w:lang w:val="en-US"/>
        </w:rPr>
        <w:t>Narbaev</w:t>
      </w:r>
      <w:proofErr w:type="spellEnd"/>
    </w:p>
    <w:p w14:paraId="313A4258" w14:textId="77777777" w:rsidR="00DE13CA" w:rsidRPr="00DE13CA" w:rsidRDefault="00DE13CA" w:rsidP="00DE13CA">
      <w:pPr>
        <w:widowControl w:val="0"/>
        <w:autoSpaceDE w:val="0"/>
        <w:autoSpaceDN w:val="0"/>
        <w:adjustRightInd w:val="0"/>
        <w:spacing w:after="120" w:line="240" w:lineRule="auto"/>
        <w:jc w:val="center"/>
        <w:rPr>
          <w:rFonts w:ascii="Times New Roman" w:hAnsi="Times New Roman"/>
          <w:bCs/>
          <w:iCs/>
          <w:sz w:val="24"/>
          <w:szCs w:val="20"/>
          <w:lang w:val="en-US"/>
        </w:rPr>
      </w:pPr>
      <w:r w:rsidRPr="00DE13CA">
        <w:rPr>
          <w:rFonts w:ascii="Times New Roman" w:hAnsi="Times New Roman"/>
          <w:bCs/>
          <w:iCs/>
          <w:sz w:val="24"/>
          <w:szCs w:val="20"/>
          <w:lang w:val="en-US"/>
        </w:rPr>
        <w:t xml:space="preserve">Department of Management and Production Engineering, </w:t>
      </w:r>
      <w:proofErr w:type="spellStart"/>
      <w:r w:rsidRPr="00DE13CA">
        <w:rPr>
          <w:rFonts w:ascii="Times New Roman" w:hAnsi="Times New Roman"/>
          <w:bCs/>
          <w:iCs/>
          <w:sz w:val="24"/>
          <w:szCs w:val="20"/>
          <w:lang w:val="en-US"/>
        </w:rPr>
        <w:t>Politecnico</w:t>
      </w:r>
      <w:proofErr w:type="spellEnd"/>
      <w:r w:rsidRPr="00DE13CA">
        <w:rPr>
          <w:rFonts w:ascii="Times New Roman" w:hAnsi="Times New Roman"/>
          <w:bCs/>
          <w:iCs/>
          <w:sz w:val="24"/>
          <w:szCs w:val="20"/>
          <w:lang w:val="en-US"/>
        </w:rPr>
        <w:t xml:space="preserve"> di Torino, Turin, Italy. </w:t>
      </w:r>
    </w:p>
    <w:p w14:paraId="65E8520F" w14:textId="230FED55" w:rsidR="00DE13CA" w:rsidRPr="00DE13CA" w:rsidRDefault="00DE13CA" w:rsidP="00DE13CA">
      <w:pPr>
        <w:widowControl w:val="0"/>
        <w:autoSpaceDE w:val="0"/>
        <w:autoSpaceDN w:val="0"/>
        <w:adjustRightInd w:val="0"/>
        <w:spacing w:after="120" w:line="240" w:lineRule="auto"/>
        <w:jc w:val="center"/>
        <w:rPr>
          <w:rFonts w:ascii="Times New Roman" w:hAnsi="Times New Roman"/>
          <w:bCs/>
          <w:iCs/>
          <w:sz w:val="24"/>
          <w:szCs w:val="20"/>
          <w:lang w:val="en-US"/>
        </w:rPr>
      </w:pPr>
      <w:r w:rsidRPr="00DE13CA">
        <w:rPr>
          <w:rFonts w:ascii="Times New Roman" w:hAnsi="Times New Roman"/>
          <w:bCs/>
          <w:iCs/>
          <w:sz w:val="24"/>
          <w:szCs w:val="20"/>
          <w:lang w:val="en-US"/>
        </w:rPr>
        <w:t>E-mail: timur.narbaev@polito.it</w:t>
      </w:r>
    </w:p>
    <w:p w14:paraId="65CBC211" w14:textId="77777777" w:rsidR="00DE13CA" w:rsidRPr="00DE13CA" w:rsidRDefault="00DE13CA" w:rsidP="004F2123">
      <w:pPr>
        <w:widowControl w:val="0"/>
        <w:autoSpaceDE w:val="0"/>
        <w:autoSpaceDN w:val="0"/>
        <w:adjustRightInd w:val="0"/>
        <w:spacing w:after="120" w:line="240" w:lineRule="auto"/>
        <w:jc w:val="center"/>
        <w:rPr>
          <w:rFonts w:ascii="Times New Roman" w:hAnsi="Times New Roman"/>
          <w:bCs/>
          <w:iCs/>
          <w:sz w:val="24"/>
          <w:szCs w:val="20"/>
          <w:lang w:val="en-US"/>
        </w:rPr>
      </w:pPr>
    </w:p>
    <w:p w14:paraId="54D8EA46" w14:textId="77777777" w:rsidR="00DE13CA" w:rsidRDefault="00DE13CA" w:rsidP="004F2123">
      <w:pPr>
        <w:widowControl w:val="0"/>
        <w:autoSpaceDE w:val="0"/>
        <w:autoSpaceDN w:val="0"/>
        <w:adjustRightInd w:val="0"/>
        <w:spacing w:after="120" w:line="240" w:lineRule="auto"/>
        <w:jc w:val="center"/>
        <w:rPr>
          <w:rFonts w:ascii="Times New Roman" w:hAnsi="Times New Roman"/>
          <w:b/>
          <w:iCs/>
          <w:sz w:val="24"/>
          <w:szCs w:val="20"/>
          <w:lang w:val="en-US"/>
        </w:rPr>
      </w:pPr>
    </w:p>
    <w:p w14:paraId="36D350FF" w14:textId="77777777" w:rsidR="00DE13CA" w:rsidRDefault="00DE13CA" w:rsidP="004F2123">
      <w:pPr>
        <w:widowControl w:val="0"/>
        <w:autoSpaceDE w:val="0"/>
        <w:autoSpaceDN w:val="0"/>
        <w:adjustRightInd w:val="0"/>
        <w:spacing w:after="120" w:line="240" w:lineRule="auto"/>
        <w:jc w:val="center"/>
        <w:rPr>
          <w:rFonts w:ascii="Times New Roman" w:hAnsi="Times New Roman"/>
          <w:b/>
          <w:iCs/>
          <w:sz w:val="24"/>
          <w:szCs w:val="20"/>
          <w:lang w:val="en-US"/>
        </w:rPr>
      </w:pPr>
    </w:p>
    <w:p w14:paraId="4DB58020" w14:textId="77777777" w:rsidR="00DE13CA" w:rsidRDefault="00DE13CA" w:rsidP="004F2123">
      <w:pPr>
        <w:widowControl w:val="0"/>
        <w:autoSpaceDE w:val="0"/>
        <w:autoSpaceDN w:val="0"/>
        <w:adjustRightInd w:val="0"/>
        <w:spacing w:after="120" w:line="240" w:lineRule="auto"/>
        <w:jc w:val="center"/>
        <w:rPr>
          <w:rFonts w:ascii="Times New Roman" w:hAnsi="Times New Roman"/>
          <w:b/>
          <w:iCs/>
          <w:sz w:val="24"/>
          <w:szCs w:val="20"/>
          <w:lang w:val="en-US"/>
        </w:rPr>
      </w:pPr>
    </w:p>
    <w:p w14:paraId="13DE82B2" w14:textId="77777777" w:rsidR="00DE13CA" w:rsidRDefault="00DE13CA" w:rsidP="004F2123">
      <w:pPr>
        <w:widowControl w:val="0"/>
        <w:autoSpaceDE w:val="0"/>
        <w:autoSpaceDN w:val="0"/>
        <w:adjustRightInd w:val="0"/>
        <w:spacing w:after="120" w:line="240" w:lineRule="auto"/>
        <w:jc w:val="center"/>
        <w:rPr>
          <w:rFonts w:ascii="Times New Roman" w:hAnsi="Times New Roman"/>
          <w:b/>
          <w:iCs/>
          <w:sz w:val="24"/>
          <w:szCs w:val="20"/>
          <w:lang w:val="en-US"/>
        </w:rPr>
      </w:pPr>
    </w:p>
    <w:p w14:paraId="46984F2E" w14:textId="77777777" w:rsidR="00DE13CA" w:rsidRDefault="00DE13CA" w:rsidP="004F2123">
      <w:pPr>
        <w:widowControl w:val="0"/>
        <w:autoSpaceDE w:val="0"/>
        <w:autoSpaceDN w:val="0"/>
        <w:adjustRightInd w:val="0"/>
        <w:spacing w:after="120" w:line="240" w:lineRule="auto"/>
        <w:jc w:val="center"/>
        <w:rPr>
          <w:rFonts w:ascii="Times New Roman" w:hAnsi="Times New Roman"/>
          <w:b/>
          <w:iCs/>
          <w:sz w:val="24"/>
          <w:szCs w:val="20"/>
          <w:lang w:val="en-US"/>
        </w:rPr>
      </w:pPr>
    </w:p>
    <w:p w14:paraId="5C3BF9EC" w14:textId="20A0743F" w:rsidR="00A242F4" w:rsidRPr="005B7CAC" w:rsidRDefault="0076514E" w:rsidP="004F2123">
      <w:pPr>
        <w:widowControl w:val="0"/>
        <w:autoSpaceDE w:val="0"/>
        <w:autoSpaceDN w:val="0"/>
        <w:adjustRightInd w:val="0"/>
        <w:spacing w:after="120" w:line="240" w:lineRule="auto"/>
        <w:jc w:val="center"/>
        <w:rPr>
          <w:rFonts w:ascii="Times New Roman" w:hAnsi="Times New Roman"/>
          <w:b/>
          <w:iCs/>
          <w:sz w:val="24"/>
          <w:szCs w:val="20"/>
          <w:lang w:val="en-US"/>
        </w:rPr>
      </w:pPr>
      <w:r w:rsidRPr="005B7CAC">
        <w:rPr>
          <w:rFonts w:ascii="Times New Roman" w:hAnsi="Times New Roman"/>
          <w:b/>
          <w:iCs/>
          <w:sz w:val="24"/>
          <w:szCs w:val="20"/>
          <w:lang w:val="en-US"/>
        </w:rPr>
        <w:lastRenderedPageBreak/>
        <w:t xml:space="preserve">Waste management, green </w:t>
      </w:r>
      <w:r w:rsidR="001A1CB2" w:rsidRPr="005B7CAC">
        <w:rPr>
          <w:rFonts w:ascii="Times New Roman" w:hAnsi="Times New Roman"/>
          <w:b/>
          <w:iCs/>
          <w:sz w:val="24"/>
          <w:szCs w:val="20"/>
          <w:lang w:val="en-US"/>
        </w:rPr>
        <w:t>initiatives</w:t>
      </w:r>
      <w:r w:rsidRPr="005B7CAC">
        <w:rPr>
          <w:rFonts w:ascii="Times New Roman" w:hAnsi="Times New Roman"/>
          <w:b/>
          <w:iCs/>
          <w:sz w:val="24"/>
          <w:szCs w:val="20"/>
          <w:lang w:val="en-US"/>
        </w:rPr>
        <w:t>, and financial distress</w:t>
      </w:r>
      <w:r w:rsidR="00AB33B8" w:rsidRPr="005B7CAC">
        <w:rPr>
          <w:rFonts w:ascii="Times New Roman" w:hAnsi="Times New Roman"/>
          <w:b/>
          <w:iCs/>
          <w:sz w:val="24"/>
          <w:szCs w:val="20"/>
          <w:lang w:val="en-US"/>
        </w:rPr>
        <w:t xml:space="preserve"> in heavily regulated environmental context</w:t>
      </w:r>
      <w:r w:rsidR="00C623E3" w:rsidRPr="005B7CAC">
        <w:rPr>
          <w:rFonts w:ascii="Times New Roman" w:hAnsi="Times New Roman"/>
          <w:b/>
          <w:iCs/>
          <w:sz w:val="24"/>
          <w:szCs w:val="20"/>
          <w:lang w:val="en-US"/>
        </w:rPr>
        <w:t>s</w:t>
      </w:r>
      <w:r w:rsidR="005B53EE" w:rsidRPr="005B7CAC">
        <w:rPr>
          <w:rFonts w:ascii="Times New Roman" w:hAnsi="Times New Roman"/>
          <w:b/>
          <w:iCs/>
          <w:sz w:val="24"/>
          <w:szCs w:val="20"/>
          <w:lang w:val="en-US"/>
        </w:rPr>
        <w:t>: Evidence from the United Kingdom</w:t>
      </w:r>
    </w:p>
    <w:p w14:paraId="03EFA981" w14:textId="77777777" w:rsidR="001E2CA1" w:rsidRPr="005B7CAC" w:rsidRDefault="001E2CA1" w:rsidP="004F2123">
      <w:pPr>
        <w:widowControl w:val="0"/>
        <w:autoSpaceDE w:val="0"/>
        <w:autoSpaceDN w:val="0"/>
        <w:adjustRightInd w:val="0"/>
        <w:spacing w:after="120" w:line="360" w:lineRule="auto"/>
        <w:rPr>
          <w:rFonts w:ascii="Times New Roman" w:hAnsi="Times New Roman"/>
          <w:b/>
          <w:iCs/>
          <w:sz w:val="24"/>
          <w:szCs w:val="20"/>
          <w:lang w:val="en-US"/>
        </w:rPr>
      </w:pPr>
      <w:r w:rsidRPr="005B7CAC">
        <w:rPr>
          <w:rFonts w:ascii="Times New Roman" w:hAnsi="Times New Roman"/>
          <w:b/>
          <w:iCs/>
          <w:sz w:val="24"/>
          <w:szCs w:val="20"/>
          <w:lang w:val="en-US"/>
        </w:rPr>
        <w:t>Abstract</w:t>
      </w:r>
    </w:p>
    <w:p w14:paraId="1C467A61" w14:textId="77777777" w:rsidR="008A7BB2" w:rsidRPr="005B7CAC" w:rsidRDefault="008A7BB2" w:rsidP="009B6746">
      <w:pPr>
        <w:widowControl w:val="0"/>
        <w:autoSpaceDE w:val="0"/>
        <w:autoSpaceDN w:val="0"/>
        <w:adjustRightInd w:val="0"/>
        <w:spacing w:after="120" w:line="360" w:lineRule="auto"/>
        <w:rPr>
          <w:rFonts w:ascii="Times New Roman" w:hAnsi="Times New Roman"/>
          <w:b/>
          <w:iCs/>
          <w:sz w:val="24"/>
          <w:szCs w:val="20"/>
          <w:lang w:val="en-US"/>
        </w:rPr>
      </w:pPr>
      <w:r w:rsidRPr="005B7CAC">
        <w:rPr>
          <w:rFonts w:ascii="Times New Roman" w:hAnsi="Times New Roman"/>
          <w:b/>
          <w:iCs/>
          <w:sz w:val="24"/>
          <w:szCs w:val="20"/>
          <w:lang w:val="en-US"/>
        </w:rPr>
        <w:t>Purpose</w:t>
      </w:r>
    </w:p>
    <w:p w14:paraId="56D19DC6" w14:textId="2546E576" w:rsidR="001E2CA1" w:rsidRPr="005B7CAC" w:rsidRDefault="001120A9" w:rsidP="003D5418">
      <w:pPr>
        <w:widowControl w:val="0"/>
        <w:autoSpaceDE w:val="0"/>
        <w:autoSpaceDN w:val="0"/>
        <w:adjustRightInd w:val="0"/>
        <w:spacing w:after="240" w:line="360" w:lineRule="auto"/>
        <w:jc w:val="both"/>
        <w:rPr>
          <w:rFonts w:ascii="Times New Roman" w:hAnsi="Times New Roman"/>
          <w:iCs/>
          <w:sz w:val="24"/>
          <w:szCs w:val="20"/>
          <w:lang w:val="en-US"/>
        </w:rPr>
      </w:pPr>
      <w:r w:rsidRPr="005B7CAC">
        <w:rPr>
          <w:rFonts w:ascii="Times New Roman" w:hAnsi="Times New Roman"/>
          <w:iCs/>
          <w:sz w:val="24"/>
          <w:szCs w:val="20"/>
          <w:lang w:val="en-US"/>
        </w:rPr>
        <w:t xml:space="preserve">This paper </w:t>
      </w:r>
      <w:r w:rsidR="00980F21" w:rsidRPr="005B7CAC">
        <w:rPr>
          <w:rFonts w:ascii="Times New Roman" w:hAnsi="Times New Roman"/>
          <w:iCs/>
          <w:sz w:val="24"/>
          <w:szCs w:val="20"/>
          <w:lang w:val="en-US"/>
        </w:rPr>
        <w:t xml:space="preserve">empirically </w:t>
      </w:r>
      <w:r w:rsidRPr="005B7CAC">
        <w:rPr>
          <w:rFonts w:ascii="Times New Roman" w:hAnsi="Times New Roman"/>
          <w:iCs/>
          <w:sz w:val="24"/>
          <w:szCs w:val="20"/>
          <w:lang w:val="en-US"/>
        </w:rPr>
        <w:t xml:space="preserve">examines the effects of waste management </w:t>
      </w:r>
      <w:r w:rsidR="00612859" w:rsidRPr="005B7CAC">
        <w:rPr>
          <w:rFonts w:ascii="Times New Roman" w:hAnsi="Times New Roman"/>
          <w:iCs/>
          <w:sz w:val="24"/>
          <w:szCs w:val="20"/>
          <w:lang w:val="en-US"/>
        </w:rPr>
        <w:t>(</w:t>
      </w:r>
      <w:r w:rsidR="00612859" w:rsidRPr="005B7CAC">
        <w:rPr>
          <w:rFonts w:ascii="Times New Roman" w:hAnsi="Times New Roman"/>
          <w:i/>
          <w:sz w:val="24"/>
          <w:szCs w:val="20"/>
          <w:lang w:val="en-US"/>
        </w:rPr>
        <w:t>WM</w:t>
      </w:r>
      <w:r w:rsidR="00612859" w:rsidRPr="005B7CAC">
        <w:rPr>
          <w:rFonts w:ascii="Times New Roman" w:hAnsi="Times New Roman"/>
          <w:iCs/>
          <w:sz w:val="24"/>
          <w:szCs w:val="20"/>
          <w:lang w:val="en-US"/>
        </w:rPr>
        <w:t xml:space="preserve">) </w:t>
      </w:r>
      <w:r w:rsidRPr="005B7CAC">
        <w:rPr>
          <w:rFonts w:ascii="Times New Roman" w:hAnsi="Times New Roman"/>
          <w:iCs/>
          <w:sz w:val="24"/>
          <w:szCs w:val="20"/>
          <w:lang w:val="en-US"/>
        </w:rPr>
        <w:t>practices</w:t>
      </w:r>
      <w:r w:rsidR="001A1CB2" w:rsidRPr="005B7CAC">
        <w:rPr>
          <w:rFonts w:ascii="Times New Roman" w:hAnsi="Times New Roman"/>
          <w:iCs/>
          <w:sz w:val="24"/>
          <w:szCs w:val="20"/>
          <w:lang w:val="en-US"/>
        </w:rPr>
        <w:t xml:space="preserve"> </w:t>
      </w:r>
      <w:r w:rsidRPr="005B7CAC">
        <w:rPr>
          <w:rFonts w:ascii="Times New Roman" w:hAnsi="Times New Roman"/>
          <w:iCs/>
          <w:sz w:val="24"/>
          <w:szCs w:val="20"/>
          <w:lang w:val="en-US"/>
        </w:rPr>
        <w:t>on</w:t>
      </w:r>
      <w:r w:rsidR="001A1CB2" w:rsidRPr="005B7CAC">
        <w:rPr>
          <w:rFonts w:ascii="Times New Roman" w:hAnsi="Times New Roman"/>
          <w:iCs/>
          <w:sz w:val="24"/>
          <w:szCs w:val="20"/>
          <w:lang w:val="en-US"/>
        </w:rPr>
        <w:t xml:space="preserve"> </w:t>
      </w:r>
      <w:r w:rsidRPr="005B7CAC">
        <w:rPr>
          <w:rFonts w:ascii="Times New Roman" w:hAnsi="Times New Roman"/>
          <w:iCs/>
          <w:sz w:val="24"/>
          <w:szCs w:val="20"/>
          <w:lang w:val="en-US"/>
        </w:rPr>
        <w:t>financial di</w:t>
      </w:r>
      <w:r w:rsidR="008A7BB2" w:rsidRPr="005B7CAC">
        <w:rPr>
          <w:rFonts w:ascii="Times New Roman" w:hAnsi="Times New Roman"/>
          <w:iCs/>
          <w:sz w:val="24"/>
          <w:szCs w:val="20"/>
          <w:lang w:val="en-US"/>
        </w:rPr>
        <w:t xml:space="preserve">stress </w:t>
      </w:r>
      <w:r w:rsidR="00612859" w:rsidRPr="005B7CAC">
        <w:rPr>
          <w:rFonts w:ascii="Times New Roman" w:hAnsi="Times New Roman"/>
          <w:iCs/>
          <w:sz w:val="24"/>
          <w:szCs w:val="20"/>
          <w:lang w:val="en-US"/>
        </w:rPr>
        <w:t>(</w:t>
      </w:r>
      <w:r w:rsidR="00612859" w:rsidRPr="005B7CAC">
        <w:rPr>
          <w:rFonts w:ascii="Times New Roman" w:hAnsi="Times New Roman"/>
          <w:i/>
          <w:sz w:val="24"/>
          <w:szCs w:val="20"/>
          <w:lang w:val="en-US"/>
        </w:rPr>
        <w:t>FD</w:t>
      </w:r>
      <w:r w:rsidR="00612859" w:rsidRPr="005B7CAC">
        <w:rPr>
          <w:rFonts w:ascii="Times New Roman" w:hAnsi="Times New Roman"/>
          <w:iCs/>
          <w:sz w:val="24"/>
          <w:szCs w:val="20"/>
          <w:lang w:val="en-US"/>
        </w:rPr>
        <w:t xml:space="preserve">) </w:t>
      </w:r>
      <w:r w:rsidR="00AB33B8" w:rsidRPr="005B7CAC">
        <w:rPr>
          <w:rFonts w:ascii="Times New Roman" w:hAnsi="Times New Roman"/>
          <w:iCs/>
          <w:sz w:val="24"/>
          <w:szCs w:val="20"/>
          <w:lang w:val="en-US"/>
        </w:rPr>
        <w:t xml:space="preserve">in a heavily regulated environmental context </w:t>
      </w:r>
      <w:r w:rsidR="008A7BB2" w:rsidRPr="005B7CAC">
        <w:rPr>
          <w:rFonts w:ascii="Times New Roman" w:hAnsi="Times New Roman"/>
          <w:iCs/>
          <w:sz w:val="24"/>
          <w:szCs w:val="20"/>
          <w:lang w:val="en-US"/>
        </w:rPr>
        <w:t xml:space="preserve">and </w:t>
      </w:r>
      <w:r w:rsidR="00980F21" w:rsidRPr="005B7CAC">
        <w:rPr>
          <w:rFonts w:ascii="Times New Roman" w:hAnsi="Times New Roman"/>
          <w:iCs/>
          <w:sz w:val="24"/>
          <w:szCs w:val="20"/>
          <w:lang w:val="en-US"/>
        </w:rPr>
        <w:t>investigates</w:t>
      </w:r>
      <w:r w:rsidR="008A7BB2" w:rsidRPr="005B7CAC">
        <w:rPr>
          <w:rFonts w:ascii="Times New Roman" w:hAnsi="Times New Roman"/>
          <w:iCs/>
          <w:sz w:val="24"/>
          <w:szCs w:val="20"/>
          <w:lang w:val="en-US"/>
        </w:rPr>
        <w:t xml:space="preserve"> the moderating role of green </w:t>
      </w:r>
      <w:r w:rsidR="001A1CB2" w:rsidRPr="005B7CAC">
        <w:rPr>
          <w:rFonts w:ascii="Times New Roman" w:hAnsi="Times New Roman"/>
          <w:iCs/>
          <w:sz w:val="24"/>
          <w:szCs w:val="20"/>
          <w:lang w:val="en-US"/>
        </w:rPr>
        <w:t xml:space="preserve">initiatives </w:t>
      </w:r>
      <w:r w:rsidR="00612859" w:rsidRPr="005B7CAC">
        <w:rPr>
          <w:rFonts w:ascii="Times New Roman" w:hAnsi="Times New Roman"/>
          <w:iCs/>
          <w:sz w:val="24"/>
          <w:szCs w:val="20"/>
          <w:lang w:val="en-US"/>
        </w:rPr>
        <w:t>(</w:t>
      </w:r>
      <w:r w:rsidR="001A1CB2" w:rsidRPr="005B7CAC">
        <w:rPr>
          <w:rFonts w:ascii="Times New Roman" w:hAnsi="Times New Roman"/>
          <w:i/>
          <w:sz w:val="24"/>
          <w:szCs w:val="20"/>
          <w:lang w:val="en-US"/>
        </w:rPr>
        <w:t>GINVs</w:t>
      </w:r>
      <w:r w:rsidR="00612859" w:rsidRPr="005B7CAC">
        <w:rPr>
          <w:rFonts w:ascii="Times New Roman" w:hAnsi="Times New Roman"/>
          <w:iCs/>
          <w:sz w:val="24"/>
          <w:szCs w:val="20"/>
          <w:lang w:val="en-US"/>
        </w:rPr>
        <w:t xml:space="preserve">) </w:t>
      </w:r>
      <w:r w:rsidR="00980F21" w:rsidRPr="005B7CAC">
        <w:rPr>
          <w:rFonts w:ascii="Times New Roman" w:hAnsi="Times New Roman"/>
          <w:iCs/>
          <w:sz w:val="24"/>
          <w:szCs w:val="20"/>
          <w:lang w:val="en-US"/>
        </w:rPr>
        <w:t xml:space="preserve">on the </w:t>
      </w:r>
      <w:r w:rsidR="00980F21" w:rsidRPr="005B7CAC">
        <w:rPr>
          <w:rFonts w:ascii="Times New Roman" w:hAnsi="Times New Roman"/>
          <w:i/>
          <w:sz w:val="24"/>
          <w:szCs w:val="20"/>
          <w:lang w:val="en-US"/>
        </w:rPr>
        <w:t>WM</w:t>
      </w:r>
      <w:r w:rsidR="00980F21" w:rsidRPr="005B7CAC">
        <w:rPr>
          <w:rFonts w:ascii="Calibri" w:hAnsi="Calibri" w:cs="Calibri"/>
          <w:bCs/>
          <w:sz w:val="24"/>
          <w:szCs w:val="24"/>
          <w:lang w:val="en-US"/>
        </w:rPr>
        <w:t>—</w:t>
      </w:r>
      <w:r w:rsidR="00612859" w:rsidRPr="005B7CAC">
        <w:rPr>
          <w:rFonts w:ascii="Times New Roman" w:hAnsi="Times New Roman"/>
          <w:i/>
          <w:sz w:val="24"/>
          <w:szCs w:val="20"/>
          <w:lang w:val="en-US"/>
        </w:rPr>
        <w:t>FD</w:t>
      </w:r>
      <w:r w:rsidR="00980F21" w:rsidRPr="005B7CAC">
        <w:rPr>
          <w:rFonts w:ascii="Times New Roman" w:hAnsi="Times New Roman"/>
          <w:iCs/>
          <w:sz w:val="24"/>
          <w:szCs w:val="20"/>
          <w:lang w:val="en-US"/>
        </w:rPr>
        <w:t xml:space="preserve"> relationship</w:t>
      </w:r>
      <w:r w:rsidR="00612859" w:rsidRPr="005B7CAC">
        <w:rPr>
          <w:rFonts w:ascii="Times New Roman" w:hAnsi="Times New Roman"/>
          <w:iCs/>
          <w:sz w:val="24"/>
          <w:szCs w:val="20"/>
          <w:lang w:val="en-US"/>
        </w:rPr>
        <w:t>.</w:t>
      </w:r>
    </w:p>
    <w:p w14:paraId="429E9A28" w14:textId="77777777" w:rsidR="008A7BB2" w:rsidRPr="005B7CAC" w:rsidRDefault="008A7BB2" w:rsidP="009B6746">
      <w:pPr>
        <w:widowControl w:val="0"/>
        <w:autoSpaceDE w:val="0"/>
        <w:autoSpaceDN w:val="0"/>
        <w:adjustRightInd w:val="0"/>
        <w:spacing w:after="120" w:line="360" w:lineRule="auto"/>
        <w:rPr>
          <w:rFonts w:ascii="Times New Roman" w:hAnsi="Times New Roman"/>
          <w:b/>
          <w:iCs/>
          <w:sz w:val="24"/>
          <w:szCs w:val="20"/>
          <w:lang w:val="en-US"/>
        </w:rPr>
      </w:pPr>
      <w:r w:rsidRPr="005B7CAC">
        <w:rPr>
          <w:rFonts w:ascii="Times New Roman" w:hAnsi="Times New Roman"/>
          <w:b/>
          <w:iCs/>
          <w:sz w:val="24"/>
          <w:szCs w:val="20"/>
          <w:lang w:val="en-US"/>
        </w:rPr>
        <w:t>Design/methodology/approach</w:t>
      </w:r>
    </w:p>
    <w:p w14:paraId="598CD994" w14:textId="1CDCC13A" w:rsidR="004A7723" w:rsidRPr="005B7CAC" w:rsidRDefault="00E81109" w:rsidP="003D5418">
      <w:pPr>
        <w:widowControl w:val="0"/>
        <w:autoSpaceDE w:val="0"/>
        <w:autoSpaceDN w:val="0"/>
        <w:adjustRightInd w:val="0"/>
        <w:spacing w:after="240" w:line="360" w:lineRule="auto"/>
        <w:jc w:val="both"/>
        <w:rPr>
          <w:rFonts w:ascii="Times New Roman" w:hAnsi="Times New Roman"/>
          <w:iCs/>
          <w:sz w:val="24"/>
          <w:szCs w:val="20"/>
          <w:lang w:val="en-US"/>
        </w:rPr>
      </w:pPr>
      <w:r w:rsidRPr="005B7CAC">
        <w:rPr>
          <w:rFonts w:ascii="Times New Roman" w:hAnsi="Times New Roman"/>
          <w:iCs/>
          <w:sz w:val="24"/>
          <w:szCs w:val="20"/>
          <w:lang w:val="en-US"/>
        </w:rPr>
        <w:t>The study uses a sample</w:t>
      </w:r>
      <w:r w:rsidR="008F5453" w:rsidRPr="005B7CAC">
        <w:rPr>
          <w:rFonts w:ascii="Times New Roman" w:hAnsi="Times New Roman"/>
          <w:iCs/>
          <w:sz w:val="24"/>
          <w:szCs w:val="20"/>
          <w:lang w:val="en-US"/>
        </w:rPr>
        <w:t xml:space="preserve"> of</w:t>
      </w:r>
      <w:r w:rsidRPr="005B7CAC">
        <w:rPr>
          <w:rFonts w:ascii="Times New Roman" w:hAnsi="Times New Roman"/>
          <w:iCs/>
          <w:sz w:val="24"/>
          <w:szCs w:val="20"/>
          <w:lang w:val="en-US"/>
        </w:rPr>
        <w:t xml:space="preserve"> 1,6</w:t>
      </w:r>
      <w:r w:rsidR="00267719" w:rsidRPr="005B7CAC">
        <w:rPr>
          <w:rFonts w:ascii="Times New Roman" w:hAnsi="Times New Roman"/>
          <w:iCs/>
          <w:sz w:val="24"/>
          <w:szCs w:val="20"/>
          <w:lang w:val="en-US"/>
        </w:rPr>
        <w:t>6</w:t>
      </w:r>
      <w:r w:rsidRPr="005B7CAC">
        <w:rPr>
          <w:rFonts w:ascii="Times New Roman" w:hAnsi="Times New Roman"/>
          <w:iCs/>
          <w:sz w:val="24"/>
          <w:szCs w:val="20"/>
          <w:lang w:val="en-US"/>
        </w:rPr>
        <w:t xml:space="preserve">7 firm years of </w:t>
      </w:r>
      <w:r w:rsidR="004A7723" w:rsidRPr="005B7CAC">
        <w:rPr>
          <w:rFonts w:ascii="Times New Roman" w:hAnsi="Times New Roman"/>
          <w:iCs/>
          <w:sz w:val="24"/>
          <w:szCs w:val="20"/>
          <w:lang w:val="en-US"/>
        </w:rPr>
        <w:t>UK-ba</w:t>
      </w:r>
      <w:r w:rsidRPr="005B7CAC">
        <w:rPr>
          <w:rFonts w:ascii="Times New Roman" w:hAnsi="Times New Roman"/>
          <w:iCs/>
          <w:sz w:val="24"/>
          <w:szCs w:val="20"/>
          <w:lang w:val="en-US"/>
        </w:rPr>
        <w:t xml:space="preserve">sed companies from 2002 to 2021 and applies </w:t>
      </w:r>
      <w:r w:rsidR="00DB32B0" w:rsidRPr="005B7CAC">
        <w:rPr>
          <w:rFonts w:ascii="Times New Roman" w:hAnsi="Times New Roman"/>
          <w:iCs/>
          <w:sz w:val="24"/>
          <w:szCs w:val="20"/>
          <w:lang w:val="en-US"/>
        </w:rPr>
        <w:t xml:space="preserve">a </w:t>
      </w:r>
      <w:r w:rsidRPr="005B7CAC">
        <w:rPr>
          <w:rFonts w:ascii="Times New Roman" w:hAnsi="Times New Roman"/>
          <w:iCs/>
          <w:sz w:val="24"/>
          <w:szCs w:val="20"/>
          <w:lang w:val="en-US"/>
        </w:rPr>
        <w:t>panel regression analysis controlling for industry</w:t>
      </w:r>
      <w:r w:rsidR="0017444A">
        <w:rPr>
          <w:rFonts w:ascii="Times New Roman" w:hAnsi="Times New Roman"/>
          <w:iCs/>
          <w:sz w:val="24"/>
          <w:szCs w:val="20"/>
          <w:lang w:val="en-US"/>
        </w:rPr>
        <w:t>-</w:t>
      </w:r>
      <w:r w:rsidRPr="005B7CAC">
        <w:rPr>
          <w:rFonts w:ascii="Times New Roman" w:hAnsi="Times New Roman"/>
          <w:iCs/>
          <w:sz w:val="24"/>
          <w:szCs w:val="20"/>
          <w:lang w:val="en-US"/>
        </w:rPr>
        <w:t xml:space="preserve"> and year</w:t>
      </w:r>
      <w:r w:rsidR="0017444A">
        <w:rPr>
          <w:rFonts w:ascii="Times New Roman" w:hAnsi="Times New Roman"/>
          <w:iCs/>
          <w:sz w:val="24"/>
          <w:szCs w:val="20"/>
          <w:lang w:val="en-US"/>
        </w:rPr>
        <w:t>-</w:t>
      </w:r>
      <w:r w:rsidRPr="005B7CAC">
        <w:rPr>
          <w:rFonts w:ascii="Times New Roman" w:hAnsi="Times New Roman"/>
          <w:iCs/>
          <w:sz w:val="24"/>
          <w:szCs w:val="20"/>
          <w:lang w:val="en-US"/>
        </w:rPr>
        <w:t>fixed</w:t>
      </w:r>
      <w:r w:rsidR="0017444A">
        <w:rPr>
          <w:rFonts w:ascii="Times New Roman" w:hAnsi="Times New Roman"/>
          <w:iCs/>
          <w:sz w:val="24"/>
          <w:szCs w:val="20"/>
          <w:lang w:val="en-US"/>
        </w:rPr>
        <w:t xml:space="preserve"> </w:t>
      </w:r>
      <w:r w:rsidRPr="005B7CAC">
        <w:rPr>
          <w:rFonts w:ascii="Times New Roman" w:hAnsi="Times New Roman"/>
          <w:iCs/>
          <w:sz w:val="24"/>
          <w:szCs w:val="20"/>
          <w:lang w:val="en-US"/>
        </w:rPr>
        <w:t>effects.</w:t>
      </w:r>
      <w:r w:rsidR="00267719" w:rsidRPr="005B7CAC">
        <w:rPr>
          <w:rFonts w:ascii="Times New Roman" w:hAnsi="Times New Roman"/>
          <w:iCs/>
          <w:sz w:val="24"/>
          <w:szCs w:val="20"/>
          <w:lang w:val="en-US"/>
        </w:rPr>
        <w:t xml:space="preserve"> </w:t>
      </w:r>
      <w:r w:rsidR="00267719" w:rsidRPr="005B7CAC">
        <w:rPr>
          <w:rFonts w:ascii="Times New Roman" w:hAnsi="Times New Roman"/>
          <w:bCs/>
          <w:iCs/>
          <w:sz w:val="24"/>
          <w:szCs w:val="20"/>
          <w:lang w:val="en-US"/>
        </w:rPr>
        <w:t xml:space="preserve">Data on </w:t>
      </w:r>
      <w:r w:rsidR="00267719" w:rsidRPr="005B7CAC">
        <w:rPr>
          <w:rFonts w:ascii="Times New Roman" w:hAnsi="Times New Roman"/>
          <w:bCs/>
          <w:i/>
          <w:sz w:val="24"/>
          <w:szCs w:val="20"/>
          <w:lang w:val="en-US"/>
        </w:rPr>
        <w:t>WM</w:t>
      </w:r>
      <w:r w:rsidR="00267719" w:rsidRPr="005B7CAC">
        <w:rPr>
          <w:rFonts w:ascii="Times New Roman" w:hAnsi="Times New Roman"/>
          <w:bCs/>
          <w:iCs/>
          <w:sz w:val="24"/>
          <w:szCs w:val="20"/>
          <w:lang w:val="en-US"/>
        </w:rPr>
        <w:t xml:space="preserve">, </w:t>
      </w:r>
      <w:r w:rsidR="00267719" w:rsidRPr="005B7CAC">
        <w:rPr>
          <w:rFonts w:ascii="Times New Roman" w:hAnsi="Times New Roman"/>
          <w:bCs/>
          <w:i/>
          <w:sz w:val="24"/>
          <w:szCs w:val="20"/>
          <w:lang w:val="en-US"/>
        </w:rPr>
        <w:t>GINVs</w:t>
      </w:r>
      <w:r w:rsidR="00267719" w:rsidRPr="005B7CAC">
        <w:rPr>
          <w:rFonts w:ascii="Times New Roman" w:hAnsi="Times New Roman"/>
          <w:bCs/>
          <w:iCs/>
          <w:sz w:val="24"/>
          <w:szCs w:val="20"/>
          <w:lang w:val="en-US"/>
        </w:rPr>
        <w:t>, and</w:t>
      </w:r>
      <w:r w:rsidR="0048737B" w:rsidRPr="005B7CAC">
        <w:rPr>
          <w:rFonts w:ascii="Times New Roman" w:hAnsi="Times New Roman"/>
          <w:bCs/>
          <w:iCs/>
          <w:sz w:val="24"/>
          <w:szCs w:val="20"/>
          <w:lang w:val="en-US"/>
        </w:rPr>
        <w:t xml:space="preserve"> </w:t>
      </w:r>
      <w:r w:rsidR="00267719" w:rsidRPr="005B7CAC">
        <w:rPr>
          <w:rFonts w:ascii="Times New Roman" w:hAnsi="Times New Roman"/>
          <w:bCs/>
          <w:iCs/>
          <w:sz w:val="24"/>
          <w:szCs w:val="20"/>
          <w:lang w:val="en-US"/>
        </w:rPr>
        <w:t>governance</w:t>
      </w:r>
      <w:r w:rsidR="0048737B" w:rsidRPr="005B7CAC">
        <w:rPr>
          <w:rFonts w:ascii="Times New Roman" w:hAnsi="Times New Roman"/>
          <w:bCs/>
          <w:iCs/>
          <w:sz w:val="24"/>
          <w:szCs w:val="20"/>
          <w:lang w:val="en-US"/>
        </w:rPr>
        <w:t xml:space="preserve"> </w:t>
      </w:r>
      <w:r w:rsidR="00267719" w:rsidRPr="005B7CAC">
        <w:rPr>
          <w:rFonts w:ascii="Times New Roman" w:hAnsi="Times New Roman"/>
          <w:bCs/>
          <w:iCs/>
          <w:sz w:val="24"/>
          <w:szCs w:val="20"/>
          <w:lang w:val="en-US"/>
        </w:rPr>
        <w:t xml:space="preserve">are sourced from </w:t>
      </w:r>
      <w:r w:rsidR="00172719">
        <w:rPr>
          <w:rFonts w:ascii="Times New Roman" w:hAnsi="Times New Roman"/>
          <w:bCs/>
          <w:iCs/>
          <w:sz w:val="24"/>
          <w:szCs w:val="20"/>
          <w:lang w:val="en-US"/>
        </w:rPr>
        <w:t xml:space="preserve">LSEG (formerly known as Refinitiv </w:t>
      </w:r>
      <w:r w:rsidR="00267719" w:rsidRPr="005B7CAC">
        <w:rPr>
          <w:rFonts w:ascii="Times New Roman" w:hAnsi="Times New Roman"/>
          <w:bCs/>
          <w:iCs/>
          <w:sz w:val="24"/>
          <w:szCs w:val="20"/>
          <w:lang w:val="en-US"/>
        </w:rPr>
        <w:t>Asset4 ESG</w:t>
      </w:r>
      <w:r w:rsidR="00172719">
        <w:rPr>
          <w:rFonts w:ascii="Times New Roman" w:hAnsi="Times New Roman"/>
          <w:bCs/>
          <w:iCs/>
          <w:sz w:val="24"/>
          <w:szCs w:val="20"/>
          <w:lang w:val="en-US"/>
        </w:rPr>
        <w:t>)</w:t>
      </w:r>
      <w:r w:rsidR="00267719" w:rsidRPr="005B7CAC">
        <w:rPr>
          <w:rFonts w:ascii="Times New Roman" w:hAnsi="Times New Roman"/>
          <w:bCs/>
          <w:iCs/>
          <w:sz w:val="24"/>
          <w:szCs w:val="20"/>
          <w:lang w:val="en-US"/>
        </w:rPr>
        <w:t xml:space="preserve">, whereas financial data are collected from </w:t>
      </w:r>
      <w:proofErr w:type="spellStart"/>
      <w:r w:rsidR="00267719" w:rsidRPr="005B7CAC">
        <w:rPr>
          <w:rFonts w:ascii="Times New Roman" w:hAnsi="Times New Roman"/>
          <w:bCs/>
          <w:iCs/>
          <w:sz w:val="24"/>
          <w:szCs w:val="20"/>
          <w:lang w:val="en-US"/>
        </w:rPr>
        <w:t>WorldScope</w:t>
      </w:r>
      <w:proofErr w:type="spellEnd"/>
      <w:r w:rsidR="00267719" w:rsidRPr="005B7CAC">
        <w:rPr>
          <w:rFonts w:ascii="Times New Roman" w:hAnsi="Times New Roman"/>
          <w:bCs/>
          <w:iCs/>
          <w:sz w:val="24"/>
          <w:szCs w:val="20"/>
          <w:lang w:val="en-US"/>
        </w:rPr>
        <w:t xml:space="preserve">. </w:t>
      </w:r>
      <w:r w:rsidR="00AA14D5" w:rsidRPr="005B7CAC">
        <w:rPr>
          <w:rFonts w:ascii="Times New Roman" w:hAnsi="Times New Roman"/>
          <w:bCs/>
          <w:iCs/>
          <w:sz w:val="24"/>
          <w:szCs w:val="20"/>
          <w:lang w:val="en-US"/>
        </w:rPr>
        <w:t>T</w:t>
      </w:r>
      <w:r w:rsidRPr="005B7CAC">
        <w:rPr>
          <w:rFonts w:ascii="Times New Roman" w:hAnsi="Times New Roman"/>
          <w:iCs/>
          <w:sz w:val="24"/>
          <w:szCs w:val="20"/>
          <w:lang w:val="en-US"/>
        </w:rPr>
        <w:t xml:space="preserve">he study also </w:t>
      </w:r>
      <w:r w:rsidR="0045168E" w:rsidRPr="005B7CAC">
        <w:rPr>
          <w:rFonts w:ascii="Times New Roman" w:hAnsi="Times New Roman"/>
          <w:iCs/>
          <w:sz w:val="24"/>
          <w:szCs w:val="20"/>
          <w:lang w:val="en-US"/>
        </w:rPr>
        <w:t>adopts</w:t>
      </w:r>
      <w:r w:rsidR="005D77BE" w:rsidRPr="005B7CAC">
        <w:rPr>
          <w:rFonts w:ascii="Times New Roman" w:hAnsi="Times New Roman"/>
          <w:iCs/>
          <w:sz w:val="24"/>
          <w:szCs w:val="20"/>
          <w:lang w:val="en-US"/>
        </w:rPr>
        <w:t xml:space="preserve"> alternative measures </w:t>
      </w:r>
      <w:r w:rsidR="00612859" w:rsidRPr="005B7CAC">
        <w:rPr>
          <w:rFonts w:ascii="Times New Roman" w:hAnsi="Times New Roman"/>
          <w:iCs/>
          <w:sz w:val="24"/>
          <w:szCs w:val="20"/>
          <w:lang w:val="en-US"/>
        </w:rPr>
        <w:t xml:space="preserve">for </w:t>
      </w:r>
      <w:r w:rsidR="00612859" w:rsidRPr="005B7CAC">
        <w:rPr>
          <w:rFonts w:ascii="Times New Roman" w:hAnsi="Times New Roman"/>
          <w:i/>
          <w:sz w:val="24"/>
          <w:szCs w:val="20"/>
          <w:lang w:val="en-US"/>
        </w:rPr>
        <w:t>FD</w:t>
      </w:r>
      <w:r w:rsidR="00612859" w:rsidRPr="005B7CAC">
        <w:rPr>
          <w:rFonts w:ascii="Times New Roman" w:hAnsi="Times New Roman"/>
          <w:iCs/>
          <w:sz w:val="24"/>
          <w:szCs w:val="20"/>
          <w:lang w:val="en-US"/>
        </w:rPr>
        <w:t xml:space="preserve"> and </w:t>
      </w:r>
      <w:r w:rsidR="008F5453" w:rsidRPr="005B7CAC">
        <w:rPr>
          <w:rFonts w:ascii="Times New Roman" w:hAnsi="Times New Roman"/>
          <w:i/>
          <w:sz w:val="24"/>
          <w:szCs w:val="20"/>
          <w:lang w:val="en-US"/>
        </w:rPr>
        <w:t xml:space="preserve">WM </w:t>
      </w:r>
      <w:r w:rsidR="008F5453" w:rsidRPr="005B7CAC">
        <w:rPr>
          <w:rFonts w:ascii="Times New Roman" w:hAnsi="Times New Roman"/>
          <w:iCs/>
          <w:sz w:val="24"/>
          <w:szCs w:val="20"/>
          <w:lang w:val="en-US"/>
        </w:rPr>
        <w:t>practices</w:t>
      </w:r>
      <w:r w:rsidR="00612859" w:rsidRPr="005B7CAC">
        <w:rPr>
          <w:rFonts w:ascii="Times New Roman" w:hAnsi="Times New Roman"/>
          <w:iCs/>
          <w:sz w:val="24"/>
          <w:szCs w:val="20"/>
          <w:lang w:val="en-US"/>
        </w:rPr>
        <w:t xml:space="preserve"> </w:t>
      </w:r>
      <w:r w:rsidR="005D77BE" w:rsidRPr="005B7CAC">
        <w:rPr>
          <w:rFonts w:ascii="Times New Roman" w:hAnsi="Times New Roman"/>
          <w:iCs/>
          <w:sz w:val="24"/>
          <w:szCs w:val="20"/>
          <w:lang w:val="en-US"/>
        </w:rPr>
        <w:t xml:space="preserve">and </w:t>
      </w:r>
      <w:r w:rsidRPr="005B7CAC">
        <w:rPr>
          <w:rFonts w:ascii="Times New Roman" w:hAnsi="Times New Roman"/>
          <w:iCs/>
          <w:sz w:val="24"/>
          <w:szCs w:val="20"/>
          <w:lang w:val="en-US"/>
        </w:rPr>
        <w:t>employs a two-stage least squares (</w:t>
      </w:r>
      <w:r w:rsidRPr="005B7CAC">
        <w:rPr>
          <w:rFonts w:ascii="Times New Roman" w:hAnsi="Times New Roman"/>
          <w:i/>
          <w:sz w:val="24"/>
          <w:szCs w:val="20"/>
          <w:lang w:val="en-US"/>
        </w:rPr>
        <w:t>2SLS</w:t>
      </w:r>
      <w:r w:rsidRPr="005B7CAC">
        <w:rPr>
          <w:rFonts w:ascii="Times New Roman" w:hAnsi="Times New Roman"/>
          <w:iCs/>
          <w:sz w:val="24"/>
          <w:szCs w:val="20"/>
          <w:lang w:val="en-US"/>
        </w:rPr>
        <w:t xml:space="preserve">) </w:t>
      </w:r>
      <w:r w:rsidR="005D77BE" w:rsidRPr="005B7CAC">
        <w:rPr>
          <w:rFonts w:ascii="Times New Roman" w:hAnsi="Times New Roman"/>
          <w:iCs/>
          <w:sz w:val="24"/>
          <w:szCs w:val="20"/>
          <w:lang w:val="en-US"/>
        </w:rPr>
        <w:t>analysis and the Heckman selection model</w:t>
      </w:r>
      <w:r w:rsidR="00AA14D5" w:rsidRPr="005B7CAC">
        <w:rPr>
          <w:rFonts w:ascii="Times New Roman" w:hAnsi="Times New Roman"/>
          <w:iCs/>
          <w:sz w:val="24"/>
          <w:szCs w:val="20"/>
          <w:lang w:val="en-US"/>
        </w:rPr>
        <w:t xml:space="preserve"> as robustness checks</w:t>
      </w:r>
      <w:r w:rsidRPr="005B7CAC">
        <w:rPr>
          <w:rFonts w:ascii="Times New Roman" w:hAnsi="Times New Roman"/>
          <w:iCs/>
          <w:sz w:val="24"/>
          <w:szCs w:val="20"/>
          <w:lang w:val="en-US"/>
        </w:rPr>
        <w:t>.</w:t>
      </w:r>
    </w:p>
    <w:p w14:paraId="0B83F5EF" w14:textId="77777777" w:rsidR="001E2CA1" w:rsidRPr="005B7CAC" w:rsidRDefault="008A7BB2" w:rsidP="009B6746">
      <w:pPr>
        <w:widowControl w:val="0"/>
        <w:autoSpaceDE w:val="0"/>
        <w:autoSpaceDN w:val="0"/>
        <w:adjustRightInd w:val="0"/>
        <w:spacing w:after="120" w:line="360" w:lineRule="auto"/>
        <w:rPr>
          <w:rFonts w:ascii="Times New Roman" w:hAnsi="Times New Roman"/>
          <w:b/>
          <w:iCs/>
          <w:sz w:val="24"/>
          <w:szCs w:val="20"/>
          <w:lang w:val="en-US"/>
        </w:rPr>
      </w:pPr>
      <w:r w:rsidRPr="005B7CAC">
        <w:rPr>
          <w:rFonts w:ascii="Times New Roman" w:hAnsi="Times New Roman"/>
          <w:b/>
          <w:iCs/>
          <w:sz w:val="24"/>
          <w:szCs w:val="20"/>
          <w:lang w:val="en-US"/>
        </w:rPr>
        <w:t>Findings</w:t>
      </w:r>
    </w:p>
    <w:p w14:paraId="607E8C44" w14:textId="2ED281D3" w:rsidR="00E81109" w:rsidRPr="005B7CAC" w:rsidRDefault="00E81109" w:rsidP="003D5418">
      <w:pPr>
        <w:widowControl w:val="0"/>
        <w:autoSpaceDE w:val="0"/>
        <w:autoSpaceDN w:val="0"/>
        <w:adjustRightInd w:val="0"/>
        <w:spacing w:after="240" w:line="360" w:lineRule="auto"/>
        <w:jc w:val="both"/>
        <w:rPr>
          <w:rFonts w:ascii="Times New Roman" w:hAnsi="Times New Roman"/>
          <w:iCs/>
          <w:sz w:val="24"/>
          <w:szCs w:val="20"/>
          <w:lang w:val="en-US"/>
        </w:rPr>
      </w:pPr>
      <w:r w:rsidRPr="005B7CAC">
        <w:rPr>
          <w:rFonts w:ascii="Times New Roman" w:hAnsi="Times New Roman"/>
          <w:iCs/>
          <w:sz w:val="24"/>
          <w:szCs w:val="20"/>
          <w:lang w:val="en-US"/>
        </w:rPr>
        <w:t xml:space="preserve">The findings reveal that </w:t>
      </w:r>
      <w:r w:rsidR="00013623" w:rsidRPr="005B7CAC">
        <w:rPr>
          <w:rFonts w:ascii="Times New Roman" w:hAnsi="Times New Roman"/>
          <w:i/>
          <w:sz w:val="24"/>
          <w:szCs w:val="20"/>
          <w:lang w:val="en-US"/>
        </w:rPr>
        <w:t>FD</w:t>
      </w:r>
      <w:r w:rsidRPr="005B7CAC">
        <w:rPr>
          <w:rFonts w:ascii="Times New Roman" w:hAnsi="Times New Roman"/>
          <w:iCs/>
          <w:sz w:val="24"/>
          <w:szCs w:val="20"/>
          <w:lang w:val="en-US"/>
        </w:rPr>
        <w:t xml:space="preserve"> levels decrease </w:t>
      </w:r>
      <w:r w:rsidR="00612859" w:rsidRPr="005B7CAC">
        <w:rPr>
          <w:rFonts w:ascii="Times New Roman" w:hAnsi="Times New Roman"/>
          <w:iCs/>
          <w:sz w:val="24"/>
          <w:szCs w:val="20"/>
          <w:lang w:val="en-US"/>
        </w:rPr>
        <w:t>significantly</w:t>
      </w:r>
      <w:r w:rsidR="0017444A">
        <w:rPr>
          <w:rFonts w:ascii="Times New Roman" w:hAnsi="Times New Roman"/>
          <w:iCs/>
          <w:sz w:val="24"/>
          <w:szCs w:val="20"/>
          <w:lang w:val="en-US"/>
        </w:rPr>
        <w:t xml:space="preserve"> </w:t>
      </w:r>
      <w:r w:rsidRPr="005B7CAC">
        <w:rPr>
          <w:rFonts w:ascii="Times New Roman" w:hAnsi="Times New Roman"/>
          <w:iCs/>
          <w:sz w:val="24"/>
          <w:szCs w:val="20"/>
          <w:lang w:val="en-US"/>
        </w:rPr>
        <w:t>when waste generation declines and waste recycling increases</w:t>
      </w:r>
      <w:r w:rsidR="00612859" w:rsidRPr="005B7CAC">
        <w:rPr>
          <w:rFonts w:ascii="Times New Roman" w:hAnsi="Times New Roman"/>
          <w:iCs/>
          <w:sz w:val="24"/>
          <w:szCs w:val="20"/>
          <w:lang w:val="en-US"/>
        </w:rPr>
        <w:t xml:space="preserve">, suggesting that firms with better </w:t>
      </w:r>
      <w:r w:rsidR="00612859" w:rsidRPr="005B7CAC">
        <w:rPr>
          <w:rFonts w:ascii="Times New Roman" w:hAnsi="Times New Roman"/>
          <w:i/>
          <w:sz w:val="24"/>
          <w:szCs w:val="20"/>
          <w:lang w:val="en-US"/>
        </w:rPr>
        <w:t>WM</w:t>
      </w:r>
      <w:r w:rsidR="00612859" w:rsidRPr="005B7CAC">
        <w:rPr>
          <w:rFonts w:ascii="Times New Roman" w:hAnsi="Times New Roman"/>
          <w:iCs/>
          <w:sz w:val="24"/>
          <w:szCs w:val="20"/>
          <w:lang w:val="en-US"/>
        </w:rPr>
        <w:t xml:space="preserve"> practices have lower </w:t>
      </w:r>
      <w:r w:rsidR="00612859" w:rsidRPr="005B7CAC">
        <w:rPr>
          <w:rFonts w:ascii="Times New Roman" w:hAnsi="Times New Roman"/>
          <w:i/>
          <w:sz w:val="24"/>
          <w:szCs w:val="20"/>
          <w:lang w:val="en-US"/>
        </w:rPr>
        <w:t>FD</w:t>
      </w:r>
      <w:r w:rsidR="00612859" w:rsidRPr="005B7CAC">
        <w:rPr>
          <w:rFonts w:ascii="Times New Roman" w:hAnsi="Times New Roman"/>
          <w:iCs/>
          <w:sz w:val="24"/>
          <w:szCs w:val="20"/>
          <w:lang w:val="en-US"/>
        </w:rPr>
        <w:t xml:space="preserve"> levels</w:t>
      </w:r>
      <w:r w:rsidRPr="005B7CAC">
        <w:rPr>
          <w:rFonts w:ascii="Times New Roman" w:hAnsi="Times New Roman"/>
          <w:iCs/>
          <w:sz w:val="24"/>
          <w:szCs w:val="20"/>
          <w:lang w:val="en-US"/>
        </w:rPr>
        <w:t>.</w:t>
      </w:r>
      <w:r w:rsidR="005D77BE" w:rsidRPr="005B7CAC">
        <w:rPr>
          <w:rFonts w:ascii="Times New Roman" w:hAnsi="Times New Roman"/>
          <w:iCs/>
          <w:sz w:val="24"/>
          <w:szCs w:val="20"/>
          <w:lang w:val="en-US"/>
        </w:rPr>
        <w:t xml:space="preserve"> </w:t>
      </w:r>
      <w:r w:rsidR="005315C6" w:rsidRPr="005B7CAC">
        <w:rPr>
          <w:rFonts w:ascii="Times New Roman" w:hAnsi="Times New Roman"/>
          <w:iCs/>
          <w:sz w:val="24"/>
          <w:szCs w:val="20"/>
          <w:lang w:val="en-US"/>
        </w:rPr>
        <w:t xml:space="preserve">The </w:t>
      </w:r>
      <w:r w:rsidR="00003E33" w:rsidRPr="005B7CAC">
        <w:rPr>
          <w:rFonts w:ascii="Times New Roman" w:hAnsi="Times New Roman"/>
          <w:iCs/>
          <w:sz w:val="24"/>
          <w:szCs w:val="20"/>
          <w:lang w:val="en-US"/>
        </w:rPr>
        <w:t xml:space="preserve">results further show the moderating effect of </w:t>
      </w:r>
      <w:r w:rsidR="001A1CB2" w:rsidRPr="005B7CAC">
        <w:rPr>
          <w:rFonts w:ascii="Times New Roman" w:hAnsi="Times New Roman"/>
          <w:i/>
          <w:sz w:val="24"/>
          <w:szCs w:val="20"/>
          <w:lang w:val="en-US"/>
        </w:rPr>
        <w:t>GINVs</w:t>
      </w:r>
      <w:r w:rsidR="0071485F" w:rsidRPr="005B7CAC">
        <w:rPr>
          <w:rFonts w:ascii="Times New Roman" w:hAnsi="Times New Roman"/>
          <w:iCs/>
          <w:sz w:val="24"/>
          <w:szCs w:val="20"/>
          <w:lang w:val="en-US"/>
        </w:rPr>
        <w:t xml:space="preserve"> o</w:t>
      </w:r>
      <w:r w:rsidR="00003E33" w:rsidRPr="005B7CAC">
        <w:rPr>
          <w:rFonts w:ascii="Times New Roman" w:hAnsi="Times New Roman"/>
          <w:iCs/>
          <w:sz w:val="24"/>
          <w:szCs w:val="20"/>
          <w:lang w:val="en-US"/>
        </w:rPr>
        <w:t xml:space="preserve">n the link between waste generation and </w:t>
      </w:r>
      <w:r w:rsidR="00003E33" w:rsidRPr="005B7CAC">
        <w:rPr>
          <w:rFonts w:ascii="Times New Roman" w:hAnsi="Times New Roman"/>
          <w:i/>
          <w:sz w:val="24"/>
          <w:szCs w:val="20"/>
          <w:lang w:val="en-US"/>
        </w:rPr>
        <w:t>FD</w:t>
      </w:r>
      <w:r w:rsidR="00003E33" w:rsidRPr="005B7CAC">
        <w:rPr>
          <w:rFonts w:ascii="Times New Roman" w:hAnsi="Times New Roman"/>
          <w:iCs/>
          <w:sz w:val="24"/>
          <w:szCs w:val="20"/>
          <w:lang w:val="en-US"/>
        </w:rPr>
        <w:t xml:space="preserve"> and suggest that </w:t>
      </w:r>
      <w:r w:rsidR="00DB32B0" w:rsidRPr="005B7CAC">
        <w:rPr>
          <w:rFonts w:ascii="Times New Roman" w:hAnsi="Times New Roman"/>
          <w:iCs/>
          <w:sz w:val="24"/>
          <w:szCs w:val="20"/>
          <w:lang w:val="en-US"/>
        </w:rPr>
        <w:t>increased</w:t>
      </w:r>
      <w:r w:rsidR="00003E33" w:rsidRPr="005B7CAC">
        <w:rPr>
          <w:rFonts w:ascii="Times New Roman" w:hAnsi="Times New Roman"/>
          <w:iCs/>
          <w:sz w:val="24"/>
          <w:szCs w:val="20"/>
          <w:lang w:val="en-US"/>
        </w:rPr>
        <w:t xml:space="preserve"> </w:t>
      </w:r>
      <w:r w:rsidR="001A1CB2" w:rsidRPr="005B7CAC">
        <w:rPr>
          <w:rFonts w:ascii="Times New Roman" w:hAnsi="Times New Roman"/>
          <w:i/>
          <w:sz w:val="24"/>
          <w:szCs w:val="20"/>
          <w:lang w:val="en-US"/>
        </w:rPr>
        <w:t>GINVs</w:t>
      </w:r>
      <w:r w:rsidR="00003E33" w:rsidRPr="005B7CAC">
        <w:rPr>
          <w:rFonts w:ascii="Times New Roman" w:hAnsi="Times New Roman"/>
          <w:iCs/>
          <w:sz w:val="24"/>
          <w:szCs w:val="20"/>
          <w:lang w:val="en-US"/>
        </w:rPr>
        <w:t xml:space="preserve"> </w:t>
      </w:r>
      <w:r w:rsidR="00DB32B0" w:rsidRPr="005B7CAC">
        <w:rPr>
          <w:rFonts w:ascii="Times New Roman" w:hAnsi="Times New Roman"/>
          <w:iCs/>
          <w:sz w:val="24"/>
          <w:szCs w:val="20"/>
          <w:lang w:val="en-US"/>
        </w:rPr>
        <w:t>are</w:t>
      </w:r>
      <w:r w:rsidR="00003E33" w:rsidRPr="005B7CAC">
        <w:rPr>
          <w:rFonts w:ascii="Times New Roman" w:hAnsi="Times New Roman"/>
          <w:iCs/>
          <w:sz w:val="24"/>
          <w:szCs w:val="20"/>
          <w:lang w:val="en-US"/>
        </w:rPr>
        <w:t xml:space="preserve"> effective in reducing </w:t>
      </w:r>
      <w:r w:rsidR="00003E33" w:rsidRPr="005B7CAC">
        <w:rPr>
          <w:rFonts w:ascii="Times New Roman" w:hAnsi="Times New Roman"/>
          <w:i/>
          <w:sz w:val="24"/>
          <w:szCs w:val="20"/>
          <w:lang w:val="en-US"/>
        </w:rPr>
        <w:t>FD</w:t>
      </w:r>
      <w:r w:rsidR="00003E33" w:rsidRPr="005B7CAC">
        <w:rPr>
          <w:rFonts w:ascii="Times New Roman" w:hAnsi="Times New Roman"/>
          <w:iCs/>
          <w:sz w:val="24"/>
          <w:szCs w:val="20"/>
          <w:lang w:val="en-US"/>
        </w:rPr>
        <w:t xml:space="preserve"> by mitigating waste levels. </w:t>
      </w:r>
      <w:r w:rsidR="005D77BE" w:rsidRPr="005B7CAC">
        <w:rPr>
          <w:rFonts w:ascii="Times New Roman" w:hAnsi="Times New Roman"/>
          <w:iCs/>
          <w:sz w:val="24"/>
          <w:szCs w:val="20"/>
          <w:lang w:val="en-US"/>
        </w:rPr>
        <w:t xml:space="preserve">However, </w:t>
      </w:r>
      <w:r w:rsidR="00612859" w:rsidRPr="005B7CAC">
        <w:rPr>
          <w:rFonts w:ascii="Times New Roman" w:hAnsi="Times New Roman"/>
          <w:iCs/>
          <w:sz w:val="24"/>
          <w:szCs w:val="20"/>
          <w:lang w:val="en-US"/>
        </w:rPr>
        <w:t xml:space="preserve">waste recycling and </w:t>
      </w:r>
      <w:r w:rsidR="001A1CB2" w:rsidRPr="005B7CAC">
        <w:rPr>
          <w:rFonts w:ascii="Times New Roman" w:hAnsi="Times New Roman"/>
          <w:i/>
          <w:sz w:val="24"/>
          <w:szCs w:val="20"/>
          <w:lang w:val="en-US"/>
        </w:rPr>
        <w:t>GINVs</w:t>
      </w:r>
      <w:r w:rsidR="00612859" w:rsidRPr="005B7CAC">
        <w:rPr>
          <w:rFonts w:ascii="Times New Roman" w:hAnsi="Times New Roman"/>
          <w:iCs/>
          <w:sz w:val="24"/>
          <w:szCs w:val="20"/>
          <w:lang w:val="en-US"/>
        </w:rPr>
        <w:t xml:space="preserve"> are found to have a substitutive effect on </w:t>
      </w:r>
      <w:r w:rsidR="00612859" w:rsidRPr="005B7CAC">
        <w:rPr>
          <w:rFonts w:ascii="Times New Roman" w:hAnsi="Times New Roman"/>
          <w:i/>
          <w:sz w:val="24"/>
          <w:szCs w:val="20"/>
          <w:lang w:val="en-US"/>
        </w:rPr>
        <w:t>FD</w:t>
      </w:r>
      <w:r w:rsidR="00612859" w:rsidRPr="005B7CAC">
        <w:rPr>
          <w:rFonts w:ascii="Times New Roman" w:hAnsi="Times New Roman"/>
          <w:iCs/>
          <w:sz w:val="24"/>
          <w:szCs w:val="20"/>
          <w:lang w:val="en-US"/>
        </w:rPr>
        <w:t>.</w:t>
      </w:r>
      <w:r w:rsidR="00003E33" w:rsidRPr="005B7CAC">
        <w:rPr>
          <w:rFonts w:ascii="Times New Roman" w:hAnsi="Times New Roman"/>
          <w:iCs/>
          <w:sz w:val="24"/>
          <w:szCs w:val="20"/>
          <w:lang w:val="en-US"/>
        </w:rPr>
        <w:t xml:space="preserve"> The </w:t>
      </w:r>
      <w:r w:rsidR="008D727C" w:rsidRPr="005B7CAC">
        <w:rPr>
          <w:rFonts w:ascii="Times New Roman" w:hAnsi="Times New Roman"/>
          <w:iCs/>
          <w:sz w:val="24"/>
          <w:szCs w:val="20"/>
          <w:lang w:val="en-US"/>
        </w:rPr>
        <w:t xml:space="preserve">findings remain robust to the use of alternative measures and endogeneity issues. </w:t>
      </w:r>
      <w:r w:rsidRPr="005B7CAC">
        <w:rPr>
          <w:rFonts w:ascii="Times New Roman" w:hAnsi="Times New Roman"/>
          <w:iCs/>
          <w:sz w:val="24"/>
          <w:szCs w:val="20"/>
          <w:lang w:val="en-US"/>
        </w:rPr>
        <w:t xml:space="preserve"> </w:t>
      </w:r>
    </w:p>
    <w:p w14:paraId="71D8009D" w14:textId="77777777" w:rsidR="008A7BB2" w:rsidRPr="005B7CAC" w:rsidRDefault="008A7BB2" w:rsidP="009B6746">
      <w:pPr>
        <w:widowControl w:val="0"/>
        <w:autoSpaceDE w:val="0"/>
        <w:autoSpaceDN w:val="0"/>
        <w:adjustRightInd w:val="0"/>
        <w:spacing w:after="120" w:line="360" w:lineRule="auto"/>
        <w:rPr>
          <w:rFonts w:ascii="Times New Roman" w:hAnsi="Times New Roman"/>
          <w:b/>
          <w:iCs/>
          <w:sz w:val="24"/>
          <w:szCs w:val="20"/>
          <w:lang w:val="en-US"/>
        </w:rPr>
      </w:pPr>
      <w:r w:rsidRPr="005B7CAC">
        <w:rPr>
          <w:rFonts w:ascii="Times New Roman" w:hAnsi="Times New Roman"/>
          <w:b/>
          <w:iCs/>
          <w:sz w:val="24"/>
          <w:szCs w:val="20"/>
          <w:lang w:val="en-US"/>
        </w:rPr>
        <w:t>Originality/value</w:t>
      </w:r>
    </w:p>
    <w:p w14:paraId="069C872B" w14:textId="6879D654" w:rsidR="008A7BB2" w:rsidRPr="005B7CAC" w:rsidRDefault="00612859" w:rsidP="003D5418">
      <w:pPr>
        <w:widowControl w:val="0"/>
        <w:autoSpaceDE w:val="0"/>
        <w:autoSpaceDN w:val="0"/>
        <w:adjustRightInd w:val="0"/>
        <w:spacing w:after="240" w:line="360" w:lineRule="auto"/>
        <w:jc w:val="both"/>
        <w:rPr>
          <w:rFonts w:ascii="Times New Roman" w:hAnsi="Times New Roman"/>
          <w:iCs/>
          <w:sz w:val="24"/>
          <w:szCs w:val="20"/>
          <w:lang w:val="en-US"/>
        </w:rPr>
      </w:pPr>
      <w:r w:rsidRPr="005B7CAC">
        <w:rPr>
          <w:rFonts w:ascii="Times New Roman" w:hAnsi="Times New Roman"/>
          <w:iCs/>
          <w:sz w:val="24"/>
          <w:szCs w:val="20"/>
          <w:lang w:val="en-US"/>
        </w:rPr>
        <w:t xml:space="preserve">This work </w:t>
      </w:r>
      <w:r w:rsidR="0071485F" w:rsidRPr="005B7CAC">
        <w:rPr>
          <w:rFonts w:ascii="Times New Roman" w:hAnsi="Times New Roman"/>
          <w:iCs/>
          <w:sz w:val="24"/>
          <w:szCs w:val="20"/>
          <w:lang w:val="en-US"/>
        </w:rPr>
        <w:t>is among the first to investigate the</w:t>
      </w:r>
      <w:r w:rsidRPr="005B7CAC">
        <w:rPr>
          <w:rFonts w:ascii="Times New Roman" w:hAnsi="Times New Roman"/>
          <w:iCs/>
          <w:sz w:val="24"/>
          <w:szCs w:val="20"/>
          <w:lang w:val="en-US"/>
        </w:rPr>
        <w:t xml:space="preserve"> </w:t>
      </w:r>
      <w:r w:rsidR="00841B82" w:rsidRPr="005B7CAC">
        <w:rPr>
          <w:rFonts w:ascii="Times New Roman" w:hAnsi="Times New Roman"/>
          <w:i/>
          <w:sz w:val="24"/>
          <w:szCs w:val="20"/>
          <w:lang w:val="en-US"/>
        </w:rPr>
        <w:t>WM</w:t>
      </w:r>
      <w:r w:rsidR="0071485F" w:rsidRPr="005B7CAC">
        <w:rPr>
          <w:rFonts w:ascii="Calibri" w:hAnsi="Calibri" w:cs="Calibri"/>
          <w:bCs/>
          <w:iCs/>
          <w:sz w:val="24"/>
          <w:szCs w:val="24"/>
          <w:lang w:val="en-US"/>
        </w:rPr>
        <w:t>—</w:t>
      </w:r>
      <w:r w:rsidR="00841B82" w:rsidRPr="005B7CAC">
        <w:rPr>
          <w:rFonts w:ascii="Times New Roman" w:hAnsi="Times New Roman"/>
          <w:i/>
          <w:sz w:val="24"/>
          <w:szCs w:val="20"/>
          <w:lang w:val="en-US"/>
        </w:rPr>
        <w:t>FD</w:t>
      </w:r>
      <w:r w:rsidR="00841B82" w:rsidRPr="005B7CAC">
        <w:rPr>
          <w:rFonts w:ascii="Times New Roman" w:hAnsi="Times New Roman"/>
          <w:iCs/>
          <w:sz w:val="24"/>
          <w:szCs w:val="20"/>
          <w:lang w:val="en-US"/>
        </w:rPr>
        <w:t xml:space="preserve"> </w:t>
      </w:r>
      <w:r w:rsidR="0071485F" w:rsidRPr="005B7CAC">
        <w:rPr>
          <w:rFonts w:ascii="Times New Roman" w:hAnsi="Times New Roman"/>
          <w:iCs/>
          <w:sz w:val="24"/>
          <w:szCs w:val="20"/>
          <w:lang w:val="en-US"/>
        </w:rPr>
        <w:t xml:space="preserve">nexus </w:t>
      </w:r>
      <w:r w:rsidR="00841B82" w:rsidRPr="005B7CAC">
        <w:rPr>
          <w:rFonts w:ascii="Times New Roman" w:hAnsi="Times New Roman"/>
          <w:iCs/>
          <w:sz w:val="24"/>
          <w:szCs w:val="20"/>
          <w:lang w:val="en-US"/>
        </w:rPr>
        <w:t>and highlights the importance of effective</w:t>
      </w:r>
      <w:r w:rsidR="0071485F" w:rsidRPr="005B7CAC">
        <w:rPr>
          <w:rFonts w:ascii="Times New Roman" w:hAnsi="Times New Roman"/>
          <w:iCs/>
          <w:sz w:val="24"/>
          <w:szCs w:val="20"/>
          <w:lang w:val="en-US"/>
        </w:rPr>
        <w:t xml:space="preserve"> </w:t>
      </w:r>
      <w:r w:rsidR="0071485F" w:rsidRPr="005B7CAC">
        <w:rPr>
          <w:rFonts w:ascii="Times New Roman" w:hAnsi="Times New Roman"/>
          <w:i/>
          <w:sz w:val="24"/>
          <w:szCs w:val="20"/>
          <w:lang w:val="en-US"/>
        </w:rPr>
        <w:t>WM</w:t>
      </w:r>
      <w:r w:rsidR="0071485F" w:rsidRPr="005B7CAC">
        <w:rPr>
          <w:rFonts w:ascii="Times New Roman" w:hAnsi="Times New Roman"/>
          <w:iCs/>
          <w:sz w:val="24"/>
          <w:szCs w:val="20"/>
          <w:lang w:val="en-US"/>
        </w:rPr>
        <w:t xml:space="preserve"> practices in </w:t>
      </w:r>
      <w:r w:rsidR="00013623" w:rsidRPr="005B7CAC">
        <w:rPr>
          <w:rFonts w:ascii="Times New Roman" w:hAnsi="Times New Roman"/>
          <w:iCs/>
          <w:sz w:val="24"/>
          <w:szCs w:val="20"/>
          <w:lang w:val="en-US"/>
        </w:rPr>
        <w:t xml:space="preserve">improving </w:t>
      </w:r>
      <w:r w:rsidR="008F1E58">
        <w:rPr>
          <w:rFonts w:ascii="Times New Roman" w:hAnsi="Times New Roman"/>
          <w:iCs/>
          <w:sz w:val="24"/>
          <w:szCs w:val="20"/>
          <w:lang w:val="en-US"/>
        </w:rPr>
        <w:t xml:space="preserve">the </w:t>
      </w:r>
      <w:r w:rsidR="00013623" w:rsidRPr="005B7CAC">
        <w:rPr>
          <w:rFonts w:ascii="Times New Roman" w:hAnsi="Times New Roman"/>
          <w:iCs/>
          <w:sz w:val="24"/>
          <w:szCs w:val="20"/>
          <w:lang w:val="en-US"/>
        </w:rPr>
        <w:t xml:space="preserve">financial sustainability </w:t>
      </w:r>
      <w:r w:rsidR="00912A4B" w:rsidRPr="005B7CAC">
        <w:rPr>
          <w:rFonts w:ascii="Times New Roman" w:hAnsi="Times New Roman"/>
          <w:iCs/>
          <w:sz w:val="24"/>
          <w:szCs w:val="20"/>
          <w:lang w:val="en-US"/>
        </w:rPr>
        <w:t>of UK firms. The study also extends</w:t>
      </w:r>
      <w:r w:rsidR="00980F21" w:rsidRPr="005B7CAC">
        <w:rPr>
          <w:rFonts w:ascii="Times New Roman" w:hAnsi="Times New Roman"/>
          <w:iCs/>
          <w:sz w:val="24"/>
          <w:szCs w:val="20"/>
          <w:lang w:val="en-US"/>
        </w:rPr>
        <w:t xml:space="preserve"> prior research by testing the moderating impact of </w:t>
      </w:r>
      <w:r w:rsidR="001A1CB2" w:rsidRPr="005B7CAC">
        <w:rPr>
          <w:rFonts w:ascii="Times New Roman" w:hAnsi="Times New Roman"/>
          <w:i/>
          <w:sz w:val="24"/>
          <w:szCs w:val="20"/>
          <w:lang w:val="en-US"/>
        </w:rPr>
        <w:t>GINVs</w:t>
      </w:r>
      <w:r w:rsidR="00980F21" w:rsidRPr="005B7CAC">
        <w:rPr>
          <w:rFonts w:ascii="Times New Roman" w:hAnsi="Times New Roman"/>
          <w:iCs/>
          <w:sz w:val="24"/>
          <w:szCs w:val="20"/>
          <w:lang w:val="en-US"/>
        </w:rPr>
        <w:t xml:space="preserve"> and suggests that </w:t>
      </w:r>
      <w:r w:rsidR="00D94B2B" w:rsidRPr="005B7CAC">
        <w:rPr>
          <w:rFonts w:ascii="Times New Roman" w:hAnsi="Times New Roman"/>
          <w:iCs/>
          <w:sz w:val="24"/>
          <w:szCs w:val="20"/>
          <w:lang w:val="en-US"/>
        </w:rPr>
        <w:t xml:space="preserve">firms need to carefully balance their green initiatives with waste recycling efforts to achieve optimal financial sustainability </w:t>
      </w:r>
      <w:r w:rsidR="001B2EC9" w:rsidRPr="005B7CAC">
        <w:rPr>
          <w:rFonts w:ascii="Times New Roman" w:hAnsi="Times New Roman"/>
          <w:iCs/>
          <w:sz w:val="24"/>
          <w:szCs w:val="20"/>
          <w:lang w:val="en-US"/>
        </w:rPr>
        <w:t xml:space="preserve">in </w:t>
      </w:r>
      <w:r w:rsidR="00AB33B8" w:rsidRPr="005B7CAC">
        <w:rPr>
          <w:rFonts w:ascii="Times New Roman" w:hAnsi="Times New Roman"/>
          <w:iCs/>
          <w:sz w:val="24"/>
          <w:szCs w:val="20"/>
          <w:lang w:val="en-US"/>
        </w:rPr>
        <w:t>a heavily</w:t>
      </w:r>
      <w:r w:rsidR="001B2EC9" w:rsidRPr="005B7CAC">
        <w:rPr>
          <w:rFonts w:ascii="Times New Roman" w:hAnsi="Times New Roman"/>
          <w:iCs/>
          <w:sz w:val="24"/>
          <w:szCs w:val="20"/>
          <w:lang w:val="en-US"/>
        </w:rPr>
        <w:t xml:space="preserve"> regulated </w:t>
      </w:r>
      <w:r w:rsidR="00DE0434" w:rsidRPr="005B7CAC">
        <w:rPr>
          <w:rFonts w:ascii="Times New Roman" w:hAnsi="Times New Roman"/>
          <w:iCs/>
          <w:sz w:val="24"/>
          <w:szCs w:val="20"/>
          <w:lang w:val="en-US"/>
        </w:rPr>
        <w:t xml:space="preserve">environmental </w:t>
      </w:r>
      <w:r w:rsidR="001B2EC9" w:rsidRPr="005B7CAC">
        <w:rPr>
          <w:rFonts w:ascii="Times New Roman" w:hAnsi="Times New Roman"/>
          <w:iCs/>
          <w:sz w:val="24"/>
          <w:szCs w:val="20"/>
          <w:lang w:val="en-US"/>
        </w:rPr>
        <w:t>context</w:t>
      </w:r>
      <w:r w:rsidR="001B325E" w:rsidRPr="005B7CAC">
        <w:rPr>
          <w:rFonts w:ascii="Times New Roman" w:hAnsi="Times New Roman"/>
          <w:iCs/>
          <w:sz w:val="24"/>
          <w:szCs w:val="20"/>
          <w:lang w:val="en-US"/>
        </w:rPr>
        <w:t>, such as the UK</w:t>
      </w:r>
      <w:r w:rsidR="001B2EC9" w:rsidRPr="005B7CAC">
        <w:rPr>
          <w:rFonts w:ascii="Times New Roman" w:hAnsi="Times New Roman"/>
          <w:iCs/>
          <w:sz w:val="24"/>
          <w:szCs w:val="20"/>
          <w:lang w:val="en-US"/>
        </w:rPr>
        <w:t>.</w:t>
      </w:r>
      <w:r w:rsidR="00980F21" w:rsidRPr="005B7CAC">
        <w:rPr>
          <w:rFonts w:ascii="Times New Roman" w:hAnsi="Times New Roman"/>
          <w:iCs/>
          <w:sz w:val="24"/>
          <w:szCs w:val="20"/>
          <w:lang w:val="en-US"/>
        </w:rPr>
        <w:t xml:space="preserve">   </w:t>
      </w:r>
      <w:r w:rsidR="00912A4B" w:rsidRPr="005B7CAC">
        <w:rPr>
          <w:rFonts w:ascii="Times New Roman" w:hAnsi="Times New Roman"/>
          <w:iCs/>
          <w:sz w:val="24"/>
          <w:szCs w:val="20"/>
          <w:lang w:val="en-US"/>
        </w:rPr>
        <w:t xml:space="preserve"> </w:t>
      </w:r>
      <w:r w:rsidR="00841B82" w:rsidRPr="005B7CAC">
        <w:rPr>
          <w:rFonts w:ascii="Times New Roman" w:hAnsi="Times New Roman"/>
          <w:iCs/>
          <w:sz w:val="24"/>
          <w:szCs w:val="20"/>
          <w:lang w:val="en-US"/>
        </w:rPr>
        <w:t xml:space="preserve">   </w:t>
      </w:r>
      <w:r w:rsidRPr="005B7CAC">
        <w:rPr>
          <w:rFonts w:ascii="Times New Roman" w:hAnsi="Times New Roman"/>
          <w:iCs/>
          <w:sz w:val="24"/>
          <w:szCs w:val="20"/>
          <w:lang w:val="en-US"/>
        </w:rPr>
        <w:t xml:space="preserve"> </w:t>
      </w:r>
    </w:p>
    <w:p w14:paraId="3DFA211D" w14:textId="70A536DD" w:rsidR="001E2CA1" w:rsidRPr="005B7CAC" w:rsidRDefault="005C5CD8" w:rsidP="009B6746">
      <w:pPr>
        <w:widowControl w:val="0"/>
        <w:autoSpaceDE w:val="0"/>
        <w:autoSpaceDN w:val="0"/>
        <w:adjustRightInd w:val="0"/>
        <w:spacing w:after="120" w:line="360" w:lineRule="auto"/>
        <w:rPr>
          <w:rFonts w:ascii="Times New Roman" w:hAnsi="Times New Roman"/>
          <w:iCs/>
          <w:sz w:val="24"/>
          <w:szCs w:val="20"/>
          <w:lang w:val="en-US"/>
        </w:rPr>
      </w:pPr>
      <w:r w:rsidRPr="005B7CAC">
        <w:rPr>
          <w:rFonts w:ascii="Times New Roman" w:hAnsi="Times New Roman"/>
          <w:b/>
          <w:iCs/>
          <w:sz w:val="24"/>
          <w:szCs w:val="20"/>
          <w:lang w:val="en-US"/>
        </w:rPr>
        <w:t xml:space="preserve">Keywords </w:t>
      </w:r>
      <w:r w:rsidRPr="005B7CAC">
        <w:rPr>
          <w:rFonts w:ascii="Times New Roman" w:hAnsi="Times New Roman"/>
          <w:iCs/>
          <w:sz w:val="24"/>
          <w:szCs w:val="20"/>
          <w:lang w:val="en-US"/>
        </w:rPr>
        <w:t xml:space="preserve">Waste management, </w:t>
      </w:r>
      <w:proofErr w:type="gramStart"/>
      <w:r w:rsidRPr="005B7CAC">
        <w:rPr>
          <w:rFonts w:ascii="Times New Roman" w:hAnsi="Times New Roman"/>
          <w:iCs/>
          <w:sz w:val="24"/>
          <w:szCs w:val="20"/>
          <w:lang w:val="en-US"/>
        </w:rPr>
        <w:t>Financial</w:t>
      </w:r>
      <w:proofErr w:type="gramEnd"/>
      <w:r w:rsidRPr="005B7CAC">
        <w:rPr>
          <w:rFonts w:ascii="Times New Roman" w:hAnsi="Times New Roman"/>
          <w:iCs/>
          <w:sz w:val="24"/>
          <w:szCs w:val="20"/>
          <w:lang w:val="en-US"/>
        </w:rPr>
        <w:t xml:space="preserve"> distress, Green in</w:t>
      </w:r>
      <w:r w:rsidR="001A1CB2" w:rsidRPr="005B7CAC">
        <w:rPr>
          <w:rFonts w:ascii="Times New Roman" w:hAnsi="Times New Roman"/>
          <w:iCs/>
          <w:sz w:val="24"/>
          <w:szCs w:val="20"/>
          <w:lang w:val="en-US"/>
        </w:rPr>
        <w:t>itiatives</w:t>
      </w:r>
      <w:r w:rsidR="00D94B2B" w:rsidRPr="005B7CAC">
        <w:rPr>
          <w:rFonts w:ascii="Times New Roman" w:hAnsi="Times New Roman"/>
          <w:iCs/>
          <w:sz w:val="24"/>
          <w:szCs w:val="20"/>
          <w:lang w:val="en-US"/>
        </w:rPr>
        <w:t xml:space="preserve">, Climate change, </w:t>
      </w:r>
      <w:r w:rsidR="00DA29EE" w:rsidRPr="005B7CAC">
        <w:rPr>
          <w:rFonts w:ascii="Times New Roman" w:hAnsi="Times New Roman"/>
          <w:iCs/>
          <w:sz w:val="24"/>
          <w:szCs w:val="20"/>
          <w:lang w:val="en-US"/>
        </w:rPr>
        <w:t>R</w:t>
      </w:r>
      <w:r w:rsidR="00AB33B8" w:rsidRPr="005B7CAC">
        <w:rPr>
          <w:rFonts w:ascii="Times New Roman" w:hAnsi="Times New Roman"/>
          <w:iCs/>
          <w:sz w:val="24"/>
          <w:szCs w:val="20"/>
          <w:lang w:val="en-US"/>
        </w:rPr>
        <w:t>egulated environment, UK</w:t>
      </w:r>
    </w:p>
    <w:p w14:paraId="1D3853B2" w14:textId="77777777" w:rsidR="001E2CA1" w:rsidRPr="005B7CAC" w:rsidRDefault="001E2CA1" w:rsidP="003D5418">
      <w:pPr>
        <w:widowControl w:val="0"/>
        <w:autoSpaceDE w:val="0"/>
        <w:autoSpaceDN w:val="0"/>
        <w:adjustRightInd w:val="0"/>
        <w:spacing w:after="240" w:line="360" w:lineRule="auto"/>
        <w:rPr>
          <w:rFonts w:ascii="Times New Roman" w:hAnsi="Times New Roman"/>
          <w:b/>
          <w:iCs/>
          <w:sz w:val="24"/>
          <w:szCs w:val="20"/>
          <w:lang w:val="en-US"/>
        </w:rPr>
      </w:pPr>
      <w:r w:rsidRPr="005B7CAC">
        <w:rPr>
          <w:rFonts w:ascii="Times New Roman" w:hAnsi="Times New Roman"/>
          <w:b/>
          <w:iCs/>
          <w:sz w:val="24"/>
          <w:szCs w:val="20"/>
          <w:lang w:val="en-US"/>
        </w:rPr>
        <w:lastRenderedPageBreak/>
        <w:t>1. Introduction</w:t>
      </w:r>
    </w:p>
    <w:p w14:paraId="740A4D59" w14:textId="72FC86AF" w:rsidR="001E2D11" w:rsidRPr="005B7CAC" w:rsidRDefault="00943F13" w:rsidP="003D5418">
      <w:pPr>
        <w:widowControl w:val="0"/>
        <w:autoSpaceDE w:val="0"/>
        <w:autoSpaceDN w:val="0"/>
        <w:adjustRightInd w:val="0"/>
        <w:spacing w:after="240" w:line="360" w:lineRule="auto"/>
        <w:jc w:val="both"/>
        <w:rPr>
          <w:rFonts w:ascii="Times New Roman" w:hAnsi="Times New Roman"/>
          <w:bCs/>
          <w:iCs/>
          <w:sz w:val="24"/>
          <w:szCs w:val="20"/>
          <w:lang w:val="en-US"/>
        </w:rPr>
      </w:pPr>
      <w:r w:rsidRPr="005B7CAC">
        <w:rPr>
          <w:rFonts w:ascii="Times New Roman" w:hAnsi="Times New Roman"/>
          <w:bCs/>
          <w:iCs/>
          <w:sz w:val="24"/>
          <w:szCs w:val="20"/>
          <w:lang w:val="en-US"/>
        </w:rPr>
        <w:t>C</w:t>
      </w:r>
      <w:r w:rsidR="00991F6B" w:rsidRPr="005B7CAC">
        <w:rPr>
          <w:rFonts w:ascii="Times New Roman" w:hAnsi="Times New Roman"/>
          <w:bCs/>
          <w:iCs/>
          <w:sz w:val="24"/>
          <w:szCs w:val="20"/>
          <w:lang w:val="en-US"/>
        </w:rPr>
        <w:t>limate change issues are comple</w:t>
      </w:r>
      <w:r w:rsidR="001E2D11" w:rsidRPr="005B7CAC">
        <w:rPr>
          <w:rFonts w:ascii="Times New Roman" w:hAnsi="Times New Roman"/>
          <w:bCs/>
          <w:iCs/>
          <w:sz w:val="24"/>
          <w:szCs w:val="20"/>
          <w:lang w:val="en-US"/>
        </w:rPr>
        <w:t>x and multidimensional</w:t>
      </w:r>
      <w:r w:rsidR="00AA7185" w:rsidRPr="005B7CAC">
        <w:rPr>
          <w:rFonts w:ascii="Times New Roman" w:hAnsi="Times New Roman"/>
          <w:bCs/>
          <w:iCs/>
          <w:sz w:val="24"/>
          <w:szCs w:val="20"/>
          <w:lang w:val="en-US"/>
        </w:rPr>
        <w:t>,</w:t>
      </w:r>
      <w:r w:rsidR="00CC3931" w:rsidRPr="005B7CAC">
        <w:rPr>
          <w:rFonts w:ascii="Times New Roman" w:hAnsi="Times New Roman"/>
          <w:bCs/>
          <w:iCs/>
          <w:sz w:val="24"/>
          <w:szCs w:val="20"/>
          <w:lang w:val="en-US"/>
        </w:rPr>
        <w:t xml:space="preserve"> resulting from </w:t>
      </w:r>
      <w:r w:rsidR="00585745" w:rsidRPr="005B7CAC">
        <w:rPr>
          <w:rFonts w:ascii="Times New Roman" w:hAnsi="Times New Roman"/>
          <w:bCs/>
          <w:iCs/>
          <w:sz w:val="24"/>
          <w:szCs w:val="20"/>
          <w:lang w:val="en-US"/>
        </w:rPr>
        <w:t xml:space="preserve">rapidly increasing </w:t>
      </w:r>
      <w:r w:rsidR="00CC3931" w:rsidRPr="005B7CAC">
        <w:rPr>
          <w:rFonts w:ascii="Times New Roman" w:hAnsi="Times New Roman"/>
          <w:bCs/>
          <w:iCs/>
          <w:sz w:val="24"/>
          <w:szCs w:val="20"/>
          <w:lang w:val="en-US"/>
        </w:rPr>
        <w:t>carbon emissions</w:t>
      </w:r>
      <w:r w:rsidR="00585745" w:rsidRPr="005B7CAC">
        <w:rPr>
          <w:rFonts w:ascii="Times New Roman" w:hAnsi="Times New Roman"/>
          <w:bCs/>
          <w:iCs/>
          <w:sz w:val="24"/>
          <w:szCs w:val="20"/>
          <w:lang w:val="en-US"/>
        </w:rPr>
        <w:t xml:space="preserve"> an</w:t>
      </w:r>
      <w:r w:rsidR="00CC3931" w:rsidRPr="005B7CAC">
        <w:rPr>
          <w:rFonts w:ascii="Times New Roman" w:hAnsi="Times New Roman"/>
          <w:bCs/>
          <w:iCs/>
          <w:sz w:val="24"/>
          <w:szCs w:val="20"/>
          <w:lang w:val="en-US"/>
        </w:rPr>
        <w:t xml:space="preserve">d </w:t>
      </w:r>
      <w:r w:rsidR="006D4181" w:rsidRPr="005B7CAC">
        <w:rPr>
          <w:rFonts w:ascii="Times New Roman" w:hAnsi="Times New Roman"/>
          <w:bCs/>
          <w:iCs/>
          <w:sz w:val="24"/>
          <w:szCs w:val="20"/>
          <w:lang w:val="en-US"/>
        </w:rPr>
        <w:t>harmful</w:t>
      </w:r>
      <w:r w:rsidR="00CC3931" w:rsidRPr="005B7CAC">
        <w:rPr>
          <w:rFonts w:ascii="Times New Roman" w:hAnsi="Times New Roman"/>
          <w:bCs/>
          <w:iCs/>
          <w:sz w:val="24"/>
          <w:szCs w:val="20"/>
          <w:lang w:val="en-US"/>
        </w:rPr>
        <w:t xml:space="preserve"> chemicals,</w:t>
      </w:r>
      <w:r w:rsidR="00AA7185" w:rsidRPr="005B7CAC">
        <w:rPr>
          <w:rFonts w:ascii="Times New Roman" w:hAnsi="Times New Roman"/>
          <w:bCs/>
          <w:iCs/>
          <w:sz w:val="24"/>
          <w:szCs w:val="20"/>
          <w:lang w:val="en-US"/>
        </w:rPr>
        <w:t xml:space="preserve"> thus becoming a global threat to natural ecosystems and society </w:t>
      </w:r>
      <w:r w:rsidR="006D4181" w:rsidRPr="005B7CAC">
        <w:rPr>
          <w:rFonts w:ascii="Times New Roman" w:hAnsi="Times New Roman"/>
          <w:bCs/>
          <w:iCs/>
          <w:sz w:val="24"/>
          <w:szCs w:val="20"/>
          <w:lang w:val="en-US"/>
        </w:rPr>
        <w:fldChar w:fldCharType="begin" w:fldLock="1"/>
      </w:r>
      <w:r w:rsidR="006D4181" w:rsidRPr="005B7CAC">
        <w:rPr>
          <w:rFonts w:ascii="Times New Roman" w:hAnsi="Times New Roman"/>
          <w:bCs/>
          <w:iCs/>
          <w:sz w:val="24"/>
          <w:szCs w:val="20"/>
          <w:lang w:val="en-US"/>
        </w:rPr>
        <w:instrText>ADDIN CSL_CITATION {"citationItems":[{"id":"ITEM-1","itemData":{"ISSN":"0040-1625","author":[{"dropping-particle":"","family":"Konadu","given":"Renata","non-dropping-particle":"","parse-names":false,"suffix":""},{"dropping-particle":"","family":"Ahinful","given":"Gabriel Sam","non-dropping-particle":"","parse-names":false,"suffix":""},{"dropping-particle":"","family":"Boakye","given":"Danquah Jeff","non-dropping-particle":"","parse-names":false,"suffix":""},{"dropping-particle":"","family":"Elbardan","given":"Hany","non-dropping-particle":"","parse-names":false,"suffix":""}],"container-title":"Technological Forecasting and Social Change","id":"ITEM-1","issued":{"date-parts":[["2022"]]},"page":"121279","title":"Board gender diversity, environmental innovation and corporate carbon emissions","type":"article-journal","volume":"174"},"uris":["http://www.mendeley.com/documents/?uuid=a83b27ed-cc56-32e1-a88f-2808649048ed"]},{"id":"ITEM-2","itemData":{"DOI":"10.1002/bse.3589","ISSN":"10990836","abstract":"Prior studies have reported an association between corporate waste management practices and certain board attributes, but none have focused on foreign directors. Therefore, we examine foreign directors' contributions to firms' waste management by exclusively focusing on waste reduction and recycling. Furthermore, we explore an important channel through which foreign directors spur better waste management, namely, eco-innovation. Drawing on 6891 observations affiliated with 9 sectors and 46 countries, we execute country, industry and year fixed-effects regression analysis. We find that while foreign directors on the board are negatively associated with waste generation, they are positively associated with waste recycling. Furthermore, while the eco-innovativeness of firms negatively moderates the association between foreign directors on the board and waste generation, it positively moderates the association between foreign directors on the board and waste recycling. Further channel analyses reveal more insights concerning polluting versus non-polluting and poor versus strong regulatory environments.","author":[{"dropping-particle":"","family":"Uyar","given":"Ali","non-dropping-particle":"","parse-names":false,"suffix":""},{"dropping-particle":"","family":"Al-Shaer","given":"Habiba","non-dropping-particle":"","parse-names":false,"suffix":""},{"dropping-particle":"","family":"Kuzey","given":"Cemil","non-dropping-particle":"","parse-names":false,"suffix":""},{"dropping-particle":"","family":"Karaman","given":"Abdullah S.","non-dropping-particle":"","parse-names":false,"suffix":""}],"container-title":"Business Strategy and the Environment","id":"ITEM-2","issued":{"date-parts":[["2023"]]},"page":"1-26","title":"Do foreign directors reinforce better waste management? The moderating role of eco-innovation","type":"article-journal"},"uris":["http://www.mendeley.com/documents/?uuid=2181dd7a-598d-44fd-b252-f31fe5b3ae59"]}],"mendeley":{"formattedCitation":"(Konadu &lt;i&gt;et al.&lt;/i&gt;, 2022; Uyar &lt;i&gt;et al.&lt;/i&gt;, 2023)","plainTextFormattedCitation":"(Konadu et al., 2022; Uyar et al., 2023)","previouslyFormattedCitation":"(Konadu &lt;i&gt;et al.&lt;/i&gt;, 2022; Uyar &lt;i&gt;et al.&lt;/i&gt;, 2023)"},"properties":{"noteIndex":0},"schema":"https://github.com/citation-style-language/schema/raw/master/csl-citation.json"}</w:instrText>
      </w:r>
      <w:r w:rsidR="006D4181" w:rsidRPr="005B7CAC">
        <w:rPr>
          <w:rFonts w:ascii="Times New Roman" w:hAnsi="Times New Roman"/>
          <w:bCs/>
          <w:iCs/>
          <w:sz w:val="24"/>
          <w:szCs w:val="20"/>
          <w:lang w:val="en-US"/>
        </w:rPr>
        <w:fldChar w:fldCharType="separate"/>
      </w:r>
      <w:r w:rsidR="006D4181" w:rsidRPr="005B7CAC">
        <w:rPr>
          <w:rFonts w:ascii="Times New Roman" w:hAnsi="Times New Roman"/>
          <w:bCs/>
          <w:iCs/>
          <w:noProof/>
          <w:sz w:val="24"/>
          <w:szCs w:val="20"/>
          <w:lang w:val="en-US"/>
        </w:rPr>
        <w:t xml:space="preserve">(Konadu </w:t>
      </w:r>
      <w:r w:rsidR="006D4181" w:rsidRPr="005B7CAC">
        <w:rPr>
          <w:rFonts w:ascii="Times New Roman" w:hAnsi="Times New Roman"/>
          <w:bCs/>
          <w:i/>
          <w:iCs/>
          <w:noProof/>
          <w:sz w:val="24"/>
          <w:szCs w:val="20"/>
          <w:lang w:val="en-US"/>
        </w:rPr>
        <w:t>et al.</w:t>
      </w:r>
      <w:r w:rsidR="006D4181" w:rsidRPr="005B7CAC">
        <w:rPr>
          <w:rFonts w:ascii="Times New Roman" w:hAnsi="Times New Roman"/>
          <w:bCs/>
          <w:iCs/>
          <w:noProof/>
          <w:sz w:val="24"/>
          <w:szCs w:val="20"/>
          <w:lang w:val="en-US"/>
        </w:rPr>
        <w:t xml:space="preserve">, 2022; Uyar </w:t>
      </w:r>
      <w:r w:rsidR="006D4181" w:rsidRPr="005B7CAC">
        <w:rPr>
          <w:rFonts w:ascii="Times New Roman" w:hAnsi="Times New Roman"/>
          <w:bCs/>
          <w:i/>
          <w:iCs/>
          <w:noProof/>
          <w:sz w:val="24"/>
          <w:szCs w:val="20"/>
          <w:lang w:val="en-US"/>
        </w:rPr>
        <w:t>et al.</w:t>
      </w:r>
      <w:r w:rsidR="006D4181" w:rsidRPr="005B7CAC">
        <w:rPr>
          <w:rFonts w:ascii="Times New Roman" w:hAnsi="Times New Roman"/>
          <w:bCs/>
          <w:iCs/>
          <w:noProof/>
          <w:sz w:val="24"/>
          <w:szCs w:val="20"/>
          <w:lang w:val="en-US"/>
        </w:rPr>
        <w:t>, 2023)</w:t>
      </w:r>
      <w:r w:rsidR="006D4181" w:rsidRPr="005B7CAC">
        <w:rPr>
          <w:rFonts w:ascii="Times New Roman" w:hAnsi="Times New Roman"/>
          <w:bCs/>
          <w:iCs/>
          <w:sz w:val="24"/>
          <w:szCs w:val="20"/>
          <w:lang w:val="en-US"/>
        </w:rPr>
        <w:fldChar w:fldCharType="end"/>
      </w:r>
      <w:r w:rsidRPr="005B7CAC">
        <w:rPr>
          <w:rFonts w:ascii="Times New Roman" w:hAnsi="Times New Roman"/>
          <w:bCs/>
          <w:iCs/>
          <w:sz w:val="24"/>
          <w:szCs w:val="20"/>
          <w:lang w:val="en-US"/>
        </w:rPr>
        <w:t>.</w:t>
      </w:r>
      <w:r w:rsidR="00CC3931" w:rsidRPr="005B7CAC">
        <w:rPr>
          <w:rFonts w:ascii="Times New Roman" w:hAnsi="Times New Roman"/>
          <w:bCs/>
          <w:iCs/>
          <w:sz w:val="24"/>
          <w:szCs w:val="20"/>
          <w:lang w:val="en-US"/>
        </w:rPr>
        <w:t xml:space="preserve"> </w:t>
      </w:r>
      <w:r w:rsidR="006D4181" w:rsidRPr="005B7CAC">
        <w:rPr>
          <w:rFonts w:ascii="Times New Roman" w:hAnsi="Times New Roman"/>
          <w:bCs/>
          <w:iCs/>
          <w:sz w:val="24"/>
          <w:szCs w:val="20"/>
          <w:lang w:val="en-US"/>
        </w:rPr>
        <w:t>With increasing levels of waste</w:t>
      </w:r>
      <w:r w:rsidR="00DD0EDD" w:rsidRPr="005B7CAC">
        <w:rPr>
          <w:rFonts w:ascii="Times New Roman" w:hAnsi="Times New Roman"/>
          <w:bCs/>
          <w:iCs/>
          <w:sz w:val="24"/>
          <w:szCs w:val="20"/>
          <w:lang w:val="en-US"/>
        </w:rPr>
        <w:t xml:space="preserve"> </w:t>
      </w:r>
      <w:r w:rsidR="006D4181" w:rsidRPr="005B7CAC">
        <w:rPr>
          <w:rFonts w:ascii="Times New Roman" w:hAnsi="Times New Roman"/>
          <w:bCs/>
          <w:iCs/>
          <w:sz w:val="24"/>
          <w:szCs w:val="20"/>
          <w:lang w:val="en-US"/>
        </w:rPr>
        <w:t xml:space="preserve">around the globe, the situation has worsened even more </w:t>
      </w:r>
      <w:r w:rsidR="001B25D5" w:rsidRPr="005B7CAC">
        <w:rPr>
          <w:rFonts w:ascii="Times New Roman" w:hAnsi="Times New Roman"/>
          <w:bCs/>
          <w:iCs/>
          <w:sz w:val="24"/>
          <w:szCs w:val="20"/>
          <w:lang w:val="en-US"/>
        </w:rPr>
        <w:fldChar w:fldCharType="begin" w:fldLock="1"/>
      </w:r>
      <w:r w:rsidR="0050174D" w:rsidRPr="005B7CAC">
        <w:rPr>
          <w:rFonts w:ascii="Times New Roman" w:hAnsi="Times New Roman"/>
          <w:bCs/>
          <w:iCs/>
          <w:sz w:val="24"/>
          <w:szCs w:val="20"/>
          <w:lang w:val="en-US"/>
        </w:rPr>
        <w:instrText>ADDIN CSL_CITATION {"citationItems":[{"id":"ITEM-1","itemData":{"DOI":"10.1016/J.BAR.2022.101097","ISSN":"0890-8389","author":[{"dropping-particle":"","family":"Gull","given":"Ammar Ali","non-dropping-particle":"","parse-names":false,"suffix":""},{"dropping-particle":"","family":"Atif","given":"Muhammad","non-dropping-particle":"","parse-names":false,"suffix":""},{"dropping-particle":"","family":"Hussain","given":"Nazim","non-dropping-particle":"","parse-names":false,"suffix":""}],"container-title":"The British Accounting Review","id":"ITEM-1","issue":"1","issued":{"date-parts":[["2022","4","19"]]},"page":"101097","title":"Board gender composition and waste management: Cross-country evidence","type":"article-journal","volume":"55"},"uris":["http://www.mendeley.com/documents/?uuid=998cc938-d7d9-3a14-90d5-d3f26977d6e8"]},{"id":"ITEM-2","itemData":{"DOI":"10.1111/corg.12567","ISSN":"14678683","abstract":"Research Question/Issue: We investigate the impact of board co-option on corporate environmental orientation from the perspective of waste management. As waste presents damaging effects on the natural environment, climate change, and human health, businesses assume an ethical responsibility to conduct their operations in a sustainable and responsible manner. Research Findings/Insights: Employing firm-level waste production data, we document a significant negative relationship between board co-option and waste generation, suggesting that co-opted directors help firms reduce their waste—a finding that also carries economic significance. The cross-sectional analyses reveal that the relationship only holds when a CEO does not chair the board and has a shorter tenure. Furthermore, we find that the board co-option–waste management relationship is stronger in environmentally sensitive industries and is mainly driven by the manufacturing firms. We perform a battery of analyses to rule out endogeneity concerns and check for the robustness of our results. The channel test reveals that CEOs of firms with higher waste management face lower performance-induced turnover, particularly when working with co-opted boards. Finally, we also find that co-option-induced waste management initiatives ultimately increase firms' economic value. Theoretical/Academic Implications: We document that co-opted boards may enhance firms' waste management practices by reducing performance-induced CEO turnover. Thus, we make important contributions to the corporate governance and environmentalism strands of the literature by highlighting the bright side of board co-option for waste reduction initiatives. Practitioner/Policy Implications: Our study provides vital policy implications for regulators and top management teams against the background of public outcry and social pressure to mitigate the damage to the environment and calls for ethical business practices.","author":[{"dropping-particle":"","family":"Gull","given":"Ammar Ali","non-dropping-particle":"","parse-names":false,"suffix":""},{"dropping-particle":"","family":"Luong","given":"Hoa","non-dropping-particle":"","parse-names":false,"suffix":""},{"dropping-particle":"","family":"Nadeem","given":"Muhammad","non-dropping-particle":"","parse-names":false,"suffix":""}],"container-title":"Corporate Governance: An International Review","id":"ITEM-2","issue":"5","issued":{"date-parts":[["2024"]]},"page":"758-785","title":"Board co-option and corporate environmental orientation: New insights from the waste management perspective","type":"article-journal","volume":"32"},"uris":["http://www.mendeley.com/documents/?uuid=026a1573-02d3-3c09-a2bc-ed265df5423b"]}],"mendeley":{"formattedCitation":"(Gull, Atif and Hussain, 2022; Gull &lt;i&gt;et al.&lt;/i&gt;, 2024)","manualFormatting":"(Gull et al., 2022b; Gull et al., 2024)","plainTextFormattedCitation":"(Gull, Atif and Hussain, 2022; Gull et al., 2024)","previouslyFormattedCitation":"(Gull, Atif and Hussain, 2022; Gull &lt;i&gt;et al.&lt;/i&gt;, 2024)"},"properties":{"noteIndex":0},"schema":"https://github.com/citation-style-language/schema/raw/master/csl-citation.json"}</w:instrText>
      </w:r>
      <w:r w:rsidR="001B25D5" w:rsidRPr="005B7CAC">
        <w:rPr>
          <w:rFonts w:ascii="Times New Roman" w:hAnsi="Times New Roman"/>
          <w:bCs/>
          <w:iCs/>
          <w:sz w:val="24"/>
          <w:szCs w:val="20"/>
          <w:lang w:val="en-US"/>
        </w:rPr>
        <w:fldChar w:fldCharType="separate"/>
      </w:r>
      <w:r w:rsidR="00302318" w:rsidRPr="005B7CAC">
        <w:rPr>
          <w:rFonts w:ascii="Times New Roman" w:hAnsi="Times New Roman"/>
          <w:bCs/>
          <w:iCs/>
          <w:noProof/>
          <w:sz w:val="24"/>
          <w:szCs w:val="20"/>
          <w:lang w:val="en-US"/>
        </w:rPr>
        <w:t>(Gull</w:t>
      </w:r>
      <w:r w:rsidR="00285B03" w:rsidRPr="005B7CAC">
        <w:rPr>
          <w:rFonts w:ascii="Times New Roman" w:hAnsi="Times New Roman"/>
          <w:bCs/>
          <w:iCs/>
          <w:noProof/>
          <w:sz w:val="24"/>
          <w:szCs w:val="20"/>
          <w:lang w:val="en-US"/>
        </w:rPr>
        <w:t xml:space="preserve"> </w:t>
      </w:r>
      <w:r w:rsidR="00285B03" w:rsidRPr="005B7CAC">
        <w:rPr>
          <w:rFonts w:ascii="Times New Roman" w:hAnsi="Times New Roman"/>
          <w:bCs/>
          <w:i/>
          <w:noProof/>
          <w:sz w:val="24"/>
          <w:szCs w:val="20"/>
          <w:lang w:val="en-US"/>
        </w:rPr>
        <w:t>et al.</w:t>
      </w:r>
      <w:r w:rsidR="00302318" w:rsidRPr="005B7CAC">
        <w:rPr>
          <w:rFonts w:ascii="Times New Roman" w:hAnsi="Times New Roman"/>
          <w:bCs/>
          <w:iCs/>
          <w:noProof/>
          <w:sz w:val="24"/>
          <w:szCs w:val="20"/>
          <w:lang w:val="en-US"/>
        </w:rPr>
        <w:t>, 2022</w:t>
      </w:r>
      <w:r w:rsidR="00285B03" w:rsidRPr="005B7CAC">
        <w:rPr>
          <w:rFonts w:ascii="Times New Roman" w:hAnsi="Times New Roman"/>
          <w:bCs/>
          <w:iCs/>
          <w:noProof/>
          <w:sz w:val="24"/>
          <w:szCs w:val="20"/>
          <w:lang w:val="en-US"/>
        </w:rPr>
        <w:t>b</w:t>
      </w:r>
      <w:r w:rsidR="00302318" w:rsidRPr="005B7CAC">
        <w:rPr>
          <w:rFonts w:ascii="Times New Roman" w:hAnsi="Times New Roman"/>
          <w:bCs/>
          <w:iCs/>
          <w:noProof/>
          <w:sz w:val="24"/>
          <w:szCs w:val="20"/>
          <w:lang w:val="en-US"/>
        </w:rPr>
        <w:t xml:space="preserve">; Gull </w:t>
      </w:r>
      <w:r w:rsidR="00302318" w:rsidRPr="005B7CAC">
        <w:rPr>
          <w:rFonts w:ascii="Times New Roman" w:hAnsi="Times New Roman"/>
          <w:bCs/>
          <w:i/>
          <w:iCs/>
          <w:noProof/>
          <w:sz w:val="24"/>
          <w:szCs w:val="20"/>
          <w:lang w:val="en-US"/>
        </w:rPr>
        <w:t>et al.</w:t>
      </w:r>
      <w:r w:rsidR="00302318" w:rsidRPr="005B7CAC">
        <w:rPr>
          <w:rFonts w:ascii="Times New Roman" w:hAnsi="Times New Roman"/>
          <w:bCs/>
          <w:iCs/>
          <w:noProof/>
          <w:sz w:val="24"/>
          <w:szCs w:val="20"/>
          <w:lang w:val="en-US"/>
        </w:rPr>
        <w:t>, 2024)</w:t>
      </w:r>
      <w:r w:rsidR="001B25D5" w:rsidRPr="005B7CAC">
        <w:rPr>
          <w:rFonts w:ascii="Times New Roman" w:hAnsi="Times New Roman"/>
          <w:bCs/>
          <w:iCs/>
          <w:sz w:val="24"/>
          <w:szCs w:val="20"/>
          <w:lang w:val="en-US"/>
        </w:rPr>
        <w:fldChar w:fldCharType="end"/>
      </w:r>
      <w:r w:rsidR="00CC3931" w:rsidRPr="005B7CAC">
        <w:rPr>
          <w:rFonts w:ascii="Times New Roman" w:hAnsi="Times New Roman"/>
          <w:bCs/>
          <w:iCs/>
          <w:sz w:val="24"/>
          <w:szCs w:val="20"/>
          <w:lang w:val="en-US"/>
        </w:rPr>
        <w:t>.</w:t>
      </w:r>
      <w:r w:rsidR="00585745" w:rsidRPr="005B7CAC">
        <w:rPr>
          <w:rFonts w:ascii="Times New Roman" w:hAnsi="Times New Roman"/>
          <w:bCs/>
          <w:iCs/>
          <w:sz w:val="24"/>
          <w:szCs w:val="20"/>
          <w:lang w:val="en-US"/>
        </w:rPr>
        <w:t xml:space="preserve"> </w:t>
      </w:r>
      <w:r w:rsidR="001B25D5" w:rsidRPr="005B7CAC">
        <w:rPr>
          <w:rFonts w:ascii="Times New Roman" w:hAnsi="Times New Roman"/>
          <w:bCs/>
          <w:iCs/>
          <w:sz w:val="24"/>
          <w:szCs w:val="20"/>
          <w:lang w:val="en-US"/>
        </w:rPr>
        <w:t>As</w:t>
      </w:r>
      <w:r w:rsidR="00F7660D" w:rsidRPr="005B7CAC">
        <w:rPr>
          <w:rFonts w:ascii="Times New Roman" w:hAnsi="Times New Roman"/>
          <w:bCs/>
          <w:iCs/>
          <w:sz w:val="24"/>
          <w:szCs w:val="20"/>
          <w:lang w:val="en-US"/>
        </w:rPr>
        <w:t xml:space="preserve"> a major contributor to climate change, </w:t>
      </w:r>
      <w:r w:rsidR="001B25D5" w:rsidRPr="005B7CAC">
        <w:rPr>
          <w:rFonts w:ascii="Times New Roman" w:hAnsi="Times New Roman"/>
          <w:bCs/>
          <w:iCs/>
          <w:sz w:val="24"/>
          <w:szCs w:val="20"/>
          <w:lang w:val="en-US"/>
        </w:rPr>
        <w:t>businesses</w:t>
      </w:r>
      <w:r w:rsidR="00F7660D" w:rsidRPr="005B7CAC">
        <w:rPr>
          <w:rFonts w:ascii="Times New Roman" w:hAnsi="Times New Roman"/>
          <w:bCs/>
          <w:iCs/>
          <w:sz w:val="24"/>
          <w:szCs w:val="20"/>
          <w:lang w:val="en-US"/>
        </w:rPr>
        <w:t xml:space="preserve"> are the main sources of increasing waste levels</w:t>
      </w:r>
      <w:r w:rsidR="00553BB7" w:rsidRPr="005B7CAC">
        <w:rPr>
          <w:rFonts w:ascii="Times New Roman" w:hAnsi="Times New Roman"/>
          <w:bCs/>
          <w:iCs/>
          <w:sz w:val="24"/>
          <w:szCs w:val="20"/>
          <w:lang w:val="en-US"/>
        </w:rPr>
        <w:t xml:space="preserve"> </w:t>
      </w:r>
      <w:r w:rsidR="00F7660D" w:rsidRPr="005B7CAC">
        <w:rPr>
          <w:rFonts w:ascii="Times New Roman" w:hAnsi="Times New Roman"/>
          <w:bCs/>
          <w:iCs/>
          <w:sz w:val="24"/>
          <w:szCs w:val="20"/>
          <w:lang w:val="en-US"/>
        </w:rPr>
        <w:t>worldwide</w:t>
      </w:r>
      <w:r w:rsidR="00751397" w:rsidRPr="005B7CAC">
        <w:rPr>
          <w:rFonts w:ascii="Times New Roman" w:hAnsi="Times New Roman"/>
          <w:bCs/>
          <w:iCs/>
          <w:sz w:val="24"/>
          <w:szCs w:val="20"/>
          <w:lang w:val="en-US"/>
        </w:rPr>
        <w:t xml:space="preserve"> </w:t>
      </w:r>
      <w:r w:rsidR="004F5FD9" w:rsidRPr="005B7CAC">
        <w:rPr>
          <w:rFonts w:ascii="Times New Roman" w:hAnsi="Times New Roman"/>
          <w:bCs/>
          <w:iCs/>
          <w:sz w:val="24"/>
          <w:szCs w:val="20"/>
          <w:lang w:val="en-US"/>
        </w:rPr>
        <w:fldChar w:fldCharType="begin" w:fldLock="1"/>
      </w:r>
      <w:r w:rsidR="004F5FD9" w:rsidRPr="005B7CAC">
        <w:rPr>
          <w:rFonts w:ascii="Times New Roman" w:hAnsi="Times New Roman"/>
          <w:bCs/>
          <w:iCs/>
          <w:sz w:val="24"/>
          <w:szCs w:val="20"/>
          <w:lang w:val="en-US"/>
        </w:rPr>
        <w:instrText>ADDIN CSL_CITATION {"citationItems":[{"id":"ITEM-1","itemData":{"DOI":"10.1002/bse.3589","ISSN":"10990836","abstract":"Prior studies have reported an association between corporate waste management practices and certain board attributes, but none have focused on foreign directors. Therefore, we examine foreign directors' contributions to firms' waste management by exclusively focusing on waste reduction and recycling. Furthermore, we explore an important channel through which foreign directors spur better waste management, namely, eco-innovation. Drawing on 6891 observations affiliated with 9 sectors and 46 countries, we execute country, industry and year fixed-effects regression analysis. We find that while foreign directors on the board are negatively associated with waste generation, they are positively associated with waste recycling. Furthermore, while the eco-innovativeness of firms negatively moderates the association between foreign directors on the board and waste generation, it positively moderates the association between foreign directors on the board and waste recycling. Further channel analyses reveal more insights concerning polluting versus non-polluting and poor versus strong regulatory environments.","author":[{"dropping-particle":"","family":"Uyar","given":"Ali","non-dropping-particle":"","parse-names":false,"suffix":""},{"dropping-particle":"","family":"Al-Shaer","given":"Habiba","non-dropping-particle":"","parse-names":false,"suffix":""},{"dropping-particle":"","family":"Kuzey","given":"Cemil","non-dropping-particle":"","parse-names":false,"suffix":""},{"dropping-particle":"","family":"Karaman","given":"Abdullah S.","non-dropping-particle":"","parse-names":false,"suffix":""}],"container-title":"Business Strategy and the Environment","id":"ITEM-1","issued":{"date-parts":[["2023"]]},"page":"1-26","title":"Do foreign directors reinforce better waste management? The moderating role of eco-innovation","type":"article-journal"},"uris":["http://www.mendeley.com/documents/?uuid=2181dd7a-598d-44fd-b252-f31fe5b3ae59"]}],"mendeley":{"formattedCitation":"(Uyar &lt;i&gt;et al.&lt;/i&gt;, 2023)","plainTextFormattedCitation":"(Uyar et al., 2023)","previouslyFormattedCitation":"(Uyar &lt;i&gt;et al.&lt;/i&gt;, 2023)"},"properties":{"noteIndex":0},"schema":"https://github.com/citation-style-language/schema/raw/master/csl-citation.json"}</w:instrText>
      </w:r>
      <w:r w:rsidR="004F5FD9" w:rsidRPr="005B7CAC">
        <w:rPr>
          <w:rFonts w:ascii="Times New Roman" w:hAnsi="Times New Roman"/>
          <w:bCs/>
          <w:iCs/>
          <w:sz w:val="24"/>
          <w:szCs w:val="20"/>
          <w:lang w:val="en-US"/>
        </w:rPr>
        <w:fldChar w:fldCharType="separate"/>
      </w:r>
      <w:r w:rsidR="006D4181" w:rsidRPr="005B7CAC">
        <w:rPr>
          <w:rFonts w:ascii="Times New Roman" w:hAnsi="Times New Roman"/>
          <w:bCs/>
          <w:iCs/>
          <w:noProof/>
          <w:sz w:val="24"/>
          <w:szCs w:val="20"/>
          <w:lang w:val="en-US"/>
        </w:rPr>
        <w:t xml:space="preserve">(Uyar </w:t>
      </w:r>
      <w:r w:rsidR="006D4181" w:rsidRPr="005B7CAC">
        <w:rPr>
          <w:rFonts w:ascii="Times New Roman" w:hAnsi="Times New Roman"/>
          <w:bCs/>
          <w:i/>
          <w:iCs/>
          <w:noProof/>
          <w:sz w:val="24"/>
          <w:szCs w:val="20"/>
          <w:lang w:val="en-US"/>
        </w:rPr>
        <w:t>et al.</w:t>
      </w:r>
      <w:r w:rsidR="006D4181" w:rsidRPr="005B7CAC">
        <w:rPr>
          <w:rFonts w:ascii="Times New Roman" w:hAnsi="Times New Roman"/>
          <w:bCs/>
          <w:iCs/>
          <w:noProof/>
          <w:sz w:val="24"/>
          <w:szCs w:val="20"/>
          <w:lang w:val="en-US"/>
        </w:rPr>
        <w:t>, 2023)</w:t>
      </w:r>
      <w:r w:rsidR="004F5FD9" w:rsidRPr="005B7CAC">
        <w:rPr>
          <w:rFonts w:ascii="Times New Roman" w:hAnsi="Times New Roman"/>
          <w:bCs/>
          <w:iCs/>
          <w:sz w:val="24"/>
          <w:szCs w:val="20"/>
          <w:lang w:val="en-US"/>
        </w:rPr>
        <w:fldChar w:fldCharType="end"/>
      </w:r>
      <w:r w:rsidR="00C90660" w:rsidRPr="005B7CAC">
        <w:rPr>
          <w:rFonts w:ascii="Times New Roman" w:hAnsi="Times New Roman"/>
          <w:bCs/>
          <w:iCs/>
          <w:sz w:val="24"/>
          <w:szCs w:val="20"/>
          <w:lang w:val="en-US"/>
        </w:rPr>
        <w:t xml:space="preserve"> and </w:t>
      </w:r>
      <w:r w:rsidR="00A95286" w:rsidRPr="005B7CAC">
        <w:rPr>
          <w:rFonts w:ascii="Times New Roman" w:hAnsi="Times New Roman"/>
          <w:bCs/>
          <w:iCs/>
          <w:sz w:val="24"/>
          <w:szCs w:val="20"/>
          <w:lang w:val="en-US"/>
        </w:rPr>
        <w:t xml:space="preserve">also play a key role in </w:t>
      </w:r>
      <w:r w:rsidR="001B25D5" w:rsidRPr="005B7CAC">
        <w:rPr>
          <w:rFonts w:ascii="Times New Roman" w:hAnsi="Times New Roman"/>
          <w:bCs/>
          <w:iCs/>
          <w:sz w:val="24"/>
          <w:szCs w:val="20"/>
          <w:lang w:val="en-US"/>
        </w:rPr>
        <w:t xml:space="preserve">either </w:t>
      </w:r>
      <w:r w:rsidR="00A95286" w:rsidRPr="005B7CAC">
        <w:rPr>
          <w:rFonts w:ascii="Times New Roman" w:hAnsi="Times New Roman"/>
          <w:bCs/>
          <w:iCs/>
          <w:sz w:val="24"/>
          <w:szCs w:val="20"/>
          <w:lang w:val="en-US"/>
        </w:rPr>
        <w:t xml:space="preserve">protecting or </w:t>
      </w:r>
      <w:r w:rsidR="001B25D5" w:rsidRPr="005B7CAC">
        <w:rPr>
          <w:rFonts w:ascii="Times New Roman" w:hAnsi="Times New Roman"/>
          <w:bCs/>
          <w:iCs/>
          <w:sz w:val="24"/>
          <w:szCs w:val="20"/>
          <w:lang w:val="en-US"/>
        </w:rPr>
        <w:t>harming</w:t>
      </w:r>
      <w:r w:rsidR="00A95286" w:rsidRPr="005B7CAC">
        <w:rPr>
          <w:rFonts w:ascii="Times New Roman" w:hAnsi="Times New Roman"/>
          <w:bCs/>
          <w:iCs/>
          <w:sz w:val="24"/>
          <w:szCs w:val="20"/>
          <w:lang w:val="en-US"/>
        </w:rPr>
        <w:t xml:space="preserve"> the environment</w:t>
      </w:r>
      <w:r w:rsidR="001B25D5" w:rsidRPr="005B7CAC">
        <w:rPr>
          <w:rFonts w:ascii="Times New Roman" w:hAnsi="Times New Roman"/>
          <w:bCs/>
          <w:iCs/>
          <w:sz w:val="24"/>
          <w:szCs w:val="20"/>
          <w:lang w:val="en-US"/>
        </w:rPr>
        <w:t xml:space="preserve"> </w:t>
      </w:r>
      <w:r w:rsidR="000141FE" w:rsidRPr="005B7CAC">
        <w:rPr>
          <w:rFonts w:ascii="Times New Roman" w:hAnsi="Times New Roman"/>
          <w:bCs/>
          <w:iCs/>
          <w:sz w:val="24"/>
          <w:szCs w:val="20"/>
          <w:lang w:val="en-US"/>
        </w:rPr>
        <w:fldChar w:fldCharType="begin" w:fldLock="1"/>
      </w:r>
      <w:r w:rsidR="000141FE" w:rsidRPr="005B7CAC">
        <w:rPr>
          <w:rFonts w:ascii="Times New Roman" w:hAnsi="Times New Roman"/>
          <w:bCs/>
          <w:iCs/>
          <w:sz w:val="24"/>
          <w:szCs w:val="20"/>
          <w:lang w:val="en-US"/>
        </w:rPr>
        <w:instrText>ADDIN CSL_CITATION {"citationItems":[{"id":"ITEM-1","itemData":{"DOI":"10.1108/MEDAR-04-2021-1261","ISSN":"20493738","abstract":"Purpose: This paper aims to examine the association between environmental disclosure and waste performance. Design/methodology/approach: This study is based on a sample of S&amp;P 500 firms over a nine-year period from 2010 to 2018. The pooled ordinary least squares (OLS), logistic, propensity score matching (PSM) and instrumental variable-generalized method of moments regressions analyses have been used to examine the data. Findings: The findings show a significant positive relationship between waste performance and environmental disclosure, suggesting that firms with superior waste performance tend to disclose more environmental information. Further, the authors distinguish between “hard” and “soft” environmental disclosures and find that the effect of waste performance is consistently positive and significant for each type. The observed positive and significant association of waste performance with environmental disclosure remains unchanged, regardless of the industry affiliation of firms, although firms from industries that are less environmentally sensitive provide a slightly higher level of environmental disclosure. The authors also explore possible channels that may explain the association between waste performance and environmental disclosure and find that litigation risk and cash holdings positively moderate the association. The finding remains robust to a number of alternative estimation approaches. Originality/value: Overall, the authors present important evidence that waste performance is an important indicator of environmental disclosure. The findings are useful for corporations and stakeholders and have important implications around the globe as the authors continue to grapple with the ongoing issue of waste.","author":[{"dropping-particle":"","family":"Benjamin","given":"Samuel Jebaraj","non-dropping-particle":"","parse-names":false,"suffix":""},{"dropping-particle":"","family":"Biswas","given":"Pallab Kumar","non-dropping-particle":"","parse-names":false,"suffix":""},{"dropping-particle":"","family":"Wellalage","given":"Nirosha Hewa","non-dropping-particle":"","parse-names":false,"suffix":""},{"dropping-particle":"","family":"Man","given":"Yimei","non-dropping-particle":"","parse-names":false,"suffix":""}],"container-title":"Meditari Accountancy Research","id":"ITEM-1","issue":"6","issued":{"date-parts":[["2023"]]},"page":"1545-1577","title":"Environmental disclosure and its relation to waste performance","type":"article-journal","volume":"31"},"uris":["http://www.mendeley.com/documents/?uuid=b70fc458-6b65-35e9-ad2f-0d0cf56910d4"]}],"mendeley":{"formattedCitation":"(Benjamin &lt;i&gt;et al.&lt;/i&gt;, 2023)","plainTextFormattedCitation":"(Benjamin et al., 2023)","previouslyFormattedCitation":"(Benjamin &lt;i&gt;et al.&lt;/i&gt;, 2023)"},"properties":{"noteIndex":0},"schema":"https://github.com/citation-style-language/schema/raw/master/csl-citation.json"}</w:instrText>
      </w:r>
      <w:r w:rsidR="000141FE" w:rsidRPr="005B7CAC">
        <w:rPr>
          <w:rFonts w:ascii="Times New Roman" w:hAnsi="Times New Roman"/>
          <w:bCs/>
          <w:iCs/>
          <w:sz w:val="24"/>
          <w:szCs w:val="20"/>
          <w:lang w:val="en-US"/>
        </w:rPr>
        <w:fldChar w:fldCharType="separate"/>
      </w:r>
      <w:r w:rsidR="001B25D5" w:rsidRPr="005B7CAC">
        <w:rPr>
          <w:rFonts w:ascii="Times New Roman" w:hAnsi="Times New Roman"/>
          <w:bCs/>
          <w:iCs/>
          <w:noProof/>
          <w:sz w:val="24"/>
          <w:szCs w:val="20"/>
          <w:lang w:val="en-US"/>
        </w:rPr>
        <w:t xml:space="preserve">(Benjamin </w:t>
      </w:r>
      <w:r w:rsidR="001B25D5" w:rsidRPr="005B7CAC">
        <w:rPr>
          <w:rFonts w:ascii="Times New Roman" w:hAnsi="Times New Roman"/>
          <w:bCs/>
          <w:i/>
          <w:iCs/>
          <w:noProof/>
          <w:sz w:val="24"/>
          <w:szCs w:val="20"/>
          <w:lang w:val="en-US"/>
        </w:rPr>
        <w:t>et al.</w:t>
      </w:r>
      <w:r w:rsidR="001B25D5" w:rsidRPr="005B7CAC">
        <w:rPr>
          <w:rFonts w:ascii="Times New Roman" w:hAnsi="Times New Roman"/>
          <w:bCs/>
          <w:iCs/>
          <w:noProof/>
          <w:sz w:val="24"/>
          <w:szCs w:val="20"/>
          <w:lang w:val="en-US"/>
        </w:rPr>
        <w:t>, 2023)</w:t>
      </w:r>
      <w:r w:rsidR="000141FE" w:rsidRPr="005B7CAC">
        <w:rPr>
          <w:rFonts w:ascii="Times New Roman" w:hAnsi="Times New Roman"/>
          <w:bCs/>
          <w:iCs/>
          <w:sz w:val="24"/>
          <w:szCs w:val="20"/>
          <w:lang w:val="en-US"/>
        </w:rPr>
        <w:fldChar w:fldCharType="end"/>
      </w:r>
      <w:r w:rsidR="00F7660D" w:rsidRPr="005B7CAC">
        <w:rPr>
          <w:rFonts w:ascii="Times New Roman" w:hAnsi="Times New Roman"/>
          <w:bCs/>
          <w:iCs/>
          <w:sz w:val="24"/>
          <w:szCs w:val="20"/>
          <w:lang w:val="en-US"/>
        </w:rPr>
        <w:t>.</w:t>
      </w:r>
      <w:r w:rsidR="001B25D5" w:rsidRPr="005B7CAC">
        <w:rPr>
          <w:rFonts w:ascii="Times New Roman" w:hAnsi="Times New Roman"/>
          <w:bCs/>
          <w:iCs/>
          <w:sz w:val="24"/>
          <w:szCs w:val="20"/>
          <w:lang w:val="en-US"/>
        </w:rPr>
        <w:t xml:space="preserve"> </w:t>
      </w:r>
      <w:r w:rsidR="00DD0EDD" w:rsidRPr="005B7CAC">
        <w:rPr>
          <w:rFonts w:ascii="Times New Roman" w:hAnsi="Times New Roman"/>
          <w:bCs/>
          <w:iCs/>
          <w:sz w:val="24"/>
          <w:szCs w:val="20"/>
          <w:lang w:val="en-US"/>
        </w:rPr>
        <w:t>Therefore, implementing effective waste management (</w:t>
      </w:r>
      <w:r w:rsidR="00DD0EDD" w:rsidRPr="005B7CAC">
        <w:rPr>
          <w:rFonts w:ascii="Times New Roman" w:hAnsi="Times New Roman"/>
          <w:bCs/>
          <w:i/>
          <w:iCs/>
          <w:sz w:val="24"/>
          <w:szCs w:val="20"/>
          <w:lang w:val="en-US"/>
        </w:rPr>
        <w:t>WM</w:t>
      </w:r>
      <w:r w:rsidR="001E2D11" w:rsidRPr="005B7CAC">
        <w:rPr>
          <w:rFonts w:ascii="Times New Roman" w:hAnsi="Times New Roman"/>
          <w:bCs/>
          <w:iCs/>
          <w:sz w:val="24"/>
          <w:szCs w:val="20"/>
          <w:lang w:val="en-US"/>
        </w:rPr>
        <w:t xml:space="preserve">) </w:t>
      </w:r>
      <w:r w:rsidR="00DD0EDD" w:rsidRPr="005B7CAC">
        <w:rPr>
          <w:rFonts w:ascii="Times New Roman" w:hAnsi="Times New Roman"/>
          <w:bCs/>
          <w:iCs/>
          <w:sz w:val="24"/>
          <w:szCs w:val="20"/>
          <w:lang w:val="en-US"/>
        </w:rPr>
        <w:t>practices that aim to mitigate waste generation and promote waste recycling has become one of the ma</w:t>
      </w:r>
      <w:r w:rsidR="001E2D11" w:rsidRPr="005B7CAC">
        <w:rPr>
          <w:rFonts w:ascii="Times New Roman" w:hAnsi="Times New Roman"/>
          <w:bCs/>
          <w:iCs/>
          <w:sz w:val="24"/>
          <w:szCs w:val="20"/>
          <w:lang w:val="en-US"/>
        </w:rPr>
        <w:t xml:space="preserve">jor environmental solutions for </w:t>
      </w:r>
      <w:r w:rsidR="00DD0EDD" w:rsidRPr="005B7CAC">
        <w:rPr>
          <w:rFonts w:ascii="Times New Roman" w:hAnsi="Times New Roman"/>
          <w:bCs/>
          <w:iCs/>
          <w:sz w:val="24"/>
          <w:szCs w:val="20"/>
          <w:lang w:val="en-US"/>
        </w:rPr>
        <w:t>protect</w:t>
      </w:r>
      <w:r w:rsidR="001E2D11" w:rsidRPr="005B7CAC">
        <w:rPr>
          <w:rFonts w:ascii="Times New Roman" w:hAnsi="Times New Roman"/>
          <w:bCs/>
          <w:iCs/>
          <w:sz w:val="24"/>
          <w:szCs w:val="20"/>
          <w:lang w:val="en-US"/>
        </w:rPr>
        <w:t>ing</w:t>
      </w:r>
      <w:r w:rsidR="00DD0EDD" w:rsidRPr="005B7CAC">
        <w:rPr>
          <w:rFonts w:ascii="Times New Roman" w:hAnsi="Times New Roman"/>
          <w:bCs/>
          <w:iCs/>
          <w:sz w:val="24"/>
          <w:szCs w:val="20"/>
          <w:lang w:val="en-US"/>
        </w:rPr>
        <w:t xml:space="preserve"> the environment </w:t>
      </w:r>
      <w:r w:rsidR="00DD0EDD" w:rsidRPr="005B7CAC">
        <w:rPr>
          <w:rFonts w:ascii="Times New Roman" w:hAnsi="Times New Roman"/>
          <w:bCs/>
          <w:iCs/>
          <w:sz w:val="24"/>
          <w:szCs w:val="20"/>
          <w:lang w:val="en-US"/>
        </w:rPr>
        <w:fldChar w:fldCharType="begin" w:fldLock="1"/>
      </w:r>
      <w:r w:rsidR="0050174D" w:rsidRPr="005B7CAC">
        <w:rPr>
          <w:rFonts w:ascii="Times New Roman" w:hAnsi="Times New Roman"/>
          <w:bCs/>
          <w:iCs/>
          <w:sz w:val="24"/>
          <w:szCs w:val="20"/>
          <w:lang w:val="en-US"/>
        </w:rPr>
        <w:instrText>ADDIN CSL_CITATION {"citationItems":[{"id":"ITEM-1","itemData":{"DOI":"10.1016/J.ECONMOD.2022.105932","ISSN":"0264-9993","abstract":"This study examines an important yet underexplored aspect of firms’ sustainability practices, i.e., waste management, in order to analyze its impact on financial performance. Although the extant literature has focused on various aspects of sustainability, the impact of waste management, which has disastrous consequences for the climate and firm performance, remains largely unexplored. Thus, using the 2002–2019 data of listed firms from 41 countries, we found a significantly negative (positive) relationship between waste generation (recycling) and financial performance. Our findings are robust to alternative variables, sub-sample analysis, and identification strategies. Moreover, a channel analysis showed that this relationship is influenced by operating costs, ESG performance-based compensation, industry nature, the Paris agreement on climate change, and the global financial crisis. Overall, the findings suggest that environmental initiatives are beneficial for firms and present important policy implications for regulators and firms.","author":[{"dropping-particle":"","family":"Gull","given":"Ammar Ali","non-dropping-particle":"","parse-names":false,"suffix":""},{"dropping-particle":"","family":"Atif","given":"Muhammad","non-dropping-particle":"","parse-names":false,"suffix":""},{"dropping-particle":"","family":"Ahsan","given":"Tanveer","non-dropping-particle":"","parse-names":false,"suffix":""},{"dropping-particle":"","family":"Derouiche","given":"Imen","non-dropping-particle":"","parse-names":false,"suffix":""}],"container-title":"Economic Modelling","id":"ITEM-1","issued":{"date-parts":[["2022","9","1"]]},"page":"105932","title":"Does waste management affect firm performance? International evidence","type":"article-journal","volume":"114"},"uris":["http://www.mendeley.com/documents/?uuid=0ecbc08a-9434-37fc-b2bd-379559bf0932"]},{"id":"ITEM-2","itemData":{"DOI":"10.1111/corg.12567","ISSN":"14678683","abstract":"Research Question/Issue: We investigate the impact of board co-option on corporate environmental orientation from the perspective of waste management. As waste presents damaging effects on the natural environment, climate change, and human health, businesses assume an ethical responsibility to conduct their operations in a sustainable and responsible manner. Research Findings/Insights: Employing firm-level waste production data, we document a significant negative relationship between board co-option and waste generation, suggesting that co-opted directors help firms reduce their waste—a finding that also carries economic significance. The cross-sectional analyses reveal that the relationship only holds when a CEO does not chair the board and has a shorter tenure. Furthermore, we find that the board co-option–waste management relationship is stronger in environmentally sensitive industries and is mainly driven by the manufacturing firms. We perform a battery of analyses to rule out endogeneity concerns and check for the robustness of our results. The channel test reveals that CEOs of firms with higher waste management face lower performance-induced turnover, particularly when working with co-opted boards. Finally, we also find that co-option-induced waste management initiatives ultimately increase firms' economic value. Theoretical/Academic Implications: We document that co-opted boards may enhance firms' waste management practices by reducing performance-induced CEO turnover. Thus, we make important contributions to the corporate governance and environmentalism strands of the literature by highlighting the bright side of board co-option for waste reduction initiatives. Practitioner/Policy Implications: Our study provides vital policy implications for regulators and top management teams against the background of public outcry and social pressure to mitigate the damage to the environment and calls for ethical business practices.","author":[{"dropping-particle":"","family":"Gull","given":"Ammar Ali","non-dropping-particle":"","parse-names":false,"suffix":""},{"dropping-particle":"","family":"Luong","given":"Hoa","non-dropping-particle":"","parse-names":false,"suffix":""},{"dropping-particle":"","family":"Nadeem","given":"Muhammad","non-dropping-particle":"","parse-names":false,"suffix":""}],"container-title":"Corporate Governance: An International Review","id":"ITEM-2","issue":"5","issued":{"date-parts":[["2024"]]},"page":"758-785","title":"Board co-option and corporate environmental orientation: New insights from the waste management perspective","type":"article-journal","volume":"32"},"uris":["http://www.mendeley.com/documents/?uuid=026a1573-02d3-3c09-a2bc-ed265df5423b"]}],"mendeley":{"formattedCitation":"(Gull, Atif, Ahsan, &lt;i&gt;et al.&lt;/i&gt;, 2022; Gull &lt;i&gt;et al.&lt;/i&gt;, 2024)","manualFormatting":"(Gull et al., 2022a; Gull et al., 2024)","plainTextFormattedCitation":"(Gull, Atif, Ahsan, et al., 2022; Gull et al., 2024)","previouslyFormattedCitation":"(Gull, Atif, Ahsan, &lt;i&gt;et al.&lt;/i&gt;, 2022; Gull &lt;i&gt;et al.&lt;/i&gt;, 2024)"},"properties":{"noteIndex":0},"schema":"https://github.com/citation-style-language/schema/raw/master/csl-citation.json"}</w:instrText>
      </w:r>
      <w:r w:rsidR="00DD0EDD" w:rsidRPr="005B7CAC">
        <w:rPr>
          <w:rFonts w:ascii="Times New Roman" w:hAnsi="Times New Roman"/>
          <w:bCs/>
          <w:iCs/>
          <w:sz w:val="24"/>
          <w:szCs w:val="20"/>
          <w:lang w:val="en-US"/>
        </w:rPr>
        <w:fldChar w:fldCharType="separate"/>
      </w:r>
      <w:r w:rsidR="00302318" w:rsidRPr="005B7CAC">
        <w:rPr>
          <w:rFonts w:ascii="Times New Roman" w:hAnsi="Times New Roman"/>
          <w:bCs/>
          <w:iCs/>
          <w:noProof/>
          <w:sz w:val="24"/>
          <w:szCs w:val="20"/>
          <w:lang w:val="en-US"/>
        </w:rPr>
        <w:t>(Gull</w:t>
      </w:r>
      <w:r w:rsidR="00285B03" w:rsidRPr="005B7CAC">
        <w:rPr>
          <w:rFonts w:ascii="Times New Roman" w:hAnsi="Times New Roman"/>
          <w:bCs/>
          <w:iCs/>
          <w:noProof/>
          <w:sz w:val="24"/>
          <w:szCs w:val="20"/>
          <w:lang w:val="en-US"/>
        </w:rPr>
        <w:t xml:space="preserve"> </w:t>
      </w:r>
      <w:r w:rsidR="00302318" w:rsidRPr="005B7CAC">
        <w:rPr>
          <w:rFonts w:ascii="Times New Roman" w:hAnsi="Times New Roman"/>
          <w:bCs/>
          <w:i/>
          <w:iCs/>
          <w:noProof/>
          <w:sz w:val="24"/>
          <w:szCs w:val="20"/>
          <w:lang w:val="en-US"/>
        </w:rPr>
        <w:t>et al.</w:t>
      </w:r>
      <w:r w:rsidR="00302318" w:rsidRPr="005B7CAC">
        <w:rPr>
          <w:rFonts w:ascii="Times New Roman" w:hAnsi="Times New Roman"/>
          <w:bCs/>
          <w:iCs/>
          <w:noProof/>
          <w:sz w:val="24"/>
          <w:szCs w:val="20"/>
          <w:lang w:val="en-US"/>
        </w:rPr>
        <w:t>, 2022</w:t>
      </w:r>
      <w:r w:rsidR="00285B03" w:rsidRPr="005B7CAC">
        <w:rPr>
          <w:rFonts w:ascii="Times New Roman" w:hAnsi="Times New Roman"/>
          <w:bCs/>
          <w:iCs/>
          <w:noProof/>
          <w:sz w:val="24"/>
          <w:szCs w:val="20"/>
          <w:lang w:val="en-US"/>
        </w:rPr>
        <w:t>a</w:t>
      </w:r>
      <w:r w:rsidR="00302318" w:rsidRPr="005B7CAC">
        <w:rPr>
          <w:rFonts w:ascii="Times New Roman" w:hAnsi="Times New Roman"/>
          <w:bCs/>
          <w:iCs/>
          <w:noProof/>
          <w:sz w:val="24"/>
          <w:szCs w:val="20"/>
          <w:lang w:val="en-US"/>
        </w:rPr>
        <w:t xml:space="preserve">; Gull </w:t>
      </w:r>
      <w:r w:rsidR="00302318" w:rsidRPr="005B7CAC">
        <w:rPr>
          <w:rFonts w:ascii="Times New Roman" w:hAnsi="Times New Roman"/>
          <w:bCs/>
          <w:i/>
          <w:iCs/>
          <w:noProof/>
          <w:sz w:val="24"/>
          <w:szCs w:val="20"/>
          <w:lang w:val="en-US"/>
        </w:rPr>
        <w:t>et al.</w:t>
      </w:r>
      <w:r w:rsidR="00302318" w:rsidRPr="005B7CAC">
        <w:rPr>
          <w:rFonts w:ascii="Times New Roman" w:hAnsi="Times New Roman"/>
          <w:bCs/>
          <w:iCs/>
          <w:noProof/>
          <w:sz w:val="24"/>
          <w:szCs w:val="20"/>
          <w:lang w:val="en-US"/>
        </w:rPr>
        <w:t>, 2024)</w:t>
      </w:r>
      <w:r w:rsidR="00DD0EDD" w:rsidRPr="005B7CAC">
        <w:rPr>
          <w:rFonts w:ascii="Times New Roman" w:hAnsi="Times New Roman"/>
          <w:bCs/>
          <w:iCs/>
          <w:sz w:val="24"/>
          <w:szCs w:val="20"/>
          <w:lang w:val="en-US"/>
        </w:rPr>
        <w:fldChar w:fldCharType="end"/>
      </w:r>
      <w:r w:rsidR="00DD0EDD" w:rsidRPr="005B7CAC">
        <w:rPr>
          <w:rFonts w:ascii="Times New Roman" w:hAnsi="Times New Roman"/>
          <w:bCs/>
          <w:iCs/>
          <w:sz w:val="24"/>
          <w:szCs w:val="20"/>
          <w:lang w:val="en-US"/>
        </w:rPr>
        <w:t xml:space="preserve"> and </w:t>
      </w:r>
      <w:r w:rsidR="00EF68D4" w:rsidRPr="005B7CAC">
        <w:rPr>
          <w:rFonts w:ascii="Times New Roman" w:hAnsi="Times New Roman"/>
          <w:bCs/>
          <w:iCs/>
          <w:sz w:val="24"/>
          <w:szCs w:val="20"/>
          <w:lang w:val="en-US"/>
        </w:rPr>
        <w:t>achiev</w:t>
      </w:r>
      <w:r w:rsidR="00EF68D4">
        <w:rPr>
          <w:rFonts w:ascii="Times New Roman" w:hAnsi="Times New Roman"/>
          <w:bCs/>
          <w:iCs/>
          <w:sz w:val="24"/>
          <w:szCs w:val="20"/>
          <w:lang w:val="en-US"/>
        </w:rPr>
        <w:t>ing</w:t>
      </w:r>
      <w:r w:rsidR="00DD0EDD" w:rsidRPr="005B7CAC">
        <w:rPr>
          <w:rFonts w:ascii="Times New Roman" w:hAnsi="Times New Roman"/>
          <w:bCs/>
          <w:iCs/>
          <w:sz w:val="24"/>
          <w:szCs w:val="20"/>
          <w:lang w:val="en-US"/>
        </w:rPr>
        <w:t xml:space="preserve"> sustainability</w:t>
      </w:r>
      <w:r w:rsidR="004C3F39" w:rsidRPr="005B7CAC">
        <w:rPr>
          <w:rFonts w:ascii="Times New Roman" w:hAnsi="Times New Roman"/>
          <w:bCs/>
          <w:iCs/>
          <w:sz w:val="24"/>
          <w:szCs w:val="20"/>
          <w:lang w:val="en-US"/>
        </w:rPr>
        <w:t xml:space="preserve"> </w:t>
      </w:r>
      <w:r w:rsidR="001A43BD" w:rsidRPr="005B7CAC">
        <w:rPr>
          <w:rFonts w:ascii="Times New Roman" w:hAnsi="Times New Roman"/>
          <w:bCs/>
          <w:iCs/>
          <w:sz w:val="24"/>
          <w:szCs w:val="20"/>
          <w:lang w:val="en-US"/>
        </w:rPr>
        <w:fldChar w:fldCharType="begin" w:fldLock="1"/>
      </w:r>
      <w:r w:rsidR="002B2BEE" w:rsidRPr="005B7CAC">
        <w:rPr>
          <w:rFonts w:ascii="Times New Roman" w:hAnsi="Times New Roman"/>
          <w:bCs/>
          <w:iCs/>
          <w:sz w:val="24"/>
          <w:szCs w:val="20"/>
          <w:lang w:val="en-US"/>
        </w:rPr>
        <w:instrText>ADDIN CSL_CITATION {"citationItems":[{"id":"ITEM-1","itemData":{"DOI":"10.1016/J.JCLEPRO.2019.04.323","ISSN":"0959-6526","abstract":"Solid waste management (SWM) is an integral part of an environmental management system. SWM approaches have been modified into a more practical and effective option to establish sustainability based on the “reduce”, “reuse”, and “recycle” (3R) principles. This review provides an overview of a wide range of existing SWM strategies with the following key objectives: (i) to comprehensively describe current technologies, strategic innovations, and monitoring tools, (ii) to provide an overview of prevailing waste management scenarios across different countries, (iii) to identify the roles of life cycle assessment (LCA) and other modeling tools in SWM, and (iv) to showcase feasible approaches for sustainable recycling and utilization of solid wastes. The current review finds that geographical positions and economic status of nations are important to dictate waste characteristics. A number of economic and LCA models have been described to facilitate future workers vis-à-vis organizations for the selection of appropriate waste management algorithms and for the evaluation of their eventual performance. In addition, this paper showcases various innovative solutions that have been reported for the achievement of smart and sustainable waste management plans in many countries.","author":[{"dropping-particle":"","family":"Das","given":"Subhasish","non-dropping-particle":"","parse-names":false,"suffix":""},{"dropping-particle":"","family":"Lee","given":"S. H.","non-dropping-particle":"","parse-names":false,"suffix":""},{"dropping-particle":"","family":"Kumar","given":"Pawan","non-dropping-particle":"","parse-names":false,"suffix":""},{"dropping-particle":"","family":"Kim","given":"Ki Hyun","non-dropping-particle":"","parse-names":false,"suffix":""},{"dropping-particle":"","family":"Lee","given":"Sang Soo","non-dropping-particle":"","parse-names":false,"suffix":""},{"dropping-particle":"","family":"Bhattacharya","given":"Satya Sundar","non-dropping-particle":"","parse-names":false,"suffix":""}],"container-title":"Journal of Cleaner Production","id":"ITEM-1","issued":{"date-parts":[["2019","8","10"]]},"page":"658-678","title":"Solid waste management: Scope and the challenge of sustainability","type":"article-journal","volume":"228"},"uris":["http://www.mendeley.com/documents/?uuid=751c864c-2d4f-3fb8-a255-7f4274a81b1c"]},{"id":"ITEM-2","itemData":{"DOI":"10.5267/j.uscm.2023.3.011","ISSN":"22916830","abstract":"The company seeks the role of internal function and external partnership to eliminate or reduce the waste generated and its impact on the environment. Internally, Top management needs to commit and actively increase the participation of employees in implementing total quality management and production waste management to enhance business performance. This study surveyed the companies engaged in the industry sector producing finished products while generating waste in the production process. Data collection is carried out using online questionnaires through Google Forms with data analysis using PLS software. One hundred and thirty-six (136) manufacturing companies located in East Java, Indonesia. The results of the data analysis indicated that top management commitment significantly influences firm performance, employee empowerment, and total quality management. Employee empowerment impacts total quality management and production waste management. Total quality management positively influences production waste management and firm performance. In addition, production waste management significantly impacts the firm performance. In addition, top management commitment indirectly affects firm performance through the mediating role of total quality management. However, the mediating effect of production waste management is insignificant in translating top management commitments to firm performance. The result provides a theoretical contribution to developing green supply chain practices and sustainability. Furthermore, the practical contribution provides insight for top management companies that production waste management can improve performance with high management commitment and employee empowerment.","author":[{"dropping-particle":"","family":"Wijaya","given":"Shania Vanessa","non-dropping-particle":"","parse-names":false,"suffix":""},{"dropping-particle":"","family":"Tarigan","given":"Zeplin Jiwa Husada","non-dropping-particle":"","parse-names":false,"suffix":""},{"dropping-particle":"","family":"Siagian","given":"Hotlan","non-dropping-particle":"","parse-names":false,"suffix":""}],"container-title":"Uncertain Supply Chain Management","id":"ITEM-2","issue":"3","issued":{"date-parts":[["2023"]]},"page":"1369–1382","title":"The role of top management commitment, employee empowerment and total quality management in production waste management and enhancing firm performance","type":"article-journal","volume":"11"},"uris":["http://www.mendeley.com/documents/?uuid=d1412f96-8a81-3b9e-9536-f96336e339e9"]}],"mendeley":{"formattedCitation":"(Das &lt;i&gt;et al.&lt;/i&gt;, 2019; Wijaya &lt;i&gt;et al.&lt;/i&gt;, 2023)","plainTextFormattedCitation":"(Das et al., 2019; Wijaya et al., 2023)","previouslyFormattedCitation":"(Das &lt;i&gt;et al.&lt;/i&gt;, 2019; Wijaya &lt;i&gt;et al.&lt;/i&gt;, 2023)"},"properties":{"noteIndex":0},"schema":"https://github.com/citation-style-language/schema/raw/master/csl-citation.json"}</w:instrText>
      </w:r>
      <w:r w:rsidR="001A43BD" w:rsidRPr="005B7CAC">
        <w:rPr>
          <w:rFonts w:ascii="Times New Roman" w:hAnsi="Times New Roman"/>
          <w:bCs/>
          <w:iCs/>
          <w:sz w:val="24"/>
          <w:szCs w:val="20"/>
          <w:lang w:val="en-US"/>
        </w:rPr>
        <w:fldChar w:fldCharType="separate"/>
      </w:r>
      <w:r w:rsidR="00B1018C" w:rsidRPr="005B7CAC">
        <w:rPr>
          <w:rFonts w:ascii="Times New Roman" w:hAnsi="Times New Roman"/>
          <w:bCs/>
          <w:iCs/>
          <w:noProof/>
          <w:sz w:val="24"/>
          <w:szCs w:val="20"/>
          <w:lang w:val="en-US"/>
        </w:rPr>
        <w:t xml:space="preserve">(Das </w:t>
      </w:r>
      <w:r w:rsidR="00B1018C" w:rsidRPr="005B7CAC">
        <w:rPr>
          <w:rFonts w:ascii="Times New Roman" w:hAnsi="Times New Roman"/>
          <w:bCs/>
          <w:i/>
          <w:iCs/>
          <w:noProof/>
          <w:sz w:val="24"/>
          <w:szCs w:val="20"/>
          <w:lang w:val="en-US"/>
        </w:rPr>
        <w:t>et al.</w:t>
      </w:r>
      <w:r w:rsidR="00B1018C" w:rsidRPr="005B7CAC">
        <w:rPr>
          <w:rFonts w:ascii="Times New Roman" w:hAnsi="Times New Roman"/>
          <w:bCs/>
          <w:iCs/>
          <w:noProof/>
          <w:sz w:val="24"/>
          <w:szCs w:val="20"/>
          <w:lang w:val="en-US"/>
        </w:rPr>
        <w:t xml:space="preserve">, 2019; Wijaya </w:t>
      </w:r>
      <w:r w:rsidR="00B1018C" w:rsidRPr="005B7CAC">
        <w:rPr>
          <w:rFonts w:ascii="Times New Roman" w:hAnsi="Times New Roman"/>
          <w:bCs/>
          <w:i/>
          <w:iCs/>
          <w:noProof/>
          <w:sz w:val="24"/>
          <w:szCs w:val="20"/>
          <w:lang w:val="en-US"/>
        </w:rPr>
        <w:t>et al.</w:t>
      </w:r>
      <w:r w:rsidR="00B1018C" w:rsidRPr="005B7CAC">
        <w:rPr>
          <w:rFonts w:ascii="Times New Roman" w:hAnsi="Times New Roman"/>
          <w:bCs/>
          <w:iCs/>
          <w:noProof/>
          <w:sz w:val="24"/>
          <w:szCs w:val="20"/>
          <w:lang w:val="en-US"/>
        </w:rPr>
        <w:t>, 2023)</w:t>
      </w:r>
      <w:r w:rsidR="001A43BD" w:rsidRPr="005B7CAC">
        <w:rPr>
          <w:rFonts w:ascii="Times New Roman" w:hAnsi="Times New Roman"/>
          <w:bCs/>
          <w:iCs/>
          <w:sz w:val="24"/>
          <w:szCs w:val="20"/>
          <w:lang w:val="en-US"/>
        </w:rPr>
        <w:fldChar w:fldCharType="end"/>
      </w:r>
      <w:r w:rsidR="00DD0EDD" w:rsidRPr="005B7CAC">
        <w:rPr>
          <w:rFonts w:ascii="Times New Roman" w:hAnsi="Times New Roman"/>
          <w:bCs/>
          <w:iCs/>
          <w:sz w:val="24"/>
          <w:szCs w:val="20"/>
          <w:lang w:val="en-US"/>
        </w:rPr>
        <w:t>.</w:t>
      </w:r>
      <w:r w:rsidR="00C50DDF" w:rsidRPr="005B7CAC">
        <w:rPr>
          <w:rFonts w:ascii="Times New Roman" w:hAnsi="Times New Roman"/>
          <w:bCs/>
          <w:iCs/>
          <w:sz w:val="24"/>
          <w:szCs w:val="20"/>
          <w:lang w:val="en-US"/>
        </w:rPr>
        <w:t xml:space="preserve"> </w:t>
      </w:r>
    </w:p>
    <w:p w14:paraId="1DBD16CC" w14:textId="4B5C4AE9" w:rsidR="00CF38B8" w:rsidRPr="005B7CAC" w:rsidRDefault="006E4CBD" w:rsidP="003D5418">
      <w:pPr>
        <w:widowControl w:val="0"/>
        <w:autoSpaceDE w:val="0"/>
        <w:autoSpaceDN w:val="0"/>
        <w:adjustRightInd w:val="0"/>
        <w:spacing w:after="240" w:line="360" w:lineRule="auto"/>
        <w:jc w:val="both"/>
        <w:rPr>
          <w:rFonts w:ascii="Times New Roman" w:hAnsi="Times New Roman"/>
          <w:bCs/>
          <w:iCs/>
          <w:sz w:val="24"/>
          <w:szCs w:val="20"/>
          <w:lang w:val="en-US"/>
        </w:rPr>
      </w:pPr>
      <w:r w:rsidRPr="005B7CAC">
        <w:rPr>
          <w:rFonts w:ascii="Times New Roman" w:hAnsi="Times New Roman"/>
          <w:bCs/>
          <w:iCs/>
          <w:sz w:val="24"/>
          <w:szCs w:val="20"/>
          <w:lang w:val="en-US"/>
        </w:rPr>
        <w:t>Past research suggests</w:t>
      </w:r>
      <w:r w:rsidR="00397836" w:rsidRPr="005B7CAC">
        <w:rPr>
          <w:rFonts w:ascii="Times New Roman" w:hAnsi="Times New Roman"/>
          <w:bCs/>
          <w:iCs/>
          <w:sz w:val="24"/>
          <w:szCs w:val="20"/>
          <w:lang w:val="en-US"/>
        </w:rPr>
        <w:t xml:space="preserve"> that </w:t>
      </w:r>
      <w:r w:rsidRPr="005B7CAC">
        <w:rPr>
          <w:rFonts w:ascii="Times New Roman" w:hAnsi="Times New Roman"/>
          <w:bCs/>
          <w:iCs/>
          <w:sz w:val="24"/>
          <w:szCs w:val="20"/>
          <w:lang w:val="en-US"/>
        </w:rPr>
        <w:t>enviro</w:t>
      </w:r>
      <w:r w:rsidR="00397836" w:rsidRPr="005B7CAC">
        <w:rPr>
          <w:rFonts w:ascii="Times New Roman" w:hAnsi="Times New Roman"/>
          <w:bCs/>
          <w:iCs/>
          <w:sz w:val="24"/>
          <w:szCs w:val="20"/>
          <w:lang w:val="en-US"/>
        </w:rPr>
        <w:t xml:space="preserve">nmental </w:t>
      </w:r>
      <w:r w:rsidRPr="005B7CAC">
        <w:rPr>
          <w:rFonts w:ascii="Times New Roman" w:hAnsi="Times New Roman"/>
          <w:bCs/>
          <w:iCs/>
          <w:sz w:val="24"/>
          <w:szCs w:val="20"/>
          <w:lang w:val="en-US"/>
        </w:rPr>
        <w:t xml:space="preserve">performance </w:t>
      </w:r>
      <w:r w:rsidR="00397836" w:rsidRPr="005B7CAC">
        <w:rPr>
          <w:rFonts w:ascii="Times New Roman" w:hAnsi="Times New Roman"/>
          <w:bCs/>
          <w:iCs/>
          <w:sz w:val="24"/>
          <w:szCs w:val="20"/>
          <w:lang w:val="en-US"/>
        </w:rPr>
        <w:t xml:space="preserve">practices, including </w:t>
      </w:r>
      <w:r w:rsidR="00397836" w:rsidRPr="005B7CAC">
        <w:rPr>
          <w:rFonts w:ascii="Times New Roman" w:hAnsi="Times New Roman"/>
          <w:bCs/>
          <w:i/>
          <w:iCs/>
          <w:sz w:val="24"/>
          <w:szCs w:val="20"/>
          <w:lang w:val="en-US"/>
        </w:rPr>
        <w:t>WM</w:t>
      </w:r>
      <w:r w:rsidR="00397836" w:rsidRPr="005B7CAC">
        <w:rPr>
          <w:rFonts w:ascii="Times New Roman" w:hAnsi="Times New Roman"/>
          <w:bCs/>
          <w:iCs/>
          <w:sz w:val="24"/>
          <w:szCs w:val="20"/>
          <w:lang w:val="en-US"/>
        </w:rPr>
        <w:t xml:space="preserve">, </w:t>
      </w:r>
      <w:r w:rsidRPr="005B7CAC">
        <w:rPr>
          <w:rFonts w:ascii="Times New Roman" w:hAnsi="Times New Roman"/>
          <w:bCs/>
          <w:iCs/>
          <w:sz w:val="24"/>
          <w:szCs w:val="20"/>
          <w:lang w:val="en-US"/>
        </w:rPr>
        <w:t xml:space="preserve">may improve profitability </w:t>
      </w:r>
      <w:r w:rsidRPr="005B7CAC">
        <w:rPr>
          <w:rFonts w:ascii="Times New Roman" w:hAnsi="Times New Roman"/>
          <w:bCs/>
          <w:iCs/>
          <w:sz w:val="24"/>
          <w:szCs w:val="20"/>
          <w:lang w:val="en-US"/>
        </w:rPr>
        <w:fldChar w:fldCharType="begin" w:fldLock="1"/>
      </w:r>
      <w:r w:rsidR="00AA1C51" w:rsidRPr="005B7CAC">
        <w:rPr>
          <w:rFonts w:ascii="Times New Roman" w:hAnsi="Times New Roman"/>
          <w:bCs/>
          <w:iCs/>
          <w:sz w:val="24"/>
          <w:szCs w:val="20"/>
          <w:lang w:val="en-US"/>
        </w:rPr>
        <w:instrText>ADDIN CSL_CITATION {"citationItems":[{"id":"ITEM-1","itemData":{"DOI":"10.1108/IJAIM-04-2023-0107","ISSN":"17589037","abstract":"Purpose: This study aims to examine the relationship between carbon reduction initiatives and financial performance. Additionally, it explores potential moderating variables, such as corporate social responsible (CSR) strategy and corporate governance practices, that may strengthen the link between carbon reduction initiatives and financial performance. Design/methodology/approach: The empirical analysis is conducted using 1,740 firm-year observations from UK firms listed on the FTSE 350. Data on carbon emissions and firm-specific characteristics are obtained from the Refinitiv Eikon database for the period 2011–2020. Various econometric techniques, including ordinary least squares and system generalized method of moments, are used to examine the relationship between carbon reduction initiatives and financial performance. Additionally, alternative samples are used to further explore this relationship. Findings: The author observes a significantly positive association between carbon reduction initiatives and financial performance in this study. Additionally, the significance of this relationship is found to be present specifically after the announcement of the Paris Agreement. Furthermore, a channel analysis reveals that moderating factors like CSR strategy and corporate governance quality influence this relationship. Practical implications: The study underscores the importance of carbon reduction initiatives for sustainable business growth and financial performance. Managers can use these insights to prioritize investments in sustainable practices. Policymakers should consider implementing supportive regulations to incentivize companies to adopt carbon reduction strategies. Originality/value: This study adds value to the existing body of literature by empirically examining the moderating role of CSR strategy and best corporate governance practices in the relationship between carbon reduction initiatives and financial performance. The findings contribute to a deeper understanding of how these factors interact and influence the outcomes.","author":[{"dropping-particle":"","family":"Issa","given":"Ayman","non-dropping-particle":"","parse-names":false,"suffix":""}],"container-title":"International Journal of Accounting and Information Management","id":"ITEM-1","issued":{"date-parts":[["2023"]]},"title":"Do emissions reduction initiatives improve financial performance? Empirical analysis of moderating factors","type":"article-journal"},"uris":["http://www.mendeley.com/documents/?uuid=5d57898e-647e-4fd4-9f4d-31fcd905f88e"]},{"id":"ITEM-2","itemData":{"DOI":"10.3390/ijerph17145206","ISSN":"16604601","abstract":"This paper aimed to investigate the impact of water, waste, and energy consumption on firm performance for a sample of enterprises that belong to the S&amp;P 500 Information Technology sector over the period of 2009–2020. The quantitative framework covered both accounting (e.g., return on assets—ROA; return on common equity—ROE; return on capital—ROC; return on invested capital—ROIC) and market-based measures of performance (e.g., price-to-book value— PB), alongside firm and corporate governance specific variables. By estimating multivariate panel data regression models, the empirical results provided support for a negative impact of total water use on PB but a positive effect on ROA. With reference to the total waste, the econometric outcomes revealed a negative influence on the entire selected performance measures, whereas total energy consumption did not reveal any statistically significant influence.","author":[{"dropping-particle":"","family":"Simionescu","given":"Liliana Nicoleta","non-dropping-particle":"","parse-names":false,"suffix":""},{"dropping-particle":"","family":"Gherghina","given":"Ștefan Cristian","non-dropping-particle":"","parse-names":false,"suffix":""},{"dropping-particle":"","family":"Sheikha","given":"Ziad","non-dropping-particle":"","parse-names":false,"suffix":""},{"dropping-particle":"","family":"Tawil","given":"Hiba","non-dropping-particle":"","parse-names":false,"suffix":""}],"container-title":"International Journal of Environmental Research and Public Health","id":"ITEM-2","issue":"14","issued":{"date-parts":[["2020"]]},"page":"5206","title":"Does water, waste, and energy consumption influence firm performance? Panel data evidence from S &amp;P 500 information technology sector","type":"article-journal","volume":"17"},"uris":["http://www.mendeley.com/documents/?uuid=416ffb51-17e1-3ace-8d61-e7b79bf0a232"]}],"mendeley":{"formattedCitation":"(Issa, 2023; Simionescu &lt;i&gt;et al.&lt;/i&gt;, 2020)","plainTextFormattedCitation":"(Issa, 2023; Simionescu et al., 2020)","previouslyFormattedCitation":"(Issa, 2023; Simionescu &lt;i&gt;et al.&lt;/i&gt;, 2020)"},"properties":{"noteIndex":0},"schema":"https://github.com/citation-style-language/schema/raw/master/csl-citation.json"}</w:instrText>
      </w:r>
      <w:r w:rsidRPr="005B7CAC">
        <w:rPr>
          <w:rFonts w:ascii="Times New Roman" w:hAnsi="Times New Roman"/>
          <w:bCs/>
          <w:iCs/>
          <w:sz w:val="24"/>
          <w:szCs w:val="20"/>
          <w:lang w:val="en-US"/>
        </w:rPr>
        <w:fldChar w:fldCharType="separate"/>
      </w:r>
      <w:r w:rsidR="00397836" w:rsidRPr="005B7CAC">
        <w:rPr>
          <w:rFonts w:ascii="Times New Roman" w:hAnsi="Times New Roman"/>
          <w:bCs/>
          <w:iCs/>
          <w:noProof/>
          <w:sz w:val="24"/>
          <w:szCs w:val="20"/>
          <w:lang w:val="en-US"/>
        </w:rPr>
        <w:t xml:space="preserve">(Issa, 2023; Simionescu </w:t>
      </w:r>
      <w:r w:rsidR="00397836" w:rsidRPr="005B7CAC">
        <w:rPr>
          <w:rFonts w:ascii="Times New Roman" w:hAnsi="Times New Roman"/>
          <w:bCs/>
          <w:i/>
          <w:iCs/>
          <w:noProof/>
          <w:sz w:val="24"/>
          <w:szCs w:val="20"/>
          <w:lang w:val="en-US"/>
        </w:rPr>
        <w:t>et al.</w:t>
      </w:r>
      <w:r w:rsidR="00397836" w:rsidRPr="005B7CAC">
        <w:rPr>
          <w:rFonts w:ascii="Times New Roman" w:hAnsi="Times New Roman"/>
          <w:bCs/>
          <w:iCs/>
          <w:noProof/>
          <w:sz w:val="24"/>
          <w:szCs w:val="20"/>
          <w:lang w:val="en-US"/>
        </w:rPr>
        <w:t>, 2020)</w:t>
      </w:r>
      <w:r w:rsidRPr="005B7CAC">
        <w:rPr>
          <w:rFonts w:ascii="Times New Roman" w:hAnsi="Times New Roman"/>
          <w:bCs/>
          <w:iCs/>
          <w:sz w:val="24"/>
          <w:szCs w:val="20"/>
          <w:lang w:val="en-US"/>
        </w:rPr>
        <w:fldChar w:fldCharType="end"/>
      </w:r>
      <w:r w:rsidRPr="005B7CAC">
        <w:rPr>
          <w:rFonts w:ascii="Times New Roman" w:hAnsi="Times New Roman"/>
          <w:bCs/>
          <w:iCs/>
          <w:sz w:val="24"/>
          <w:szCs w:val="20"/>
          <w:lang w:val="en-US"/>
        </w:rPr>
        <w:t xml:space="preserve">, increase market value </w:t>
      </w:r>
      <w:r w:rsidRPr="005B7CAC">
        <w:rPr>
          <w:rFonts w:ascii="Times New Roman" w:hAnsi="Times New Roman"/>
          <w:bCs/>
          <w:iCs/>
          <w:sz w:val="24"/>
          <w:szCs w:val="20"/>
          <w:lang w:val="en-US"/>
        </w:rPr>
        <w:fldChar w:fldCharType="begin" w:fldLock="1"/>
      </w:r>
      <w:r w:rsidR="0050174D" w:rsidRPr="005B7CAC">
        <w:rPr>
          <w:rFonts w:ascii="Times New Roman" w:hAnsi="Times New Roman"/>
          <w:bCs/>
          <w:iCs/>
          <w:sz w:val="24"/>
          <w:szCs w:val="20"/>
          <w:lang w:val="en-US"/>
        </w:rPr>
        <w:instrText>ADDIN CSL_CITATION {"citationItems":[{"id":"ITEM-1","itemData":{"DOI":"10.1111/1467-8551.12715","author":[{"dropping-particle":"","family":"Orazalin","given":"Nurlan","non-dropping-particle":"","parse-names":false,"suffix":""},{"dropping-particle":"","family":"Ntim","given":"Collins","non-dropping-particle":"","parse-names":false,"suffix":""},{"dropping-particle":"","family":"Malagila","given":"John","non-dropping-particle":"","parse-names":false,"suffix":""}],"container-title":"British Journal of Management","id":"ITEM-1","issue":"1","issued":{"date-parts":[["2024"]]},"page":"295-320","title":"Board sustainability committees, climate change initiatives, carbon performance, and market value","type":"article-journal","volume":"35"},"uris":["http://www.mendeley.com/documents/?uuid=a619d5c5-bf37-445d-9069-2df2648f2b82"]},{"id":"ITEM-2","itemData":{"DOI":"10.1016/J.ECONMOD.2022.105932","ISSN":"0264-9993","abstract":"This study examines an important yet underexplored aspect of firms’ sustainability practices, i.e., waste management, in order to analyze its impact on financial performance. Although the extant literature has focused on various aspects of sustainability, the impact of waste management, which has disastrous consequences for the climate and firm performance, remains largely unexplored. Thus, using the 2002–2019 data of listed firms from 41 countries, we found a significantly negative (positive) relationship between waste generation (recycling) and financial performance. Our findings are robust to alternative variables, sub-sample analysis, and identification strategies. Moreover, a channel analysis showed that this relationship is influenced by operating costs, ESG performance-based compensation, industry nature, the Paris agreement on climate change, and the global financial crisis. Overall, the findings suggest that environmental initiatives are beneficial for firms and present important policy implications for regulators and firms.","author":[{"dropping-particle":"","family":"Gull","given":"Ammar Ali","non-dropping-particle":"","parse-names":false,"suffix":""},{"dropping-particle":"","family":"Atif","given":"Muhammad","non-dropping-particle":"","parse-names":false,"suffix":""},{"dropping-particle":"","family":"Ahsan","given":"Tanveer","non-dropping-particle":"","parse-names":false,"suffix":""},{"dropping-particle":"","family":"Derouiche","given":"Imen","non-dropping-particle":"","parse-names":false,"suffix":""}],"container-title":"Economic Modelling","id":"ITEM-2","issued":{"date-parts":[["2022","9","1"]]},"page":"105932","title":"Does waste management affect firm performance? International evidence","type":"article-journal","volume":"114"},"uris":["http://www.mendeley.com/documents/?uuid=0ecbc08a-9434-37fc-b2bd-379559bf0932"]}],"mendeley":{"formattedCitation":"(Gull, Atif, Ahsan, &lt;i&gt;et al.&lt;/i&gt;, 2022; Orazalin &lt;i&gt;et al.&lt;/i&gt;, 2024)","manualFormatting":"(Gull et al., 2022a; Orazalin et al., 2024)","plainTextFormattedCitation":"(Gull, Atif, Ahsan, et al., 2022; Orazalin et al., 2024)","previouslyFormattedCitation":"(Gull, Atif, Ahsan, &lt;i&gt;et al.&lt;/i&gt;, 2022; Orazalin &lt;i&gt;et al.&lt;/i&gt;, 2024)"},"properties":{"noteIndex":0},"schema":"https://github.com/citation-style-language/schema/raw/master/csl-citation.json"}</w:instrText>
      </w:r>
      <w:r w:rsidRPr="005B7CAC">
        <w:rPr>
          <w:rFonts w:ascii="Times New Roman" w:hAnsi="Times New Roman"/>
          <w:bCs/>
          <w:iCs/>
          <w:sz w:val="24"/>
          <w:szCs w:val="20"/>
          <w:lang w:val="en-US"/>
        </w:rPr>
        <w:fldChar w:fldCharType="separate"/>
      </w:r>
      <w:r w:rsidR="00397836" w:rsidRPr="005B7CAC">
        <w:rPr>
          <w:rFonts w:ascii="Times New Roman" w:hAnsi="Times New Roman"/>
          <w:bCs/>
          <w:iCs/>
          <w:noProof/>
          <w:sz w:val="24"/>
          <w:szCs w:val="20"/>
          <w:lang w:val="en-US"/>
        </w:rPr>
        <w:t>(Gull</w:t>
      </w:r>
      <w:r w:rsidR="006920C5" w:rsidRPr="005B7CAC">
        <w:rPr>
          <w:rFonts w:ascii="Times New Roman" w:hAnsi="Times New Roman"/>
          <w:bCs/>
          <w:iCs/>
          <w:noProof/>
          <w:sz w:val="24"/>
          <w:szCs w:val="20"/>
          <w:lang w:val="en-US"/>
        </w:rPr>
        <w:t xml:space="preserve"> </w:t>
      </w:r>
      <w:r w:rsidR="00397836" w:rsidRPr="005B7CAC">
        <w:rPr>
          <w:rFonts w:ascii="Times New Roman" w:hAnsi="Times New Roman"/>
          <w:bCs/>
          <w:i/>
          <w:iCs/>
          <w:noProof/>
          <w:sz w:val="24"/>
          <w:szCs w:val="20"/>
          <w:lang w:val="en-US"/>
        </w:rPr>
        <w:t>et al.</w:t>
      </w:r>
      <w:r w:rsidR="00397836" w:rsidRPr="005B7CAC">
        <w:rPr>
          <w:rFonts w:ascii="Times New Roman" w:hAnsi="Times New Roman"/>
          <w:bCs/>
          <w:iCs/>
          <w:noProof/>
          <w:sz w:val="24"/>
          <w:szCs w:val="20"/>
          <w:lang w:val="en-US"/>
        </w:rPr>
        <w:t>, 2022</w:t>
      </w:r>
      <w:r w:rsidR="006920C5" w:rsidRPr="005B7CAC">
        <w:rPr>
          <w:rFonts w:ascii="Times New Roman" w:hAnsi="Times New Roman"/>
          <w:bCs/>
          <w:iCs/>
          <w:noProof/>
          <w:sz w:val="24"/>
          <w:szCs w:val="20"/>
          <w:lang w:val="en-US"/>
        </w:rPr>
        <w:t>a</w:t>
      </w:r>
      <w:r w:rsidR="00397836" w:rsidRPr="005B7CAC">
        <w:rPr>
          <w:rFonts w:ascii="Times New Roman" w:hAnsi="Times New Roman"/>
          <w:bCs/>
          <w:iCs/>
          <w:noProof/>
          <w:sz w:val="24"/>
          <w:szCs w:val="20"/>
          <w:lang w:val="en-US"/>
        </w:rPr>
        <w:t xml:space="preserve">; Orazalin </w:t>
      </w:r>
      <w:r w:rsidR="00397836" w:rsidRPr="005B7CAC">
        <w:rPr>
          <w:rFonts w:ascii="Times New Roman" w:hAnsi="Times New Roman"/>
          <w:bCs/>
          <w:i/>
          <w:iCs/>
          <w:noProof/>
          <w:sz w:val="24"/>
          <w:szCs w:val="20"/>
          <w:lang w:val="en-US"/>
        </w:rPr>
        <w:t>et al.</w:t>
      </w:r>
      <w:r w:rsidR="00397836" w:rsidRPr="005B7CAC">
        <w:rPr>
          <w:rFonts w:ascii="Times New Roman" w:hAnsi="Times New Roman"/>
          <w:bCs/>
          <w:iCs/>
          <w:noProof/>
          <w:sz w:val="24"/>
          <w:szCs w:val="20"/>
          <w:lang w:val="en-US"/>
        </w:rPr>
        <w:t>, 2024)</w:t>
      </w:r>
      <w:r w:rsidRPr="005B7CAC">
        <w:rPr>
          <w:rFonts w:ascii="Times New Roman" w:hAnsi="Times New Roman"/>
          <w:bCs/>
          <w:iCs/>
          <w:sz w:val="24"/>
          <w:szCs w:val="20"/>
          <w:lang w:val="en-US"/>
        </w:rPr>
        <w:fldChar w:fldCharType="end"/>
      </w:r>
      <w:r w:rsidR="00183E54">
        <w:rPr>
          <w:rFonts w:ascii="Times New Roman" w:hAnsi="Times New Roman"/>
          <w:bCs/>
          <w:iCs/>
          <w:sz w:val="24"/>
          <w:szCs w:val="20"/>
          <w:lang w:val="en-US"/>
        </w:rPr>
        <w:t>,</w:t>
      </w:r>
      <w:r w:rsidRPr="005B7CAC">
        <w:rPr>
          <w:rFonts w:ascii="Times New Roman" w:hAnsi="Times New Roman"/>
          <w:bCs/>
          <w:iCs/>
          <w:sz w:val="24"/>
          <w:szCs w:val="20"/>
          <w:lang w:val="en-US"/>
        </w:rPr>
        <w:t xml:space="preserve"> and reduce risks </w:t>
      </w:r>
      <w:r w:rsidRPr="005B7CAC">
        <w:rPr>
          <w:rFonts w:ascii="Times New Roman" w:hAnsi="Times New Roman"/>
          <w:bCs/>
          <w:iCs/>
          <w:sz w:val="24"/>
          <w:szCs w:val="20"/>
          <w:lang w:val="en-US"/>
        </w:rPr>
        <w:fldChar w:fldCharType="begin" w:fldLock="1"/>
      </w:r>
      <w:r w:rsidRPr="005B7CAC">
        <w:rPr>
          <w:rFonts w:ascii="Times New Roman" w:hAnsi="Times New Roman"/>
          <w:bCs/>
          <w:iCs/>
          <w:sz w:val="24"/>
          <w:szCs w:val="20"/>
          <w:lang w:val="en-US"/>
        </w:rPr>
        <w:instrText>ADDIN CSL_CITATION {"citationItems":[{"id":"ITEM-1","itemData":{"DOI":"10.1111/auar.12366","ISSN":"18352561","abstract":"This study examines the association between corporate environmental performance and financial distress. Using a sample of Australian firms, we find that environmental performance is negatively related to the financial distress probability perceived by the market. In addition, the negative association between environmental performance and the financial distress probability is more pronounced for firms with a higher level of risk. The findings provide important empirical evidence regarding the implications of environmental performance on firms’ risk management.","author":[{"dropping-particle":"","family":"Jia","given":"Jing","non-dropping-particle":"","parse-names":false,"suffix":""},{"dropping-particle":"","family":"Li","given":"Zhongtian","non-dropping-particle":"","parse-names":false,"suffix":""}],"container-title":"Australian Accounting Review","id":"ITEM-1","issue":"2","issued":{"date-parts":[["2022"]]},"page":"188-200","title":"Corporate Environmental Performance and Financial Distress: Evidence from Australia","type":"article-journal","volume":"32"},"uris":["http://www.mendeley.com/documents/?uuid=e29c5adf-e7ff-3dee-9c25-48e25598f3e7"]}],"mendeley":{"formattedCitation":"(Jia and Li, 2022)","plainTextFormattedCitation":"(Jia and Li, 2022)","previouslyFormattedCitation":"(Jia and Li, 2022)"},"properties":{"noteIndex":0},"schema":"https://github.com/citation-style-language/schema/raw/master/csl-citation.json"}</w:instrText>
      </w:r>
      <w:r w:rsidRPr="005B7CAC">
        <w:rPr>
          <w:rFonts w:ascii="Times New Roman" w:hAnsi="Times New Roman"/>
          <w:bCs/>
          <w:iCs/>
          <w:sz w:val="24"/>
          <w:szCs w:val="20"/>
          <w:lang w:val="en-US"/>
        </w:rPr>
        <w:fldChar w:fldCharType="separate"/>
      </w:r>
      <w:r w:rsidRPr="005B7CAC">
        <w:rPr>
          <w:rFonts w:ascii="Times New Roman" w:hAnsi="Times New Roman"/>
          <w:bCs/>
          <w:iCs/>
          <w:noProof/>
          <w:sz w:val="24"/>
          <w:szCs w:val="20"/>
          <w:lang w:val="en-US"/>
        </w:rPr>
        <w:t>(Jia and Li, 2022)</w:t>
      </w:r>
      <w:r w:rsidRPr="005B7CAC">
        <w:rPr>
          <w:rFonts w:ascii="Times New Roman" w:hAnsi="Times New Roman"/>
          <w:bCs/>
          <w:iCs/>
          <w:sz w:val="24"/>
          <w:szCs w:val="20"/>
          <w:lang w:val="en-US"/>
        </w:rPr>
        <w:fldChar w:fldCharType="end"/>
      </w:r>
      <w:r w:rsidRPr="005B7CAC">
        <w:rPr>
          <w:rFonts w:ascii="Times New Roman" w:hAnsi="Times New Roman"/>
          <w:bCs/>
          <w:iCs/>
          <w:sz w:val="24"/>
          <w:szCs w:val="20"/>
          <w:lang w:val="en-US"/>
        </w:rPr>
        <w:t xml:space="preserve">. </w:t>
      </w:r>
      <w:r w:rsidR="00C90E94" w:rsidRPr="005B7CAC">
        <w:rPr>
          <w:rFonts w:ascii="Times New Roman" w:hAnsi="Times New Roman"/>
          <w:bCs/>
          <w:iCs/>
          <w:sz w:val="24"/>
          <w:szCs w:val="20"/>
          <w:lang w:val="en-US"/>
        </w:rPr>
        <w:t xml:space="preserve">Although </w:t>
      </w:r>
      <w:r w:rsidR="00C90E94" w:rsidRPr="005B7CAC">
        <w:rPr>
          <w:rFonts w:ascii="Times New Roman" w:hAnsi="Times New Roman"/>
          <w:bCs/>
          <w:i/>
          <w:iCs/>
          <w:sz w:val="24"/>
          <w:szCs w:val="20"/>
          <w:lang w:val="en-US"/>
        </w:rPr>
        <w:t>WM</w:t>
      </w:r>
      <w:r w:rsidR="00C90E94" w:rsidRPr="005B7CAC">
        <w:rPr>
          <w:rFonts w:ascii="Times New Roman" w:hAnsi="Times New Roman"/>
          <w:bCs/>
          <w:iCs/>
          <w:sz w:val="24"/>
          <w:szCs w:val="20"/>
          <w:lang w:val="en-US"/>
        </w:rPr>
        <w:t xml:space="preserve"> is </w:t>
      </w:r>
      <w:r w:rsidR="006B4192" w:rsidRPr="005B7CAC">
        <w:rPr>
          <w:rFonts w:ascii="Times New Roman" w:hAnsi="Times New Roman"/>
          <w:bCs/>
          <w:iCs/>
          <w:sz w:val="24"/>
          <w:szCs w:val="20"/>
          <w:lang w:val="en-US"/>
        </w:rPr>
        <w:t xml:space="preserve">an integral </w:t>
      </w:r>
      <w:r w:rsidR="00C90E94" w:rsidRPr="005B7CAC">
        <w:rPr>
          <w:rFonts w:ascii="Times New Roman" w:hAnsi="Times New Roman"/>
          <w:bCs/>
          <w:iCs/>
          <w:sz w:val="24"/>
          <w:szCs w:val="20"/>
          <w:lang w:val="en-US"/>
        </w:rPr>
        <w:t xml:space="preserve">part of </w:t>
      </w:r>
      <w:r w:rsidRPr="005B7CAC">
        <w:rPr>
          <w:rFonts w:ascii="Times New Roman" w:hAnsi="Times New Roman"/>
          <w:bCs/>
          <w:iCs/>
          <w:sz w:val="24"/>
          <w:szCs w:val="20"/>
          <w:lang w:val="en-US"/>
        </w:rPr>
        <w:t xml:space="preserve">corporate environmental performance, </w:t>
      </w:r>
      <w:r w:rsidR="006B4192" w:rsidRPr="005B7CAC">
        <w:rPr>
          <w:rFonts w:ascii="Times New Roman" w:hAnsi="Times New Roman"/>
          <w:bCs/>
          <w:iCs/>
          <w:sz w:val="24"/>
          <w:szCs w:val="20"/>
          <w:lang w:val="en-US"/>
        </w:rPr>
        <w:t xml:space="preserve">its </w:t>
      </w:r>
      <w:r w:rsidRPr="005B7CAC">
        <w:rPr>
          <w:rFonts w:ascii="Times New Roman" w:hAnsi="Times New Roman"/>
          <w:bCs/>
          <w:iCs/>
          <w:sz w:val="24"/>
          <w:szCs w:val="20"/>
          <w:lang w:val="en-US"/>
        </w:rPr>
        <w:t xml:space="preserve">unique aspects </w:t>
      </w:r>
      <w:r w:rsidR="006B4192" w:rsidRPr="005B7CAC">
        <w:rPr>
          <w:rFonts w:ascii="Times New Roman" w:hAnsi="Times New Roman"/>
          <w:bCs/>
          <w:iCs/>
          <w:sz w:val="24"/>
          <w:szCs w:val="20"/>
          <w:lang w:val="en-US"/>
        </w:rPr>
        <w:t xml:space="preserve">can </w:t>
      </w:r>
      <w:r w:rsidRPr="005B7CAC">
        <w:rPr>
          <w:rFonts w:ascii="Times New Roman" w:hAnsi="Times New Roman"/>
          <w:bCs/>
          <w:iCs/>
          <w:sz w:val="24"/>
          <w:szCs w:val="20"/>
          <w:lang w:val="en-US"/>
        </w:rPr>
        <w:t xml:space="preserve">lead to distinct financial outcomes </w:t>
      </w:r>
      <w:r w:rsidR="006B4192" w:rsidRPr="005B7CAC">
        <w:rPr>
          <w:rFonts w:ascii="Times New Roman" w:hAnsi="Times New Roman"/>
          <w:bCs/>
          <w:iCs/>
          <w:sz w:val="24"/>
          <w:szCs w:val="20"/>
          <w:lang w:val="en-US"/>
        </w:rPr>
        <w:t xml:space="preserve">when </w:t>
      </w:r>
      <w:r w:rsidRPr="005B7CAC">
        <w:rPr>
          <w:rFonts w:ascii="Times New Roman" w:hAnsi="Times New Roman"/>
          <w:bCs/>
          <w:iCs/>
          <w:sz w:val="24"/>
          <w:szCs w:val="20"/>
          <w:lang w:val="en-US"/>
        </w:rPr>
        <w:t xml:space="preserve">compared to general environmental practices. In particular, </w:t>
      </w:r>
      <w:r w:rsidRPr="005B7CAC">
        <w:rPr>
          <w:rFonts w:ascii="Times New Roman" w:hAnsi="Times New Roman"/>
          <w:bCs/>
          <w:i/>
          <w:iCs/>
          <w:sz w:val="24"/>
          <w:szCs w:val="20"/>
          <w:lang w:val="en-US"/>
        </w:rPr>
        <w:t>WM</w:t>
      </w:r>
      <w:r w:rsidRPr="005B7CAC">
        <w:rPr>
          <w:rFonts w:ascii="Times New Roman" w:hAnsi="Times New Roman"/>
          <w:bCs/>
          <w:iCs/>
          <w:sz w:val="24"/>
          <w:szCs w:val="20"/>
          <w:lang w:val="en-US"/>
        </w:rPr>
        <w:t xml:space="preserve"> </w:t>
      </w:r>
      <w:r w:rsidR="00953FAD" w:rsidRPr="005B7CAC">
        <w:rPr>
          <w:rFonts w:ascii="Times New Roman" w:hAnsi="Times New Roman"/>
          <w:bCs/>
          <w:iCs/>
          <w:sz w:val="24"/>
          <w:szCs w:val="20"/>
          <w:lang w:val="en-US"/>
        </w:rPr>
        <w:t>practices are costly to implement</w:t>
      </w:r>
      <w:r w:rsidR="00AA1C51" w:rsidRPr="005B7CAC">
        <w:rPr>
          <w:rFonts w:ascii="Times New Roman" w:hAnsi="Times New Roman"/>
          <w:bCs/>
          <w:iCs/>
          <w:sz w:val="24"/>
          <w:szCs w:val="20"/>
          <w:lang w:val="en-US"/>
        </w:rPr>
        <w:t xml:space="preserve"> and </w:t>
      </w:r>
      <w:r w:rsidR="00953FAD" w:rsidRPr="005B7CAC">
        <w:rPr>
          <w:rFonts w:ascii="Times New Roman" w:hAnsi="Times New Roman"/>
          <w:bCs/>
          <w:iCs/>
          <w:sz w:val="24"/>
          <w:szCs w:val="20"/>
          <w:lang w:val="en-US"/>
        </w:rPr>
        <w:t>take a longer time to cr</w:t>
      </w:r>
      <w:r w:rsidR="00AA1C51" w:rsidRPr="005B7CAC">
        <w:rPr>
          <w:rFonts w:ascii="Times New Roman" w:hAnsi="Times New Roman"/>
          <w:bCs/>
          <w:iCs/>
          <w:sz w:val="24"/>
          <w:szCs w:val="20"/>
          <w:lang w:val="en-US"/>
        </w:rPr>
        <w:t xml:space="preserve">eate stakeholder values </w:t>
      </w:r>
      <w:r w:rsidR="00AA1C51" w:rsidRPr="005B7CAC">
        <w:rPr>
          <w:rFonts w:ascii="Times New Roman" w:hAnsi="Times New Roman"/>
          <w:bCs/>
          <w:iCs/>
          <w:sz w:val="24"/>
          <w:szCs w:val="20"/>
          <w:lang w:val="en-US"/>
        </w:rPr>
        <w:fldChar w:fldCharType="begin" w:fldLock="1"/>
      </w:r>
      <w:r w:rsidR="0050174D" w:rsidRPr="005B7CAC">
        <w:rPr>
          <w:rFonts w:ascii="Times New Roman" w:hAnsi="Times New Roman"/>
          <w:bCs/>
          <w:iCs/>
          <w:sz w:val="24"/>
          <w:szCs w:val="20"/>
          <w:lang w:val="en-US"/>
        </w:rPr>
        <w:instrText>ADDIN CSL_CITATION {"citationItems":[{"id":"ITEM-1","itemData":{"DOI":"10.1111/corg.12567","ISSN":"14678683","abstract":"Research Question/Issue: We investigate the impact of board co-option on corporate environmental orientation from the perspective of waste management. As waste presents damaging effects on the natural environment, climate change, and human health, businesses assume an ethical responsibility to conduct their operations in a sustainable and responsible manner. Research Findings/Insights: Employing firm-level waste production data, we document a significant negative relationship between board co-option and waste generation, suggesting that co-opted directors help firms reduce their waste—a finding that also carries economic significance. The cross-sectional analyses reveal that the relationship only holds when a CEO does not chair the board and has a shorter tenure. Furthermore, we find that the board co-option–waste management relationship is stronger in environmentally sensitive industries and is mainly driven by the manufacturing firms. We perform a battery of analyses to rule out endogeneity concerns and check for the robustness of our results. The channel test reveals that CEOs of firms with higher waste management face lower performance-induced turnover, particularly when working with co-opted boards. Finally, we also find that co-option-induced waste management initiatives ultimately increase firms' economic value. Theoretical/Academic Implications: We document that co-opted boards may enhance firms' waste management practices by reducing performance-induced CEO turnover. Thus, we make important contributions to the corporate governance and environmentalism strands of the literature by highlighting the bright side of board co-option for waste reduction initiatives. Practitioner/Policy Implications: Our study provides vital policy implications for regulators and top management teams against the background of public outcry and social pressure to mitigate the damage to the environment and calls for ethical business practices.","author":[{"dropping-particle":"","family":"Gull","given":"Ammar Ali","non-dropping-particle":"","parse-names":false,"suffix":""},{"dropping-particle":"","family":"Luong","given":"Hoa","non-dropping-particle":"","parse-names":false,"suffix":""},{"dropping-particle":"","family":"Nadeem","given":"Muhammad","non-dropping-particle":"","parse-names":false,"suffix":""}],"container-title":"Corporate Governance: An International Review","id":"ITEM-1","issue":"5","issued":{"date-parts":[["2024"]]},"page":"758-785","title":"Board co-option and corporate environmental orientation: New insights from the waste management perspective","type":"article-journal","volume":"32"},"uris":["http://www.mendeley.com/documents/?uuid=026a1573-02d3-3c09-a2bc-ed265df5423b"]}],"mendeley":{"formattedCitation":"(Gull &lt;i&gt;et al.&lt;/i&gt;, 2024)","plainTextFormattedCitation":"(Gull et al., 2024)","previouslyFormattedCitation":"(Gull &lt;i&gt;et al.&lt;/i&gt;, 2024)"},"properties":{"noteIndex":0},"schema":"https://github.com/citation-style-language/schema/raw/master/csl-citation.json"}</w:instrText>
      </w:r>
      <w:r w:rsidR="00AA1C51" w:rsidRPr="005B7CAC">
        <w:rPr>
          <w:rFonts w:ascii="Times New Roman" w:hAnsi="Times New Roman"/>
          <w:bCs/>
          <w:iCs/>
          <w:sz w:val="24"/>
          <w:szCs w:val="20"/>
          <w:lang w:val="en-US"/>
        </w:rPr>
        <w:fldChar w:fldCharType="separate"/>
      </w:r>
      <w:r w:rsidR="00302318" w:rsidRPr="005B7CAC">
        <w:rPr>
          <w:rFonts w:ascii="Times New Roman" w:hAnsi="Times New Roman"/>
          <w:bCs/>
          <w:iCs/>
          <w:noProof/>
          <w:sz w:val="24"/>
          <w:szCs w:val="20"/>
          <w:lang w:val="en-US"/>
        </w:rPr>
        <w:t xml:space="preserve">(Gull </w:t>
      </w:r>
      <w:r w:rsidR="00302318" w:rsidRPr="005B7CAC">
        <w:rPr>
          <w:rFonts w:ascii="Times New Roman" w:hAnsi="Times New Roman"/>
          <w:bCs/>
          <w:i/>
          <w:iCs/>
          <w:noProof/>
          <w:sz w:val="24"/>
          <w:szCs w:val="20"/>
          <w:lang w:val="en-US"/>
        </w:rPr>
        <w:t>et al.</w:t>
      </w:r>
      <w:r w:rsidR="00302318" w:rsidRPr="005B7CAC">
        <w:rPr>
          <w:rFonts w:ascii="Times New Roman" w:hAnsi="Times New Roman"/>
          <w:bCs/>
          <w:iCs/>
          <w:noProof/>
          <w:sz w:val="24"/>
          <w:szCs w:val="20"/>
          <w:lang w:val="en-US"/>
        </w:rPr>
        <w:t>, 2024)</w:t>
      </w:r>
      <w:r w:rsidR="00AA1C51" w:rsidRPr="005B7CAC">
        <w:rPr>
          <w:rFonts w:ascii="Times New Roman" w:hAnsi="Times New Roman"/>
          <w:bCs/>
          <w:iCs/>
          <w:sz w:val="24"/>
          <w:szCs w:val="20"/>
          <w:lang w:val="en-US"/>
        </w:rPr>
        <w:fldChar w:fldCharType="end"/>
      </w:r>
      <w:r w:rsidR="00AA1C51" w:rsidRPr="005B7CAC">
        <w:rPr>
          <w:rFonts w:ascii="Times New Roman" w:hAnsi="Times New Roman"/>
          <w:bCs/>
          <w:iCs/>
          <w:sz w:val="24"/>
          <w:szCs w:val="20"/>
          <w:lang w:val="en-US"/>
        </w:rPr>
        <w:t xml:space="preserve">. </w:t>
      </w:r>
      <w:r w:rsidR="00EE6C7B" w:rsidRPr="005B7CAC">
        <w:rPr>
          <w:rFonts w:ascii="Times New Roman" w:hAnsi="Times New Roman"/>
          <w:bCs/>
          <w:iCs/>
          <w:sz w:val="24"/>
          <w:szCs w:val="20"/>
          <w:lang w:val="en-US"/>
        </w:rPr>
        <w:t>Since</w:t>
      </w:r>
      <w:r w:rsidR="007D342F" w:rsidRPr="005B7CAC">
        <w:rPr>
          <w:rFonts w:ascii="Times New Roman" w:hAnsi="Times New Roman"/>
          <w:bCs/>
          <w:iCs/>
          <w:sz w:val="24"/>
          <w:szCs w:val="20"/>
          <w:lang w:val="en-US"/>
        </w:rPr>
        <w:t xml:space="preserve"> proactive </w:t>
      </w:r>
      <w:r w:rsidR="007D342F" w:rsidRPr="005B7CAC">
        <w:rPr>
          <w:rFonts w:ascii="Times New Roman" w:hAnsi="Times New Roman"/>
          <w:bCs/>
          <w:i/>
          <w:iCs/>
          <w:sz w:val="24"/>
          <w:szCs w:val="20"/>
          <w:lang w:val="en-US"/>
        </w:rPr>
        <w:t>WM</w:t>
      </w:r>
      <w:r w:rsidR="007D342F" w:rsidRPr="005B7CAC">
        <w:rPr>
          <w:rFonts w:ascii="Times New Roman" w:hAnsi="Times New Roman"/>
          <w:bCs/>
          <w:iCs/>
          <w:sz w:val="24"/>
          <w:szCs w:val="20"/>
          <w:lang w:val="en-US"/>
        </w:rPr>
        <w:t xml:space="preserve"> practices </w:t>
      </w:r>
      <w:r w:rsidR="00EE6C7B" w:rsidRPr="005B7CAC">
        <w:rPr>
          <w:rFonts w:ascii="Times New Roman" w:hAnsi="Times New Roman"/>
          <w:bCs/>
          <w:iCs/>
          <w:sz w:val="24"/>
          <w:szCs w:val="20"/>
          <w:lang w:val="en-US"/>
        </w:rPr>
        <w:t xml:space="preserve">are more appealing </w:t>
      </w:r>
      <w:r w:rsidR="007D342F" w:rsidRPr="005B7CAC">
        <w:rPr>
          <w:rFonts w:ascii="Times New Roman" w:hAnsi="Times New Roman"/>
          <w:bCs/>
          <w:iCs/>
          <w:sz w:val="24"/>
          <w:szCs w:val="20"/>
          <w:lang w:val="en-US"/>
        </w:rPr>
        <w:t xml:space="preserve">to environmentally sensitive investors, </w:t>
      </w:r>
      <w:r w:rsidR="00EE6C7B" w:rsidRPr="005B7CAC">
        <w:rPr>
          <w:rFonts w:ascii="Times New Roman" w:hAnsi="Times New Roman"/>
          <w:bCs/>
          <w:iCs/>
          <w:sz w:val="24"/>
          <w:szCs w:val="20"/>
          <w:lang w:val="en-US"/>
        </w:rPr>
        <w:t xml:space="preserve">resulting in different growth and market </w:t>
      </w:r>
      <w:r w:rsidR="007D342F" w:rsidRPr="005B7CAC">
        <w:rPr>
          <w:rFonts w:ascii="Times New Roman" w:hAnsi="Times New Roman"/>
          <w:bCs/>
          <w:iCs/>
          <w:sz w:val="24"/>
          <w:szCs w:val="20"/>
          <w:lang w:val="en-US"/>
        </w:rPr>
        <w:t xml:space="preserve">value </w:t>
      </w:r>
      <w:r w:rsidR="00C90E94" w:rsidRPr="005B7CAC">
        <w:rPr>
          <w:rFonts w:ascii="Times New Roman" w:hAnsi="Times New Roman"/>
          <w:bCs/>
          <w:iCs/>
          <w:sz w:val="24"/>
          <w:szCs w:val="20"/>
          <w:lang w:val="en-US"/>
        </w:rPr>
        <w:t xml:space="preserve">than holistic environmental </w:t>
      </w:r>
      <w:r w:rsidR="007D342F" w:rsidRPr="005B7CAC">
        <w:rPr>
          <w:rFonts w:ascii="Times New Roman" w:hAnsi="Times New Roman"/>
          <w:bCs/>
          <w:iCs/>
          <w:sz w:val="24"/>
          <w:szCs w:val="20"/>
          <w:lang w:val="en-US"/>
        </w:rPr>
        <w:t>practices</w:t>
      </w:r>
      <w:r w:rsidR="00C90E94" w:rsidRPr="005B7CAC">
        <w:rPr>
          <w:rFonts w:ascii="Times New Roman" w:hAnsi="Times New Roman"/>
          <w:bCs/>
          <w:iCs/>
          <w:sz w:val="24"/>
          <w:szCs w:val="20"/>
          <w:lang w:val="en-US"/>
        </w:rPr>
        <w:t xml:space="preserve"> </w:t>
      </w:r>
      <w:r w:rsidR="00C90E94" w:rsidRPr="005B7CAC">
        <w:rPr>
          <w:rFonts w:ascii="Times New Roman" w:hAnsi="Times New Roman"/>
          <w:bCs/>
          <w:iCs/>
          <w:sz w:val="24"/>
          <w:szCs w:val="20"/>
          <w:lang w:val="en-US"/>
        </w:rPr>
        <w:fldChar w:fldCharType="begin" w:fldLock="1"/>
      </w:r>
      <w:r w:rsidR="0050174D" w:rsidRPr="005B7CAC">
        <w:rPr>
          <w:rFonts w:ascii="Times New Roman" w:hAnsi="Times New Roman"/>
          <w:bCs/>
          <w:iCs/>
          <w:sz w:val="24"/>
          <w:szCs w:val="20"/>
          <w:lang w:val="en-US"/>
        </w:rPr>
        <w:instrText>ADDIN CSL_CITATION {"citationItems":[{"id":"ITEM-1","itemData":{"DOI":"10.1016/J.ECONMOD.2022.105932","ISSN":"0264-9993","abstract":"This study examines an important yet underexplored aspect of firms’ sustainability practices, i.e., waste management, in order to analyze its impact on financial performance. Although the extant literature has focused on various aspects of sustainability, the impact of waste management, which has disastrous consequences for the climate and firm performance, remains largely unexplored. Thus, using the 2002–2019 data of listed firms from 41 countries, we found a significantly negative (positive) relationship between waste generation (recycling) and financial performance. Our findings are robust to alternative variables, sub-sample analysis, and identification strategies. Moreover, a channel analysis showed that this relationship is influenced by operating costs, ESG performance-based compensation, industry nature, the Paris agreement on climate change, and the global financial crisis. Overall, the findings suggest that environmental initiatives are beneficial for firms and present important policy implications for regulators and firms.","author":[{"dropping-particle":"","family":"Gull","given":"Ammar Ali","non-dropping-particle":"","parse-names":false,"suffix":""},{"dropping-particle":"","family":"Atif","given":"Muhammad","non-dropping-particle":"","parse-names":false,"suffix":""},{"dropping-particle":"","family":"Ahsan","given":"Tanveer","non-dropping-particle":"","parse-names":false,"suffix":""},{"dropping-particle":"","family":"Derouiche","given":"Imen","non-dropping-particle":"","parse-names":false,"suffix":""}],"container-title":"Economic Modelling","id":"ITEM-1","issued":{"date-parts":[["2022","9","1"]]},"page":"105932","title":"Does waste management affect firm performance? International evidence","type":"article-journal","volume":"114"},"uris":["http://www.mendeley.com/documents/?uuid=0ecbc08a-9434-37fc-b2bd-379559bf0932"]}],"mendeley":{"formattedCitation":"(Gull, Atif, Ahsan, &lt;i&gt;et al.&lt;/i&gt;, 2022)","manualFormatting":"(Gull et al., 2022a)","plainTextFormattedCitation":"(Gull, Atif, Ahsan, et al., 2022)","previouslyFormattedCitation":"(Gull, Atif, Ahsan, &lt;i&gt;et al.&lt;/i&gt;, 2022)"},"properties":{"noteIndex":0},"schema":"https://github.com/citation-style-language/schema/raw/master/csl-citation.json"}</w:instrText>
      </w:r>
      <w:r w:rsidR="00C90E94" w:rsidRPr="005B7CAC">
        <w:rPr>
          <w:rFonts w:ascii="Times New Roman" w:hAnsi="Times New Roman"/>
          <w:bCs/>
          <w:iCs/>
          <w:sz w:val="24"/>
          <w:szCs w:val="20"/>
          <w:lang w:val="en-US"/>
        </w:rPr>
        <w:fldChar w:fldCharType="separate"/>
      </w:r>
      <w:r w:rsidR="00C90E94" w:rsidRPr="005B7CAC">
        <w:rPr>
          <w:rFonts w:ascii="Times New Roman" w:hAnsi="Times New Roman"/>
          <w:bCs/>
          <w:iCs/>
          <w:noProof/>
          <w:sz w:val="24"/>
          <w:szCs w:val="20"/>
          <w:lang w:val="en-US"/>
        </w:rPr>
        <w:t>(Gull</w:t>
      </w:r>
      <w:r w:rsidR="006920C5" w:rsidRPr="005B7CAC">
        <w:rPr>
          <w:rFonts w:ascii="Times New Roman" w:hAnsi="Times New Roman"/>
          <w:bCs/>
          <w:iCs/>
          <w:noProof/>
          <w:sz w:val="24"/>
          <w:szCs w:val="20"/>
          <w:lang w:val="en-US"/>
        </w:rPr>
        <w:t xml:space="preserve"> </w:t>
      </w:r>
      <w:r w:rsidR="00C90E94" w:rsidRPr="005B7CAC">
        <w:rPr>
          <w:rFonts w:ascii="Times New Roman" w:hAnsi="Times New Roman"/>
          <w:bCs/>
          <w:i/>
          <w:iCs/>
          <w:noProof/>
          <w:sz w:val="24"/>
          <w:szCs w:val="20"/>
          <w:lang w:val="en-US"/>
        </w:rPr>
        <w:t>et al.</w:t>
      </w:r>
      <w:r w:rsidR="00C90E94" w:rsidRPr="005B7CAC">
        <w:rPr>
          <w:rFonts w:ascii="Times New Roman" w:hAnsi="Times New Roman"/>
          <w:bCs/>
          <w:iCs/>
          <w:noProof/>
          <w:sz w:val="24"/>
          <w:szCs w:val="20"/>
          <w:lang w:val="en-US"/>
        </w:rPr>
        <w:t>, 2022</w:t>
      </w:r>
      <w:r w:rsidR="006920C5" w:rsidRPr="005B7CAC">
        <w:rPr>
          <w:rFonts w:ascii="Times New Roman" w:hAnsi="Times New Roman"/>
          <w:bCs/>
          <w:iCs/>
          <w:noProof/>
          <w:sz w:val="24"/>
          <w:szCs w:val="20"/>
          <w:lang w:val="en-US"/>
        </w:rPr>
        <w:t>a</w:t>
      </w:r>
      <w:r w:rsidR="00C90E94" w:rsidRPr="005B7CAC">
        <w:rPr>
          <w:rFonts w:ascii="Times New Roman" w:hAnsi="Times New Roman"/>
          <w:bCs/>
          <w:iCs/>
          <w:noProof/>
          <w:sz w:val="24"/>
          <w:szCs w:val="20"/>
          <w:lang w:val="en-US"/>
        </w:rPr>
        <w:t>)</w:t>
      </w:r>
      <w:r w:rsidR="00C90E94" w:rsidRPr="005B7CAC">
        <w:rPr>
          <w:rFonts w:ascii="Times New Roman" w:hAnsi="Times New Roman"/>
          <w:bCs/>
          <w:iCs/>
          <w:sz w:val="24"/>
          <w:szCs w:val="20"/>
          <w:lang w:val="en-US"/>
        </w:rPr>
        <w:fldChar w:fldCharType="end"/>
      </w:r>
      <w:r w:rsidR="00EE6C7B" w:rsidRPr="005B7CAC">
        <w:rPr>
          <w:rFonts w:ascii="Times New Roman" w:hAnsi="Times New Roman"/>
          <w:bCs/>
          <w:iCs/>
          <w:sz w:val="24"/>
          <w:szCs w:val="20"/>
          <w:lang w:val="en-US"/>
        </w:rPr>
        <w:t xml:space="preserve">, </w:t>
      </w:r>
      <w:r w:rsidR="00B1018C" w:rsidRPr="005B7CAC">
        <w:rPr>
          <w:rFonts w:ascii="Times New Roman" w:hAnsi="Times New Roman"/>
          <w:bCs/>
          <w:i/>
          <w:iCs/>
          <w:sz w:val="24"/>
          <w:szCs w:val="20"/>
          <w:lang w:val="en-US"/>
        </w:rPr>
        <w:t>WM</w:t>
      </w:r>
      <w:r w:rsidR="007D342F" w:rsidRPr="005B7CAC">
        <w:rPr>
          <w:rFonts w:ascii="Times New Roman" w:hAnsi="Times New Roman"/>
          <w:bCs/>
          <w:iCs/>
          <w:sz w:val="24"/>
          <w:szCs w:val="20"/>
          <w:lang w:val="en-US"/>
        </w:rPr>
        <w:t xml:space="preserve"> can also </w:t>
      </w:r>
      <w:r w:rsidR="00F70B68" w:rsidRPr="005B7CAC">
        <w:rPr>
          <w:rFonts w:ascii="Times New Roman" w:hAnsi="Times New Roman"/>
          <w:bCs/>
          <w:iCs/>
          <w:sz w:val="24"/>
          <w:szCs w:val="20"/>
          <w:lang w:val="en-US"/>
        </w:rPr>
        <w:t>lead to different financial results</w:t>
      </w:r>
      <w:r w:rsidR="007D342F" w:rsidRPr="005B7CAC">
        <w:rPr>
          <w:rFonts w:ascii="Times New Roman" w:hAnsi="Times New Roman"/>
          <w:bCs/>
          <w:iCs/>
          <w:sz w:val="24"/>
          <w:szCs w:val="20"/>
          <w:lang w:val="en-US"/>
        </w:rPr>
        <w:t xml:space="preserve"> through market perceptio</w:t>
      </w:r>
      <w:r w:rsidR="00EE6C7B" w:rsidRPr="005B7CAC">
        <w:rPr>
          <w:rFonts w:ascii="Times New Roman" w:hAnsi="Times New Roman"/>
          <w:bCs/>
          <w:iCs/>
          <w:sz w:val="24"/>
          <w:szCs w:val="20"/>
          <w:lang w:val="en-US"/>
        </w:rPr>
        <w:t>ns.</w:t>
      </w:r>
      <w:r w:rsidR="00C90E94" w:rsidRPr="005B7CAC">
        <w:rPr>
          <w:rFonts w:ascii="Times New Roman" w:hAnsi="Times New Roman"/>
          <w:bCs/>
          <w:iCs/>
          <w:sz w:val="24"/>
          <w:szCs w:val="20"/>
          <w:lang w:val="en-US"/>
        </w:rPr>
        <w:t xml:space="preserve"> </w:t>
      </w:r>
      <w:r w:rsidR="002B2BEE" w:rsidRPr="005B7CAC">
        <w:rPr>
          <w:rFonts w:ascii="Times New Roman" w:hAnsi="Times New Roman"/>
          <w:bCs/>
          <w:iCs/>
          <w:sz w:val="24"/>
          <w:szCs w:val="20"/>
          <w:lang w:val="en-US"/>
        </w:rPr>
        <w:t>In addition</w:t>
      </w:r>
      <w:r w:rsidR="001C1889" w:rsidRPr="005B7CAC">
        <w:rPr>
          <w:rFonts w:ascii="Times New Roman" w:hAnsi="Times New Roman"/>
          <w:bCs/>
          <w:iCs/>
          <w:sz w:val="24"/>
          <w:szCs w:val="20"/>
          <w:lang w:val="en-US"/>
        </w:rPr>
        <w:t xml:space="preserve">, unlike subjective environmental performance </w:t>
      </w:r>
      <w:r w:rsidR="002B2BEE" w:rsidRPr="005B7CAC">
        <w:rPr>
          <w:rFonts w:ascii="Times New Roman" w:hAnsi="Times New Roman"/>
          <w:bCs/>
          <w:iCs/>
          <w:sz w:val="24"/>
          <w:szCs w:val="20"/>
          <w:lang w:val="en-US"/>
        </w:rPr>
        <w:t>ratings</w:t>
      </w:r>
      <w:r w:rsidR="001C1889" w:rsidRPr="005B7CAC">
        <w:rPr>
          <w:rFonts w:ascii="Times New Roman" w:hAnsi="Times New Roman"/>
          <w:bCs/>
          <w:iCs/>
          <w:sz w:val="24"/>
          <w:szCs w:val="20"/>
          <w:lang w:val="en-US"/>
        </w:rPr>
        <w:t xml:space="preserve"> </w:t>
      </w:r>
      <w:r w:rsidR="002B2BEE" w:rsidRPr="005B7CAC">
        <w:rPr>
          <w:rFonts w:ascii="Times New Roman" w:hAnsi="Times New Roman"/>
          <w:bCs/>
          <w:iCs/>
          <w:sz w:val="24"/>
          <w:szCs w:val="20"/>
          <w:lang w:val="en-US"/>
        </w:rPr>
        <w:t>determined</w:t>
      </w:r>
      <w:r w:rsidR="001C1889" w:rsidRPr="005B7CAC">
        <w:rPr>
          <w:rFonts w:ascii="Times New Roman" w:hAnsi="Times New Roman"/>
          <w:bCs/>
          <w:iCs/>
          <w:sz w:val="24"/>
          <w:szCs w:val="20"/>
          <w:lang w:val="en-US"/>
        </w:rPr>
        <w:t xml:space="preserve"> by various rating agencies, </w:t>
      </w:r>
      <w:r w:rsidR="00CF38B8" w:rsidRPr="005B7CAC">
        <w:rPr>
          <w:rFonts w:ascii="Times New Roman" w:hAnsi="Times New Roman"/>
          <w:bCs/>
          <w:i/>
          <w:iCs/>
          <w:sz w:val="24"/>
          <w:szCs w:val="20"/>
          <w:lang w:val="en-US"/>
        </w:rPr>
        <w:t>WM</w:t>
      </w:r>
      <w:r w:rsidR="001C1889" w:rsidRPr="005B7CAC">
        <w:rPr>
          <w:rFonts w:ascii="Times New Roman" w:hAnsi="Times New Roman"/>
          <w:bCs/>
          <w:iCs/>
          <w:sz w:val="24"/>
          <w:szCs w:val="20"/>
          <w:lang w:val="en-US"/>
        </w:rPr>
        <w:t xml:space="preserve"> </w:t>
      </w:r>
      <w:r w:rsidR="002B2BEE" w:rsidRPr="005B7CAC">
        <w:rPr>
          <w:rFonts w:ascii="Times New Roman" w:hAnsi="Times New Roman"/>
          <w:bCs/>
          <w:iCs/>
          <w:sz w:val="24"/>
          <w:szCs w:val="20"/>
          <w:lang w:val="en-US"/>
        </w:rPr>
        <w:t>metrics are</w:t>
      </w:r>
      <w:r w:rsidR="001C1889" w:rsidRPr="005B7CAC">
        <w:rPr>
          <w:rFonts w:ascii="Times New Roman" w:hAnsi="Times New Roman"/>
          <w:bCs/>
          <w:iCs/>
          <w:sz w:val="24"/>
          <w:szCs w:val="20"/>
          <w:lang w:val="en-US"/>
        </w:rPr>
        <w:t xml:space="preserve"> actual, </w:t>
      </w:r>
      <w:r w:rsidR="004E0A55" w:rsidRPr="005B7CAC">
        <w:rPr>
          <w:rFonts w:ascii="Times New Roman" w:hAnsi="Times New Roman"/>
          <w:bCs/>
          <w:iCs/>
          <w:sz w:val="24"/>
          <w:szCs w:val="20"/>
          <w:lang w:val="en-US"/>
        </w:rPr>
        <w:t>measurable,</w:t>
      </w:r>
      <w:r w:rsidR="001C1889" w:rsidRPr="005B7CAC">
        <w:rPr>
          <w:rFonts w:ascii="Times New Roman" w:hAnsi="Times New Roman"/>
          <w:bCs/>
          <w:iCs/>
          <w:sz w:val="24"/>
          <w:szCs w:val="20"/>
          <w:lang w:val="en-US"/>
        </w:rPr>
        <w:t xml:space="preserve"> and objective </w:t>
      </w:r>
      <w:r w:rsidR="002B2BEE" w:rsidRPr="005B7CAC">
        <w:rPr>
          <w:rFonts w:ascii="Times New Roman" w:hAnsi="Times New Roman"/>
          <w:bCs/>
          <w:iCs/>
          <w:sz w:val="24"/>
          <w:szCs w:val="20"/>
          <w:lang w:val="en-US"/>
        </w:rPr>
        <w:t>indicators</w:t>
      </w:r>
      <w:r w:rsidR="001C1889" w:rsidRPr="005B7CAC">
        <w:rPr>
          <w:rFonts w:ascii="Times New Roman" w:hAnsi="Times New Roman"/>
          <w:bCs/>
          <w:iCs/>
          <w:sz w:val="24"/>
          <w:szCs w:val="20"/>
          <w:lang w:val="en-US"/>
        </w:rPr>
        <w:t xml:space="preserve"> of environmental impact</w:t>
      </w:r>
      <w:r w:rsidR="002B2BEE" w:rsidRPr="005B7CAC">
        <w:rPr>
          <w:rFonts w:ascii="Times New Roman" w:hAnsi="Times New Roman"/>
          <w:bCs/>
          <w:iCs/>
          <w:sz w:val="24"/>
          <w:szCs w:val="20"/>
          <w:lang w:val="en-US"/>
        </w:rPr>
        <w:t xml:space="preserve">s </w:t>
      </w:r>
      <w:r w:rsidR="002B2BEE" w:rsidRPr="005B7CAC">
        <w:rPr>
          <w:rFonts w:ascii="Times New Roman" w:hAnsi="Times New Roman"/>
          <w:bCs/>
          <w:iCs/>
          <w:sz w:val="24"/>
          <w:szCs w:val="20"/>
          <w:lang w:val="en-US"/>
        </w:rPr>
        <w:fldChar w:fldCharType="begin" w:fldLock="1"/>
      </w:r>
      <w:r w:rsidR="0050174D" w:rsidRPr="005B7CAC">
        <w:rPr>
          <w:rFonts w:ascii="Times New Roman" w:hAnsi="Times New Roman"/>
          <w:bCs/>
          <w:iCs/>
          <w:sz w:val="24"/>
          <w:szCs w:val="20"/>
          <w:lang w:val="en-US"/>
        </w:rPr>
        <w:instrText>ADDIN CSL_CITATION {"citationItems":[{"id":"ITEM-1","itemData":{"DOI":"10.1111/corg.12567","ISSN":"14678683","abstract":"Research Question/Issue: We investigate the impact of board co-option on corporate environmental orientation from the perspective of waste management. As waste presents damaging effects on the natural environment, climate change, and human health, businesses assume an ethical responsibility to conduct their operations in a sustainable and responsible manner. Research Findings/Insights: Employing firm-level waste production data, we document a significant negative relationship between board co-option and waste generation, suggesting that co-opted directors help firms reduce their waste—a finding that also carries economic significance. The cross-sectional analyses reveal that the relationship only holds when a CEO does not chair the board and has a shorter tenure. Furthermore, we find that the board co-option–waste management relationship is stronger in environmentally sensitive industries and is mainly driven by the manufacturing firms. We perform a battery of analyses to rule out endogeneity concerns and check for the robustness of our results. The channel test reveals that CEOs of firms with higher waste management face lower performance-induced turnover, particularly when working with co-opted boards. Finally, we also find that co-option-induced waste management initiatives ultimately increase firms' economic value. Theoretical/Academic Implications: We document that co-opted boards may enhance firms' waste management practices by reducing performance-induced CEO turnover. Thus, we make important contributions to the corporate governance and environmentalism strands of the literature by highlighting the bright side of board co-option for waste reduction initiatives. Practitioner/Policy Implications: Our study provides vital policy implications for regulators and top management teams against the background of public outcry and social pressure to mitigate the damage to the environment and calls for ethical business practices.","author":[{"dropping-particle":"","family":"Gull","given":"Ammar Ali","non-dropping-particle":"","parse-names":false,"suffix":""},{"dropping-particle":"","family":"Luong","given":"Hoa","non-dropping-particle":"","parse-names":false,"suffix":""},{"dropping-particle":"","family":"Nadeem","given":"Muhammad","non-dropping-particle":"","parse-names":false,"suffix":""}],"container-title":"Corporate Governance: An International Review","id":"ITEM-1","issue":"5","issued":{"date-parts":[["2024"]]},"page":"758-785","title":"Board co-option and corporate environmental orientation: New insights from the waste management perspective","type":"article-journal","volume":"32"},"uris":["http://www.mendeley.com/documents/?uuid=026a1573-02d3-3c09-a2bc-ed265df5423b"]}],"mendeley":{"formattedCitation":"(Gull &lt;i&gt;et al.&lt;/i&gt;, 2024)","plainTextFormattedCitation":"(Gull et al., 2024)","previouslyFormattedCitation":"(Gull &lt;i&gt;et al.&lt;/i&gt;, 2024)"},"properties":{"noteIndex":0},"schema":"https://github.com/citation-style-language/schema/raw/master/csl-citation.json"}</w:instrText>
      </w:r>
      <w:r w:rsidR="002B2BEE" w:rsidRPr="005B7CAC">
        <w:rPr>
          <w:rFonts w:ascii="Times New Roman" w:hAnsi="Times New Roman"/>
          <w:bCs/>
          <w:iCs/>
          <w:sz w:val="24"/>
          <w:szCs w:val="20"/>
          <w:lang w:val="en-US"/>
        </w:rPr>
        <w:fldChar w:fldCharType="separate"/>
      </w:r>
      <w:r w:rsidR="00302318" w:rsidRPr="005B7CAC">
        <w:rPr>
          <w:rFonts w:ascii="Times New Roman" w:hAnsi="Times New Roman"/>
          <w:bCs/>
          <w:iCs/>
          <w:noProof/>
          <w:sz w:val="24"/>
          <w:szCs w:val="20"/>
          <w:lang w:val="en-US"/>
        </w:rPr>
        <w:t xml:space="preserve">(Gull </w:t>
      </w:r>
      <w:r w:rsidR="00302318" w:rsidRPr="005B7CAC">
        <w:rPr>
          <w:rFonts w:ascii="Times New Roman" w:hAnsi="Times New Roman"/>
          <w:bCs/>
          <w:i/>
          <w:iCs/>
          <w:noProof/>
          <w:sz w:val="24"/>
          <w:szCs w:val="20"/>
          <w:lang w:val="en-US"/>
        </w:rPr>
        <w:t>et al.</w:t>
      </w:r>
      <w:r w:rsidR="00302318" w:rsidRPr="005B7CAC">
        <w:rPr>
          <w:rFonts w:ascii="Times New Roman" w:hAnsi="Times New Roman"/>
          <w:bCs/>
          <w:iCs/>
          <w:noProof/>
          <w:sz w:val="24"/>
          <w:szCs w:val="20"/>
          <w:lang w:val="en-US"/>
        </w:rPr>
        <w:t>, 2024)</w:t>
      </w:r>
      <w:r w:rsidR="002B2BEE" w:rsidRPr="005B7CAC">
        <w:rPr>
          <w:rFonts w:ascii="Times New Roman" w:hAnsi="Times New Roman"/>
          <w:bCs/>
          <w:iCs/>
          <w:sz w:val="24"/>
          <w:szCs w:val="20"/>
          <w:lang w:val="en-US"/>
        </w:rPr>
        <w:fldChar w:fldCharType="end"/>
      </w:r>
      <w:r w:rsidR="00CF38B8" w:rsidRPr="005B7CAC">
        <w:rPr>
          <w:rFonts w:ascii="Times New Roman" w:hAnsi="Times New Roman"/>
          <w:bCs/>
          <w:iCs/>
          <w:sz w:val="24"/>
          <w:szCs w:val="20"/>
          <w:lang w:val="en-US"/>
        </w:rPr>
        <w:t xml:space="preserve">. </w:t>
      </w:r>
      <w:r w:rsidR="00A822FA" w:rsidRPr="005B7CAC">
        <w:rPr>
          <w:rFonts w:ascii="Times New Roman" w:hAnsi="Times New Roman"/>
          <w:bCs/>
          <w:iCs/>
          <w:sz w:val="24"/>
          <w:szCs w:val="20"/>
          <w:lang w:val="en-US"/>
        </w:rPr>
        <w:t xml:space="preserve">Therefore, </w:t>
      </w:r>
      <w:r w:rsidR="009D5D9C" w:rsidRPr="005B7CAC">
        <w:rPr>
          <w:rFonts w:ascii="Times New Roman" w:hAnsi="Times New Roman"/>
          <w:bCs/>
          <w:iCs/>
          <w:sz w:val="24"/>
          <w:szCs w:val="20"/>
          <w:lang w:val="en-US"/>
        </w:rPr>
        <w:t>it is crucial to assess the financial consequences of waste generation and mitigation/recycling.</w:t>
      </w:r>
      <w:r w:rsidR="00205015" w:rsidRPr="005B7CAC">
        <w:rPr>
          <w:rFonts w:ascii="Times New Roman" w:hAnsi="Times New Roman"/>
          <w:bCs/>
          <w:iCs/>
          <w:sz w:val="24"/>
          <w:szCs w:val="20"/>
          <w:lang w:val="en-US"/>
        </w:rPr>
        <w:t xml:space="preserve"> </w:t>
      </w:r>
      <w:r w:rsidR="00354E02" w:rsidRPr="005B7CAC">
        <w:rPr>
          <w:rFonts w:ascii="Times New Roman" w:hAnsi="Times New Roman"/>
          <w:bCs/>
          <w:iCs/>
          <w:sz w:val="24"/>
          <w:szCs w:val="20"/>
          <w:lang w:val="en-US"/>
        </w:rPr>
        <w:t xml:space="preserve">Given that effective </w:t>
      </w:r>
      <w:r w:rsidR="00AA1C51" w:rsidRPr="005B7CAC">
        <w:rPr>
          <w:rFonts w:ascii="Times New Roman" w:hAnsi="Times New Roman"/>
          <w:bCs/>
          <w:i/>
          <w:iCs/>
          <w:sz w:val="24"/>
          <w:szCs w:val="20"/>
          <w:lang w:val="en-US"/>
        </w:rPr>
        <w:t>WM</w:t>
      </w:r>
      <w:r w:rsidR="00263A2A" w:rsidRPr="005B7CAC">
        <w:rPr>
          <w:rFonts w:ascii="Times New Roman" w:hAnsi="Times New Roman"/>
          <w:bCs/>
          <w:iCs/>
          <w:sz w:val="24"/>
          <w:szCs w:val="20"/>
          <w:lang w:val="en-US"/>
        </w:rPr>
        <w:t xml:space="preserve"> </w:t>
      </w:r>
      <w:r w:rsidR="00354E02" w:rsidRPr="005B7CAC">
        <w:rPr>
          <w:rFonts w:ascii="Times New Roman" w:hAnsi="Times New Roman"/>
          <w:bCs/>
          <w:iCs/>
          <w:sz w:val="24"/>
          <w:szCs w:val="20"/>
          <w:lang w:val="en-US"/>
        </w:rPr>
        <w:t xml:space="preserve">can reduce </w:t>
      </w:r>
      <w:r w:rsidR="00AA1C51" w:rsidRPr="005B7CAC">
        <w:rPr>
          <w:rFonts w:ascii="Times New Roman" w:hAnsi="Times New Roman"/>
          <w:bCs/>
          <w:iCs/>
          <w:sz w:val="24"/>
          <w:szCs w:val="20"/>
          <w:lang w:val="en-US"/>
        </w:rPr>
        <w:t xml:space="preserve">litigation costs, </w:t>
      </w:r>
      <w:r w:rsidR="00840929" w:rsidRPr="005B7CAC">
        <w:rPr>
          <w:rFonts w:ascii="Times New Roman" w:hAnsi="Times New Roman"/>
          <w:bCs/>
          <w:iCs/>
          <w:sz w:val="24"/>
          <w:szCs w:val="20"/>
          <w:lang w:val="en-US"/>
        </w:rPr>
        <w:t xml:space="preserve">enhance </w:t>
      </w:r>
      <w:r w:rsidR="00263A2A" w:rsidRPr="005B7CAC">
        <w:rPr>
          <w:rFonts w:ascii="Times New Roman" w:hAnsi="Times New Roman"/>
          <w:bCs/>
          <w:iCs/>
          <w:sz w:val="24"/>
          <w:szCs w:val="20"/>
          <w:lang w:val="en-US"/>
        </w:rPr>
        <w:t xml:space="preserve">corporate </w:t>
      </w:r>
      <w:r w:rsidR="00354E02" w:rsidRPr="005B7CAC">
        <w:rPr>
          <w:rFonts w:ascii="Times New Roman" w:hAnsi="Times New Roman"/>
          <w:bCs/>
          <w:iCs/>
          <w:sz w:val="24"/>
          <w:szCs w:val="20"/>
          <w:lang w:val="en-US"/>
        </w:rPr>
        <w:t>reputation</w:t>
      </w:r>
      <w:r w:rsidR="00AA1C51" w:rsidRPr="005B7CAC">
        <w:rPr>
          <w:rFonts w:ascii="Times New Roman" w:hAnsi="Times New Roman"/>
          <w:bCs/>
          <w:iCs/>
          <w:sz w:val="24"/>
          <w:szCs w:val="20"/>
          <w:lang w:val="en-US"/>
        </w:rPr>
        <w:t xml:space="preserve">, and </w:t>
      </w:r>
      <w:r w:rsidR="009D5D9C" w:rsidRPr="005B7CAC">
        <w:rPr>
          <w:rFonts w:ascii="Times New Roman" w:hAnsi="Times New Roman"/>
          <w:bCs/>
          <w:iCs/>
          <w:sz w:val="24"/>
          <w:szCs w:val="20"/>
          <w:lang w:val="en-US"/>
        </w:rPr>
        <w:t>mitigate</w:t>
      </w:r>
      <w:r w:rsidR="00354E02" w:rsidRPr="005B7CAC">
        <w:rPr>
          <w:rFonts w:ascii="Times New Roman" w:hAnsi="Times New Roman"/>
          <w:bCs/>
          <w:iCs/>
          <w:sz w:val="24"/>
          <w:szCs w:val="20"/>
          <w:lang w:val="en-US"/>
        </w:rPr>
        <w:t xml:space="preserve"> operational risks </w:t>
      </w:r>
      <w:r w:rsidR="00A822FA" w:rsidRPr="005B7CAC">
        <w:rPr>
          <w:rFonts w:ascii="Times New Roman" w:hAnsi="Times New Roman"/>
          <w:bCs/>
          <w:iCs/>
          <w:sz w:val="24"/>
          <w:szCs w:val="20"/>
          <w:lang w:val="en-US"/>
        </w:rPr>
        <w:fldChar w:fldCharType="begin" w:fldLock="1"/>
      </w:r>
      <w:r w:rsidR="0050174D" w:rsidRPr="005B7CAC">
        <w:rPr>
          <w:rFonts w:ascii="Times New Roman" w:hAnsi="Times New Roman"/>
          <w:bCs/>
          <w:iCs/>
          <w:sz w:val="24"/>
          <w:szCs w:val="20"/>
          <w:lang w:val="en-US"/>
        </w:rPr>
        <w:instrText>ADDIN CSL_CITATION {"citationItems":[{"id":"ITEM-1","itemData":{"DOI":"10.1016/J.ECONMOD.2022.105932","ISSN":"0264-9993","abstract":"This study examines an important yet underexplored aspect of firms’ sustainability practices, i.e., waste management, in order to analyze its impact on financial performance. Although the extant literature has focused on various aspects of sustainability, the impact of waste management, which has disastrous consequences for the climate and firm performance, remains largely unexplored. Thus, using the 2002–2019 data of listed firms from 41 countries, we found a significantly negative (positive) relationship between waste generation (recycling) and financial performance. Our findings are robust to alternative variables, sub-sample analysis, and identification strategies. Moreover, a channel analysis showed that this relationship is influenced by operating costs, ESG performance-based compensation, industry nature, the Paris agreement on climate change, and the global financial crisis. Overall, the findings suggest that environmental initiatives are beneficial for firms and present important policy implications for regulators and firms.","author":[{"dropping-particle":"","family":"Gull","given":"Ammar Ali","non-dropping-particle":"","parse-names":false,"suffix":""},{"dropping-particle":"","family":"Atif","given":"Muhammad","non-dropping-particle":"","parse-names":false,"suffix":""},{"dropping-particle":"","family":"Ahsan","given":"Tanveer","non-dropping-particle":"","parse-names":false,"suffix":""},{"dropping-particle":"","family":"Derouiche","given":"Imen","non-dropping-particle":"","parse-names":false,"suffix":""}],"container-title":"Economic Modelling","id":"ITEM-1","issued":{"date-parts":[["2022","9","1"]]},"page":"105932","title":"Does waste management affect firm performance? International evidence","type":"article-journal","volume":"114"},"uris":["http://www.mendeley.com/documents/?uuid=0ecbc08a-9434-37fc-b2bd-379559bf0932"]},{"id":"ITEM-2","itemData":{"DOI":"10.1111/corg.12567","ISSN":"14678683","abstract":"Research Question/Issue: We investigate the impact of board co-option on corporate environmental orientation from the perspective of waste management. As waste presents damaging effects on the natural environment, climate change, and human health, businesses assume an ethical responsibility to conduct their operations in a sustainable and responsible manner. Research Findings/Insights: Employing firm-level waste production data, we document a significant negative relationship between board co-option and waste generation, suggesting that co-opted directors help firms reduce their waste—a finding that also carries economic significance. The cross-sectional analyses reveal that the relationship only holds when a CEO does not chair the board and has a shorter tenure. Furthermore, we find that the board co-option–waste management relationship is stronger in environmentally sensitive industries and is mainly driven by the manufacturing firms. We perform a battery of analyses to rule out endogeneity concerns and check for the robustness of our results. The channel test reveals that CEOs of firms with higher waste management face lower performance-induced turnover, particularly when working with co-opted boards. Finally, we also find that co-option-induced waste management initiatives ultimately increase firms' economic value. Theoretical/Academic Implications: We document that co-opted boards may enhance firms' waste management practices by reducing performance-induced CEO turnover. Thus, we make important contributions to the corporate governance and environmentalism strands of the literature by highlighting the bright side of board co-option for waste reduction initiatives. Practitioner/Policy Implications: Our study provides vital policy implications for regulators and top management teams against the background of public outcry and social pressure to mitigate the damage to the environment and calls for ethical business practices.","author":[{"dropping-particle":"","family":"Gull","given":"Ammar Ali","non-dropping-particle":"","parse-names":false,"suffix":""},{"dropping-particle":"","family":"Luong","given":"Hoa","non-dropping-particle":"","parse-names":false,"suffix":""},{"dropping-particle":"","family":"Nadeem","given":"Muhammad","non-dropping-particle":"","parse-names":false,"suffix":""}],"container-title":"Corporate Governance: An International Review","id":"ITEM-2","issue":"5","issued":{"date-parts":[["2024"]]},"page":"758-785","title":"Board co-option and corporate environmental orientation: New insights from the waste management perspective","type":"article-journal","volume":"32"},"uris":["http://www.mendeley.com/documents/?uuid=026a1573-02d3-3c09-a2bc-ed265df5423b"]}],"mendeley":{"formattedCitation":"(Gull, Atif, Ahsan, &lt;i&gt;et al.&lt;/i&gt;, 2022; Gull &lt;i&gt;et al.&lt;/i&gt;, 2024)","manualFormatting":"(Gull et al., 2022a; Gull et al., 2024)","plainTextFormattedCitation":"(Gull, Atif, Ahsan, et al., 2022; Gull et al., 2024)","previouslyFormattedCitation":"(Gull, Atif, Ahsan, &lt;i&gt;et al.&lt;/i&gt;, 2022; Gull &lt;i&gt;et al.&lt;/i&gt;, 2024)"},"properties":{"noteIndex":0},"schema":"https://github.com/citation-style-language/schema/raw/master/csl-citation.json"}</w:instrText>
      </w:r>
      <w:r w:rsidR="00A822FA" w:rsidRPr="005B7CAC">
        <w:rPr>
          <w:rFonts w:ascii="Times New Roman" w:hAnsi="Times New Roman"/>
          <w:bCs/>
          <w:iCs/>
          <w:sz w:val="24"/>
          <w:szCs w:val="20"/>
          <w:lang w:val="en-US"/>
        </w:rPr>
        <w:fldChar w:fldCharType="separate"/>
      </w:r>
      <w:r w:rsidR="00302318" w:rsidRPr="005B7CAC">
        <w:rPr>
          <w:rFonts w:ascii="Times New Roman" w:hAnsi="Times New Roman"/>
          <w:bCs/>
          <w:iCs/>
          <w:noProof/>
          <w:sz w:val="24"/>
          <w:szCs w:val="20"/>
          <w:lang w:val="en-US"/>
        </w:rPr>
        <w:t>(Gull</w:t>
      </w:r>
      <w:r w:rsidR="006920C5" w:rsidRPr="005B7CAC">
        <w:rPr>
          <w:rFonts w:ascii="Times New Roman" w:hAnsi="Times New Roman"/>
          <w:bCs/>
          <w:iCs/>
          <w:noProof/>
          <w:sz w:val="24"/>
          <w:szCs w:val="20"/>
          <w:lang w:val="en-US"/>
        </w:rPr>
        <w:t xml:space="preserve"> </w:t>
      </w:r>
      <w:r w:rsidR="00302318" w:rsidRPr="005B7CAC">
        <w:rPr>
          <w:rFonts w:ascii="Times New Roman" w:hAnsi="Times New Roman"/>
          <w:bCs/>
          <w:i/>
          <w:iCs/>
          <w:noProof/>
          <w:sz w:val="24"/>
          <w:szCs w:val="20"/>
          <w:lang w:val="en-US"/>
        </w:rPr>
        <w:t>et al.</w:t>
      </w:r>
      <w:r w:rsidR="00302318" w:rsidRPr="005B7CAC">
        <w:rPr>
          <w:rFonts w:ascii="Times New Roman" w:hAnsi="Times New Roman"/>
          <w:bCs/>
          <w:iCs/>
          <w:noProof/>
          <w:sz w:val="24"/>
          <w:szCs w:val="20"/>
          <w:lang w:val="en-US"/>
        </w:rPr>
        <w:t>, 2022</w:t>
      </w:r>
      <w:r w:rsidR="006920C5" w:rsidRPr="005B7CAC">
        <w:rPr>
          <w:rFonts w:ascii="Times New Roman" w:hAnsi="Times New Roman"/>
          <w:bCs/>
          <w:iCs/>
          <w:noProof/>
          <w:sz w:val="24"/>
          <w:szCs w:val="20"/>
          <w:lang w:val="en-US"/>
        </w:rPr>
        <w:t>a</w:t>
      </w:r>
      <w:r w:rsidR="00302318" w:rsidRPr="005B7CAC">
        <w:rPr>
          <w:rFonts w:ascii="Times New Roman" w:hAnsi="Times New Roman"/>
          <w:bCs/>
          <w:iCs/>
          <w:noProof/>
          <w:sz w:val="24"/>
          <w:szCs w:val="20"/>
          <w:lang w:val="en-US"/>
        </w:rPr>
        <w:t xml:space="preserve">; Gull </w:t>
      </w:r>
      <w:r w:rsidR="00302318" w:rsidRPr="005B7CAC">
        <w:rPr>
          <w:rFonts w:ascii="Times New Roman" w:hAnsi="Times New Roman"/>
          <w:bCs/>
          <w:i/>
          <w:iCs/>
          <w:noProof/>
          <w:sz w:val="24"/>
          <w:szCs w:val="20"/>
          <w:lang w:val="en-US"/>
        </w:rPr>
        <w:t>et al.</w:t>
      </w:r>
      <w:r w:rsidR="00302318" w:rsidRPr="005B7CAC">
        <w:rPr>
          <w:rFonts w:ascii="Times New Roman" w:hAnsi="Times New Roman"/>
          <w:bCs/>
          <w:iCs/>
          <w:noProof/>
          <w:sz w:val="24"/>
          <w:szCs w:val="20"/>
          <w:lang w:val="en-US"/>
        </w:rPr>
        <w:t>, 2024)</w:t>
      </w:r>
      <w:r w:rsidR="00A822FA" w:rsidRPr="005B7CAC">
        <w:rPr>
          <w:rFonts w:ascii="Times New Roman" w:hAnsi="Times New Roman"/>
          <w:bCs/>
          <w:iCs/>
          <w:sz w:val="24"/>
          <w:szCs w:val="20"/>
          <w:lang w:val="en-US"/>
        </w:rPr>
        <w:fldChar w:fldCharType="end"/>
      </w:r>
      <w:r w:rsidR="00354E02" w:rsidRPr="005B7CAC">
        <w:rPr>
          <w:rFonts w:ascii="Times New Roman" w:hAnsi="Times New Roman"/>
          <w:bCs/>
          <w:iCs/>
          <w:sz w:val="24"/>
          <w:szCs w:val="20"/>
          <w:lang w:val="en-US"/>
        </w:rPr>
        <w:t xml:space="preserve">, </w:t>
      </w:r>
      <w:r w:rsidR="00354E02" w:rsidRPr="005B7CAC">
        <w:rPr>
          <w:rFonts w:ascii="Times New Roman" w:hAnsi="Times New Roman"/>
          <w:bCs/>
          <w:i/>
          <w:iCs/>
          <w:sz w:val="24"/>
          <w:szCs w:val="20"/>
          <w:lang w:val="en-US"/>
        </w:rPr>
        <w:t>WM</w:t>
      </w:r>
      <w:r w:rsidR="00354E02" w:rsidRPr="005B7CAC">
        <w:rPr>
          <w:rFonts w:ascii="Times New Roman" w:hAnsi="Times New Roman"/>
          <w:bCs/>
          <w:iCs/>
          <w:sz w:val="24"/>
          <w:szCs w:val="20"/>
          <w:lang w:val="en-US"/>
        </w:rPr>
        <w:t xml:space="preserve"> is expected </w:t>
      </w:r>
      <w:r w:rsidR="00E209BF" w:rsidRPr="005B7CAC">
        <w:rPr>
          <w:rFonts w:ascii="Times New Roman" w:hAnsi="Times New Roman"/>
          <w:bCs/>
          <w:iCs/>
          <w:sz w:val="24"/>
          <w:szCs w:val="20"/>
          <w:lang w:val="en-US"/>
        </w:rPr>
        <w:t>to result in positive</w:t>
      </w:r>
      <w:r w:rsidR="00354E02" w:rsidRPr="005B7CAC">
        <w:rPr>
          <w:rFonts w:ascii="Times New Roman" w:hAnsi="Times New Roman"/>
          <w:bCs/>
          <w:iCs/>
          <w:sz w:val="24"/>
          <w:szCs w:val="20"/>
          <w:lang w:val="en-US"/>
        </w:rPr>
        <w:t xml:space="preserve"> financial results. </w:t>
      </w:r>
      <w:r w:rsidR="00AA1C51" w:rsidRPr="005B7CAC">
        <w:rPr>
          <w:rFonts w:ascii="Times New Roman" w:hAnsi="Times New Roman"/>
          <w:bCs/>
          <w:iCs/>
          <w:sz w:val="24"/>
          <w:szCs w:val="20"/>
          <w:lang w:val="en-US"/>
        </w:rPr>
        <w:t xml:space="preserve"> </w:t>
      </w:r>
    </w:p>
    <w:p w14:paraId="441D61E1" w14:textId="33A3AA47" w:rsidR="00613491" w:rsidRPr="005B7CAC" w:rsidRDefault="00A822FA" w:rsidP="003D5418">
      <w:pPr>
        <w:widowControl w:val="0"/>
        <w:autoSpaceDE w:val="0"/>
        <w:autoSpaceDN w:val="0"/>
        <w:adjustRightInd w:val="0"/>
        <w:spacing w:after="240" w:line="360" w:lineRule="auto"/>
        <w:jc w:val="both"/>
        <w:rPr>
          <w:rFonts w:ascii="Times New Roman" w:hAnsi="Times New Roman"/>
          <w:bCs/>
          <w:iCs/>
          <w:sz w:val="24"/>
          <w:szCs w:val="20"/>
          <w:lang w:val="en-US"/>
        </w:rPr>
      </w:pPr>
      <w:r w:rsidRPr="005B7CAC">
        <w:rPr>
          <w:rFonts w:ascii="Times New Roman" w:hAnsi="Times New Roman"/>
          <w:bCs/>
          <w:iCs/>
          <w:sz w:val="24"/>
          <w:szCs w:val="20"/>
          <w:lang w:val="en-US"/>
        </w:rPr>
        <w:t>B</w:t>
      </w:r>
      <w:r w:rsidR="00D16538" w:rsidRPr="005B7CAC">
        <w:rPr>
          <w:rFonts w:ascii="Times New Roman" w:hAnsi="Times New Roman"/>
          <w:bCs/>
          <w:iCs/>
          <w:sz w:val="24"/>
          <w:szCs w:val="20"/>
          <w:lang w:val="en-US"/>
        </w:rPr>
        <w:t xml:space="preserve">ecause </w:t>
      </w:r>
      <w:r w:rsidR="00CF38B8" w:rsidRPr="005B7CAC">
        <w:rPr>
          <w:rFonts w:ascii="Times New Roman" w:hAnsi="Times New Roman"/>
          <w:bCs/>
          <w:iCs/>
          <w:sz w:val="24"/>
          <w:szCs w:val="20"/>
          <w:lang w:val="en-US"/>
        </w:rPr>
        <w:t xml:space="preserve">modern </w:t>
      </w:r>
      <w:r w:rsidR="002B2BEE" w:rsidRPr="005B7CAC">
        <w:rPr>
          <w:rFonts w:ascii="Times New Roman" w:hAnsi="Times New Roman"/>
          <w:bCs/>
          <w:iCs/>
          <w:sz w:val="24"/>
          <w:szCs w:val="20"/>
          <w:lang w:val="en-US"/>
        </w:rPr>
        <w:t xml:space="preserve">businesses </w:t>
      </w:r>
      <w:r w:rsidR="003127C1" w:rsidRPr="005B7CAC">
        <w:rPr>
          <w:rFonts w:ascii="Times New Roman" w:hAnsi="Times New Roman"/>
          <w:bCs/>
          <w:iCs/>
          <w:sz w:val="24"/>
          <w:szCs w:val="20"/>
          <w:lang w:val="en-US"/>
        </w:rPr>
        <w:t xml:space="preserve">face tremendous challenges </w:t>
      </w:r>
      <w:r w:rsidR="00205015" w:rsidRPr="005B7CAC">
        <w:rPr>
          <w:rFonts w:ascii="Times New Roman" w:hAnsi="Times New Roman"/>
          <w:bCs/>
          <w:iCs/>
          <w:sz w:val="24"/>
          <w:szCs w:val="20"/>
          <w:lang w:val="en-US"/>
        </w:rPr>
        <w:t xml:space="preserve">when dealing with </w:t>
      </w:r>
      <w:r w:rsidR="003127C1" w:rsidRPr="005B7CAC">
        <w:rPr>
          <w:rFonts w:ascii="Times New Roman" w:hAnsi="Times New Roman"/>
          <w:bCs/>
          <w:iCs/>
          <w:sz w:val="24"/>
          <w:szCs w:val="20"/>
          <w:lang w:val="en-US"/>
        </w:rPr>
        <w:t xml:space="preserve">climate issues, </w:t>
      </w:r>
      <w:r w:rsidR="002B2BEE" w:rsidRPr="005B7CAC">
        <w:rPr>
          <w:rFonts w:ascii="Times New Roman" w:hAnsi="Times New Roman"/>
          <w:bCs/>
          <w:iCs/>
          <w:sz w:val="24"/>
          <w:szCs w:val="20"/>
          <w:lang w:val="en-US"/>
        </w:rPr>
        <w:t>adapt</w:t>
      </w:r>
      <w:r w:rsidR="00D16538" w:rsidRPr="005B7CAC">
        <w:rPr>
          <w:rFonts w:ascii="Times New Roman" w:hAnsi="Times New Roman"/>
          <w:bCs/>
          <w:iCs/>
          <w:sz w:val="24"/>
          <w:szCs w:val="20"/>
          <w:lang w:val="en-US"/>
        </w:rPr>
        <w:t>ing</w:t>
      </w:r>
      <w:r w:rsidR="002B2BEE" w:rsidRPr="005B7CAC">
        <w:rPr>
          <w:rFonts w:ascii="Times New Roman" w:hAnsi="Times New Roman"/>
          <w:bCs/>
          <w:iCs/>
          <w:sz w:val="24"/>
          <w:szCs w:val="20"/>
          <w:lang w:val="en-US"/>
        </w:rPr>
        <w:t xml:space="preserve"> to volatile </w:t>
      </w:r>
      <w:r w:rsidR="00CF38B8" w:rsidRPr="005B7CAC">
        <w:rPr>
          <w:rFonts w:ascii="Times New Roman" w:hAnsi="Times New Roman"/>
          <w:bCs/>
          <w:iCs/>
          <w:sz w:val="24"/>
          <w:szCs w:val="20"/>
          <w:lang w:val="en-US"/>
        </w:rPr>
        <w:t xml:space="preserve">business environments, </w:t>
      </w:r>
      <w:r w:rsidR="002B2BEE" w:rsidRPr="005B7CAC">
        <w:rPr>
          <w:rFonts w:ascii="Times New Roman" w:hAnsi="Times New Roman"/>
          <w:bCs/>
          <w:iCs/>
          <w:sz w:val="24"/>
          <w:szCs w:val="20"/>
          <w:lang w:val="en-US"/>
        </w:rPr>
        <w:t>maintain</w:t>
      </w:r>
      <w:r w:rsidR="00D16538" w:rsidRPr="005B7CAC">
        <w:rPr>
          <w:rFonts w:ascii="Times New Roman" w:hAnsi="Times New Roman"/>
          <w:bCs/>
          <w:iCs/>
          <w:sz w:val="24"/>
          <w:szCs w:val="20"/>
          <w:lang w:val="en-US"/>
        </w:rPr>
        <w:t>ing</w:t>
      </w:r>
      <w:r w:rsidR="002B2BEE" w:rsidRPr="005B7CAC">
        <w:rPr>
          <w:rFonts w:ascii="Times New Roman" w:hAnsi="Times New Roman"/>
          <w:bCs/>
          <w:iCs/>
          <w:sz w:val="24"/>
          <w:szCs w:val="20"/>
          <w:lang w:val="en-US"/>
        </w:rPr>
        <w:t xml:space="preserve"> competitive advantages, and i</w:t>
      </w:r>
      <w:r w:rsidR="00D16538" w:rsidRPr="005B7CAC">
        <w:rPr>
          <w:rFonts w:ascii="Times New Roman" w:hAnsi="Times New Roman"/>
          <w:bCs/>
          <w:iCs/>
          <w:sz w:val="24"/>
          <w:szCs w:val="20"/>
          <w:lang w:val="en-US"/>
        </w:rPr>
        <w:t xml:space="preserve">mproving </w:t>
      </w:r>
      <w:r w:rsidR="002B2BEE" w:rsidRPr="005B7CAC">
        <w:rPr>
          <w:rFonts w:ascii="Times New Roman" w:hAnsi="Times New Roman"/>
          <w:bCs/>
          <w:iCs/>
          <w:sz w:val="24"/>
          <w:szCs w:val="20"/>
          <w:lang w:val="en-US"/>
        </w:rPr>
        <w:t xml:space="preserve">financial sustainability at the same time </w:t>
      </w:r>
      <w:r w:rsidR="002B2BEE" w:rsidRPr="005B7CAC">
        <w:rPr>
          <w:rFonts w:ascii="Times New Roman" w:hAnsi="Times New Roman"/>
          <w:bCs/>
          <w:iCs/>
          <w:sz w:val="24"/>
          <w:szCs w:val="20"/>
          <w:lang w:val="en-US"/>
        </w:rPr>
        <w:fldChar w:fldCharType="begin" w:fldLock="1"/>
      </w:r>
      <w:r w:rsidR="0050174D" w:rsidRPr="005B7CAC">
        <w:rPr>
          <w:rFonts w:ascii="Times New Roman" w:hAnsi="Times New Roman"/>
          <w:bCs/>
          <w:iCs/>
          <w:sz w:val="24"/>
          <w:szCs w:val="20"/>
          <w:lang w:val="en-US"/>
        </w:rPr>
        <w:instrText>ADDIN CSL_CITATION {"citationItems":[{"id":"ITEM-1","itemData":{"DOI":"https://doi.org/10.1002/bsd2.406","abstract":"Abstract The aim of the paper is to examine the influence of climate vulnerability (CV) on the formation of new firms. Employing a large sample of 140 countries spanning the time frame 2006?2020, it has been found that climate vulnerability harms new firm formation. The empirical results show that the negative impact of CV on the average new business formation rate has been 3.40. The results prove to be robust for alternative subsamples and methodology. Furthermore, the results of the quantile regression highlight a parameter heterogeneity in the effect of CV on entrepreneurial activity. Overall, the empirical findings highlight the key role of climate vulnerabilities in developing public policies aimed to spur entrepreneurial activity.","author":[{"dropping-particle":"","family":"Anton","given":"Sorin Gabriel","non-dropping-particle":"","parse-names":false,"suffix":""}],"container-title":"Business Strategy &amp; Development","id":"ITEM-1","issue":"3","issued":{"date-parts":[["2024","9","1"]]},"page":"e406","title":"The impact of climate vulnerability on new firm formation","type":"article-journal","volume":"7"},"uris":["http://www.mendeley.com/documents/?uuid=893cf073-aba1-4c12-87eb-0ba79b816407"]},{"id":"ITEM-2","itemData":{"DOI":"10.1111/1467-8551.12715","author":[{"dropping-particle":"","family":"Orazalin","given":"Nurlan","non-dropping-particle":"","parse-names":false,"suffix":""},{"dropping-particle":"","family":"Ntim","given":"Collins","non-dropping-particle":"","parse-names":false,"suffix":""},{"dropping-particle":"","family":"Malagila","given":"John","non-dropping-particle":"","parse-names":false,"suffix":""}],"container-title":"British Journal of Management","id":"ITEM-2","issue":"1","issued":{"date-parts":[["2024"]]},"page":"295-320","title":"Board sustainability committees, climate change initiatives, carbon performance, and market value","type":"article-journal","volume":"35"},"uris":["http://www.mendeley.com/documents/?uuid=a619d5c5-bf37-445d-9069-2df2648f2b82"]}],"mendeley":{"formattedCitation":"(Anton, 2024; Orazalin &lt;i&gt;et al.&lt;/i&gt;, 2024)","plainTextFormattedCitation":"(Anton, 2024; Orazalin et al., 2024)","previouslyFormattedCitation":"(Anton, 2024; Orazalin &lt;i&gt;et al.&lt;/i&gt;, 2024)"},"properties":{"noteIndex":0},"schema":"https://github.com/citation-style-language/schema/raw/master/csl-citation.json"}</w:instrText>
      </w:r>
      <w:r w:rsidR="002B2BEE" w:rsidRPr="005B7CAC">
        <w:rPr>
          <w:rFonts w:ascii="Times New Roman" w:hAnsi="Times New Roman"/>
          <w:bCs/>
          <w:iCs/>
          <w:sz w:val="24"/>
          <w:szCs w:val="20"/>
          <w:lang w:val="en-US"/>
        </w:rPr>
        <w:fldChar w:fldCharType="separate"/>
      </w:r>
      <w:r w:rsidR="002B2BEE" w:rsidRPr="005B7CAC">
        <w:rPr>
          <w:rFonts w:ascii="Times New Roman" w:hAnsi="Times New Roman"/>
          <w:bCs/>
          <w:iCs/>
          <w:noProof/>
          <w:sz w:val="24"/>
          <w:szCs w:val="20"/>
          <w:lang w:val="en-US"/>
        </w:rPr>
        <w:t xml:space="preserve">(Anton, 2024; Orazalin </w:t>
      </w:r>
      <w:r w:rsidR="002B2BEE" w:rsidRPr="005B7CAC">
        <w:rPr>
          <w:rFonts w:ascii="Times New Roman" w:hAnsi="Times New Roman"/>
          <w:bCs/>
          <w:i/>
          <w:iCs/>
          <w:noProof/>
          <w:sz w:val="24"/>
          <w:szCs w:val="20"/>
          <w:lang w:val="en-US"/>
        </w:rPr>
        <w:t>et al.</w:t>
      </w:r>
      <w:r w:rsidR="002B2BEE" w:rsidRPr="005B7CAC">
        <w:rPr>
          <w:rFonts w:ascii="Times New Roman" w:hAnsi="Times New Roman"/>
          <w:bCs/>
          <w:iCs/>
          <w:noProof/>
          <w:sz w:val="24"/>
          <w:szCs w:val="20"/>
          <w:lang w:val="en-US"/>
        </w:rPr>
        <w:t>, 2024)</w:t>
      </w:r>
      <w:r w:rsidR="002B2BEE" w:rsidRPr="005B7CAC">
        <w:rPr>
          <w:rFonts w:ascii="Times New Roman" w:hAnsi="Times New Roman"/>
          <w:bCs/>
          <w:iCs/>
          <w:sz w:val="24"/>
          <w:szCs w:val="20"/>
          <w:lang w:val="en-US"/>
        </w:rPr>
        <w:fldChar w:fldCharType="end"/>
      </w:r>
      <w:r w:rsidR="00CF38B8" w:rsidRPr="005B7CAC">
        <w:rPr>
          <w:rFonts w:ascii="Times New Roman" w:hAnsi="Times New Roman"/>
          <w:bCs/>
          <w:iCs/>
          <w:sz w:val="24"/>
          <w:szCs w:val="20"/>
          <w:lang w:val="en-US"/>
        </w:rPr>
        <w:t xml:space="preserve">, </w:t>
      </w:r>
      <w:r w:rsidR="003127C1" w:rsidRPr="005B7CAC">
        <w:rPr>
          <w:rFonts w:ascii="Times New Roman" w:hAnsi="Times New Roman"/>
          <w:bCs/>
          <w:iCs/>
          <w:sz w:val="24"/>
          <w:szCs w:val="20"/>
          <w:lang w:val="en-US"/>
        </w:rPr>
        <w:t xml:space="preserve">it is unclear </w:t>
      </w:r>
      <w:r w:rsidR="002B2BEE" w:rsidRPr="005B7CAC">
        <w:rPr>
          <w:rFonts w:ascii="Times New Roman" w:hAnsi="Times New Roman"/>
          <w:bCs/>
          <w:iCs/>
          <w:sz w:val="24"/>
          <w:szCs w:val="20"/>
          <w:lang w:val="en-US"/>
        </w:rPr>
        <w:t xml:space="preserve">whether and how </w:t>
      </w:r>
      <w:r w:rsidR="002B2BEE" w:rsidRPr="005B7CAC">
        <w:rPr>
          <w:rFonts w:ascii="Times New Roman" w:hAnsi="Times New Roman"/>
          <w:bCs/>
          <w:i/>
          <w:iCs/>
          <w:sz w:val="24"/>
          <w:szCs w:val="20"/>
          <w:lang w:val="en-US"/>
        </w:rPr>
        <w:t>WM</w:t>
      </w:r>
      <w:r w:rsidR="002B2BEE" w:rsidRPr="005B7CAC">
        <w:rPr>
          <w:rFonts w:ascii="Times New Roman" w:hAnsi="Times New Roman"/>
          <w:bCs/>
          <w:iCs/>
          <w:sz w:val="24"/>
          <w:szCs w:val="20"/>
          <w:lang w:val="en-US"/>
        </w:rPr>
        <w:t xml:space="preserve"> influences financial risks</w:t>
      </w:r>
      <w:r w:rsidR="003127C1" w:rsidRPr="005B7CAC">
        <w:rPr>
          <w:rFonts w:ascii="Times New Roman" w:hAnsi="Times New Roman"/>
          <w:bCs/>
          <w:iCs/>
          <w:sz w:val="24"/>
          <w:szCs w:val="20"/>
          <w:lang w:val="en-US"/>
        </w:rPr>
        <w:t xml:space="preserve"> </w:t>
      </w:r>
      <w:r w:rsidR="002B2BEE" w:rsidRPr="005B7CAC">
        <w:rPr>
          <w:rFonts w:ascii="Times New Roman" w:hAnsi="Times New Roman"/>
          <w:bCs/>
          <w:iCs/>
          <w:sz w:val="24"/>
          <w:szCs w:val="20"/>
          <w:lang w:val="en-US"/>
        </w:rPr>
        <w:fldChar w:fldCharType="begin" w:fldLock="1"/>
      </w:r>
      <w:r w:rsidR="002B2BEE" w:rsidRPr="005B7CAC">
        <w:rPr>
          <w:rFonts w:ascii="Times New Roman" w:hAnsi="Times New Roman"/>
          <w:bCs/>
          <w:iCs/>
          <w:sz w:val="24"/>
          <w:szCs w:val="20"/>
          <w:lang w:val="en-US"/>
        </w:rPr>
        <w:instrText>ADDIN CSL_CITATION {"citationItems":[{"id":"ITEM-1","itemData":{"DOI":"10.1080/01559982.2023.2169893","ISSN":"14676303","abstract":"We examine how corporate environmental performance relates to financial constraints in an environment likely to face high global pressure to address climate change. Using multivariate regressions and a large dataset of over 8,500 firm-years from 24 emerging market countries during 2003 to 2020, we find superior environmental performance (especially relating to carbon emissions) to be associated with significantly lower levels of financial constraints. This finding is robust to an alternative measure of financial constraint, different sample compositions, and to endogeneity concerns. Further analyses reveal that the reductions in financial constraints are significantly higher for firms: (i) in high carbon-emitting countries; (ii) in countries that adopted the 2015 Paris Climate Agreement early; and (iii) that cross-list onto foreign stock exchanges. Finally, we provide evidence to suggest that the environmental aspects of a firm’s CSR efforts mitigate its financial constraints more than can be attained by the other major CSR dimensions. Overall, the findings imply that stakeholders (capital providers) of emerging market firms prioritise environmental concerns and, therefore, reward environmentally responsible firms with cheaper and easier access to financing, especially when global environmental concerns are high.","author":[{"dropping-particle":"","family":"Agyei-Boapeah","given":"Henry","non-dropping-particle":"","parse-names":false,"suffix":""},{"dropping-particle":"","family":"Ciftci","given":"Neytullah","non-dropping-particle":"","parse-names":false,"suffix":""},{"dropping-particle":"","family":"Kalimilo Malagila","given":"John","non-dropping-particle":"","parse-names":false,"suffix":""},{"dropping-particle":"","family":"Brodmann","given":"Jennifer","non-dropping-particle":"","parse-names":false,"suffix":""},{"dropping-particle":"","family":"Fosu","given":"Samuel","non-dropping-particle":"","parse-names":false,"suffix":""}],"container-title":"Accounting Forum","id":"ITEM-1","issued":{"date-parts":[["2023"]]},"title":"Environmental performance and financial constraints in emerging markets","type":"article-journal"},"uris":["http://www.mendeley.com/documents/?uuid=9ce40414-8207-3936-bfcc-bd72773ed35c"]}],"mendeley":{"formattedCitation":"(Agyei-Boapeah &lt;i&gt;et al.&lt;/i&gt;, 2023)","plainTextFormattedCitation":"(Agyei-Boapeah et al., 2023)","previouslyFormattedCitation":"(Agyei-Boapeah &lt;i&gt;et al.&lt;/i&gt;, 2023)"},"properties":{"noteIndex":0},"schema":"https://github.com/citation-style-language/schema/raw/master/csl-citation.json"}</w:instrText>
      </w:r>
      <w:r w:rsidR="002B2BEE" w:rsidRPr="005B7CAC">
        <w:rPr>
          <w:rFonts w:ascii="Times New Roman" w:hAnsi="Times New Roman"/>
          <w:bCs/>
          <w:iCs/>
          <w:sz w:val="24"/>
          <w:szCs w:val="20"/>
          <w:lang w:val="en-US"/>
        </w:rPr>
        <w:fldChar w:fldCharType="separate"/>
      </w:r>
      <w:r w:rsidR="002B2BEE" w:rsidRPr="005B7CAC">
        <w:rPr>
          <w:rFonts w:ascii="Times New Roman" w:hAnsi="Times New Roman"/>
          <w:bCs/>
          <w:iCs/>
          <w:noProof/>
          <w:sz w:val="24"/>
          <w:szCs w:val="20"/>
          <w:lang w:val="en-US"/>
        </w:rPr>
        <w:t xml:space="preserve">(Agyei-Boapeah </w:t>
      </w:r>
      <w:r w:rsidR="002B2BEE" w:rsidRPr="005B7CAC">
        <w:rPr>
          <w:rFonts w:ascii="Times New Roman" w:hAnsi="Times New Roman"/>
          <w:bCs/>
          <w:i/>
          <w:iCs/>
          <w:noProof/>
          <w:sz w:val="24"/>
          <w:szCs w:val="20"/>
          <w:lang w:val="en-US"/>
        </w:rPr>
        <w:t>et al.</w:t>
      </w:r>
      <w:r w:rsidR="002B2BEE" w:rsidRPr="005B7CAC">
        <w:rPr>
          <w:rFonts w:ascii="Times New Roman" w:hAnsi="Times New Roman"/>
          <w:bCs/>
          <w:iCs/>
          <w:noProof/>
          <w:sz w:val="24"/>
          <w:szCs w:val="20"/>
          <w:lang w:val="en-US"/>
        </w:rPr>
        <w:t>, 2023)</w:t>
      </w:r>
      <w:r w:rsidR="002B2BEE" w:rsidRPr="005B7CAC">
        <w:rPr>
          <w:rFonts w:ascii="Times New Roman" w:hAnsi="Times New Roman"/>
          <w:bCs/>
          <w:iCs/>
          <w:sz w:val="24"/>
          <w:szCs w:val="20"/>
          <w:lang w:val="en-US"/>
        </w:rPr>
        <w:fldChar w:fldCharType="end"/>
      </w:r>
      <w:r w:rsidR="002B2BEE" w:rsidRPr="005B7CAC">
        <w:rPr>
          <w:rFonts w:ascii="Times New Roman" w:hAnsi="Times New Roman"/>
          <w:bCs/>
          <w:iCs/>
          <w:sz w:val="24"/>
          <w:szCs w:val="20"/>
          <w:lang w:val="en-US"/>
        </w:rPr>
        <w:t>.</w:t>
      </w:r>
      <w:r w:rsidR="00CF38B8" w:rsidRPr="005B7CAC">
        <w:rPr>
          <w:rFonts w:ascii="Times New Roman" w:hAnsi="Times New Roman"/>
          <w:bCs/>
          <w:iCs/>
          <w:sz w:val="24"/>
          <w:szCs w:val="20"/>
          <w:lang w:val="en-US"/>
        </w:rPr>
        <w:t xml:space="preserve"> </w:t>
      </w:r>
      <w:r w:rsidR="00B3265D" w:rsidRPr="005B7CAC">
        <w:rPr>
          <w:rFonts w:ascii="Times New Roman" w:hAnsi="Times New Roman"/>
          <w:bCs/>
          <w:iCs/>
          <w:sz w:val="24"/>
          <w:szCs w:val="20"/>
          <w:lang w:val="en-US"/>
        </w:rPr>
        <w:t>Financial distress (</w:t>
      </w:r>
      <w:r w:rsidR="00B3265D" w:rsidRPr="005B7CAC">
        <w:rPr>
          <w:rFonts w:ascii="Times New Roman" w:hAnsi="Times New Roman"/>
          <w:bCs/>
          <w:i/>
          <w:sz w:val="24"/>
          <w:szCs w:val="20"/>
          <w:lang w:val="en-US"/>
        </w:rPr>
        <w:t>FD</w:t>
      </w:r>
      <w:r w:rsidR="00B3265D" w:rsidRPr="005B7CAC">
        <w:rPr>
          <w:rFonts w:ascii="Times New Roman" w:hAnsi="Times New Roman"/>
          <w:bCs/>
          <w:iCs/>
          <w:sz w:val="24"/>
          <w:szCs w:val="20"/>
          <w:lang w:val="en-US"/>
        </w:rPr>
        <w:t xml:space="preserve">), which is defined as a firm’s </w:t>
      </w:r>
      <w:r w:rsidR="003D2A49" w:rsidRPr="005B7CAC">
        <w:rPr>
          <w:rFonts w:ascii="Times New Roman" w:hAnsi="Times New Roman"/>
          <w:bCs/>
          <w:iCs/>
          <w:sz w:val="24"/>
          <w:szCs w:val="20"/>
          <w:lang w:val="en-US"/>
        </w:rPr>
        <w:t>inability</w:t>
      </w:r>
      <w:r w:rsidR="00B3265D" w:rsidRPr="005B7CAC">
        <w:rPr>
          <w:rFonts w:ascii="Times New Roman" w:hAnsi="Times New Roman"/>
          <w:bCs/>
          <w:iCs/>
          <w:sz w:val="24"/>
          <w:szCs w:val="20"/>
          <w:lang w:val="en-US"/>
        </w:rPr>
        <w:t xml:space="preserve"> to meet its financial obligations, has attracted a growing interest among scholars</w:t>
      </w:r>
      <w:r w:rsidR="003D2A49" w:rsidRPr="005B7CAC">
        <w:rPr>
          <w:rFonts w:ascii="Times New Roman" w:hAnsi="Times New Roman"/>
          <w:bCs/>
          <w:iCs/>
          <w:sz w:val="24"/>
          <w:szCs w:val="20"/>
          <w:lang w:val="en-US"/>
        </w:rPr>
        <w:t xml:space="preserve"> </w:t>
      </w:r>
      <w:r w:rsidR="00182518" w:rsidRPr="005B7CAC">
        <w:rPr>
          <w:rFonts w:ascii="Times New Roman" w:hAnsi="Times New Roman"/>
          <w:bCs/>
          <w:iCs/>
          <w:sz w:val="24"/>
          <w:szCs w:val="20"/>
          <w:lang w:val="en-US"/>
        </w:rPr>
        <w:fldChar w:fldCharType="begin" w:fldLock="1"/>
      </w:r>
      <w:r w:rsidR="003F3B50" w:rsidRPr="005B7CAC">
        <w:rPr>
          <w:rFonts w:ascii="Times New Roman" w:hAnsi="Times New Roman"/>
          <w:bCs/>
          <w:iCs/>
          <w:sz w:val="24"/>
          <w:szCs w:val="20"/>
          <w:lang w:val="en-US"/>
        </w:rPr>
        <w:instrText>ADDIN CSL_CITATION {"citationItems":[{"id":"ITEM-1","itemData":{"DOI":"10.1108/CG-02-2022-0069","ISSN":"14720701","abstract":"Purpose: This study aims to investigate the possible implications of compliance with corporate governance (CG) provisions, including board composition and ownership structures, on the firm’s likelihood of falling into financial distress. Design/methodology/approach: The study applies a random-effects logistic regression model as a baseline analysis using a sample of 110 FTSE 350 manufacturing companies from 2014 to 2019. This technique is supported by conducting a two-stage Heckman regression model to overcome the potential existence of endogeneity problems. Findings: The empirical evidence suggests that board composition and ownership structure are heterogeneously associated with financial distress probabilities in that they might have either reduced or increased the financial distress of the sampled firms. Specifically, board independence, board gender diversity, audit committee independence and institutional ownership negatively influence the likelihood of financial distress. In contrast, and consistent with the expectations, ownership concentration is positively attributed to financial distress, while the board size, audit committee size and managerial ownership have insignificant impacts on financial distress. Originality/value: The study extends the existing body of knowledge by examining the collective effect of board characteristics and ownership structures on firms’ financial distress likelihood among a sample of manufacturing firms within the FTSE 350 index post the 2008 global financial crisis and following the recent CG reforms in the UK during the study period from 2014 to 2019.","author":[{"dropping-particle":"","family":"Gerged","given":"Ali Meftah","non-dropping-particle":"","parse-names":false,"suffix":""},{"dropping-particle":"","family":"Yao","given":"Shaojie","non-dropping-particle":"","parse-names":false,"suffix":""},{"dropping-particle":"","family":"Albitar","given":"Khaldoon","non-dropping-particle":"","parse-names":false,"suffix":""}],"container-title":"Corporate Governance: The international journal of business in society","id":"ITEM-1","issue":"3","issued":{"date-parts":[["2023"]]},"page":"628-649","title":"Board composition, ownership structure and financial distress: insights from UK FTSE 350","type":"article-journal","volume":"23"},"uris":["http://www.mendeley.com/documents/?uuid=d920d754-d3b1-316c-9998-aa7f27f65266"]}],"mendeley":{"formattedCitation":"(Gerged &lt;i&gt;et al.&lt;/i&gt;, 2023)","plainTextFormattedCitation":"(Gerged et al., 2023)","previouslyFormattedCitation":"(Gerged &lt;i&gt;et al.&lt;/i&gt;, 2023)"},"properties":{"noteIndex":0},"schema":"https://github.com/citation-style-language/schema/raw/master/csl-citation.json"}</w:instrText>
      </w:r>
      <w:r w:rsidR="00182518" w:rsidRPr="005B7CAC">
        <w:rPr>
          <w:rFonts w:ascii="Times New Roman" w:hAnsi="Times New Roman"/>
          <w:bCs/>
          <w:iCs/>
          <w:sz w:val="24"/>
          <w:szCs w:val="20"/>
          <w:lang w:val="en-US"/>
        </w:rPr>
        <w:fldChar w:fldCharType="separate"/>
      </w:r>
      <w:r w:rsidR="003D2A49" w:rsidRPr="005B7CAC">
        <w:rPr>
          <w:rFonts w:ascii="Times New Roman" w:hAnsi="Times New Roman"/>
          <w:bCs/>
          <w:iCs/>
          <w:noProof/>
          <w:sz w:val="24"/>
          <w:szCs w:val="20"/>
          <w:lang w:val="en-US"/>
        </w:rPr>
        <w:t xml:space="preserve">(Gerged </w:t>
      </w:r>
      <w:r w:rsidR="003D2A49" w:rsidRPr="005B7CAC">
        <w:rPr>
          <w:rFonts w:ascii="Times New Roman" w:hAnsi="Times New Roman"/>
          <w:bCs/>
          <w:i/>
          <w:iCs/>
          <w:noProof/>
          <w:sz w:val="24"/>
          <w:szCs w:val="20"/>
          <w:lang w:val="en-US"/>
        </w:rPr>
        <w:t>et al.</w:t>
      </w:r>
      <w:r w:rsidR="003D2A49" w:rsidRPr="005B7CAC">
        <w:rPr>
          <w:rFonts w:ascii="Times New Roman" w:hAnsi="Times New Roman"/>
          <w:bCs/>
          <w:iCs/>
          <w:noProof/>
          <w:sz w:val="24"/>
          <w:szCs w:val="20"/>
          <w:lang w:val="en-US"/>
        </w:rPr>
        <w:t>, 2023)</w:t>
      </w:r>
      <w:r w:rsidR="00182518" w:rsidRPr="005B7CAC">
        <w:rPr>
          <w:rFonts w:ascii="Times New Roman" w:hAnsi="Times New Roman"/>
          <w:bCs/>
          <w:iCs/>
          <w:sz w:val="24"/>
          <w:szCs w:val="20"/>
          <w:lang w:val="en-US"/>
        </w:rPr>
        <w:fldChar w:fldCharType="end"/>
      </w:r>
      <w:r w:rsidR="00B3265D" w:rsidRPr="005B7CAC">
        <w:rPr>
          <w:rFonts w:ascii="Times New Roman" w:hAnsi="Times New Roman"/>
          <w:bCs/>
          <w:iCs/>
          <w:sz w:val="24"/>
          <w:szCs w:val="20"/>
          <w:lang w:val="en-US"/>
        </w:rPr>
        <w:t xml:space="preserve">. In particular, </w:t>
      </w:r>
      <w:r w:rsidR="003D2A49" w:rsidRPr="005B7CAC">
        <w:rPr>
          <w:rFonts w:ascii="Times New Roman" w:hAnsi="Times New Roman"/>
          <w:bCs/>
          <w:iCs/>
          <w:sz w:val="24"/>
          <w:szCs w:val="20"/>
          <w:lang w:val="en-US"/>
        </w:rPr>
        <w:t xml:space="preserve">related </w:t>
      </w:r>
      <w:r w:rsidR="00EA1BD8" w:rsidRPr="005B7CAC">
        <w:rPr>
          <w:rFonts w:ascii="Times New Roman" w:hAnsi="Times New Roman"/>
          <w:bCs/>
          <w:iCs/>
          <w:sz w:val="24"/>
          <w:szCs w:val="20"/>
          <w:lang w:val="en-US"/>
        </w:rPr>
        <w:t xml:space="preserve">research </w:t>
      </w:r>
      <w:r w:rsidR="00D84316" w:rsidRPr="005B7CAC">
        <w:rPr>
          <w:rFonts w:ascii="Times New Roman" w:hAnsi="Times New Roman"/>
          <w:bCs/>
          <w:iCs/>
          <w:sz w:val="24"/>
          <w:szCs w:val="20"/>
          <w:lang w:val="en-US"/>
        </w:rPr>
        <w:fldChar w:fldCharType="begin" w:fldLock="1"/>
      </w:r>
      <w:r w:rsidR="002347D5" w:rsidRPr="005B7CAC">
        <w:rPr>
          <w:rFonts w:ascii="Times New Roman" w:hAnsi="Times New Roman"/>
          <w:bCs/>
          <w:iCs/>
          <w:sz w:val="24"/>
          <w:szCs w:val="20"/>
          <w:lang w:val="en-US"/>
        </w:rPr>
        <w:instrText>ADDIN CSL_CITATION {"citationItems":[{"id":"ITEM-1","itemData":{"DOI":"10.1111/auar.12366","ISSN":"18352561","abstract":"This study examines the association between corporate environmental performance and financial distress. Using a sample of Australian firms, we find that environmental performance is negatively related to the financial distress probability perceived by the market. In addition, the negative association between environmental performance and the financial distress probability is more pronounced for firms with a higher level of risk. The findings provide important empirical evidence regarding the implications of environmental performance on firms’ risk management.","author":[{"dropping-particle":"","family":"Jia","given":"Jing","non-dropping-particle":"","parse-names":false,"suffix":""},{"dropping-particle":"","family":"Li","given":"Zhongtian","non-dropping-particle":"","parse-names":false,"suffix":""}],"container-title":"Australian Accounting Review","id":"ITEM-1","issue":"2","issued":{"date-parts":[["2022"]]},"page":"188-200","title":"Corporate Environmental Performance and Financial Distress: Evidence from Australia","type":"article-journal","volume":"32"},"uris":["http://www.mendeley.com/documents/?uuid=e29c5adf-e7ff-3dee-9c25-48e25598f3e7"]},{"id":"ITEM-2","itemData":{"DOI":"10.1080/01559982.2023.2169893","ISSN":"14676303","abstract":"We examine how corporate environmental performance relates to financial constraints in an environment likely to face high global pressure to address climate change. Using multivariate regressions and a large dataset of over 8,500 firm-years from 24 emerging market countries during 2003 to 2020, we find superior environmental performance (especially relating to carbon emissions) to be associated with significantly lower levels of financial constraints. This finding is robust to an alternative measure of financial constraint, different sample compositions, and to endogeneity concerns. Further analyses reveal that the reductions in financial constraints are significantly higher for firms: (i) in high carbon-emitting countries; (ii) in countries that adopted the 2015 Paris Climate Agreement early; and (iii) that cross-list onto foreign stock exchanges. Finally, we provide evidence to suggest that the environmental aspects of a firm’s CSR efforts mitigate its financial constraints more than can be attained by the other major CSR dimensions. Overall, the findings imply that stakeholders (capital providers) of emerging market firms prioritise environmental concerns and, therefore, reward environmentally responsible firms with cheaper and easier access to financing, especially when global environmental concerns are high.","author":[{"dropping-particle":"","family":"Agyei-Boapeah","given":"Henry","non-dropping-particle":"","parse-names":false,"suffix":""},{"dropping-particle":"","family":"Ciftci","given":"Neytullah","non-dropping-particle":"","parse-names":false,"suffix":""},{"dropping-particle":"","family":"Kalimilo Malagila","given":"John","non-dropping-particle":"","parse-names":false,"suffix":""},{"dropping-particle":"","family":"Brodmann","given":"Jennifer","non-dropping-particle":"","parse-names":false,"suffix":""},{"dropping-particle":"","family":"Fosu","given":"Samuel","non-dropping-particle":"","parse-names":false,"suffix":""}],"container-title":"Accounting Forum","id":"ITEM-2","issued":{"date-parts":[["2023"]]},"title":"Environmental performance and financial constraints in emerging markets","type":"article-journal"},"uris":["http://www.mendeley.com/documents/?uuid=9ce40414-8207-3936-bfcc-bd72773ed35c"]},{"id":"ITEM-3","itemData":{"DOI":"10.1108/JAAR-12-2022-0329","ISSN":"09675426","abstract":"Purpose: This study tests whether corporate social responsibility (CSR) performance is a predictor of the financial sector's financial stability (FS), with the moderation of a sustainability committee. Design/methodology/approach: The sample covers financial sector firms included in the Thomson Reuters Eikon database. The analyses are based on 8,840 firm-year observations for the years between 2002 and 2019 and the country-firm-year fixed-effects (FE) regression analysis is executed. Findings: The results reveal that CSR initiatives contribute to the financial sector's FS as a whole and the sector's three individual sub-sectors. This proven significant association holds for all sub-sectors, namely insurance, banking, and investment banking. Moreover, the moderation analysis reveals the prominent role of a sustainability committee in bridging CSR performance (CSRP) with FS. Research limitations/implications: The findings highlight that meeting societies' expectations pays back in the form of greater FS in the financial sector. Practical implications: The findings suggest that CSR engagement helps the financial sector firms manage their risks and alleviates exposure to insolvency. This is because CSR performance promotes firms' accountability and transparency toward stakeholders. The results help motivate managers to pursue CSR goals more seriously to ensure FS. The moderation analysis implies that sustainability committees develop policies and practices to integrate the non-financial and financial goals of the firm. Originality/value: Although prior studies have examined the link between CSR and financial performance (FP) in the financial sector, those studies have largely ignored FS in terms of risk-adjusted performance. Besides, prior studies have exclusively focused on the banking sector, but the authors concentrate on the banking, insurance, and investment banking sectors.","author":[{"dropping-particle":"","family":"Orazalin","given":"Nurlan","non-dropping-particle":"","parse-names":false,"suffix":""},{"dropping-particle":"","family":"Kuzey","given":"Cemil","non-dropping-particle":"","parse-names":false,"suffix":""},{"dropping-particle":"","family":"Uyar","given":"Ali","non-dropping-particle":"","parse-names":false,"suffix":""},{"dropping-particle":"","family":"Karaman","given":"Abdullah S.","non-dropping-particle":"","parse-names":false,"suffix":""}],"container-title":"Journal of Applied Accounting Research","id":"ITEM-3","issued":{"date-parts":[["2023"]]},"title":"Does CSR contribute to the financial sector's financial stability? The moderating role of a sustainability committee","type":"article-journal"},"uris":["http://www.mendeley.com/documents/?uuid=7d20d343-c643-3450-a67e-d8f2e8162028"]},{"id":"ITEM-4","itemData":{"DOI":"10.1016/j.econmod.2020.05.012","ISSN":"02649993","abstract":"This paper examines how corporate social responsibility (CSR) affects the level of financial distress risk (FDR). Using a sample of 1201 US-listed firms during 1991–2012, our results indicate that firms with higher CSR levels have lower FDR, suggesting that a better CSR performance makes firms more creditworthy and have better access to financing, which is rewarded with less financial defaults. This finding is robust to using alternative proxies of FDR, to controlling for potential endogeneity, and is mainly driven by the community, diversity, employee relations, and environmental dimensions of CSR. Moreover, this relationship is more prevalent in firms with strong governance mechanisms and high product market competition. It is also more exacerbated for less distressed firms and during non-crisis periods. Overall, our findings suggest that the adoption of CSR practices comes with less distress and default risks, likely leading to a more attractive corporate environment, better financial stability and more crisis-resilient economies.","author":[{"dropping-particle":"","family":"Boubaker","given":"Sabri","non-dropping-particle":"","parse-names":false,"suffix":""},{"dropping-particle":"","family":"Cellier","given":"Alexis","non-dropping-particle":"","parse-names":false,"suffix":""},{"dropping-particle":"","family":"Manita","given":"Riadh","non-dropping-particle":"","parse-names":false,"suffix":""},{"dropping-particle":"","family":"Saeed","given":"Asif","non-dropping-particle":"","parse-names":false,"suffix":""}],"container-title":"Economic Modelling","id":"ITEM-4","issued":{"date-parts":[["2020"]]},"page":"835-851","title":"Does corporate social responsibility reduce financial distress risk?","type":"article-journal","volume":"91"},"uris":["http://www.mendeley.com/documents/?uuid=70fa69c4-6f8c-4161-8285-efdbb2b9c72e"]},{"id":"ITEM-5","itemData":{"DOI":"10.1108/IJAIM-04-2023-0081","ISSN":"17589037","abstract":"Purpose: This study aims to investigate the relationship between corporate social responsibility (CSR) and financial distress and the moderating effect of firm characteristics, auditor characteristics and the Coronavirus disease 2019 (Covid-19) in China. Design/methodology/approach: The research question is empirically examined on the basis of a data set of 1,257 Chinese-listed firms from 2011 to 2021. The dependent variable is financial distress risk, which is measured mainly by Z-score. CSR score is used as a proxy for CSR. Propensity score matching, two-stage least square and generalized method of moments are adopted to mitigate the potential endogeneity issue. Findings: This study reveals that CSR can reduce financial distress. Specifically, results show an inverse relationship between CSR and financial distress, more significantly in non-state-owned enterprises, firms with non-BigN auditor and during Covid-19. The results are consistent and robust to endogeneity tests and sensitivity analyses. Originality/value: This study enriches the literature on CSR and financial distress, resulting in a more attractive corporate environment, improved financial stability and more crisis-resistant economies in China.","author":[{"dropping-particle":"","family":"Rahman","given":"Md Jahidur","non-dropping-particle":"","parse-names":false,"suffix":""},{"dropping-particle":"","family":"Zhu","given":"Hongtao","non-dropping-particle":"","parse-names":false,"suffix":""},{"dropping-particle":"","family":"Chen","given":"Sihe","non-dropping-particle":"","parse-names":false,"suffix":""}],"container-title":"International Journal of Accounting and Information Management","id":"ITEM-5","issue":"5","issued":{"date-parts":[["2023"]]},"page":"756-784","title":"Does CSR reduce financial distress? Moderating effect of firm characteristics, auditor characteristics, and covid-19","type":"article-journal","volume":"31"},"uris":["http://www.mendeley.com/documents/?uuid=f3818ab8-3288-392b-877b-143a0b22fedd"]},{"id":"ITEM-6","itemData":{"DOI":"10.1002/bse.2229","ISSN":"10990836","abstract":"Abstract This study investigates the effect of environmental performance that is driven by good environmental policies, regulations, and management on firm's financial distress and, consequently, ascertains the extent to which top management teams' (TMTs') characteristics can moderate the environmental performance–financial distress nexus in China using 749 firms over the 2009–2014 period (i.e., generating over 3,000 indi- vidual observations). Our findings are twofold. First, our results indicate that increased environmental performance that is driven by good environmental policies tends to strategically reduce the extent of firm financial distress. Second, this nexus is moder- ated by TMT gender diversity, foreign exposure, and political connection. We inter- pret our findings within neo‐institutional, upper echelons, and risk management theoretical perspectives. The findings are robust to the use of alternative measures of financial distress, estimation techniques, and endogeneity problems.","author":[{"dropping-particle":"","family":"Shahab","given":"Yasir","non-dropping-particle":"","parse-names":false,"suffix":""},{"dropping-particle":"","family":"Ntim","given":"Collins G.","non-dropping-particle":"","parse-names":false,"suffix":""},{"dropping-particle":"","family":"Chengang","given":"Ye","non-dropping-particle":"","parse-names":false,"suffix":""},{"dropping-particle":"","family":"Ullah","given":"Farid","non-dropping-particle":"","parse-names":false,"suffix":""},{"dropping-particle":"","family":"Fosu","given":"Samuel","non-dropping-particle":"","parse-names":false,"suffix":""}],"container-title":"Business Strategy and the Environment","id":"ITEM-6","issue":"8","issued":{"date-parts":[["2018"]]},"page":"1635-1652","title":"Environmental policy, environmental performance, and financial distress in China: Do top management team characteristics matter?","type":"article-journal","volume":"27"},"uris":["http://www.mendeley.com/documents/?uuid=85485e83-878d-35b2-95f0-fd3d227658d2"]}],"mendeley":{"formattedCitation":"(Agyei-Boapeah &lt;i&gt;et al.&lt;/i&gt;, 2023; Boubaker &lt;i&gt;et al.&lt;/i&gt;, 2020; Jia and Li, 2022; Orazalin &lt;i&gt;et al.&lt;/i&gt;, 2023; Rahman &lt;i&gt;et al.&lt;/i&gt;, 2023; Shahab &lt;i&gt;et al.&lt;/i&gt;, 2018)","plainTextFormattedCitation":"(Agyei-Boapeah et al., 2023; Boubaker et al., 2020; Jia and Li, 2022; Orazalin et al., 2023; Rahman et al., 2023; Shahab et al., 2018)","previouslyFormattedCitation":"(Agyei-Boapeah &lt;i&gt;et al.&lt;/i&gt;, 2023; Boubaker &lt;i&gt;et al.&lt;/i&gt;, 2020; Jia and Li, 2022; Orazalin &lt;i&gt;et al.&lt;/i&gt;, 2023; Rahman &lt;i&gt;et al.&lt;/i&gt;, 2023; Shahab &lt;i&gt;et al.&lt;/i&gt;, 2018)"},"properties":{"noteIndex":0},"schema":"https://github.com/citation-style-language/schema/raw/master/csl-citation.json"}</w:instrText>
      </w:r>
      <w:r w:rsidR="00D84316" w:rsidRPr="005B7CAC">
        <w:rPr>
          <w:rFonts w:ascii="Times New Roman" w:hAnsi="Times New Roman"/>
          <w:bCs/>
          <w:iCs/>
          <w:sz w:val="24"/>
          <w:szCs w:val="20"/>
          <w:lang w:val="en-US"/>
        </w:rPr>
        <w:fldChar w:fldCharType="separate"/>
      </w:r>
      <w:r w:rsidR="00BB4571" w:rsidRPr="005B7CAC">
        <w:rPr>
          <w:rFonts w:ascii="Times New Roman" w:hAnsi="Times New Roman"/>
          <w:bCs/>
          <w:iCs/>
          <w:noProof/>
          <w:sz w:val="24"/>
          <w:szCs w:val="20"/>
          <w:lang w:val="en-US"/>
        </w:rPr>
        <w:t xml:space="preserve">(Agyei-Boapeah </w:t>
      </w:r>
      <w:r w:rsidR="00BB4571" w:rsidRPr="005B7CAC">
        <w:rPr>
          <w:rFonts w:ascii="Times New Roman" w:hAnsi="Times New Roman"/>
          <w:bCs/>
          <w:i/>
          <w:iCs/>
          <w:noProof/>
          <w:sz w:val="24"/>
          <w:szCs w:val="20"/>
          <w:lang w:val="en-US"/>
        </w:rPr>
        <w:t>et al.</w:t>
      </w:r>
      <w:r w:rsidR="00BB4571" w:rsidRPr="005B7CAC">
        <w:rPr>
          <w:rFonts w:ascii="Times New Roman" w:hAnsi="Times New Roman"/>
          <w:bCs/>
          <w:iCs/>
          <w:noProof/>
          <w:sz w:val="24"/>
          <w:szCs w:val="20"/>
          <w:lang w:val="en-US"/>
        </w:rPr>
        <w:t xml:space="preserve">, 2023; Boubaker </w:t>
      </w:r>
      <w:r w:rsidR="00BB4571" w:rsidRPr="005B7CAC">
        <w:rPr>
          <w:rFonts w:ascii="Times New Roman" w:hAnsi="Times New Roman"/>
          <w:bCs/>
          <w:i/>
          <w:iCs/>
          <w:noProof/>
          <w:sz w:val="24"/>
          <w:szCs w:val="20"/>
          <w:lang w:val="en-US"/>
        </w:rPr>
        <w:t>et al.</w:t>
      </w:r>
      <w:r w:rsidR="00BB4571" w:rsidRPr="005B7CAC">
        <w:rPr>
          <w:rFonts w:ascii="Times New Roman" w:hAnsi="Times New Roman"/>
          <w:bCs/>
          <w:iCs/>
          <w:noProof/>
          <w:sz w:val="24"/>
          <w:szCs w:val="20"/>
          <w:lang w:val="en-US"/>
        </w:rPr>
        <w:t xml:space="preserve">, </w:t>
      </w:r>
      <w:r w:rsidR="00BB4571" w:rsidRPr="005B7CAC">
        <w:rPr>
          <w:rFonts w:ascii="Times New Roman" w:hAnsi="Times New Roman"/>
          <w:bCs/>
          <w:iCs/>
          <w:noProof/>
          <w:sz w:val="24"/>
          <w:szCs w:val="20"/>
          <w:lang w:val="en-US"/>
        </w:rPr>
        <w:lastRenderedPageBreak/>
        <w:t xml:space="preserve">2020; Jia and Li, 2022; Orazalin </w:t>
      </w:r>
      <w:r w:rsidR="00BB4571" w:rsidRPr="005B7CAC">
        <w:rPr>
          <w:rFonts w:ascii="Times New Roman" w:hAnsi="Times New Roman"/>
          <w:bCs/>
          <w:i/>
          <w:iCs/>
          <w:noProof/>
          <w:sz w:val="24"/>
          <w:szCs w:val="20"/>
          <w:lang w:val="en-US"/>
        </w:rPr>
        <w:t>et al.</w:t>
      </w:r>
      <w:r w:rsidR="00BB4571" w:rsidRPr="005B7CAC">
        <w:rPr>
          <w:rFonts w:ascii="Times New Roman" w:hAnsi="Times New Roman"/>
          <w:bCs/>
          <w:iCs/>
          <w:noProof/>
          <w:sz w:val="24"/>
          <w:szCs w:val="20"/>
          <w:lang w:val="en-US"/>
        </w:rPr>
        <w:t xml:space="preserve">, 2023; Rahman </w:t>
      </w:r>
      <w:r w:rsidR="00BB4571" w:rsidRPr="005B7CAC">
        <w:rPr>
          <w:rFonts w:ascii="Times New Roman" w:hAnsi="Times New Roman"/>
          <w:bCs/>
          <w:i/>
          <w:iCs/>
          <w:noProof/>
          <w:sz w:val="24"/>
          <w:szCs w:val="20"/>
          <w:lang w:val="en-US"/>
        </w:rPr>
        <w:t>et al.</w:t>
      </w:r>
      <w:r w:rsidR="00BB4571" w:rsidRPr="005B7CAC">
        <w:rPr>
          <w:rFonts w:ascii="Times New Roman" w:hAnsi="Times New Roman"/>
          <w:bCs/>
          <w:iCs/>
          <w:noProof/>
          <w:sz w:val="24"/>
          <w:szCs w:val="20"/>
          <w:lang w:val="en-US"/>
        </w:rPr>
        <w:t xml:space="preserve">, 2023; Shahab </w:t>
      </w:r>
      <w:r w:rsidR="00BB4571" w:rsidRPr="005B7CAC">
        <w:rPr>
          <w:rFonts w:ascii="Times New Roman" w:hAnsi="Times New Roman"/>
          <w:bCs/>
          <w:i/>
          <w:iCs/>
          <w:noProof/>
          <w:sz w:val="24"/>
          <w:szCs w:val="20"/>
          <w:lang w:val="en-US"/>
        </w:rPr>
        <w:t>et al.</w:t>
      </w:r>
      <w:r w:rsidR="00BB4571" w:rsidRPr="005B7CAC">
        <w:rPr>
          <w:rFonts w:ascii="Times New Roman" w:hAnsi="Times New Roman"/>
          <w:bCs/>
          <w:iCs/>
          <w:noProof/>
          <w:sz w:val="24"/>
          <w:szCs w:val="20"/>
          <w:lang w:val="en-US"/>
        </w:rPr>
        <w:t>, 2018)</w:t>
      </w:r>
      <w:r w:rsidR="00D84316" w:rsidRPr="005B7CAC">
        <w:rPr>
          <w:rFonts w:ascii="Times New Roman" w:hAnsi="Times New Roman"/>
          <w:bCs/>
          <w:iCs/>
          <w:sz w:val="24"/>
          <w:szCs w:val="20"/>
          <w:lang w:val="en-US"/>
        </w:rPr>
        <w:fldChar w:fldCharType="end"/>
      </w:r>
      <w:r w:rsidR="00EA1BD8" w:rsidRPr="005B7CAC">
        <w:rPr>
          <w:rFonts w:ascii="Times New Roman" w:hAnsi="Times New Roman"/>
          <w:bCs/>
          <w:iCs/>
          <w:sz w:val="24"/>
          <w:szCs w:val="20"/>
          <w:lang w:val="en-US"/>
        </w:rPr>
        <w:t xml:space="preserve"> has </w:t>
      </w:r>
      <w:r w:rsidR="00B10520" w:rsidRPr="005B7CAC">
        <w:rPr>
          <w:rFonts w:ascii="Times New Roman" w:hAnsi="Times New Roman"/>
          <w:bCs/>
          <w:iCs/>
          <w:sz w:val="24"/>
          <w:szCs w:val="20"/>
          <w:lang w:val="en-US"/>
        </w:rPr>
        <w:t>assessed</w:t>
      </w:r>
      <w:r w:rsidR="00081CC8" w:rsidRPr="005B7CAC">
        <w:rPr>
          <w:rFonts w:ascii="Times New Roman" w:hAnsi="Times New Roman"/>
          <w:bCs/>
          <w:iCs/>
          <w:sz w:val="24"/>
          <w:szCs w:val="20"/>
          <w:lang w:val="en-US"/>
        </w:rPr>
        <w:t xml:space="preserve"> the role of </w:t>
      </w:r>
      <w:r w:rsidR="00EA1BD8" w:rsidRPr="005B7CAC">
        <w:rPr>
          <w:rFonts w:ascii="Times New Roman" w:hAnsi="Times New Roman"/>
          <w:bCs/>
          <w:iCs/>
          <w:sz w:val="24"/>
          <w:szCs w:val="20"/>
          <w:lang w:val="en-US"/>
        </w:rPr>
        <w:t xml:space="preserve">CSR/environmental performance </w:t>
      </w:r>
      <w:r w:rsidR="00081CC8" w:rsidRPr="005B7CAC">
        <w:rPr>
          <w:rFonts w:ascii="Times New Roman" w:hAnsi="Times New Roman"/>
          <w:bCs/>
          <w:iCs/>
          <w:sz w:val="24"/>
          <w:szCs w:val="20"/>
          <w:lang w:val="en-US"/>
        </w:rPr>
        <w:t>in improving</w:t>
      </w:r>
      <w:r w:rsidR="00EA1BD8" w:rsidRPr="005B7CAC">
        <w:rPr>
          <w:rFonts w:ascii="Times New Roman" w:hAnsi="Times New Roman"/>
          <w:bCs/>
          <w:iCs/>
          <w:sz w:val="24"/>
          <w:szCs w:val="20"/>
          <w:lang w:val="en-US"/>
        </w:rPr>
        <w:t xml:space="preserve"> financial stability. However, </w:t>
      </w:r>
      <w:r w:rsidR="00081CC8" w:rsidRPr="005B7CAC">
        <w:rPr>
          <w:rFonts w:ascii="Times New Roman" w:hAnsi="Times New Roman"/>
          <w:bCs/>
          <w:iCs/>
          <w:sz w:val="24"/>
          <w:szCs w:val="20"/>
          <w:lang w:val="en-US"/>
        </w:rPr>
        <w:t xml:space="preserve">the above/past </w:t>
      </w:r>
      <w:r w:rsidR="00EA1BD8" w:rsidRPr="005B7CAC">
        <w:rPr>
          <w:rFonts w:ascii="Times New Roman" w:hAnsi="Times New Roman"/>
          <w:bCs/>
          <w:iCs/>
          <w:sz w:val="24"/>
          <w:szCs w:val="20"/>
          <w:lang w:val="en-US"/>
        </w:rPr>
        <w:t xml:space="preserve">investigations have mainly focused on the </w:t>
      </w:r>
      <w:r w:rsidR="00EA1BD8" w:rsidRPr="005B7CAC">
        <w:rPr>
          <w:rFonts w:ascii="Times New Roman" w:hAnsi="Times New Roman"/>
          <w:iCs/>
          <w:sz w:val="24"/>
          <w:szCs w:val="20"/>
          <w:lang w:val="en-US"/>
        </w:rPr>
        <w:t>broader aspects of CSR</w:t>
      </w:r>
      <w:r w:rsidR="00DE67D9" w:rsidRPr="005B7CAC">
        <w:rPr>
          <w:rFonts w:ascii="Times New Roman" w:hAnsi="Times New Roman"/>
          <w:iCs/>
          <w:sz w:val="24"/>
          <w:szCs w:val="20"/>
          <w:lang w:val="en-US"/>
        </w:rPr>
        <w:t>/</w:t>
      </w:r>
      <w:r w:rsidR="00EA1BD8" w:rsidRPr="005B7CAC">
        <w:rPr>
          <w:rFonts w:ascii="Times New Roman" w:hAnsi="Times New Roman"/>
          <w:iCs/>
          <w:sz w:val="24"/>
          <w:szCs w:val="20"/>
          <w:lang w:val="en-US"/>
        </w:rPr>
        <w:t xml:space="preserve">environmental performance. </w:t>
      </w:r>
      <w:r w:rsidR="00982A5F" w:rsidRPr="005B7CAC">
        <w:rPr>
          <w:rFonts w:ascii="Times New Roman" w:hAnsi="Times New Roman"/>
          <w:iCs/>
          <w:sz w:val="24"/>
          <w:szCs w:val="20"/>
          <w:lang w:val="en-US"/>
        </w:rPr>
        <w:t xml:space="preserve">Given that </w:t>
      </w:r>
      <w:r w:rsidR="00345D8B" w:rsidRPr="005B7CAC">
        <w:rPr>
          <w:rFonts w:ascii="Times New Roman" w:hAnsi="Times New Roman"/>
          <w:bCs/>
          <w:iCs/>
          <w:sz w:val="24"/>
          <w:szCs w:val="20"/>
          <w:lang w:val="en-US"/>
        </w:rPr>
        <w:t>a firm’s actual environmental performance also depends</w:t>
      </w:r>
      <w:r w:rsidR="00982A5F" w:rsidRPr="005B7CAC">
        <w:rPr>
          <w:rFonts w:ascii="Times New Roman" w:hAnsi="Times New Roman"/>
          <w:bCs/>
          <w:iCs/>
          <w:sz w:val="24"/>
          <w:szCs w:val="20"/>
          <w:lang w:val="en-US"/>
        </w:rPr>
        <w:t xml:space="preserve"> </w:t>
      </w:r>
      <w:r w:rsidR="00DD1DEC" w:rsidRPr="005B7CAC">
        <w:rPr>
          <w:rFonts w:ascii="Times New Roman" w:hAnsi="Times New Roman"/>
          <w:bCs/>
          <w:iCs/>
          <w:sz w:val="24"/>
          <w:szCs w:val="20"/>
          <w:lang w:val="en-US"/>
        </w:rPr>
        <w:t xml:space="preserve">on </w:t>
      </w:r>
      <w:r w:rsidR="00982A5F" w:rsidRPr="005B7CAC">
        <w:rPr>
          <w:rFonts w:ascii="Times New Roman" w:hAnsi="Times New Roman"/>
          <w:bCs/>
          <w:iCs/>
          <w:sz w:val="24"/>
          <w:szCs w:val="20"/>
          <w:lang w:val="en-US"/>
        </w:rPr>
        <w:t xml:space="preserve">waste generation and recycling, it is important to assess whether corporate </w:t>
      </w:r>
      <w:r w:rsidR="00D9111F" w:rsidRPr="005B7CAC">
        <w:rPr>
          <w:rFonts w:ascii="Times New Roman" w:hAnsi="Times New Roman"/>
          <w:bCs/>
          <w:i/>
          <w:sz w:val="24"/>
          <w:szCs w:val="20"/>
          <w:lang w:val="en-US"/>
        </w:rPr>
        <w:t>WM</w:t>
      </w:r>
      <w:r w:rsidR="00D9111F" w:rsidRPr="005B7CAC">
        <w:rPr>
          <w:rFonts w:ascii="Times New Roman" w:hAnsi="Times New Roman"/>
          <w:bCs/>
          <w:iCs/>
          <w:sz w:val="24"/>
          <w:szCs w:val="20"/>
          <w:lang w:val="en-US"/>
        </w:rPr>
        <w:t xml:space="preserve"> practices influence </w:t>
      </w:r>
      <w:r w:rsidR="00D9111F" w:rsidRPr="005B7CAC">
        <w:rPr>
          <w:rFonts w:ascii="Times New Roman" w:hAnsi="Times New Roman"/>
          <w:bCs/>
          <w:i/>
          <w:sz w:val="24"/>
          <w:szCs w:val="20"/>
          <w:lang w:val="en-US"/>
        </w:rPr>
        <w:t>FD</w:t>
      </w:r>
      <w:r w:rsidR="00D9111F" w:rsidRPr="005B7CAC">
        <w:rPr>
          <w:rFonts w:ascii="Times New Roman" w:hAnsi="Times New Roman"/>
          <w:bCs/>
          <w:iCs/>
          <w:sz w:val="24"/>
          <w:szCs w:val="20"/>
          <w:lang w:val="en-US"/>
        </w:rPr>
        <w:t xml:space="preserve"> levels</w:t>
      </w:r>
      <w:r w:rsidR="00345D8B" w:rsidRPr="005B7CAC">
        <w:rPr>
          <w:rFonts w:ascii="Times New Roman" w:hAnsi="Times New Roman"/>
          <w:bCs/>
          <w:iCs/>
          <w:sz w:val="24"/>
          <w:szCs w:val="20"/>
          <w:lang w:val="en-US"/>
        </w:rPr>
        <w:t>.</w:t>
      </w:r>
      <w:r w:rsidR="00EA1BD8" w:rsidRPr="005B7CAC">
        <w:rPr>
          <w:rFonts w:ascii="Times New Roman" w:hAnsi="Times New Roman"/>
          <w:bCs/>
          <w:iCs/>
          <w:sz w:val="24"/>
          <w:szCs w:val="20"/>
          <w:lang w:val="en-US"/>
        </w:rPr>
        <w:t xml:space="preserve"> Although the </w:t>
      </w:r>
      <w:r w:rsidR="00B9299A" w:rsidRPr="005B7CAC">
        <w:rPr>
          <w:rFonts w:ascii="Times New Roman" w:hAnsi="Times New Roman"/>
          <w:bCs/>
          <w:iCs/>
          <w:sz w:val="24"/>
          <w:szCs w:val="20"/>
          <w:lang w:val="en-US"/>
        </w:rPr>
        <w:t>role</w:t>
      </w:r>
      <w:r w:rsidR="00EA1BD8" w:rsidRPr="005B7CAC">
        <w:rPr>
          <w:rFonts w:ascii="Times New Roman" w:hAnsi="Times New Roman"/>
          <w:bCs/>
          <w:iCs/>
          <w:sz w:val="24"/>
          <w:szCs w:val="20"/>
          <w:lang w:val="en-US"/>
        </w:rPr>
        <w:t xml:space="preserve"> of sustainable </w:t>
      </w:r>
      <w:r w:rsidR="00EA1BD8" w:rsidRPr="005B7CAC">
        <w:rPr>
          <w:rFonts w:ascii="Times New Roman" w:hAnsi="Times New Roman"/>
          <w:bCs/>
          <w:i/>
          <w:sz w:val="24"/>
          <w:szCs w:val="20"/>
          <w:lang w:val="en-US"/>
        </w:rPr>
        <w:t>WM</w:t>
      </w:r>
      <w:r w:rsidR="00EA1BD8" w:rsidRPr="005B7CAC">
        <w:rPr>
          <w:rFonts w:ascii="Times New Roman" w:hAnsi="Times New Roman"/>
          <w:bCs/>
          <w:iCs/>
          <w:sz w:val="24"/>
          <w:szCs w:val="20"/>
          <w:lang w:val="en-US"/>
        </w:rPr>
        <w:t xml:space="preserve"> practices in improving </w:t>
      </w:r>
      <w:r w:rsidR="00081CC8" w:rsidRPr="005B7CAC">
        <w:rPr>
          <w:rFonts w:ascii="Times New Roman" w:hAnsi="Times New Roman"/>
          <w:bCs/>
          <w:iCs/>
          <w:sz w:val="24"/>
          <w:szCs w:val="20"/>
          <w:lang w:val="en-US"/>
        </w:rPr>
        <w:t>corporate sustainability</w:t>
      </w:r>
      <w:r w:rsidR="00EA1BD8" w:rsidRPr="005B7CAC">
        <w:rPr>
          <w:rFonts w:ascii="Times New Roman" w:hAnsi="Times New Roman"/>
          <w:bCs/>
          <w:iCs/>
          <w:sz w:val="24"/>
          <w:szCs w:val="20"/>
          <w:lang w:val="en-US"/>
        </w:rPr>
        <w:t xml:space="preserve"> has been recognized in the literature</w:t>
      </w:r>
      <w:r w:rsidR="00081CC8" w:rsidRPr="005B7CAC">
        <w:rPr>
          <w:rFonts w:ascii="Times New Roman" w:hAnsi="Times New Roman"/>
          <w:bCs/>
          <w:iCs/>
          <w:sz w:val="24"/>
          <w:szCs w:val="20"/>
          <w:lang w:val="en-US"/>
        </w:rPr>
        <w:t xml:space="preserve"> </w:t>
      </w:r>
      <w:r w:rsidR="001A43BD" w:rsidRPr="005B7CAC">
        <w:rPr>
          <w:rFonts w:ascii="Times New Roman" w:hAnsi="Times New Roman"/>
          <w:bCs/>
          <w:iCs/>
          <w:sz w:val="24"/>
          <w:szCs w:val="20"/>
          <w:lang w:val="en-US"/>
        </w:rPr>
        <w:fldChar w:fldCharType="begin" w:fldLock="1"/>
      </w:r>
      <w:r w:rsidR="005B2B7E" w:rsidRPr="005B7CAC">
        <w:rPr>
          <w:rFonts w:ascii="Times New Roman" w:hAnsi="Times New Roman"/>
          <w:bCs/>
          <w:iCs/>
          <w:sz w:val="24"/>
          <w:szCs w:val="20"/>
          <w:lang w:val="en-US"/>
        </w:rPr>
        <w:instrText>ADDIN CSL_CITATION {"citationItems":[{"id":"ITEM-1","itemData":{"DOI":"10.1016/J.JCLEPRO.2019.04.323","ISSN":"0959-6526","abstract":"Solid waste management (SWM) is an integral part of an environmental management system. SWM approaches have been modified into a more practical and effective option to establish sustainability based on the “reduce”, “reuse”, and “recycle” (3R) principles. This review provides an overview of a wide range of existing SWM strategies with the following key objectives: (i) to comprehensively describe current technologies, strategic innovations, and monitoring tools, (ii) to provide an overview of prevailing waste management scenarios across different countries, (iii) to identify the roles of life cycle assessment (LCA) and other modeling tools in SWM, and (iv) to showcase feasible approaches for sustainable recycling and utilization of solid wastes. The current review finds that geographical positions and economic status of nations are important to dictate waste characteristics. A number of economic and LCA models have been described to facilitate future workers vis-à-vis organizations for the selection of appropriate waste management algorithms and for the evaluation of their eventual performance. In addition, this paper showcases various innovative solutions that have been reported for the achievement of smart and sustainable waste management plans in many countries.","author":[{"dropping-particle":"","family":"Das","given":"Subhasish","non-dropping-particle":"","parse-names":false,"suffix":""},{"dropping-particle":"","family":"Lee","given":"S. H.","non-dropping-particle":"","parse-names":false,"suffix":""},{"dropping-particle":"","family":"Kumar","given":"Pawan","non-dropping-particle":"","parse-names":false,"suffix":""},{"dropping-particle":"","family":"Kim","given":"Ki Hyun","non-dropping-particle":"","parse-names":false,"suffix":""},{"dropping-particle":"","family":"Lee","given":"Sang Soo","non-dropping-particle":"","parse-names":false,"suffix":""},{"dropping-particle":"","family":"Bhattacharya","given":"Satya Sundar","non-dropping-particle":"","parse-names":false,"suffix":""}],"container-title":"Journal of Cleaner Production","id":"ITEM-1","issued":{"date-parts":[["2019","8","10"]]},"page":"658-678","title":"Solid waste management: Scope and the challenge of sustainability","type":"article-journal","volume":"228"},"uris":["http://www.mendeley.com/documents/?uuid=751c864c-2d4f-3fb8-a255-7f4274a81b1c"]},{"id":"ITEM-2","itemData":{"DOI":"10.5267/j.uscm.2023.3.011","ISSN":"22916830","abstract":"The company seeks the role of internal function and external partnership to eliminate or reduce the waste generated and its impact on the environment. Internally, Top management needs to commit and actively increase the participation of employees in implementing total quality management and production waste management to enhance business performance. This study surveyed the companies engaged in the industry sector producing finished products while generating waste in the production process. Data collection is carried out using online questionnaires through Google Forms with data analysis using PLS software. One hundred and thirty-six (136) manufacturing companies located in East Java, Indonesia. The results of the data analysis indicated that top management commitment significantly influences firm performance, employee empowerment, and total quality management. Employee empowerment impacts total quality management and production waste management. Total quality management positively influences production waste management and firm performance. In addition, production waste management significantly impacts the firm performance. In addition, top management commitment indirectly affects firm performance through the mediating role of total quality management. However, the mediating effect of production waste management is insignificant in translating top management commitments to firm performance. The result provides a theoretical contribution to developing green supply chain practices and sustainability. Furthermore, the practical contribution provides insight for top management companies that production waste management can improve performance with high management commitment and employee empowerment.","author":[{"dropping-particle":"","family":"Wijaya","given":"Shania Vanessa","non-dropping-particle":"","parse-names":false,"suffix":""},{"dropping-particle":"","family":"Tarigan","given":"Zeplin Jiwa Husada","non-dropping-particle":"","parse-names":false,"suffix":""},{"dropping-particle":"","family":"Siagian","given":"Hotlan","non-dropping-particle":"","parse-names":false,"suffix":""}],"container-title":"Uncertain Supply Chain Management","id":"ITEM-2","issue":"3","issued":{"date-parts":[["2023"]]},"page":"1369–1382","title":"The role of top management commitment, employee empowerment and total quality management in production waste management and enhancing firm performance","type":"article-journal","volume":"11"},"uris":["http://www.mendeley.com/documents/?uuid=d1412f96-8a81-3b9e-9536-f96336e339e9"]}],"mendeley":{"formattedCitation":"(Das &lt;i&gt;et al.&lt;/i&gt;, 2019; Wijaya &lt;i&gt;et al.&lt;/i&gt;, 2023)","plainTextFormattedCitation":"(Das et al., 2019; Wijaya et al., 2023)","previouslyFormattedCitation":"(Das &lt;i&gt;et al.&lt;/i&gt;, 2019; Wijaya &lt;i&gt;et al.&lt;/i&gt;, 2023)"},"properties":{"noteIndex":0},"schema":"https://github.com/citation-style-language/schema/raw/master/csl-citation.json"}</w:instrText>
      </w:r>
      <w:r w:rsidR="001A43BD" w:rsidRPr="005B7CAC">
        <w:rPr>
          <w:rFonts w:ascii="Times New Roman" w:hAnsi="Times New Roman"/>
          <w:bCs/>
          <w:iCs/>
          <w:sz w:val="24"/>
          <w:szCs w:val="20"/>
          <w:lang w:val="en-US"/>
        </w:rPr>
        <w:fldChar w:fldCharType="separate"/>
      </w:r>
      <w:r w:rsidR="003708D1" w:rsidRPr="005B7CAC">
        <w:rPr>
          <w:rFonts w:ascii="Times New Roman" w:hAnsi="Times New Roman"/>
          <w:bCs/>
          <w:iCs/>
          <w:noProof/>
          <w:sz w:val="24"/>
          <w:szCs w:val="20"/>
          <w:lang w:val="en-US"/>
        </w:rPr>
        <w:t xml:space="preserve">(Das </w:t>
      </w:r>
      <w:r w:rsidR="003708D1" w:rsidRPr="005B7CAC">
        <w:rPr>
          <w:rFonts w:ascii="Times New Roman" w:hAnsi="Times New Roman"/>
          <w:bCs/>
          <w:i/>
          <w:iCs/>
          <w:noProof/>
          <w:sz w:val="24"/>
          <w:szCs w:val="20"/>
          <w:lang w:val="en-US"/>
        </w:rPr>
        <w:t>et al.</w:t>
      </w:r>
      <w:r w:rsidR="003708D1" w:rsidRPr="005B7CAC">
        <w:rPr>
          <w:rFonts w:ascii="Times New Roman" w:hAnsi="Times New Roman"/>
          <w:bCs/>
          <w:iCs/>
          <w:noProof/>
          <w:sz w:val="24"/>
          <w:szCs w:val="20"/>
          <w:lang w:val="en-US"/>
        </w:rPr>
        <w:t xml:space="preserve">, 2019; Wijaya </w:t>
      </w:r>
      <w:r w:rsidR="003708D1" w:rsidRPr="005B7CAC">
        <w:rPr>
          <w:rFonts w:ascii="Times New Roman" w:hAnsi="Times New Roman"/>
          <w:bCs/>
          <w:i/>
          <w:iCs/>
          <w:noProof/>
          <w:sz w:val="24"/>
          <w:szCs w:val="20"/>
          <w:lang w:val="en-US"/>
        </w:rPr>
        <w:t>et al.</w:t>
      </w:r>
      <w:r w:rsidR="003708D1" w:rsidRPr="005B7CAC">
        <w:rPr>
          <w:rFonts w:ascii="Times New Roman" w:hAnsi="Times New Roman"/>
          <w:bCs/>
          <w:iCs/>
          <w:noProof/>
          <w:sz w:val="24"/>
          <w:szCs w:val="20"/>
          <w:lang w:val="en-US"/>
        </w:rPr>
        <w:t>, 2023)</w:t>
      </w:r>
      <w:r w:rsidR="001A43BD" w:rsidRPr="005B7CAC">
        <w:rPr>
          <w:rFonts w:ascii="Times New Roman" w:hAnsi="Times New Roman"/>
          <w:bCs/>
          <w:iCs/>
          <w:sz w:val="24"/>
          <w:szCs w:val="20"/>
          <w:lang w:val="en-US"/>
        </w:rPr>
        <w:fldChar w:fldCharType="end"/>
      </w:r>
      <w:r w:rsidR="00EA1BD8" w:rsidRPr="005B7CAC">
        <w:rPr>
          <w:rFonts w:ascii="Times New Roman" w:hAnsi="Times New Roman"/>
          <w:bCs/>
          <w:iCs/>
          <w:sz w:val="24"/>
          <w:szCs w:val="20"/>
          <w:lang w:val="en-US"/>
        </w:rPr>
        <w:t xml:space="preserve">, </w:t>
      </w:r>
      <w:r w:rsidR="00743F8F" w:rsidRPr="005B7CAC">
        <w:rPr>
          <w:rFonts w:ascii="Times New Roman" w:hAnsi="Times New Roman"/>
          <w:bCs/>
          <w:iCs/>
          <w:sz w:val="24"/>
          <w:szCs w:val="20"/>
          <w:lang w:val="en-US"/>
        </w:rPr>
        <w:t xml:space="preserve">prior </w:t>
      </w:r>
      <w:r w:rsidR="00C729AC" w:rsidRPr="005B7CAC">
        <w:rPr>
          <w:rFonts w:ascii="Times New Roman" w:hAnsi="Times New Roman"/>
          <w:bCs/>
          <w:iCs/>
          <w:sz w:val="24"/>
          <w:szCs w:val="20"/>
          <w:lang w:val="en-US"/>
        </w:rPr>
        <w:t>research has</w:t>
      </w:r>
      <w:r w:rsidR="00743F8F" w:rsidRPr="005B7CAC">
        <w:rPr>
          <w:rFonts w:ascii="Times New Roman" w:hAnsi="Times New Roman"/>
          <w:bCs/>
          <w:iCs/>
          <w:sz w:val="24"/>
          <w:szCs w:val="20"/>
          <w:lang w:val="en-US"/>
        </w:rPr>
        <w:t xml:space="preserve"> </w:t>
      </w:r>
      <w:r w:rsidR="00C729AC" w:rsidRPr="005B7CAC">
        <w:rPr>
          <w:rFonts w:ascii="Times New Roman" w:hAnsi="Times New Roman"/>
          <w:bCs/>
          <w:iCs/>
          <w:sz w:val="24"/>
          <w:szCs w:val="20"/>
          <w:lang w:val="en-US"/>
        </w:rPr>
        <w:t xml:space="preserve">paid limited attention to </w:t>
      </w:r>
      <w:r w:rsidR="00363AE2" w:rsidRPr="005B7CAC">
        <w:rPr>
          <w:rFonts w:ascii="Times New Roman" w:hAnsi="Times New Roman"/>
          <w:bCs/>
          <w:iCs/>
          <w:sz w:val="24"/>
          <w:szCs w:val="20"/>
          <w:lang w:val="en-US"/>
        </w:rPr>
        <w:t xml:space="preserve">whether </w:t>
      </w:r>
      <w:r w:rsidR="00363AE2" w:rsidRPr="005B7CAC">
        <w:rPr>
          <w:rFonts w:ascii="Times New Roman" w:hAnsi="Times New Roman"/>
          <w:bCs/>
          <w:i/>
          <w:sz w:val="24"/>
          <w:szCs w:val="20"/>
          <w:lang w:val="en-US"/>
        </w:rPr>
        <w:t>WM</w:t>
      </w:r>
      <w:r w:rsidR="00363AE2" w:rsidRPr="005B7CAC">
        <w:rPr>
          <w:rFonts w:ascii="Times New Roman" w:hAnsi="Times New Roman"/>
          <w:bCs/>
          <w:iCs/>
          <w:sz w:val="24"/>
          <w:szCs w:val="20"/>
          <w:lang w:val="en-US"/>
        </w:rPr>
        <w:t xml:space="preserve"> </w:t>
      </w:r>
      <w:r w:rsidR="003708D1" w:rsidRPr="005B7CAC">
        <w:rPr>
          <w:rFonts w:ascii="Times New Roman" w:hAnsi="Times New Roman"/>
          <w:bCs/>
          <w:iCs/>
          <w:sz w:val="24"/>
          <w:szCs w:val="20"/>
          <w:lang w:val="en-US"/>
        </w:rPr>
        <w:t xml:space="preserve">practices </w:t>
      </w:r>
      <w:r w:rsidR="00363AE2" w:rsidRPr="005B7CAC">
        <w:rPr>
          <w:rFonts w:ascii="Times New Roman" w:hAnsi="Times New Roman"/>
          <w:bCs/>
          <w:iCs/>
          <w:sz w:val="24"/>
          <w:szCs w:val="20"/>
          <w:lang w:val="en-US"/>
        </w:rPr>
        <w:t>have a financial risk-reducing effect</w:t>
      </w:r>
      <w:r w:rsidR="00B4382A" w:rsidRPr="005B7CAC">
        <w:rPr>
          <w:rFonts w:ascii="Times New Roman" w:hAnsi="Times New Roman"/>
          <w:bCs/>
          <w:iCs/>
          <w:sz w:val="24"/>
          <w:szCs w:val="20"/>
          <w:lang w:val="en-US"/>
        </w:rPr>
        <w:t>. Thus</w:t>
      </w:r>
      <w:r w:rsidR="00C729AC" w:rsidRPr="005B7CAC">
        <w:rPr>
          <w:rFonts w:ascii="Times New Roman" w:hAnsi="Times New Roman"/>
          <w:bCs/>
          <w:iCs/>
          <w:sz w:val="24"/>
          <w:szCs w:val="20"/>
          <w:lang w:val="en-US"/>
        </w:rPr>
        <w:t>,</w:t>
      </w:r>
      <w:r w:rsidR="00B4382A" w:rsidRPr="005B7CAC">
        <w:rPr>
          <w:rFonts w:ascii="Times New Roman" w:hAnsi="Times New Roman"/>
          <w:bCs/>
          <w:iCs/>
          <w:sz w:val="24"/>
          <w:szCs w:val="20"/>
          <w:lang w:val="en-US"/>
        </w:rPr>
        <w:t xml:space="preserve"> our work</w:t>
      </w:r>
      <w:r w:rsidR="00BF3E50" w:rsidRPr="005B7CAC">
        <w:rPr>
          <w:rFonts w:ascii="Times New Roman" w:hAnsi="Times New Roman"/>
          <w:bCs/>
          <w:iCs/>
          <w:sz w:val="24"/>
          <w:szCs w:val="20"/>
          <w:lang w:val="en-US"/>
        </w:rPr>
        <w:t xml:space="preserve"> aims to fill this research gap by</w:t>
      </w:r>
      <w:r w:rsidR="0033140C" w:rsidRPr="005B7CAC">
        <w:rPr>
          <w:rFonts w:ascii="Times New Roman" w:hAnsi="Times New Roman"/>
          <w:bCs/>
          <w:iCs/>
          <w:sz w:val="24"/>
          <w:szCs w:val="20"/>
          <w:lang w:val="en-US"/>
        </w:rPr>
        <w:t xml:space="preserve"> investigating whether </w:t>
      </w:r>
      <w:r w:rsidR="0033140C" w:rsidRPr="005B7CAC">
        <w:rPr>
          <w:rFonts w:ascii="Times New Roman" w:hAnsi="Times New Roman"/>
          <w:bCs/>
          <w:i/>
          <w:sz w:val="24"/>
          <w:szCs w:val="20"/>
          <w:lang w:val="en-US"/>
        </w:rPr>
        <w:t>WM</w:t>
      </w:r>
      <w:r w:rsidR="003127C1" w:rsidRPr="005B7CAC">
        <w:rPr>
          <w:rFonts w:ascii="Times New Roman" w:hAnsi="Times New Roman"/>
          <w:bCs/>
          <w:iCs/>
          <w:sz w:val="24"/>
          <w:szCs w:val="20"/>
          <w:lang w:val="en-US"/>
        </w:rPr>
        <w:t xml:space="preserve"> practices </w:t>
      </w:r>
      <w:r w:rsidR="004A679A" w:rsidRPr="005B7CAC">
        <w:rPr>
          <w:rFonts w:ascii="Times New Roman" w:hAnsi="Times New Roman"/>
          <w:bCs/>
          <w:iCs/>
          <w:sz w:val="24"/>
          <w:szCs w:val="20"/>
          <w:lang w:val="en-US"/>
        </w:rPr>
        <w:t>affect</w:t>
      </w:r>
      <w:r w:rsidR="0033140C" w:rsidRPr="005B7CAC">
        <w:rPr>
          <w:rFonts w:ascii="Times New Roman" w:hAnsi="Times New Roman"/>
          <w:bCs/>
          <w:iCs/>
          <w:sz w:val="24"/>
          <w:szCs w:val="20"/>
          <w:lang w:val="en-US"/>
        </w:rPr>
        <w:t xml:space="preserve"> </w:t>
      </w:r>
      <w:r w:rsidR="0033140C" w:rsidRPr="005B7CAC">
        <w:rPr>
          <w:rFonts w:ascii="Times New Roman" w:hAnsi="Times New Roman"/>
          <w:bCs/>
          <w:i/>
          <w:iCs/>
          <w:sz w:val="24"/>
          <w:szCs w:val="20"/>
          <w:lang w:val="en-US"/>
        </w:rPr>
        <w:t>FD</w:t>
      </w:r>
      <w:r w:rsidR="0033140C" w:rsidRPr="005B7CAC">
        <w:rPr>
          <w:rFonts w:ascii="Times New Roman" w:hAnsi="Times New Roman"/>
          <w:bCs/>
          <w:iCs/>
          <w:sz w:val="24"/>
          <w:szCs w:val="20"/>
          <w:lang w:val="en-US"/>
        </w:rPr>
        <w:t xml:space="preserve"> risks. </w:t>
      </w:r>
      <w:r w:rsidR="00BF3E50" w:rsidRPr="005B7CAC">
        <w:rPr>
          <w:rFonts w:ascii="Times New Roman" w:hAnsi="Times New Roman"/>
          <w:bCs/>
          <w:iCs/>
          <w:sz w:val="24"/>
          <w:szCs w:val="20"/>
          <w:lang w:val="en-US"/>
        </w:rPr>
        <w:t xml:space="preserve"> </w:t>
      </w:r>
      <w:r w:rsidR="00C729AC" w:rsidRPr="005B7CAC">
        <w:rPr>
          <w:rFonts w:ascii="Times New Roman" w:hAnsi="Times New Roman"/>
          <w:bCs/>
          <w:iCs/>
          <w:sz w:val="24"/>
          <w:szCs w:val="20"/>
          <w:lang w:val="en-US"/>
        </w:rPr>
        <w:t xml:space="preserve"> </w:t>
      </w:r>
    </w:p>
    <w:p w14:paraId="3640D240" w14:textId="18BCD496" w:rsidR="000D4E69" w:rsidRPr="005B7CAC" w:rsidRDefault="00CE2F7A" w:rsidP="003D5418">
      <w:pPr>
        <w:widowControl w:val="0"/>
        <w:autoSpaceDE w:val="0"/>
        <w:autoSpaceDN w:val="0"/>
        <w:adjustRightInd w:val="0"/>
        <w:spacing w:after="240" w:line="360" w:lineRule="auto"/>
        <w:jc w:val="both"/>
        <w:rPr>
          <w:rFonts w:ascii="Times New Roman" w:hAnsi="Times New Roman"/>
          <w:bCs/>
          <w:iCs/>
          <w:sz w:val="24"/>
          <w:szCs w:val="20"/>
          <w:lang w:val="en-US"/>
        </w:rPr>
      </w:pPr>
      <w:r w:rsidRPr="005B7CAC">
        <w:rPr>
          <w:rFonts w:ascii="Times New Roman" w:hAnsi="Times New Roman"/>
          <w:bCs/>
          <w:iCs/>
          <w:sz w:val="24"/>
          <w:szCs w:val="20"/>
          <w:lang w:val="en-US"/>
        </w:rPr>
        <w:t xml:space="preserve">While past </w:t>
      </w:r>
      <w:r w:rsidR="00D127EF" w:rsidRPr="005B7CAC">
        <w:rPr>
          <w:rFonts w:ascii="Times New Roman" w:hAnsi="Times New Roman"/>
          <w:bCs/>
          <w:iCs/>
          <w:sz w:val="24"/>
          <w:szCs w:val="20"/>
          <w:lang w:val="en-US"/>
        </w:rPr>
        <w:t xml:space="preserve">research </w:t>
      </w:r>
      <w:r w:rsidR="00D127EF" w:rsidRPr="005B7CAC">
        <w:rPr>
          <w:rFonts w:ascii="Times New Roman" w:hAnsi="Times New Roman"/>
          <w:bCs/>
          <w:iCs/>
          <w:sz w:val="24"/>
          <w:szCs w:val="20"/>
          <w:lang w:val="en-US"/>
        </w:rPr>
        <w:fldChar w:fldCharType="begin" w:fldLock="1"/>
      </w:r>
      <w:r w:rsidR="0050174D" w:rsidRPr="005B7CAC">
        <w:rPr>
          <w:rFonts w:ascii="Times New Roman" w:hAnsi="Times New Roman"/>
          <w:bCs/>
          <w:iCs/>
          <w:sz w:val="24"/>
          <w:szCs w:val="20"/>
          <w:lang w:val="en-US"/>
        </w:rPr>
        <w:instrText>ADDIN CSL_CITATION {"citationItems":[{"id":"ITEM-1","itemData":{"DOI":"10.1016/J.ECONMOD.2022.105932","ISSN":"0264-9993","abstract":"This study examines an important yet underexplored aspect of firms’ sustainability practices, i.e., waste management, in order to analyze its impact on financial performance. Although the extant literature has focused on various aspects of sustainability, the impact of waste management, which has disastrous consequences for the climate and firm performance, remains largely unexplored. Thus, using the 2002–2019 data of listed firms from 41 countries, we found a significantly negative (positive) relationship between waste generation (recycling) and financial performance. Our findings are robust to alternative variables, sub-sample analysis, and identification strategies. Moreover, a channel analysis showed that this relationship is influenced by operating costs, ESG performance-based compensation, industry nature, the Paris agreement on climate change, and the global financial crisis. Overall, the findings suggest that environmental initiatives are beneficial for firms and present important policy implications for regulators and firms.","author":[{"dropping-particle":"","family":"Gull","given":"Ammar Ali","non-dropping-particle":"","parse-names":false,"suffix":""},{"dropping-particle":"","family":"Atif","given":"Muhammad","non-dropping-particle":"","parse-names":false,"suffix":""},{"dropping-particle":"","family":"Ahsan","given":"Tanveer","non-dropping-particle":"","parse-names":false,"suffix":""},{"dropping-particle":"","family":"Derouiche","given":"Imen","non-dropping-particle":"","parse-names":false,"suffix":""}],"container-title":"Economic Modelling","id":"ITEM-1","issued":{"date-parts":[["2022","9","1"]]},"page":"105932","title":"Does waste management affect firm performance? International evidence","type":"article-journal","volume":"114"},"uris":["http://www.mendeley.com/documents/?uuid=0ecbc08a-9434-37fc-b2bd-379559bf0932"]},{"id":"ITEM-2","itemData":{"DOI":"10.3390/ijerph17145206","ISSN":"16604601","abstract":"This paper aimed to investigate the impact of water, waste, and energy consumption on firm performance for a sample of enterprises that belong to the S&amp;P 500 Information Technology sector over the period of 2009–2020. The quantitative framework covered both accounting (e.g., return on assets—ROA; return on common equity—ROE; return on capital—ROC; return on invested capital—ROIC) and market-based measures of performance (e.g., price-to-book value— PB), alongside firm and corporate governance specific variables. By estimating multivariate panel data regression models, the empirical results provided support for a negative impact of total water use on PB but a positive effect on ROA. With reference to the total waste, the econometric outcomes revealed a negative influence on the entire selected performance measures, whereas total energy consumption did not reveal any statistically significant influence.","author":[{"dropping-particle":"","family":"Simionescu","given":"Liliana Nicoleta","non-dropping-particle":"","parse-names":false,"suffix":""},{"dropping-particle":"","family":"Gherghina","given":"Ștefan Cristian","non-dropping-particle":"","parse-names":false,"suffix":""},{"dropping-particle":"","family":"Sheikha","given":"Ziad","non-dropping-particle":"","parse-names":false,"suffix":""},{"dropping-particle":"","family":"Tawil","given":"Hiba","non-dropping-particle":"","parse-names":false,"suffix":""}],"container-title":"International Journal of Environmental Research and Public Health","id":"ITEM-2","issue":"14","issued":{"date-parts":[["2020"]]},"page":"5206","title":"Does water, waste, and energy consumption influence firm performance? Panel data evidence from S &amp;P 500 information technology sector","type":"article-journal","volume":"17"},"uris":["http://www.mendeley.com/documents/?uuid=416ffb51-17e1-3ace-8d61-e7b79bf0a232"]},{"id":"ITEM-3","itemData":{"DOI":"10.1016/j.econmod.2020.05.012","ISSN":"02649993","abstract":"This paper examines how corporate social responsibility (CSR) affects the level of financial distress risk (FDR). Using a sample of 1201 US-listed firms during 1991–2012, our results indicate that firms with higher CSR levels have lower FDR, suggesting that a better CSR performance makes firms more creditworthy and have better access to financing, which is rewarded with less financial defaults. This finding is robust to using alternative proxies of FDR, to controlling for potential endogeneity, and is mainly driven by the community, diversity, employee relations, and environmental dimensions of CSR. Moreover, this relationship is more prevalent in firms with strong governance mechanisms and high product market competition. It is also more exacerbated for less distressed firms and during non-crisis periods. Overall, our findings suggest that the adoption of CSR practices comes with less distress and default risks, likely leading to a more attractive corporate environment, better financial stability and more crisis-resilient economies.","author":[{"dropping-particle":"","family":"Boubaker","given":"Sabri","non-dropping-particle":"","parse-names":false,"suffix":""},{"dropping-particle":"","family":"Cellier","given":"Alexis","non-dropping-particle":"","parse-names":false,"suffix":""},{"dropping-particle":"","family":"Manita","given":"Riadh","non-dropping-particle":"","parse-names":false,"suffix":""},{"dropping-particle":"","family":"Saeed","given":"Asif","non-dropping-particle":"","parse-names":false,"suffix":""}],"container-title":"Economic Modelling","id":"ITEM-3","issued":{"date-parts":[["2020"]]},"page":"835-851","title":"Does corporate social responsibility reduce financial distress risk?","type":"article-journal","volume":"91"},"uris":["http://www.mendeley.com/documents/?uuid=70fa69c4-6f8c-4161-8285-efdbb2b9c72e"]}],"mendeley":{"formattedCitation":"(Boubaker &lt;i&gt;et al.&lt;/i&gt;, 2020; Gull, Atif, Ahsan, &lt;i&gt;et al.&lt;/i&gt;, 2022; Simionescu &lt;i&gt;et al.&lt;/i&gt;, 2020)","manualFormatting":"(Boubaker et al., 2020; Gull et al., 2022a; Simionescu et al., 2020)","plainTextFormattedCitation":"(Boubaker et al., 2020; Gull, Atif, Ahsan, et al., 2022; Simionescu et al., 2020)","previouslyFormattedCitation":"(Boubaker &lt;i&gt;et al.&lt;/i&gt;, 2020; Gull, Atif, Ahsan, &lt;i&gt;et al.&lt;/i&gt;, 2022; Simionescu &lt;i&gt;et al.&lt;/i&gt;, 2020)"},"properties":{"noteIndex":0},"schema":"https://github.com/citation-style-language/schema/raw/master/csl-citation.json"}</w:instrText>
      </w:r>
      <w:r w:rsidR="00D127EF" w:rsidRPr="005B7CAC">
        <w:rPr>
          <w:rFonts w:ascii="Times New Roman" w:hAnsi="Times New Roman"/>
          <w:bCs/>
          <w:iCs/>
          <w:sz w:val="24"/>
          <w:szCs w:val="20"/>
          <w:lang w:val="en-US"/>
        </w:rPr>
        <w:fldChar w:fldCharType="separate"/>
      </w:r>
      <w:r w:rsidR="00D127EF" w:rsidRPr="005B7CAC">
        <w:rPr>
          <w:rFonts w:ascii="Times New Roman" w:hAnsi="Times New Roman"/>
          <w:bCs/>
          <w:iCs/>
          <w:noProof/>
          <w:sz w:val="24"/>
          <w:szCs w:val="20"/>
          <w:lang w:val="en-US"/>
        </w:rPr>
        <w:t xml:space="preserve">(Boubaker </w:t>
      </w:r>
      <w:r w:rsidR="00D127EF" w:rsidRPr="005B7CAC">
        <w:rPr>
          <w:rFonts w:ascii="Times New Roman" w:hAnsi="Times New Roman"/>
          <w:bCs/>
          <w:i/>
          <w:iCs/>
          <w:noProof/>
          <w:sz w:val="24"/>
          <w:szCs w:val="20"/>
          <w:lang w:val="en-US"/>
        </w:rPr>
        <w:t>et al.</w:t>
      </w:r>
      <w:r w:rsidR="00D127EF" w:rsidRPr="005B7CAC">
        <w:rPr>
          <w:rFonts w:ascii="Times New Roman" w:hAnsi="Times New Roman"/>
          <w:bCs/>
          <w:iCs/>
          <w:noProof/>
          <w:sz w:val="24"/>
          <w:szCs w:val="20"/>
          <w:lang w:val="en-US"/>
        </w:rPr>
        <w:t>, 2020; Gull</w:t>
      </w:r>
      <w:r w:rsidR="004B21C5" w:rsidRPr="005B7CAC">
        <w:rPr>
          <w:rFonts w:ascii="Times New Roman" w:hAnsi="Times New Roman"/>
          <w:bCs/>
          <w:iCs/>
          <w:noProof/>
          <w:sz w:val="24"/>
          <w:szCs w:val="20"/>
          <w:lang w:val="en-US"/>
        </w:rPr>
        <w:t xml:space="preserve"> </w:t>
      </w:r>
      <w:r w:rsidR="00D127EF" w:rsidRPr="005B7CAC">
        <w:rPr>
          <w:rFonts w:ascii="Times New Roman" w:hAnsi="Times New Roman"/>
          <w:bCs/>
          <w:i/>
          <w:iCs/>
          <w:noProof/>
          <w:sz w:val="24"/>
          <w:szCs w:val="20"/>
          <w:lang w:val="en-US"/>
        </w:rPr>
        <w:t>et al.</w:t>
      </w:r>
      <w:r w:rsidR="00D127EF" w:rsidRPr="005B7CAC">
        <w:rPr>
          <w:rFonts w:ascii="Times New Roman" w:hAnsi="Times New Roman"/>
          <w:bCs/>
          <w:iCs/>
          <w:noProof/>
          <w:sz w:val="24"/>
          <w:szCs w:val="20"/>
          <w:lang w:val="en-US"/>
        </w:rPr>
        <w:t>, 2022</w:t>
      </w:r>
      <w:r w:rsidR="004B21C5" w:rsidRPr="005B7CAC">
        <w:rPr>
          <w:rFonts w:ascii="Times New Roman" w:hAnsi="Times New Roman"/>
          <w:bCs/>
          <w:iCs/>
          <w:noProof/>
          <w:sz w:val="24"/>
          <w:szCs w:val="20"/>
          <w:lang w:val="en-US"/>
        </w:rPr>
        <w:t>a</w:t>
      </w:r>
      <w:r w:rsidR="00D127EF" w:rsidRPr="005B7CAC">
        <w:rPr>
          <w:rFonts w:ascii="Times New Roman" w:hAnsi="Times New Roman"/>
          <w:bCs/>
          <w:iCs/>
          <w:noProof/>
          <w:sz w:val="24"/>
          <w:szCs w:val="20"/>
          <w:lang w:val="en-US"/>
        </w:rPr>
        <w:t xml:space="preserve">; Simionescu </w:t>
      </w:r>
      <w:r w:rsidR="00D127EF" w:rsidRPr="005B7CAC">
        <w:rPr>
          <w:rFonts w:ascii="Times New Roman" w:hAnsi="Times New Roman"/>
          <w:bCs/>
          <w:i/>
          <w:iCs/>
          <w:noProof/>
          <w:sz w:val="24"/>
          <w:szCs w:val="20"/>
          <w:lang w:val="en-US"/>
        </w:rPr>
        <w:t>et al.</w:t>
      </w:r>
      <w:r w:rsidR="00D127EF" w:rsidRPr="005B7CAC">
        <w:rPr>
          <w:rFonts w:ascii="Times New Roman" w:hAnsi="Times New Roman"/>
          <w:bCs/>
          <w:iCs/>
          <w:noProof/>
          <w:sz w:val="24"/>
          <w:szCs w:val="20"/>
          <w:lang w:val="en-US"/>
        </w:rPr>
        <w:t>, 2020)</w:t>
      </w:r>
      <w:r w:rsidR="00D127EF" w:rsidRPr="005B7CAC">
        <w:rPr>
          <w:rFonts w:ascii="Times New Roman" w:hAnsi="Times New Roman"/>
          <w:bCs/>
          <w:iCs/>
          <w:sz w:val="24"/>
          <w:szCs w:val="20"/>
          <w:lang w:val="en-US"/>
        </w:rPr>
        <w:fldChar w:fldCharType="end"/>
      </w:r>
      <w:r w:rsidR="00D127EF" w:rsidRPr="005B7CAC">
        <w:rPr>
          <w:rFonts w:ascii="Times New Roman" w:hAnsi="Times New Roman"/>
          <w:bCs/>
          <w:iCs/>
          <w:sz w:val="24"/>
          <w:szCs w:val="20"/>
          <w:lang w:val="en-US"/>
        </w:rPr>
        <w:t xml:space="preserve"> has mainly focused on </w:t>
      </w:r>
      <w:r w:rsidRPr="005B7CAC">
        <w:rPr>
          <w:rFonts w:ascii="Times New Roman" w:hAnsi="Times New Roman"/>
          <w:bCs/>
          <w:iCs/>
          <w:sz w:val="24"/>
          <w:szCs w:val="20"/>
          <w:lang w:val="en-US"/>
        </w:rPr>
        <w:t xml:space="preserve">the direct effects of </w:t>
      </w:r>
      <w:r w:rsidR="00805C79" w:rsidRPr="005B7CAC">
        <w:rPr>
          <w:rFonts w:ascii="Times New Roman" w:hAnsi="Times New Roman"/>
          <w:bCs/>
          <w:iCs/>
          <w:sz w:val="24"/>
          <w:szCs w:val="20"/>
          <w:lang w:val="en-US"/>
        </w:rPr>
        <w:t>CSR/</w:t>
      </w:r>
      <w:r w:rsidRPr="005B7CAC">
        <w:rPr>
          <w:rFonts w:ascii="Times New Roman" w:hAnsi="Times New Roman"/>
          <w:bCs/>
          <w:iCs/>
          <w:sz w:val="24"/>
          <w:szCs w:val="20"/>
          <w:lang w:val="en-US"/>
        </w:rPr>
        <w:t xml:space="preserve">environmental performance on </w:t>
      </w:r>
      <w:r w:rsidR="00805C79" w:rsidRPr="005B7CAC">
        <w:rPr>
          <w:rFonts w:ascii="Times New Roman" w:hAnsi="Times New Roman"/>
          <w:bCs/>
          <w:iCs/>
          <w:sz w:val="24"/>
          <w:szCs w:val="20"/>
          <w:lang w:val="en-US"/>
        </w:rPr>
        <w:t>firm financial performance</w:t>
      </w:r>
      <w:r w:rsidR="00D127EF" w:rsidRPr="005B7CAC">
        <w:rPr>
          <w:rFonts w:ascii="Times New Roman" w:hAnsi="Times New Roman"/>
          <w:bCs/>
          <w:iCs/>
          <w:sz w:val="24"/>
          <w:szCs w:val="20"/>
          <w:lang w:val="en-US"/>
        </w:rPr>
        <w:t>, t</w:t>
      </w:r>
      <w:r w:rsidRPr="005B7CAC">
        <w:rPr>
          <w:rFonts w:ascii="Times New Roman" w:hAnsi="Times New Roman"/>
          <w:bCs/>
          <w:iCs/>
          <w:sz w:val="24"/>
          <w:szCs w:val="20"/>
          <w:lang w:val="en-US"/>
        </w:rPr>
        <w:t>he roles</w:t>
      </w:r>
      <w:r w:rsidR="00D127EF" w:rsidRPr="005B7CAC">
        <w:rPr>
          <w:rFonts w:ascii="Times New Roman" w:hAnsi="Times New Roman"/>
          <w:bCs/>
          <w:iCs/>
          <w:sz w:val="24"/>
          <w:szCs w:val="20"/>
          <w:lang w:val="en-US"/>
        </w:rPr>
        <w:t xml:space="preserve"> of corporate green initiatives (</w:t>
      </w:r>
      <w:r w:rsidR="00D127EF" w:rsidRPr="005B7CAC">
        <w:rPr>
          <w:rFonts w:ascii="Times New Roman" w:hAnsi="Times New Roman"/>
          <w:bCs/>
          <w:i/>
          <w:sz w:val="24"/>
          <w:szCs w:val="20"/>
          <w:lang w:val="en-US"/>
        </w:rPr>
        <w:t>GINVs</w:t>
      </w:r>
      <w:r w:rsidR="00D127EF" w:rsidRPr="005B7CAC">
        <w:rPr>
          <w:rFonts w:ascii="Times New Roman" w:hAnsi="Times New Roman"/>
          <w:bCs/>
          <w:iCs/>
          <w:sz w:val="24"/>
          <w:szCs w:val="20"/>
          <w:lang w:val="en-US"/>
        </w:rPr>
        <w:t xml:space="preserve">) </w:t>
      </w:r>
      <w:r w:rsidRPr="005B7CAC">
        <w:rPr>
          <w:rFonts w:ascii="Times New Roman" w:hAnsi="Times New Roman"/>
          <w:bCs/>
          <w:iCs/>
          <w:sz w:val="24"/>
          <w:szCs w:val="20"/>
          <w:lang w:val="en-US"/>
        </w:rPr>
        <w:t>in improv</w:t>
      </w:r>
      <w:r w:rsidR="002307C8" w:rsidRPr="005B7CAC">
        <w:rPr>
          <w:rFonts w:ascii="Times New Roman" w:hAnsi="Times New Roman"/>
          <w:bCs/>
          <w:iCs/>
          <w:sz w:val="24"/>
          <w:szCs w:val="20"/>
          <w:lang w:val="en-US"/>
        </w:rPr>
        <w:t>ing</w:t>
      </w:r>
      <w:r w:rsidRPr="005B7CAC">
        <w:rPr>
          <w:rFonts w:ascii="Times New Roman" w:hAnsi="Times New Roman"/>
          <w:bCs/>
          <w:iCs/>
          <w:sz w:val="24"/>
          <w:szCs w:val="20"/>
          <w:lang w:val="en-US"/>
        </w:rPr>
        <w:t xml:space="preserve"> </w:t>
      </w:r>
      <w:r w:rsidRPr="005B7CAC">
        <w:rPr>
          <w:rFonts w:ascii="Times New Roman" w:hAnsi="Times New Roman"/>
          <w:bCs/>
          <w:i/>
          <w:sz w:val="24"/>
          <w:szCs w:val="20"/>
          <w:lang w:val="en-US"/>
        </w:rPr>
        <w:t>WM</w:t>
      </w:r>
      <w:r w:rsidRPr="005B7CAC">
        <w:rPr>
          <w:rFonts w:ascii="Times New Roman" w:hAnsi="Times New Roman"/>
          <w:bCs/>
          <w:iCs/>
          <w:sz w:val="24"/>
          <w:szCs w:val="20"/>
          <w:lang w:val="en-US"/>
        </w:rPr>
        <w:t xml:space="preserve"> and mitigating </w:t>
      </w:r>
      <w:r w:rsidRPr="005B7CAC">
        <w:rPr>
          <w:rFonts w:ascii="Times New Roman" w:hAnsi="Times New Roman"/>
          <w:bCs/>
          <w:i/>
          <w:sz w:val="24"/>
          <w:szCs w:val="20"/>
          <w:lang w:val="en-US"/>
        </w:rPr>
        <w:t>FD</w:t>
      </w:r>
      <w:r w:rsidRPr="005B7CAC">
        <w:rPr>
          <w:rFonts w:ascii="Times New Roman" w:hAnsi="Times New Roman"/>
          <w:bCs/>
          <w:iCs/>
          <w:sz w:val="24"/>
          <w:szCs w:val="20"/>
          <w:lang w:val="en-US"/>
        </w:rPr>
        <w:t xml:space="preserve"> risks</w:t>
      </w:r>
      <w:r w:rsidR="00ED161B" w:rsidRPr="005B7CAC">
        <w:rPr>
          <w:rFonts w:ascii="Times New Roman" w:hAnsi="Times New Roman"/>
          <w:bCs/>
          <w:iCs/>
          <w:sz w:val="24"/>
          <w:szCs w:val="20"/>
          <w:lang w:val="en-US"/>
        </w:rPr>
        <w:t>, especially within heavily regulated environmental contexts</w:t>
      </w:r>
      <w:r w:rsidRPr="005B7CAC">
        <w:rPr>
          <w:rFonts w:ascii="Times New Roman" w:hAnsi="Times New Roman"/>
          <w:bCs/>
          <w:iCs/>
          <w:sz w:val="24"/>
          <w:szCs w:val="20"/>
          <w:lang w:val="en-US"/>
        </w:rPr>
        <w:t xml:space="preserve"> </w:t>
      </w:r>
      <w:r w:rsidR="002307C8" w:rsidRPr="005B7CAC">
        <w:rPr>
          <w:rFonts w:ascii="Times New Roman" w:hAnsi="Times New Roman"/>
          <w:bCs/>
          <w:iCs/>
          <w:sz w:val="24"/>
          <w:szCs w:val="20"/>
          <w:lang w:val="en-US"/>
        </w:rPr>
        <w:t xml:space="preserve">have been largely neglected. </w:t>
      </w:r>
      <w:r w:rsidR="00805C79" w:rsidRPr="005B7CAC">
        <w:rPr>
          <w:rFonts w:ascii="Times New Roman" w:hAnsi="Times New Roman"/>
          <w:bCs/>
          <w:iCs/>
          <w:sz w:val="24"/>
          <w:szCs w:val="20"/>
          <w:lang w:val="en-US"/>
        </w:rPr>
        <w:t xml:space="preserve">Although </w:t>
      </w:r>
      <w:r w:rsidR="00E072B2" w:rsidRPr="005B7CAC">
        <w:rPr>
          <w:rFonts w:ascii="Times New Roman" w:hAnsi="Times New Roman"/>
          <w:bCs/>
          <w:iCs/>
          <w:sz w:val="24"/>
          <w:szCs w:val="20"/>
          <w:lang w:val="en-US"/>
        </w:rPr>
        <w:t xml:space="preserve">corporate environmental </w:t>
      </w:r>
      <w:r w:rsidR="001A1CB2" w:rsidRPr="005B7CAC">
        <w:rPr>
          <w:rFonts w:ascii="Times New Roman" w:hAnsi="Times New Roman"/>
          <w:bCs/>
          <w:iCs/>
          <w:sz w:val="24"/>
          <w:szCs w:val="20"/>
          <w:lang w:val="en-US"/>
        </w:rPr>
        <w:t>efforts</w:t>
      </w:r>
      <w:r w:rsidR="00E072B2" w:rsidRPr="005B7CAC">
        <w:rPr>
          <w:rFonts w:ascii="Times New Roman" w:hAnsi="Times New Roman"/>
          <w:bCs/>
          <w:iCs/>
          <w:sz w:val="24"/>
          <w:szCs w:val="20"/>
          <w:lang w:val="en-US"/>
        </w:rPr>
        <w:t xml:space="preserve"> in the form of </w:t>
      </w:r>
      <w:r w:rsidR="001A1CB2" w:rsidRPr="005B7CAC">
        <w:rPr>
          <w:rFonts w:ascii="Times New Roman" w:hAnsi="Times New Roman"/>
          <w:bCs/>
          <w:i/>
          <w:sz w:val="24"/>
          <w:szCs w:val="20"/>
          <w:lang w:val="en-US"/>
        </w:rPr>
        <w:t>GINVs</w:t>
      </w:r>
      <w:r w:rsidR="00D127EF" w:rsidRPr="005B7CAC">
        <w:rPr>
          <w:rFonts w:ascii="Times New Roman" w:hAnsi="Times New Roman"/>
          <w:bCs/>
          <w:iCs/>
          <w:sz w:val="24"/>
          <w:szCs w:val="20"/>
          <w:lang w:val="en-US"/>
        </w:rPr>
        <w:t xml:space="preserve"> </w:t>
      </w:r>
      <w:r w:rsidR="00E072B2" w:rsidRPr="005B7CAC">
        <w:rPr>
          <w:rFonts w:ascii="Times New Roman" w:hAnsi="Times New Roman"/>
          <w:bCs/>
          <w:iCs/>
          <w:sz w:val="24"/>
          <w:szCs w:val="20"/>
          <w:lang w:val="en-US"/>
        </w:rPr>
        <w:t xml:space="preserve">may </w:t>
      </w:r>
      <w:r w:rsidR="00321105" w:rsidRPr="005B7CAC">
        <w:rPr>
          <w:rFonts w:ascii="Times New Roman" w:hAnsi="Times New Roman"/>
          <w:bCs/>
          <w:iCs/>
          <w:sz w:val="24"/>
          <w:szCs w:val="20"/>
          <w:lang w:val="en-US"/>
        </w:rPr>
        <w:t xml:space="preserve">enhance environmental sustainability </w:t>
      </w:r>
      <w:r w:rsidR="005C2B1D" w:rsidRPr="005B7CAC">
        <w:rPr>
          <w:rFonts w:ascii="Times New Roman" w:hAnsi="Times New Roman"/>
          <w:bCs/>
          <w:iCs/>
          <w:sz w:val="24"/>
          <w:szCs w:val="20"/>
          <w:lang w:val="en-US"/>
        </w:rPr>
        <w:fldChar w:fldCharType="begin" w:fldLock="1"/>
      </w:r>
      <w:r w:rsidR="0050174D" w:rsidRPr="005B7CAC">
        <w:rPr>
          <w:rFonts w:ascii="Times New Roman" w:hAnsi="Times New Roman"/>
          <w:bCs/>
          <w:iCs/>
          <w:sz w:val="24"/>
          <w:szCs w:val="20"/>
          <w:lang w:val="en-US"/>
        </w:rPr>
        <w:instrText>ADDIN CSL_CITATION {"citationItems":[{"id":"ITEM-1","itemData":{"DOI":"10.1002/bse.1950","ISSN":"10990836","abstract":"Sustainable development is a hot topic in business and the media, and there is a growing demand for reliable environmental disclosure from a wide range of stakeholders. Ethical performance, including social and environmental performance, is actively scrutinized. A firm's stakeholders expect reliable disclosure to correctly assess its performance. Research on the link between environmental disclosure and environmental performance shows mixed results. Both a positive and a negative association have been found. This study reexamines this association by considering environmental innovation as a key determinant of environmental disclosure. We find that environmental performance and environmental innovation jointly determine environmental disclosure. At low levels of environmental performance, innovative firms tend to disclose more than their non-innovative counterparts to inform stakeholders about their innovation and strategy to obtain an improved environmental performance. This disclosure gap tends to diminish as innovative firms become better environmental performers. The higher levels of environmental disclosure are closely associated with firms' environmental performance for both groups. Copyright © 2017 John Wiley &amp; Sons, Ltd and ERP Environment.","author":[{"dropping-particle":"","family":"Radu","given":"Camélia","non-dropping-particle":"","parse-names":false,"suffix":""},{"dropping-particle":"","family":"Francoeur","given":"Claude","non-dropping-particle":"","parse-names":false,"suffix":""}],"container-title":"Business Strategy and the Environment","id":"ITEM-1","issue":"7","issued":{"date-parts":[["2017"]]},"page":"893-911","title":"Does Innovation Drive Environmental Disclosure? A New Insight into Sustainable Development","type":"article-journal","volume":"26"},"uris":["http://www.mendeley.com/documents/?uuid=5dda1e77-62fa-30ff-98dd-bf0775805964"]},{"id":"ITEM-2","itemData":{"DOI":"https://doi.org/10.1002/bsd2.406","abstract":"Abstract The aim of the paper is to examine the influence of climate vulnerability (CV) on the formation of new firms. Employing a large sample of 140 countries spanning the time frame 2006?2020, it has been found that climate vulnerability harms new firm formation. The empirical results show that the negative impact of CV on the average new business formation rate has been 3.40. The results prove to be robust for alternative subsamples and methodology. Furthermore, the results of the quantile regression highlight a parameter heterogeneity in the effect of CV on entrepreneurial activity. Overall, the empirical findings highlight the key role of climate vulnerabilities in developing public policies aimed to spur entrepreneurial activity.","author":[{"dropping-particle":"","family":"Anton","given":"Sorin Gabriel","non-dropping-particle":"","parse-names":false,"suffix":""}],"container-title":"Business Strategy &amp; Development","id":"ITEM-2","issue":"3","issued":{"date-parts":[["2024","9","1"]]},"page":"e406","title":"The impact of climate vulnerability on new firm formation","type":"article-journal","volume":"7"},"uris":["http://www.mendeley.com/documents/?uuid=893cf073-aba1-4c12-87eb-0ba79b816407"]},{"id":"ITEM-3","itemData":{"DOI":"10.1111/j.1468-2370.2008.00238.x","ISSN":"14608545","abstract":"Quality management (QM) and environmental management (EM) are two business practices that may affect firm performance. These practices are being increasingly introduced into firms, which often use them jointly owing to their similarities. As a result of these similarities, their integration has become a popular topic of research and practice. In the field of integration, the highest level of integration may be achieved by means of a single, full QM-EM system (QEM) in which QM and EM lose their independence. It is therefore desirable to identify dimensions from which to assess these management practices and their effects on performance. The aim of this paper is to carry out a literature review in order to propose and analyse dimensions for QM, EM, QEM and firm performance, as well as models of cause-effect relationships between these variables. The topics reviewed are the following: (1) the QM and EM dimensions; (2) the empirical studies about QM-performance and EM-performance links; and (3) issues of integration. The review suggests that the large body of QM research may inform EM and QEM. This is so because research on the QM side is more advanced and developed than that on the EM side. © 2008 Blackwell Publishing Ltd and British Academy of Management.","author":[{"dropping-particle":"","family":"Molina-Azorín","given":"José F.","non-dropping-particle":"","parse-names":false,"suffix":""},{"dropping-particle":"","family":"Tarí","given":"Juan J.","non-dropping-particle":"","parse-names":false,"suffix":""},{"dropping-particle":"","family":"Claver-Cortés","given":"Enrique","non-dropping-particle":"","parse-names":false,"suffix":""},{"dropping-particle":"","family":"López-Gamero","given":"María D.","non-dropping-particle":"","parse-names":false,"suffix":""}],"container-title":"International Journal of Management Reviews","id":"ITEM-3","issue":"2","issued":{"date-parts":[["2009"]]},"page":"197-222","title":"Quality management, environmental management and firm performance: A review of empirical studies and issues of integration","type":"article","volume":"11"},"uris":["http://www.mendeley.com/documents/?uuid=e16a57e5-0aa6-3729-820d-304b6223d012"]}],"mendeley":{"formattedCitation":"(Anton, 2024; Molina-Azorín &lt;i&gt;et al.&lt;/i&gt;, 2009; Radu and Francoeur, 2017)","plainTextFormattedCitation":"(Anton, 2024; Molina-Azorín et al., 2009; Radu and Francoeur, 2017)","previouslyFormattedCitation":"(Anton, 2024; Molina-Azorín &lt;i&gt;et al.&lt;/i&gt;, 2009; Radu and Francoeur, 2017)"},"properties":{"noteIndex":0},"schema":"https://github.com/citation-style-language/schema/raw/master/csl-citation.json"}</w:instrText>
      </w:r>
      <w:r w:rsidR="005C2B1D" w:rsidRPr="005B7CAC">
        <w:rPr>
          <w:rFonts w:ascii="Times New Roman" w:hAnsi="Times New Roman"/>
          <w:bCs/>
          <w:iCs/>
          <w:sz w:val="24"/>
          <w:szCs w:val="20"/>
          <w:lang w:val="en-US"/>
        </w:rPr>
        <w:fldChar w:fldCharType="separate"/>
      </w:r>
      <w:r w:rsidR="009676D2" w:rsidRPr="005B7CAC">
        <w:rPr>
          <w:rFonts w:ascii="Times New Roman" w:hAnsi="Times New Roman"/>
          <w:bCs/>
          <w:iCs/>
          <w:noProof/>
          <w:sz w:val="24"/>
          <w:szCs w:val="20"/>
          <w:lang w:val="en-US"/>
        </w:rPr>
        <w:t xml:space="preserve">(Anton, 2024; Molina-Azorín </w:t>
      </w:r>
      <w:r w:rsidR="009676D2" w:rsidRPr="005B7CAC">
        <w:rPr>
          <w:rFonts w:ascii="Times New Roman" w:hAnsi="Times New Roman"/>
          <w:bCs/>
          <w:i/>
          <w:iCs/>
          <w:noProof/>
          <w:sz w:val="24"/>
          <w:szCs w:val="20"/>
          <w:lang w:val="en-US"/>
        </w:rPr>
        <w:t>et al.</w:t>
      </w:r>
      <w:r w:rsidR="009676D2" w:rsidRPr="005B7CAC">
        <w:rPr>
          <w:rFonts w:ascii="Times New Roman" w:hAnsi="Times New Roman"/>
          <w:bCs/>
          <w:iCs/>
          <w:noProof/>
          <w:sz w:val="24"/>
          <w:szCs w:val="20"/>
          <w:lang w:val="en-US"/>
        </w:rPr>
        <w:t>, 2009; Radu and Francoeur, 2017)</w:t>
      </w:r>
      <w:r w:rsidR="005C2B1D" w:rsidRPr="005B7CAC">
        <w:rPr>
          <w:rFonts w:ascii="Times New Roman" w:hAnsi="Times New Roman"/>
          <w:bCs/>
          <w:iCs/>
          <w:sz w:val="24"/>
          <w:szCs w:val="20"/>
          <w:lang w:val="en-US"/>
        </w:rPr>
        <w:fldChar w:fldCharType="end"/>
      </w:r>
      <w:r w:rsidR="00321105" w:rsidRPr="005B7CAC">
        <w:rPr>
          <w:rFonts w:ascii="Times New Roman" w:hAnsi="Times New Roman"/>
          <w:bCs/>
          <w:iCs/>
          <w:sz w:val="24"/>
          <w:szCs w:val="20"/>
          <w:lang w:val="en-US"/>
        </w:rPr>
        <w:t xml:space="preserve"> by </w:t>
      </w:r>
      <w:r w:rsidR="003A23E5" w:rsidRPr="005B7CAC">
        <w:rPr>
          <w:rFonts w:ascii="Times New Roman" w:hAnsi="Times New Roman"/>
          <w:bCs/>
          <w:iCs/>
          <w:sz w:val="24"/>
          <w:szCs w:val="20"/>
          <w:lang w:val="en-US"/>
        </w:rPr>
        <w:t xml:space="preserve">improving </w:t>
      </w:r>
      <w:r w:rsidR="003A23E5" w:rsidRPr="005B7CAC">
        <w:rPr>
          <w:rFonts w:ascii="Times New Roman" w:hAnsi="Times New Roman"/>
          <w:bCs/>
          <w:i/>
          <w:sz w:val="24"/>
          <w:szCs w:val="20"/>
          <w:lang w:val="en-US"/>
        </w:rPr>
        <w:t>WM</w:t>
      </w:r>
      <w:r w:rsidR="003A23E5" w:rsidRPr="005B7CAC">
        <w:rPr>
          <w:rFonts w:ascii="Times New Roman" w:hAnsi="Times New Roman"/>
          <w:bCs/>
          <w:iCs/>
          <w:sz w:val="24"/>
          <w:szCs w:val="20"/>
          <w:lang w:val="en-US"/>
        </w:rPr>
        <w:t xml:space="preserve"> practices</w:t>
      </w:r>
      <w:r w:rsidR="0033140C" w:rsidRPr="005B7CAC">
        <w:rPr>
          <w:rFonts w:ascii="Times New Roman" w:hAnsi="Times New Roman"/>
          <w:bCs/>
          <w:iCs/>
          <w:sz w:val="24"/>
          <w:szCs w:val="20"/>
          <w:lang w:val="en-US"/>
        </w:rPr>
        <w:t xml:space="preserve"> </w:t>
      </w:r>
      <w:r w:rsidR="0013577C" w:rsidRPr="005B7CAC">
        <w:rPr>
          <w:rFonts w:ascii="Times New Roman" w:hAnsi="Times New Roman"/>
          <w:bCs/>
          <w:iCs/>
          <w:sz w:val="24"/>
          <w:szCs w:val="20"/>
          <w:lang w:val="en-US"/>
        </w:rPr>
        <w:fldChar w:fldCharType="begin" w:fldLock="1"/>
      </w:r>
      <w:r w:rsidR="001E2D11" w:rsidRPr="005B7CAC">
        <w:rPr>
          <w:rFonts w:ascii="Times New Roman" w:hAnsi="Times New Roman"/>
          <w:bCs/>
          <w:iCs/>
          <w:sz w:val="24"/>
          <w:szCs w:val="20"/>
          <w:lang w:val="en-US"/>
        </w:rPr>
        <w:instrText>ADDIN CSL_CITATION {"citationItems":[{"id":"ITEM-1","itemData":{"DOI":"10.3390/ijerph17145206","ISSN":"16604601","abstract":"This paper aimed to investigate the impact of water, waste, and energy consumption on firm performance for a sample of enterprises that belong to the S&amp;P 500 Information Technology sector over the period of 2009–2020. The quantitative framework covered both accounting (e.g., return on assets—ROA; return on common equity—ROE; return on capital—ROC; return on invested capital—ROIC) and market-based measures of performance (e.g., price-to-book value— PB), alongside firm and corporate governance specific variables. By estimating multivariate panel data regression models, the empirical results provided support for a negative impact of total water use on PB but a positive effect on ROA. With reference to the total waste, the econometric outcomes revealed a negative influence on the entire selected performance measures, whereas total energy consumption did not reveal any statistically significant influence.","author":[{"dropping-particle":"","family":"Simionescu","given":"Liliana Nicoleta","non-dropping-particle":"","parse-names":false,"suffix":""},{"dropping-particle":"","family":"Gherghina","given":"Ștefan Cristian","non-dropping-particle":"","parse-names":false,"suffix":""},{"dropping-particle":"","family":"Sheikha","given":"Ziad","non-dropping-particle":"","parse-names":false,"suffix":""},{"dropping-particle":"","family":"Tawil","given":"Hiba","non-dropping-particle":"","parse-names":false,"suffix":""}],"container-title":"International Journal of Environmental Research and Public Health","id":"ITEM-1","issue":"14","issued":{"date-parts":[["2020"]]},"page":"5206","title":"Does water, waste, and energy consumption influence firm performance? Panel data evidence from S &amp;P 500 information technology sector","type":"article-journal","volume":"17"},"uris":["http://www.mendeley.com/documents/?uuid=416ffb51-17e1-3ace-8d61-e7b79bf0a232"]}],"mendeley":{"formattedCitation":"(Simionescu &lt;i&gt;et al.&lt;/i&gt;, 2020)","plainTextFormattedCitation":"(Simionescu et al., 2020)","previouslyFormattedCitation":"(Simionescu &lt;i&gt;et al.&lt;/i&gt;, 2020)"},"properties":{"noteIndex":0},"schema":"https://github.com/citation-style-language/schema/raw/master/csl-citation.json"}</w:instrText>
      </w:r>
      <w:r w:rsidR="0013577C" w:rsidRPr="005B7CAC">
        <w:rPr>
          <w:rFonts w:ascii="Times New Roman" w:hAnsi="Times New Roman"/>
          <w:bCs/>
          <w:iCs/>
          <w:sz w:val="24"/>
          <w:szCs w:val="20"/>
          <w:lang w:val="en-US"/>
        </w:rPr>
        <w:fldChar w:fldCharType="separate"/>
      </w:r>
      <w:r w:rsidR="00D127EF" w:rsidRPr="005B7CAC">
        <w:rPr>
          <w:rFonts w:ascii="Times New Roman" w:hAnsi="Times New Roman"/>
          <w:bCs/>
          <w:iCs/>
          <w:noProof/>
          <w:sz w:val="24"/>
          <w:szCs w:val="20"/>
          <w:lang w:val="en-US"/>
        </w:rPr>
        <w:t xml:space="preserve">(Simionescu </w:t>
      </w:r>
      <w:r w:rsidR="00D127EF" w:rsidRPr="005B7CAC">
        <w:rPr>
          <w:rFonts w:ascii="Times New Roman" w:hAnsi="Times New Roman"/>
          <w:bCs/>
          <w:i/>
          <w:iCs/>
          <w:noProof/>
          <w:sz w:val="24"/>
          <w:szCs w:val="20"/>
          <w:lang w:val="en-US"/>
        </w:rPr>
        <w:t>et al.</w:t>
      </w:r>
      <w:r w:rsidR="00D127EF" w:rsidRPr="005B7CAC">
        <w:rPr>
          <w:rFonts w:ascii="Times New Roman" w:hAnsi="Times New Roman"/>
          <w:bCs/>
          <w:iCs/>
          <w:noProof/>
          <w:sz w:val="24"/>
          <w:szCs w:val="20"/>
          <w:lang w:val="en-US"/>
        </w:rPr>
        <w:t>, 2020)</w:t>
      </w:r>
      <w:r w:rsidR="0013577C" w:rsidRPr="005B7CAC">
        <w:rPr>
          <w:rFonts w:ascii="Times New Roman" w:hAnsi="Times New Roman"/>
          <w:bCs/>
          <w:iCs/>
          <w:sz w:val="24"/>
          <w:szCs w:val="20"/>
          <w:lang w:val="en-US"/>
        </w:rPr>
        <w:fldChar w:fldCharType="end"/>
      </w:r>
      <w:r w:rsidR="00D127EF" w:rsidRPr="005B7CAC">
        <w:rPr>
          <w:rFonts w:ascii="Times New Roman" w:hAnsi="Times New Roman"/>
          <w:bCs/>
          <w:iCs/>
          <w:sz w:val="24"/>
          <w:szCs w:val="20"/>
          <w:lang w:val="en-US"/>
        </w:rPr>
        <w:t xml:space="preserve">, </w:t>
      </w:r>
      <w:r w:rsidR="00CD7BB6" w:rsidRPr="005B7CAC">
        <w:rPr>
          <w:rFonts w:ascii="Times New Roman" w:hAnsi="Times New Roman"/>
          <w:bCs/>
          <w:iCs/>
          <w:sz w:val="24"/>
          <w:szCs w:val="20"/>
          <w:lang w:val="en-US"/>
        </w:rPr>
        <w:t xml:space="preserve">more research is needed to </w:t>
      </w:r>
      <w:r w:rsidR="0094384B" w:rsidRPr="005B7CAC">
        <w:rPr>
          <w:rFonts w:ascii="Times New Roman" w:hAnsi="Times New Roman"/>
          <w:bCs/>
          <w:iCs/>
          <w:sz w:val="24"/>
          <w:szCs w:val="20"/>
          <w:lang w:val="en-US"/>
        </w:rPr>
        <w:t xml:space="preserve">assess whether </w:t>
      </w:r>
      <w:r w:rsidR="00307672" w:rsidRPr="005B7CAC">
        <w:rPr>
          <w:rFonts w:ascii="Times New Roman" w:hAnsi="Times New Roman"/>
          <w:bCs/>
          <w:iCs/>
          <w:sz w:val="24"/>
          <w:szCs w:val="20"/>
          <w:lang w:val="en-US"/>
        </w:rPr>
        <w:t>environmental strategies</w:t>
      </w:r>
      <w:r w:rsidR="00EA0322" w:rsidRPr="005B7CAC">
        <w:rPr>
          <w:rFonts w:ascii="Times New Roman" w:hAnsi="Times New Roman"/>
          <w:bCs/>
          <w:iCs/>
          <w:sz w:val="24"/>
          <w:szCs w:val="20"/>
          <w:lang w:val="en-US"/>
        </w:rPr>
        <w:t xml:space="preserve">, such as </w:t>
      </w:r>
      <w:r w:rsidR="001A1CB2" w:rsidRPr="005B7CAC">
        <w:rPr>
          <w:rFonts w:ascii="Times New Roman" w:hAnsi="Times New Roman"/>
          <w:bCs/>
          <w:i/>
          <w:sz w:val="24"/>
          <w:szCs w:val="20"/>
          <w:lang w:val="en-US"/>
        </w:rPr>
        <w:t>GINVs</w:t>
      </w:r>
      <w:r w:rsidR="00CD7BB6" w:rsidRPr="005B7CAC">
        <w:rPr>
          <w:rFonts w:ascii="Times New Roman" w:hAnsi="Times New Roman"/>
          <w:bCs/>
          <w:iCs/>
          <w:sz w:val="24"/>
          <w:szCs w:val="20"/>
          <w:lang w:val="en-US"/>
        </w:rPr>
        <w:t xml:space="preserve">, affect </w:t>
      </w:r>
      <w:r w:rsidR="00775593" w:rsidRPr="005B7CAC">
        <w:rPr>
          <w:rFonts w:ascii="Times New Roman" w:hAnsi="Times New Roman"/>
          <w:bCs/>
          <w:iCs/>
          <w:sz w:val="24"/>
          <w:szCs w:val="20"/>
          <w:lang w:val="en-US"/>
        </w:rPr>
        <w:t>environmental</w:t>
      </w:r>
      <w:r w:rsidR="00CD7BB6" w:rsidRPr="005B7CAC">
        <w:rPr>
          <w:rFonts w:ascii="Times New Roman" w:hAnsi="Times New Roman"/>
          <w:bCs/>
          <w:iCs/>
          <w:sz w:val="24"/>
          <w:szCs w:val="20"/>
          <w:lang w:val="en-US"/>
        </w:rPr>
        <w:t xml:space="preserve"> </w:t>
      </w:r>
      <w:r w:rsidR="00D127EF" w:rsidRPr="005B7CAC">
        <w:rPr>
          <w:rFonts w:ascii="Times New Roman" w:hAnsi="Times New Roman"/>
          <w:bCs/>
          <w:iCs/>
          <w:sz w:val="24"/>
          <w:szCs w:val="20"/>
          <w:lang w:val="en-US"/>
        </w:rPr>
        <w:t>and economic outcomes</w:t>
      </w:r>
      <w:r w:rsidR="00CD7BB6" w:rsidRPr="005B7CAC">
        <w:rPr>
          <w:rFonts w:ascii="Times New Roman" w:hAnsi="Times New Roman"/>
          <w:bCs/>
          <w:iCs/>
          <w:sz w:val="24"/>
          <w:szCs w:val="20"/>
          <w:lang w:val="en-US"/>
        </w:rPr>
        <w:t xml:space="preserve"> </w:t>
      </w:r>
      <w:r w:rsidR="00D127EF" w:rsidRPr="005B7CAC">
        <w:rPr>
          <w:rFonts w:ascii="Times New Roman" w:hAnsi="Times New Roman"/>
          <w:bCs/>
          <w:iCs/>
          <w:sz w:val="24"/>
          <w:szCs w:val="20"/>
          <w:lang w:val="en-US"/>
        </w:rPr>
        <w:fldChar w:fldCharType="begin" w:fldLock="1"/>
      </w:r>
      <w:r w:rsidR="00D127EF" w:rsidRPr="005B7CAC">
        <w:rPr>
          <w:rFonts w:ascii="Times New Roman" w:hAnsi="Times New Roman"/>
          <w:bCs/>
          <w:iCs/>
          <w:sz w:val="24"/>
          <w:szCs w:val="20"/>
          <w:lang w:val="en-US"/>
        </w:rPr>
        <w:instrText>ADDIN CSL_CITATION {"citationItems":[{"id":"ITEM-1","itemData":{"DOI":"10.1002/bse.3589","ISSN":"10990836","abstract":"Prior studies have reported an association between corporate waste management practices and certain board attributes, but none have focused on foreign directors. Therefore, we examine foreign directors' contributions to firms' waste management by exclusively focusing on waste reduction and recycling. Furthermore, we explore an important channel through which foreign directors spur better waste management, namely, eco-innovation. Drawing on 6891 observations affiliated with 9 sectors and 46 countries, we execute country, industry and year fixed-effects regression analysis. We find that while foreign directors on the board are negatively associated with waste generation, they are positively associated with waste recycling. Furthermore, while the eco-innovativeness of firms negatively moderates the association between foreign directors on the board and waste generation, it positively moderates the association between foreign directors on the board and waste recycling. Further channel analyses reveal more insights concerning polluting versus non-polluting and poor versus strong regulatory environments.","author":[{"dropping-particle":"","family":"Uyar","given":"Ali","non-dropping-particle":"","parse-names":false,"suffix":""},{"dropping-particle":"","family":"Al-Shaer","given":"Habiba","non-dropping-particle":"","parse-names":false,"suffix":""},{"dropping-particle":"","family":"Kuzey","given":"Cemil","non-dropping-particle":"","parse-names":false,"suffix":""},{"dropping-particle":"","family":"Karaman","given":"Abdullah S.","non-dropping-particle":"","parse-names":false,"suffix":""}],"container-title":"Business Strategy and the Environment","id":"ITEM-1","issued":{"date-parts":[["2023"]]},"page":"1-26","title":"Do foreign directors reinforce better waste management? The moderating role of eco-innovation","type":"article-journal"},"uris":["http://www.mendeley.com/documents/?uuid=2181dd7a-598d-44fd-b252-f31fe5b3ae59"]}],"mendeley":{"formattedCitation":"(Uyar &lt;i&gt;et al.&lt;/i&gt;, 2023)","plainTextFormattedCitation":"(Uyar et al., 2023)","previouslyFormattedCitation":"(Uyar &lt;i&gt;et al.&lt;/i&gt;, 2023)"},"properties":{"noteIndex":0},"schema":"https://github.com/citation-style-language/schema/raw/master/csl-citation.json"}</w:instrText>
      </w:r>
      <w:r w:rsidR="00D127EF" w:rsidRPr="005B7CAC">
        <w:rPr>
          <w:rFonts w:ascii="Times New Roman" w:hAnsi="Times New Roman"/>
          <w:bCs/>
          <w:iCs/>
          <w:sz w:val="24"/>
          <w:szCs w:val="20"/>
          <w:lang w:val="en-US"/>
        </w:rPr>
        <w:fldChar w:fldCharType="separate"/>
      </w:r>
      <w:r w:rsidR="00D127EF" w:rsidRPr="005B7CAC">
        <w:rPr>
          <w:rFonts w:ascii="Times New Roman" w:hAnsi="Times New Roman"/>
          <w:bCs/>
          <w:iCs/>
          <w:noProof/>
          <w:sz w:val="24"/>
          <w:szCs w:val="20"/>
          <w:lang w:val="en-US"/>
        </w:rPr>
        <w:t xml:space="preserve">(Uyar </w:t>
      </w:r>
      <w:r w:rsidR="00D127EF" w:rsidRPr="005B7CAC">
        <w:rPr>
          <w:rFonts w:ascii="Times New Roman" w:hAnsi="Times New Roman"/>
          <w:bCs/>
          <w:i/>
          <w:iCs/>
          <w:noProof/>
          <w:sz w:val="24"/>
          <w:szCs w:val="20"/>
          <w:lang w:val="en-US"/>
        </w:rPr>
        <w:t>et al.</w:t>
      </w:r>
      <w:r w:rsidR="00D127EF" w:rsidRPr="005B7CAC">
        <w:rPr>
          <w:rFonts w:ascii="Times New Roman" w:hAnsi="Times New Roman"/>
          <w:bCs/>
          <w:iCs/>
          <w:noProof/>
          <w:sz w:val="24"/>
          <w:szCs w:val="20"/>
          <w:lang w:val="en-US"/>
        </w:rPr>
        <w:t>, 2023)</w:t>
      </w:r>
      <w:r w:rsidR="00D127EF" w:rsidRPr="005B7CAC">
        <w:rPr>
          <w:rFonts w:ascii="Times New Roman" w:hAnsi="Times New Roman"/>
          <w:bCs/>
          <w:iCs/>
          <w:sz w:val="24"/>
          <w:szCs w:val="20"/>
          <w:lang w:val="en-US"/>
        </w:rPr>
        <w:fldChar w:fldCharType="end"/>
      </w:r>
      <w:r w:rsidR="00307672" w:rsidRPr="005B7CAC">
        <w:rPr>
          <w:rFonts w:ascii="Times New Roman" w:hAnsi="Times New Roman"/>
          <w:bCs/>
          <w:iCs/>
          <w:sz w:val="24"/>
          <w:szCs w:val="20"/>
          <w:lang w:val="en-US"/>
        </w:rPr>
        <w:t xml:space="preserve">. </w:t>
      </w:r>
      <w:r w:rsidR="00EA0322" w:rsidRPr="005B7CAC">
        <w:rPr>
          <w:rFonts w:ascii="Times New Roman" w:hAnsi="Times New Roman"/>
          <w:bCs/>
          <w:iCs/>
          <w:sz w:val="24"/>
          <w:szCs w:val="20"/>
          <w:lang w:val="en-US"/>
        </w:rPr>
        <w:t xml:space="preserve">Given the </w:t>
      </w:r>
      <w:r w:rsidR="005B2B7E" w:rsidRPr="005B7CAC">
        <w:rPr>
          <w:rFonts w:ascii="Times New Roman" w:hAnsi="Times New Roman"/>
          <w:bCs/>
          <w:iCs/>
          <w:sz w:val="24"/>
          <w:szCs w:val="20"/>
          <w:lang w:val="en-US"/>
        </w:rPr>
        <w:t>roles</w:t>
      </w:r>
      <w:r w:rsidR="00EA0322" w:rsidRPr="005B7CAC">
        <w:rPr>
          <w:rFonts w:ascii="Times New Roman" w:hAnsi="Times New Roman"/>
          <w:bCs/>
          <w:iCs/>
          <w:sz w:val="24"/>
          <w:szCs w:val="20"/>
          <w:lang w:val="en-US"/>
        </w:rPr>
        <w:t xml:space="preserve"> of </w:t>
      </w:r>
      <w:r w:rsidR="001A1CB2" w:rsidRPr="005B7CAC">
        <w:rPr>
          <w:rFonts w:ascii="Times New Roman" w:hAnsi="Times New Roman"/>
          <w:bCs/>
          <w:iCs/>
          <w:sz w:val="24"/>
          <w:szCs w:val="20"/>
          <w:lang w:val="en-US"/>
        </w:rPr>
        <w:t>environmental initiatives</w:t>
      </w:r>
      <w:r w:rsidR="005B2B7E" w:rsidRPr="005B7CAC">
        <w:rPr>
          <w:rFonts w:ascii="Times New Roman" w:hAnsi="Times New Roman"/>
          <w:bCs/>
          <w:iCs/>
          <w:sz w:val="24"/>
          <w:szCs w:val="20"/>
          <w:lang w:val="en-US"/>
        </w:rPr>
        <w:t xml:space="preserve"> and green practices</w:t>
      </w:r>
      <w:r w:rsidR="001A1CB2" w:rsidRPr="005B7CAC">
        <w:rPr>
          <w:rFonts w:ascii="Times New Roman" w:hAnsi="Times New Roman"/>
          <w:bCs/>
          <w:iCs/>
          <w:sz w:val="24"/>
          <w:szCs w:val="20"/>
          <w:lang w:val="en-US"/>
        </w:rPr>
        <w:t xml:space="preserve"> </w:t>
      </w:r>
      <w:r w:rsidR="00EA0322" w:rsidRPr="005B7CAC">
        <w:rPr>
          <w:rFonts w:ascii="Times New Roman" w:hAnsi="Times New Roman"/>
          <w:bCs/>
          <w:iCs/>
          <w:sz w:val="24"/>
          <w:szCs w:val="20"/>
          <w:lang w:val="en-US"/>
        </w:rPr>
        <w:t xml:space="preserve">in </w:t>
      </w:r>
      <w:r w:rsidR="005B2B7E" w:rsidRPr="005B7CAC">
        <w:rPr>
          <w:rFonts w:ascii="Times New Roman" w:hAnsi="Times New Roman"/>
          <w:bCs/>
          <w:iCs/>
          <w:sz w:val="24"/>
          <w:szCs w:val="20"/>
          <w:lang w:val="en-US"/>
        </w:rPr>
        <w:t>determining</w:t>
      </w:r>
      <w:r w:rsidR="00EA0322" w:rsidRPr="005B7CAC">
        <w:rPr>
          <w:rFonts w:ascii="Times New Roman" w:hAnsi="Times New Roman"/>
          <w:bCs/>
          <w:iCs/>
          <w:sz w:val="24"/>
          <w:szCs w:val="20"/>
          <w:lang w:val="en-US"/>
        </w:rPr>
        <w:t xml:space="preserve"> corporate sustainability </w:t>
      </w:r>
      <w:r w:rsidR="00DC1CF6" w:rsidRPr="005B7CAC">
        <w:rPr>
          <w:rFonts w:ascii="Times New Roman" w:hAnsi="Times New Roman"/>
          <w:bCs/>
          <w:iCs/>
          <w:sz w:val="24"/>
          <w:szCs w:val="20"/>
          <w:lang w:val="en-US"/>
        </w:rPr>
        <w:fldChar w:fldCharType="begin" w:fldLock="1"/>
      </w:r>
      <w:r w:rsidR="00805C79" w:rsidRPr="005B7CAC">
        <w:rPr>
          <w:rFonts w:ascii="Times New Roman" w:hAnsi="Times New Roman"/>
          <w:bCs/>
          <w:iCs/>
          <w:sz w:val="24"/>
          <w:szCs w:val="20"/>
          <w:lang w:val="en-US"/>
        </w:rPr>
        <w:instrText>ADDIN CSL_CITATION {"citationItems":[{"id":"ITEM-1","itemData":{"DOI":"10.1002/bse.3232","ISSN":"10990836","abstract":"This paper examines the effects of environmental innovation on CO2 emissions as well as the moderating role of environmental governance in this relationship. Based on a sample of companies listed on the London Stock Exchange for the period from 2016 to 2020, the findings show that environmental innovation reduces CO2 emissions including Scope 1 and Scope 2 CO2 emissions. Likewise, our findings are associative of a moderating effect of environmental governance on the environmental innovation-CO2 emissions nexus. We argue that environmental innovation along with better environmental governance leads to a reduction in CO2 emissions. Our results hold for subsamples of firms with a strong/low environmental governance and ESG performance. Our findings offer important implications for companies and policymakers towards adopting more environmental technologies along with enhancing environmental governance to reduce CO2 emissions.","author":[{"dropping-particle":"","family":"Albitar","given":"Khaldoon","non-dropping-particle":"","parse-names":false,"suffix":""},{"dropping-particle":"","family":"Borgi","given":"Hela","non-dropping-particle":"","parse-names":false,"suffix":""},{"dropping-particle":"","family":"Khan","given":"Muzammal","non-dropping-particle":"","parse-names":false,"suffix":""},{"dropping-particle":"","family":"Zahra","given":"Anum","non-dropping-particle":"","parse-names":false,"suffix":""}],"container-title":"Business Strategy and the Environment","id":"ITEM-1","issue":"4","issued":{"date-parts":[["2023"]]},"page":"1996-2007","title":"Business environmental innovation and CO2 emissions: The moderating role of environmental governance","type":"article-journal","volume":"32"},"uris":["http://www.mendeley.com/documents/?uuid=7de5d50a-1720-35da-acfc-b514ae3b49a5"]},{"id":"ITEM-2","itemData":{"DOI":"10.5267/j.uscm.2023.3.011","ISSN":"22916830","abstract":"The company seeks the role of internal function and external partnership to eliminate or reduce the waste generated and its impact on the environment. Internally, Top management needs to commit and actively increase the participation of employees in implementing total quality management and production waste management to enhance business performance. This study surveyed the companies engaged in the industry sector producing finished products while generating waste in the production process. Data collection is carried out using online questionnaires through Google Forms with data analysis using PLS software. One hundred and thirty-six (136) manufacturing companies located in East Java, Indonesia. The results of the data analysis indicated that top management commitment significantly influences firm performance, employee empowerment, and total quality management. Employee empowerment impacts total quality management and production waste management. Total quality management positively influences production waste management and firm performance. In addition, production waste management significantly impacts the firm performance. In addition, top management commitment indirectly affects firm performance through the mediating role of total quality management. However, the mediating effect of production waste management is insignificant in translating top management commitments to firm performance. The result provides a theoretical contribution to developing green supply chain practices and sustainability. Furthermore, the practical contribution provides insight for top management companies that production waste management can improve performance with high management commitment and employee empowerment.","author":[{"dropping-particle":"","family":"Wijaya","given":"Shania Vanessa","non-dropping-particle":"","parse-names":false,"suffix":""},{"dropping-particle":"","family":"Tarigan","given":"Zeplin Jiwa Husada","non-dropping-particle":"","parse-names":false,"suffix":""},{"dropping-particle":"","family":"Siagian","given":"Hotlan","non-dropping-particle":"","parse-names":false,"suffix":""}],"container-title":"Uncertain Supply Chain Management","id":"ITEM-2","issue":"3","issued":{"date-parts":[["2023"]]},"page":"1369–1382","title":"The role of top management commitment, employee empowerment and total quality management in production waste management and enhancing firm performance","type":"article-journal","volume":"11"},"uris":["http://www.mendeley.com/documents/?uuid=d1412f96-8a81-3b9e-9536-f96336e339e9"]}],"mendeley":{"formattedCitation":"(Albitar &lt;i&gt;et al.&lt;/i&gt;, 2023; Wijaya &lt;i&gt;et al.&lt;/i&gt;, 2023)","plainTextFormattedCitation":"(Albitar et al., 2023; Wijaya et al., 2023)","previouslyFormattedCitation":"(Albitar &lt;i&gt;et al.&lt;/i&gt;, 2023; Wijaya &lt;i&gt;et al.&lt;/i&gt;, 2023)"},"properties":{"noteIndex":0},"schema":"https://github.com/citation-style-language/schema/raw/master/csl-citation.json"}</w:instrText>
      </w:r>
      <w:r w:rsidR="00DC1CF6" w:rsidRPr="005B7CAC">
        <w:rPr>
          <w:rFonts w:ascii="Times New Roman" w:hAnsi="Times New Roman"/>
          <w:bCs/>
          <w:iCs/>
          <w:sz w:val="24"/>
          <w:szCs w:val="20"/>
          <w:lang w:val="en-US"/>
        </w:rPr>
        <w:fldChar w:fldCharType="separate"/>
      </w:r>
      <w:r w:rsidR="005B2B7E" w:rsidRPr="005B7CAC">
        <w:rPr>
          <w:rFonts w:ascii="Times New Roman" w:hAnsi="Times New Roman"/>
          <w:bCs/>
          <w:iCs/>
          <w:noProof/>
          <w:sz w:val="24"/>
          <w:szCs w:val="20"/>
          <w:lang w:val="en-US"/>
        </w:rPr>
        <w:t xml:space="preserve">(Albitar </w:t>
      </w:r>
      <w:r w:rsidR="005B2B7E" w:rsidRPr="005B7CAC">
        <w:rPr>
          <w:rFonts w:ascii="Times New Roman" w:hAnsi="Times New Roman"/>
          <w:bCs/>
          <w:i/>
          <w:iCs/>
          <w:noProof/>
          <w:sz w:val="24"/>
          <w:szCs w:val="20"/>
          <w:lang w:val="en-US"/>
        </w:rPr>
        <w:t>et al.</w:t>
      </w:r>
      <w:r w:rsidR="005B2B7E" w:rsidRPr="005B7CAC">
        <w:rPr>
          <w:rFonts w:ascii="Times New Roman" w:hAnsi="Times New Roman"/>
          <w:bCs/>
          <w:iCs/>
          <w:noProof/>
          <w:sz w:val="24"/>
          <w:szCs w:val="20"/>
          <w:lang w:val="en-US"/>
        </w:rPr>
        <w:t xml:space="preserve">, 2023; Wijaya </w:t>
      </w:r>
      <w:r w:rsidR="005B2B7E" w:rsidRPr="005B7CAC">
        <w:rPr>
          <w:rFonts w:ascii="Times New Roman" w:hAnsi="Times New Roman"/>
          <w:bCs/>
          <w:i/>
          <w:iCs/>
          <w:noProof/>
          <w:sz w:val="24"/>
          <w:szCs w:val="20"/>
          <w:lang w:val="en-US"/>
        </w:rPr>
        <w:t>et al.</w:t>
      </w:r>
      <w:r w:rsidR="005B2B7E" w:rsidRPr="005B7CAC">
        <w:rPr>
          <w:rFonts w:ascii="Times New Roman" w:hAnsi="Times New Roman"/>
          <w:bCs/>
          <w:iCs/>
          <w:noProof/>
          <w:sz w:val="24"/>
          <w:szCs w:val="20"/>
          <w:lang w:val="en-US"/>
        </w:rPr>
        <w:t>, 2023)</w:t>
      </w:r>
      <w:r w:rsidR="00DC1CF6" w:rsidRPr="005B7CAC">
        <w:rPr>
          <w:rFonts w:ascii="Times New Roman" w:hAnsi="Times New Roman"/>
          <w:bCs/>
          <w:iCs/>
          <w:sz w:val="24"/>
          <w:szCs w:val="20"/>
          <w:lang w:val="en-US"/>
        </w:rPr>
        <w:fldChar w:fldCharType="end"/>
      </w:r>
      <w:r w:rsidR="00EA0322" w:rsidRPr="005B7CAC">
        <w:rPr>
          <w:rFonts w:ascii="Times New Roman" w:hAnsi="Times New Roman"/>
          <w:bCs/>
          <w:iCs/>
          <w:sz w:val="24"/>
          <w:szCs w:val="20"/>
          <w:lang w:val="en-US"/>
        </w:rPr>
        <w:t xml:space="preserve">, </w:t>
      </w:r>
      <w:r w:rsidR="00B70549" w:rsidRPr="005B7CAC">
        <w:rPr>
          <w:rFonts w:ascii="Times New Roman" w:hAnsi="Times New Roman"/>
          <w:bCs/>
          <w:iCs/>
          <w:sz w:val="24"/>
          <w:szCs w:val="20"/>
          <w:lang w:val="en-US"/>
        </w:rPr>
        <w:t>new insights into</w:t>
      </w:r>
      <w:r w:rsidR="00EA0322" w:rsidRPr="005B7CAC">
        <w:rPr>
          <w:rFonts w:ascii="Times New Roman" w:hAnsi="Times New Roman"/>
          <w:bCs/>
          <w:iCs/>
          <w:sz w:val="24"/>
          <w:szCs w:val="20"/>
          <w:lang w:val="en-US"/>
        </w:rPr>
        <w:t xml:space="preserve"> the impact</w:t>
      </w:r>
      <w:r w:rsidR="00B70549" w:rsidRPr="005B7CAC">
        <w:rPr>
          <w:rFonts w:ascii="Times New Roman" w:hAnsi="Times New Roman"/>
          <w:bCs/>
          <w:iCs/>
          <w:sz w:val="24"/>
          <w:szCs w:val="20"/>
          <w:lang w:val="en-US"/>
        </w:rPr>
        <w:t>s</w:t>
      </w:r>
      <w:r w:rsidR="00EA0322" w:rsidRPr="005B7CAC">
        <w:rPr>
          <w:rFonts w:ascii="Times New Roman" w:hAnsi="Times New Roman"/>
          <w:bCs/>
          <w:iCs/>
          <w:sz w:val="24"/>
          <w:szCs w:val="20"/>
          <w:lang w:val="en-US"/>
        </w:rPr>
        <w:t xml:space="preserve"> of </w:t>
      </w:r>
      <w:r w:rsidR="001A1CB2" w:rsidRPr="005B7CAC">
        <w:rPr>
          <w:rFonts w:ascii="Times New Roman" w:hAnsi="Times New Roman"/>
          <w:bCs/>
          <w:i/>
          <w:sz w:val="24"/>
          <w:szCs w:val="20"/>
          <w:lang w:val="en-US"/>
        </w:rPr>
        <w:t>GINVs</w:t>
      </w:r>
      <w:r w:rsidR="00EA0322" w:rsidRPr="005B7CAC">
        <w:rPr>
          <w:rFonts w:ascii="Times New Roman" w:hAnsi="Times New Roman"/>
          <w:bCs/>
          <w:iCs/>
          <w:sz w:val="24"/>
          <w:szCs w:val="20"/>
          <w:lang w:val="en-US"/>
        </w:rPr>
        <w:t xml:space="preserve"> on </w:t>
      </w:r>
      <w:r w:rsidR="00EA0322" w:rsidRPr="005B7CAC">
        <w:rPr>
          <w:rFonts w:ascii="Times New Roman" w:hAnsi="Times New Roman"/>
          <w:bCs/>
          <w:i/>
          <w:sz w:val="24"/>
          <w:szCs w:val="20"/>
          <w:lang w:val="en-US"/>
        </w:rPr>
        <w:t>WM</w:t>
      </w:r>
      <w:r w:rsidR="00EA0322" w:rsidRPr="005B7CAC">
        <w:rPr>
          <w:rFonts w:ascii="Times New Roman" w:hAnsi="Times New Roman"/>
          <w:bCs/>
          <w:iCs/>
          <w:sz w:val="24"/>
          <w:szCs w:val="20"/>
          <w:lang w:val="en-US"/>
        </w:rPr>
        <w:t xml:space="preserve"> and </w:t>
      </w:r>
      <w:r w:rsidR="00EA0322" w:rsidRPr="005B7CAC">
        <w:rPr>
          <w:rFonts w:ascii="Times New Roman" w:hAnsi="Times New Roman"/>
          <w:bCs/>
          <w:i/>
          <w:sz w:val="24"/>
          <w:szCs w:val="20"/>
          <w:lang w:val="en-US"/>
        </w:rPr>
        <w:t>FD</w:t>
      </w:r>
      <w:r w:rsidR="00EA0322" w:rsidRPr="005B7CAC">
        <w:rPr>
          <w:rFonts w:ascii="Times New Roman" w:hAnsi="Times New Roman"/>
          <w:bCs/>
          <w:iCs/>
          <w:sz w:val="24"/>
          <w:szCs w:val="20"/>
          <w:lang w:val="en-US"/>
        </w:rPr>
        <w:t xml:space="preserve"> </w:t>
      </w:r>
      <w:r w:rsidR="00B70549" w:rsidRPr="005B7CAC">
        <w:rPr>
          <w:rFonts w:ascii="Times New Roman" w:hAnsi="Times New Roman"/>
          <w:bCs/>
          <w:iCs/>
          <w:sz w:val="24"/>
          <w:szCs w:val="20"/>
          <w:lang w:val="en-US"/>
        </w:rPr>
        <w:t>are necessary in order</w:t>
      </w:r>
      <w:r w:rsidR="005668E3" w:rsidRPr="005B7CAC">
        <w:rPr>
          <w:rFonts w:ascii="Times New Roman" w:hAnsi="Times New Roman"/>
          <w:bCs/>
          <w:iCs/>
          <w:sz w:val="24"/>
          <w:szCs w:val="20"/>
          <w:lang w:val="en-US"/>
        </w:rPr>
        <w:t xml:space="preserve"> </w:t>
      </w:r>
      <w:r w:rsidR="00EA0322" w:rsidRPr="005B7CAC">
        <w:rPr>
          <w:rFonts w:ascii="Times New Roman" w:hAnsi="Times New Roman"/>
          <w:bCs/>
          <w:iCs/>
          <w:sz w:val="24"/>
          <w:szCs w:val="20"/>
          <w:lang w:val="en-US"/>
        </w:rPr>
        <w:t xml:space="preserve">to assist key stakeholders in assessing the effectiveness and roles of </w:t>
      </w:r>
      <w:r w:rsidR="00B4382A" w:rsidRPr="005B7CAC">
        <w:rPr>
          <w:rFonts w:ascii="Times New Roman" w:hAnsi="Times New Roman"/>
          <w:bCs/>
          <w:iCs/>
          <w:sz w:val="24"/>
          <w:szCs w:val="20"/>
          <w:lang w:val="en-US"/>
        </w:rPr>
        <w:t>firm-level</w:t>
      </w:r>
      <w:r w:rsidR="00EA0322" w:rsidRPr="005B7CAC">
        <w:rPr>
          <w:rFonts w:ascii="Times New Roman" w:hAnsi="Times New Roman"/>
          <w:bCs/>
          <w:iCs/>
          <w:sz w:val="24"/>
          <w:szCs w:val="20"/>
          <w:lang w:val="en-US"/>
        </w:rPr>
        <w:t xml:space="preserve"> environmental </w:t>
      </w:r>
      <w:r w:rsidR="002E41B2" w:rsidRPr="005B7CAC">
        <w:rPr>
          <w:rFonts w:ascii="Times New Roman" w:hAnsi="Times New Roman"/>
          <w:bCs/>
          <w:iCs/>
          <w:sz w:val="24"/>
          <w:szCs w:val="20"/>
          <w:lang w:val="en-US"/>
        </w:rPr>
        <w:t>efforts</w:t>
      </w:r>
      <w:r w:rsidR="005B2B7E" w:rsidRPr="005B7CAC">
        <w:rPr>
          <w:rFonts w:ascii="Times New Roman" w:hAnsi="Times New Roman"/>
          <w:bCs/>
          <w:iCs/>
          <w:sz w:val="24"/>
          <w:szCs w:val="20"/>
          <w:lang w:val="en-US"/>
        </w:rPr>
        <w:t>/</w:t>
      </w:r>
      <w:r w:rsidR="001A4905" w:rsidRPr="005B7CAC">
        <w:rPr>
          <w:rFonts w:ascii="Times New Roman" w:hAnsi="Times New Roman"/>
          <w:bCs/>
          <w:iCs/>
          <w:sz w:val="24"/>
          <w:szCs w:val="20"/>
          <w:lang w:val="en-US"/>
        </w:rPr>
        <w:t>initiatives</w:t>
      </w:r>
      <w:r w:rsidR="002E41B2" w:rsidRPr="005B7CAC">
        <w:rPr>
          <w:rFonts w:ascii="Times New Roman" w:hAnsi="Times New Roman"/>
          <w:bCs/>
          <w:iCs/>
          <w:sz w:val="24"/>
          <w:szCs w:val="20"/>
          <w:lang w:val="en-US"/>
        </w:rPr>
        <w:t xml:space="preserve"> </w:t>
      </w:r>
      <w:r w:rsidR="00EA0322" w:rsidRPr="005B7CAC">
        <w:rPr>
          <w:rFonts w:ascii="Times New Roman" w:hAnsi="Times New Roman"/>
          <w:bCs/>
          <w:iCs/>
          <w:sz w:val="24"/>
          <w:szCs w:val="20"/>
          <w:lang w:val="en-US"/>
        </w:rPr>
        <w:t>in reducing climate risks/treats</w:t>
      </w:r>
      <w:r w:rsidR="002E41B2" w:rsidRPr="005B7CAC">
        <w:rPr>
          <w:rFonts w:ascii="Times New Roman" w:hAnsi="Times New Roman"/>
          <w:bCs/>
          <w:iCs/>
          <w:sz w:val="24"/>
          <w:szCs w:val="20"/>
          <w:lang w:val="en-US"/>
        </w:rPr>
        <w:t xml:space="preserve"> and</w:t>
      </w:r>
      <w:r w:rsidR="001A4905" w:rsidRPr="005B7CAC">
        <w:rPr>
          <w:rFonts w:ascii="Times New Roman" w:hAnsi="Times New Roman"/>
          <w:bCs/>
          <w:iCs/>
          <w:sz w:val="24"/>
          <w:szCs w:val="20"/>
          <w:lang w:val="en-US"/>
        </w:rPr>
        <w:t xml:space="preserve"> spurring sustainability</w:t>
      </w:r>
      <w:r w:rsidR="00D61F25" w:rsidRPr="005B7CAC">
        <w:rPr>
          <w:rFonts w:ascii="Times New Roman" w:hAnsi="Times New Roman"/>
          <w:bCs/>
          <w:iCs/>
          <w:sz w:val="24"/>
          <w:szCs w:val="20"/>
          <w:lang w:val="en-US"/>
        </w:rPr>
        <w:t xml:space="preserve"> </w:t>
      </w:r>
      <w:r w:rsidR="0033140C" w:rsidRPr="005B7CAC">
        <w:rPr>
          <w:rFonts w:ascii="Times New Roman" w:hAnsi="Times New Roman"/>
          <w:bCs/>
          <w:iCs/>
          <w:sz w:val="24"/>
          <w:szCs w:val="20"/>
          <w:lang w:val="en-US"/>
        </w:rPr>
        <w:fldChar w:fldCharType="begin" w:fldLock="1"/>
      </w:r>
      <w:r w:rsidR="0033140C" w:rsidRPr="005B7CAC">
        <w:rPr>
          <w:rFonts w:ascii="Times New Roman" w:hAnsi="Times New Roman"/>
          <w:bCs/>
          <w:iCs/>
          <w:sz w:val="24"/>
          <w:szCs w:val="20"/>
          <w:lang w:val="en-US"/>
        </w:rPr>
        <w:instrText>ADDIN CSL_CITATION {"citationItems":[{"id":"ITEM-1","itemData":{"DOI":"10.1002/bse.3589","ISSN":"10990836","abstract":"Prior studies have reported an association between corporate waste management practices and certain board attributes, but none have focused on foreign directors. Therefore, we examine foreign directors' contributions to firms' waste management by exclusively focusing on waste reduction and recycling. Furthermore, we explore an important channel through which foreign directors spur better waste management, namely, eco-innovation. Drawing on 6891 observations affiliated with 9 sectors and 46 countries, we execute country, industry and year fixed-effects regression analysis. We find that while foreign directors on the board are negatively associated with waste generation, they are positively associated with waste recycling. Furthermore, while the eco-innovativeness of firms negatively moderates the association between foreign directors on the board and waste generation, it positively moderates the association between foreign directors on the board and waste recycling. Further channel analyses reveal more insights concerning polluting versus non-polluting and poor versus strong regulatory environments.","author":[{"dropping-particle":"","family":"Uyar","given":"Ali","non-dropping-particle":"","parse-names":false,"suffix":""},{"dropping-particle":"","family":"Al-Shaer","given":"Habiba","non-dropping-particle":"","parse-names":false,"suffix":""},{"dropping-particle":"","family":"Kuzey","given":"Cemil","non-dropping-particle":"","parse-names":false,"suffix":""},{"dropping-particle":"","family":"Karaman","given":"Abdullah S.","non-dropping-particle":"","parse-names":false,"suffix":""}],"container-title":"Business Strategy and the Environment","id":"ITEM-1","issued":{"date-parts":[["2023"]]},"page":"1-26","title":"Do foreign directors reinforce better waste management? The moderating role of eco-innovation","type":"article-journal"},"uris":["http://www.mendeley.com/documents/?uuid=2181dd7a-598d-44fd-b252-f31fe5b3ae59"]}],"mendeley":{"formattedCitation":"(Uyar &lt;i&gt;et al.&lt;/i&gt;, 2023)","plainTextFormattedCitation":"(Uyar et al., 2023)","previouslyFormattedCitation":"(Uyar &lt;i&gt;et al.&lt;/i&gt;, 2023)"},"properties":{"noteIndex":0},"schema":"https://github.com/citation-style-language/schema/raw/master/csl-citation.json"}</w:instrText>
      </w:r>
      <w:r w:rsidR="0033140C" w:rsidRPr="005B7CAC">
        <w:rPr>
          <w:rFonts w:ascii="Times New Roman" w:hAnsi="Times New Roman"/>
          <w:bCs/>
          <w:iCs/>
          <w:sz w:val="24"/>
          <w:szCs w:val="20"/>
          <w:lang w:val="en-US"/>
        </w:rPr>
        <w:fldChar w:fldCharType="separate"/>
      </w:r>
      <w:r w:rsidR="0033140C" w:rsidRPr="005B7CAC">
        <w:rPr>
          <w:rFonts w:ascii="Times New Roman" w:hAnsi="Times New Roman"/>
          <w:bCs/>
          <w:iCs/>
          <w:noProof/>
          <w:sz w:val="24"/>
          <w:szCs w:val="20"/>
          <w:lang w:val="en-US"/>
        </w:rPr>
        <w:t xml:space="preserve">(Uyar </w:t>
      </w:r>
      <w:r w:rsidR="0033140C" w:rsidRPr="005B7CAC">
        <w:rPr>
          <w:rFonts w:ascii="Times New Roman" w:hAnsi="Times New Roman"/>
          <w:bCs/>
          <w:i/>
          <w:iCs/>
          <w:noProof/>
          <w:sz w:val="24"/>
          <w:szCs w:val="20"/>
          <w:lang w:val="en-US"/>
        </w:rPr>
        <w:t>et al.</w:t>
      </w:r>
      <w:r w:rsidR="0033140C" w:rsidRPr="005B7CAC">
        <w:rPr>
          <w:rFonts w:ascii="Times New Roman" w:hAnsi="Times New Roman"/>
          <w:bCs/>
          <w:iCs/>
          <w:noProof/>
          <w:sz w:val="24"/>
          <w:szCs w:val="20"/>
          <w:lang w:val="en-US"/>
        </w:rPr>
        <w:t>, 2023)</w:t>
      </w:r>
      <w:r w:rsidR="0033140C" w:rsidRPr="005B7CAC">
        <w:rPr>
          <w:rFonts w:ascii="Times New Roman" w:hAnsi="Times New Roman"/>
          <w:bCs/>
          <w:iCs/>
          <w:sz w:val="24"/>
          <w:szCs w:val="20"/>
          <w:lang w:val="en-US"/>
        </w:rPr>
        <w:fldChar w:fldCharType="end"/>
      </w:r>
      <w:r w:rsidR="00307672" w:rsidRPr="005B7CAC">
        <w:rPr>
          <w:rFonts w:ascii="Times New Roman" w:hAnsi="Times New Roman"/>
          <w:bCs/>
          <w:iCs/>
          <w:sz w:val="24"/>
          <w:szCs w:val="20"/>
          <w:lang w:val="en-US"/>
        </w:rPr>
        <w:t>.</w:t>
      </w:r>
      <w:r w:rsidR="006F29AC" w:rsidRPr="005B7CAC">
        <w:rPr>
          <w:rFonts w:ascii="Times New Roman" w:hAnsi="Times New Roman"/>
          <w:bCs/>
          <w:iCs/>
          <w:sz w:val="24"/>
          <w:szCs w:val="20"/>
          <w:lang w:val="en-US"/>
        </w:rPr>
        <w:t xml:space="preserve"> </w:t>
      </w:r>
      <w:r w:rsidR="000D4E69" w:rsidRPr="005B7CAC">
        <w:rPr>
          <w:rFonts w:ascii="Times New Roman" w:hAnsi="Times New Roman"/>
          <w:bCs/>
          <w:iCs/>
          <w:sz w:val="24"/>
          <w:szCs w:val="20"/>
          <w:lang w:val="en-US"/>
        </w:rPr>
        <w:t>Hence, our work seeks to</w:t>
      </w:r>
      <w:r w:rsidR="005B2B7E" w:rsidRPr="005B7CAC">
        <w:rPr>
          <w:rFonts w:ascii="Times New Roman" w:hAnsi="Times New Roman"/>
          <w:bCs/>
          <w:iCs/>
          <w:sz w:val="24"/>
          <w:szCs w:val="20"/>
          <w:lang w:val="en-US"/>
        </w:rPr>
        <w:t xml:space="preserve"> extend </w:t>
      </w:r>
      <w:r w:rsidR="000D4E69" w:rsidRPr="005B7CAC">
        <w:rPr>
          <w:rFonts w:ascii="Times New Roman" w:hAnsi="Times New Roman"/>
          <w:bCs/>
          <w:iCs/>
          <w:sz w:val="24"/>
          <w:szCs w:val="20"/>
          <w:lang w:val="en-US"/>
        </w:rPr>
        <w:t xml:space="preserve">the environmental and </w:t>
      </w:r>
      <w:r w:rsidR="000D4E69" w:rsidRPr="005B7CAC">
        <w:rPr>
          <w:rFonts w:ascii="Times New Roman" w:hAnsi="Times New Roman"/>
          <w:bCs/>
          <w:i/>
          <w:sz w:val="24"/>
          <w:szCs w:val="20"/>
          <w:lang w:val="en-US"/>
        </w:rPr>
        <w:t>FD</w:t>
      </w:r>
      <w:r w:rsidR="000D4E69" w:rsidRPr="005B7CAC">
        <w:rPr>
          <w:rFonts w:ascii="Times New Roman" w:hAnsi="Times New Roman"/>
          <w:bCs/>
          <w:iCs/>
          <w:sz w:val="24"/>
          <w:szCs w:val="20"/>
          <w:lang w:val="en-US"/>
        </w:rPr>
        <w:t xml:space="preserve"> literature by </w:t>
      </w:r>
      <w:r w:rsidR="005B2B7E" w:rsidRPr="005B7CAC">
        <w:rPr>
          <w:rFonts w:ascii="Times New Roman" w:hAnsi="Times New Roman"/>
          <w:bCs/>
          <w:iCs/>
          <w:sz w:val="24"/>
          <w:szCs w:val="20"/>
          <w:lang w:val="en-US"/>
        </w:rPr>
        <w:t xml:space="preserve">assessing </w:t>
      </w:r>
      <w:r w:rsidR="000D4E69" w:rsidRPr="005B7CAC">
        <w:rPr>
          <w:rFonts w:ascii="Times New Roman" w:hAnsi="Times New Roman"/>
          <w:bCs/>
          <w:iCs/>
          <w:sz w:val="24"/>
          <w:szCs w:val="20"/>
          <w:lang w:val="en-US"/>
        </w:rPr>
        <w:t xml:space="preserve">whether </w:t>
      </w:r>
      <w:r w:rsidR="001A1CB2" w:rsidRPr="005B7CAC">
        <w:rPr>
          <w:rFonts w:ascii="Times New Roman" w:hAnsi="Times New Roman"/>
          <w:bCs/>
          <w:i/>
          <w:sz w:val="24"/>
          <w:szCs w:val="20"/>
          <w:lang w:val="en-US"/>
        </w:rPr>
        <w:t>GINVs</w:t>
      </w:r>
      <w:r w:rsidR="000D4E69" w:rsidRPr="005B7CAC">
        <w:rPr>
          <w:rFonts w:ascii="Times New Roman" w:hAnsi="Times New Roman"/>
          <w:bCs/>
          <w:iCs/>
          <w:sz w:val="24"/>
          <w:szCs w:val="20"/>
          <w:lang w:val="en-US"/>
        </w:rPr>
        <w:t xml:space="preserve"> moderate the </w:t>
      </w:r>
      <w:r w:rsidR="00307672" w:rsidRPr="005B7CAC">
        <w:rPr>
          <w:rFonts w:ascii="Times New Roman" w:hAnsi="Times New Roman"/>
          <w:i/>
          <w:sz w:val="24"/>
          <w:szCs w:val="20"/>
          <w:lang w:val="en-US"/>
        </w:rPr>
        <w:t>WM</w:t>
      </w:r>
      <w:r w:rsidR="00307672" w:rsidRPr="005B7CAC">
        <w:rPr>
          <w:rFonts w:ascii="Calibri" w:hAnsi="Calibri" w:cs="Calibri"/>
          <w:bCs/>
          <w:sz w:val="24"/>
          <w:szCs w:val="24"/>
          <w:lang w:val="en-US"/>
        </w:rPr>
        <w:t>—</w:t>
      </w:r>
      <w:r w:rsidR="00307672" w:rsidRPr="005B7CAC">
        <w:rPr>
          <w:rFonts w:ascii="Times New Roman" w:hAnsi="Times New Roman"/>
          <w:i/>
          <w:sz w:val="24"/>
          <w:szCs w:val="20"/>
          <w:lang w:val="en-US"/>
        </w:rPr>
        <w:t>FD</w:t>
      </w:r>
      <w:r w:rsidR="00307672" w:rsidRPr="005B7CAC">
        <w:rPr>
          <w:rFonts w:ascii="Times New Roman" w:hAnsi="Times New Roman"/>
          <w:sz w:val="24"/>
          <w:szCs w:val="20"/>
          <w:lang w:val="en-US"/>
        </w:rPr>
        <w:t xml:space="preserve"> link.</w:t>
      </w:r>
      <w:r w:rsidR="00CF13F4" w:rsidRPr="005B7CAC">
        <w:rPr>
          <w:rFonts w:ascii="Times New Roman" w:hAnsi="Times New Roman"/>
          <w:sz w:val="24"/>
          <w:szCs w:val="20"/>
          <w:lang w:val="en-US"/>
        </w:rPr>
        <w:t xml:space="preserve"> </w:t>
      </w:r>
    </w:p>
    <w:p w14:paraId="4FA4A3A0" w14:textId="7BF5ED7A" w:rsidR="009A745C" w:rsidRPr="005B7CAC" w:rsidRDefault="00C90660" w:rsidP="003D5418">
      <w:pPr>
        <w:widowControl w:val="0"/>
        <w:autoSpaceDE w:val="0"/>
        <w:autoSpaceDN w:val="0"/>
        <w:adjustRightInd w:val="0"/>
        <w:spacing w:after="240" w:line="360" w:lineRule="auto"/>
        <w:jc w:val="both"/>
        <w:rPr>
          <w:rFonts w:ascii="Times New Roman" w:hAnsi="Times New Roman"/>
          <w:iCs/>
          <w:sz w:val="24"/>
          <w:szCs w:val="20"/>
          <w:lang w:val="en-US"/>
        </w:rPr>
      </w:pPr>
      <w:r w:rsidRPr="005B7CAC">
        <w:rPr>
          <w:rFonts w:ascii="Times New Roman" w:hAnsi="Times New Roman"/>
          <w:iCs/>
          <w:sz w:val="24"/>
          <w:szCs w:val="20"/>
          <w:lang w:val="en-US"/>
        </w:rPr>
        <w:t>W</w:t>
      </w:r>
      <w:r w:rsidR="00D65715" w:rsidRPr="005B7CAC">
        <w:rPr>
          <w:rFonts w:ascii="Times New Roman" w:hAnsi="Times New Roman"/>
          <w:iCs/>
          <w:sz w:val="24"/>
          <w:szCs w:val="20"/>
          <w:lang w:val="en-US"/>
        </w:rPr>
        <w:t>e select</w:t>
      </w:r>
      <w:r w:rsidR="00857363" w:rsidRPr="005B7CAC">
        <w:rPr>
          <w:rFonts w:ascii="Times New Roman" w:hAnsi="Times New Roman"/>
          <w:iCs/>
          <w:sz w:val="24"/>
          <w:szCs w:val="20"/>
          <w:lang w:val="en-US"/>
        </w:rPr>
        <w:t xml:space="preserve"> the UK </w:t>
      </w:r>
      <w:r w:rsidR="00D65715" w:rsidRPr="005B7CAC">
        <w:rPr>
          <w:rFonts w:ascii="Times New Roman" w:hAnsi="Times New Roman"/>
          <w:iCs/>
          <w:sz w:val="24"/>
          <w:szCs w:val="20"/>
          <w:lang w:val="en-US"/>
        </w:rPr>
        <w:t xml:space="preserve">as a research context </w:t>
      </w:r>
      <w:r w:rsidR="00857363" w:rsidRPr="005B7CAC">
        <w:rPr>
          <w:rFonts w:ascii="Times New Roman" w:hAnsi="Times New Roman"/>
          <w:iCs/>
          <w:sz w:val="24"/>
          <w:szCs w:val="20"/>
          <w:lang w:val="en-US"/>
        </w:rPr>
        <w:t xml:space="preserve">for </w:t>
      </w:r>
      <w:r w:rsidR="00F86137" w:rsidRPr="005B7CAC">
        <w:rPr>
          <w:rFonts w:ascii="Times New Roman" w:hAnsi="Times New Roman"/>
          <w:iCs/>
          <w:sz w:val="24"/>
          <w:szCs w:val="20"/>
          <w:lang w:val="en-US"/>
        </w:rPr>
        <w:t xml:space="preserve">two main </w:t>
      </w:r>
      <w:r w:rsidR="00857363" w:rsidRPr="005B7CAC">
        <w:rPr>
          <w:rFonts w:ascii="Times New Roman" w:hAnsi="Times New Roman"/>
          <w:iCs/>
          <w:sz w:val="24"/>
          <w:szCs w:val="20"/>
          <w:lang w:val="en-US"/>
        </w:rPr>
        <w:t>reasons.</w:t>
      </w:r>
      <w:r w:rsidR="00EF3AC5" w:rsidRPr="005B7CAC">
        <w:rPr>
          <w:rFonts w:ascii="Times New Roman" w:hAnsi="Times New Roman"/>
          <w:iCs/>
          <w:sz w:val="24"/>
          <w:szCs w:val="20"/>
          <w:lang w:val="en-US"/>
        </w:rPr>
        <w:t xml:space="preserve"> First, </w:t>
      </w:r>
      <w:r w:rsidR="00ED161B" w:rsidRPr="005B7CAC">
        <w:rPr>
          <w:rFonts w:ascii="Times New Roman" w:hAnsi="Times New Roman"/>
          <w:iCs/>
          <w:sz w:val="24"/>
          <w:szCs w:val="20"/>
          <w:lang w:val="en-US"/>
        </w:rPr>
        <w:t>the UK is one of the most heavily regulated environmental contexts in the world</w:t>
      </w:r>
      <w:r w:rsidR="00212653">
        <w:rPr>
          <w:rFonts w:ascii="Times New Roman" w:hAnsi="Times New Roman"/>
          <w:iCs/>
          <w:sz w:val="24"/>
          <w:szCs w:val="20"/>
          <w:lang w:val="en-US"/>
        </w:rPr>
        <w:t>,</w:t>
      </w:r>
      <w:r w:rsidR="000F6471" w:rsidRPr="005B7CAC">
        <w:rPr>
          <w:rFonts w:ascii="Times New Roman" w:hAnsi="Times New Roman"/>
          <w:iCs/>
          <w:sz w:val="24"/>
          <w:szCs w:val="20"/>
          <w:lang w:val="en-US"/>
        </w:rPr>
        <w:t xml:space="preserve"> with </w:t>
      </w:r>
      <w:r w:rsidR="00494FA7" w:rsidRPr="005B7CAC">
        <w:rPr>
          <w:rFonts w:ascii="Times New Roman" w:hAnsi="Times New Roman"/>
          <w:iCs/>
          <w:sz w:val="24"/>
          <w:szCs w:val="20"/>
          <w:lang w:val="en-US"/>
        </w:rPr>
        <w:t xml:space="preserve">short- and long-term </w:t>
      </w:r>
      <w:r w:rsidR="000F6471" w:rsidRPr="005B7CAC">
        <w:rPr>
          <w:rFonts w:ascii="Times New Roman" w:hAnsi="Times New Roman"/>
          <w:iCs/>
          <w:sz w:val="24"/>
          <w:szCs w:val="20"/>
          <w:lang w:val="en-US"/>
        </w:rPr>
        <w:t xml:space="preserve">financial implications for </w:t>
      </w:r>
      <w:r w:rsidR="001A11A5" w:rsidRPr="005B7CAC">
        <w:rPr>
          <w:rFonts w:ascii="Times New Roman" w:hAnsi="Times New Roman"/>
          <w:iCs/>
          <w:sz w:val="24"/>
          <w:szCs w:val="20"/>
          <w:lang w:val="en-US"/>
        </w:rPr>
        <w:t>businesses</w:t>
      </w:r>
      <w:r w:rsidR="00ED161B" w:rsidRPr="005B7CAC">
        <w:rPr>
          <w:rFonts w:ascii="Times New Roman" w:hAnsi="Times New Roman"/>
          <w:iCs/>
          <w:sz w:val="24"/>
          <w:szCs w:val="20"/>
          <w:lang w:val="en-US"/>
        </w:rPr>
        <w:t xml:space="preserve">. </w:t>
      </w:r>
      <w:r w:rsidRPr="005B7CAC">
        <w:rPr>
          <w:rFonts w:ascii="Times New Roman" w:hAnsi="Times New Roman"/>
          <w:iCs/>
          <w:sz w:val="24"/>
          <w:szCs w:val="20"/>
          <w:lang w:val="en-US"/>
        </w:rPr>
        <w:t>In particular</w:t>
      </w:r>
      <w:r w:rsidR="00ED161B" w:rsidRPr="005B7CAC">
        <w:rPr>
          <w:rFonts w:ascii="Times New Roman" w:hAnsi="Times New Roman"/>
          <w:iCs/>
          <w:sz w:val="24"/>
          <w:szCs w:val="20"/>
          <w:lang w:val="en-US"/>
        </w:rPr>
        <w:t xml:space="preserve">, </w:t>
      </w:r>
      <w:r w:rsidR="00647F70" w:rsidRPr="005B7CAC">
        <w:rPr>
          <w:rFonts w:ascii="Times New Roman" w:hAnsi="Times New Roman"/>
          <w:iCs/>
          <w:sz w:val="24"/>
          <w:szCs w:val="20"/>
          <w:lang w:val="en-US"/>
        </w:rPr>
        <w:t>the UK is among the first nations that</w:t>
      </w:r>
      <w:r w:rsidR="002F4AC6" w:rsidRPr="005B7CAC">
        <w:rPr>
          <w:rFonts w:ascii="Times New Roman" w:hAnsi="Times New Roman"/>
          <w:iCs/>
          <w:sz w:val="24"/>
          <w:szCs w:val="20"/>
          <w:lang w:val="en-US"/>
        </w:rPr>
        <w:t xml:space="preserve"> recognized </w:t>
      </w:r>
      <w:r w:rsidR="00647F70" w:rsidRPr="005B7CAC">
        <w:rPr>
          <w:rFonts w:ascii="Times New Roman" w:hAnsi="Times New Roman"/>
          <w:iCs/>
          <w:sz w:val="24"/>
          <w:szCs w:val="20"/>
          <w:lang w:val="en-US"/>
        </w:rPr>
        <w:t>a climate emergency</w:t>
      </w:r>
      <w:r w:rsidR="00AB2C36" w:rsidRPr="005B7CAC">
        <w:rPr>
          <w:rFonts w:ascii="Times New Roman" w:hAnsi="Times New Roman"/>
          <w:iCs/>
          <w:sz w:val="24"/>
          <w:szCs w:val="20"/>
          <w:lang w:val="en-US"/>
        </w:rPr>
        <w:t xml:space="preserve">, supported the Paris Agreement, </w:t>
      </w:r>
      <w:r w:rsidR="00647F70" w:rsidRPr="005B7CAC">
        <w:rPr>
          <w:rFonts w:ascii="Times New Roman" w:hAnsi="Times New Roman"/>
          <w:iCs/>
          <w:sz w:val="24"/>
          <w:szCs w:val="20"/>
          <w:lang w:val="en-US"/>
        </w:rPr>
        <w:t>and set the goal</w:t>
      </w:r>
      <w:r w:rsidR="002F4AC6" w:rsidRPr="005B7CAC">
        <w:rPr>
          <w:rFonts w:ascii="Times New Roman" w:hAnsi="Times New Roman"/>
          <w:iCs/>
          <w:sz w:val="24"/>
          <w:szCs w:val="20"/>
          <w:lang w:val="en-US"/>
        </w:rPr>
        <w:t>s</w:t>
      </w:r>
      <w:r w:rsidR="00504091" w:rsidRPr="005B7CAC">
        <w:rPr>
          <w:rFonts w:ascii="Times New Roman" w:hAnsi="Times New Roman"/>
          <w:iCs/>
          <w:sz w:val="24"/>
          <w:szCs w:val="20"/>
          <w:lang w:val="en-US"/>
        </w:rPr>
        <w:t>/</w:t>
      </w:r>
      <w:r w:rsidR="002F4AC6" w:rsidRPr="005B7CAC">
        <w:rPr>
          <w:rFonts w:ascii="Times New Roman" w:hAnsi="Times New Roman"/>
          <w:iCs/>
          <w:sz w:val="24"/>
          <w:szCs w:val="20"/>
          <w:lang w:val="en-US"/>
        </w:rPr>
        <w:t>targets</w:t>
      </w:r>
      <w:r w:rsidR="00647F70" w:rsidRPr="005B7CAC">
        <w:rPr>
          <w:rFonts w:ascii="Times New Roman" w:hAnsi="Times New Roman"/>
          <w:iCs/>
          <w:sz w:val="24"/>
          <w:szCs w:val="20"/>
          <w:lang w:val="en-US"/>
        </w:rPr>
        <w:t xml:space="preserve"> of achieving net-zero emissions by 2050.</w:t>
      </w:r>
      <w:r w:rsidR="00025220" w:rsidRPr="005B7CAC">
        <w:rPr>
          <w:rFonts w:ascii="Times New Roman" w:hAnsi="Times New Roman"/>
          <w:iCs/>
          <w:sz w:val="24"/>
          <w:szCs w:val="20"/>
          <w:lang w:val="en-US"/>
        </w:rPr>
        <w:t xml:space="preserve"> In 2008, t</w:t>
      </w:r>
      <w:r w:rsidR="001F7529" w:rsidRPr="005B7CAC">
        <w:rPr>
          <w:rFonts w:ascii="Times New Roman" w:hAnsi="Times New Roman"/>
          <w:iCs/>
          <w:sz w:val="24"/>
          <w:szCs w:val="20"/>
          <w:lang w:val="en-US"/>
        </w:rPr>
        <w:t xml:space="preserve">he UK government adopted the Climate Change Act and updated it in 2019 by </w:t>
      </w:r>
      <w:r w:rsidR="00E64F5B" w:rsidRPr="005B7CAC">
        <w:rPr>
          <w:rFonts w:ascii="Times New Roman" w:hAnsi="Times New Roman"/>
          <w:iCs/>
          <w:sz w:val="24"/>
          <w:szCs w:val="20"/>
          <w:lang w:val="en-US"/>
        </w:rPr>
        <w:t xml:space="preserve">incorporating </w:t>
      </w:r>
      <w:r w:rsidR="001F7529" w:rsidRPr="005B7CAC">
        <w:rPr>
          <w:rFonts w:ascii="Times New Roman" w:hAnsi="Times New Roman"/>
          <w:iCs/>
          <w:sz w:val="24"/>
          <w:szCs w:val="20"/>
          <w:lang w:val="en-US"/>
        </w:rPr>
        <w:t>new targets</w:t>
      </w:r>
      <w:r w:rsidR="00E64F5B" w:rsidRPr="005B7CAC">
        <w:rPr>
          <w:rFonts w:ascii="Times New Roman" w:hAnsi="Times New Roman"/>
          <w:iCs/>
          <w:sz w:val="24"/>
          <w:szCs w:val="20"/>
          <w:lang w:val="en-US"/>
        </w:rPr>
        <w:t xml:space="preserve"> </w:t>
      </w:r>
      <w:r w:rsidR="00A5025E" w:rsidRPr="005B7CAC">
        <w:rPr>
          <w:rFonts w:ascii="Times New Roman" w:hAnsi="Times New Roman"/>
          <w:iCs/>
          <w:sz w:val="24"/>
          <w:szCs w:val="20"/>
          <w:lang w:val="en-US"/>
        </w:rPr>
        <w:fldChar w:fldCharType="begin" w:fldLock="1"/>
      </w:r>
      <w:r w:rsidR="00A5025E" w:rsidRPr="005B7CAC">
        <w:rPr>
          <w:rFonts w:ascii="Times New Roman" w:hAnsi="Times New Roman"/>
          <w:iCs/>
          <w:sz w:val="24"/>
          <w:szCs w:val="20"/>
          <w:lang w:val="en-US"/>
        </w:rPr>
        <w:instrText>ADDIN CSL_CITATION {"citationItems":[{"id":"ITEM-1","itemData":{"DOI":"10.1002/bse.3232","ISSN":"10990836","abstract":"This paper examines the effects of environmental innovation on CO2 emissions as well as the moderating role of environmental governance in this relationship. Based on a sample of companies listed on the London Stock Exchange for the period from 2016 to 2020, the findings show that environmental innovation reduces CO2 emissions including Scope 1 and Scope 2 CO2 emissions. Likewise, our findings are associative of a moderating effect of environmental governance on the environmental innovation-CO2 emissions nexus. We argue that environmental innovation along with better environmental governance leads to a reduction in CO2 emissions. Our results hold for subsamples of firms with a strong/low environmental governance and ESG performance. Our findings offer important implications for companies and policymakers towards adopting more environmental technologies along with enhancing environmental governance to reduce CO2 emissions.","author":[{"dropping-particle":"","family":"Albitar","given":"Khaldoon","non-dropping-particle":"","parse-names":false,"suffix":""},{"dropping-particle":"","family":"Borgi","given":"Hela","non-dropping-particle":"","parse-names":false,"suffix":""},{"dropping-particle":"","family":"Khan","given":"Muzammal","non-dropping-particle":"","parse-names":false,"suffix":""},{"dropping-particle":"","family":"Zahra","given":"Anum","non-dropping-particle":"","parse-names":false,"suffix":""}],"container-title":"Business Strategy and the Environment","id":"ITEM-1","issue":"4","issued":{"date-parts":[["2023"]]},"page":"1996-2007","title":"Business environmental innovation and CO2 emissions: The moderating role of environmental governance","type":"article-journal","volume":"32"},"uris":["http://www.mendeley.com/documents/?uuid=7de5d50a-1720-35da-acfc-b514ae3b49a5"]}],"mendeley":{"formattedCitation":"(Albitar &lt;i&gt;et al.&lt;/i&gt;, 2023)","plainTextFormattedCitation":"(Albitar et al., 2023)","previouslyFormattedCitation":"(Albitar &lt;i&gt;et al.&lt;/i&gt;, 2023)"},"properties":{"noteIndex":0},"schema":"https://github.com/citation-style-language/schema/raw/master/csl-citation.json"}</w:instrText>
      </w:r>
      <w:r w:rsidR="00A5025E" w:rsidRPr="005B7CAC">
        <w:rPr>
          <w:rFonts w:ascii="Times New Roman" w:hAnsi="Times New Roman"/>
          <w:iCs/>
          <w:sz w:val="24"/>
          <w:szCs w:val="20"/>
          <w:lang w:val="en-US"/>
        </w:rPr>
        <w:fldChar w:fldCharType="separate"/>
      </w:r>
      <w:r w:rsidR="00E64F5B" w:rsidRPr="005B7CAC">
        <w:rPr>
          <w:rFonts w:ascii="Times New Roman" w:hAnsi="Times New Roman"/>
          <w:iCs/>
          <w:noProof/>
          <w:sz w:val="24"/>
          <w:szCs w:val="20"/>
          <w:lang w:val="en-US"/>
        </w:rPr>
        <w:t xml:space="preserve">(Albitar </w:t>
      </w:r>
      <w:r w:rsidR="00E64F5B" w:rsidRPr="005B7CAC">
        <w:rPr>
          <w:rFonts w:ascii="Times New Roman" w:hAnsi="Times New Roman"/>
          <w:i/>
          <w:iCs/>
          <w:noProof/>
          <w:sz w:val="24"/>
          <w:szCs w:val="20"/>
          <w:lang w:val="en-US"/>
        </w:rPr>
        <w:t>et al.</w:t>
      </w:r>
      <w:r w:rsidR="00E64F5B" w:rsidRPr="005B7CAC">
        <w:rPr>
          <w:rFonts w:ascii="Times New Roman" w:hAnsi="Times New Roman"/>
          <w:iCs/>
          <w:noProof/>
          <w:sz w:val="24"/>
          <w:szCs w:val="20"/>
          <w:lang w:val="en-US"/>
        </w:rPr>
        <w:t>, 2023)</w:t>
      </w:r>
      <w:r w:rsidR="00A5025E" w:rsidRPr="005B7CAC">
        <w:rPr>
          <w:rFonts w:ascii="Times New Roman" w:hAnsi="Times New Roman"/>
          <w:iCs/>
          <w:sz w:val="24"/>
          <w:szCs w:val="20"/>
          <w:lang w:val="en-US"/>
        </w:rPr>
        <w:fldChar w:fldCharType="end"/>
      </w:r>
      <w:r w:rsidR="001F7529" w:rsidRPr="005B7CAC">
        <w:rPr>
          <w:rFonts w:ascii="Times New Roman" w:hAnsi="Times New Roman"/>
          <w:iCs/>
          <w:sz w:val="24"/>
          <w:szCs w:val="20"/>
          <w:lang w:val="en-US"/>
        </w:rPr>
        <w:t>, thus making the UK the first major economy in the world to create a legally binding commitment.</w:t>
      </w:r>
      <w:r w:rsidR="003F6DB8" w:rsidRPr="005B7CAC">
        <w:rPr>
          <w:rFonts w:ascii="Times New Roman" w:hAnsi="Times New Roman"/>
          <w:iCs/>
          <w:sz w:val="24"/>
          <w:szCs w:val="20"/>
          <w:lang w:val="en-US"/>
        </w:rPr>
        <w:t xml:space="preserve"> However,</w:t>
      </w:r>
      <w:r w:rsidR="000F2622" w:rsidRPr="005B7CAC">
        <w:rPr>
          <w:rFonts w:ascii="Times New Roman" w:hAnsi="Times New Roman"/>
          <w:iCs/>
          <w:sz w:val="24"/>
          <w:szCs w:val="20"/>
          <w:lang w:val="en-US"/>
        </w:rPr>
        <w:t xml:space="preserve"> </w:t>
      </w:r>
      <w:r w:rsidR="007F065F" w:rsidRPr="005B7CAC">
        <w:rPr>
          <w:rFonts w:ascii="Times New Roman" w:hAnsi="Times New Roman"/>
          <w:iCs/>
          <w:sz w:val="24"/>
          <w:szCs w:val="20"/>
          <w:lang w:val="en-US"/>
        </w:rPr>
        <w:t xml:space="preserve">given that UK firms are still major contributors to </w:t>
      </w:r>
      <w:r w:rsidR="006262F7" w:rsidRPr="005B7CAC">
        <w:rPr>
          <w:rFonts w:ascii="Times New Roman" w:hAnsi="Times New Roman"/>
          <w:iCs/>
          <w:sz w:val="24"/>
          <w:szCs w:val="20"/>
          <w:lang w:val="en-US"/>
        </w:rPr>
        <w:t>global warming</w:t>
      </w:r>
      <w:r w:rsidR="007F065F" w:rsidRPr="005B7CAC">
        <w:rPr>
          <w:rFonts w:ascii="Times New Roman" w:hAnsi="Times New Roman"/>
          <w:iCs/>
          <w:sz w:val="24"/>
          <w:szCs w:val="20"/>
          <w:lang w:val="en-US"/>
        </w:rPr>
        <w:t xml:space="preserve">, </w:t>
      </w:r>
      <w:r w:rsidR="000F2622" w:rsidRPr="005B7CAC">
        <w:rPr>
          <w:rFonts w:ascii="Times New Roman" w:hAnsi="Times New Roman"/>
          <w:iCs/>
          <w:sz w:val="24"/>
          <w:szCs w:val="20"/>
          <w:lang w:val="en-US"/>
        </w:rPr>
        <w:t>the UK</w:t>
      </w:r>
      <w:r w:rsidR="006262F7" w:rsidRPr="005B7CAC">
        <w:rPr>
          <w:rFonts w:ascii="Times New Roman" w:hAnsi="Times New Roman"/>
          <w:iCs/>
          <w:sz w:val="24"/>
          <w:szCs w:val="20"/>
          <w:lang w:val="en-US"/>
        </w:rPr>
        <w:t>,</w:t>
      </w:r>
      <w:r w:rsidR="000F2622" w:rsidRPr="005B7CAC">
        <w:rPr>
          <w:rFonts w:ascii="Times New Roman" w:hAnsi="Times New Roman"/>
          <w:iCs/>
          <w:sz w:val="24"/>
          <w:szCs w:val="20"/>
          <w:lang w:val="en-US"/>
        </w:rPr>
        <w:t xml:space="preserve"> </w:t>
      </w:r>
      <w:r w:rsidR="006262F7" w:rsidRPr="005B7CAC">
        <w:rPr>
          <w:rFonts w:ascii="Times New Roman" w:hAnsi="Times New Roman"/>
          <w:iCs/>
          <w:sz w:val="24"/>
          <w:szCs w:val="20"/>
          <w:lang w:val="en-US"/>
        </w:rPr>
        <w:t xml:space="preserve">along with </w:t>
      </w:r>
      <w:r w:rsidR="000F2622" w:rsidRPr="005B7CAC">
        <w:rPr>
          <w:rFonts w:ascii="Times New Roman" w:hAnsi="Times New Roman"/>
          <w:iCs/>
          <w:sz w:val="24"/>
          <w:szCs w:val="20"/>
          <w:lang w:val="en-US"/>
        </w:rPr>
        <w:t>other nations</w:t>
      </w:r>
      <w:r w:rsidR="006262F7" w:rsidRPr="005B7CAC">
        <w:rPr>
          <w:rFonts w:ascii="Times New Roman" w:hAnsi="Times New Roman"/>
          <w:iCs/>
          <w:sz w:val="24"/>
          <w:szCs w:val="20"/>
          <w:lang w:val="en-US"/>
        </w:rPr>
        <w:t>,</w:t>
      </w:r>
      <w:r w:rsidR="000F2622" w:rsidRPr="005B7CAC">
        <w:rPr>
          <w:rFonts w:ascii="Times New Roman" w:hAnsi="Times New Roman"/>
          <w:iCs/>
          <w:sz w:val="24"/>
          <w:szCs w:val="20"/>
          <w:lang w:val="en-US"/>
        </w:rPr>
        <w:t xml:space="preserve"> ha</w:t>
      </w:r>
      <w:r w:rsidR="006262F7" w:rsidRPr="005B7CAC">
        <w:rPr>
          <w:rFonts w:ascii="Times New Roman" w:hAnsi="Times New Roman"/>
          <w:iCs/>
          <w:sz w:val="24"/>
          <w:szCs w:val="20"/>
          <w:lang w:val="en-US"/>
        </w:rPr>
        <w:t>s</w:t>
      </w:r>
      <w:r w:rsidR="000F2622" w:rsidRPr="005B7CAC">
        <w:rPr>
          <w:rFonts w:ascii="Times New Roman" w:hAnsi="Times New Roman"/>
          <w:iCs/>
          <w:sz w:val="24"/>
          <w:szCs w:val="20"/>
          <w:lang w:val="en-US"/>
        </w:rPr>
        <w:t xml:space="preserve"> to fight climate change for many years to come.</w:t>
      </w:r>
      <w:r w:rsidR="006262F7" w:rsidRPr="005B7CAC">
        <w:rPr>
          <w:rFonts w:ascii="Times New Roman" w:hAnsi="Times New Roman"/>
          <w:iCs/>
          <w:sz w:val="24"/>
          <w:szCs w:val="20"/>
          <w:lang w:val="en-US"/>
        </w:rPr>
        <w:t xml:space="preserve"> </w:t>
      </w:r>
      <w:r w:rsidR="007013E3" w:rsidRPr="005B7CAC">
        <w:rPr>
          <w:rFonts w:ascii="Times New Roman" w:hAnsi="Times New Roman"/>
          <w:iCs/>
          <w:sz w:val="24"/>
          <w:szCs w:val="20"/>
          <w:lang w:val="en-US"/>
        </w:rPr>
        <w:t>Second</w:t>
      </w:r>
      <w:r w:rsidR="003F6DB8" w:rsidRPr="005B7CAC">
        <w:rPr>
          <w:rFonts w:ascii="Times New Roman" w:hAnsi="Times New Roman"/>
          <w:iCs/>
          <w:sz w:val="24"/>
          <w:szCs w:val="20"/>
          <w:lang w:val="en-US"/>
        </w:rPr>
        <w:t>, global investors are becoming increasingly conce</w:t>
      </w:r>
      <w:r w:rsidRPr="005B7CAC">
        <w:rPr>
          <w:rFonts w:ascii="Times New Roman" w:hAnsi="Times New Roman"/>
          <w:iCs/>
          <w:sz w:val="24"/>
          <w:szCs w:val="20"/>
          <w:lang w:val="en-US"/>
        </w:rPr>
        <w:t xml:space="preserve">rned about firms’ environmental </w:t>
      </w:r>
      <w:r w:rsidRPr="005B7CAC">
        <w:rPr>
          <w:rFonts w:ascii="Times New Roman" w:hAnsi="Times New Roman"/>
          <w:iCs/>
          <w:sz w:val="24"/>
          <w:szCs w:val="20"/>
          <w:lang w:val="en-US"/>
        </w:rPr>
        <w:lastRenderedPageBreak/>
        <w:t xml:space="preserve">responsibility </w:t>
      </w:r>
      <w:r w:rsidR="00504091" w:rsidRPr="005B7CAC">
        <w:rPr>
          <w:rFonts w:ascii="Times New Roman" w:hAnsi="Times New Roman"/>
          <w:iCs/>
          <w:sz w:val="24"/>
          <w:szCs w:val="20"/>
          <w:lang w:val="en-US"/>
        </w:rPr>
        <w:t xml:space="preserve">and </w:t>
      </w:r>
      <w:r w:rsidR="00F52887" w:rsidRPr="005B7CAC">
        <w:rPr>
          <w:rFonts w:ascii="Times New Roman" w:hAnsi="Times New Roman"/>
          <w:iCs/>
          <w:sz w:val="24"/>
          <w:szCs w:val="20"/>
          <w:lang w:val="en-US"/>
        </w:rPr>
        <w:t xml:space="preserve">financial stability </w:t>
      </w:r>
      <w:r w:rsidR="001A43BD" w:rsidRPr="005B7CAC">
        <w:rPr>
          <w:rFonts w:ascii="Times New Roman" w:hAnsi="Times New Roman"/>
          <w:iCs/>
          <w:sz w:val="24"/>
          <w:szCs w:val="20"/>
          <w:lang w:val="en-US"/>
        </w:rPr>
        <w:fldChar w:fldCharType="begin" w:fldLock="1"/>
      </w:r>
      <w:r w:rsidR="001A43BD" w:rsidRPr="005B7CAC">
        <w:rPr>
          <w:rFonts w:ascii="Times New Roman" w:hAnsi="Times New Roman"/>
          <w:iCs/>
          <w:sz w:val="24"/>
          <w:szCs w:val="20"/>
          <w:lang w:val="en-US"/>
        </w:rPr>
        <w:instrText>ADDIN CSL_CITATION {"citationItems":[{"id":"ITEM-1","itemData":{"DOI":"10.1111/auar.12366","ISSN":"18352561","abstract":"This study examines the association between corporate environmental performance and financial distress. Using a sample of Australian firms, we find that environmental performance is negatively related to the financial distress probability perceived by the market. In addition, the negative association between environmental performance and the financial distress probability is more pronounced for firms with a higher level of risk. The findings provide important empirical evidence regarding the implications of environmental performance on firms’ risk management.","author":[{"dropping-particle":"","family":"Jia","given":"Jing","non-dropping-particle":"","parse-names":false,"suffix":""},{"dropping-particle":"","family":"Li","given":"Zhongtian","non-dropping-particle":"","parse-names":false,"suffix":""}],"container-title":"Australian Accounting Review","id":"ITEM-1","issue":"2","issued":{"date-parts":[["2022"]]},"page":"188-200","title":"Corporate Environmental Performance and Financial Distress: Evidence from Australia","type":"article-journal","volume":"32"},"uris":["http://www.mendeley.com/documents/?uuid=e29c5adf-e7ff-3dee-9c25-48e25598f3e7"]}],"mendeley":{"formattedCitation":"(Jia and Li, 2022)","plainTextFormattedCitation":"(Jia and Li, 2022)","previouslyFormattedCitation":"(Jia and Li, 2022)"},"properties":{"noteIndex":0},"schema":"https://github.com/citation-style-language/schema/raw/master/csl-citation.json"}</w:instrText>
      </w:r>
      <w:r w:rsidR="001A43BD" w:rsidRPr="005B7CAC">
        <w:rPr>
          <w:rFonts w:ascii="Times New Roman" w:hAnsi="Times New Roman"/>
          <w:iCs/>
          <w:sz w:val="24"/>
          <w:szCs w:val="20"/>
          <w:lang w:val="en-US"/>
        </w:rPr>
        <w:fldChar w:fldCharType="separate"/>
      </w:r>
      <w:r w:rsidR="003F6DB8" w:rsidRPr="005B7CAC">
        <w:rPr>
          <w:rFonts w:ascii="Times New Roman" w:hAnsi="Times New Roman"/>
          <w:iCs/>
          <w:noProof/>
          <w:sz w:val="24"/>
          <w:szCs w:val="20"/>
          <w:lang w:val="en-US"/>
        </w:rPr>
        <w:t>(Jia and Li, 2022)</w:t>
      </w:r>
      <w:r w:rsidR="001A43BD" w:rsidRPr="005B7CAC">
        <w:rPr>
          <w:rFonts w:ascii="Times New Roman" w:hAnsi="Times New Roman"/>
          <w:iCs/>
          <w:sz w:val="24"/>
          <w:szCs w:val="20"/>
          <w:lang w:val="en-US"/>
        </w:rPr>
        <w:fldChar w:fldCharType="end"/>
      </w:r>
      <w:r w:rsidR="00F52887" w:rsidRPr="005B7CAC">
        <w:rPr>
          <w:rFonts w:ascii="Times New Roman" w:hAnsi="Times New Roman"/>
          <w:iCs/>
          <w:sz w:val="24"/>
          <w:szCs w:val="20"/>
          <w:lang w:val="en-US"/>
        </w:rPr>
        <w:t xml:space="preserve">. </w:t>
      </w:r>
      <w:r w:rsidR="00EF3AC5" w:rsidRPr="005B7CAC">
        <w:rPr>
          <w:rFonts w:ascii="Times New Roman" w:hAnsi="Times New Roman"/>
          <w:iCs/>
          <w:sz w:val="24"/>
          <w:szCs w:val="20"/>
          <w:lang w:val="en-US"/>
        </w:rPr>
        <w:t>Thus,</w:t>
      </w:r>
      <w:r w:rsidR="004B1A2D" w:rsidRPr="005B7CAC">
        <w:rPr>
          <w:rFonts w:ascii="Times New Roman" w:hAnsi="Times New Roman"/>
          <w:iCs/>
          <w:sz w:val="24"/>
          <w:szCs w:val="20"/>
          <w:lang w:val="en-US"/>
        </w:rPr>
        <w:t xml:space="preserve"> it is worth investigating the economic consequences of </w:t>
      </w:r>
      <w:r w:rsidR="004B1A2D" w:rsidRPr="005B7CAC">
        <w:rPr>
          <w:rFonts w:ascii="Times New Roman" w:hAnsi="Times New Roman"/>
          <w:i/>
          <w:sz w:val="24"/>
          <w:szCs w:val="20"/>
          <w:lang w:val="en-US"/>
        </w:rPr>
        <w:t>WM</w:t>
      </w:r>
      <w:r w:rsidR="004B1A2D" w:rsidRPr="005B7CAC">
        <w:rPr>
          <w:rFonts w:ascii="Times New Roman" w:hAnsi="Times New Roman"/>
          <w:iCs/>
          <w:sz w:val="24"/>
          <w:szCs w:val="20"/>
          <w:lang w:val="en-US"/>
        </w:rPr>
        <w:t xml:space="preserve"> and </w:t>
      </w:r>
      <w:r w:rsidR="001A1CB2" w:rsidRPr="005B7CAC">
        <w:rPr>
          <w:rFonts w:ascii="Times New Roman" w:hAnsi="Times New Roman"/>
          <w:i/>
          <w:sz w:val="24"/>
          <w:szCs w:val="20"/>
          <w:lang w:val="en-US"/>
        </w:rPr>
        <w:t>GINV</w:t>
      </w:r>
      <w:r w:rsidR="00D40CE1" w:rsidRPr="005B7CAC">
        <w:rPr>
          <w:rFonts w:ascii="Times New Roman" w:hAnsi="Times New Roman"/>
          <w:i/>
          <w:sz w:val="24"/>
          <w:szCs w:val="20"/>
          <w:lang w:val="en-US"/>
        </w:rPr>
        <w:t>s</w:t>
      </w:r>
      <w:r w:rsidR="004B1A2D" w:rsidRPr="005B7CAC">
        <w:rPr>
          <w:rFonts w:ascii="Times New Roman" w:hAnsi="Times New Roman"/>
          <w:iCs/>
          <w:sz w:val="24"/>
          <w:szCs w:val="20"/>
          <w:lang w:val="en-US"/>
        </w:rPr>
        <w:t xml:space="preserve"> in the UK to</w:t>
      </w:r>
      <w:r w:rsidR="00EF34BA" w:rsidRPr="005B7CAC">
        <w:rPr>
          <w:rFonts w:ascii="Times New Roman" w:hAnsi="Times New Roman"/>
          <w:iCs/>
          <w:sz w:val="24"/>
          <w:szCs w:val="20"/>
          <w:lang w:val="en-US"/>
        </w:rPr>
        <w:t xml:space="preserve"> inform and assist regulators and policymakers on these </w:t>
      </w:r>
      <w:r w:rsidR="001A4AAF" w:rsidRPr="005B7CAC">
        <w:rPr>
          <w:rFonts w:ascii="Times New Roman" w:hAnsi="Times New Roman"/>
          <w:iCs/>
          <w:sz w:val="24"/>
          <w:szCs w:val="20"/>
          <w:lang w:val="en-US"/>
        </w:rPr>
        <w:t>matters</w:t>
      </w:r>
      <w:r w:rsidR="00EF34BA" w:rsidRPr="005B7CAC">
        <w:rPr>
          <w:rFonts w:ascii="Times New Roman" w:hAnsi="Times New Roman"/>
          <w:iCs/>
          <w:sz w:val="24"/>
          <w:szCs w:val="20"/>
          <w:lang w:val="en-US"/>
        </w:rPr>
        <w:t>.</w:t>
      </w:r>
      <w:r w:rsidR="00F52887" w:rsidRPr="005B7CAC">
        <w:rPr>
          <w:rFonts w:ascii="Times New Roman" w:hAnsi="Times New Roman"/>
          <w:iCs/>
          <w:sz w:val="24"/>
          <w:szCs w:val="20"/>
          <w:lang w:val="en-US"/>
        </w:rPr>
        <w:t xml:space="preserve"> </w:t>
      </w:r>
      <w:r w:rsidR="00EF3AC5" w:rsidRPr="005B7CAC">
        <w:rPr>
          <w:rFonts w:ascii="Times New Roman" w:hAnsi="Times New Roman"/>
          <w:iCs/>
          <w:sz w:val="24"/>
          <w:szCs w:val="20"/>
          <w:lang w:val="en-US"/>
        </w:rPr>
        <w:t>Second,</w:t>
      </w:r>
      <w:r w:rsidR="00316312" w:rsidRPr="005B7CAC">
        <w:rPr>
          <w:rFonts w:ascii="Times New Roman" w:hAnsi="Times New Roman"/>
          <w:iCs/>
          <w:sz w:val="24"/>
          <w:szCs w:val="20"/>
          <w:lang w:val="en-US"/>
        </w:rPr>
        <w:t xml:space="preserve"> the market participants have witnessed a rising number of UK firms </w:t>
      </w:r>
      <w:r w:rsidR="00504091" w:rsidRPr="005B7CAC">
        <w:rPr>
          <w:rFonts w:ascii="Times New Roman" w:hAnsi="Times New Roman"/>
          <w:iCs/>
          <w:sz w:val="24"/>
          <w:szCs w:val="20"/>
          <w:lang w:val="en-US"/>
        </w:rPr>
        <w:t xml:space="preserve">facing </w:t>
      </w:r>
      <w:r w:rsidR="00316312" w:rsidRPr="005B7CAC">
        <w:rPr>
          <w:rFonts w:ascii="Times New Roman" w:hAnsi="Times New Roman"/>
          <w:iCs/>
          <w:sz w:val="24"/>
          <w:szCs w:val="20"/>
          <w:lang w:val="en-US"/>
        </w:rPr>
        <w:t xml:space="preserve">financial distress issues in recent years. </w:t>
      </w:r>
      <w:r w:rsidR="00412D3D" w:rsidRPr="005B7CAC">
        <w:rPr>
          <w:rFonts w:ascii="Times New Roman" w:hAnsi="Times New Roman"/>
          <w:iCs/>
          <w:sz w:val="24"/>
          <w:szCs w:val="20"/>
          <w:lang w:val="en-US"/>
        </w:rPr>
        <w:t>For example, Wilko, one of the largest UK retailers</w:t>
      </w:r>
      <w:r w:rsidR="00683DA3" w:rsidRPr="005B7CAC">
        <w:rPr>
          <w:rFonts w:ascii="Times New Roman" w:hAnsi="Times New Roman"/>
          <w:iCs/>
          <w:sz w:val="24"/>
          <w:szCs w:val="20"/>
          <w:lang w:val="en-US"/>
        </w:rPr>
        <w:t>, went into administration in August 2023 due to insolvency issues, shocking the market</w:t>
      </w:r>
      <w:r w:rsidR="00504091" w:rsidRPr="005B7CAC">
        <w:rPr>
          <w:rFonts w:ascii="Times New Roman" w:hAnsi="Times New Roman"/>
          <w:iCs/>
          <w:sz w:val="24"/>
          <w:szCs w:val="20"/>
          <w:lang w:val="en-US"/>
        </w:rPr>
        <w:t xml:space="preserve">. </w:t>
      </w:r>
      <w:r w:rsidR="001A43BD" w:rsidRPr="005B7CAC">
        <w:rPr>
          <w:rFonts w:ascii="Times New Roman" w:hAnsi="Times New Roman"/>
          <w:iCs/>
          <w:sz w:val="24"/>
          <w:szCs w:val="20"/>
          <w:lang w:val="en-US"/>
        </w:rPr>
        <w:t xml:space="preserve">This supports the notion that </w:t>
      </w:r>
      <w:r w:rsidR="003F3C76" w:rsidRPr="005B7CAC">
        <w:rPr>
          <w:rFonts w:ascii="Times New Roman" w:hAnsi="Times New Roman"/>
          <w:iCs/>
          <w:sz w:val="24"/>
          <w:szCs w:val="20"/>
          <w:lang w:val="en-US"/>
        </w:rPr>
        <w:t xml:space="preserve">corporate </w:t>
      </w:r>
      <w:r w:rsidR="001A43BD" w:rsidRPr="005B7CAC">
        <w:rPr>
          <w:rFonts w:ascii="Times New Roman" w:hAnsi="Times New Roman"/>
          <w:i/>
          <w:sz w:val="24"/>
          <w:szCs w:val="20"/>
          <w:lang w:val="en-US"/>
        </w:rPr>
        <w:t>FD</w:t>
      </w:r>
      <w:r w:rsidR="001A43BD" w:rsidRPr="005B7CAC">
        <w:rPr>
          <w:rFonts w:ascii="Times New Roman" w:hAnsi="Times New Roman"/>
          <w:iCs/>
          <w:sz w:val="24"/>
          <w:szCs w:val="20"/>
          <w:lang w:val="en-US"/>
        </w:rPr>
        <w:t xml:space="preserve"> has become a global issue, adversely affecting not only emerging economies but also developed nations </w:t>
      </w:r>
      <w:r w:rsidR="003D2A49" w:rsidRPr="005B7CAC">
        <w:rPr>
          <w:rFonts w:ascii="Times New Roman" w:hAnsi="Times New Roman"/>
          <w:iCs/>
          <w:sz w:val="24"/>
          <w:szCs w:val="20"/>
          <w:lang w:val="en-US"/>
        </w:rPr>
        <w:fldChar w:fldCharType="begin" w:fldLock="1"/>
      </w:r>
      <w:r w:rsidR="003F3B50" w:rsidRPr="005B7CAC">
        <w:rPr>
          <w:rFonts w:ascii="Times New Roman" w:hAnsi="Times New Roman"/>
          <w:iCs/>
          <w:sz w:val="24"/>
          <w:szCs w:val="20"/>
          <w:lang w:val="en-US"/>
        </w:rPr>
        <w:instrText>ADDIN CSL_CITATION {"citationItems":[{"id":"ITEM-1","itemData":{"DOI":"10.1108/CG-02-2022-0069","ISSN":"14720701","abstract":"Purpose: This study aims to investigate the possible implications of compliance with corporate governance (CG) provisions, including board composition and ownership structures, on the firm’s likelihood of falling into financial distress. Design/methodology/approach: The study applies a random-effects logistic regression model as a baseline analysis using a sample of 110 FTSE 350 manufacturing companies from 2014 to 2019. This technique is supported by conducting a two-stage Heckman regression model to overcome the potential existence of endogeneity problems. Findings: The empirical evidence suggests that board composition and ownership structure are heterogeneously associated with financial distress probabilities in that they might have either reduced or increased the financial distress of the sampled firms. Specifically, board independence, board gender diversity, audit committee independence and institutional ownership negatively influence the likelihood of financial distress. In contrast, and consistent with the expectations, ownership concentration is positively attributed to financial distress, while the board size, audit committee size and managerial ownership have insignificant impacts on financial distress. Originality/value: The study extends the existing body of knowledge by examining the collective effect of board characteristics and ownership structures on firms’ financial distress likelihood among a sample of manufacturing firms within the FTSE 350 index post the 2008 global financial crisis and following the recent CG reforms in the UK during the study period from 2014 to 2019.","author":[{"dropping-particle":"","family":"Gerged","given":"Ali Meftah","non-dropping-particle":"","parse-names":false,"suffix":""},{"dropping-particle":"","family":"Yao","given":"Shaojie","non-dropping-particle":"","parse-names":false,"suffix":""},{"dropping-particle":"","family":"Albitar","given":"Khaldoon","non-dropping-particle":"","parse-names":false,"suffix":""}],"container-title":"Corporate Governance: The international journal of business in society","id":"ITEM-1","issue":"3","issued":{"date-parts":[["2023"]]},"page":"628-649","title":"Board composition, ownership structure and financial distress: insights from UK FTSE 350","type":"article-journal","volume":"23"},"uris":["http://www.mendeley.com/documents/?uuid=d920d754-d3b1-316c-9998-aa7f27f65266"]}],"mendeley":{"formattedCitation":"(Gerged &lt;i&gt;et al.&lt;/i&gt;, 2023)","plainTextFormattedCitation":"(Gerged et al., 2023)","previouslyFormattedCitation":"(Gerged &lt;i&gt;et al.&lt;/i&gt;, 2023)"},"properties":{"noteIndex":0},"schema":"https://github.com/citation-style-language/schema/raw/master/csl-citation.json"}</w:instrText>
      </w:r>
      <w:r w:rsidR="003D2A49" w:rsidRPr="005B7CAC">
        <w:rPr>
          <w:rFonts w:ascii="Times New Roman" w:hAnsi="Times New Roman"/>
          <w:iCs/>
          <w:sz w:val="24"/>
          <w:szCs w:val="20"/>
          <w:lang w:val="en-US"/>
        </w:rPr>
        <w:fldChar w:fldCharType="separate"/>
      </w:r>
      <w:r w:rsidR="001A43BD" w:rsidRPr="005B7CAC">
        <w:rPr>
          <w:rFonts w:ascii="Times New Roman" w:hAnsi="Times New Roman"/>
          <w:iCs/>
          <w:noProof/>
          <w:sz w:val="24"/>
          <w:szCs w:val="20"/>
          <w:lang w:val="en-US"/>
        </w:rPr>
        <w:t xml:space="preserve">(Gerged </w:t>
      </w:r>
      <w:r w:rsidR="001A43BD" w:rsidRPr="005B7CAC">
        <w:rPr>
          <w:rFonts w:ascii="Times New Roman" w:hAnsi="Times New Roman"/>
          <w:i/>
          <w:iCs/>
          <w:noProof/>
          <w:sz w:val="24"/>
          <w:szCs w:val="20"/>
          <w:lang w:val="en-US"/>
        </w:rPr>
        <w:t>et al.</w:t>
      </w:r>
      <w:r w:rsidR="001A43BD" w:rsidRPr="005B7CAC">
        <w:rPr>
          <w:rFonts w:ascii="Times New Roman" w:hAnsi="Times New Roman"/>
          <w:iCs/>
          <w:noProof/>
          <w:sz w:val="24"/>
          <w:szCs w:val="20"/>
          <w:lang w:val="en-US"/>
        </w:rPr>
        <w:t>, 2023)</w:t>
      </w:r>
      <w:r w:rsidR="003D2A49" w:rsidRPr="005B7CAC">
        <w:rPr>
          <w:rFonts w:ascii="Times New Roman" w:hAnsi="Times New Roman"/>
          <w:iCs/>
          <w:sz w:val="24"/>
          <w:szCs w:val="20"/>
          <w:lang w:val="en-US"/>
        </w:rPr>
        <w:fldChar w:fldCharType="end"/>
      </w:r>
      <w:r w:rsidR="001A43BD" w:rsidRPr="005B7CAC">
        <w:rPr>
          <w:rFonts w:ascii="Times New Roman" w:hAnsi="Times New Roman"/>
          <w:iCs/>
          <w:sz w:val="24"/>
          <w:szCs w:val="20"/>
          <w:lang w:val="en-US"/>
        </w:rPr>
        <w:t>.</w:t>
      </w:r>
      <w:r w:rsidR="00504091" w:rsidRPr="005B7CAC">
        <w:rPr>
          <w:rFonts w:ascii="Times New Roman" w:hAnsi="Times New Roman"/>
          <w:iCs/>
          <w:sz w:val="24"/>
          <w:szCs w:val="20"/>
          <w:lang w:val="en-US"/>
        </w:rPr>
        <w:t xml:space="preserve"> </w:t>
      </w:r>
    </w:p>
    <w:p w14:paraId="672047B8" w14:textId="769EFAD0" w:rsidR="00613491" w:rsidRPr="005B7CAC" w:rsidRDefault="00A02F3B" w:rsidP="003D5418">
      <w:pPr>
        <w:widowControl w:val="0"/>
        <w:autoSpaceDE w:val="0"/>
        <w:autoSpaceDN w:val="0"/>
        <w:adjustRightInd w:val="0"/>
        <w:spacing w:after="240" w:line="360" w:lineRule="auto"/>
        <w:jc w:val="both"/>
        <w:rPr>
          <w:rFonts w:ascii="Times New Roman" w:hAnsi="Times New Roman"/>
          <w:bCs/>
          <w:iCs/>
          <w:sz w:val="24"/>
          <w:szCs w:val="20"/>
          <w:lang w:val="en-US"/>
        </w:rPr>
      </w:pPr>
      <w:r w:rsidRPr="005B7CAC">
        <w:rPr>
          <w:rFonts w:ascii="Times New Roman" w:hAnsi="Times New Roman"/>
          <w:iCs/>
          <w:sz w:val="24"/>
          <w:szCs w:val="20"/>
          <w:lang w:val="en-US"/>
        </w:rPr>
        <w:t xml:space="preserve">Consequently, using a sample of </w:t>
      </w:r>
      <w:r w:rsidR="00613491" w:rsidRPr="005B7CAC">
        <w:rPr>
          <w:rFonts w:ascii="Times New Roman" w:hAnsi="Times New Roman"/>
          <w:iCs/>
          <w:sz w:val="24"/>
          <w:szCs w:val="20"/>
          <w:lang w:val="en-US"/>
        </w:rPr>
        <w:t>1,6</w:t>
      </w:r>
      <w:r w:rsidR="00C05136" w:rsidRPr="005B7CAC">
        <w:rPr>
          <w:rFonts w:ascii="Times New Roman" w:hAnsi="Times New Roman"/>
          <w:iCs/>
          <w:sz w:val="24"/>
          <w:szCs w:val="20"/>
          <w:lang w:val="en-US"/>
        </w:rPr>
        <w:t>6</w:t>
      </w:r>
      <w:r w:rsidR="00613491" w:rsidRPr="005B7CAC">
        <w:rPr>
          <w:rFonts w:ascii="Times New Roman" w:hAnsi="Times New Roman"/>
          <w:iCs/>
          <w:sz w:val="24"/>
          <w:szCs w:val="20"/>
          <w:lang w:val="en-US"/>
        </w:rPr>
        <w:t xml:space="preserve">7 firm-years from UK firms from 2002 to 2021, this study explores the </w:t>
      </w:r>
      <w:r w:rsidR="00B949AC" w:rsidRPr="005B7CAC">
        <w:rPr>
          <w:rFonts w:ascii="Times New Roman" w:hAnsi="Times New Roman"/>
          <w:iCs/>
          <w:sz w:val="24"/>
          <w:szCs w:val="20"/>
          <w:lang w:val="en-US"/>
        </w:rPr>
        <w:t xml:space="preserve">effects </w:t>
      </w:r>
      <w:r w:rsidR="000F6471" w:rsidRPr="005B7CAC">
        <w:rPr>
          <w:rFonts w:ascii="Times New Roman" w:hAnsi="Times New Roman"/>
          <w:iCs/>
          <w:sz w:val="24"/>
          <w:szCs w:val="20"/>
          <w:lang w:val="en-US"/>
        </w:rPr>
        <w:t xml:space="preserve">of </w:t>
      </w:r>
      <w:r w:rsidR="00613491" w:rsidRPr="005B7CAC">
        <w:rPr>
          <w:rFonts w:ascii="Times New Roman" w:hAnsi="Times New Roman"/>
          <w:i/>
          <w:sz w:val="24"/>
          <w:szCs w:val="20"/>
          <w:lang w:val="en-US"/>
        </w:rPr>
        <w:t>WM</w:t>
      </w:r>
      <w:r w:rsidR="00B949AC" w:rsidRPr="005B7CAC">
        <w:rPr>
          <w:rFonts w:ascii="Times New Roman" w:hAnsi="Times New Roman"/>
          <w:iCs/>
          <w:sz w:val="24"/>
          <w:szCs w:val="20"/>
          <w:lang w:val="en-US"/>
        </w:rPr>
        <w:t xml:space="preserve"> practices on </w:t>
      </w:r>
      <w:r w:rsidR="00B949AC" w:rsidRPr="005B7CAC">
        <w:rPr>
          <w:rFonts w:ascii="Times New Roman" w:hAnsi="Times New Roman"/>
          <w:i/>
          <w:sz w:val="24"/>
          <w:szCs w:val="20"/>
          <w:lang w:val="en-US"/>
        </w:rPr>
        <w:t>FD</w:t>
      </w:r>
      <w:r w:rsidR="00B949AC" w:rsidRPr="005B7CAC">
        <w:rPr>
          <w:rFonts w:ascii="Times New Roman" w:hAnsi="Times New Roman"/>
          <w:iCs/>
          <w:sz w:val="24"/>
          <w:szCs w:val="20"/>
          <w:lang w:val="en-US"/>
        </w:rPr>
        <w:t xml:space="preserve"> and tests the moderating role of </w:t>
      </w:r>
      <w:r w:rsidR="001A1CB2" w:rsidRPr="005B7CAC">
        <w:rPr>
          <w:rFonts w:ascii="Times New Roman" w:hAnsi="Times New Roman"/>
          <w:i/>
          <w:sz w:val="24"/>
          <w:szCs w:val="20"/>
          <w:lang w:val="en-US"/>
        </w:rPr>
        <w:t>GINV</w:t>
      </w:r>
      <w:r w:rsidR="00D40CE1" w:rsidRPr="005B7CAC">
        <w:rPr>
          <w:rFonts w:ascii="Times New Roman" w:hAnsi="Times New Roman"/>
          <w:i/>
          <w:sz w:val="24"/>
          <w:szCs w:val="20"/>
          <w:lang w:val="en-US"/>
        </w:rPr>
        <w:t>s</w:t>
      </w:r>
      <w:r w:rsidR="00B949AC" w:rsidRPr="005B7CAC">
        <w:rPr>
          <w:rFonts w:ascii="Times New Roman" w:hAnsi="Times New Roman"/>
          <w:iCs/>
          <w:sz w:val="24"/>
          <w:szCs w:val="20"/>
          <w:lang w:val="en-US"/>
        </w:rPr>
        <w:t xml:space="preserve"> </w:t>
      </w:r>
      <w:r w:rsidR="00613491" w:rsidRPr="005B7CAC">
        <w:rPr>
          <w:rFonts w:ascii="Times New Roman" w:hAnsi="Times New Roman"/>
          <w:iCs/>
          <w:sz w:val="24"/>
          <w:szCs w:val="20"/>
          <w:lang w:val="en-US"/>
        </w:rPr>
        <w:t>from the stakeholder theory perspective. The results s</w:t>
      </w:r>
      <w:r w:rsidR="00236D2F" w:rsidRPr="005B7CAC">
        <w:rPr>
          <w:rFonts w:ascii="Times New Roman" w:hAnsi="Times New Roman"/>
          <w:iCs/>
          <w:sz w:val="24"/>
          <w:szCs w:val="20"/>
          <w:lang w:val="en-US"/>
        </w:rPr>
        <w:t>uggest</w:t>
      </w:r>
      <w:r w:rsidR="00613491" w:rsidRPr="005B7CAC">
        <w:rPr>
          <w:rFonts w:ascii="Times New Roman" w:hAnsi="Times New Roman"/>
          <w:iCs/>
          <w:sz w:val="24"/>
          <w:szCs w:val="20"/>
          <w:lang w:val="en-US"/>
        </w:rPr>
        <w:t xml:space="preserve"> that </w:t>
      </w:r>
      <w:r w:rsidR="00883798" w:rsidRPr="005B7CAC">
        <w:rPr>
          <w:rFonts w:ascii="Times New Roman" w:hAnsi="Times New Roman"/>
          <w:bCs/>
          <w:iCs/>
          <w:sz w:val="24"/>
          <w:szCs w:val="20"/>
          <w:lang w:val="en-US"/>
        </w:rPr>
        <w:t xml:space="preserve">effective </w:t>
      </w:r>
      <w:r w:rsidR="00883798" w:rsidRPr="005B7CAC">
        <w:rPr>
          <w:rFonts w:ascii="Times New Roman" w:hAnsi="Times New Roman"/>
          <w:bCs/>
          <w:i/>
          <w:sz w:val="24"/>
          <w:szCs w:val="20"/>
          <w:lang w:val="en-US"/>
        </w:rPr>
        <w:t>WM</w:t>
      </w:r>
      <w:r w:rsidR="00883798" w:rsidRPr="005B7CAC">
        <w:rPr>
          <w:rFonts w:ascii="Times New Roman" w:hAnsi="Times New Roman"/>
          <w:bCs/>
          <w:iCs/>
          <w:sz w:val="24"/>
          <w:szCs w:val="20"/>
          <w:lang w:val="en-US"/>
        </w:rPr>
        <w:t xml:space="preserve"> practices in the form of reduced waste generat</w:t>
      </w:r>
      <w:r w:rsidR="00C839AF" w:rsidRPr="005B7CAC">
        <w:rPr>
          <w:rFonts w:ascii="Times New Roman" w:hAnsi="Times New Roman"/>
          <w:bCs/>
          <w:iCs/>
          <w:sz w:val="24"/>
          <w:szCs w:val="20"/>
          <w:lang w:val="en-US"/>
        </w:rPr>
        <w:t>ion</w:t>
      </w:r>
      <w:r w:rsidR="00883798" w:rsidRPr="005B7CAC">
        <w:rPr>
          <w:rFonts w:ascii="Times New Roman" w:hAnsi="Times New Roman"/>
          <w:bCs/>
          <w:iCs/>
          <w:sz w:val="24"/>
          <w:szCs w:val="20"/>
          <w:lang w:val="en-US"/>
        </w:rPr>
        <w:t xml:space="preserve"> and increased waste recycl</w:t>
      </w:r>
      <w:r w:rsidR="00C839AF" w:rsidRPr="005B7CAC">
        <w:rPr>
          <w:rFonts w:ascii="Times New Roman" w:hAnsi="Times New Roman"/>
          <w:bCs/>
          <w:iCs/>
          <w:sz w:val="24"/>
          <w:szCs w:val="20"/>
          <w:lang w:val="en-US"/>
        </w:rPr>
        <w:t>ing</w:t>
      </w:r>
      <w:r w:rsidR="00883798" w:rsidRPr="005B7CAC">
        <w:rPr>
          <w:rFonts w:ascii="Times New Roman" w:hAnsi="Times New Roman"/>
          <w:bCs/>
          <w:iCs/>
          <w:sz w:val="24"/>
          <w:szCs w:val="20"/>
          <w:lang w:val="en-US"/>
        </w:rPr>
        <w:t xml:space="preserve"> lead to </w:t>
      </w:r>
      <w:r w:rsidR="00613491" w:rsidRPr="005B7CAC">
        <w:rPr>
          <w:rFonts w:ascii="Times New Roman" w:hAnsi="Times New Roman"/>
          <w:bCs/>
          <w:iCs/>
          <w:sz w:val="24"/>
          <w:szCs w:val="20"/>
          <w:lang w:val="en-US"/>
        </w:rPr>
        <w:t xml:space="preserve">lower </w:t>
      </w:r>
      <w:r w:rsidR="00613491" w:rsidRPr="005B7CAC">
        <w:rPr>
          <w:rFonts w:ascii="Times New Roman" w:hAnsi="Times New Roman"/>
          <w:bCs/>
          <w:i/>
          <w:sz w:val="24"/>
          <w:szCs w:val="20"/>
          <w:lang w:val="en-US"/>
        </w:rPr>
        <w:t>FD</w:t>
      </w:r>
      <w:r w:rsidR="00883798" w:rsidRPr="005B7CAC">
        <w:rPr>
          <w:rFonts w:ascii="Times New Roman" w:hAnsi="Times New Roman"/>
          <w:bCs/>
          <w:iCs/>
          <w:sz w:val="24"/>
          <w:szCs w:val="20"/>
          <w:lang w:val="en-US"/>
        </w:rPr>
        <w:t xml:space="preserve"> risks</w:t>
      </w:r>
      <w:r w:rsidR="00236D2F" w:rsidRPr="005B7CAC">
        <w:rPr>
          <w:rFonts w:ascii="Times New Roman" w:hAnsi="Times New Roman"/>
          <w:bCs/>
          <w:iCs/>
          <w:sz w:val="24"/>
          <w:szCs w:val="20"/>
          <w:lang w:val="en-US"/>
        </w:rPr>
        <w:t>, thus supporting the stakeholder viewpoint</w:t>
      </w:r>
      <w:r w:rsidR="00613491" w:rsidRPr="005B7CAC">
        <w:rPr>
          <w:rFonts w:ascii="Times New Roman" w:hAnsi="Times New Roman"/>
          <w:bCs/>
          <w:iCs/>
          <w:sz w:val="24"/>
          <w:szCs w:val="20"/>
          <w:lang w:val="en-US"/>
        </w:rPr>
        <w:t>.</w:t>
      </w:r>
      <w:r w:rsidR="00236D2F" w:rsidRPr="005B7CAC">
        <w:rPr>
          <w:rFonts w:ascii="Times New Roman" w:hAnsi="Times New Roman"/>
          <w:bCs/>
          <w:iCs/>
          <w:sz w:val="24"/>
          <w:szCs w:val="20"/>
          <w:lang w:val="en-US"/>
        </w:rPr>
        <w:t xml:space="preserve"> Further, the moderation analysis show</w:t>
      </w:r>
      <w:r w:rsidR="00EF46D5" w:rsidRPr="005B7CAC">
        <w:rPr>
          <w:rFonts w:ascii="Times New Roman" w:hAnsi="Times New Roman"/>
          <w:bCs/>
          <w:iCs/>
          <w:sz w:val="24"/>
          <w:szCs w:val="20"/>
          <w:lang w:val="en-US"/>
        </w:rPr>
        <w:t>s</w:t>
      </w:r>
      <w:r w:rsidR="00236D2F" w:rsidRPr="005B7CAC">
        <w:rPr>
          <w:rFonts w:ascii="Times New Roman" w:hAnsi="Times New Roman"/>
          <w:bCs/>
          <w:iCs/>
          <w:sz w:val="24"/>
          <w:szCs w:val="20"/>
          <w:lang w:val="en-US"/>
        </w:rPr>
        <w:t xml:space="preserve"> that</w:t>
      </w:r>
      <w:r w:rsidR="00EF46D5" w:rsidRPr="005B7CAC">
        <w:rPr>
          <w:rFonts w:ascii="Times New Roman" w:hAnsi="Times New Roman"/>
          <w:bCs/>
          <w:iCs/>
          <w:sz w:val="24"/>
          <w:szCs w:val="20"/>
          <w:lang w:val="en-US"/>
        </w:rPr>
        <w:t xml:space="preserve"> improved </w:t>
      </w:r>
      <w:r w:rsidR="001A1CB2" w:rsidRPr="005B7CAC">
        <w:rPr>
          <w:rFonts w:ascii="Times New Roman" w:hAnsi="Times New Roman"/>
          <w:bCs/>
          <w:i/>
          <w:sz w:val="24"/>
          <w:szCs w:val="20"/>
          <w:lang w:val="en-US"/>
        </w:rPr>
        <w:t>GINV</w:t>
      </w:r>
      <w:r w:rsidR="00D40CE1" w:rsidRPr="005B7CAC">
        <w:rPr>
          <w:rFonts w:ascii="Times New Roman" w:hAnsi="Times New Roman"/>
          <w:bCs/>
          <w:i/>
          <w:sz w:val="24"/>
          <w:szCs w:val="20"/>
          <w:lang w:val="en-US"/>
        </w:rPr>
        <w:t>s</w:t>
      </w:r>
      <w:r w:rsidR="00EF46D5" w:rsidRPr="005B7CAC">
        <w:rPr>
          <w:rFonts w:ascii="Times New Roman" w:hAnsi="Times New Roman"/>
          <w:bCs/>
          <w:iCs/>
          <w:sz w:val="24"/>
          <w:szCs w:val="20"/>
          <w:lang w:val="en-US"/>
        </w:rPr>
        <w:t xml:space="preserve"> weaken</w:t>
      </w:r>
      <w:r w:rsidR="00762837" w:rsidRPr="005B7CAC">
        <w:rPr>
          <w:rFonts w:ascii="Times New Roman" w:hAnsi="Times New Roman"/>
          <w:bCs/>
          <w:iCs/>
          <w:sz w:val="24"/>
          <w:szCs w:val="20"/>
          <w:lang w:val="en-US"/>
        </w:rPr>
        <w:t xml:space="preserve"> </w:t>
      </w:r>
      <w:r w:rsidR="00EF46D5" w:rsidRPr="005B7CAC">
        <w:rPr>
          <w:rFonts w:ascii="Times New Roman" w:hAnsi="Times New Roman"/>
          <w:bCs/>
          <w:iCs/>
          <w:sz w:val="24"/>
          <w:szCs w:val="20"/>
          <w:lang w:val="en-US"/>
        </w:rPr>
        <w:t xml:space="preserve">the adverse financial effects of waste generation, thus highlighting the importance of corporate green initiatives/strategies in </w:t>
      </w:r>
      <w:r w:rsidR="00B949AC" w:rsidRPr="005B7CAC">
        <w:rPr>
          <w:rFonts w:ascii="Times New Roman" w:hAnsi="Times New Roman"/>
          <w:bCs/>
          <w:iCs/>
          <w:sz w:val="24"/>
          <w:szCs w:val="20"/>
          <w:lang w:val="en-US"/>
        </w:rPr>
        <w:t xml:space="preserve">shaping </w:t>
      </w:r>
      <w:r w:rsidR="00EF46D5" w:rsidRPr="005B7CAC">
        <w:rPr>
          <w:rFonts w:ascii="Times New Roman" w:hAnsi="Times New Roman"/>
          <w:bCs/>
          <w:iCs/>
          <w:sz w:val="24"/>
          <w:szCs w:val="20"/>
          <w:lang w:val="en-US"/>
        </w:rPr>
        <w:t xml:space="preserve">environmental and financial sustainability. Finally, the results show that while both waste recycling and </w:t>
      </w:r>
      <w:r w:rsidR="001A1CB2" w:rsidRPr="005B7CAC">
        <w:rPr>
          <w:rFonts w:ascii="Times New Roman" w:hAnsi="Times New Roman"/>
          <w:bCs/>
          <w:i/>
          <w:sz w:val="24"/>
          <w:szCs w:val="20"/>
          <w:lang w:val="en-US"/>
        </w:rPr>
        <w:t>GINV</w:t>
      </w:r>
      <w:r w:rsidR="00D40CE1" w:rsidRPr="005B7CAC">
        <w:rPr>
          <w:rFonts w:ascii="Times New Roman" w:hAnsi="Times New Roman"/>
          <w:bCs/>
          <w:i/>
          <w:sz w:val="24"/>
          <w:szCs w:val="20"/>
          <w:lang w:val="en-US"/>
        </w:rPr>
        <w:t>s</w:t>
      </w:r>
      <w:r w:rsidR="00EF46D5" w:rsidRPr="005B7CAC">
        <w:rPr>
          <w:rFonts w:ascii="Times New Roman" w:hAnsi="Times New Roman"/>
          <w:bCs/>
          <w:iCs/>
          <w:sz w:val="24"/>
          <w:szCs w:val="20"/>
          <w:lang w:val="en-US"/>
        </w:rPr>
        <w:t xml:space="preserve"> reduce </w:t>
      </w:r>
      <w:r w:rsidR="00EF46D5" w:rsidRPr="005B7CAC">
        <w:rPr>
          <w:rFonts w:ascii="Times New Roman" w:hAnsi="Times New Roman"/>
          <w:bCs/>
          <w:i/>
          <w:sz w:val="24"/>
          <w:szCs w:val="20"/>
          <w:lang w:val="en-US"/>
        </w:rPr>
        <w:t>FD</w:t>
      </w:r>
      <w:r w:rsidR="00EF46D5" w:rsidRPr="005B7CAC">
        <w:rPr>
          <w:rFonts w:ascii="Times New Roman" w:hAnsi="Times New Roman"/>
          <w:bCs/>
          <w:iCs/>
          <w:sz w:val="24"/>
          <w:szCs w:val="20"/>
          <w:lang w:val="en-US"/>
        </w:rPr>
        <w:t xml:space="preserve"> levels, the effect of waste recycling on </w:t>
      </w:r>
      <w:r w:rsidR="00EF46D5" w:rsidRPr="005B7CAC">
        <w:rPr>
          <w:rFonts w:ascii="Times New Roman" w:hAnsi="Times New Roman"/>
          <w:bCs/>
          <w:i/>
          <w:sz w:val="24"/>
          <w:szCs w:val="20"/>
          <w:lang w:val="en-US"/>
        </w:rPr>
        <w:t>FD</w:t>
      </w:r>
      <w:r w:rsidR="00EF46D5" w:rsidRPr="005B7CAC">
        <w:rPr>
          <w:rFonts w:ascii="Times New Roman" w:hAnsi="Times New Roman"/>
          <w:bCs/>
          <w:iCs/>
          <w:sz w:val="24"/>
          <w:szCs w:val="20"/>
          <w:lang w:val="en-US"/>
        </w:rPr>
        <w:t xml:space="preserve"> is reduced when corporate engagement in </w:t>
      </w:r>
      <w:r w:rsidR="001A1CB2" w:rsidRPr="005B7CAC">
        <w:rPr>
          <w:rFonts w:ascii="Times New Roman" w:hAnsi="Times New Roman"/>
          <w:bCs/>
          <w:i/>
          <w:sz w:val="24"/>
          <w:szCs w:val="20"/>
          <w:lang w:val="en-US"/>
        </w:rPr>
        <w:t>GINV</w:t>
      </w:r>
      <w:r w:rsidR="00D40CE1" w:rsidRPr="005B7CAC">
        <w:rPr>
          <w:rFonts w:ascii="Times New Roman" w:hAnsi="Times New Roman"/>
          <w:bCs/>
          <w:i/>
          <w:sz w:val="24"/>
          <w:szCs w:val="20"/>
          <w:lang w:val="en-US"/>
        </w:rPr>
        <w:t>s</w:t>
      </w:r>
      <w:r w:rsidR="00EF46D5" w:rsidRPr="005B7CAC">
        <w:rPr>
          <w:rFonts w:ascii="Times New Roman" w:hAnsi="Times New Roman"/>
          <w:bCs/>
          <w:iCs/>
          <w:sz w:val="24"/>
          <w:szCs w:val="20"/>
          <w:lang w:val="en-US"/>
        </w:rPr>
        <w:t xml:space="preserve"> increases. This evidence suggests that both operational </w:t>
      </w:r>
      <w:r w:rsidR="00E22A47" w:rsidRPr="005B7CAC">
        <w:rPr>
          <w:rFonts w:ascii="Times New Roman" w:hAnsi="Times New Roman"/>
          <w:bCs/>
          <w:iCs/>
          <w:sz w:val="24"/>
          <w:szCs w:val="20"/>
          <w:lang w:val="en-US"/>
        </w:rPr>
        <w:t>waste recycling</w:t>
      </w:r>
      <w:r w:rsidR="009A14C6" w:rsidRPr="005B7CAC">
        <w:rPr>
          <w:rFonts w:ascii="Times New Roman" w:hAnsi="Times New Roman"/>
          <w:bCs/>
          <w:iCs/>
          <w:sz w:val="24"/>
          <w:szCs w:val="20"/>
          <w:lang w:val="en-US"/>
        </w:rPr>
        <w:t xml:space="preserve"> </w:t>
      </w:r>
      <w:r w:rsidR="00EF46D5" w:rsidRPr="005B7CAC">
        <w:rPr>
          <w:rFonts w:ascii="Times New Roman" w:hAnsi="Times New Roman"/>
          <w:bCs/>
          <w:iCs/>
          <w:sz w:val="24"/>
          <w:szCs w:val="20"/>
          <w:lang w:val="en-US"/>
        </w:rPr>
        <w:t xml:space="preserve">and strategic </w:t>
      </w:r>
      <w:r w:rsidR="001A1CB2" w:rsidRPr="005B7CAC">
        <w:rPr>
          <w:rFonts w:ascii="Times New Roman" w:hAnsi="Times New Roman"/>
          <w:bCs/>
          <w:i/>
          <w:sz w:val="24"/>
          <w:szCs w:val="20"/>
          <w:lang w:val="en-US"/>
        </w:rPr>
        <w:t>GINV</w:t>
      </w:r>
      <w:r w:rsidR="00D40CE1" w:rsidRPr="005B7CAC">
        <w:rPr>
          <w:rFonts w:ascii="Times New Roman" w:hAnsi="Times New Roman"/>
          <w:bCs/>
          <w:i/>
          <w:sz w:val="24"/>
          <w:szCs w:val="20"/>
          <w:lang w:val="en-US"/>
        </w:rPr>
        <w:t>s</w:t>
      </w:r>
      <w:r w:rsidR="009A14C6" w:rsidRPr="005B7CAC">
        <w:rPr>
          <w:rFonts w:ascii="Times New Roman" w:hAnsi="Times New Roman"/>
          <w:bCs/>
          <w:iCs/>
          <w:sz w:val="24"/>
          <w:szCs w:val="20"/>
          <w:lang w:val="en-US"/>
        </w:rPr>
        <w:t xml:space="preserve"> </w:t>
      </w:r>
      <w:r w:rsidR="00B949AC" w:rsidRPr="005B7CAC">
        <w:rPr>
          <w:rFonts w:ascii="Times New Roman" w:hAnsi="Times New Roman"/>
          <w:bCs/>
          <w:iCs/>
          <w:sz w:val="24"/>
          <w:szCs w:val="20"/>
          <w:lang w:val="en-US"/>
        </w:rPr>
        <w:t xml:space="preserve">are equally important </w:t>
      </w:r>
      <w:r w:rsidR="009A14C6" w:rsidRPr="005B7CAC">
        <w:rPr>
          <w:rFonts w:ascii="Times New Roman" w:hAnsi="Times New Roman"/>
          <w:bCs/>
          <w:iCs/>
          <w:sz w:val="24"/>
          <w:szCs w:val="20"/>
          <w:lang w:val="en-US"/>
        </w:rPr>
        <w:t xml:space="preserve">in mitigating financial risks </w:t>
      </w:r>
      <w:r w:rsidR="00B949AC" w:rsidRPr="005B7CAC">
        <w:rPr>
          <w:rFonts w:ascii="Times New Roman" w:hAnsi="Times New Roman"/>
          <w:bCs/>
          <w:iCs/>
          <w:sz w:val="24"/>
          <w:szCs w:val="20"/>
          <w:lang w:val="en-US"/>
        </w:rPr>
        <w:t xml:space="preserve">and </w:t>
      </w:r>
      <w:r w:rsidR="00EF46D5" w:rsidRPr="005B7CAC">
        <w:rPr>
          <w:rFonts w:ascii="Times New Roman" w:hAnsi="Times New Roman"/>
          <w:bCs/>
          <w:iCs/>
          <w:sz w:val="24"/>
          <w:szCs w:val="20"/>
          <w:lang w:val="en-US"/>
        </w:rPr>
        <w:t xml:space="preserve">have a substitutive effect on </w:t>
      </w:r>
      <w:r w:rsidR="00EF46D5" w:rsidRPr="005B7CAC">
        <w:rPr>
          <w:rFonts w:ascii="Times New Roman" w:hAnsi="Times New Roman"/>
          <w:bCs/>
          <w:i/>
          <w:sz w:val="24"/>
          <w:szCs w:val="20"/>
          <w:lang w:val="en-US"/>
        </w:rPr>
        <w:t>FD</w:t>
      </w:r>
      <w:r w:rsidR="00946771" w:rsidRPr="005B7CAC">
        <w:rPr>
          <w:rFonts w:ascii="Times New Roman" w:hAnsi="Times New Roman"/>
          <w:bCs/>
          <w:i/>
          <w:sz w:val="24"/>
          <w:szCs w:val="20"/>
          <w:lang w:val="en-US"/>
        </w:rPr>
        <w:t xml:space="preserve"> </w:t>
      </w:r>
      <w:r w:rsidR="00946771" w:rsidRPr="005B7CAC">
        <w:rPr>
          <w:rFonts w:ascii="Times New Roman" w:hAnsi="Times New Roman"/>
          <w:bCs/>
          <w:iCs/>
          <w:sz w:val="24"/>
          <w:szCs w:val="20"/>
          <w:lang w:val="en-US"/>
        </w:rPr>
        <w:t>levels</w:t>
      </w:r>
      <w:r w:rsidR="00EF46D5" w:rsidRPr="005B7CAC">
        <w:rPr>
          <w:rFonts w:ascii="Times New Roman" w:hAnsi="Times New Roman"/>
          <w:bCs/>
          <w:iCs/>
          <w:sz w:val="24"/>
          <w:szCs w:val="20"/>
          <w:lang w:val="en-US"/>
        </w:rPr>
        <w:t>.</w:t>
      </w:r>
      <w:r w:rsidR="00E22A47" w:rsidRPr="005B7CAC">
        <w:rPr>
          <w:rFonts w:ascii="Times New Roman" w:hAnsi="Times New Roman"/>
          <w:bCs/>
          <w:iCs/>
          <w:sz w:val="24"/>
          <w:szCs w:val="20"/>
          <w:lang w:val="en-US"/>
        </w:rPr>
        <w:t xml:space="preserve"> </w:t>
      </w:r>
      <w:r w:rsidR="002E3B02" w:rsidRPr="005B7CAC">
        <w:rPr>
          <w:rFonts w:ascii="Times New Roman" w:hAnsi="Times New Roman"/>
          <w:iCs/>
          <w:sz w:val="24"/>
          <w:szCs w:val="20"/>
          <w:lang w:val="en-US"/>
        </w:rPr>
        <w:t xml:space="preserve">The findings </w:t>
      </w:r>
      <w:r w:rsidR="00D71919" w:rsidRPr="005B7CAC">
        <w:rPr>
          <w:rFonts w:ascii="Times New Roman" w:hAnsi="Times New Roman"/>
          <w:iCs/>
          <w:sz w:val="24"/>
          <w:szCs w:val="20"/>
          <w:lang w:val="en-US"/>
        </w:rPr>
        <w:t xml:space="preserve">remain </w:t>
      </w:r>
      <w:r w:rsidR="002E3B02" w:rsidRPr="005B7CAC">
        <w:rPr>
          <w:rFonts w:ascii="Times New Roman" w:hAnsi="Times New Roman"/>
          <w:iCs/>
          <w:sz w:val="24"/>
          <w:szCs w:val="20"/>
          <w:lang w:val="en-US"/>
        </w:rPr>
        <w:t xml:space="preserve">robust to </w:t>
      </w:r>
      <w:r w:rsidR="00D71919" w:rsidRPr="005B7CAC">
        <w:rPr>
          <w:rFonts w:ascii="Times New Roman" w:hAnsi="Times New Roman"/>
          <w:iCs/>
          <w:sz w:val="24"/>
          <w:szCs w:val="20"/>
          <w:lang w:val="en-US"/>
        </w:rPr>
        <w:t>adopting</w:t>
      </w:r>
      <w:r w:rsidR="002E3B02" w:rsidRPr="005B7CAC">
        <w:rPr>
          <w:rFonts w:ascii="Times New Roman" w:hAnsi="Times New Roman"/>
          <w:iCs/>
          <w:sz w:val="24"/>
          <w:szCs w:val="20"/>
          <w:lang w:val="en-US"/>
        </w:rPr>
        <w:t xml:space="preserve"> alternative measures and</w:t>
      </w:r>
      <w:r w:rsidR="00D71919" w:rsidRPr="005B7CAC">
        <w:rPr>
          <w:rFonts w:ascii="Times New Roman" w:hAnsi="Times New Roman"/>
          <w:iCs/>
          <w:sz w:val="24"/>
          <w:szCs w:val="20"/>
          <w:lang w:val="en-US"/>
        </w:rPr>
        <w:t xml:space="preserve"> performing </w:t>
      </w:r>
      <w:r w:rsidR="002E3B02" w:rsidRPr="005B7CAC">
        <w:rPr>
          <w:rFonts w:ascii="Times New Roman" w:hAnsi="Times New Roman"/>
          <w:iCs/>
          <w:sz w:val="24"/>
          <w:szCs w:val="20"/>
          <w:lang w:val="en-US"/>
        </w:rPr>
        <w:t>the 2SLS and Heckman estimations to control for endogeneity</w:t>
      </w:r>
      <w:r w:rsidR="007C5E06" w:rsidRPr="005B7CAC">
        <w:rPr>
          <w:rFonts w:ascii="Times New Roman" w:hAnsi="Times New Roman"/>
          <w:iCs/>
          <w:sz w:val="24"/>
          <w:szCs w:val="20"/>
          <w:lang w:val="en-US"/>
        </w:rPr>
        <w:t xml:space="preserve"> concerns</w:t>
      </w:r>
      <w:r w:rsidR="002E3B02" w:rsidRPr="005B7CAC">
        <w:rPr>
          <w:rFonts w:ascii="Times New Roman" w:hAnsi="Times New Roman"/>
          <w:iCs/>
          <w:sz w:val="24"/>
          <w:szCs w:val="20"/>
          <w:lang w:val="en-US"/>
        </w:rPr>
        <w:t xml:space="preserve">.  </w:t>
      </w:r>
    </w:p>
    <w:p w14:paraId="5C6C3E93" w14:textId="624FCC34" w:rsidR="00562B3F" w:rsidRPr="005B7CAC" w:rsidRDefault="00C31A75" w:rsidP="003D5418">
      <w:pPr>
        <w:widowControl w:val="0"/>
        <w:autoSpaceDE w:val="0"/>
        <w:autoSpaceDN w:val="0"/>
        <w:adjustRightInd w:val="0"/>
        <w:spacing w:after="240" w:line="360" w:lineRule="auto"/>
        <w:jc w:val="both"/>
        <w:rPr>
          <w:rFonts w:ascii="Times New Roman" w:hAnsi="Times New Roman"/>
          <w:bCs/>
          <w:iCs/>
          <w:sz w:val="24"/>
          <w:szCs w:val="20"/>
          <w:lang w:val="en-US"/>
        </w:rPr>
      </w:pPr>
      <w:r w:rsidRPr="005B7CAC">
        <w:rPr>
          <w:rFonts w:ascii="Times New Roman" w:hAnsi="Times New Roman"/>
          <w:bCs/>
          <w:iCs/>
          <w:sz w:val="24"/>
          <w:szCs w:val="20"/>
          <w:lang w:val="en-US"/>
        </w:rPr>
        <w:t>This work contribut</w:t>
      </w:r>
      <w:r w:rsidR="00BA396E" w:rsidRPr="005B7CAC">
        <w:rPr>
          <w:rFonts w:ascii="Times New Roman" w:hAnsi="Times New Roman"/>
          <w:bCs/>
          <w:iCs/>
          <w:sz w:val="24"/>
          <w:szCs w:val="20"/>
          <w:lang w:val="en-US"/>
        </w:rPr>
        <w:t xml:space="preserve">es </w:t>
      </w:r>
      <w:r w:rsidRPr="005B7CAC">
        <w:rPr>
          <w:rFonts w:ascii="Times New Roman" w:hAnsi="Times New Roman"/>
          <w:bCs/>
          <w:iCs/>
          <w:sz w:val="24"/>
          <w:szCs w:val="20"/>
          <w:lang w:val="en-US"/>
        </w:rPr>
        <w:t xml:space="preserve">to the environmental and </w:t>
      </w:r>
      <w:r w:rsidRPr="005B7CAC">
        <w:rPr>
          <w:rFonts w:ascii="Times New Roman" w:hAnsi="Times New Roman"/>
          <w:bCs/>
          <w:i/>
          <w:sz w:val="24"/>
          <w:szCs w:val="20"/>
          <w:lang w:val="en-US"/>
        </w:rPr>
        <w:t>FD</w:t>
      </w:r>
      <w:r w:rsidRPr="005B7CAC">
        <w:rPr>
          <w:rFonts w:ascii="Times New Roman" w:hAnsi="Times New Roman"/>
          <w:bCs/>
          <w:iCs/>
          <w:sz w:val="24"/>
          <w:szCs w:val="20"/>
          <w:lang w:val="en-US"/>
        </w:rPr>
        <w:t xml:space="preserve"> literature</w:t>
      </w:r>
      <w:r w:rsidR="00BA396E" w:rsidRPr="005B7CAC">
        <w:rPr>
          <w:rFonts w:ascii="Times New Roman" w:hAnsi="Times New Roman"/>
          <w:bCs/>
          <w:iCs/>
          <w:sz w:val="24"/>
          <w:szCs w:val="20"/>
          <w:lang w:val="en-US"/>
        </w:rPr>
        <w:t xml:space="preserve"> in several respects</w:t>
      </w:r>
      <w:r w:rsidRPr="005B7CAC">
        <w:rPr>
          <w:rFonts w:ascii="Times New Roman" w:hAnsi="Times New Roman"/>
          <w:bCs/>
          <w:iCs/>
          <w:sz w:val="24"/>
          <w:szCs w:val="20"/>
          <w:lang w:val="en-US"/>
        </w:rPr>
        <w:t xml:space="preserve">. First, it extends available research </w:t>
      </w:r>
      <w:r w:rsidR="0068126E" w:rsidRPr="005B7CAC">
        <w:rPr>
          <w:rFonts w:ascii="Times New Roman" w:hAnsi="Times New Roman"/>
          <w:bCs/>
          <w:iCs/>
          <w:sz w:val="24"/>
          <w:szCs w:val="20"/>
          <w:lang w:val="en-US"/>
        </w:rPr>
        <w:fldChar w:fldCharType="begin" w:fldLock="1"/>
      </w:r>
      <w:r w:rsidR="00504091" w:rsidRPr="005B7CAC">
        <w:rPr>
          <w:rFonts w:ascii="Times New Roman" w:hAnsi="Times New Roman"/>
          <w:bCs/>
          <w:iCs/>
          <w:sz w:val="24"/>
          <w:szCs w:val="20"/>
          <w:lang w:val="en-US"/>
        </w:rPr>
        <w:instrText>ADDIN CSL_CITATION {"citationItems":[{"id":"ITEM-1","itemData":{"DOI":"10.1016/j.econmod.2020.05.012","ISSN":"02649993","abstract":"This paper examines how corporate social responsibility (CSR) affects the level of financial distress risk (FDR). Using a sample of 1201 US-listed firms during 1991–2012, our results indicate that firms with higher CSR levels have lower FDR, suggesting that a better CSR performance makes firms more creditworthy and have better access to financing, which is rewarded with less financial defaults. This finding is robust to using alternative proxies of FDR, to controlling for potential endogeneity, and is mainly driven by the community, diversity, employee relations, and environmental dimensions of CSR. Moreover, this relationship is more prevalent in firms with strong governance mechanisms and high product market competition. It is also more exacerbated for less distressed firms and during non-crisis periods. Overall, our findings suggest that the adoption of CSR practices comes with less distress and default risks, likely leading to a more attractive corporate environment, better financial stability and more crisis-resilient economies.","author":[{"dropping-particle":"","family":"Boubaker","given":"Sabri","non-dropping-particle":"","parse-names":false,"suffix":""},{"dropping-particle":"","family":"Cellier","given":"Alexis","non-dropping-particle":"","parse-names":false,"suffix":""},{"dropping-particle":"","family":"Manita","given":"Riadh","non-dropping-particle":"","parse-names":false,"suffix":""},{"dropping-particle":"","family":"Saeed","given":"Asif","non-dropping-particle":"","parse-names":false,"suffix":""}],"container-title":"Economic Modelling","id":"ITEM-1","issued":{"date-parts":[["2020"]]},"page":"835-851","title":"Does corporate social responsibility reduce financial distress risk?","type":"article-journal","volume":"91"},"uris":["http://www.mendeley.com/documents/?uuid=70fa69c4-6f8c-4161-8285-efdbb2b9c72e"]},{"id":"ITEM-2","itemData":{"DOI":"10.1002/bse.2229","ISSN":"10990836","abstract":"Abstract This study investigates the effect of environmental performance that is driven by good environmental policies, regulations, and management on firm's financial distress and, consequently, ascertains the extent to which top management teams' (TMTs') characteristics can moderate the environmental performance–financial distress nexus in China using 749 firms over the 2009–2014 period (i.e., generating over 3,000 indi- vidual observations). Our findings are twofold. First, our results indicate that increased environmental performance that is driven by good environmental policies tends to strategically reduce the extent of firm financial distress. Second, this nexus is moder- ated by TMT gender diversity, foreign exposure, and political connection. We inter- pret our findings within neo‐institutional, upper echelons, and risk management theoretical perspectives. The findings are robust to the use of alternative measures of financial distress, estimation techniques, and endogeneity problems.","author":[{"dropping-particle":"","family":"Shahab","given":"Yasir","non-dropping-particle":"","parse-names":false,"suffix":""},{"dropping-particle":"","family":"Ntim","given":"Collins G.","non-dropping-particle":"","parse-names":false,"suffix":""},{"dropping-particle":"","family":"Chengang","given":"Ye","non-dropping-particle":"","parse-names":false,"suffix":""},{"dropping-particle":"","family":"Ullah","given":"Farid","non-dropping-particle":"","parse-names":false,"suffix":""},{"dropping-particle":"","family":"Fosu","given":"Samuel","non-dropping-particle":"","parse-names":false,"suffix":""}],"container-title":"Business Strategy and the Environment","id":"ITEM-2","issue":"8","issued":{"date-parts":[["2018"]]},"page":"1635-1652","title":"Environmental policy, environmental performance, and financial distress in China: Do top management team characteristics matter?","type":"article-journal","volume":"27"},"uris":["http://www.mendeley.com/documents/?uuid=85485e83-878d-35b2-95f0-fd3d227658d2"]},{"id":"ITEM-3","itemData":{"DOI":"10.1108/MD-02-2015-0047","ISSN":"00251747","abstract":"Purpose – The purpose of this paper is to examine whether socially responsible firms behave differently from other firms in terms of financial risk using US-based firms from 1991 to 2012. Design/methodology/approach – The authors used the KLD social performance rating scores as the measure of corporate social responsibility (CSR) performance and obtained an initial sample of 38,158 firm-year observations from 1991 to 2012. The authors obtained the monthly consensus earnings forecast for fiscal year one and the monthly dispersions for these earnings forecasts from I/B/E/S, and the bond spread from DataStream database. Specifically, the authors question whether firms that exhibit CSR obtain market approval to reduce financial risk, thereby providing investors and regulators with more reliable and transparent financial information, as opposed to firms that do not meet the same criteria. Findings – The authors find that social responsible firms usually perform better in terms of their credit ratings and have lower credit risk, in terms of loan spreads when compared to corporate bond spreads, and in terms of distance to default. The results control for various measurements for CSR and time periods, consider various CSR dimensions and components, and use alternative proxies to improve the quality of financial risk estimates. Originality/value – The findings demonstrate the importance of considering both positive and negative CSR performance. Positive CSR ratings are associated with reduced financial risk while negative CSR performance scores lead to increased financial distress. Investors respond to positive CSR ratings.","author":[{"dropping-particle":"","family":"Hsu","given":"Feng Jui","non-dropping-particle":"","parse-names":false,"suffix":""},{"dropping-particle":"","family":"Chen","given":"Yu Cheng","non-dropping-particle":"","parse-names":false,"suffix":""}],"container-title":"Management Decision","id":"ITEM-3","issue":"9","issued":{"date-parts":[["2015"]]},"page":"2175-2199","title":"Is a firm’s financial risk associated with corporate social responsibility?","type":"article-journal","volume":"53"},"uris":["http://www.mendeley.com/documents/?uuid=459e5cc9-d1eb-36f9-92db-9436f43d66dd"]},{"id":"ITEM-4","itemData":{"DOI":"10.1111/j.1468-2370.2008.00238.x","ISSN":"14608545","abstract":"Quality management (QM) and environmental management (EM) are two business practices that may affect firm performance. These practices are being increasingly introduced into firms, which often use them jointly owing to their similarities. As a result of these similarities, their integration has become a popular topic of research and practice. In the field of integration, the highest level of integration may be achieved by means of a single, full QM-EM system (QEM) in which QM and EM lose their independence. It is therefore desirable to identify dimensions from which to assess these management practices and their effects on performance. The aim of this paper is to carry out a literature review in order to propose and analyse dimensions for QM, EM, QEM and firm performance, as well as models of cause-effect relationships between these variables. The topics reviewed are the following: (1) the QM and EM dimensions; (2) the empirical studies about QM-performance and EM-performance links; and (3) issues of integration. The review suggests that the large body of QM research may inform EM and QEM. This is so because research on the QM side is more advanced and developed than that on the EM side. © 2008 Blackwell Publishing Ltd and British Academy of Management.","author":[{"dropping-particle":"","family":"Molina-Azorín","given":"José F.","non-dropping-particle":"","parse-names":false,"suffix":""},{"dropping-particle":"","family":"Tarí","given":"Juan J.","non-dropping-particle":"","parse-names":false,"suffix":""},{"dropping-particle":"","family":"Claver-Cortés","given":"Enrique","non-dropping-particle":"","parse-names":false,"suffix":""},{"dropping-particle":"","family":"López-Gamero","given":"María D.","non-dropping-particle":"","parse-names":false,"suffix":""}],"container-title":"International Journal of Management Reviews","id":"ITEM-4","issue":"2","issued":{"date-parts":[["2009"]]},"page":"197-222","title":"Quality management, environmental management and firm performance: A review of empirical studies and issues of integration","type":"article","volume":"11"},"uris":["http://www.mendeley.com/documents/?uuid=e16a57e5-0aa6-3729-820d-304b6223d012"]}],"mendeley":{"formattedCitation":"(Boubaker &lt;i&gt;et al.&lt;/i&gt;, 2020; Hsu and Chen, 2015; Molina-Azorín &lt;i&gt;et al.&lt;/i&gt;, 2009; Shahab &lt;i&gt;et al.&lt;/i&gt;, 2018)","plainTextFormattedCitation":"(Boubaker et al., 2020; Hsu and Chen, 2015; Molina-Azorín et al., 2009; Shahab et al., 2018)","previouslyFormattedCitation":"(Boubaker &lt;i&gt;et al.&lt;/i&gt;, 2020; Hsu and Chen, 2015; Molina-Azorín &lt;i&gt;et al.&lt;/i&gt;, 2009; Shahab &lt;i&gt;et al.&lt;/i&gt;, 2018)"},"properties":{"noteIndex":0},"schema":"https://github.com/citation-style-language/schema/raw/master/csl-citation.json"}</w:instrText>
      </w:r>
      <w:r w:rsidR="0068126E" w:rsidRPr="005B7CAC">
        <w:rPr>
          <w:rFonts w:ascii="Times New Roman" w:hAnsi="Times New Roman"/>
          <w:bCs/>
          <w:iCs/>
          <w:sz w:val="24"/>
          <w:szCs w:val="20"/>
          <w:lang w:val="en-US"/>
        </w:rPr>
        <w:fldChar w:fldCharType="separate"/>
      </w:r>
      <w:r w:rsidR="00FB0BAD" w:rsidRPr="005B7CAC">
        <w:rPr>
          <w:rFonts w:ascii="Times New Roman" w:hAnsi="Times New Roman"/>
          <w:bCs/>
          <w:iCs/>
          <w:noProof/>
          <w:sz w:val="24"/>
          <w:szCs w:val="20"/>
          <w:lang w:val="en-US"/>
        </w:rPr>
        <w:t xml:space="preserve">(Boubaker </w:t>
      </w:r>
      <w:r w:rsidR="00FB0BAD" w:rsidRPr="005B7CAC">
        <w:rPr>
          <w:rFonts w:ascii="Times New Roman" w:hAnsi="Times New Roman"/>
          <w:bCs/>
          <w:i/>
          <w:iCs/>
          <w:noProof/>
          <w:sz w:val="24"/>
          <w:szCs w:val="20"/>
          <w:lang w:val="en-US"/>
        </w:rPr>
        <w:t>et al.</w:t>
      </w:r>
      <w:r w:rsidR="00FB0BAD" w:rsidRPr="005B7CAC">
        <w:rPr>
          <w:rFonts w:ascii="Times New Roman" w:hAnsi="Times New Roman"/>
          <w:bCs/>
          <w:iCs/>
          <w:noProof/>
          <w:sz w:val="24"/>
          <w:szCs w:val="20"/>
          <w:lang w:val="en-US"/>
        </w:rPr>
        <w:t xml:space="preserve">, 2020; Hsu and Chen, 2015; Molina-Azorín </w:t>
      </w:r>
      <w:r w:rsidR="00FB0BAD" w:rsidRPr="005B7CAC">
        <w:rPr>
          <w:rFonts w:ascii="Times New Roman" w:hAnsi="Times New Roman"/>
          <w:bCs/>
          <w:i/>
          <w:iCs/>
          <w:noProof/>
          <w:sz w:val="24"/>
          <w:szCs w:val="20"/>
          <w:lang w:val="en-US"/>
        </w:rPr>
        <w:t>et al.</w:t>
      </w:r>
      <w:r w:rsidR="00FB0BAD" w:rsidRPr="005B7CAC">
        <w:rPr>
          <w:rFonts w:ascii="Times New Roman" w:hAnsi="Times New Roman"/>
          <w:bCs/>
          <w:iCs/>
          <w:noProof/>
          <w:sz w:val="24"/>
          <w:szCs w:val="20"/>
          <w:lang w:val="en-US"/>
        </w:rPr>
        <w:t xml:space="preserve">, 2009; Shahab </w:t>
      </w:r>
      <w:r w:rsidR="00FB0BAD" w:rsidRPr="005B7CAC">
        <w:rPr>
          <w:rFonts w:ascii="Times New Roman" w:hAnsi="Times New Roman"/>
          <w:bCs/>
          <w:i/>
          <w:iCs/>
          <w:noProof/>
          <w:sz w:val="24"/>
          <w:szCs w:val="20"/>
          <w:lang w:val="en-US"/>
        </w:rPr>
        <w:t>et al.</w:t>
      </w:r>
      <w:r w:rsidR="00FB0BAD" w:rsidRPr="005B7CAC">
        <w:rPr>
          <w:rFonts w:ascii="Times New Roman" w:hAnsi="Times New Roman"/>
          <w:bCs/>
          <w:iCs/>
          <w:noProof/>
          <w:sz w:val="24"/>
          <w:szCs w:val="20"/>
          <w:lang w:val="en-US"/>
        </w:rPr>
        <w:t>, 2018)</w:t>
      </w:r>
      <w:r w:rsidR="0068126E" w:rsidRPr="005B7CAC">
        <w:rPr>
          <w:rFonts w:ascii="Times New Roman" w:hAnsi="Times New Roman"/>
          <w:bCs/>
          <w:iCs/>
          <w:sz w:val="24"/>
          <w:szCs w:val="20"/>
          <w:lang w:val="en-US"/>
        </w:rPr>
        <w:fldChar w:fldCharType="end"/>
      </w:r>
      <w:r w:rsidR="00C96FE6" w:rsidRPr="005B7CAC">
        <w:rPr>
          <w:rFonts w:ascii="Times New Roman" w:hAnsi="Times New Roman"/>
          <w:bCs/>
          <w:iCs/>
          <w:sz w:val="24"/>
          <w:szCs w:val="20"/>
          <w:lang w:val="en-US"/>
        </w:rPr>
        <w:t xml:space="preserve"> </w:t>
      </w:r>
      <w:r w:rsidRPr="005B7CAC">
        <w:rPr>
          <w:rFonts w:ascii="Times New Roman" w:hAnsi="Times New Roman"/>
          <w:bCs/>
          <w:iCs/>
          <w:sz w:val="24"/>
          <w:szCs w:val="20"/>
          <w:lang w:val="en-US"/>
        </w:rPr>
        <w:t xml:space="preserve">by empirically examining the impact of </w:t>
      </w:r>
      <w:r w:rsidRPr="005B7CAC">
        <w:rPr>
          <w:rFonts w:ascii="Times New Roman" w:hAnsi="Times New Roman"/>
          <w:bCs/>
          <w:i/>
          <w:sz w:val="24"/>
          <w:szCs w:val="20"/>
          <w:lang w:val="en-US"/>
        </w:rPr>
        <w:t>WM</w:t>
      </w:r>
      <w:r w:rsidRPr="005B7CAC">
        <w:rPr>
          <w:rFonts w:ascii="Times New Roman" w:hAnsi="Times New Roman"/>
          <w:bCs/>
          <w:iCs/>
          <w:sz w:val="24"/>
          <w:szCs w:val="20"/>
          <w:lang w:val="en-US"/>
        </w:rPr>
        <w:t xml:space="preserve"> on </w:t>
      </w:r>
      <w:r w:rsidRPr="005B7CAC">
        <w:rPr>
          <w:rFonts w:ascii="Times New Roman" w:hAnsi="Times New Roman"/>
          <w:bCs/>
          <w:i/>
          <w:sz w:val="24"/>
          <w:szCs w:val="20"/>
          <w:lang w:val="en-US"/>
        </w:rPr>
        <w:t>FD</w:t>
      </w:r>
      <w:r w:rsidRPr="005B7CAC">
        <w:rPr>
          <w:rFonts w:ascii="Times New Roman" w:hAnsi="Times New Roman"/>
          <w:bCs/>
          <w:iCs/>
          <w:sz w:val="24"/>
          <w:szCs w:val="20"/>
          <w:lang w:val="en-US"/>
        </w:rPr>
        <w:t xml:space="preserve"> in the regulated market, such as </w:t>
      </w:r>
      <w:r w:rsidR="000F7FBE" w:rsidRPr="005B7CAC">
        <w:rPr>
          <w:rFonts w:ascii="Times New Roman" w:hAnsi="Times New Roman"/>
          <w:bCs/>
          <w:iCs/>
          <w:sz w:val="24"/>
          <w:szCs w:val="20"/>
          <w:lang w:val="en-US"/>
        </w:rPr>
        <w:t xml:space="preserve">the </w:t>
      </w:r>
      <w:r w:rsidRPr="005B7CAC">
        <w:rPr>
          <w:rFonts w:ascii="Times New Roman" w:hAnsi="Times New Roman"/>
          <w:bCs/>
          <w:iCs/>
          <w:sz w:val="24"/>
          <w:szCs w:val="20"/>
          <w:lang w:val="en-US"/>
        </w:rPr>
        <w:t>UK.</w:t>
      </w:r>
      <w:r w:rsidR="002D09CD" w:rsidRPr="005B7CAC">
        <w:rPr>
          <w:rFonts w:ascii="Times New Roman" w:hAnsi="Times New Roman"/>
          <w:bCs/>
          <w:iCs/>
          <w:sz w:val="24"/>
          <w:szCs w:val="20"/>
          <w:lang w:val="en-US"/>
        </w:rPr>
        <w:t xml:space="preserve"> </w:t>
      </w:r>
      <w:r w:rsidR="00560FAF" w:rsidRPr="005B7CAC">
        <w:rPr>
          <w:rFonts w:ascii="Times New Roman" w:hAnsi="Times New Roman"/>
          <w:bCs/>
          <w:iCs/>
          <w:sz w:val="24"/>
          <w:szCs w:val="20"/>
          <w:lang w:val="en-US"/>
        </w:rPr>
        <w:t xml:space="preserve">Although past </w:t>
      </w:r>
      <w:r w:rsidR="002D09CD" w:rsidRPr="005B7CAC">
        <w:rPr>
          <w:rFonts w:ascii="Times New Roman" w:hAnsi="Times New Roman"/>
          <w:bCs/>
          <w:iCs/>
          <w:sz w:val="24"/>
          <w:szCs w:val="20"/>
          <w:lang w:val="en-US"/>
        </w:rPr>
        <w:t xml:space="preserve">studies </w:t>
      </w:r>
      <w:r w:rsidR="00731451" w:rsidRPr="005B7CAC">
        <w:rPr>
          <w:rFonts w:ascii="Times New Roman" w:hAnsi="Times New Roman"/>
          <w:bCs/>
          <w:iCs/>
          <w:sz w:val="24"/>
          <w:szCs w:val="20"/>
          <w:lang w:val="en-US"/>
        </w:rPr>
        <w:fldChar w:fldCharType="begin" w:fldLock="1"/>
      </w:r>
      <w:r w:rsidR="002347D5" w:rsidRPr="005B7CAC">
        <w:rPr>
          <w:rFonts w:ascii="Times New Roman" w:hAnsi="Times New Roman"/>
          <w:bCs/>
          <w:iCs/>
          <w:sz w:val="24"/>
          <w:szCs w:val="20"/>
          <w:lang w:val="en-US"/>
        </w:rPr>
        <w:instrText>ADDIN CSL_CITATION {"citationItems":[{"id":"ITEM-1","itemData":{"DOI":"10.1108/JAAR-12-2022-0329","ISSN":"09675426","abstract":"Purpose: This study tests whether corporate social responsibility (CSR) performance is a predictor of the financial sector's financial stability (FS), with the moderation of a sustainability committee. Design/methodology/approach: The sample covers financial sector firms included in the Thomson Reuters Eikon database. The analyses are based on 8,840 firm-year observations for the years between 2002 and 2019 and the country-firm-year fixed-effects (FE) regression analysis is executed. Findings: The results reveal that CSR initiatives contribute to the financial sector's FS as a whole and the sector's three individual sub-sectors. This proven significant association holds for all sub-sectors, namely insurance, banking, and investment banking. Moreover, the moderation analysis reveals the prominent role of a sustainability committee in bridging CSR performance (CSRP) with FS. Research limitations/implications: The findings highlight that meeting societies' expectations pays back in the form of greater FS in the financial sector. Practical implications: The findings suggest that CSR engagement helps the financial sector firms manage their risks and alleviates exposure to insolvency. This is because CSR performance promotes firms' accountability and transparency toward stakeholders. The results help motivate managers to pursue CSR goals more seriously to ensure FS. The moderation analysis implies that sustainability committees develop policies and practices to integrate the non-financial and financial goals of the firm. Originality/value: Although prior studies have examined the link between CSR and financial performance (FP) in the financial sector, those studies have largely ignored FS in terms of risk-adjusted performance. Besides, prior studies have exclusively focused on the banking sector, but the authors concentrate on the banking, insurance, and investment banking sectors.","author":[{"dropping-particle":"","family":"Orazalin","given":"Nurlan","non-dropping-particle":"","parse-names":false,"suffix":""},{"dropping-particle":"","family":"Kuzey","given":"Cemil","non-dropping-particle":"","parse-names":false,"suffix":""},{"dropping-particle":"","family":"Uyar","given":"Ali","non-dropping-particle":"","parse-names":false,"suffix":""},{"dropping-particle":"","family":"Karaman","given":"Abdullah S.","non-dropping-particle":"","parse-names":false,"suffix":""}],"container-title":"Journal of Applied Accounting Research","id":"ITEM-1","issued":{"date-parts":[["2023"]]},"title":"Does CSR contribute to the financial sector's financial stability? The moderating role of a sustainability committee","type":"article-journal"},"uris":["http://www.mendeley.com/documents/?uuid=7d20d343-c643-3450-a67e-d8f2e8162028"]},{"id":"ITEM-2","itemData":{"DOI":"10.1111/auar.12366","ISSN":"18352561","abstract":"This study examines the association between corporate environmental performance and financial distress. Using a sample of Australian firms, we find that environmental performance is negatively related to the financial distress probability perceived by the market. In addition, the negative association between environmental performance and the financial distress probability is more pronounced for firms with a higher level of risk. The findings provide important empirical evidence regarding the implications of environmental performance on firms’ risk management.","author":[{"dropping-particle":"","family":"Jia","given":"Jing","non-dropping-particle":"","parse-names":false,"suffix":""},{"dropping-particle":"","family":"Li","given":"Zhongtian","non-dropping-particle":"","parse-names":false,"suffix":""}],"container-title":"Australian Accounting Review","id":"ITEM-2","issue":"2","issued":{"date-parts":[["2022"]]},"page":"188-200","title":"Corporate Environmental Performance and Financial Distress: Evidence from Australia","type":"article-journal","volume":"32"},"uris":["http://www.mendeley.com/documents/?uuid=e29c5adf-e7ff-3dee-9c25-48e25598f3e7"]}],"mendeley":{"formattedCitation":"(Jia and Li, 2022; Orazalin &lt;i&gt;et al.&lt;/i&gt;, 2023)","plainTextFormattedCitation":"(Jia and Li, 2022; Orazalin et al., 2023)","previouslyFormattedCitation":"(Jia and Li, 2022; Orazalin &lt;i&gt;et al.&lt;/i&gt;, 2023)"},"properties":{"noteIndex":0},"schema":"https://github.com/citation-style-language/schema/raw/master/csl-citation.json"}</w:instrText>
      </w:r>
      <w:r w:rsidR="00731451" w:rsidRPr="005B7CAC">
        <w:rPr>
          <w:rFonts w:ascii="Times New Roman" w:hAnsi="Times New Roman"/>
          <w:bCs/>
          <w:iCs/>
          <w:sz w:val="24"/>
          <w:szCs w:val="20"/>
          <w:lang w:val="en-US"/>
        </w:rPr>
        <w:fldChar w:fldCharType="separate"/>
      </w:r>
      <w:r w:rsidR="00BB4571" w:rsidRPr="005B7CAC">
        <w:rPr>
          <w:rFonts w:ascii="Times New Roman" w:hAnsi="Times New Roman"/>
          <w:bCs/>
          <w:iCs/>
          <w:noProof/>
          <w:sz w:val="24"/>
          <w:szCs w:val="20"/>
          <w:lang w:val="en-US"/>
        </w:rPr>
        <w:t xml:space="preserve">(Jia and Li, 2022; Orazalin </w:t>
      </w:r>
      <w:r w:rsidR="00BB4571" w:rsidRPr="005B7CAC">
        <w:rPr>
          <w:rFonts w:ascii="Times New Roman" w:hAnsi="Times New Roman"/>
          <w:bCs/>
          <w:i/>
          <w:iCs/>
          <w:noProof/>
          <w:sz w:val="24"/>
          <w:szCs w:val="20"/>
          <w:lang w:val="en-US"/>
        </w:rPr>
        <w:t>et al.</w:t>
      </w:r>
      <w:r w:rsidR="00BB4571" w:rsidRPr="005B7CAC">
        <w:rPr>
          <w:rFonts w:ascii="Times New Roman" w:hAnsi="Times New Roman"/>
          <w:bCs/>
          <w:iCs/>
          <w:noProof/>
          <w:sz w:val="24"/>
          <w:szCs w:val="20"/>
          <w:lang w:val="en-US"/>
        </w:rPr>
        <w:t>, 2023)</w:t>
      </w:r>
      <w:r w:rsidR="00731451" w:rsidRPr="005B7CAC">
        <w:rPr>
          <w:rFonts w:ascii="Times New Roman" w:hAnsi="Times New Roman"/>
          <w:bCs/>
          <w:iCs/>
          <w:sz w:val="24"/>
          <w:szCs w:val="20"/>
          <w:lang w:val="en-US"/>
        </w:rPr>
        <w:fldChar w:fldCharType="end"/>
      </w:r>
      <w:r w:rsidR="00C90660" w:rsidRPr="005B7CAC">
        <w:rPr>
          <w:rFonts w:ascii="Times New Roman" w:hAnsi="Times New Roman"/>
          <w:bCs/>
          <w:iCs/>
          <w:sz w:val="24"/>
          <w:szCs w:val="20"/>
          <w:lang w:val="en-US"/>
        </w:rPr>
        <w:t xml:space="preserve"> have </w:t>
      </w:r>
      <w:r w:rsidR="00A32040" w:rsidRPr="005B7CAC">
        <w:rPr>
          <w:rFonts w:ascii="Times New Roman" w:hAnsi="Times New Roman"/>
          <w:bCs/>
          <w:iCs/>
          <w:sz w:val="24"/>
          <w:szCs w:val="20"/>
          <w:lang w:val="en-US"/>
        </w:rPr>
        <w:t xml:space="preserve">extensively examined the link between </w:t>
      </w:r>
      <w:r w:rsidR="00C90660" w:rsidRPr="005B7CAC">
        <w:rPr>
          <w:rFonts w:ascii="Times New Roman" w:hAnsi="Times New Roman"/>
          <w:bCs/>
          <w:iCs/>
          <w:sz w:val="24"/>
          <w:szCs w:val="20"/>
          <w:lang w:val="en-US"/>
        </w:rPr>
        <w:t>CSR/</w:t>
      </w:r>
      <w:r w:rsidR="002D09CD" w:rsidRPr="005B7CAC">
        <w:rPr>
          <w:rFonts w:ascii="Times New Roman" w:hAnsi="Times New Roman"/>
          <w:bCs/>
          <w:iCs/>
          <w:sz w:val="24"/>
          <w:szCs w:val="20"/>
          <w:lang w:val="en-US"/>
        </w:rPr>
        <w:t xml:space="preserve">environmental performance </w:t>
      </w:r>
      <w:r w:rsidR="00A32040" w:rsidRPr="005B7CAC">
        <w:rPr>
          <w:rFonts w:ascii="Times New Roman" w:hAnsi="Times New Roman"/>
          <w:bCs/>
          <w:iCs/>
          <w:sz w:val="24"/>
          <w:szCs w:val="20"/>
          <w:lang w:val="en-US"/>
        </w:rPr>
        <w:t xml:space="preserve">and </w:t>
      </w:r>
      <w:r w:rsidR="002D09CD" w:rsidRPr="005B7CAC">
        <w:rPr>
          <w:rFonts w:ascii="Times New Roman" w:hAnsi="Times New Roman"/>
          <w:bCs/>
          <w:i/>
          <w:sz w:val="24"/>
          <w:szCs w:val="20"/>
          <w:lang w:val="en-US"/>
        </w:rPr>
        <w:t>FD</w:t>
      </w:r>
      <w:r w:rsidR="00A32040" w:rsidRPr="005B7CAC">
        <w:rPr>
          <w:rFonts w:ascii="Times New Roman" w:hAnsi="Times New Roman"/>
          <w:bCs/>
          <w:iCs/>
          <w:sz w:val="24"/>
          <w:szCs w:val="20"/>
          <w:lang w:val="en-US"/>
        </w:rPr>
        <w:t>, the impact</w:t>
      </w:r>
      <w:r w:rsidR="002D09CD" w:rsidRPr="005B7CAC">
        <w:rPr>
          <w:rFonts w:ascii="Times New Roman" w:hAnsi="Times New Roman"/>
          <w:bCs/>
          <w:iCs/>
          <w:sz w:val="24"/>
          <w:szCs w:val="20"/>
          <w:lang w:val="en-US"/>
        </w:rPr>
        <w:t xml:space="preserve"> of </w:t>
      </w:r>
      <w:r w:rsidR="002D09CD" w:rsidRPr="005B7CAC">
        <w:rPr>
          <w:rFonts w:ascii="Times New Roman" w:hAnsi="Times New Roman"/>
          <w:bCs/>
          <w:i/>
          <w:sz w:val="24"/>
          <w:szCs w:val="20"/>
          <w:lang w:val="en-US"/>
        </w:rPr>
        <w:t>WM</w:t>
      </w:r>
      <w:r w:rsidR="002D09CD" w:rsidRPr="005B7CAC">
        <w:rPr>
          <w:rFonts w:ascii="Times New Roman" w:hAnsi="Times New Roman"/>
          <w:bCs/>
          <w:iCs/>
          <w:sz w:val="24"/>
          <w:szCs w:val="20"/>
          <w:lang w:val="en-US"/>
        </w:rPr>
        <w:t xml:space="preserve"> practices on </w:t>
      </w:r>
      <w:r w:rsidR="002D09CD" w:rsidRPr="005B7CAC">
        <w:rPr>
          <w:rFonts w:ascii="Times New Roman" w:hAnsi="Times New Roman"/>
          <w:bCs/>
          <w:i/>
          <w:sz w:val="24"/>
          <w:szCs w:val="20"/>
          <w:lang w:val="en-US"/>
        </w:rPr>
        <w:t>FD</w:t>
      </w:r>
      <w:r w:rsidR="00A32040" w:rsidRPr="005B7CAC">
        <w:rPr>
          <w:rFonts w:ascii="Times New Roman" w:hAnsi="Times New Roman"/>
          <w:bCs/>
          <w:i/>
          <w:sz w:val="24"/>
          <w:szCs w:val="20"/>
          <w:lang w:val="en-US"/>
        </w:rPr>
        <w:t xml:space="preserve"> </w:t>
      </w:r>
      <w:r w:rsidR="00A32040" w:rsidRPr="005B7CAC">
        <w:rPr>
          <w:rFonts w:ascii="Times New Roman" w:hAnsi="Times New Roman"/>
          <w:bCs/>
          <w:sz w:val="24"/>
          <w:szCs w:val="20"/>
          <w:lang w:val="en-US"/>
        </w:rPr>
        <w:t xml:space="preserve">is still </w:t>
      </w:r>
      <w:r w:rsidR="00B355DE" w:rsidRPr="005B7CAC">
        <w:rPr>
          <w:rFonts w:ascii="Times New Roman" w:hAnsi="Times New Roman"/>
          <w:bCs/>
          <w:sz w:val="24"/>
          <w:szCs w:val="20"/>
          <w:lang w:val="en-US"/>
        </w:rPr>
        <w:t xml:space="preserve">largely </w:t>
      </w:r>
      <w:r w:rsidR="00A32040" w:rsidRPr="005B7CAC">
        <w:rPr>
          <w:rFonts w:ascii="Times New Roman" w:hAnsi="Times New Roman"/>
          <w:bCs/>
          <w:sz w:val="24"/>
          <w:szCs w:val="20"/>
          <w:lang w:val="en-US"/>
        </w:rPr>
        <w:t>unexplored</w:t>
      </w:r>
      <w:r w:rsidR="002D09CD" w:rsidRPr="005B7CAC">
        <w:rPr>
          <w:rFonts w:ascii="Times New Roman" w:hAnsi="Times New Roman"/>
          <w:bCs/>
          <w:iCs/>
          <w:sz w:val="24"/>
          <w:szCs w:val="20"/>
          <w:lang w:val="en-US"/>
        </w:rPr>
        <w:t xml:space="preserve">. </w:t>
      </w:r>
      <w:r w:rsidR="00716FA5" w:rsidRPr="005B7CAC">
        <w:rPr>
          <w:rFonts w:ascii="Times New Roman" w:hAnsi="Times New Roman"/>
          <w:bCs/>
          <w:iCs/>
          <w:sz w:val="24"/>
          <w:szCs w:val="20"/>
          <w:lang w:val="en-US"/>
        </w:rPr>
        <w:t xml:space="preserve">Using </w:t>
      </w:r>
      <w:r w:rsidR="00C96FE6" w:rsidRPr="005B7CAC">
        <w:rPr>
          <w:rFonts w:ascii="Times New Roman" w:hAnsi="Times New Roman"/>
          <w:bCs/>
          <w:iCs/>
          <w:sz w:val="24"/>
          <w:szCs w:val="20"/>
          <w:lang w:val="en-US"/>
        </w:rPr>
        <w:t xml:space="preserve">several </w:t>
      </w:r>
      <w:r w:rsidR="00684923" w:rsidRPr="005B7CAC">
        <w:rPr>
          <w:rFonts w:ascii="Times New Roman" w:hAnsi="Times New Roman"/>
          <w:bCs/>
          <w:i/>
          <w:sz w:val="24"/>
          <w:szCs w:val="20"/>
          <w:lang w:val="en-US"/>
        </w:rPr>
        <w:t>WM</w:t>
      </w:r>
      <w:r w:rsidR="00684923" w:rsidRPr="005B7CAC">
        <w:rPr>
          <w:rFonts w:ascii="Times New Roman" w:hAnsi="Times New Roman"/>
          <w:bCs/>
          <w:iCs/>
          <w:sz w:val="24"/>
          <w:szCs w:val="20"/>
          <w:lang w:val="en-US"/>
        </w:rPr>
        <w:t xml:space="preserve"> </w:t>
      </w:r>
      <w:r w:rsidR="00C96FE6" w:rsidRPr="005B7CAC">
        <w:rPr>
          <w:rFonts w:ascii="Times New Roman" w:hAnsi="Times New Roman"/>
          <w:bCs/>
          <w:iCs/>
          <w:sz w:val="24"/>
          <w:szCs w:val="20"/>
          <w:lang w:val="en-US"/>
        </w:rPr>
        <w:t>proxies</w:t>
      </w:r>
      <w:r w:rsidR="00684923" w:rsidRPr="005B7CAC">
        <w:rPr>
          <w:rFonts w:ascii="Times New Roman" w:hAnsi="Times New Roman"/>
          <w:bCs/>
          <w:iCs/>
          <w:sz w:val="24"/>
          <w:szCs w:val="20"/>
          <w:lang w:val="en-US"/>
        </w:rPr>
        <w:t xml:space="preserve"> and </w:t>
      </w:r>
      <w:r w:rsidR="00C96FE6" w:rsidRPr="005B7CAC">
        <w:rPr>
          <w:rFonts w:ascii="Times New Roman" w:hAnsi="Times New Roman"/>
          <w:bCs/>
          <w:iCs/>
          <w:sz w:val="24"/>
          <w:szCs w:val="20"/>
          <w:lang w:val="en-US"/>
        </w:rPr>
        <w:t xml:space="preserve">relevant </w:t>
      </w:r>
      <w:r w:rsidR="00C96FE6" w:rsidRPr="005B7CAC">
        <w:rPr>
          <w:rFonts w:ascii="Times New Roman" w:hAnsi="Times New Roman"/>
          <w:bCs/>
          <w:i/>
          <w:sz w:val="24"/>
          <w:szCs w:val="20"/>
          <w:lang w:val="en-US"/>
        </w:rPr>
        <w:t>FD</w:t>
      </w:r>
      <w:r w:rsidR="00C96FE6" w:rsidRPr="005B7CAC">
        <w:rPr>
          <w:rFonts w:ascii="Times New Roman" w:hAnsi="Times New Roman"/>
          <w:bCs/>
          <w:iCs/>
          <w:sz w:val="24"/>
          <w:szCs w:val="20"/>
          <w:lang w:val="en-US"/>
        </w:rPr>
        <w:t xml:space="preserve"> measures, the study </w:t>
      </w:r>
      <w:r w:rsidR="00C31EB3" w:rsidRPr="005B7CAC">
        <w:rPr>
          <w:rFonts w:ascii="Times New Roman" w:hAnsi="Times New Roman"/>
          <w:bCs/>
          <w:iCs/>
          <w:sz w:val="24"/>
          <w:szCs w:val="20"/>
          <w:lang w:val="en-US"/>
        </w:rPr>
        <w:t>s</w:t>
      </w:r>
      <w:r w:rsidR="005B3B6F" w:rsidRPr="005B7CAC">
        <w:rPr>
          <w:rFonts w:ascii="Times New Roman" w:hAnsi="Times New Roman"/>
          <w:bCs/>
          <w:iCs/>
          <w:sz w:val="24"/>
          <w:szCs w:val="20"/>
          <w:lang w:val="en-US"/>
        </w:rPr>
        <w:t>uggest</w:t>
      </w:r>
      <w:r w:rsidR="00C31EB3" w:rsidRPr="005B7CAC">
        <w:rPr>
          <w:rFonts w:ascii="Times New Roman" w:hAnsi="Times New Roman"/>
          <w:bCs/>
          <w:iCs/>
          <w:sz w:val="24"/>
          <w:szCs w:val="20"/>
          <w:lang w:val="en-US"/>
        </w:rPr>
        <w:t>s</w:t>
      </w:r>
      <w:r w:rsidR="005B3B6F" w:rsidRPr="005B7CAC">
        <w:rPr>
          <w:rFonts w:ascii="Times New Roman" w:hAnsi="Times New Roman"/>
          <w:bCs/>
          <w:iCs/>
          <w:sz w:val="24"/>
          <w:szCs w:val="20"/>
          <w:lang w:val="en-US"/>
        </w:rPr>
        <w:t xml:space="preserve"> that effective </w:t>
      </w:r>
      <w:r w:rsidR="005B3B6F" w:rsidRPr="005B7CAC">
        <w:rPr>
          <w:rFonts w:ascii="Times New Roman" w:hAnsi="Times New Roman"/>
          <w:bCs/>
          <w:i/>
          <w:sz w:val="24"/>
          <w:szCs w:val="20"/>
          <w:lang w:val="en-US"/>
        </w:rPr>
        <w:t>WM</w:t>
      </w:r>
      <w:r w:rsidR="005B3B6F" w:rsidRPr="005B7CAC">
        <w:rPr>
          <w:rFonts w:ascii="Times New Roman" w:hAnsi="Times New Roman"/>
          <w:bCs/>
          <w:iCs/>
          <w:sz w:val="24"/>
          <w:szCs w:val="20"/>
          <w:lang w:val="en-US"/>
        </w:rPr>
        <w:t xml:space="preserve"> practices </w:t>
      </w:r>
      <w:r w:rsidR="009863F6" w:rsidRPr="005B7CAC">
        <w:rPr>
          <w:rFonts w:ascii="Times New Roman" w:hAnsi="Times New Roman"/>
          <w:bCs/>
          <w:iCs/>
          <w:sz w:val="24"/>
          <w:szCs w:val="20"/>
          <w:lang w:val="en-US"/>
        </w:rPr>
        <w:t>are essential for</w:t>
      </w:r>
      <w:r w:rsidR="00716FA5" w:rsidRPr="005B7CAC">
        <w:rPr>
          <w:rFonts w:ascii="Times New Roman" w:hAnsi="Times New Roman"/>
          <w:bCs/>
          <w:iCs/>
          <w:sz w:val="24"/>
          <w:szCs w:val="20"/>
          <w:lang w:val="en-US"/>
        </w:rPr>
        <w:t xml:space="preserve"> ensuring </w:t>
      </w:r>
      <w:r w:rsidR="005B3B6F" w:rsidRPr="005B7CAC">
        <w:rPr>
          <w:rFonts w:ascii="Times New Roman" w:hAnsi="Times New Roman"/>
          <w:bCs/>
          <w:iCs/>
          <w:sz w:val="24"/>
          <w:szCs w:val="20"/>
          <w:lang w:val="en-US"/>
        </w:rPr>
        <w:t xml:space="preserve">financial </w:t>
      </w:r>
      <w:r w:rsidR="00FB422A" w:rsidRPr="005B7CAC">
        <w:rPr>
          <w:rFonts w:ascii="Times New Roman" w:hAnsi="Times New Roman"/>
          <w:bCs/>
          <w:iCs/>
          <w:sz w:val="24"/>
          <w:szCs w:val="20"/>
          <w:lang w:val="en-US"/>
        </w:rPr>
        <w:t>sustainability.</w:t>
      </w:r>
      <w:r w:rsidR="00716FA5" w:rsidRPr="005B7CAC">
        <w:rPr>
          <w:rFonts w:ascii="Times New Roman" w:hAnsi="Times New Roman"/>
          <w:bCs/>
          <w:iCs/>
          <w:sz w:val="24"/>
          <w:szCs w:val="20"/>
          <w:lang w:val="en-US"/>
        </w:rPr>
        <w:t xml:space="preserve"> Second, this study is among the first to test whether </w:t>
      </w:r>
      <w:r w:rsidR="001A1CB2" w:rsidRPr="005B7CAC">
        <w:rPr>
          <w:rFonts w:ascii="Times New Roman" w:hAnsi="Times New Roman"/>
          <w:bCs/>
          <w:i/>
          <w:sz w:val="24"/>
          <w:szCs w:val="20"/>
          <w:lang w:val="en-US"/>
        </w:rPr>
        <w:t>GINV</w:t>
      </w:r>
      <w:r w:rsidR="00D40CE1" w:rsidRPr="005B7CAC">
        <w:rPr>
          <w:rFonts w:ascii="Times New Roman" w:hAnsi="Times New Roman"/>
          <w:bCs/>
          <w:i/>
          <w:sz w:val="24"/>
          <w:szCs w:val="20"/>
          <w:lang w:val="en-US"/>
        </w:rPr>
        <w:t>s</w:t>
      </w:r>
      <w:r w:rsidR="00716FA5" w:rsidRPr="005B7CAC">
        <w:rPr>
          <w:rFonts w:ascii="Times New Roman" w:hAnsi="Times New Roman"/>
          <w:bCs/>
          <w:iCs/>
          <w:sz w:val="24"/>
          <w:szCs w:val="20"/>
          <w:lang w:val="en-US"/>
        </w:rPr>
        <w:t xml:space="preserve"> moderate the link between </w:t>
      </w:r>
      <w:r w:rsidR="00716FA5" w:rsidRPr="005B7CAC">
        <w:rPr>
          <w:rFonts w:ascii="Times New Roman" w:hAnsi="Times New Roman"/>
          <w:bCs/>
          <w:i/>
          <w:sz w:val="24"/>
          <w:szCs w:val="20"/>
          <w:lang w:val="en-US"/>
        </w:rPr>
        <w:t>WM</w:t>
      </w:r>
      <w:r w:rsidR="00716FA5" w:rsidRPr="005B7CAC">
        <w:rPr>
          <w:rFonts w:ascii="Times New Roman" w:hAnsi="Times New Roman"/>
          <w:bCs/>
          <w:iCs/>
          <w:sz w:val="24"/>
          <w:szCs w:val="20"/>
          <w:lang w:val="en-US"/>
        </w:rPr>
        <w:t xml:space="preserve"> and </w:t>
      </w:r>
      <w:r w:rsidR="00716FA5" w:rsidRPr="005B7CAC">
        <w:rPr>
          <w:rFonts w:ascii="Times New Roman" w:hAnsi="Times New Roman"/>
          <w:bCs/>
          <w:i/>
          <w:sz w:val="24"/>
          <w:szCs w:val="20"/>
          <w:lang w:val="en-US"/>
        </w:rPr>
        <w:t>FD</w:t>
      </w:r>
      <w:r w:rsidR="00716FA5" w:rsidRPr="005B7CAC">
        <w:rPr>
          <w:rFonts w:ascii="Times New Roman" w:hAnsi="Times New Roman"/>
          <w:bCs/>
          <w:iCs/>
          <w:sz w:val="24"/>
          <w:szCs w:val="20"/>
          <w:lang w:val="en-US"/>
        </w:rPr>
        <w:t>.</w:t>
      </w:r>
      <w:r w:rsidR="007958A6" w:rsidRPr="005B7CAC">
        <w:rPr>
          <w:rFonts w:ascii="Times New Roman" w:hAnsi="Times New Roman"/>
          <w:bCs/>
          <w:iCs/>
          <w:sz w:val="24"/>
          <w:szCs w:val="20"/>
          <w:lang w:val="en-US"/>
        </w:rPr>
        <w:t xml:space="preserve"> </w:t>
      </w:r>
      <w:r w:rsidR="002D09CD" w:rsidRPr="005B7CAC">
        <w:rPr>
          <w:rFonts w:ascii="Times New Roman" w:hAnsi="Times New Roman"/>
          <w:bCs/>
          <w:iCs/>
          <w:sz w:val="24"/>
          <w:szCs w:val="20"/>
          <w:lang w:val="en-US"/>
        </w:rPr>
        <w:t xml:space="preserve">Although </w:t>
      </w:r>
      <w:r w:rsidR="00FB0BAD" w:rsidRPr="005B7CAC">
        <w:rPr>
          <w:rFonts w:ascii="Times New Roman" w:hAnsi="Times New Roman"/>
          <w:bCs/>
          <w:iCs/>
          <w:sz w:val="24"/>
          <w:szCs w:val="20"/>
          <w:lang w:val="en-US"/>
        </w:rPr>
        <w:t>few studies</w:t>
      </w:r>
      <w:r w:rsidR="00C52567" w:rsidRPr="005B7CAC">
        <w:rPr>
          <w:rFonts w:ascii="Times New Roman" w:hAnsi="Times New Roman"/>
          <w:bCs/>
          <w:iCs/>
          <w:sz w:val="24"/>
          <w:szCs w:val="20"/>
          <w:lang w:val="en-US"/>
        </w:rPr>
        <w:t xml:space="preserve"> </w:t>
      </w:r>
      <w:r w:rsidR="00C22C0A" w:rsidRPr="005B7CAC">
        <w:rPr>
          <w:rFonts w:ascii="Times New Roman" w:hAnsi="Times New Roman"/>
          <w:bCs/>
          <w:iCs/>
          <w:sz w:val="24"/>
          <w:szCs w:val="20"/>
          <w:lang w:val="en-US"/>
        </w:rPr>
        <w:fldChar w:fldCharType="begin" w:fldLock="1"/>
      </w:r>
      <w:r w:rsidR="0050174D" w:rsidRPr="005B7CAC">
        <w:rPr>
          <w:rFonts w:ascii="Times New Roman" w:hAnsi="Times New Roman"/>
          <w:bCs/>
          <w:iCs/>
          <w:sz w:val="24"/>
          <w:szCs w:val="20"/>
          <w:lang w:val="en-US"/>
        </w:rPr>
        <w:instrText>ADDIN CSL_CITATION {"citationItems":[{"id":"ITEM-1","itemData":{"DOI":"10.3390/ijerph17145206","ISSN":"16604601","abstract":"This paper aimed to investigate the impact of water, waste, and energy consumption on firm performance for a sample of enterprises that belong to the S&amp;P 500 Information Technology sector over the period of 2009–2020. The quantitative framework covered both accounting (e.g., return on assets—ROA; return on common equity—ROE; return on capital—ROC; return on invested capital—ROIC) and market-based measures of performance (e.g., price-to-book value— PB), alongside firm and corporate governance specific variables. By estimating multivariate panel data regression models, the empirical results provided support for a negative impact of total water use on PB but a positive effect on ROA. With reference to the total waste, the econometric outcomes revealed a negative influence on the entire selected performance measures, whereas total energy consumption did not reveal any statistically significant influence.","author":[{"dropping-particle":"","family":"Simionescu","given":"Liliana Nicoleta","non-dropping-particle":"","parse-names":false,"suffix":""},{"dropping-particle":"","family":"Gherghina","given":"Ștefan Cristian","non-dropping-particle":"","parse-names":false,"suffix":""},{"dropping-particle":"","family":"Sheikha","given":"Ziad","non-dropping-particle":"","parse-names":false,"suffix":""},{"dropping-particle":"","family":"Tawil","given":"Hiba","non-dropping-particle":"","parse-names":false,"suffix":""}],"container-title":"International Journal of Environmental Research and Public Health","id":"ITEM-1","issue":"14","issued":{"date-parts":[["2020"]]},"page":"5206","title":"Does water, waste, and energy consumption influence firm performance? Panel data evidence from S &amp;P 500 information technology sector","type":"article-journal","volume":"17"},"uris":["http://www.mendeley.com/documents/?uuid=416ffb51-17e1-3ace-8d61-e7b79bf0a232"]},{"id":"ITEM-2","itemData":{"DOI":"10.5267/j.uscm.2023.3.011","ISSN":"22916830","abstract":"The company seeks the role of internal function and external partnership to eliminate or reduce the waste generated and its impact on the environment. Internally, Top management needs to commit and actively increase the participation of employees in implementing total quality management and production waste management to enhance business performance. This study surveyed the companies engaged in the industry sector producing finished products while generating waste in the production process. Data collection is carried out using online questionnaires through Google Forms with data analysis using PLS software. One hundred and thirty-six (136) manufacturing companies located in East Java, Indonesia. The results of the data analysis indicated that top management commitment significantly influences firm performance, employee empowerment, and total quality management. Employee empowerment impacts total quality management and production waste management. Total quality management positively influences production waste management and firm performance. In addition, production waste management significantly impacts the firm performance. In addition, top management commitment indirectly affects firm performance through the mediating role of total quality management. However, the mediating effect of production waste management is insignificant in translating top management commitments to firm performance. The result provides a theoretical contribution to developing green supply chain practices and sustainability. Furthermore, the practical contribution provides insight for top management companies that production waste management can improve performance with high management commitment and employee empowerment.","author":[{"dropping-particle":"","family":"Wijaya","given":"Shania Vanessa","non-dropping-particle":"","parse-names":false,"suffix":""},{"dropping-particle":"","family":"Tarigan","given":"Zeplin Jiwa Husada","non-dropping-particle":"","parse-names":false,"suffix":""},{"dropping-particle":"","family":"Siagian","given":"Hotlan","non-dropping-particle":"","parse-names":false,"suffix":""}],"container-title":"Uncertain Supply Chain Management","id":"ITEM-2","issue":"3","issued":{"date-parts":[["2023"]]},"page":"1369–1382","title":"The role of top management commitment, employee empowerment and total quality management in production waste management and enhancing firm performance","type":"article-journal","volume":"11"},"uris":["http://www.mendeley.com/documents/?uuid=d1412f96-8a81-3b9e-9536-f96336e339e9"]},{"id":"ITEM-3","itemData":{"DOI":"10.1016/J.ECONMOD.2022.105932","ISSN":"0264-9993","abstract":"This study examines an important yet underexplored aspect of firms’ sustainability practices, i.e., waste management, in order to analyze its impact on financial performance. Although the extant literature has focused on various aspects of sustainability, the impact of waste management, which has disastrous consequences for the climate and firm performance, remains largely unexplored. Thus, using the 2002–2019 data of listed firms from 41 countries, we found a significantly negative (positive) relationship between waste generation (recycling) and financial performance. Our findings are robust to alternative variables, sub-sample analysis, and identification strategies. Moreover, a channel analysis showed that this relationship is influenced by operating costs, ESG performance-based compensation, industry nature, the Paris agreement on climate change, and the global financial crisis. Overall, the findings suggest that environmental initiatives are beneficial for firms and present important policy implications for regulators and firms.","author":[{"dropping-particle":"","family":"Gull","given":"Ammar Ali","non-dropping-particle":"","parse-names":false,"suffix":""},{"dropping-particle":"","family":"Atif","given":"Muhammad","non-dropping-particle":"","parse-names":false,"suffix":""},{"dropping-particle":"","family":"Ahsan","given":"Tanveer","non-dropping-particle":"","parse-names":false,"suffix":""},{"dropping-particle":"","family":"Derouiche","given":"Imen","non-dropping-particle":"","parse-names":false,"suffix":""}],"container-title":"Economic Modelling","id":"ITEM-3","issued":{"date-parts":[["2022","9","1"]]},"page":"105932","title":"Does waste management affect firm performance? International evidence","type":"article-journal","volume":"114"},"uris":["http://www.mendeley.com/documents/?uuid=0ecbc08a-9434-37fc-b2bd-379559bf0932"]}],"mendeley":{"formattedCitation":"(Gull, Atif, Ahsan, &lt;i&gt;et al.&lt;/i&gt;, 2022; Simionescu &lt;i&gt;et al.&lt;/i&gt;, 2020; Wijaya &lt;i&gt;et al.&lt;/i&gt;, 2023)","plainTextFormattedCitation":"(Gull, Atif, Ahsan, et al., 2022; Simionescu et al., 2020; Wijaya et al., 2023)","previouslyFormattedCitation":"(Gull, Atif, Ahsan, &lt;i&gt;et al.&lt;/i&gt;, 2022; Simionescu &lt;i&gt;et al.&lt;/i&gt;, 2020; Wijaya &lt;i&gt;et al.&lt;/i&gt;, 2023)"},"properties":{"noteIndex":0},"schema":"https://github.com/citation-style-language/schema/raw/master/csl-citation.json"}</w:instrText>
      </w:r>
      <w:r w:rsidR="00C22C0A" w:rsidRPr="005B7CAC">
        <w:rPr>
          <w:rFonts w:ascii="Times New Roman" w:hAnsi="Times New Roman"/>
          <w:bCs/>
          <w:iCs/>
          <w:sz w:val="24"/>
          <w:szCs w:val="20"/>
          <w:lang w:val="en-US"/>
        </w:rPr>
        <w:fldChar w:fldCharType="separate"/>
      </w:r>
      <w:r w:rsidR="00FB0BAD" w:rsidRPr="005B7CAC">
        <w:rPr>
          <w:rFonts w:ascii="Times New Roman" w:hAnsi="Times New Roman"/>
          <w:bCs/>
          <w:iCs/>
          <w:noProof/>
          <w:sz w:val="24"/>
          <w:szCs w:val="20"/>
          <w:lang w:val="en-US"/>
        </w:rPr>
        <w:t>(Gull</w:t>
      </w:r>
      <w:r w:rsidR="009452D6" w:rsidRPr="005B7CAC">
        <w:rPr>
          <w:rFonts w:ascii="Times New Roman" w:hAnsi="Times New Roman"/>
          <w:bCs/>
          <w:iCs/>
          <w:noProof/>
          <w:sz w:val="24"/>
          <w:szCs w:val="20"/>
          <w:lang w:val="en-US"/>
        </w:rPr>
        <w:t xml:space="preserve"> </w:t>
      </w:r>
      <w:r w:rsidR="00FB0BAD" w:rsidRPr="005B7CAC">
        <w:rPr>
          <w:rFonts w:ascii="Times New Roman" w:hAnsi="Times New Roman"/>
          <w:bCs/>
          <w:i/>
          <w:iCs/>
          <w:noProof/>
          <w:sz w:val="24"/>
          <w:szCs w:val="20"/>
          <w:lang w:val="en-US"/>
        </w:rPr>
        <w:t>et al.</w:t>
      </w:r>
      <w:r w:rsidR="00FB0BAD" w:rsidRPr="005B7CAC">
        <w:rPr>
          <w:rFonts w:ascii="Times New Roman" w:hAnsi="Times New Roman"/>
          <w:bCs/>
          <w:iCs/>
          <w:noProof/>
          <w:sz w:val="24"/>
          <w:szCs w:val="20"/>
          <w:lang w:val="en-US"/>
        </w:rPr>
        <w:t>, 2022</w:t>
      </w:r>
      <w:r w:rsidR="009452D6" w:rsidRPr="005B7CAC">
        <w:rPr>
          <w:rFonts w:ascii="Times New Roman" w:hAnsi="Times New Roman"/>
          <w:bCs/>
          <w:iCs/>
          <w:noProof/>
          <w:sz w:val="24"/>
          <w:szCs w:val="20"/>
          <w:lang w:val="en-US"/>
        </w:rPr>
        <w:t>a</w:t>
      </w:r>
      <w:r w:rsidR="00FB0BAD" w:rsidRPr="005B7CAC">
        <w:rPr>
          <w:rFonts w:ascii="Times New Roman" w:hAnsi="Times New Roman"/>
          <w:bCs/>
          <w:iCs/>
          <w:noProof/>
          <w:sz w:val="24"/>
          <w:szCs w:val="20"/>
          <w:lang w:val="en-US"/>
        </w:rPr>
        <w:t xml:space="preserve">; Simionescu </w:t>
      </w:r>
      <w:r w:rsidR="00FB0BAD" w:rsidRPr="005B7CAC">
        <w:rPr>
          <w:rFonts w:ascii="Times New Roman" w:hAnsi="Times New Roman"/>
          <w:bCs/>
          <w:i/>
          <w:iCs/>
          <w:noProof/>
          <w:sz w:val="24"/>
          <w:szCs w:val="20"/>
          <w:lang w:val="en-US"/>
        </w:rPr>
        <w:t>et al.</w:t>
      </w:r>
      <w:r w:rsidR="00FB0BAD" w:rsidRPr="005B7CAC">
        <w:rPr>
          <w:rFonts w:ascii="Times New Roman" w:hAnsi="Times New Roman"/>
          <w:bCs/>
          <w:iCs/>
          <w:noProof/>
          <w:sz w:val="24"/>
          <w:szCs w:val="20"/>
          <w:lang w:val="en-US"/>
        </w:rPr>
        <w:t xml:space="preserve">, 2020; Wijaya </w:t>
      </w:r>
      <w:r w:rsidR="00FB0BAD" w:rsidRPr="005B7CAC">
        <w:rPr>
          <w:rFonts w:ascii="Times New Roman" w:hAnsi="Times New Roman"/>
          <w:bCs/>
          <w:i/>
          <w:iCs/>
          <w:noProof/>
          <w:sz w:val="24"/>
          <w:szCs w:val="20"/>
          <w:lang w:val="en-US"/>
        </w:rPr>
        <w:t>et al.</w:t>
      </w:r>
      <w:r w:rsidR="00FB0BAD" w:rsidRPr="005B7CAC">
        <w:rPr>
          <w:rFonts w:ascii="Times New Roman" w:hAnsi="Times New Roman"/>
          <w:bCs/>
          <w:iCs/>
          <w:noProof/>
          <w:sz w:val="24"/>
          <w:szCs w:val="20"/>
          <w:lang w:val="en-US"/>
        </w:rPr>
        <w:t>, 2023)</w:t>
      </w:r>
      <w:r w:rsidR="00C22C0A" w:rsidRPr="005B7CAC">
        <w:rPr>
          <w:rFonts w:ascii="Times New Roman" w:hAnsi="Times New Roman"/>
          <w:bCs/>
          <w:iCs/>
          <w:sz w:val="24"/>
          <w:szCs w:val="20"/>
          <w:lang w:val="en-US"/>
        </w:rPr>
        <w:fldChar w:fldCharType="end"/>
      </w:r>
      <w:r w:rsidR="0056132E" w:rsidRPr="005B7CAC">
        <w:rPr>
          <w:rFonts w:ascii="Times New Roman" w:hAnsi="Times New Roman"/>
          <w:bCs/>
          <w:iCs/>
          <w:sz w:val="24"/>
          <w:szCs w:val="20"/>
          <w:lang w:val="en-US"/>
        </w:rPr>
        <w:t xml:space="preserve"> </w:t>
      </w:r>
      <w:r w:rsidR="00C52567" w:rsidRPr="005B7CAC">
        <w:rPr>
          <w:rFonts w:ascii="Times New Roman" w:hAnsi="Times New Roman"/>
          <w:bCs/>
          <w:iCs/>
          <w:sz w:val="24"/>
          <w:szCs w:val="20"/>
          <w:lang w:val="en-US"/>
        </w:rPr>
        <w:t>ha</w:t>
      </w:r>
      <w:r w:rsidR="00FB0BAD" w:rsidRPr="005B7CAC">
        <w:rPr>
          <w:rFonts w:ascii="Times New Roman" w:hAnsi="Times New Roman"/>
          <w:bCs/>
          <w:iCs/>
          <w:sz w:val="24"/>
          <w:szCs w:val="20"/>
          <w:lang w:val="en-US"/>
        </w:rPr>
        <w:t>ve</w:t>
      </w:r>
      <w:r w:rsidR="00C52567" w:rsidRPr="005B7CAC">
        <w:rPr>
          <w:rFonts w:ascii="Times New Roman" w:hAnsi="Times New Roman"/>
          <w:bCs/>
          <w:iCs/>
          <w:sz w:val="24"/>
          <w:szCs w:val="20"/>
          <w:lang w:val="en-US"/>
        </w:rPr>
        <w:t xml:space="preserve"> examined the </w:t>
      </w:r>
      <w:r w:rsidR="00FB0BAD" w:rsidRPr="005B7CAC">
        <w:rPr>
          <w:rFonts w:ascii="Times New Roman" w:hAnsi="Times New Roman"/>
          <w:bCs/>
          <w:iCs/>
          <w:sz w:val="24"/>
          <w:szCs w:val="20"/>
          <w:lang w:val="en-US"/>
        </w:rPr>
        <w:t xml:space="preserve">effects of </w:t>
      </w:r>
      <w:r w:rsidR="00FB0BAD" w:rsidRPr="005B7CAC">
        <w:rPr>
          <w:rFonts w:ascii="Times New Roman" w:hAnsi="Times New Roman"/>
          <w:bCs/>
          <w:i/>
          <w:iCs/>
          <w:sz w:val="24"/>
          <w:szCs w:val="20"/>
          <w:lang w:val="en-US"/>
        </w:rPr>
        <w:t>WM</w:t>
      </w:r>
      <w:r w:rsidR="00FB0BAD" w:rsidRPr="005B7CAC">
        <w:rPr>
          <w:rFonts w:ascii="Times New Roman" w:hAnsi="Times New Roman"/>
          <w:bCs/>
          <w:iCs/>
          <w:sz w:val="24"/>
          <w:szCs w:val="20"/>
          <w:lang w:val="en-US"/>
        </w:rPr>
        <w:t xml:space="preserve"> practices on firm performance</w:t>
      </w:r>
      <w:r w:rsidR="00277DD8" w:rsidRPr="005B7CAC">
        <w:rPr>
          <w:rFonts w:ascii="Times New Roman" w:hAnsi="Times New Roman"/>
          <w:bCs/>
          <w:iCs/>
          <w:sz w:val="24"/>
          <w:szCs w:val="20"/>
          <w:lang w:val="en-US"/>
        </w:rPr>
        <w:t xml:space="preserve">, </w:t>
      </w:r>
      <w:r w:rsidR="00C52567" w:rsidRPr="005B7CAC">
        <w:rPr>
          <w:rFonts w:ascii="Times New Roman" w:hAnsi="Times New Roman"/>
          <w:bCs/>
          <w:iCs/>
          <w:sz w:val="24"/>
          <w:szCs w:val="20"/>
          <w:lang w:val="en-US"/>
        </w:rPr>
        <w:t xml:space="preserve">empirical </w:t>
      </w:r>
      <w:r w:rsidR="002D09CD" w:rsidRPr="005B7CAC">
        <w:rPr>
          <w:rFonts w:ascii="Times New Roman" w:hAnsi="Times New Roman"/>
          <w:bCs/>
          <w:iCs/>
          <w:sz w:val="24"/>
          <w:szCs w:val="20"/>
          <w:lang w:val="en-US"/>
        </w:rPr>
        <w:t xml:space="preserve">evidence on the ability </w:t>
      </w:r>
      <w:r w:rsidR="00755EAF" w:rsidRPr="005B7CAC">
        <w:rPr>
          <w:rFonts w:ascii="Times New Roman" w:hAnsi="Times New Roman"/>
          <w:bCs/>
          <w:iCs/>
          <w:sz w:val="24"/>
          <w:szCs w:val="20"/>
          <w:lang w:val="en-US"/>
        </w:rPr>
        <w:t xml:space="preserve">of </w:t>
      </w:r>
      <w:r w:rsidR="001A1CB2" w:rsidRPr="005B7CAC">
        <w:rPr>
          <w:rFonts w:ascii="Times New Roman" w:hAnsi="Times New Roman"/>
          <w:bCs/>
          <w:i/>
          <w:sz w:val="24"/>
          <w:szCs w:val="20"/>
          <w:lang w:val="en-US"/>
        </w:rPr>
        <w:t>GINV</w:t>
      </w:r>
      <w:r w:rsidR="00D40CE1" w:rsidRPr="005B7CAC">
        <w:rPr>
          <w:rFonts w:ascii="Times New Roman" w:hAnsi="Times New Roman"/>
          <w:bCs/>
          <w:i/>
          <w:sz w:val="24"/>
          <w:szCs w:val="20"/>
          <w:lang w:val="en-US"/>
        </w:rPr>
        <w:t>s</w:t>
      </w:r>
      <w:r w:rsidR="002D09CD" w:rsidRPr="005B7CAC">
        <w:rPr>
          <w:rFonts w:ascii="Times New Roman" w:hAnsi="Times New Roman"/>
          <w:bCs/>
          <w:iCs/>
          <w:sz w:val="24"/>
          <w:szCs w:val="20"/>
          <w:lang w:val="en-US"/>
        </w:rPr>
        <w:t xml:space="preserve"> to moderate </w:t>
      </w:r>
      <w:r w:rsidR="00F37288" w:rsidRPr="005B7CAC">
        <w:rPr>
          <w:rFonts w:ascii="Times New Roman" w:hAnsi="Times New Roman"/>
          <w:bCs/>
          <w:iCs/>
          <w:sz w:val="24"/>
          <w:szCs w:val="20"/>
          <w:lang w:val="en-US"/>
        </w:rPr>
        <w:t>the</w:t>
      </w:r>
      <w:r w:rsidR="00755EAF" w:rsidRPr="005B7CAC">
        <w:rPr>
          <w:rFonts w:ascii="Times New Roman" w:hAnsi="Times New Roman"/>
          <w:bCs/>
          <w:iCs/>
          <w:sz w:val="24"/>
          <w:szCs w:val="20"/>
          <w:lang w:val="en-US"/>
        </w:rPr>
        <w:t xml:space="preserve"> </w:t>
      </w:r>
      <w:r w:rsidR="00C52567" w:rsidRPr="005B7CAC">
        <w:rPr>
          <w:rFonts w:ascii="Times New Roman" w:hAnsi="Times New Roman"/>
          <w:bCs/>
          <w:sz w:val="24"/>
          <w:szCs w:val="24"/>
          <w:lang w:val="en-US"/>
        </w:rPr>
        <w:t>ne</w:t>
      </w:r>
      <w:r w:rsidR="00C52567" w:rsidRPr="005B7CAC">
        <w:rPr>
          <w:rFonts w:ascii="Times New Roman" w:hAnsi="Times New Roman"/>
          <w:bCs/>
          <w:iCs/>
          <w:sz w:val="24"/>
          <w:szCs w:val="20"/>
          <w:lang w:val="en-US"/>
        </w:rPr>
        <w:t xml:space="preserve">xus </w:t>
      </w:r>
      <w:r w:rsidR="00F37288" w:rsidRPr="005B7CAC">
        <w:rPr>
          <w:rFonts w:ascii="Times New Roman" w:hAnsi="Times New Roman"/>
          <w:bCs/>
          <w:iCs/>
          <w:sz w:val="24"/>
          <w:szCs w:val="20"/>
          <w:lang w:val="en-US"/>
        </w:rPr>
        <w:t xml:space="preserve">between </w:t>
      </w:r>
      <w:r w:rsidR="00F37288" w:rsidRPr="005B7CAC">
        <w:rPr>
          <w:rFonts w:ascii="Times New Roman" w:hAnsi="Times New Roman"/>
          <w:bCs/>
          <w:i/>
          <w:sz w:val="24"/>
          <w:szCs w:val="20"/>
          <w:lang w:val="en-US"/>
        </w:rPr>
        <w:t>WM</w:t>
      </w:r>
      <w:r w:rsidR="00F37288" w:rsidRPr="005B7CAC">
        <w:rPr>
          <w:rFonts w:ascii="Times New Roman" w:hAnsi="Times New Roman"/>
          <w:bCs/>
          <w:iCs/>
          <w:sz w:val="24"/>
          <w:szCs w:val="20"/>
          <w:lang w:val="en-US"/>
        </w:rPr>
        <w:t xml:space="preserve"> and </w:t>
      </w:r>
      <w:r w:rsidR="00F37288" w:rsidRPr="005B7CAC">
        <w:rPr>
          <w:rFonts w:ascii="Times New Roman" w:hAnsi="Times New Roman"/>
          <w:bCs/>
          <w:i/>
          <w:sz w:val="24"/>
          <w:szCs w:val="20"/>
          <w:lang w:val="en-US"/>
        </w:rPr>
        <w:t>FD</w:t>
      </w:r>
      <w:r w:rsidR="0088676A" w:rsidRPr="005B7CAC">
        <w:rPr>
          <w:rFonts w:ascii="Times New Roman" w:hAnsi="Times New Roman"/>
          <w:bCs/>
          <w:iCs/>
          <w:sz w:val="24"/>
          <w:szCs w:val="20"/>
          <w:lang w:val="en-US"/>
        </w:rPr>
        <w:t xml:space="preserve"> </w:t>
      </w:r>
      <w:r w:rsidR="00C52567" w:rsidRPr="005B7CAC">
        <w:rPr>
          <w:rFonts w:ascii="Times New Roman" w:hAnsi="Times New Roman"/>
          <w:bCs/>
          <w:iCs/>
          <w:sz w:val="24"/>
          <w:szCs w:val="20"/>
          <w:lang w:val="en-US"/>
        </w:rPr>
        <w:t xml:space="preserve">is </w:t>
      </w:r>
      <w:r w:rsidR="0088676A" w:rsidRPr="005B7CAC">
        <w:rPr>
          <w:rFonts w:ascii="Times New Roman" w:hAnsi="Times New Roman"/>
          <w:bCs/>
          <w:iCs/>
          <w:sz w:val="24"/>
          <w:szCs w:val="20"/>
          <w:lang w:val="en-US"/>
        </w:rPr>
        <w:t>limited</w:t>
      </w:r>
      <w:r w:rsidR="00C52567" w:rsidRPr="005B7CAC">
        <w:rPr>
          <w:rFonts w:ascii="Times New Roman" w:hAnsi="Times New Roman"/>
          <w:bCs/>
          <w:iCs/>
          <w:sz w:val="24"/>
          <w:szCs w:val="20"/>
          <w:lang w:val="en-US"/>
        </w:rPr>
        <w:t>.</w:t>
      </w:r>
      <w:r w:rsidR="006D799B" w:rsidRPr="005B7CAC">
        <w:rPr>
          <w:rFonts w:ascii="Times New Roman" w:hAnsi="Times New Roman"/>
          <w:bCs/>
          <w:iCs/>
          <w:sz w:val="24"/>
          <w:szCs w:val="20"/>
          <w:lang w:val="en-US"/>
        </w:rPr>
        <w:t xml:space="preserve"> The </w:t>
      </w:r>
      <w:r w:rsidR="00803A1E" w:rsidRPr="005B7CAC">
        <w:rPr>
          <w:rFonts w:ascii="Times New Roman" w:hAnsi="Times New Roman"/>
          <w:bCs/>
          <w:iCs/>
          <w:sz w:val="24"/>
          <w:szCs w:val="20"/>
          <w:lang w:val="en-US"/>
        </w:rPr>
        <w:t>results suggest</w:t>
      </w:r>
      <w:r w:rsidR="00A336E6" w:rsidRPr="005B7CAC">
        <w:rPr>
          <w:rFonts w:ascii="Times New Roman" w:hAnsi="Times New Roman"/>
          <w:bCs/>
          <w:iCs/>
          <w:sz w:val="24"/>
          <w:szCs w:val="20"/>
          <w:lang w:val="en-US"/>
        </w:rPr>
        <w:t xml:space="preserve"> that </w:t>
      </w:r>
      <w:r w:rsidR="00BF24F0" w:rsidRPr="005B7CAC">
        <w:rPr>
          <w:rFonts w:ascii="Times New Roman" w:hAnsi="Times New Roman"/>
          <w:bCs/>
          <w:iCs/>
          <w:sz w:val="24"/>
          <w:szCs w:val="20"/>
          <w:lang w:val="en-US"/>
        </w:rPr>
        <w:t xml:space="preserve">a firm’s commitment to </w:t>
      </w:r>
      <w:r w:rsidR="00B355DE" w:rsidRPr="005B7CAC">
        <w:rPr>
          <w:rFonts w:ascii="Times New Roman" w:hAnsi="Times New Roman"/>
          <w:bCs/>
          <w:i/>
          <w:iCs/>
          <w:sz w:val="24"/>
          <w:szCs w:val="20"/>
          <w:lang w:val="en-US"/>
        </w:rPr>
        <w:t>GINVs</w:t>
      </w:r>
      <w:r w:rsidR="00BF24F0" w:rsidRPr="005B7CAC">
        <w:rPr>
          <w:rFonts w:ascii="Times New Roman" w:hAnsi="Times New Roman"/>
          <w:bCs/>
          <w:iCs/>
          <w:sz w:val="24"/>
          <w:szCs w:val="20"/>
          <w:lang w:val="en-US"/>
        </w:rPr>
        <w:t xml:space="preserve"> plays</w:t>
      </w:r>
      <w:r w:rsidR="00A336E6" w:rsidRPr="005B7CAC">
        <w:rPr>
          <w:rFonts w:ascii="Times New Roman" w:hAnsi="Times New Roman"/>
          <w:bCs/>
          <w:iCs/>
          <w:sz w:val="24"/>
          <w:szCs w:val="20"/>
          <w:lang w:val="en-US"/>
        </w:rPr>
        <w:t xml:space="preserve"> a key role in</w:t>
      </w:r>
      <w:r w:rsidR="00EF676B" w:rsidRPr="005B7CAC">
        <w:rPr>
          <w:rFonts w:ascii="Times New Roman" w:hAnsi="Times New Roman"/>
          <w:bCs/>
          <w:iCs/>
          <w:sz w:val="24"/>
          <w:szCs w:val="20"/>
          <w:lang w:val="en-US"/>
        </w:rPr>
        <w:t xml:space="preserve"> mitigating </w:t>
      </w:r>
      <w:r w:rsidR="00A336E6" w:rsidRPr="005B7CAC">
        <w:rPr>
          <w:rFonts w:ascii="Times New Roman" w:hAnsi="Times New Roman"/>
          <w:bCs/>
          <w:iCs/>
          <w:sz w:val="24"/>
          <w:szCs w:val="20"/>
          <w:lang w:val="en-US"/>
        </w:rPr>
        <w:t xml:space="preserve">waste and reducing </w:t>
      </w:r>
      <w:r w:rsidR="00A336E6" w:rsidRPr="005B7CAC">
        <w:rPr>
          <w:rFonts w:ascii="Times New Roman" w:hAnsi="Times New Roman"/>
          <w:bCs/>
          <w:i/>
          <w:sz w:val="24"/>
          <w:szCs w:val="20"/>
          <w:lang w:val="en-US"/>
        </w:rPr>
        <w:t>FD</w:t>
      </w:r>
      <w:r w:rsidR="00A336E6" w:rsidRPr="005B7CAC">
        <w:rPr>
          <w:rFonts w:ascii="Times New Roman" w:hAnsi="Times New Roman"/>
          <w:bCs/>
          <w:iCs/>
          <w:sz w:val="24"/>
          <w:szCs w:val="20"/>
          <w:lang w:val="en-US"/>
        </w:rPr>
        <w:t xml:space="preserve"> risks. </w:t>
      </w:r>
      <w:r w:rsidR="007958A6" w:rsidRPr="005B7CAC">
        <w:rPr>
          <w:rFonts w:ascii="Times New Roman" w:hAnsi="Times New Roman"/>
          <w:bCs/>
          <w:iCs/>
          <w:sz w:val="24"/>
          <w:szCs w:val="20"/>
          <w:lang w:val="en-US"/>
        </w:rPr>
        <w:t xml:space="preserve">Finally, the results </w:t>
      </w:r>
      <w:r w:rsidR="00803A1E" w:rsidRPr="005B7CAC">
        <w:rPr>
          <w:rFonts w:ascii="Times New Roman" w:hAnsi="Times New Roman"/>
          <w:bCs/>
          <w:iCs/>
          <w:sz w:val="24"/>
          <w:szCs w:val="20"/>
          <w:lang w:val="en-US"/>
        </w:rPr>
        <w:t>provide</w:t>
      </w:r>
      <w:r w:rsidR="007958A6" w:rsidRPr="005B7CAC">
        <w:rPr>
          <w:rFonts w:ascii="Times New Roman" w:hAnsi="Times New Roman"/>
          <w:bCs/>
          <w:iCs/>
          <w:sz w:val="24"/>
          <w:szCs w:val="20"/>
          <w:lang w:val="en-US"/>
        </w:rPr>
        <w:t xml:space="preserve"> new insights for executives</w:t>
      </w:r>
      <w:r w:rsidR="00CD446E" w:rsidRPr="005B7CAC">
        <w:rPr>
          <w:rFonts w:ascii="Times New Roman" w:hAnsi="Times New Roman"/>
          <w:bCs/>
          <w:iCs/>
          <w:sz w:val="24"/>
          <w:szCs w:val="20"/>
          <w:lang w:val="en-US"/>
        </w:rPr>
        <w:t xml:space="preserve"> </w:t>
      </w:r>
      <w:r w:rsidR="007958A6" w:rsidRPr="005B7CAC">
        <w:rPr>
          <w:rFonts w:ascii="Times New Roman" w:hAnsi="Times New Roman"/>
          <w:bCs/>
          <w:iCs/>
          <w:sz w:val="24"/>
          <w:szCs w:val="20"/>
          <w:lang w:val="en-US"/>
        </w:rPr>
        <w:t xml:space="preserve">and </w:t>
      </w:r>
      <w:r w:rsidR="007958A6" w:rsidRPr="005B7CAC">
        <w:rPr>
          <w:rFonts w:ascii="Times New Roman" w:hAnsi="Times New Roman"/>
          <w:bCs/>
          <w:iCs/>
          <w:sz w:val="24"/>
          <w:szCs w:val="20"/>
          <w:lang w:val="en-US"/>
        </w:rPr>
        <w:lastRenderedPageBreak/>
        <w:t xml:space="preserve">regulators </w:t>
      </w:r>
      <w:r w:rsidR="00A336E6" w:rsidRPr="005B7CAC">
        <w:rPr>
          <w:rFonts w:ascii="Times New Roman" w:hAnsi="Times New Roman"/>
          <w:bCs/>
          <w:iCs/>
          <w:sz w:val="24"/>
          <w:szCs w:val="20"/>
          <w:lang w:val="en-US"/>
        </w:rPr>
        <w:t xml:space="preserve">concerned about </w:t>
      </w:r>
      <w:r w:rsidR="007A3592" w:rsidRPr="005B7CAC">
        <w:rPr>
          <w:rFonts w:ascii="Times New Roman" w:hAnsi="Times New Roman"/>
          <w:bCs/>
          <w:iCs/>
          <w:sz w:val="24"/>
          <w:szCs w:val="20"/>
          <w:lang w:val="en-US"/>
        </w:rPr>
        <w:t xml:space="preserve">climate-related risks/threats associated with </w:t>
      </w:r>
      <w:r w:rsidR="0088676A" w:rsidRPr="005B7CAC">
        <w:rPr>
          <w:rFonts w:ascii="Times New Roman" w:hAnsi="Times New Roman"/>
          <w:bCs/>
          <w:iCs/>
          <w:sz w:val="24"/>
          <w:szCs w:val="20"/>
          <w:lang w:val="en-US"/>
        </w:rPr>
        <w:t xml:space="preserve">increasing </w:t>
      </w:r>
      <w:r w:rsidR="007958A6" w:rsidRPr="005B7CAC">
        <w:rPr>
          <w:rFonts w:ascii="Times New Roman" w:hAnsi="Times New Roman"/>
          <w:bCs/>
          <w:iCs/>
          <w:sz w:val="24"/>
          <w:szCs w:val="20"/>
          <w:lang w:val="en-US"/>
        </w:rPr>
        <w:t>waste</w:t>
      </w:r>
      <w:r w:rsidR="0088676A" w:rsidRPr="005B7CAC">
        <w:rPr>
          <w:rFonts w:ascii="Times New Roman" w:hAnsi="Times New Roman"/>
          <w:bCs/>
          <w:iCs/>
          <w:sz w:val="24"/>
          <w:szCs w:val="20"/>
          <w:lang w:val="en-US"/>
        </w:rPr>
        <w:t xml:space="preserve"> levels</w:t>
      </w:r>
      <w:r w:rsidR="00803A1E" w:rsidRPr="005B7CAC">
        <w:rPr>
          <w:rFonts w:ascii="Times New Roman" w:hAnsi="Times New Roman"/>
          <w:bCs/>
          <w:iCs/>
          <w:sz w:val="24"/>
          <w:szCs w:val="20"/>
          <w:lang w:val="en-US"/>
        </w:rPr>
        <w:t>,</w:t>
      </w:r>
      <w:r w:rsidR="007E7AE5" w:rsidRPr="005B7CAC">
        <w:rPr>
          <w:rFonts w:ascii="Times New Roman" w:hAnsi="Times New Roman"/>
          <w:bCs/>
          <w:iCs/>
          <w:sz w:val="24"/>
          <w:szCs w:val="20"/>
          <w:lang w:val="en-US"/>
        </w:rPr>
        <w:t xml:space="preserve"> </w:t>
      </w:r>
      <w:r w:rsidR="00CD446E" w:rsidRPr="005B7CAC">
        <w:rPr>
          <w:rFonts w:ascii="Times New Roman" w:hAnsi="Times New Roman"/>
          <w:bCs/>
          <w:iCs/>
          <w:sz w:val="24"/>
          <w:szCs w:val="20"/>
          <w:lang w:val="en-US"/>
        </w:rPr>
        <w:t>and advise business entities</w:t>
      </w:r>
      <w:r w:rsidR="007E7AE5" w:rsidRPr="005B7CAC">
        <w:rPr>
          <w:rFonts w:ascii="Times New Roman" w:hAnsi="Times New Roman"/>
          <w:bCs/>
          <w:iCs/>
          <w:sz w:val="24"/>
          <w:szCs w:val="20"/>
          <w:lang w:val="en-US"/>
        </w:rPr>
        <w:t xml:space="preserve"> to manage/mitigate their financial risks by proactively engaging in </w:t>
      </w:r>
      <w:r w:rsidR="007E7AE5" w:rsidRPr="005B7CAC">
        <w:rPr>
          <w:rFonts w:ascii="Times New Roman" w:hAnsi="Times New Roman"/>
          <w:bCs/>
          <w:i/>
          <w:sz w:val="24"/>
          <w:szCs w:val="20"/>
          <w:lang w:val="en-US"/>
        </w:rPr>
        <w:t>WM</w:t>
      </w:r>
      <w:r w:rsidR="007E7AE5" w:rsidRPr="005B7CAC">
        <w:rPr>
          <w:rFonts w:ascii="Times New Roman" w:hAnsi="Times New Roman"/>
          <w:bCs/>
          <w:iCs/>
          <w:sz w:val="24"/>
          <w:szCs w:val="20"/>
          <w:lang w:val="en-US"/>
        </w:rPr>
        <w:t xml:space="preserve"> practices</w:t>
      </w:r>
      <w:r w:rsidR="007A3592" w:rsidRPr="005B7CAC">
        <w:rPr>
          <w:rFonts w:ascii="Times New Roman" w:hAnsi="Times New Roman"/>
          <w:bCs/>
          <w:iCs/>
          <w:sz w:val="24"/>
          <w:szCs w:val="20"/>
          <w:lang w:val="en-US"/>
        </w:rPr>
        <w:t>.</w:t>
      </w:r>
      <w:r w:rsidR="00803A1E" w:rsidRPr="005B7CAC">
        <w:rPr>
          <w:rFonts w:ascii="Times New Roman" w:hAnsi="Times New Roman"/>
          <w:bCs/>
          <w:iCs/>
          <w:sz w:val="24"/>
          <w:szCs w:val="20"/>
          <w:lang w:val="en-US"/>
        </w:rPr>
        <w:t xml:space="preserve"> </w:t>
      </w:r>
      <w:r w:rsidR="007A3592" w:rsidRPr="005B7CAC">
        <w:rPr>
          <w:rFonts w:ascii="Times New Roman" w:hAnsi="Times New Roman"/>
          <w:bCs/>
          <w:iCs/>
          <w:sz w:val="24"/>
          <w:szCs w:val="20"/>
          <w:lang w:val="en-US"/>
        </w:rPr>
        <w:t xml:space="preserve">The findings also suggest that firms seeking to </w:t>
      </w:r>
      <w:r w:rsidR="007A3592" w:rsidRPr="005B7CAC">
        <w:rPr>
          <w:rFonts w:ascii="Times New Roman" w:hAnsi="Times New Roman"/>
          <w:iCs/>
          <w:sz w:val="24"/>
          <w:szCs w:val="20"/>
          <w:lang w:val="en-US"/>
        </w:rPr>
        <w:t xml:space="preserve">achieve optimal financial sustainability need to carefully balance their green initiatives with their waste recycling efforts. </w:t>
      </w:r>
    </w:p>
    <w:p w14:paraId="3FA97A59" w14:textId="0FC107DC" w:rsidR="00C31A75" w:rsidRPr="005B7CAC" w:rsidRDefault="00DD7A28" w:rsidP="003D5418">
      <w:pPr>
        <w:widowControl w:val="0"/>
        <w:autoSpaceDE w:val="0"/>
        <w:autoSpaceDN w:val="0"/>
        <w:adjustRightInd w:val="0"/>
        <w:spacing w:after="240" w:line="360" w:lineRule="auto"/>
        <w:jc w:val="both"/>
        <w:rPr>
          <w:rFonts w:ascii="Times New Roman" w:hAnsi="Times New Roman"/>
          <w:bCs/>
          <w:iCs/>
          <w:sz w:val="24"/>
          <w:szCs w:val="20"/>
          <w:lang w:val="en-US"/>
        </w:rPr>
      </w:pPr>
      <w:r w:rsidRPr="005B7CAC">
        <w:rPr>
          <w:rFonts w:ascii="Times New Roman" w:hAnsi="Times New Roman"/>
          <w:bCs/>
          <w:iCs/>
          <w:sz w:val="24"/>
          <w:szCs w:val="20"/>
          <w:lang w:val="en-US"/>
        </w:rPr>
        <w:t>The remainder of the study is presented in four sections. Section 2 reviews related research and develops hypothes</w:t>
      </w:r>
      <w:r w:rsidR="009042D8" w:rsidRPr="005B7CAC">
        <w:rPr>
          <w:rFonts w:ascii="Times New Roman" w:hAnsi="Times New Roman"/>
          <w:bCs/>
          <w:iCs/>
          <w:sz w:val="24"/>
          <w:szCs w:val="20"/>
          <w:lang w:val="en-US"/>
        </w:rPr>
        <w:t>e</w:t>
      </w:r>
      <w:r w:rsidRPr="005B7CAC">
        <w:rPr>
          <w:rFonts w:ascii="Times New Roman" w:hAnsi="Times New Roman"/>
          <w:bCs/>
          <w:iCs/>
          <w:sz w:val="24"/>
          <w:szCs w:val="20"/>
          <w:lang w:val="en-US"/>
        </w:rPr>
        <w:t xml:space="preserve">s. Section 3 discusses the research methodology. Section 4 presents and discusses the results. Section 5 concludes the paper.   </w:t>
      </w:r>
    </w:p>
    <w:p w14:paraId="63C78637" w14:textId="77777777" w:rsidR="004F5FD9" w:rsidRPr="005B7CAC" w:rsidRDefault="004F5FD9" w:rsidP="003D5418">
      <w:pPr>
        <w:widowControl w:val="0"/>
        <w:autoSpaceDE w:val="0"/>
        <w:autoSpaceDN w:val="0"/>
        <w:adjustRightInd w:val="0"/>
        <w:spacing w:after="240" w:line="360" w:lineRule="auto"/>
        <w:jc w:val="both"/>
        <w:rPr>
          <w:rFonts w:ascii="Times New Roman" w:hAnsi="Times New Roman"/>
          <w:bCs/>
          <w:iCs/>
          <w:sz w:val="24"/>
          <w:szCs w:val="20"/>
          <w:lang w:val="en-US"/>
        </w:rPr>
      </w:pPr>
    </w:p>
    <w:p w14:paraId="3D05966B" w14:textId="2DB43A4E" w:rsidR="001E2CA1" w:rsidRPr="005B7CAC" w:rsidRDefault="000F6471" w:rsidP="003D5418">
      <w:pPr>
        <w:widowControl w:val="0"/>
        <w:autoSpaceDE w:val="0"/>
        <w:autoSpaceDN w:val="0"/>
        <w:adjustRightInd w:val="0"/>
        <w:spacing w:after="240" w:line="360" w:lineRule="auto"/>
        <w:rPr>
          <w:rFonts w:ascii="Times New Roman" w:hAnsi="Times New Roman"/>
          <w:b/>
          <w:iCs/>
          <w:sz w:val="24"/>
          <w:szCs w:val="20"/>
          <w:lang w:val="en-US"/>
        </w:rPr>
      </w:pPr>
      <w:r w:rsidRPr="005B7CAC">
        <w:rPr>
          <w:rFonts w:ascii="Times New Roman" w:hAnsi="Times New Roman"/>
          <w:b/>
          <w:iCs/>
          <w:sz w:val="24"/>
          <w:szCs w:val="20"/>
          <w:lang w:val="en-US"/>
        </w:rPr>
        <w:t>2</w:t>
      </w:r>
      <w:r w:rsidR="001E2CA1" w:rsidRPr="005B7CAC">
        <w:rPr>
          <w:rFonts w:ascii="Times New Roman" w:hAnsi="Times New Roman"/>
          <w:b/>
          <w:iCs/>
          <w:sz w:val="24"/>
          <w:szCs w:val="20"/>
          <w:lang w:val="en-US"/>
        </w:rPr>
        <w:t xml:space="preserve">. </w:t>
      </w:r>
      <w:r w:rsidRPr="005B7CAC">
        <w:rPr>
          <w:rFonts w:ascii="Times New Roman" w:hAnsi="Times New Roman"/>
          <w:b/>
          <w:iCs/>
          <w:sz w:val="24"/>
          <w:szCs w:val="20"/>
          <w:lang w:val="en-US"/>
        </w:rPr>
        <w:t>Theory, empirical l</w:t>
      </w:r>
      <w:r w:rsidR="001E2CA1" w:rsidRPr="005B7CAC">
        <w:rPr>
          <w:rFonts w:ascii="Times New Roman" w:hAnsi="Times New Roman"/>
          <w:b/>
          <w:iCs/>
          <w:sz w:val="24"/>
          <w:szCs w:val="20"/>
          <w:lang w:val="en-US"/>
        </w:rPr>
        <w:t>iterature review</w:t>
      </w:r>
      <w:r w:rsidR="009D1859">
        <w:rPr>
          <w:rFonts w:ascii="Times New Roman" w:hAnsi="Times New Roman"/>
          <w:b/>
          <w:iCs/>
          <w:sz w:val="24"/>
          <w:szCs w:val="20"/>
          <w:lang w:val="en-US"/>
        </w:rPr>
        <w:t>,</w:t>
      </w:r>
      <w:r w:rsidR="001E2CA1" w:rsidRPr="005B7CAC">
        <w:rPr>
          <w:rFonts w:ascii="Times New Roman" w:hAnsi="Times New Roman"/>
          <w:b/>
          <w:iCs/>
          <w:sz w:val="24"/>
          <w:szCs w:val="20"/>
          <w:lang w:val="en-US"/>
        </w:rPr>
        <w:t xml:space="preserve"> and hypotheses development</w:t>
      </w:r>
    </w:p>
    <w:p w14:paraId="37AF5FB6" w14:textId="3416635E" w:rsidR="000F6471" w:rsidRPr="005B7CAC" w:rsidRDefault="000F6471" w:rsidP="000F6471">
      <w:pPr>
        <w:widowControl w:val="0"/>
        <w:autoSpaceDE w:val="0"/>
        <w:autoSpaceDN w:val="0"/>
        <w:adjustRightInd w:val="0"/>
        <w:spacing w:after="240" w:line="360" w:lineRule="auto"/>
        <w:rPr>
          <w:rFonts w:ascii="Times New Roman" w:hAnsi="Times New Roman"/>
          <w:b/>
          <w:i/>
          <w:sz w:val="24"/>
          <w:szCs w:val="20"/>
          <w:lang w:val="en-US"/>
        </w:rPr>
      </w:pPr>
      <w:r w:rsidRPr="005B7CAC">
        <w:rPr>
          <w:rFonts w:ascii="Times New Roman" w:hAnsi="Times New Roman"/>
          <w:b/>
          <w:i/>
          <w:sz w:val="24"/>
          <w:szCs w:val="20"/>
          <w:lang w:val="en-US"/>
        </w:rPr>
        <w:t>2.1 Theoretical framework</w:t>
      </w:r>
    </w:p>
    <w:p w14:paraId="01BBA537" w14:textId="7A2D09B9" w:rsidR="00845739" w:rsidRPr="005B7CAC" w:rsidRDefault="000F6471" w:rsidP="000F6471">
      <w:pPr>
        <w:widowControl w:val="0"/>
        <w:autoSpaceDE w:val="0"/>
        <w:autoSpaceDN w:val="0"/>
        <w:adjustRightInd w:val="0"/>
        <w:spacing w:after="240" w:line="360" w:lineRule="auto"/>
        <w:jc w:val="both"/>
        <w:rPr>
          <w:rFonts w:ascii="Times New Roman" w:hAnsi="Times New Roman"/>
          <w:bCs/>
          <w:iCs/>
          <w:sz w:val="24"/>
          <w:szCs w:val="20"/>
          <w:lang w:val="en-US"/>
        </w:rPr>
      </w:pPr>
      <w:r w:rsidRPr="005B7CAC">
        <w:rPr>
          <w:rFonts w:ascii="Times New Roman" w:hAnsi="Times New Roman"/>
          <w:bCs/>
          <w:iCs/>
          <w:sz w:val="24"/>
          <w:szCs w:val="20"/>
          <w:lang w:val="en-US"/>
        </w:rPr>
        <w:t xml:space="preserve">We explore the links among </w:t>
      </w:r>
      <w:r w:rsidRPr="005B7CAC">
        <w:rPr>
          <w:rFonts w:ascii="Times New Roman" w:hAnsi="Times New Roman"/>
          <w:bCs/>
          <w:i/>
          <w:iCs/>
          <w:sz w:val="24"/>
          <w:szCs w:val="20"/>
          <w:lang w:val="en-US"/>
        </w:rPr>
        <w:t>GINVs</w:t>
      </w:r>
      <w:r w:rsidRPr="005B7CAC">
        <w:rPr>
          <w:rFonts w:ascii="Times New Roman" w:hAnsi="Times New Roman"/>
          <w:bCs/>
          <w:iCs/>
          <w:sz w:val="24"/>
          <w:szCs w:val="20"/>
          <w:lang w:val="en-US"/>
        </w:rPr>
        <w:t xml:space="preserve">, </w:t>
      </w:r>
      <w:r w:rsidRPr="005B7CAC">
        <w:rPr>
          <w:rFonts w:ascii="Times New Roman" w:hAnsi="Times New Roman"/>
          <w:bCs/>
          <w:i/>
          <w:iCs/>
          <w:sz w:val="24"/>
          <w:szCs w:val="20"/>
          <w:lang w:val="en-US"/>
        </w:rPr>
        <w:t>WM</w:t>
      </w:r>
      <w:r w:rsidRPr="005B7CAC">
        <w:rPr>
          <w:rFonts w:ascii="Times New Roman" w:hAnsi="Times New Roman"/>
          <w:bCs/>
          <w:iCs/>
          <w:sz w:val="24"/>
          <w:szCs w:val="20"/>
          <w:lang w:val="en-US"/>
        </w:rPr>
        <w:t xml:space="preserve">, and </w:t>
      </w:r>
      <w:r w:rsidRPr="005B7CAC">
        <w:rPr>
          <w:rFonts w:ascii="Times New Roman" w:hAnsi="Times New Roman"/>
          <w:bCs/>
          <w:i/>
          <w:iCs/>
          <w:sz w:val="24"/>
          <w:szCs w:val="20"/>
          <w:lang w:val="en-US"/>
        </w:rPr>
        <w:t>FD</w:t>
      </w:r>
      <w:r w:rsidRPr="005B7CAC">
        <w:rPr>
          <w:rFonts w:ascii="Times New Roman" w:hAnsi="Times New Roman"/>
          <w:bCs/>
          <w:iCs/>
          <w:sz w:val="24"/>
          <w:szCs w:val="20"/>
          <w:lang w:val="en-US"/>
        </w:rPr>
        <w:t xml:space="preserve"> from the stakeholder theory perspective. </w:t>
      </w:r>
      <w:r w:rsidR="00906A1E" w:rsidRPr="005B7CAC">
        <w:rPr>
          <w:rFonts w:ascii="Times New Roman" w:hAnsi="Times New Roman"/>
          <w:bCs/>
          <w:iCs/>
          <w:sz w:val="24"/>
          <w:szCs w:val="20"/>
          <w:lang w:val="en-US"/>
        </w:rPr>
        <w:t>Within this theoretical framework</w:t>
      </w:r>
      <w:r w:rsidRPr="005B7CAC">
        <w:rPr>
          <w:rFonts w:ascii="Times New Roman" w:hAnsi="Times New Roman"/>
          <w:bCs/>
          <w:iCs/>
          <w:sz w:val="24"/>
          <w:szCs w:val="20"/>
          <w:lang w:val="en-US"/>
        </w:rPr>
        <w:t>,</w:t>
      </w:r>
      <w:r w:rsidR="00906A1E" w:rsidRPr="005B7CAC">
        <w:rPr>
          <w:rFonts w:ascii="Times New Roman" w:hAnsi="Times New Roman"/>
          <w:bCs/>
          <w:iCs/>
          <w:sz w:val="24"/>
          <w:szCs w:val="20"/>
          <w:lang w:val="en-US"/>
        </w:rPr>
        <w:t xml:space="preserve"> corporate commitment to environmental practices/initiatives can enhance </w:t>
      </w:r>
      <w:r w:rsidRPr="005B7CAC">
        <w:rPr>
          <w:rFonts w:ascii="Times New Roman" w:hAnsi="Times New Roman"/>
          <w:bCs/>
          <w:iCs/>
          <w:sz w:val="24"/>
          <w:szCs w:val="20"/>
          <w:lang w:val="en-US"/>
        </w:rPr>
        <w:t xml:space="preserve">financial </w:t>
      </w:r>
      <w:r w:rsidR="00906A1E" w:rsidRPr="005B7CAC">
        <w:rPr>
          <w:rFonts w:ascii="Times New Roman" w:hAnsi="Times New Roman"/>
          <w:bCs/>
          <w:iCs/>
          <w:sz w:val="24"/>
          <w:szCs w:val="20"/>
          <w:lang w:val="en-US"/>
        </w:rPr>
        <w:t>sustainability by balancing/</w:t>
      </w:r>
      <w:r w:rsidRPr="005B7CAC">
        <w:rPr>
          <w:rFonts w:ascii="Times New Roman" w:hAnsi="Times New Roman"/>
          <w:bCs/>
          <w:iCs/>
          <w:sz w:val="24"/>
          <w:szCs w:val="20"/>
          <w:lang w:val="en-US"/>
        </w:rPr>
        <w:t xml:space="preserve">meeting the interests of all </w:t>
      </w:r>
      <w:r w:rsidR="00906A1E" w:rsidRPr="005B7CAC">
        <w:rPr>
          <w:rFonts w:ascii="Times New Roman" w:hAnsi="Times New Roman"/>
          <w:bCs/>
          <w:iCs/>
          <w:sz w:val="24"/>
          <w:szCs w:val="20"/>
          <w:lang w:val="en-US"/>
        </w:rPr>
        <w:t>diverse</w:t>
      </w:r>
      <w:r w:rsidRPr="005B7CAC">
        <w:rPr>
          <w:rFonts w:ascii="Times New Roman" w:hAnsi="Times New Roman"/>
          <w:bCs/>
          <w:iCs/>
          <w:sz w:val="24"/>
          <w:szCs w:val="20"/>
          <w:lang w:val="en-US"/>
        </w:rPr>
        <w:t xml:space="preserve"> stakeholders</w:t>
      </w:r>
      <w:r w:rsidR="00906A1E" w:rsidRPr="005B7CAC">
        <w:rPr>
          <w:rFonts w:ascii="Times New Roman" w:hAnsi="Times New Roman"/>
          <w:bCs/>
          <w:iCs/>
          <w:sz w:val="24"/>
          <w:szCs w:val="20"/>
          <w:lang w:val="en-US"/>
        </w:rPr>
        <w:t xml:space="preserve">, including regulatory bodies, communities, customers, investors, and employees </w:t>
      </w:r>
      <w:r w:rsidRPr="005B7CAC">
        <w:rPr>
          <w:rFonts w:ascii="Times New Roman" w:hAnsi="Times New Roman"/>
          <w:bCs/>
          <w:iCs/>
          <w:sz w:val="24"/>
          <w:szCs w:val="20"/>
          <w:lang w:val="en-US"/>
        </w:rPr>
        <w:fldChar w:fldCharType="begin" w:fldLock="1"/>
      </w:r>
      <w:r w:rsidRPr="005B7CAC">
        <w:rPr>
          <w:rFonts w:ascii="Times New Roman" w:hAnsi="Times New Roman"/>
          <w:bCs/>
          <w:iCs/>
          <w:sz w:val="24"/>
          <w:szCs w:val="20"/>
          <w:lang w:val="en-US"/>
        </w:rPr>
        <w:instrText>ADDIN CSL_CITATION {"citationItems":[{"id":"ITEM-1","itemData":{"ISBN":"0273019139","ISSN":"15565068","PMID":"134","abstract":"The purpose of this chapter is to outline the development of the idea of stakeholder management as it has come to be applied in strategic management. We begin by developing a brief history of the concept. We then suggest that traditionally the stakeholder approach to strategic management has several related characteristics that serve as distinguishing features. We review recent work on stakeholder theory and suggest how stakeholder management has affected the practice of management. We end by suggesting further research questions.","author":[{"dropping-particle":"","family":"Freeman","given":"R. Edward","non-dropping-particle":"","parse-names":false,"suffix":""}],"container-title":"Pitman Series in Business and Public Policy","id":"ITEM-1","issued":{"date-parts":[["1984"]]},"number-of-pages":"276","title":"Strategic Management: A Stakeholder Approach","type":"book"},"uris":["http://www.mendeley.com/documents/?uuid=3bad9f52-0d99-4364-a252-1c6e0055e693"]}],"mendeley":{"formattedCitation":"(Freeman, 1984)","plainTextFormattedCitation":"(Freeman, 1984)","previouslyFormattedCitation":"(Freeman, 1984)"},"properties":{"noteIndex":0},"schema":"https://github.com/citation-style-language/schema/raw/master/csl-citation.json"}</w:instrText>
      </w:r>
      <w:r w:rsidRPr="005B7CAC">
        <w:rPr>
          <w:rFonts w:ascii="Times New Roman" w:hAnsi="Times New Roman"/>
          <w:bCs/>
          <w:iCs/>
          <w:sz w:val="24"/>
          <w:szCs w:val="20"/>
          <w:lang w:val="en-US"/>
        </w:rPr>
        <w:fldChar w:fldCharType="separate"/>
      </w:r>
      <w:r w:rsidRPr="005B7CAC">
        <w:rPr>
          <w:rFonts w:ascii="Times New Roman" w:hAnsi="Times New Roman"/>
          <w:bCs/>
          <w:iCs/>
          <w:noProof/>
          <w:sz w:val="24"/>
          <w:szCs w:val="20"/>
          <w:lang w:val="en-US"/>
        </w:rPr>
        <w:t>(Freeman, 1984)</w:t>
      </w:r>
      <w:r w:rsidRPr="005B7CAC">
        <w:rPr>
          <w:rFonts w:ascii="Times New Roman" w:hAnsi="Times New Roman"/>
          <w:bCs/>
          <w:iCs/>
          <w:sz w:val="24"/>
          <w:szCs w:val="20"/>
          <w:lang w:val="en-US"/>
        </w:rPr>
        <w:fldChar w:fldCharType="end"/>
      </w:r>
      <w:r w:rsidRPr="005B7CAC">
        <w:rPr>
          <w:rFonts w:ascii="Times New Roman" w:hAnsi="Times New Roman"/>
          <w:bCs/>
          <w:iCs/>
          <w:sz w:val="24"/>
          <w:szCs w:val="20"/>
          <w:lang w:val="en-US"/>
        </w:rPr>
        <w:t xml:space="preserve">. </w:t>
      </w:r>
      <w:r w:rsidR="00713D9B" w:rsidRPr="005B7CAC">
        <w:rPr>
          <w:rFonts w:ascii="Times New Roman" w:hAnsi="Times New Roman"/>
          <w:bCs/>
          <w:iCs/>
          <w:sz w:val="24"/>
          <w:szCs w:val="20"/>
          <w:lang w:val="en-US"/>
        </w:rPr>
        <w:t xml:space="preserve">Specifically, </w:t>
      </w:r>
      <w:r w:rsidRPr="005B7CAC">
        <w:rPr>
          <w:rFonts w:ascii="Times New Roman" w:hAnsi="Times New Roman"/>
          <w:bCs/>
          <w:iCs/>
          <w:sz w:val="24"/>
          <w:szCs w:val="20"/>
          <w:lang w:val="en-US"/>
        </w:rPr>
        <w:t>firms</w:t>
      </w:r>
      <w:r w:rsidR="00713D9B" w:rsidRPr="005B7CAC">
        <w:rPr>
          <w:rFonts w:ascii="Times New Roman" w:hAnsi="Times New Roman"/>
          <w:bCs/>
          <w:iCs/>
          <w:sz w:val="24"/>
          <w:szCs w:val="20"/>
          <w:lang w:val="en-US"/>
        </w:rPr>
        <w:t xml:space="preserve">’ abilities </w:t>
      </w:r>
      <w:r w:rsidRPr="005B7CAC">
        <w:rPr>
          <w:rFonts w:ascii="Times New Roman" w:hAnsi="Times New Roman"/>
          <w:bCs/>
          <w:iCs/>
          <w:sz w:val="24"/>
          <w:szCs w:val="20"/>
          <w:lang w:val="en-US"/>
        </w:rPr>
        <w:t xml:space="preserve">to </w:t>
      </w:r>
      <w:r w:rsidR="00713D9B" w:rsidRPr="005B7CAC">
        <w:rPr>
          <w:rFonts w:ascii="Times New Roman" w:hAnsi="Times New Roman"/>
          <w:bCs/>
          <w:iCs/>
          <w:sz w:val="24"/>
          <w:szCs w:val="20"/>
          <w:lang w:val="en-US"/>
        </w:rPr>
        <w:t xml:space="preserve">promote </w:t>
      </w:r>
      <w:r w:rsidRPr="005B7CAC">
        <w:rPr>
          <w:rFonts w:ascii="Times New Roman" w:hAnsi="Times New Roman"/>
          <w:bCs/>
          <w:iCs/>
          <w:sz w:val="24"/>
          <w:szCs w:val="20"/>
          <w:lang w:val="en-US"/>
        </w:rPr>
        <w:t xml:space="preserve">sustainable </w:t>
      </w:r>
      <w:r w:rsidR="00713D9B" w:rsidRPr="005B7CAC">
        <w:rPr>
          <w:rFonts w:ascii="Times New Roman" w:hAnsi="Times New Roman"/>
          <w:bCs/>
          <w:iCs/>
          <w:sz w:val="24"/>
          <w:szCs w:val="20"/>
          <w:lang w:val="en-US"/>
        </w:rPr>
        <w:t>development</w:t>
      </w:r>
      <w:r w:rsidRPr="005B7CAC">
        <w:rPr>
          <w:rFonts w:ascii="Times New Roman" w:hAnsi="Times New Roman"/>
          <w:bCs/>
          <w:iCs/>
          <w:sz w:val="24"/>
          <w:szCs w:val="20"/>
          <w:lang w:val="en-US"/>
        </w:rPr>
        <w:t xml:space="preserve"> </w:t>
      </w:r>
      <w:r w:rsidR="00713D9B" w:rsidRPr="005B7CAC">
        <w:rPr>
          <w:rFonts w:ascii="Times New Roman" w:hAnsi="Times New Roman"/>
          <w:bCs/>
          <w:iCs/>
          <w:sz w:val="24"/>
          <w:szCs w:val="20"/>
          <w:lang w:val="en-US"/>
        </w:rPr>
        <w:t>are associated with their</w:t>
      </w:r>
      <w:r w:rsidRPr="005B7CAC">
        <w:rPr>
          <w:rFonts w:ascii="Times New Roman" w:hAnsi="Times New Roman"/>
          <w:bCs/>
          <w:iCs/>
          <w:sz w:val="24"/>
          <w:szCs w:val="20"/>
          <w:lang w:val="en-US"/>
        </w:rPr>
        <w:t xml:space="preserve"> relationships with influential stakeholders </w:t>
      </w:r>
      <w:r w:rsidRPr="005B7CAC">
        <w:rPr>
          <w:rFonts w:ascii="Times New Roman" w:hAnsi="Times New Roman"/>
          <w:bCs/>
          <w:iCs/>
          <w:sz w:val="24"/>
          <w:szCs w:val="20"/>
          <w:lang w:val="en-US"/>
        </w:rPr>
        <w:fldChar w:fldCharType="begin" w:fldLock="1"/>
      </w:r>
      <w:r w:rsidRPr="005B7CAC">
        <w:rPr>
          <w:rFonts w:ascii="Times New Roman" w:hAnsi="Times New Roman"/>
          <w:bCs/>
          <w:iCs/>
          <w:sz w:val="24"/>
          <w:szCs w:val="20"/>
          <w:lang w:val="en-US"/>
        </w:rPr>
        <w:instrText>ADDIN CSL_CITATION {"citationItems":[{"id":"ITEM-1","itemData":{"DOI":"10.5465/amr.1995.9503271992","ISSN":"0363-7425","abstract":"The stakeholder theory has been advanced and justified in the man- agement literature on the basis of its descriptive accuracy, instrumen- tal power, and normative validity. These three aspects of the theory, although interrelated, are quite distinct; they involve different types of evidence and argument and have different implications. In this article, we examine these three aspects of the theory and critique and integrate important contributions to the literature related to each. We conclude that the three aspects of stakeholder theory are mutually supportive and that the normative base of the theory-which includes the modern theory of property rights-is fundamental.","author":[{"dropping-particle":"","family":"Donaldson","given":"Thomas","non-dropping-particle":"","parse-names":false,"suffix":""},{"dropping-particle":"","family":"Preston","given":"Lee E.","non-dropping-particle":"","parse-names":false,"suffix":""}],"container-title":"Academy of Management Review","id":"ITEM-1","issue":"1","issued":{"date-parts":[["1995"]]},"page":"65-91","title":"The Stakeholder Theory of the Corporation: Concepts, Evidence, and Implications","type":"article-journal","volume":"20"},"uris":["http://www.mendeley.com/documents/?uuid=f4f284bb-59c8-3589-823c-818c0ddcda0a"]}],"mendeley":{"formattedCitation":"(Donaldson and Preston, 1995)","plainTextFormattedCitation":"(Donaldson and Preston, 1995)","previouslyFormattedCitation":"(Donaldson and Preston, 1995)"},"properties":{"noteIndex":0},"schema":"https://github.com/citation-style-language/schema/raw/master/csl-citation.json"}</w:instrText>
      </w:r>
      <w:r w:rsidRPr="005B7CAC">
        <w:rPr>
          <w:rFonts w:ascii="Times New Roman" w:hAnsi="Times New Roman"/>
          <w:bCs/>
          <w:iCs/>
          <w:sz w:val="24"/>
          <w:szCs w:val="20"/>
          <w:lang w:val="en-US"/>
        </w:rPr>
        <w:fldChar w:fldCharType="separate"/>
      </w:r>
      <w:r w:rsidRPr="005B7CAC">
        <w:rPr>
          <w:rFonts w:ascii="Times New Roman" w:hAnsi="Times New Roman"/>
          <w:bCs/>
          <w:iCs/>
          <w:noProof/>
          <w:sz w:val="24"/>
          <w:szCs w:val="20"/>
          <w:lang w:val="en-US"/>
        </w:rPr>
        <w:t>(Donaldson and Preston, 1995)</w:t>
      </w:r>
      <w:r w:rsidRPr="005B7CAC">
        <w:rPr>
          <w:rFonts w:ascii="Times New Roman" w:hAnsi="Times New Roman"/>
          <w:bCs/>
          <w:iCs/>
          <w:sz w:val="24"/>
          <w:szCs w:val="20"/>
          <w:lang w:val="en-US"/>
        </w:rPr>
        <w:fldChar w:fldCharType="end"/>
      </w:r>
      <w:r w:rsidRPr="005B7CAC">
        <w:rPr>
          <w:rFonts w:ascii="Times New Roman" w:hAnsi="Times New Roman"/>
          <w:bCs/>
          <w:iCs/>
          <w:sz w:val="24"/>
          <w:szCs w:val="20"/>
          <w:lang w:val="en-US"/>
        </w:rPr>
        <w:t>, and therefore</w:t>
      </w:r>
      <w:r w:rsidR="00713D9B" w:rsidRPr="005B7CAC">
        <w:rPr>
          <w:rFonts w:ascii="Times New Roman" w:hAnsi="Times New Roman"/>
          <w:bCs/>
          <w:iCs/>
          <w:sz w:val="24"/>
          <w:szCs w:val="20"/>
          <w:lang w:val="en-US"/>
        </w:rPr>
        <w:t>,</w:t>
      </w:r>
      <w:r w:rsidR="00B24655" w:rsidRPr="005B7CAC">
        <w:rPr>
          <w:rFonts w:ascii="Times New Roman" w:hAnsi="Times New Roman"/>
          <w:bCs/>
          <w:iCs/>
          <w:sz w:val="24"/>
          <w:szCs w:val="20"/>
          <w:lang w:val="en-US"/>
        </w:rPr>
        <w:t xml:space="preserve"> </w:t>
      </w:r>
      <w:r w:rsidRPr="005B7CAC">
        <w:rPr>
          <w:rFonts w:ascii="Times New Roman" w:hAnsi="Times New Roman"/>
          <w:bCs/>
          <w:iCs/>
          <w:sz w:val="24"/>
          <w:szCs w:val="20"/>
          <w:lang w:val="en-US"/>
        </w:rPr>
        <w:t xml:space="preserve">satisfying stakeholder needs/demands for environmental accountability results in </w:t>
      </w:r>
      <w:r w:rsidR="00626DBC" w:rsidRPr="005B7CAC">
        <w:rPr>
          <w:rFonts w:ascii="Times New Roman" w:hAnsi="Times New Roman"/>
          <w:bCs/>
          <w:iCs/>
          <w:sz w:val="24"/>
          <w:szCs w:val="20"/>
          <w:lang w:val="en-US"/>
        </w:rPr>
        <w:t xml:space="preserve">the </w:t>
      </w:r>
      <w:r w:rsidRPr="005B7CAC">
        <w:rPr>
          <w:rFonts w:ascii="Times New Roman" w:hAnsi="Times New Roman"/>
          <w:bCs/>
          <w:iCs/>
          <w:sz w:val="24"/>
          <w:szCs w:val="20"/>
          <w:lang w:val="en-US"/>
        </w:rPr>
        <w:t xml:space="preserve">effective allocation and use of strategic resources, thereby improving financial results </w:t>
      </w:r>
      <w:r w:rsidRPr="005B7CAC">
        <w:rPr>
          <w:rFonts w:ascii="Times New Roman" w:hAnsi="Times New Roman"/>
          <w:bCs/>
          <w:iCs/>
          <w:sz w:val="24"/>
          <w:szCs w:val="20"/>
          <w:lang w:val="en-US"/>
        </w:rPr>
        <w:fldChar w:fldCharType="begin" w:fldLock="1"/>
      </w:r>
      <w:r w:rsidR="000C2C38" w:rsidRPr="005B7CAC">
        <w:rPr>
          <w:rFonts w:ascii="Times New Roman" w:hAnsi="Times New Roman"/>
          <w:bCs/>
          <w:iCs/>
          <w:sz w:val="24"/>
          <w:szCs w:val="20"/>
          <w:lang w:val="en-US"/>
        </w:rPr>
        <w:instrText>ADDIN CSL_CITATION {"citationItems":[{"id":"ITEM-1","itemData":{"DOI":"10.2307/256972","ISSN":"00014273","abstract":"Little empirical work has been done on the effect of stakeholder management on corporate performance. In this study, we contributed to stakeholder theory development by (1) deriving two distinct stakeholder management models from extant research, (2) testing the descriptive accuracy of these models, and (3) including important variables from the strategy literature in the tested models. The results provide supports for a strategic stakeholder management model but no support for an intrinsic stakeholder commitment model. Implications of these findings for management practice and future research are discussed.","author":[{"dropping-particle":"","family":"Berman","given":"Shawn L.","non-dropping-particle":"","parse-names":false,"suffix":""},{"dropping-particle":"","family":"Wicks","given":"Andrew C.","non-dropping-particle":"","parse-names":false,"suffix":""},{"dropping-particle":"","family":"Kotha","given":"Suresh","non-dropping-particle":"","parse-names":false,"suffix":""},{"dropping-particle":"","family":"Jones","given":"Thomas M.","non-dropping-particle":"","parse-names":false,"suffix":""}],"container-title":"Academy of Management Journal","id":"ITEM-1","issue":"5","issued":{"date-parts":[["1999"]]},"page":"488-506","title":"Does stakeholder orientation matter? The relationship between stakeholder management models and firm financial performance","type":"article-journal","volume":"42"},"uris":["http://www.mendeley.com/documents/?uuid=319ee366-5f21-3f87-a361-fd218f9bf101"]},{"id":"ITEM-2","itemData":{"DOI":"10.1080/01559982.2023.2169893","ISSN":"14676303","abstract":"We examine how corporate environmental performance relates to financial constraints in an environment likely to face high global pressure to address climate change. Using multivariate regressions and a large dataset of over 8,500 firm-years from 24 emerging market countries during 2003 to 2020, we find superior environmental performance (especially relating to carbon emissions) to be associated with significantly lower levels of financial constraints. This finding is robust to an alternative measure of financial constraint, different sample compositions, and to endogeneity concerns. Further analyses reveal that the reductions in financial constraints are significantly higher for firms: (i) in high carbon-emitting countries; (ii) in countries that adopted the 2015 Paris Climate Agreement early; and (iii) that cross-list onto foreign stock exchanges. Finally, we provide evidence to suggest that the environmental aspects of a firm’s CSR efforts mitigate its financial constraints more than can be attained by the other major CSR dimensions. Overall, the findings imply that stakeholders (capital providers) of emerging market firms prioritise environmental concerns and, therefore, reward environmentally responsible firms with cheaper and easier access to financing, especially when global environmental concerns are high.","author":[{"dropping-particle":"","family":"Agyei-Boapeah","given":"Henry","non-dropping-particle":"","parse-names":false,"suffix":""},{"dropping-particle":"","family":"Ciftci","given":"Neytullah","non-dropping-particle":"","parse-names":false,"suffix":""},{"dropping-particle":"","family":"Kalimilo Malagila","given":"John","non-dropping-particle":"","parse-names":false,"suffix":""},{"dropping-particle":"","family":"Brodmann","given":"Jennifer","non-dropping-particle":"","parse-names":false,"suffix":""},{"dropping-particle":"","family":"Fosu","given":"Samuel","non-dropping-particle":"","parse-names":false,"suffix":""}],"container-title":"Accounting Forum","id":"ITEM-2","issued":{"date-parts":[["2023"]]},"title":"Environmental performance and financial constraints in emerging markets","type":"article-journal"},"uris":["http://www.mendeley.com/documents/?uuid=9ce40414-8207-3936-bfcc-bd72773ed35c"]},{"id":"ITEM-3","itemData":{"DOI":"10.1108/JAOC-11-2021-0157","ISSN":"18325912","abstract":"Purpose: This study aims to investigate the impact of environmental management accounting (EMA) on manufacturing companies’ environmental and financial performance in Bangladesh. Thus, this research recognizes essential factors such as EMA, environmental performance (EP), financial performance (FP), environmental information systems (EIS), knowledge management (KM), green innovation and energy efficiency (EE). Design/methodology/approach: This research uses a quantitative approach and uses 323 responses from the manufacturing firms. This research tests the study model through the “Partial Least Square-Structural Equation Modeling” (PLS-SEM) technique using Smart PLS v3.3 software. This research uses AMOS v24 and 40% sample consideration to check the robustness. The study passes various model fit measures, i.e. reliability, validity, factor analysis and goodness of fit. Findings: The research finds that EMA is positively and significantly associated with EP and FP. The study also finds a substantial relationship between recognized factors with EMA and EP. This research connects the stakeholder theory and institutional theory to the EMA model and shows the pressures from stakeholders and institutions reassuring the manufacturing firms to implement EMA. This research evidences that EMA enhances EP and FP. Originality/value: The policymakers, regulators and government can consider these findings to formulate policy regarding companies’ EP and FP. Particularly, company executives can focus on KM, EIS, green innovation and EE factors for EP and FP.","author":[{"dropping-particle":"","family":"Deb","given":"Bishawjit Chandra","non-dropping-particle":"","parse-names":false,"suffix":""},{"dropping-particle":"","family":"Rahman","given":"Md Mominur","non-dropping-particle":"","parse-names":false,"suffix":""},{"dropping-particle":"","family":"Rahman","given":"Muhammad Shajib","non-dropping-particle":"","parse-names":false,"suffix":""}],"container-title":"Journal of Accounting and Organizational Change","id":"ITEM-3","issue":"3","issued":{"date-parts":[["2023"]]},"page":"420-446","title":"The impact of environmental management accounting on environmental and financial performance: empirical evidence from Bangladesh","type":"article-journal","volume":"19"},"uris":["http://www.mendeley.com/documents/?uuid=8a17b6a2-351c-3514-ac0a-73ed5b443853"]}],"mendeley":{"formattedCitation":"(Agyei-Boapeah &lt;i&gt;et al.&lt;/i&gt;, 2023; Berman &lt;i&gt;et al.&lt;/i&gt;, 1999; Deb &lt;i&gt;et al.&lt;/i&gt;, 2023)","plainTextFormattedCitation":"(Agyei-Boapeah et al., 2023; Berman et al., 1999; Deb et al., 2023)","previouslyFormattedCitation":"(Agyei-Boapeah &lt;i&gt;et al.&lt;/i&gt;, 2023; Berman &lt;i&gt;et al.&lt;/i&gt;, 1999; Deb &lt;i&gt;et al.&lt;/i&gt;, 2023)"},"properties":{"noteIndex":0},"schema":"https://github.com/citation-style-language/schema/raw/master/csl-citation.json"}</w:instrText>
      </w:r>
      <w:r w:rsidRPr="005B7CAC">
        <w:rPr>
          <w:rFonts w:ascii="Times New Roman" w:hAnsi="Times New Roman"/>
          <w:bCs/>
          <w:iCs/>
          <w:sz w:val="24"/>
          <w:szCs w:val="20"/>
          <w:lang w:val="en-US"/>
        </w:rPr>
        <w:fldChar w:fldCharType="separate"/>
      </w:r>
      <w:r w:rsidR="000C2C38" w:rsidRPr="005B7CAC">
        <w:rPr>
          <w:rFonts w:ascii="Times New Roman" w:hAnsi="Times New Roman"/>
          <w:bCs/>
          <w:iCs/>
          <w:noProof/>
          <w:sz w:val="24"/>
          <w:szCs w:val="20"/>
          <w:lang w:val="en-US"/>
        </w:rPr>
        <w:t xml:space="preserve">(Agyei-Boapeah </w:t>
      </w:r>
      <w:r w:rsidR="000C2C38" w:rsidRPr="005B7CAC">
        <w:rPr>
          <w:rFonts w:ascii="Times New Roman" w:hAnsi="Times New Roman"/>
          <w:bCs/>
          <w:i/>
          <w:iCs/>
          <w:noProof/>
          <w:sz w:val="24"/>
          <w:szCs w:val="20"/>
          <w:lang w:val="en-US"/>
        </w:rPr>
        <w:t>et al.</w:t>
      </w:r>
      <w:r w:rsidR="000C2C38" w:rsidRPr="005B7CAC">
        <w:rPr>
          <w:rFonts w:ascii="Times New Roman" w:hAnsi="Times New Roman"/>
          <w:bCs/>
          <w:iCs/>
          <w:noProof/>
          <w:sz w:val="24"/>
          <w:szCs w:val="20"/>
          <w:lang w:val="en-US"/>
        </w:rPr>
        <w:t xml:space="preserve">, 2023; Berman </w:t>
      </w:r>
      <w:r w:rsidR="000C2C38" w:rsidRPr="005B7CAC">
        <w:rPr>
          <w:rFonts w:ascii="Times New Roman" w:hAnsi="Times New Roman"/>
          <w:bCs/>
          <w:i/>
          <w:iCs/>
          <w:noProof/>
          <w:sz w:val="24"/>
          <w:szCs w:val="20"/>
          <w:lang w:val="en-US"/>
        </w:rPr>
        <w:t>et al.</w:t>
      </w:r>
      <w:r w:rsidR="000C2C38" w:rsidRPr="005B7CAC">
        <w:rPr>
          <w:rFonts w:ascii="Times New Roman" w:hAnsi="Times New Roman"/>
          <w:bCs/>
          <w:iCs/>
          <w:noProof/>
          <w:sz w:val="24"/>
          <w:szCs w:val="20"/>
          <w:lang w:val="en-US"/>
        </w:rPr>
        <w:t xml:space="preserve">, 1999; Deb </w:t>
      </w:r>
      <w:r w:rsidR="000C2C38" w:rsidRPr="005B7CAC">
        <w:rPr>
          <w:rFonts w:ascii="Times New Roman" w:hAnsi="Times New Roman"/>
          <w:bCs/>
          <w:i/>
          <w:iCs/>
          <w:noProof/>
          <w:sz w:val="24"/>
          <w:szCs w:val="20"/>
          <w:lang w:val="en-US"/>
        </w:rPr>
        <w:t>et al.</w:t>
      </w:r>
      <w:r w:rsidR="000C2C38" w:rsidRPr="005B7CAC">
        <w:rPr>
          <w:rFonts w:ascii="Times New Roman" w:hAnsi="Times New Roman"/>
          <w:bCs/>
          <w:iCs/>
          <w:noProof/>
          <w:sz w:val="24"/>
          <w:szCs w:val="20"/>
          <w:lang w:val="en-US"/>
        </w:rPr>
        <w:t>, 2023)</w:t>
      </w:r>
      <w:r w:rsidRPr="005B7CAC">
        <w:rPr>
          <w:rFonts w:ascii="Times New Roman" w:hAnsi="Times New Roman"/>
          <w:bCs/>
          <w:iCs/>
          <w:sz w:val="24"/>
          <w:szCs w:val="20"/>
          <w:lang w:val="en-US"/>
        </w:rPr>
        <w:fldChar w:fldCharType="end"/>
      </w:r>
      <w:r w:rsidRPr="005B7CAC">
        <w:rPr>
          <w:rFonts w:ascii="Times New Roman" w:hAnsi="Times New Roman"/>
          <w:bCs/>
          <w:iCs/>
          <w:sz w:val="24"/>
          <w:szCs w:val="20"/>
          <w:lang w:val="en-US"/>
        </w:rPr>
        <w:t>.</w:t>
      </w:r>
      <w:r w:rsidR="00906A1E" w:rsidRPr="005B7CAC">
        <w:rPr>
          <w:rFonts w:ascii="Times New Roman" w:hAnsi="Times New Roman"/>
          <w:bCs/>
          <w:iCs/>
          <w:sz w:val="24"/>
          <w:szCs w:val="20"/>
          <w:lang w:val="en-US"/>
        </w:rPr>
        <w:t xml:space="preserve"> </w:t>
      </w:r>
      <w:r w:rsidR="00A47B8A" w:rsidRPr="005B7CAC">
        <w:rPr>
          <w:rFonts w:ascii="Times New Roman" w:hAnsi="Times New Roman"/>
          <w:bCs/>
          <w:iCs/>
          <w:sz w:val="24"/>
          <w:szCs w:val="20"/>
          <w:lang w:val="en-US"/>
        </w:rPr>
        <w:t xml:space="preserve">Since firms with higher climate risks tend to face greater sanctions, lawsuits, and penalties, proactive </w:t>
      </w:r>
      <w:r w:rsidR="00CD51EB" w:rsidRPr="005B7CAC">
        <w:rPr>
          <w:rFonts w:ascii="Times New Roman" w:hAnsi="Times New Roman"/>
          <w:bCs/>
          <w:i/>
          <w:iCs/>
          <w:sz w:val="24"/>
          <w:szCs w:val="20"/>
          <w:lang w:val="en-US"/>
        </w:rPr>
        <w:t>WM</w:t>
      </w:r>
      <w:r w:rsidR="00CD51EB" w:rsidRPr="005B7CAC">
        <w:rPr>
          <w:rFonts w:ascii="Times New Roman" w:hAnsi="Times New Roman"/>
          <w:bCs/>
          <w:iCs/>
          <w:sz w:val="24"/>
          <w:szCs w:val="20"/>
          <w:lang w:val="en-US"/>
        </w:rPr>
        <w:t xml:space="preserve"> </w:t>
      </w:r>
      <w:r w:rsidR="00A47B8A" w:rsidRPr="005B7CAC">
        <w:rPr>
          <w:rFonts w:ascii="Times New Roman" w:hAnsi="Times New Roman"/>
          <w:bCs/>
          <w:iCs/>
          <w:sz w:val="24"/>
          <w:szCs w:val="20"/>
          <w:lang w:val="en-US"/>
        </w:rPr>
        <w:t>can mitigate reputational damage and financial losses</w:t>
      </w:r>
      <w:r w:rsidR="008E77CA" w:rsidRPr="005B7CAC">
        <w:rPr>
          <w:rFonts w:ascii="Times New Roman" w:hAnsi="Times New Roman"/>
          <w:bCs/>
          <w:iCs/>
          <w:sz w:val="24"/>
          <w:szCs w:val="20"/>
          <w:lang w:val="en-US"/>
        </w:rPr>
        <w:t xml:space="preserve"> </w:t>
      </w:r>
      <w:r w:rsidR="008E77CA" w:rsidRPr="005B7CAC">
        <w:rPr>
          <w:rFonts w:ascii="Times New Roman" w:hAnsi="Times New Roman"/>
          <w:bCs/>
          <w:iCs/>
          <w:sz w:val="24"/>
          <w:szCs w:val="20"/>
          <w:lang w:val="en-US"/>
        </w:rPr>
        <w:fldChar w:fldCharType="begin" w:fldLock="1"/>
      </w:r>
      <w:r w:rsidR="0050174D" w:rsidRPr="005B7CAC">
        <w:rPr>
          <w:rFonts w:ascii="Times New Roman" w:hAnsi="Times New Roman"/>
          <w:bCs/>
          <w:iCs/>
          <w:sz w:val="24"/>
          <w:szCs w:val="20"/>
          <w:lang w:val="en-US"/>
        </w:rPr>
        <w:instrText>ADDIN CSL_CITATION {"citationItems":[{"id":"ITEM-1","itemData":{"DOI":"10.1016/J.ECONMOD.2022.105932","ISSN":"0264-9993","abstract":"This study examines an important yet underexplored aspect of firms’ sustainability practices, i.e., waste management, in order to analyze its impact on financial performance. Although the extant literature has focused on various aspects of sustainability, the impact of waste management, which has disastrous consequences for the climate and firm performance, remains largely unexplored. Thus, using the 2002–2019 data of listed firms from 41 countries, we found a significantly negative (positive) relationship between waste generation (recycling) and financial performance. Our findings are robust to alternative variables, sub-sample analysis, and identification strategies. Moreover, a channel analysis showed that this relationship is influenced by operating costs, ESG performance-based compensation, industry nature, the Paris agreement on climate change, and the global financial crisis. Overall, the findings suggest that environmental initiatives are beneficial for firms and present important policy implications for regulators and firms.","author":[{"dropping-particle":"","family":"Gull","given":"Ammar Ali","non-dropping-particle":"","parse-names":false,"suffix":""},{"dropping-particle":"","family":"Atif","given":"Muhammad","non-dropping-particle":"","parse-names":false,"suffix":""},{"dropping-particle":"","family":"Ahsan","given":"Tanveer","non-dropping-particle":"","parse-names":false,"suffix":""},{"dropping-particle":"","family":"Derouiche","given":"Imen","non-dropping-particle":"","parse-names":false,"suffix":""}],"container-title":"Economic Modelling","id":"ITEM-1","issued":{"date-parts":[["2022","9","1"]]},"page":"105932","title":"Does waste management affect firm performance? International evidence","type":"article-journal","volume":"114"},"uris":["http://www.mendeley.com/documents/?uuid=0ecbc08a-9434-37fc-b2bd-379559bf0932"]},{"id":"ITEM-2","itemData":{"DOI":"10.5267/j.uscm.2023.3.011","ISSN":"22916830","abstract":"The company seeks the role of internal function and external partnership to eliminate or reduce the waste generated and its impact on the environment. Internally, Top management needs to commit and actively increase the participation of employees in implementing total quality management and production waste management to enhance business performance. This study surveyed the companies engaged in the industry sector producing finished products while generating waste in the production process. Data collection is carried out using online questionnaires through Google Forms with data analysis using PLS software. One hundred and thirty-six (136) manufacturing companies located in East Java, Indonesia. The results of the data analysis indicated that top management commitment significantly influences firm performance, employee empowerment, and total quality management. Employee empowerment impacts total quality management and production waste management. Total quality management positively influences production waste management and firm performance. In addition, production waste management significantly impacts the firm performance. In addition, top management commitment indirectly affects firm performance through the mediating role of total quality management. However, the mediating effect of production waste management is insignificant in translating top management commitments to firm performance. The result provides a theoretical contribution to developing green supply chain practices and sustainability. Furthermore, the practical contribution provides insight for top management companies that production waste management can improve performance with high management commitment and employee empowerment.","author":[{"dropping-particle":"","family":"Wijaya","given":"Shania Vanessa","non-dropping-particle":"","parse-names":false,"suffix":""},{"dropping-particle":"","family":"Tarigan","given":"Zeplin Jiwa Husada","non-dropping-particle":"","parse-names":false,"suffix":""},{"dropping-particle":"","family":"Siagian","given":"Hotlan","non-dropping-particle":"","parse-names":false,"suffix":""}],"container-title":"Uncertain Supply Chain Management","id":"ITEM-2","issue":"3","issued":{"date-parts":[["2023"]]},"page":"1369–1382","title":"The role of top management commitment, employee empowerment and total quality management in production waste management and enhancing firm performance","type":"article-journal","volume":"11"},"uris":["http://www.mendeley.com/documents/?uuid=d1412f96-8a81-3b9e-9536-f96336e339e9"]}],"mendeley":{"formattedCitation":"(Gull, Atif, Ahsan, &lt;i&gt;et al.&lt;/i&gt;, 2022; Wijaya &lt;i&gt;et al.&lt;/i&gt;, 2023)","plainTextFormattedCitation":"(Gull, Atif, Ahsan, et al., 2022; Wijaya et al., 2023)","previouslyFormattedCitation":"(Gull, Atif, Ahsan, &lt;i&gt;et al.&lt;/i&gt;, 2022; Wijaya &lt;i&gt;et al.&lt;/i&gt;, 2023)"},"properties":{"noteIndex":0},"schema":"https://github.com/citation-style-language/schema/raw/master/csl-citation.json"}</w:instrText>
      </w:r>
      <w:r w:rsidR="008E77CA" w:rsidRPr="005B7CAC">
        <w:rPr>
          <w:rFonts w:ascii="Times New Roman" w:hAnsi="Times New Roman"/>
          <w:bCs/>
          <w:iCs/>
          <w:sz w:val="24"/>
          <w:szCs w:val="20"/>
          <w:lang w:val="en-US"/>
        </w:rPr>
        <w:fldChar w:fldCharType="separate"/>
      </w:r>
      <w:r w:rsidR="009E0BEC" w:rsidRPr="005B7CAC">
        <w:rPr>
          <w:rFonts w:ascii="Times New Roman" w:hAnsi="Times New Roman"/>
          <w:bCs/>
          <w:iCs/>
          <w:noProof/>
          <w:sz w:val="24"/>
          <w:szCs w:val="20"/>
          <w:lang w:val="en-US"/>
        </w:rPr>
        <w:t>(Gull</w:t>
      </w:r>
      <w:r w:rsidR="00510CFF" w:rsidRPr="005B7CAC">
        <w:rPr>
          <w:rFonts w:ascii="Times New Roman" w:hAnsi="Times New Roman"/>
          <w:bCs/>
          <w:iCs/>
          <w:noProof/>
          <w:sz w:val="24"/>
          <w:szCs w:val="20"/>
          <w:lang w:val="en-US"/>
        </w:rPr>
        <w:t xml:space="preserve"> </w:t>
      </w:r>
      <w:r w:rsidR="009E0BEC" w:rsidRPr="005B7CAC">
        <w:rPr>
          <w:rFonts w:ascii="Times New Roman" w:hAnsi="Times New Roman"/>
          <w:bCs/>
          <w:i/>
          <w:iCs/>
          <w:noProof/>
          <w:sz w:val="24"/>
          <w:szCs w:val="20"/>
          <w:lang w:val="en-US"/>
        </w:rPr>
        <w:t>et al.</w:t>
      </w:r>
      <w:r w:rsidR="009E0BEC" w:rsidRPr="005B7CAC">
        <w:rPr>
          <w:rFonts w:ascii="Times New Roman" w:hAnsi="Times New Roman"/>
          <w:bCs/>
          <w:iCs/>
          <w:noProof/>
          <w:sz w:val="24"/>
          <w:szCs w:val="20"/>
          <w:lang w:val="en-US"/>
        </w:rPr>
        <w:t>, 2022</w:t>
      </w:r>
      <w:r w:rsidR="00510CFF" w:rsidRPr="005B7CAC">
        <w:rPr>
          <w:rFonts w:ascii="Times New Roman" w:hAnsi="Times New Roman"/>
          <w:bCs/>
          <w:iCs/>
          <w:noProof/>
          <w:sz w:val="24"/>
          <w:szCs w:val="20"/>
          <w:lang w:val="en-US"/>
        </w:rPr>
        <w:t>a</w:t>
      </w:r>
      <w:r w:rsidR="009E0BEC" w:rsidRPr="005B7CAC">
        <w:rPr>
          <w:rFonts w:ascii="Times New Roman" w:hAnsi="Times New Roman"/>
          <w:bCs/>
          <w:iCs/>
          <w:noProof/>
          <w:sz w:val="24"/>
          <w:szCs w:val="20"/>
          <w:lang w:val="en-US"/>
        </w:rPr>
        <w:t xml:space="preserve">; Wijaya </w:t>
      </w:r>
      <w:r w:rsidR="009E0BEC" w:rsidRPr="005B7CAC">
        <w:rPr>
          <w:rFonts w:ascii="Times New Roman" w:hAnsi="Times New Roman"/>
          <w:bCs/>
          <w:i/>
          <w:iCs/>
          <w:noProof/>
          <w:sz w:val="24"/>
          <w:szCs w:val="20"/>
          <w:lang w:val="en-US"/>
        </w:rPr>
        <w:t>et al.</w:t>
      </w:r>
      <w:r w:rsidR="009E0BEC" w:rsidRPr="005B7CAC">
        <w:rPr>
          <w:rFonts w:ascii="Times New Roman" w:hAnsi="Times New Roman"/>
          <w:bCs/>
          <w:iCs/>
          <w:noProof/>
          <w:sz w:val="24"/>
          <w:szCs w:val="20"/>
          <w:lang w:val="en-US"/>
        </w:rPr>
        <w:t>, 2023)</w:t>
      </w:r>
      <w:r w:rsidR="008E77CA" w:rsidRPr="005B7CAC">
        <w:rPr>
          <w:rFonts w:ascii="Times New Roman" w:hAnsi="Times New Roman"/>
          <w:bCs/>
          <w:iCs/>
          <w:sz w:val="24"/>
          <w:szCs w:val="20"/>
          <w:lang w:val="en-US"/>
        </w:rPr>
        <w:fldChar w:fldCharType="end"/>
      </w:r>
      <w:r w:rsidR="004D0DDC" w:rsidRPr="005B7CAC">
        <w:rPr>
          <w:rFonts w:ascii="Times New Roman" w:hAnsi="Times New Roman"/>
          <w:bCs/>
          <w:iCs/>
          <w:sz w:val="24"/>
          <w:szCs w:val="20"/>
          <w:lang w:val="en-US"/>
        </w:rPr>
        <w:t xml:space="preserve">. </w:t>
      </w:r>
      <w:r w:rsidR="00CD51EB" w:rsidRPr="005B7CAC">
        <w:rPr>
          <w:rFonts w:ascii="Times New Roman" w:hAnsi="Times New Roman"/>
          <w:bCs/>
          <w:iCs/>
          <w:sz w:val="24"/>
          <w:szCs w:val="20"/>
          <w:lang w:val="en-US"/>
        </w:rPr>
        <w:t xml:space="preserve">Further, effective </w:t>
      </w:r>
      <w:r w:rsidR="00CD51EB" w:rsidRPr="005B7CAC">
        <w:rPr>
          <w:rFonts w:ascii="Times New Roman" w:hAnsi="Times New Roman"/>
          <w:bCs/>
          <w:i/>
          <w:iCs/>
          <w:sz w:val="24"/>
          <w:szCs w:val="20"/>
          <w:lang w:val="en-US"/>
        </w:rPr>
        <w:t>WM</w:t>
      </w:r>
      <w:r w:rsidR="00CD51EB" w:rsidRPr="005B7CAC">
        <w:rPr>
          <w:rFonts w:ascii="Times New Roman" w:hAnsi="Times New Roman"/>
          <w:bCs/>
          <w:iCs/>
          <w:sz w:val="24"/>
          <w:szCs w:val="20"/>
          <w:lang w:val="en-US"/>
        </w:rPr>
        <w:t xml:space="preserve"> indicates a commitment to environmental stewardship, which can reduce </w:t>
      </w:r>
      <w:r w:rsidR="00CD51EB" w:rsidRPr="005B7CAC">
        <w:rPr>
          <w:rFonts w:ascii="Times New Roman" w:hAnsi="Times New Roman"/>
          <w:bCs/>
          <w:i/>
          <w:iCs/>
          <w:sz w:val="24"/>
          <w:szCs w:val="20"/>
          <w:lang w:val="en-US"/>
        </w:rPr>
        <w:t>FD</w:t>
      </w:r>
      <w:r w:rsidR="00CD51EB" w:rsidRPr="005B7CAC">
        <w:rPr>
          <w:rFonts w:ascii="Times New Roman" w:hAnsi="Times New Roman"/>
          <w:bCs/>
          <w:iCs/>
          <w:sz w:val="24"/>
          <w:szCs w:val="20"/>
          <w:lang w:val="en-US"/>
        </w:rPr>
        <w:t xml:space="preserve"> risks by building trust among stakeholders.</w:t>
      </w:r>
      <w:r w:rsidR="00CF35AE" w:rsidRPr="005B7CAC">
        <w:rPr>
          <w:rFonts w:ascii="Times New Roman" w:hAnsi="Times New Roman"/>
          <w:bCs/>
          <w:iCs/>
          <w:sz w:val="24"/>
          <w:szCs w:val="20"/>
          <w:lang w:val="en-US"/>
        </w:rPr>
        <w:t xml:space="preserve"> Additionally, firms with improved </w:t>
      </w:r>
      <w:r w:rsidR="00CF35AE" w:rsidRPr="005B7CAC">
        <w:rPr>
          <w:rFonts w:ascii="Times New Roman" w:hAnsi="Times New Roman"/>
          <w:bCs/>
          <w:i/>
          <w:sz w:val="24"/>
          <w:szCs w:val="20"/>
          <w:lang w:val="en-US"/>
        </w:rPr>
        <w:t>WM</w:t>
      </w:r>
      <w:r w:rsidR="00CF35AE" w:rsidRPr="005B7CAC">
        <w:rPr>
          <w:rFonts w:ascii="Times New Roman" w:hAnsi="Times New Roman"/>
          <w:bCs/>
          <w:iCs/>
          <w:sz w:val="24"/>
          <w:szCs w:val="20"/>
          <w:lang w:val="en-US"/>
        </w:rPr>
        <w:t xml:space="preserve"> practices may be perceived as financially stable by global investors due to the low possibility of environmental risks/threats</w:t>
      </w:r>
      <w:r w:rsidR="00F87FCB" w:rsidRPr="005B7CAC">
        <w:rPr>
          <w:rFonts w:ascii="Times New Roman" w:hAnsi="Times New Roman"/>
          <w:bCs/>
          <w:iCs/>
          <w:sz w:val="24"/>
          <w:szCs w:val="20"/>
          <w:lang w:val="en-US"/>
        </w:rPr>
        <w:t xml:space="preserve"> </w:t>
      </w:r>
      <w:r w:rsidR="00F87FCB" w:rsidRPr="005B7CAC">
        <w:rPr>
          <w:rFonts w:ascii="Times New Roman" w:hAnsi="Times New Roman"/>
          <w:bCs/>
          <w:iCs/>
          <w:sz w:val="24"/>
          <w:szCs w:val="20"/>
          <w:lang w:val="en-US"/>
        </w:rPr>
        <w:fldChar w:fldCharType="begin" w:fldLock="1"/>
      </w:r>
      <w:r w:rsidR="0050174D" w:rsidRPr="005B7CAC">
        <w:rPr>
          <w:rFonts w:ascii="Times New Roman" w:hAnsi="Times New Roman"/>
          <w:bCs/>
          <w:iCs/>
          <w:sz w:val="24"/>
          <w:szCs w:val="20"/>
          <w:lang w:val="en-US"/>
        </w:rPr>
        <w:instrText>ADDIN CSL_CITATION {"citationItems":[{"id":"ITEM-1","itemData":{"DOI":"10.1016/J.BAR.2022.101097","ISSN":"0890-8389","author":[{"dropping-particle":"","family":"Gull","given":"Ammar Ali","non-dropping-particle":"","parse-names":false,"suffix":""},{"dropping-particle":"","family":"Atif","given":"Muhammad","non-dropping-particle":"","parse-names":false,"suffix":""},{"dropping-particle":"","family":"Hussain","given":"Nazim","non-dropping-particle":"","parse-names":false,"suffix":""}],"container-title":"The British Accounting Review","id":"ITEM-1","issue":"1","issued":{"date-parts":[["2022","4","19"]]},"page":"101097","title":"Board gender composition and waste management: Cross-country evidence","type":"article-journal","volume":"55"},"uris":["http://www.mendeley.com/documents/?uuid=998cc938-d7d9-3a14-90d5-d3f26977d6e8"]},{"id":"ITEM-2","itemData":{"DOI":"10.1111/corg.12567","ISSN":"14678683","abstract":"Research Question/Issue: We investigate the impact of board co-option on corporate environmental orientation from the perspective of waste management. As waste presents damaging effects on the natural environment, climate change, and human health, businesses assume an ethical responsibility to conduct their operations in a sustainable and responsible manner. Research Findings/Insights: Employing firm-level waste production data, we document a significant negative relationship between board co-option and waste generation, suggesting that co-opted directors help firms reduce their waste—a finding that also carries economic significance. The cross-sectional analyses reveal that the relationship only holds when a CEO does not chair the board and has a shorter tenure. Furthermore, we find that the board co-option–waste management relationship is stronger in environmentally sensitive industries and is mainly driven by the manufacturing firms. We perform a battery of analyses to rule out endogeneity concerns and check for the robustness of our results. The channel test reveals that CEOs of firms with higher waste management face lower performance-induced turnover, particularly when working with co-opted boards. Finally, we also find that co-option-induced waste management initiatives ultimately increase firms' economic value. Theoretical/Academic Implications: We document that co-opted boards may enhance firms' waste management practices by reducing performance-induced CEO turnover. Thus, we make important contributions to the corporate governance and environmentalism strands of the literature by highlighting the bright side of board co-option for waste reduction initiatives. Practitioner/Policy Implications: Our study provides vital policy implications for regulators and top management teams against the background of public outcry and social pressure to mitigate the damage to the environment and calls for ethical business practices.","author":[{"dropping-particle":"","family":"Gull","given":"Ammar Ali","non-dropping-particle":"","parse-names":false,"suffix":""},{"dropping-particle":"","family":"Luong","given":"Hoa","non-dropping-particle":"","parse-names":false,"suffix":""},{"dropping-particle":"","family":"Nadeem","given":"Muhammad","non-dropping-particle":"","parse-names":false,"suffix":""}],"container-title":"Corporate Governance: An International Review","id":"ITEM-2","issue":"5","issued":{"date-parts":[["2024"]]},"page":"758-785","title":"Board co-option and corporate environmental orientation: New insights from the waste management perspective","type":"article-journal","volume":"32"},"uris":["http://www.mendeley.com/documents/?uuid=026a1573-02d3-3c09-a2bc-ed265df5423b"]}],"mendeley":{"formattedCitation":"(Gull, Atif and Hussain, 2022; Gull &lt;i&gt;et al.&lt;/i&gt;, 2024)","manualFormatting":"(Gull et al., 2024; Gull et al., 2022b)","plainTextFormattedCitation":"(Gull, Atif and Hussain, 2022; Gull et al., 2024)","previouslyFormattedCitation":"(Gull, Atif and Hussain, 2022; Gull &lt;i&gt;et al.&lt;/i&gt;, 2024)"},"properties":{"noteIndex":0},"schema":"https://github.com/citation-style-language/schema/raw/master/csl-citation.json"}</w:instrText>
      </w:r>
      <w:r w:rsidR="00F87FCB" w:rsidRPr="005B7CAC">
        <w:rPr>
          <w:rFonts w:ascii="Times New Roman" w:hAnsi="Times New Roman"/>
          <w:bCs/>
          <w:iCs/>
          <w:sz w:val="24"/>
          <w:szCs w:val="20"/>
          <w:lang w:val="en-US"/>
        </w:rPr>
        <w:fldChar w:fldCharType="separate"/>
      </w:r>
      <w:r w:rsidR="00302318" w:rsidRPr="005B7CAC">
        <w:rPr>
          <w:rFonts w:ascii="Times New Roman" w:hAnsi="Times New Roman"/>
          <w:bCs/>
          <w:iCs/>
          <w:noProof/>
          <w:sz w:val="24"/>
          <w:szCs w:val="20"/>
          <w:lang w:val="en-US"/>
        </w:rPr>
        <w:t xml:space="preserve">(Gull </w:t>
      </w:r>
      <w:r w:rsidR="00302318" w:rsidRPr="005B7CAC">
        <w:rPr>
          <w:rFonts w:ascii="Times New Roman" w:hAnsi="Times New Roman"/>
          <w:bCs/>
          <w:i/>
          <w:iCs/>
          <w:noProof/>
          <w:sz w:val="24"/>
          <w:szCs w:val="20"/>
          <w:lang w:val="en-US"/>
        </w:rPr>
        <w:t>et al.</w:t>
      </w:r>
      <w:r w:rsidR="00302318" w:rsidRPr="005B7CAC">
        <w:rPr>
          <w:rFonts w:ascii="Times New Roman" w:hAnsi="Times New Roman"/>
          <w:bCs/>
          <w:iCs/>
          <w:noProof/>
          <w:sz w:val="24"/>
          <w:szCs w:val="20"/>
          <w:lang w:val="en-US"/>
        </w:rPr>
        <w:t>, 2024; Gull</w:t>
      </w:r>
      <w:r w:rsidR="00C21F0E" w:rsidRPr="005B7CAC">
        <w:rPr>
          <w:rFonts w:ascii="Times New Roman" w:hAnsi="Times New Roman"/>
          <w:bCs/>
          <w:iCs/>
          <w:noProof/>
          <w:sz w:val="24"/>
          <w:szCs w:val="20"/>
          <w:lang w:val="en-US"/>
        </w:rPr>
        <w:t xml:space="preserve"> </w:t>
      </w:r>
      <w:r w:rsidR="00C21F0E" w:rsidRPr="005B7CAC">
        <w:rPr>
          <w:rFonts w:ascii="Times New Roman" w:hAnsi="Times New Roman"/>
          <w:bCs/>
          <w:i/>
          <w:noProof/>
          <w:sz w:val="24"/>
          <w:szCs w:val="20"/>
          <w:lang w:val="en-US"/>
        </w:rPr>
        <w:t>et al.</w:t>
      </w:r>
      <w:r w:rsidR="00C21F0E" w:rsidRPr="005B7CAC">
        <w:rPr>
          <w:rFonts w:ascii="Times New Roman" w:hAnsi="Times New Roman"/>
          <w:bCs/>
          <w:iCs/>
          <w:noProof/>
          <w:sz w:val="24"/>
          <w:szCs w:val="20"/>
          <w:lang w:val="en-US"/>
        </w:rPr>
        <w:t xml:space="preserve">, </w:t>
      </w:r>
      <w:r w:rsidR="00302318" w:rsidRPr="005B7CAC">
        <w:rPr>
          <w:rFonts w:ascii="Times New Roman" w:hAnsi="Times New Roman"/>
          <w:bCs/>
          <w:iCs/>
          <w:noProof/>
          <w:sz w:val="24"/>
          <w:szCs w:val="20"/>
          <w:lang w:val="en-US"/>
        </w:rPr>
        <w:t>2022</w:t>
      </w:r>
      <w:r w:rsidR="00C21F0E" w:rsidRPr="005B7CAC">
        <w:rPr>
          <w:rFonts w:ascii="Times New Roman" w:hAnsi="Times New Roman"/>
          <w:bCs/>
          <w:iCs/>
          <w:noProof/>
          <w:sz w:val="24"/>
          <w:szCs w:val="20"/>
          <w:lang w:val="en-US"/>
        </w:rPr>
        <w:t>b</w:t>
      </w:r>
      <w:r w:rsidR="00302318" w:rsidRPr="005B7CAC">
        <w:rPr>
          <w:rFonts w:ascii="Times New Roman" w:hAnsi="Times New Roman"/>
          <w:bCs/>
          <w:iCs/>
          <w:noProof/>
          <w:sz w:val="24"/>
          <w:szCs w:val="20"/>
          <w:lang w:val="en-US"/>
        </w:rPr>
        <w:t>)</w:t>
      </w:r>
      <w:r w:rsidR="00F87FCB" w:rsidRPr="005B7CAC">
        <w:rPr>
          <w:rFonts w:ascii="Times New Roman" w:hAnsi="Times New Roman"/>
          <w:bCs/>
          <w:iCs/>
          <w:sz w:val="24"/>
          <w:szCs w:val="20"/>
          <w:lang w:val="en-US"/>
        </w:rPr>
        <w:fldChar w:fldCharType="end"/>
      </w:r>
      <w:r w:rsidR="00CF35AE" w:rsidRPr="005B7CAC">
        <w:rPr>
          <w:rFonts w:ascii="Times New Roman" w:hAnsi="Times New Roman"/>
          <w:bCs/>
          <w:iCs/>
          <w:sz w:val="24"/>
          <w:szCs w:val="20"/>
          <w:lang w:val="en-US"/>
        </w:rPr>
        <w:t xml:space="preserve">. </w:t>
      </w:r>
      <w:r w:rsidR="00A47B8A" w:rsidRPr="005B7CAC">
        <w:rPr>
          <w:rFonts w:ascii="Times New Roman" w:hAnsi="Times New Roman"/>
          <w:bCs/>
          <w:iCs/>
          <w:sz w:val="24"/>
          <w:szCs w:val="20"/>
          <w:lang w:val="en-US"/>
        </w:rPr>
        <w:t>Thus</w:t>
      </w:r>
      <w:r w:rsidR="00684806" w:rsidRPr="005B7CAC">
        <w:rPr>
          <w:rFonts w:ascii="Times New Roman" w:hAnsi="Times New Roman"/>
          <w:bCs/>
          <w:iCs/>
          <w:sz w:val="24"/>
          <w:szCs w:val="20"/>
          <w:lang w:val="en-US"/>
        </w:rPr>
        <w:t xml:space="preserve">, the stakeholder viewpoint supports the </w:t>
      </w:r>
      <w:r w:rsidR="00845739" w:rsidRPr="005B7CAC">
        <w:rPr>
          <w:rFonts w:ascii="Times New Roman" w:hAnsi="Times New Roman"/>
          <w:bCs/>
          <w:iCs/>
          <w:sz w:val="24"/>
          <w:szCs w:val="20"/>
          <w:lang w:val="en-US"/>
        </w:rPr>
        <w:t>development</w:t>
      </w:r>
      <w:r w:rsidR="00684806" w:rsidRPr="005B7CAC">
        <w:rPr>
          <w:rFonts w:ascii="Times New Roman" w:hAnsi="Times New Roman"/>
          <w:bCs/>
          <w:iCs/>
          <w:sz w:val="24"/>
          <w:szCs w:val="20"/>
          <w:lang w:val="en-US"/>
        </w:rPr>
        <w:t xml:space="preserve"> and implementation of proactive </w:t>
      </w:r>
      <w:r w:rsidR="00684806" w:rsidRPr="005B7CAC">
        <w:rPr>
          <w:rFonts w:ascii="Times New Roman" w:hAnsi="Times New Roman"/>
          <w:bCs/>
          <w:i/>
          <w:iCs/>
          <w:sz w:val="24"/>
          <w:szCs w:val="20"/>
          <w:lang w:val="en-US"/>
        </w:rPr>
        <w:t>WM</w:t>
      </w:r>
      <w:r w:rsidR="00684806" w:rsidRPr="005B7CAC">
        <w:rPr>
          <w:rFonts w:ascii="Times New Roman" w:hAnsi="Times New Roman"/>
          <w:bCs/>
          <w:iCs/>
          <w:sz w:val="24"/>
          <w:szCs w:val="20"/>
          <w:lang w:val="en-US"/>
        </w:rPr>
        <w:t xml:space="preserve"> initiatives/practices </w:t>
      </w:r>
      <w:r w:rsidR="00A47B8A" w:rsidRPr="005B7CAC">
        <w:rPr>
          <w:rFonts w:ascii="Times New Roman" w:hAnsi="Times New Roman"/>
          <w:bCs/>
          <w:iCs/>
          <w:sz w:val="24"/>
          <w:szCs w:val="20"/>
          <w:lang w:val="en-US"/>
        </w:rPr>
        <w:t>to improve</w:t>
      </w:r>
      <w:r w:rsidR="00684806" w:rsidRPr="005B7CAC">
        <w:rPr>
          <w:rFonts w:ascii="Times New Roman" w:hAnsi="Times New Roman"/>
          <w:bCs/>
          <w:iCs/>
          <w:sz w:val="24"/>
          <w:szCs w:val="20"/>
          <w:lang w:val="en-US"/>
        </w:rPr>
        <w:t xml:space="preserve"> stakeholder relationships, enhance corporate image/reputation, </w:t>
      </w:r>
      <w:r w:rsidR="00A47B8A" w:rsidRPr="005B7CAC">
        <w:rPr>
          <w:rFonts w:ascii="Times New Roman" w:hAnsi="Times New Roman"/>
          <w:bCs/>
          <w:iCs/>
          <w:sz w:val="24"/>
          <w:szCs w:val="20"/>
          <w:lang w:val="en-US"/>
        </w:rPr>
        <w:t xml:space="preserve">and </w:t>
      </w:r>
      <w:r w:rsidR="00845739" w:rsidRPr="005B7CAC">
        <w:rPr>
          <w:rFonts w:ascii="Times New Roman" w:hAnsi="Times New Roman"/>
          <w:bCs/>
          <w:iCs/>
          <w:sz w:val="24"/>
          <w:szCs w:val="20"/>
          <w:lang w:val="en-US"/>
        </w:rPr>
        <w:t xml:space="preserve">create favorable financing opportunities that may ultimately lead to lower </w:t>
      </w:r>
      <w:r w:rsidR="00845739" w:rsidRPr="005B7CAC">
        <w:rPr>
          <w:rFonts w:ascii="Times New Roman" w:hAnsi="Times New Roman"/>
          <w:bCs/>
          <w:i/>
          <w:iCs/>
          <w:sz w:val="24"/>
          <w:szCs w:val="20"/>
          <w:lang w:val="en-US"/>
        </w:rPr>
        <w:t>FD</w:t>
      </w:r>
      <w:r w:rsidR="00845739" w:rsidRPr="005B7CAC">
        <w:rPr>
          <w:rFonts w:ascii="Times New Roman" w:hAnsi="Times New Roman"/>
          <w:bCs/>
          <w:iCs/>
          <w:sz w:val="24"/>
          <w:szCs w:val="20"/>
          <w:lang w:val="en-US"/>
        </w:rPr>
        <w:t xml:space="preserve"> risks </w:t>
      </w:r>
      <w:r w:rsidRPr="005B7CAC">
        <w:rPr>
          <w:rFonts w:ascii="Times New Roman" w:hAnsi="Times New Roman"/>
          <w:bCs/>
          <w:iCs/>
          <w:sz w:val="24"/>
          <w:szCs w:val="20"/>
          <w:lang w:val="en-US"/>
        </w:rPr>
        <w:fldChar w:fldCharType="begin" w:fldLock="1"/>
      </w:r>
      <w:r w:rsidRPr="005B7CAC">
        <w:rPr>
          <w:rFonts w:ascii="Times New Roman" w:hAnsi="Times New Roman"/>
          <w:bCs/>
          <w:iCs/>
          <w:sz w:val="24"/>
          <w:szCs w:val="20"/>
          <w:lang w:val="en-US"/>
        </w:rPr>
        <w:instrText>ADDIN CSL_CITATION {"citationItems":[{"id":"ITEM-1","itemData":{"DOI":"10.1111/auar.12366","ISSN":"18352561","abstract":"This study examines the association between corporate environmental performance and financial distress. Using a sample of Australian firms, we find that environmental performance is negatively related to the financial distress probability perceived by the market. In addition, the negative association between environmental performance and the financial distress probability is more pronounced for firms with a higher level of risk. The findings provide important empirical evidence regarding the implications of environmental performance on firms’ risk management.","author":[{"dropping-particle":"","family":"Jia","given":"Jing","non-dropping-particle":"","parse-names":false,"suffix":""},{"dropping-particle":"","family":"Li","given":"Zhongtian","non-dropping-particle":"","parse-names":false,"suffix":""}],"container-title":"Australian Accounting Review","id":"ITEM-1","issue":"2","issued":{"date-parts":[["2022"]]},"page":"188-200","title":"Corporate Environmental Performance and Financial Distress: Evidence from Australia","type":"article-journal","volume":"32"},"uris":["http://www.mendeley.com/documents/?uuid=e29c5adf-e7ff-3dee-9c25-48e25598f3e7"]},{"id":"ITEM-2","itemData":{"ISSN":"0040-1625","author":[{"dropping-particle":"","family":"Konadu","given":"Renata","non-dropping-particle":"","parse-names":false,"suffix":""},{"dropping-particle":"","family":"Ahinful","given":"Gabriel Sam","non-dropping-particle":"","parse-names":false,"suffix":""},{"dropping-particle":"","family":"Boakye","given":"Danquah Jeff","non-dropping-particle":"","parse-names":false,"suffix":""},{"dropping-particle":"","family":"Elbardan","given":"Hany","non-dropping-particle":"","parse-names":false,"suffix":""}],"container-title":"Technological Forecasting and Social Change","id":"ITEM-2","issued":{"date-parts":[["2022"]]},"page":"121279","title":"Board gender diversity, environmental innovation and corporate carbon emissions","type":"article-journal","volume":"174"},"uris":["http://www.mendeley.com/documents/?uuid=a83b27ed-cc56-32e1-a88f-2808649048ed"]}],"mendeley":{"formattedCitation":"(Jia and Li, 2022; Konadu &lt;i&gt;et al.&lt;/i&gt;, 2022)","plainTextFormattedCitation":"(Jia and Li, 2022; Konadu et al., 2022)","previouslyFormattedCitation":"(Jia and Li, 2022; Konadu &lt;i&gt;et al.&lt;/i&gt;, 2022)"},"properties":{"noteIndex":0},"schema":"https://github.com/citation-style-language/schema/raw/master/csl-citation.json"}</w:instrText>
      </w:r>
      <w:r w:rsidRPr="005B7CAC">
        <w:rPr>
          <w:rFonts w:ascii="Times New Roman" w:hAnsi="Times New Roman"/>
          <w:bCs/>
          <w:iCs/>
          <w:sz w:val="24"/>
          <w:szCs w:val="20"/>
          <w:lang w:val="en-US"/>
        </w:rPr>
        <w:fldChar w:fldCharType="separate"/>
      </w:r>
      <w:r w:rsidRPr="005B7CAC">
        <w:rPr>
          <w:rFonts w:ascii="Times New Roman" w:hAnsi="Times New Roman"/>
          <w:bCs/>
          <w:iCs/>
          <w:noProof/>
          <w:sz w:val="24"/>
          <w:szCs w:val="20"/>
          <w:lang w:val="en-US"/>
        </w:rPr>
        <w:t xml:space="preserve">(Jia and Li, 2022; Konadu </w:t>
      </w:r>
      <w:r w:rsidRPr="005B7CAC">
        <w:rPr>
          <w:rFonts w:ascii="Times New Roman" w:hAnsi="Times New Roman"/>
          <w:bCs/>
          <w:i/>
          <w:iCs/>
          <w:noProof/>
          <w:sz w:val="24"/>
          <w:szCs w:val="20"/>
          <w:lang w:val="en-US"/>
        </w:rPr>
        <w:t>et al.</w:t>
      </w:r>
      <w:r w:rsidRPr="005B7CAC">
        <w:rPr>
          <w:rFonts w:ascii="Times New Roman" w:hAnsi="Times New Roman"/>
          <w:bCs/>
          <w:iCs/>
          <w:noProof/>
          <w:sz w:val="24"/>
          <w:szCs w:val="20"/>
          <w:lang w:val="en-US"/>
        </w:rPr>
        <w:t>, 2022)</w:t>
      </w:r>
      <w:r w:rsidRPr="005B7CAC">
        <w:rPr>
          <w:rFonts w:ascii="Times New Roman" w:hAnsi="Times New Roman"/>
          <w:bCs/>
          <w:iCs/>
          <w:sz w:val="24"/>
          <w:szCs w:val="20"/>
          <w:lang w:val="en-US"/>
        </w:rPr>
        <w:fldChar w:fldCharType="end"/>
      </w:r>
      <w:r w:rsidR="00845739" w:rsidRPr="005B7CAC">
        <w:rPr>
          <w:rFonts w:ascii="Times New Roman" w:hAnsi="Times New Roman"/>
          <w:bCs/>
          <w:iCs/>
          <w:sz w:val="24"/>
          <w:szCs w:val="20"/>
          <w:lang w:val="en-US"/>
        </w:rPr>
        <w:t xml:space="preserve">. </w:t>
      </w:r>
      <w:r w:rsidRPr="005B7CAC">
        <w:rPr>
          <w:rFonts w:ascii="Times New Roman" w:hAnsi="Times New Roman"/>
          <w:bCs/>
          <w:iCs/>
          <w:sz w:val="24"/>
          <w:szCs w:val="20"/>
          <w:lang w:val="en-US"/>
        </w:rPr>
        <w:t xml:space="preserve"> </w:t>
      </w:r>
    </w:p>
    <w:p w14:paraId="184DA627" w14:textId="77F3AD48" w:rsidR="001404B4" w:rsidRPr="005B7CAC" w:rsidRDefault="000F6471" w:rsidP="001404B4">
      <w:pPr>
        <w:widowControl w:val="0"/>
        <w:autoSpaceDE w:val="0"/>
        <w:autoSpaceDN w:val="0"/>
        <w:adjustRightInd w:val="0"/>
        <w:spacing w:after="240" w:line="360" w:lineRule="auto"/>
        <w:jc w:val="both"/>
        <w:rPr>
          <w:rFonts w:ascii="Times New Roman" w:hAnsi="Times New Roman"/>
          <w:bCs/>
          <w:iCs/>
          <w:sz w:val="24"/>
          <w:szCs w:val="20"/>
          <w:lang w:val="en-US"/>
        </w:rPr>
      </w:pPr>
      <w:r w:rsidRPr="005B7CAC">
        <w:rPr>
          <w:rFonts w:ascii="Times New Roman" w:hAnsi="Times New Roman"/>
          <w:bCs/>
          <w:iCs/>
          <w:sz w:val="24"/>
          <w:szCs w:val="20"/>
          <w:lang w:val="en-US"/>
        </w:rPr>
        <w:t xml:space="preserve">Stakeholder theory also provides insights into the </w:t>
      </w:r>
      <w:r w:rsidR="00F94BC5" w:rsidRPr="005B7CAC">
        <w:rPr>
          <w:rFonts w:ascii="Times New Roman" w:hAnsi="Times New Roman"/>
          <w:bCs/>
          <w:iCs/>
          <w:sz w:val="24"/>
          <w:szCs w:val="20"/>
          <w:lang w:val="en-US"/>
        </w:rPr>
        <w:t>effects of green</w:t>
      </w:r>
      <w:r w:rsidRPr="005B7CAC">
        <w:rPr>
          <w:rFonts w:ascii="Times New Roman" w:hAnsi="Times New Roman"/>
          <w:bCs/>
          <w:iCs/>
          <w:sz w:val="24"/>
          <w:szCs w:val="20"/>
          <w:lang w:val="en-US"/>
        </w:rPr>
        <w:t xml:space="preserve"> initiatives </w:t>
      </w:r>
      <w:r w:rsidR="00F94BC5" w:rsidRPr="005B7CAC">
        <w:rPr>
          <w:rFonts w:ascii="Times New Roman" w:hAnsi="Times New Roman"/>
          <w:bCs/>
          <w:iCs/>
          <w:sz w:val="24"/>
          <w:szCs w:val="20"/>
          <w:lang w:val="en-US"/>
        </w:rPr>
        <w:t>on environmental performance and financial stability</w:t>
      </w:r>
      <w:r w:rsidRPr="005B7CAC">
        <w:rPr>
          <w:rFonts w:ascii="Times New Roman" w:hAnsi="Times New Roman"/>
          <w:bCs/>
          <w:iCs/>
          <w:sz w:val="24"/>
          <w:szCs w:val="20"/>
          <w:lang w:val="en-US"/>
        </w:rPr>
        <w:t>. In particular, the stakeholder view</w:t>
      </w:r>
      <w:r w:rsidR="00F94BC5" w:rsidRPr="005B7CAC">
        <w:rPr>
          <w:rFonts w:ascii="Times New Roman" w:hAnsi="Times New Roman"/>
          <w:bCs/>
          <w:iCs/>
          <w:sz w:val="24"/>
          <w:szCs w:val="20"/>
          <w:lang w:val="en-US"/>
        </w:rPr>
        <w:t xml:space="preserve"> suggests that </w:t>
      </w:r>
      <w:r w:rsidR="002B177F" w:rsidRPr="005B7CAC">
        <w:rPr>
          <w:rFonts w:ascii="Times New Roman" w:hAnsi="Times New Roman"/>
          <w:bCs/>
          <w:iCs/>
          <w:sz w:val="24"/>
          <w:szCs w:val="20"/>
          <w:lang w:val="en-US"/>
        </w:rPr>
        <w:lastRenderedPageBreak/>
        <w:t>environmental</w:t>
      </w:r>
      <w:r w:rsidR="00DC7A30" w:rsidRPr="005B7CAC">
        <w:rPr>
          <w:rFonts w:ascii="Times New Roman" w:hAnsi="Times New Roman"/>
          <w:bCs/>
          <w:iCs/>
          <w:sz w:val="24"/>
          <w:szCs w:val="20"/>
          <w:lang w:val="en-US"/>
        </w:rPr>
        <w:t>/green</w:t>
      </w:r>
      <w:r w:rsidR="002B177F" w:rsidRPr="005B7CAC">
        <w:rPr>
          <w:rFonts w:ascii="Times New Roman" w:hAnsi="Times New Roman"/>
          <w:bCs/>
          <w:iCs/>
          <w:sz w:val="24"/>
          <w:szCs w:val="20"/>
          <w:lang w:val="en-US"/>
        </w:rPr>
        <w:t xml:space="preserve"> initiatives</w:t>
      </w:r>
      <w:r w:rsidR="00F94BC5" w:rsidRPr="005B7CAC">
        <w:rPr>
          <w:rFonts w:ascii="Times New Roman" w:hAnsi="Times New Roman"/>
          <w:bCs/>
          <w:iCs/>
          <w:sz w:val="24"/>
          <w:szCs w:val="20"/>
          <w:lang w:val="en-US"/>
        </w:rPr>
        <w:t xml:space="preserve">, such as </w:t>
      </w:r>
      <w:r w:rsidR="002B177F" w:rsidRPr="005B7CAC">
        <w:rPr>
          <w:rFonts w:ascii="Times New Roman" w:hAnsi="Times New Roman"/>
          <w:bCs/>
          <w:iCs/>
          <w:sz w:val="24"/>
          <w:szCs w:val="20"/>
          <w:lang w:val="en-US"/>
        </w:rPr>
        <w:t xml:space="preserve">adopting green technologies, </w:t>
      </w:r>
      <w:r w:rsidR="00F94BC5" w:rsidRPr="005B7CAC">
        <w:rPr>
          <w:rFonts w:ascii="Times New Roman" w:hAnsi="Times New Roman"/>
          <w:bCs/>
          <w:iCs/>
          <w:sz w:val="24"/>
          <w:szCs w:val="20"/>
          <w:lang w:val="en-US"/>
        </w:rPr>
        <w:t>renewable energy systems, sustainable activities/practices</w:t>
      </w:r>
      <w:r w:rsidR="002B177F" w:rsidRPr="005B7CAC">
        <w:rPr>
          <w:rFonts w:ascii="Times New Roman" w:hAnsi="Times New Roman"/>
          <w:bCs/>
          <w:iCs/>
          <w:sz w:val="24"/>
          <w:szCs w:val="20"/>
          <w:lang w:val="en-US"/>
        </w:rPr>
        <w:t xml:space="preserve">, can reduce waste levels and disposal costs, </w:t>
      </w:r>
      <w:r w:rsidR="00DC7A30" w:rsidRPr="005B7CAC">
        <w:rPr>
          <w:rFonts w:ascii="Times New Roman" w:hAnsi="Times New Roman"/>
          <w:bCs/>
          <w:iCs/>
          <w:sz w:val="24"/>
          <w:szCs w:val="20"/>
          <w:lang w:val="en-US"/>
        </w:rPr>
        <w:t xml:space="preserve">thereby </w:t>
      </w:r>
      <w:r w:rsidR="002B177F" w:rsidRPr="005B7CAC">
        <w:rPr>
          <w:rFonts w:ascii="Times New Roman" w:hAnsi="Times New Roman"/>
          <w:bCs/>
          <w:iCs/>
          <w:sz w:val="24"/>
          <w:szCs w:val="20"/>
          <w:lang w:val="en-US"/>
        </w:rPr>
        <w:t xml:space="preserve">lessening the financial burden </w:t>
      </w:r>
      <w:r w:rsidR="00DC7A30" w:rsidRPr="005B7CAC">
        <w:rPr>
          <w:rFonts w:ascii="Times New Roman" w:hAnsi="Times New Roman"/>
          <w:bCs/>
          <w:iCs/>
          <w:sz w:val="24"/>
          <w:szCs w:val="20"/>
          <w:lang w:val="en-US"/>
        </w:rPr>
        <w:t xml:space="preserve">associated </w:t>
      </w:r>
      <w:r w:rsidR="001F5E92" w:rsidRPr="005B7CAC">
        <w:rPr>
          <w:rFonts w:ascii="Times New Roman" w:hAnsi="Times New Roman"/>
          <w:bCs/>
          <w:iCs/>
          <w:sz w:val="24"/>
          <w:szCs w:val="20"/>
          <w:lang w:val="en-US"/>
        </w:rPr>
        <w:t xml:space="preserve">with </w:t>
      </w:r>
      <w:r w:rsidR="002B177F" w:rsidRPr="005B7CAC">
        <w:rPr>
          <w:rFonts w:ascii="Times New Roman" w:hAnsi="Times New Roman"/>
          <w:bCs/>
          <w:iCs/>
          <w:sz w:val="24"/>
          <w:szCs w:val="20"/>
          <w:lang w:val="en-US"/>
        </w:rPr>
        <w:t>environmental risks</w:t>
      </w:r>
      <w:r w:rsidR="00EE31EF" w:rsidRPr="005B7CAC">
        <w:rPr>
          <w:rFonts w:ascii="Times New Roman" w:hAnsi="Times New Roman"/>
          <w:bCs/>
          <w:iCs/>
          <w:sz w:val="24"/>
          <w:szCs w:val="20"/>
          <w:lang w:val="en-US"/>
        </w:rPr>
        <w:t xml:space="preserve"> </w:t>
      </w:r>
      <w:r w:rsidR="00EE31EF" w:rsidRPr="005B7CAC">
        <w:rPr>
          <w:rFonts w:ascii="Times New Roman" w:hAnsi="Times New Roman"/>
          <w:bCs/>
          <w:iCs/>
          <w:sz w:val="24"/>
          <w:szCs w:val="20"/>
          <w:lang w:val="en-US"/>
        </w:rPr>
        <w:fldChar w:fldCharType="begin" w:fldLock="1"/>
      </w:r>
      <w:r w:rsidR="00FC439D" w:rsidRPr="005B7CAC">
        <w:rPr>
          <w:rFonts w:ascii="Times New Roman" w:hAnsi="Times New Roman"/>
          <w:bCs/>
          <w:iCs/>
          <w:sz w:val="24"/>
          <w:szCs w:val="20"/>
          <w:lang w:val="en-US"/>
        </w:rPr>
        <w:instrText>ADDIN CSL_CITATION {"citationItems":[{"id":"ITEM-1","itemData":{"DOI":"10.1111/1467-8551.12715","author":[{"dropping-particle":"","family":"Orazalin","given":"Nurlan","non-dropping-particle":"","parse-names":false,"suffix":""},{"dropping-particle":"","family":"Ntim","given":"Collins","non-dropping-particle":"","parse-names":false,"suffix":""},{"dropping-particle":"","family":"Malagila","given":"John","non-dropping-particle":"","parse-names":false,"suffix":""}],"container-title":"British Journal of Management","id":"ITEM-1","issue":"1","issued":{"date-parts":[["2024"]]},"page":"295-320","title":"Board sustainability committees, climate change initiatives, carbon performance, and market value","type":"article-journal","volume":"35"},"uris":["http://www.mendeley.com/documents/?uuid=a619d5c5-bf37-445d-9069-2df2648f2b82"]}],"mendeley":{"formattedCitation":"(Orazalin &lt;i&gt;et al.&lt;/i&gt;, 2024)","plainTextFormattedCitation":"(Orazalin et al., 2024)","previouslyFormattedCitation":"(Orazalin &lt;i&gt;et al.&lt;/i&gt;, 2024)"},"properties":{"noteIndex":0},"schema":"https://github.com/citation-style-language/schema/raw/master/csl-citation.json"}</w:instrText>
      </w:r>
      <w:r w:rsidR="00EE31EF" w:rsidRPr="005B7CAC">
        <w:rPr>
          <w:rFonts w:ascii="Times New Roman" w:hAnsi="Times New Roman"/>
          <w:bCs/>
          <w:iCs/>
          <w:sz w:val="24"/>
          <w:szCs w:val="20"/>
          <w:lang w:val="en-US"/>
        </w:rPr>
        <w:fldChar w:fldCharType="separate"/>
      </w:r>
      <w:r w:rsidR="00EE31EF" w:rsidRPr="005B7CAC">
        <w:rPr>
          <w:rFonts w:ascii="Times New Roman" w:hAnsi="Times New Roman"/>
          <w:bCs/>
          <w:iCs/>
          <w:noProof/>
          <w:sz w:val="24"/>
          <w:szCs w:val="20"/>
          <w:lang w:val="en-US"/>
        </w:rPr>
        <w:t xml:space="preserve">(Orazalin </w:t>
      </w:r>
      <w:r w:rsidR="00EE31EF" w:rsidRPr="005B7CAC">
        <w:rPr>
          <w:rFonts w:ascii="Times New Roman" w:hAnsi="Times New Roman"/>
          <w:bCs/>
          <w:i/>
          <w:iCs/>
          <w:noProof/>
          <w:sz w:val="24"/>
          <w:szCs w:val="20"/>
          <w:lang w:val="en-US"/>
        </w:rPr>
        <w:t>et al.</w:t>
      </w:r>
      <w:r w:rsidR="00EE31EF" w:rsidRPr="005B7CAC">
        <w:rPr>
          <w:rFonts w:ascii="Times New Roman" w:hAnsi="Times New Roman"/>
          <w:bCs/>
          <w:iCs/>
          <w:noProof/>
          <w:sz w:val="24"/>
          <w:szCs w:val="20"/>
          <w:lang w:val="en-US"/>
        </w:rPr>
        <w:t>, 2024)</w:t>
      </w:r>
      <w:r w:rsidR="00EE31EF" w:rsidRPr="005B7CAC">
        <w:rPr>
          <w:rFonts w:ascii="Times New Roman" w:hAnsi="Times New Roman"/>
          <w:bCs/>
          <w:iCs/>
          <w:sz w:val="24"/>
          <w:szCs w:val="20"/>
          <w:lang w:val="en-US"/>
        </w:rPr>
        <w:fldChar w:fldCharType="end"/>
      </w:r>
      <w:r w:rsidR="002B177F" w:rsidRPr="005B7CAC">
        <w:rPr>
          <w:rFonts w:ascii="Times New Roman" w:hAnsi="Times New Roman"/>
          <w:bCs/>
          <w:iCs/>
          <w:sz w:val="24"/>
          <w:szCs w:val="20"/>
          <w:lang w:val="en-US"/>
        </w:rPr>
        <w:t xml:space="preserve">. </w:t>
      </w:r>
      <w:r w:rsidR="009A305C" w:rsidRPr="005B7CAC">
        <w:rPr>
          <w:rFonts w:ascii="Times New Roman" w:hAnsi="Times New Roman"/>
          <w:bCs/>
          <w:iCs/>
          <w:sz w:val="24"/>
          <w:szCs w:val="20"/>
          <w:lang w:val="en-US"/>
        </w:rPr>
        <w:t>Such efforts</w:t>
      </w:r>
      <w:r w:rsidR="002B177F" w:rsidRPr="005B7CAC">
        <w:rPr>
          <w:rFonts w:ascii="Times New Roman" w:hAnsi="Times New Roman"/>
          <w:bCs/>
          <w:iCs/>
          <w:sz w:val="24"/>
          <w:szCs w:val="20"/>
          <w:lang w:val="en-US"/>
        </w:rPr>
        <w:t xml:space="preserve"> demonstra</w:t>
      </w:r>
      <w:r w:rsidR="009170DC" w:rsidRPr="005B7CAC">
        <w:rPr>
          <w:rFonts w:ascii="Times New Roman" w:hAnsi="Times New Roman"/>
          <w:bCs/>
          <w:iCs/>
          <w:sz w:val="24"/>
          <w:szCs w:val="20"/>
          <w:lang w:val="en-US"/>
        </w:rPr>
        <w:t>te</w:t>
      </w:r>
      <w:r w:rsidR="002B177F" w:rsidRPr="005B7CAC">
        <w:rPr>
          <w:rFonts w:ascii="Times New Roman" w:hAnsi="Times New Roman"/>
          <w:bCs/>
          <w:iCs/>
          <w:sz w:val="24"/>
          <w:szCs w:val="20"/>
          <w:lang w:val="en-US"/>
        </w:rPr>
        <w:t xml:space="preserve"> corporate commitment </w:t>
      </w:r>
      <w:r w:rsidR="009170DC" w:rsidRPr="005B7CAC">
        <w:rPr>
          <w:rFonts w:ascii="Times New Roman" w:hAnsi="Times New Roman"/>
          <w:bCs/>
          <w:iCs/>
          <w:sz w:val="24"/>
          <w:szCs w:val="20"/>
          <w:lang w:val="en-US"/>
        </w:rPr>
        <w:t xml:space="preserve">to climate issues </w:t>
      </w:r>
      <w:r w:rsidR="002B177F" w:rsidRPr="005B7CAC">
        <w:rPr>
          <w:rFonts w:ascii="Times New Roman" w:hAnsi="Times New Roman"/>
          <w:bCs/>
          <w:iCs/>
          <w:sz w:val="24"/>
          <w:szCs w:val="20"/>
          <w:lang w:val="en-US"/>
        </w:rPr>
        <w:t>and responsiveness to both financial and environmental stakeholder</w:t>
      </w:r>
      <w:r w:rsidR="009A305C" w:rsidRPr="005B7CAC">
        <w:rPr>
          <w:rFonts w:ascii="Times New Roman" w:hAnsi="Times New Roman"/>
          <w:bCs/>
          <w:iCs/>
          <w:sz w:val="24"/>
          <w:szCs w:val="20"/>
          <w:lang w:val="en-US"/>
        </w:rPr>
        <w:t xml:space="preserve"> needs</w:t>
      </w:r>
      <w:r w:rsidR="00BB0691">
        <w:rPr>
          <w:rFonts w:ascii="Times New Roman" w:hAnsi="Times New Roman"/>
          <w:bCs/>
          <w:iCs/>
          <w:sz w:val="24"/>
          <w:szCs w:val="20"/>
          <w:lang w:val="en-US"/>
        </w:rPr>
        <w:t xml:space="preserve"> </w:t>
      </w:r>
      <w:r w:rsidR="00DD071E" w:rsidRPr="005B7CAC">
        <w:rPr>
          <w:rFonts w:ascii="Times New Roman" w:hAnsi="Times New Roman"/>
          <w:bCs/>
          <w:iCs/>
          <w:sz w:val="24"/>
          <w:szCs w:val="20"/>
          <w:lang w:val="en-US"/>
        </w:rPr>
        <w:t xml:space="preserve">and eventually reduce </w:t>
      </w:r>
      <w:r w:rsidR="002B177F" w:rsidRPr="005B7CAC">
        <w:rPr>
          <w:rFonts w:ascii="Times New Roman" w:hAnsi="Times New Roman"/>
          <w:bCs/>
          <w:iCs/>
          <w:sz w:val="24"/>
          <w:szCs w:val="20"/>
          <w:lang w:val="en-US"/>
        </w:rPr>
        <w:t xml:space="preserve">operating and compliance costs, </w:t>
      </w:r>
      <w:r w:rsidR="00DD071E" w:rsidRPr="005B7CAC">
        <w:rPr>
          <w:rFonts w:ascii="Times New Roman" w:hAnsi="Times New Roman"/>
          <w:bCs/>
          <w:iCs/>
          <w:sz w:val="24"/>
          <w:szCs w:val="20"/>
          <w:lang w:val="en-US"/>
        </w:rPr>
        <w:t>thus</w:t>
      </w:r>
      <w:r w:rsidR="009E4633" w:rsidRPr="005B7CAC">
        <w:rPr>
          <w:rFonts w:ascii="Times New Roman" w:hAnsi="Times New Roman"/>
          <w:bCs/>
          <w:iCs/>
          <w:sz w:val="24"/>
          <w:szCs w:val="20"/>
          <w:lang w:val="en-US"/>
        </w:rPr>
        <w:t xml:space="preserve"> </w:t>
      </w:r>
      <w:r w:rsidR="00DD071E" w:rsidRPr="005B7CAC">
        <w:rPr>
          <w:rFonts w:ascii="Times New Roman" w:hAnsi="Times New Roman"/>
          <w:bCs/>
          <w:iCs/>
          <w:sz w:val="24"/>
          <w:szCs w:val="20"/>
          <w:lang w:val="en-US"/>
        </w:rPr>
        <w:t xml:space="preserve">mitigating </w:t>
      </w:r>
      <w:r w:rsidR="00DD071E" w:rsidRPr="005B7CAC">
        <w:rPr>
          <w:rFonts w:ascii="Times New Roman" w:hAnsi="Times New Roman"/>
          <w:bCs/>
          <w:i/>
          <w:sz w:val="24"/>
          <w:szCs w:val="20"/>
          <w:lang w:val="en-US"/>
        </w:rPr>
        <w:t>FD</w:t>
      </w:r>
      <w:r w:rsidR="00DD071E" w:rsidRPr="005B7CAC">
        <w:rPr>
          <w:rFonts w:ascii="Times New Roman" w:hAnsi="Times New Roman"/>
          <w:bCs/>
          <w:iCs/>
          <w:sz w:val="24"/>
          <w:szCs w:val="20"/>
          <w:lang w:val="en-US"/>
        </w:rPr>
        <w:t xml:space="preserve"> </w:t>
      </w:r>
      <w:r w:rsidR="002B177F" w:rsidRPr="005B7CAC">
        <w:rPr>
          <w:rFonts w:ascii="Times New Roman" w:hAnsi="Times New Roman"/>
          <w:bCs/>
          <w:iCs/>
          <w:sz w:val="24"/>
          <w:szCs w:val="20"/>
          <w:lang w:val="en-US"/>
        </w:rPr>
        <w:t>risks</w:t>
      </w:r>
      <w:r w:rsidR="00FC439D" w:rsidRPr="005B7CAC">
        <w:rPr>
          <w:rFonts w:ascii="Times New Roman" w:hAnsi="Times New Roman"/>
          <w:bCs/>
          <w:iCs/>
          <w:sz w:val="24"/>
          <w:szCs w:val="20"/>
          <w:lang w:val="en-US"/>
        </w:rPr>
        <w:t xml:space="preserve"> </w:t>
      </w:r>
      <w:r w:rsidR="00FC439D" w:rsidRPr="005B7CAC">
        <w:rPr>
          <w:rFonts w:ascii="Times New Roman" w:hAnsi="Times New Roman"/>
          <w:bCs/>
          <w:iCs/>
          <w:sz w:val="24"/>
          <w:szCs w:val="20"/>
          <w:lang w:val="en-US"/>
        </w:rPr>
        <w:fldChar w:fldCharType="begin" w:fldLock="1"/>
      </w:r>
      <w:r w:rsidR="001404B4" w:rsidRPr="005B7CAC">
        <w:rPr>
          <w:rFonts w:ascii="Times New Roman" w:hAnsi="Times New Roman"/>
          <w:bCs/>
          <w:iCs/>
          <w:sz w:val="24"/>
          <w:szCs w:val="20"/>
          <w:lang w:val="en-US"/>
        </w:rPr>
        <w:instrText>ADDIN CSL_CITATION {"citationItems":[{"id":"ITEM-1","itemData":{"DOI":"10.1002/bse.3232","ISSN":"10990836","abstract":"This paper examines the effects of environmental innovation on CO2 emissions as well as the moderating role of environmental governance in this relationship. Based on a sample of companies listed on the London Stock Exchange for the period from 2016 to 2020, the findings show that environmental innovation reduces CO2 emissions including Scope 1 and Scope 2 CO2 emissions. Likewise, our findings are associative of a moderating effect of environmental governance on the environmental innovation-CO2 emissions nexus. We argue that environmental innovation along with better environmental governance leads to a reduction in CO2 emissions. Our results hold for subsamples of firms with a strong/low environmental governance and ESG performance. Our findings offer important implications for companies and policymakers towards adopting more environmental technologies along with enhancing environmental governance to reduce CO2 emissions.","author":[{"dropping-particle":"","family":"Albitar","given":"Khaldoon","non-dropping-particle":"","parse-names":false,"suffix":""},{"dropping-particle":"","family":"Borgi","given":"Hela","non-dropping-particle":"","parse-names":false,"suffix":""},{"dropping-particle":"","family":"Khan","given":"Muzammal","non-dropping-particle":"","parse-names":false,"suffix":""},{"dropping-particle":"","family":"Zahra","given":"Anum","non-dropping-particle":"","parse-names":false,"suffix":""}],"container-title":"Business Strategy and the Environment","id":"ITEM-1","issue":"4","issued":{"date-parts":[["2023"]]},"page":"1996-2007","title":"Business environmental innovation and CO2 emissions: The moderating role of environmental governance","type":"article-journal","volume":"32"},"uris":["http://www.mendeley.com/documents/?uuid=7de5d50a-1720-35da-acfc-b514ae3b49a5"]},{"id":"ITEM-2","itemData":{"DOI":"10.1108/JAAR-12-2022-0329","ISSN":"09675426","abstract":"Purpose: This study tests whether corporate social responsibility (CSR) performance is a predictor of the financial sector's financial stability (FS), with the moderation of a sustainability committee. Design/methodology/approach: The sample covers financial sector firms included in the Thomson Reuters Eikon database. The analyses are based on 8,840 firm-year observations for the years between 2002 and 2019 and the country-firm-year fixed-effects (FE) regression analysis is executed. Findings: The results reveal that CSR initiatives contribute to the financial sector's FS as a whole and the sector's three individual sub-sectors. This proven significant association holds for all sub-sectors, namely insurance, banking, and investment banking. Moreover, the moderation analysis reveals the prominent role of a sustainability committee in bridging CSR performance (CSRP) with FS. Research limitations/implications: The findings highlight that meeting societies' expectations pays back in the form of greater FS in the financial sector. Practical implications: The findings suggest that CSR engagement helps the financial sector firms manage their risks and alleviates exposure to insolvency. This is because CSR performance promotes firms' accountability and transparency toward stakeholders. The results help motivate managers to pursue CSR goals more seriously to ensure FS. The moderation analysis implies that sustainability committees develop policies and practices to integrate the non-financial and financial goals of the firm. Originality/value: Although prior studies have examined the link between CSR and financial performance (FP) in the financial sector, those studies have largely ignored FS in terms of risk-adjusted performance. Besides, prior studies have exclusively focused on the banking sector, but the authors concentrate on the banking, insurance, and investment banking sectors.","author":[{"dropping-particle":"","family":"Orazalin","given":"Nurlan","non-dropping-particle":"","parse-names":false,"suffix":""},{"dropping-particle":"","family":"Kuzey","given":"Cemil","non-dropping-particle":"","parse-names":false,"suffix":""},{"dropping-particle":"","family":"Uyar","given":"Ali","non-dropping-particle":"","parse-names":false,"suffix":""},{"dropping-particle":"","family":"Karaman","given":"Abdullah S.","non-dropping-particle":"","parse-names":false,"suffix":""}],"container-title":"Journal of Applied Accounting Research","id":"ITEM-2","issued":{"date-parts":[["2023"]]},"title":"Does CSR contribute to the financial sector's financial stability? The moderating role of a sustainability committee","type":"article-journal"},"uris":["http://www.mendeley.com/documents/?uuid=7d20d343-c643-3450-a67e-d8f2e8162028"]}],"mendeley":{"formattedCitation":"(Albitar &lt;i&gt;et al.&lt;/i&gt;, 2023; Orazalin &lt;i&gt;et al.&lt;/i&gt;, 2023)","plainTextFormattedCitation":"(Albitar et al., 2023; Orazalin et al., 2023)","previouslyFormattedCitation":"(Albitar &lt;i&gt;et al.&lt;/i&gt;, 2023; Orazalin &lt;i&gt;et al.&lt;/i&gt;, 2023)"},"properties":{"noteIndex":0},"schema":"https://github.com/citation-style-language/schema/raw/master/csl-citation.json"}</w:instrText>
      </w:r>
      <w:r w:rsidR="00FC439D" w:rsidRPr="005B7CAC">
        <w:rPr>
          <w:rFonts w:ascii="Times New Roman" w:hAnsi="Times New Roman"/>
          <w:bCs/>
          <w:iCs/>
          <w:sz w:val="24"/>
          <w:szCs w:val="20"/>
          <w:lang w:val="en-US"/>
        </w:rPr>
        <w:fldChar w:fldCharType="separate"/>
      </w:r>
      <w:r w:rsidR="00FC439D" w:rsidRPr="005B7CAC">
        <w:rPr>
          <w:rFonts w:ascii="Times New Roman" w:hAnsi="Times New Roman"/>
          <w:bCs/>
          <w:iCs/>
          <w:noProof/>
          <w:sz w:val="24"/>
          <w:szCs w:val="20"/>
          <w:lang w:val="en-US"/>
        </w:rPr>
        <w:t xml:space="preserve">(Albitar </w:t>
      </w:r>
      <w:r w:rsidR="00FC439D" w:rsidRPr="005B7CAC">
        <w:rPr>
          <w:rFonts w:ascii="Times New Roman" w:hAnsi="Times New Roman"/>
          <w:bCs/>
          <w:i/>
          <w:iCs/>
          <w:noProof/>
          <w:sz w:val="24"/>
          <w:szCs w:val="20"/>
          <w:lang w:val="en-US"/>
        </w:rPr>
        <w:t>et al.</w:t>
      </w:r>
      <w:r w:rsidR="00FC439D" w:rsidRPr="005B7CAC">
        <w:rPr>
          <w:rFonts w:ascii="Times New Roman" w:hAnsi="Times New Roman"/>
          <w:bCs/>
          <w:iCs/>
          <w:noProof/>
          <w:sz w:val="24"/>
          <w:szCs w:val="20"/>
          <w:lang w:val="en-US"/>
        </w:rPr>
        <w:t xml:space="preserve">, 2023; Orazalin </w:t>
      </w:r>
      <w:r w:rsidR="00FC439D" w:rsidRPr="005B7CAC">
        <w:rPr>
          <w:rFonts w:ascii="Times New Roman" w:hAnsi="Times New Roman"/>
          <w:bCs/>
          <w:i/>
          <w:iCs/>
          <w:noProof/>
          <w:sz w:val="24"/>
          <w:szCs w:val="20"/>
          <w:lang w:val="en-US"/>
        </w:rPr>
        <w:t>et al.</w:t>
      </w:r>
      <w:r w:rsidR="00FC439D" w:rsidRPr="005B7CAC">
        <w:rPr>
          <w:rFonts w:ascii="Times New Roman" w:hAnsi="Times New Roman"/>
          <w:bCs/>
          <w:iCs/>
          <w:noProof/>
          <w:sz w:val="24"/>
          <w:szCs w:val="20"/>
          <w:lang w:val="en-US"/>
        </w:rPr>
        <w:t>, 2023)</w:t>
      </w:r>
      <w:r w:rsidR="00FC439D" w:rsidRPr="005B7CAC">
        <w:rPr>
          <w:rFonts w:ascii="Times New Roman" w:hAnsi="Times New Roman"/>
          <w:bCs/>
          <w:iCs/>
          <w:sz w:val="24"/>
          <w:szCs w:val="20"/>
          <w:lang w:val="en-US"/>
        </w:rPr>
        <w:fldChar w:fldCharType="end"/>
      </w:r>
      <w:r w:rsidR="00FC439D" w:rsidRPr="005B7CAC">
        <w:rPr>
          <w:rFonts w:ascii="Times New Roman" w:hAnsi="Times New Roman"/>
          <w:bCs/>
          <w:iCs/>
          <w:sz w:val="24"/>
          <w:szCs w:val="20"/>
          <w:lang w:val="en-US"/>
        </w:rPr>
        <w:t>.</w:t>
      </w:r>
      <w:r w:rsidR="00187931" w:rsidRPr="005B7CAC">
        <w:rPr>
          <w:rFonts w:ascii="Times New Roman" w:hAnsi="Times New Roman"/>
          <w:bCs/>
          <w:iCs/>
          <w:sz w:val="24"/>
          <w:szCs w:val="20"/>
          <w:lang w:val="en-US"/>
        </w:rPr>
        <w:t xml:space="preserve"> P</w:t>
      </w:r>
      <w:r w:rsidR="006C4234" w:rsidRPr="005B7CAC">
        <w:rPr>
          <w:rFonts w:ascii="Times New Roman" w:hAnsi="Times New Roman"/>
          <w:bCs/>
          <w:iCs/>
          <w:sz w:val="24"/>
          <w:szCs w:val="20"/>
          <w:lang w:val="en-US"/>
        </w:rPr>
        <w:t>roactive</w:t>
      </w:r>
      <w:r w:rsidR="00745342" w:rsidRPr="005B7CAC">
        <w:rPr>
          <w:rFonts w:ascii="Times New Roman" w:hAnsi="Times New Roman"/>
          <w:bCs/>
          <w:iCs/>
          <w:sz w:val="24"/>
          <w:szCs w:val="20"/>
          <w:lang w:val="en-US"/>
        </w:rPr>
        <w:t xml:space="preserve"> </w:t>
      </w:r>
      <w:r w:rsidR="001404B4" w:rsidRPr="005B7CAC">
        <w:rPr>
          <w:rFonts w:ascii="Times New Roman" w:hAnsi="Times New Roman"/>
          <w:bCs/>
          <w:iCs/>
          <w:sz w:val="24"/>
          <w:szCs w:val="20"/>
          <w:lang w:val="en-US"/>
        </w:rPr>
        <w:t>innovations</w:t>
      </w:r>
      <w:r w:rsidR="00FC439D" w:rsidRPr="005B7CAC">
        <w:rPr>
          <w:rFonts w:ascii="Times New Roman" w:hAnsi="Times New Roman"/>
          <w:bCs/>
          <w:iCs/>
          <w:sz w:val="24"/>
          <w:szCs w:val="20"/>
          <w:lang w:val="en-US"/>
        </w:rPr>
        <w:t>,</w:t>
      </w:r>
      <w:r w:rsidR="001404B4" w:rsidRPr="005B7CAC">
        <w:rPr>
          <w:rFonts w:ascii="Times New Roman" w:hAnsi="Times New Roman"/>
          <w:bCs/>
          <w:iCs/>
          <w:sz w:val="24"/>
          <w:szCs w:val="20"/>
          <w:lang w:val="en-US"/>
        </w:rPr>
        <w:t xml:space="preserve"> </w:t>
      </w:r>
      <w:r w:rsidRPr="005B7CAC">
        <w:rPr>
          <w:rFonts w:ascii="Times New Roman" w:hAnsi="Times New Roman"/>
          <w:bCs/>
          <w:iCs/>
          <w:sz w:val="24"/>
          <w:szCs w:val="20"/>
          <w:lang w:val="en-US"/>
        </w:rPr>
        <w:t xml:space="preserve">such as </w:t>
      </w:r>
      <w:r w:rsidRPr="005B7CAC">
        <w:rPr>
          <w:rFonts w:ascii="Times New Roman" w:hAnsi="Times New Roman"/>
          <w:bCs/>
          <w:i/>
          <w:sz w:val="24"/>
          <w:szCs w:val="20"/>
          <w:lang w:val="en-US"/>
        </w:rPr>
        <w:t>GINVs</w:t>
      </w:r>
      <w:r w:rsidR="00187931" w:rsidRPr="005B7CAC">
        <w:rPr>
          <w:rFonts w:ascii="Times New Roman" w:hAnsi="Times New Roman"/>
          <w:bCs/>
          <w:iCs/>
          <w:sz w:val="24"/>
          <w:szCs w:val="20"/>
          <w:lang w:val="en-US"/>
        </w:rPr>
        <w:t xml:space="preserve">, are also </w:t>
      </w:r>
      <w:r w:rsidR="006C4234" w:rsidRPr="005B7CAC">
        <w:rPr>
          <w:rFonts w:ascii="Times New Roman" w:hAnsi="Times New Roman"/>
          <w:bCs/>
          <w:iCs/>
          <w:sz w:val="24"/>
          <w:szCs w:val="20"/>
          <w:lang w:val="en-US"/>
        </w:rPr>
        <w:t>effective strategies to en</w:t>
      </w:r>
      <w:r w:rsidRPr="005B7CAC">
        <w:rPr>
          <w:rFonts w:ascii="Times New Roman" w:hAnsi="Times New Roman"/>
          <w:bCs/>
          <w:iCs/>
          <w:sz w:val="24"/>
          <w:szCs w:val="20"/>
          <w:lang w:val="en-US"/>
        </w:rPr>
        <w:t xml:space="preserve">hance environmental </w:t>
      </w:r>
      <w:r w:rsidR="006C4234" w:rsidRPr="005B7CAC">
        <w:rPr>
          <w:rFonts w:ascii="Times New Roman" w:hAnsi="Times New Roman"/>
          <w:bCs/>
          <w:iCs/>
          <w:sz w:val="24"/>
          <w:szCs w:val="20"/>
          <w:lang w:val="en-US"/>
        </w:rPr>
        <w:t xml:space="preserve">accountability </w:t>
      </w:r>
      <w:r w:rsidRPr="005B7CAC">
        <w:rPr>
          <w:rFonts w:ascii="Times New Roman" w:hAnsi="Times New Roman"/>
          <w:bCs/>
          <w:iCs/>
          <w:sz w:val="24"/>
          <w:szCs w:val="20"/>
          <w:lang w:val="en-US"/>
        </w:rPr>
        <w:t xml:space="preserve">and </w:t>
      </w:r>
      <w:r w:rsidR="001404B4" w:rsidRPr="005B7CAC">
        <w:rPr>
          <w:rFonts w:ascii="Times New Roman" w:hAnsi="Times New Roman"/>
          <w:bCs/>
          <w:iCs/>
          <w:sz w:val="24"/>
          <w:szCs w:val="20"/>
          <w:lang w:val="en-US"/>
        </w:rPr>
        <w:t xml:space="preserve">financial </w:t>
      </w:r>
      <w:r w:rsidRPr="005B7CAC">
        <w:rPr>
          <w:rFonts w:ascii="Times New Roman" w:hAnsi="Times New Roman"/>
          <w:bCs/>
          <w:iCs/>
          <w:sz w:val="24"/>
          <w:szCs w:val="20"/>
          <w:lang w:val="en-US"/>
        </w:rPr>
        <w:t xml:space="preserve">sustainability </w:t>
      </w:r>
      <w:r w:rsidR="006C4234" w:rsidRPr="005B7CAC">
        <w:rPr>
          <w:rFonts w:ascii="Times New Roman" w:hAnsi="Times New Roman"/>
          <w:bCs/>
          <w:iCs/>
          <w:sz w:val="24"/>
          <w:szCs w:val="20"/>
          <w:lang w:val="en-US"/>
        </w:rPr>
        <w:t xml:space="preserve">because they </w:t>
      </w:r>
      <w:r w:rsidR="00745342" w:rsidRPr="005B7CAC">
        <w:rPr>
          <w:rFonts w:ascii="Times New Roman" w:hAnsi="Times New Roman"/>
          <w:bCs/>
          <w:iCs/>
          <w:sz w:val="24"/>
          <w:szCs w:val="20"/>
          <w:lang w:val="en-US"/>
        </w:rPr>
        <w:t xml:space="preserve">can </w:t>
      </w:r>
      <w:r w:rsidR="006C4234" w:rsidRPr="005B7CAC">
        <w:rPr>
          <w:rFonts w:ascii="Times New Roman" w:hAnsi="Times New Roman"/>
          <w:bCs/>
          <w:iCs/>
          <w:sz w:val="24"/>
          <w:szCs w:val="20"/>
          <w:lang w:val="en-US"/>
        </w:rPr>
        <w:t xml:space="preserve">mitigate reputational risks and attract environmentally </w:t>
      </w:r>
      <w:r w:rsidR="00187931" w:rsidRPr="005B7CAC">
        <w:rPr>
          <w:rFonts w:ascii="Times New Roman" w:hAnsi="Times New Roman"/>
          <w:bCs/>
          <w:iCs/>
          <w:sz w:val="24"/>
          <w:szCs w:val="20"/>
          <w:lang w:val="en-US"/>
        </w:rPr>
        <w:t>conscious</w:t>
      </w:r>
      <w:r w:rsidR="006C4234" w:rsidRPr="005B7CAC">
        <w:rPr>
          <w:rFonts w:ascii="Times New Roman" w:hAnsi="Times New Roman"/>
          <w:bCs/>
          <w:iCs/>
          <w:sz w:val="24"/>
          <w:szCs w:val="20"/>
          <w:lang w:val="en-US"/>
        </w:rPr>
        <w:t xml:space="preserve"> stakeholders</w:t>
      </w:r>
      <w:r w:rsidR="009C6A4F" w:rsidRPr="005B7CAC">
        <w:rPr>
          <w:rFonts w:ascii="Times New Roman" w:hAnsi="Times New Roman"/>
          <w:bCs/>
          <w:iCs/>
          <w:sz w:val="24"/>
          <w:szCs w:val="20"/>
          <w:lang w:val="en-US"/>
        </w:rPr>
        <w:t xml:space="preserve"> </w:t>
      </w:r>
      <w:r w:rsidR="001C06C7" w:rsidRPr="005B7CAC">
        <w:rPr>
          <w:rFonts w:ascii="Times New Roman" w:hAnsi="Times New Roman"/>
          <w:bCs/>
          <w:iCs/>
          <w:sz w:val="24"/>
          <w:szCs w:val="20"/>
          <w:lang w:val="en-US"/>
        </w:rPr>
        <w:fldChar w:fldCharType="begin" w:fldLock="1"/>
      </w:r>
      <w:r w:rsidR="0050174D" w:rsidRPr="005B7CAC">
        <w:rPr>
          <w:rFonts w:ascii="Times New Roman" w:hAnsi="Times New Roman"/>
          <w:bCs/>
          <w:iCs/>
          <w:sz w:val="24"/>
          <w:szCs w:val="20"/>
          <w:lang w:val="en-US"/>
        </w:rPr>
        <w:instrText>ADDIN CSL_CITATION {"citationItems":[{"id":"ITEM-1","itemData":{"DOI":"10.1016/J.ECONMOD.2022.105932","ISSN":"0264-9993","abstract":"This study examines an important yet underexplored aspect of firms’ sustainability practices, i.e., waste management, in order to analyze its impact on financial performance. Although the extant literature has focused on various aspects of sustainability, the impact of waste management, which has disastrous consequences for the climate and firm performance, remains largely unexplored. Thus, using the 2002–2019 data of listed firms from 41 countries, we found a significantly negative (positive) relationship between waste generation (recycling) and financial performance. Our findings are robust to alternative variables, sub-sample analysis, and identification strategies. Moreover, a channel analysis showed that this relationship is influenced by operating costs, ESG performance-based compensation, industry nature, the Paris agreement on climate change, and the global financial crisis. Overall, the findings suggest that environmental initiatives are beneficial for firms and present important policy implications for regulators and firms.","author":[{"dropping-particle":"","family":"Gull","given":"Ammar Ali","non-dropping-particle":"","parse-names":false,"suffix":""},{"dropping-particle":"","family":"Atif","given":"Muhammad","non-dropping-particle":"","parse-names":false,"suffix":""},{"dropping-particle":"","family":"Ahsan","given":"Tanveer","non-dropping-particle":"","parse-names":false,"suffix":""},{"dropping-particle":"","family":"Derouiche","given":"Imen","non-dropping-particle":"","parse-names":false,"suffix":""}],"container-title":"Economic Modelling","id":"ITEM-1","issued":{"date-parts":[["2022","9","1"]]},"page":"105932","title":"Does waste management affect firm performance? International evidence","type":"article-journal","volume":"114"},"uris":["http://www.mendeley.com/documents/?uuid=0ecbc08a-9434-37fc-b2bd-379559bf0932"]}],"mendeley":{"formattedCitation":"(Gull, Atif, Ahsan, &lt;i&gt;et al.&lt;/i&gt;, 2022)","plainTextFormattedCitation":"(Gull, Atif, Ahsan, et al., 2022)","previouslyFormattedCitation":"(Gull, Atif, Ahsan, &lt;i&gt;et al.&lt;/i&gt;, 2022)"},"properties":{"noteIndex":0},"schema":"https://github.com/citation-style-language/schema/raw/master/csl-citation.json"}</w:instrText>
      </w:r>
      <w:r w:rsidR="001C06C7" w:rsidRPr="005B7CAC">
        <w:rPr>
          <w:rFonts w:ascii="Times New Roman" w:hAnsi="Times New Roman"/>
          <w:bCs/>
          <w:iCs/>
          <w:sz w:val="24"/>
          <w:szCs w:val="20"/>
          <w:lang w:val="en-US"/>
        </w:rPr>
        <w:fldChar w:fldCharType="separate"/>
      </w:r>
      <w:r w:rsidR="001C06C7" w:rsidRPr="005B7CAC">
        <w:rPr>
          <w:rFonts w:ascii="Times New Roman" w:hAnsi="Times New Roman"/>
          <w:bCs/>
          <w:iCs/>
          <w:noProof/>
          <w:sz w:val="24"/>
          <w:szCs w:val="20"/>
          <w:lang w:val="en-US"/>
        </w:rPr>
        <w:t>(Gull</w:t>
      </w:r>
      <w:r w:rsidR="00BC4075" w:rsidRPr="005B7CAC">
        <w:rPr>
          <w:rFonts w:ascii="Times New Roman" w:hAnsi="Times New Roman"/>
          <w:bCs/>
          <w:iCs/>
          <w:noProof/>
          <w:sz w:val="24"/>
          <w:szCs w:val="20"/>
          <w:lang w:val="en-US"/>
        </w:rPr>
        <w:t xml:space="preserve"> </w:t>
      </w:r>
      <w:r w:rsidR="001C06C7" w:rsidRPr="005B7CAC">
        <w:rPr>
          <w:rFonts w:ascii="Times New Roman" w:hAnsi="Times New Roman"/>
          <w:bCs/>
          <w:i/>
          <w:iCs/>
          <w:noProof/>
          <w:sz w:val="24"/>
          <w:szCs w:val="20"/>
          <w:lang w:val="en-US"/>
        </w:rPr>
        <w:t>et al.</w:t>
      </w:r>
      <w:r w:rsidR="001C06C7" w:rsidRPr="005B7CAC">
        <w:rPr>
          <w:rFonts w:ascii="Times New Roman" w:hAnsi="Times New Roman"/>
          <w:bCs/>
          <w:iCs/>
          <w:noProof/>
          <w:sz w:val="24"/>
          <w:szCs w:val="20"/>
          <w:lang w:val="en-US"/>
        </w:rPr>
        <w:t>, 2022</w:t>
      </w:r>
      <w:r w:rsidR="00BC4075" w:rsidRPr="005B7CAC">
        <w:rPr>
          <w:rFonts w:ascii="Times New Roman" w:hAnsi="Times New Roman"/>
          <w:bCs/>
          <w:iCs/>
          <w:noProof/>
          <w:sz w:val="24"/>
          <w:szCs w:val="20"/>
          <w:lang w:val="en-US"/>
        </w:rPr>
        <w:t>a</w:t>
      </w:r>
      <w:r w:rsidR="001C06C7" w:rsidRPr="005B7CAC">
        <w:rPr>
          <w:rFonts w:ascii="Times New Roman" w:hAnsi="Times New Roman"/>
          <w:bCs/>
          <w:iCs/>
          <w:noProof/>
          <w:sz w:val="24"/>
          <w:szCs w:val="20"/>
          <w:lang w:val="en-US"/>
        </w:rPr>
        <w:t>)</w:t>
      </w:r>
      <w:r w:rsidR="001C06C7" w:rsidRPr="005B7CAC">
        <w:rPr>
          <w:rFonts w:ascii="Times New Roman" w:hAnsi="Times New Roman"/>
          <w:bCs/>
          <w:iCs/>
          <w:sz w:val="24"/>
          <w:szCs w:val="20"/>
          <w:lang w:val="en-US"/>
        </w:rPr>
        <w:fldChar w:fldCharType="end"/>
      </w:r>
      <w:r w:rsidR="009C6A4F" w:rsidRPr="005B7CAC">
        <w:rPr>
          <w:rFonts w:ascii="Times New Roman" w:hAnsi="Times New Roman"/>
          <w:bCs/>
          <w:iCs/>
          <w:sz w:val="24"/>
          <w:szCs w:val="20"/>
          <w:lang w:val="en-US"/>
        </w:rPr>
        <w:t xml:space="preserve">, which may ultimately lead to a reduction in </w:t>
      </w:r>
      <w:r w:rsidR="009C6A4F" w:rsidRPr="005B7CAC">
        <w:rPr>
          <w:rFonts w:ascii="Times New Roman" w:hAnsi="Times New Roman"/>
          <w:bCs/>
          <w:i/>
          <w:sz w:val="24"/>
          <w:szCs w:val="20"/>
          <w:lang w:val="en-US"/>
        </w:rPr>
        <w:t>FD</w:t>
      </w:r>
      <w:r w:rsidR="009C6A4F" w:rsidRPr="005B7CAC">
        <w:rPr>
          <w:rFonts w:ascii="Times New Roman" w:hAnsi="Times New Roman"/>
          <w:bCs/>
          <w:iCs/>
          <w:sz w:val="24"/>
          <w:szCs w:val="20"/>
          <w:lang w:val="en-US"/>
        </w:rPr>
        <w:t xml:space="preserve"> levels. </w:t>
      </w:r>
      <w:r w:rsidRPr="005B7CAC">
        <w:rPr>
          <w:rFonts w:ascii="Times New Roman" w:hAnsi="Times New Roman"/>
          <w:bCs/>
          <w:iCs/>
          <w:sz w:val="24"/>
          <w:szCs w:val="20"/>
          <w:lang w:val="en-US"/>
        </w:rPr>
        <w:t xml:space="preserve">From the stakeholder theory perspective, related studies </w:t>
      </w:r>
      <w:r w:rsidRPr="005B7CAC">
        <w:rPr>
          <w:rFonts w:ascii="Times New Roman" w:hAnsi="Times New Roman"/>
          <w:bCs/>
          <w:iCs/>
          <w:sz w:val="24"/>
          <w:szCs w:val="20"/>
          <w:lang w:val="en-US"/>
        </w:rPr>
        <w:fldChar w:fldCharType="begin" w:fldLock="1"/>
      </w:r>
      <w:r w:rsidRPr="005B7CAC">
        <w:rPr>
          <w:rFonts w:ascii="Times New Roman" w:hAnsi="Times New Roman"/>
          <w:bCs/>
          <w:iCs/>
          <w:sz w:val="24"/>
          <w:szCs w:val="20"/>
          <w:lang w:val="en-US"/>
        </w:rPr>
        <w:instrText>ADDIN CSL_CITATION {"citationItems":[{"id":"ITEM-1","itemData":{"DOI":"10.1002/bse.3232","ISSN":"10990836","abstract":"This paper examines the effects of environmental innovation on CO2 emissions as well as the moderating role of environmental governance in this relationship. Based on a sample of companies listed on the London Stock Exchange for the period from 2016 to 2020, the findings show that environmental innovation reduces CO2 emissions including Scope 1 and Scope 2 CO2 emissions. Likewise, our findings are associative of a moderating effect of environmental governance on the environmental innovation-CO2 emissions nexus. We argue that environmental innovation along with better environmental governance leads to a reduction in CO2 emissions. Our results hold for subsamples of firms with a strong/low environmental governance and ESG performance. Our findings offer important implications for companies and policymakers towards adopting more environmental technologies along with enhancing environmental governance to reduce CO2 emissions.","author":[{"dropping-particle":"","family":"Albitar","given":"Khaldoon","non-dropping-particle":"","parse-names":false,"suffix":""},{"dropping-particle":"","family":"Borgi","given":"Hela","non-dropping-particle":"","parse-names":false,"suffix":""},{"dropping-particle":"","family":"Khan","given":"Muzammal","non-dropping-particle":"","parse-names":false,"suffix":""},{"dropping-particle":"","family":"Zahra","given":"Anum","non-dropping-particle":"","parse-names":false,"suffix":""}],"container-title":"Business Strategy and the Environment","id":"ITEM-1","issue":"4","issued":{"date-parts":[["2023"]]},"page":"1996-2007","title":"Business environmental innovation and CO2 emissions: The moderating role of environmental governance","type":"article-journal","volume":"32"},"uris":["http://www.mendeley.com/documents/?uuid=7de5d50a-1720-35da-acfc-b514ae3b49a5"]},{"id":"ITEM-2","itemData":{"DOI":"10.1002/bse.3589","ISSN":"10990836","abstract":"Prior studies have reported an association between corporate waste management practices and certain board attributes, but none have focused on foreign directors. Therefore, we examine foreign directors' contributions to firms' waste management by exclusively focusing on waste reduction and recycling. Furthermore, we explore an important channel through which foreign directors spur better waste management, namely, eco-innovation. Drawing on 6891 observations affiliated with 9 sectors and 46 countries, we execute country, industry and year fixed-effects regression analysis. We find that while foreign directors on the board are negatively associated with waste generation, they are positively associated with waste recycling. Furthermore, while the eco-innovativeness of firms negatively moderates the association between foreign directors on the board and waste generation, it positively moderates the association between foreign directors on the board and waste recycling. Further channel analyses reveal more insights concerning polluting versus non-polluting and poor versus strong regulatory environments.","author":[{"dropping-particle":"","family":"Uyar","given":"Ali","non-dropping-particle":"","parse-names":false,"suffix":""},{"dropping-particle":"","family":"Al-Shaer","given":"Habiba","non-dropping-particle":"","parse-names":false,"suffix":""},{"dropping-particle":"","family":"Kuzey","given":"Cemil","non-dropping-particle":"","parse-names":false,"suffix":""},{"dropping-particle":"","family":"Karaman","given":"Abdullah S.","non-dropping-particle":"","parse-names":false,"suffix":""}],"container-title":"Business Strategy and the Environment","id":"ITEM-2","issued":{"date-parts":[["2023"]]},"page":"1-26","title":"Do foreign directors reinforce better waste management? The moderating role of eco-innovation","type":"article-journal"},"uris":["http://www.mendeley.com/documents/?uuid=2181dd7a-598d-44fd-b252-f31fe5b3ae59"]}],"mendeley":{"formattedCitation":"(Albitar &lt;i&gt;et al.&lt;/i&gt;, 2023; Uyar &lt;i&gt;et al.&lt;/i&gt;, 2023)","plainTextFormattedCitation":"(Albitar et al., 2023; Uyar et al., 2023)","previouslyFormattedCitation":"(Albitar &lt;i&gt;et al.&lt;/i&gt;, 2023; Uyar &lt;i&gt;et al.&lt;/i&gt;, 2023)"},"properties":{"noteIndex":0},"schema":"https://github.com/citation-style-language/schema/raw/master/csl-citation.json"}</w:instrText>
      </w:r>
      <w:r w:rsidRPr="005B7CAC">
        <w:rPr>
          <w:rFonts w:ascii="Times New Roman" w:hAnsi="Times New Roman"/>
          <w:bCs/>
          <w:iCs/>
          <w:sz w:val="24"/>
          <w:szCs w:val="20"/>
          <w:lang w:val="en-US"/>
        </w:rPr>
        <w:fldChar w:fldCharType="separate"/>
      </w:r>
      <w:r w:rsidRPr="005B7CAC">
        <w:rPr>
          <w:rFonts w:ascii="Times New Roman" w:hAnsi="Times New Roman"/>
          <w:bCs/>
          <w:iCs/>
          <w:noProof/>
          <w:sz w:val="24"/>
          <w:szCs w:val="20"/>
          <w:lang w:val="en-US"/>
        </w:rPr>
        <w:t xml:space="preserve">(Albitar </w:t>
      </w:r>
      <w:r w:rsidRPr="005B7CAC">
        <w:rPr>
          <w:rFonts w:ascii="Times New Roman" w:hAnsi="Times New Roman"/>
          <w:bCs/>
          <w:i/>
          <w:iCs/>
          <w:noProof/>
          <w:sz w:val="24"/>
          <w:szCs w:val="20"/>
          <w:lang w:val="en-US"/>
        </w:rPr>
        <w:t>et al.</w:t>
      </w:r>
      <w:r w:rsidRPr="005B7CAC">
        <w:rPr>
          <w:rFonts w:ascii="Times New Roman" w:hAnsi="Times New Roman"/>
          <w:bCs/>
          <w:iCs/>
          <w:noProof/>
          <w:sz w:val="24"/>
          <w:szCs w:val="20"/>
          <w:lang w:val="en-US"/>
        </w:rPr>
        <w:t xml:space="preserve">, 2023; Uyar </w:t>
      </w:r>
      <w:r w:rsidRPr="005B7CAC">
        <w:rPr>
          <w:rFonts w:ascii="Times New Roman" w:hAnsi="Times New Roman"/>
          <w:bCs/>
          <w:i/>
          <w:iCs/>
          <w:noProof/>
          <w:sz w:val="24"/>
          <w:szCs w:val="20"/>
          <w:lang w:val="en-US"/>
        </w:rPr>
        <w:t>et al.</w:t>
      </w:r>
      <w:r w:rsidRPr="005B7CAC">
        <w:rPr>
          <w:rFonts w:ascii="Times New Roman" w:hAnsi="Times New Roman"/>
          <w:bCs/>
          <w:iCs/>
          <w:noProof/>
          <w:sz w:val="24"/>
          <w:szCs w:val="20"/>
          <w:lang w:val="en-US"/>
        </w:rPr>
        <w:t>, 2023)</w:t>
      </w:r>
      <w:r w:rsidRPr="005B7CAC">
        <w:rPr>
          <w:rFonts w:ascii="Times New Roman" w:hAnsi="Times New Roman"/>
          <w:bCs/>
          <w:iCs/>
          <w:sz w:val="24"/>
          <w:szCs w:val="20"/>
          <w:lang w:val="en-US"/>
        </w:rPr>
        <w:fldChar w:fldCharType="end"/>
      </w:r>
      <w:r w:rsidRPr="005B7CAC">
        <w:rPr>
          <w:rFonts w:ascii="Times New Roman" w:hAnsi="Times New Roman"/>
          <w:bCs/>
          <w:iCs/>
          <w:sz w:val="24"/>
          <w:szCs w:val="20"/>
          <w:lang w:val="en-US"/>
        </w:rPr>
        <w:t xml:space="preserve"> suggest that the implementation of proactive environmental initiatives/strategies in the form of </w:t>
      </w:r>
      <w:r w:rsidRPr="005B7CAC">
        <w:rPr>
          <w:rFonts w:ascii="Times New Roman" w:hAnsi="Times New Roman"/>
          <w:bCs/>
          <w:i/>
          <w:sz w:val="24"/>
          <w:szCs w:val="20"/>
          <w:lang w:val="en-US"/>
        </w:rPr>
        <w:t>GINVs</w:t>
      </w:r>
      <w:r w:rsidRPr="005B7CAC">
        <w:rPr>
          <w:rFonts w:ascii="Times New Roman" w:hAnsi="Times New Roman"/>
          <w:bCs/>
          <w:iCs/>
          <w:sz w:val="24"/>
          <w:szCs w:val="20"/>
          <w:lang w:val="en-US"/>
        </w:rPr>
        <w:t xml:space="preserve"> help firms mitigate climate risks/threats, foster stakeholder relationships, and improve financial performance. Hence, the stakeholder view suggests that eco-innovative firms are likely to have effective </w:t>
      </w:r>
      <w:r w:rsidRPr="005B7CAC">
        <w:rPr>
          <w:rFonts w:ascii="Times New Roman" w:hAnsi="Times New Roman"/>
          <w:bCs/>
          <w:i/>
          <w:sz w:val="24"/>
          <w:szCs w:val="20"/>
          <w:lang w:val="en-US"/>
        </w:rPr>
        <w:t>WM</w:t>
      </w:r>
      <w:r w:rsidRPr="005B7CAC">
        <w:rPr>
          <w:rFonts w:ascii="Times New Roman" w:hAnsi="Times New Roman"/>
          <w:bCs/>
          <w:iCs/>
          <w:sz w:val="24"/>
          <w:szCs w:val="20"/>
          <w:lang w:val="en-US"/>
        </w:rPr>
        <w:t xml:space="preserve"> practices, which in turn may reduce </w:t>
      </w:r>
      <w:r w:rsidRPr="005B7CAC">
        <w:rPr>
          <w:rFonts w:ascii="Times New Roman" w:hAnsi="Times New Roman"/>
          <w:bCs/>
          <w:i/>
          <w:sz w:val="24"/>
          <w:szCs w:val="20"/>
          <w:lang w:val="en-US"/>
        </w:rPr>
        <w:t>FD</w:t>
      </w:r>
      <w:r w:rsidRPr="005B7CAC">
        <w:rPr>
          <w:rFonts w:ascii="Times New Roman" w:hAnsi="Times New Roman"/>
          <w:bCs/>
          <w:iCs/>
          <w:sz w:val="24"/>
          <w:szCs w:val="20"/>
          <w:lang w:val="en-US"/>
        </w:rPr>
        <w:t xml:space="preserve"> risks.</w:t>
      </w:r>
    </w:p>
    <w:p w14:paraId="6DC7C526" w14:textId="77777777" w:rsidR="000D57A9" w:rsidRPr="005B7CAC" w:rsidRDefault="000D57A9" w:rsidP="001404B4">
      <w:pPr>
        <w:widowControl w:val="0"/>
        <w:autoSpaceDE w:val="0"/>
        <w:autoSpaceDN w:val="0"/>
        <w:adjustRightInd w:val="0"/>
        <w:spacing w:after="240" w:line="360" w:lineRule="auto"/>
        <w:jc w:val="both"/>
        <w:rPr>
          <w:rFonts w:ascii="Times New Roman" w:hAnsi="Times New Roman"/>
          <w:b/>
          <w:i/>
          <w:sz w:val="24"/>
          <w:szCs w:val="20"/>
          <w:lang w:val="en-US"/>
        </w:rPr>
      </w:pPr>
    </w:p>
    <w:p w14:paraId="78D122D5" w14:textId="395ADC72" w:rsidR="000F6471" w:rsidRPr="005B7CAC" w:rsidRDefault="000F6471" w:rsidP="001404B4">
      <w:pPr>
        <w:widowControl w:val="0"/>
        <w:autoSpaceDE w:val="0"/>
        <w:autoSpaceDN w:val="0"/>
        <w:adjustRightInd w:val="0"/>
        <w:spacing w:after="240" w:line="360" w:lineRule="auto"/>
        <w:jc w:val="both"/>
        <w:rPr>
          <w:rFonts w:ascii="Times New Roman" w:hAnsi="Times New Roman"/>
          <w:b/>
          <w:i/>
          <w:sz w:val="24"/>
          <w:szCs w:val="20"/>
          <w:lang w:val="en-US"/>
        </w:rPr>
      </w:pPr>
      <w:r w:rsidRPr="005B7CAC">
        <w:rPr>
          <w:rFonts w:ascii="Times New Roman" w:hAnsi="Times New Roman"/>
          <w:b/>
          <w:i/>
          <w:sz w:val="24"/>
          <w:szCs w:val="20"/>
          <w:lang w:val="en-US"/>
        </w:rPr>
        <w:t>2.2 Empirical literature review and hypotheses development</w:t>
      </w:r>
    </w:p>
    <w:p w14:paraId="1A684E95" w14:textId="5B1F9213" w:rsidR="001E2CA1" w:rsidRPr="005B7CAC" w:rsidRDefault="000F6471" w:rsidP="003D5418">
      <w:pPr>
        <w:widowControl w:val="0"/>
        <w:autoSpaceDE w:val="0"/>
        <w:autoSpaceDN w:val="0"/>
        <w:adjustRightInd w:val="0"/>
        <w:spacing w:after="240" w:line="360" w:lineRule="auto"/>
        <w:rPr>
          <w:rFonts w:ascii="Times New Roman" w:hAnsi="Times New Roman"/>
          <w:i/>
          <w:sz w:val="24"/>
          <w:szCs w:val="20"/>
          <w:lang w:val="en-US"/>
        </w:rPr>
      </w:pPr>
      <w:r w:rsidRPr="005B7CAC">
        <w:rPr>
          <w:rFonts w:ascii="Times New Roman" w:hAnsi="Times New Roman"/>
          <w:i/>
          <w:sz w:val="24"/>
          <w:szCs w:val="20"/>
          <w:lang w:val="en-US"/>
        </w:rPr>
        <w:t xml:space="preserve">2.2.1 </w:t>
      </w:r>
      <w:r w:rsidR="001E2CA1" w:rsidRPr="005B7CAC">
        <w:rPr>
          <w:rFonts w:ascii="Times New Roman" w:hAnsi="Times New Roman"/>
          <w:i/>
          <w:sz w:val="24"/>
          <w:szCs w:val="20"/>
          <w:lang w:val="en-US"/>
        </w:rPr>
        <w:t>Waste management and financial distress</w:t>
      </w:r>
    </w:p>
    <w:p w14:paraId="2E9B5716" w14:textId="36B3CFE5" w:rsidR="00CB681D" w:rsidRPr="005B7CAC" w:rsidRDefault="00882DBF" w:rsidP="003D5418">
      <w:pPr>
        <w:widowControl w:val="0"/>
        <w:autoSpaceDE w:val="0"/>
        <w:autoSpaceDN w:val="0"/>
        <w:adjustRightInd w:val="0"/>
        <w:spacing w:after="240" w:line="360" w:lineRule="auto"/>
        <w:jc w:val="both"/>
        <w:rPr>
          <w:rFonts w:ascii="Times New Roman" w:hAnsi="Times New Roman"/>
          <w:iCs/>
          <w:sz w:val="24"/>
          <w:szCs w:val="20"/>
          <w:lang w:val="en-US"/>
        </w:rPr>
      </w:pPr>
      <w:r w:rsidRPr="005B7CAC">
        <w:rPr>
          <w:rFonts w:ascii="Times New Roman" w:hAnsi="Times New Roman"/>
          <w:iCs/>
          <w:sz w:val="24"/>
          <w:szCs w:val="20"/>
          <w:lang w:val="en-US"/>
        </w:rPr>
        <w:t xml:space="preserve">As mentioned earlier, </w:t>
      </w:r>
      <w:r w:rsidR="00936E97" w:rsidRPr="005B7CAC">
        <w:rPr>
          <w:rFonts w:ascii="Times New Roman" w:hAnsi="Times New Roman"/>
          <w:iCs/>
          <w:sz w:val="24"/>
          <w:szCs w:val="20"/>
          <w:lang w:val="en-US"/>
        </w:rPr>
        <w:t xml:space="preserve">stakeholder theory </w:t>
      </w:r>
      <w:r w:rsidR="00A860B0" w:rsidRPr="005B7CAC">
        <w:rPr>
          <w:rFonts w:ascii="Times New Roman" w:hAnsi="Times New Roman"/>
          <w:iCs/>
          <w:sz w:val="24"/>
          <w:szCs w:val="20"/>
          <w:lang w:val="en-US"/>
        </w:rPr>
        <w:fldChar w:fldCharType="begin" w:fldLock="1"/>
      </w:r>
      <w:r w:rsidR="00A860B0" w:rsidRPr="005B7CAC">
        <w:rPr>
          <w:rFonts w:ascii="Times New Roman" w:hAnsi="Times New Roman"/>
          <w:iCs/>
          <w:sz w:val="24"/>
          <w:szCs w:val="20"/>
          <w:lang w:val="en-US"/>
        </w:rPr>
        <w:instrText>ADDIN CSL_CITATION {"citationItems":[{"id":"ITEM-1","itemData":{"DOI":"10.5465/amr.1995.9503271992","ISSN":"0363-7425","abstract":"The stakeholder theory has been advanced and justified in the man- agement literature on the basis of its descriptive accuracy, instrumen- tal power, and normative validity. These three aspects of the theory, although interrelated, are quite distinct; they involve different types of evidence and argument and have different implications. In this article, we examine these three aspects of the theory and critique and integrate important contributions to the literature related to each. We conclude that the three aspects of stakeholder theory are mutually supportive and that the normative base of the theory-which includes the modern theory of property rights-is fundamental.","author":[{"dropping-particle":"","family":"Donaldson","given":"Thomas","non-dropping-particle":"","parse-names":false,"suffix":""},{"dropping-particle":"","family":"Preston","given":"Lee E.","non-dropping-particle":"","parse-names":false,"suffix":""}],"container-title":"Academy of Management Review","id":"ITEM-1","issue":"1","issued":{"date-parts":[["1995"]]},"page":"65-91","title":"The Stakeholder Theory of the Corporation: Concepts, Evidence, and Implications","type":"article-journal","volume":"20"},"uris":["http://www.mendeley.com/documents/?uuid=f4f284bb-59c8-3589-823c-818c0ddcda0a"]},{"id":"ITEM-2","itemData":{"DOI":"10.2307/256972","ISSN":"00014273","abstract":"Little empirical work has been done on the effect of stakeholder management on corporate performance. In this study, we contributed to stakeholder theory development by (1) deriving two distinct stakeholder management models from extant research, (2) testing the descriptive accuracy of these models, and (3) including important variables from the strategy literature in the tested models. The results provide supports for a strategic stakeholder management model but no support for an intrinsic stakeholder commitment model. Implications of these findings for management practice and future research are discussed.","author":[{"dropping-particle":"","family":"Berman","given":"Shawn L.","non-dropping-particle":"","parse-names":false,"suffix":""},{"dropping-particle":"","family":"Wicks","given":"Andrew C.","non-dropping-particle":"","parse-names":false,"suffix":""},{"dropping-particle":"","family":"Kotha","given":"Suresh","non-dropping-particle":"","parse-names":false,"suffix":""},{"dropping-particle":"","family":"Jones","given":"Thomas M.","non-dropping-particle":"","parse-names":false,"suffix":""}],"container-title":"Academy of Management Journal","id":"ITEM-2","issue":"5","issued":{"date-parts":[["1999"]]},"page":"488-506","title":"Does stakeholder orientation matter? The relationship between stakeholder management models and firm financial performance","type":"article-journal","volume":"42"},"uris":["http://www.mendeley.com/documents/?uuid=319ee366-5f21-3f87-a361-fd218f9bf101"]}],"mendeley":{"formattedCitation":"(Berman &lt;i&gt;et al.&lt;/i&gt;, 1999; Donaldson and Preston, 1995)","plainTextFormattedCitation":"(Berman et al., 1999; Donaldson and Preston, 1995)","previouslyFormattedCitation":"(Berman &lt;i&gt;et al.&lt;/i&gt;, 1999; Donaldson and Preston, 1995)"},"properties":{"noteIndex":0},"schema":"https://github.com/citation-style-language/schema/raw/master/csl-citation.json"}</w:instrText>
      </w:r>
      <w:r w:rsidR="00A860B0" w:rsidRPr="005B7CAC">
        <w:rPr>
          <w:rFonts w:ascii="Times New Roman" w:hAnsi="Times New Roman"/>
          <w:iCs/>
          <w:sz w:val="24"/>
          <w:szCs w:val="20"/>
          <w:lang w:val="en-US"/>
        </w:rPr>
        <w:fldChar w:fldCharType="separate"/>
      </w:r>
      <w:r w:rsidR="00A860B0" w:rsidRPr="005B7CAC">
        <w:rPr>
          <w:rFonts w:ascii="Times New Roman" w:hAnsi="Times New Roman"/>
          <w:iCs/>
          <w:noProof/>
          <w:sz w:val="24"/>
          <w:szCs w:val="20"/>
          <w:lang w:val="en-US"/>
        </w:rPr>
        <w:t xml:space="preserve">(Berman </w:t>
      </w:r>
      <w:r w:rsidR="00A860B0" w:rsidRPr="005B7CAC">
        <w:rPr>
          <w:rFonts w:ascii="Times New Roman" w:hAnsi="Times New Roman"/>
          <w:i/>
          <w:iCs/>
          <w:noProof/>
          <w:sz w:val="24"/>
          <w:szCs w:val="20"/>
          <w:lang w:val="en-US"/>
        </w:rPr>
        <w:t>et al.</w:t>
      </w:r>
      <w:r w:rsidR="00A860B0" w:rsidRPr="005B7CAC">
        <w:rPr>
          <w:rFonts w:ascii="Times New Roman" w:hAnsi="Times New Roman"/>
          <w:iCs/>
          <w:noProof/>
          <w:sz w:val="24"/>
          <w:szCs w:val="20"/>
          <w:lang w:val="en-US"/>
        </w:rPr>
        <w:t>, 1999; Donaldson and Preston, 1995)</w:t>
      </w:r>
      <w:r w:rsidR="00A860B0" w:rsidRPr="005B7CAC">
        <w:rPr>
          <w:rFonts w:ascii="Times New Roman" w:hAnsi="Times New Roman"/>
          <w:iCs/>
          <w:sz w:val="24"/>
          <w:szCs w:val="20"/>
          <w:lang w:val="en-US"/>
        </w:rPr>
        <w:fldChar w:fldCharType="end"/>
      </w:r>
      <w:r w:rsidR="00A860B0" w:rsidRPr="005B7CAC">
        <w:rPr>
          <w:rFonts w:ascii="Times New Roman" w:hAnsi="Times New Roman"/>
          <w:iCs/>
          <w:sz w:val="24"/>
          <w:szCs w:val="20"/>
          <w:lang w:val="en-US"/>
        </w:rPr>
        <w:t xml:space="preserve"> </w:t>
      </w:r>
      <w:r w:rsidRPr="005B7CAC">
        <w:rPr>
          <w:rFonts w:ascii="Times New Roman" w:hAnsi="Times New Roman"/>
          <w:iCs/>
          <w:sz w:val="24"/>
          <w:szCs w:val="20"/>
          <w:lang w:val="en-US"/>
        </w:rPr>
        <w:t xml:space="preserve">posits that improved </w:t>
      </w:r>
      <w:r w:rsidRPr="005B7CAC">
        <w:rPr>
          <w:rFonts w:ascii="Times New Roman" w:hAnsi="Times New Roman"/>
          <w:i/>
          <w:sz w:val="24"/>
          <w:szCs w:val="20"/>
          <w:lang w:val="en-US"/>
        </w:rPr>
        <w:t>WM</w:t>
      </w:r>
      <w:r w:rsidRPr="005B7CAC">
        <w:rPr>
          <w:rFonts w:ascii="Times New Roman" w:hAnsi="Times New Roman"/>
          <w:iCs/>
          <w:sz w:val="24"/>
          <w:szCs w:val="20"/>
          <w:lang w:val="en-US"/>
        </w:rPr>
        <w:t xml:space="preserve"> activities/practices</w:t>
      </w:r>
      <w:r w:rsidR="00E20556" w:rsidRPr="005B7CAC">
        <w:rPr>
          <w:rFonts w:ascii="Times New Roman" w:hAnsi="Times New Roman"/>
          <w:iCs/>
          <w:sz w:val="24"/>
          <w:szCs w:val="20"/>
          <w:lang w:val="en-US"/>
        </w:rPr>
        <w:t xml:space="preserve"> may eventually lead to reduced financial risks. </w:t>
      </w:r>
      <w:r w:rsidR="003E6C64" w:rsidRPr="005B7CAC">
        <w:rPr>
          <w:rFonts w:ascii="Times New Roman" w:hAnsi="Times New Roman"/>
          <w:iCs/>
          <w:sz w:val="24"/>
          <w:szCs w:val="20"/>
          <w:lang w:val="en-US"/>
        </w:rPr>
        <w:t xml:space="preserve">In particular, </w:t>
      </w:r>
      <w:r w:rsidR="00E20556" w:rsidRPr="005B7CAC">
        <w:rPr>
          <w:rFonts w:ascii="Times New Roman" w:hAnsi="Times New Roman"/>
          <w:iCs/>
          <w:sz w:val="24"/>
          <w:szCs w:val="20"/>
          <w:lang w:val="en-US"/>
        </w:rPr>
        <w:t xml:space="preserve">given that </w:t>
      </w:r>
      <w:r w:rsidR="00936E97" w:rsidRPr="005B7CAC">
        <w:rPr>
          <w:rFonts w:ascii="Times New Roman" w:hAnsi="Times New Roman"/>
          <w:iCs/>
          <w:sz w:val="24"/>
          <w:szCs w:val="20"/>
          <w:lang w:val="en-US"/>
        </w:rPr>
        <w:t xml:space="preserve">stakeholders place more confidence and trust in firms </w:t>
      </w:r>
      <w:r w:rsidR="00A860B0" w:rsidRPr="005B7CAC">
        <w:rPr>
          <w:rFonts w:ascii="Times New Roman" w:hAnsi="Times New Roman"/>
          <w:iCs/>
          <w:sz w:val="24"/>
          <w:szCs w:val="20"/>
          <w:lang w:val="en-US"/>
        </w:rPr>
        <w:t>that are actively pursuing</w:t>
      </w:r>
      <w:r w:rsidR="00936E97" w:rsidRPr="005B7CAC">
        <w:rPr>
          <w:rFonts w:ascii="Times New Roman" w:hAnsi="Times New Roman"/>
          <w:iCs/>
          <w:sz w:val="24"/>
          <w:szCs w:val="20"/>
          <w:lang w:val="en-US"/>
        </w:rPr>
        <w:t xml:space="preserve"> environmental initiatives </w:t>
      </w:r>
      <w:r w:rsidR="00A860B0" w:rsidRPr="005B7CAC">
        <w:rPr>
          <w:rFonts w:ascii="Times New Roman" w:hAnsi="Times New Roman"/>
          <w:iCs/>
          <w:sz w:val="24"/>
          <w:szCs w:val="20"/>
          <w:lang w:val="en-US"/>
        </w:rPr>
        <w:t xml:space="preserve">to reduce waste levels </w:t>
      </w:r>
      <w:r w:rsidR="001A43BD" w:rsidRPr="005B7CAC">
        <w:rPr>
          <w:rFonts w:ascii="Times New Roman" w:hAnsi="Times New Roman"/>
          <w:iCs/>
          <w:sz w:val="24"/>
          <w:szCs w:val="20"/>
          <w:lang w:val="en-US"/>
        </w:rPr>
        <w:fldChar w:fldCharType="begin" w:fldLock="1"/>
      </w:r>
      <w:r w:rsidR="001A43BD" w:rsidRPr="005B7CAC">
        <w:rPr>
          <w:rFonts w:ascii="Times New Roman" w:hAnsi="Times New Roman"/>
          <w:iCs/>
          <w:sz w:val="24"/>
          <w:szCs w:val="20"/>
          <w:lang w:val="en-US"/>
        </w:rPr>
        <w:instrText>ADDIN CSL_CITATION {"citationItems":[{"id":"ITEM-1","itemData":{"DOI":"10.1016/J.JENVMAN.2022.114707","ISSN":"0301-4797","PMID":"35192979","abstract":"This study investigates whether waste management, including waste generation and recycling, affects firm performance. Using a panel of 14,601 firm-year observations from 41 countries from 2002 to 2019, we find a significantly negative (positive) relationship between waste generation (recycling) and firm performance. Our findings are robust to alternative measures of waste management and firm performance, sub-sample analysis, and alternative econometric specifications. Further, our results are robust to different identification strategies. Finally, our channel analysis shows that the negative (positive) relationship between waste generation (recycling) and firm performance is stronger in firms offering no environmental, social, and governance (ESG) based compensation. However, the relationship varies with the level of firms’ environmental orientation, and we observe insensitivity of the relationship regardless of firm-level governance quality. Our study presents important policy implications for regulators and firms.","author":[{"dropping-particle":"","family":"Shahab","given":"Yasir","non-dropping-particle":"","parse-names":false,"suffix":""},{"dropping-particle":"","family":"Gull","given":"Ammar Ali","non-dropping-particle":"","parse-names":false,"suffix":""},{"dropping-particle":"","family":"Rind","given":"Asad Ali","non-dropping-particle":"","parse-names":false,"suffix":""},{"dropping-particle":"","family":"Alias Sarang","given":"Aitzaz Ahsan","non-dropping-particle":"","parse-names":false,"suffix":""},{"dropping-particle":"","family":"Ahsan","given":"Tanveer","non-dropping-particle":"","parse-names":false,"suffix":""}],"container-title":"Journal of Environmental Management","id":"ITEM-1","issued":{"date-parts":[["2022","5","15"]]},"page":"114707","title":"Do corporate governance mechanisms curb the anti-environmental behavior of firms worldwide? An illustration through waste management","type":"article-journal","volume":"310"},"uris":["http://www.mendeley.com/documents/?uuid=c556222d-9ca6-3fde-aa0c-8aee59de9a12"]}],"mendeley":{"formattedCitation":"(Shahab &lt;i&gt;et al.&lt;/i&gt;, 2022)","plainTextFormattedCitation":"(Shahab et al., 2022)","previouslyFormattedCitation":"(Shahab &lt;i&gt;et al.&lt;/i&gt;, 2022)"},"properties":{"noteIndex":0},"schema":"https://github.com/citation-style-language/schema/raw/master/csl-citation.json"}</w:instrText>
      </w:r>
      <w:r w:rsidR="001A43BD" w:rsidRPr="005B7CAC">
        <w:rPr>
          <w:rFonts w:ascii="Times New Roman" w:hAnsi="Times New Roman"/>
          <w:iCs/>
          <w:sz w:val="24"/>
          <w:szCs w:val="20"/>
          <w:lang w:val="en-US"/>
        </w:rPr>
        <w:fldChar w:fldCharType="separate"/>
      </w:r>
      <w:r w:rsidR="00A860B0" w:rsidRPr="005B7CAC">
        <w:rPr>
          <w:rFonts w:ascii="Times New Roman" w:hAnsi="Times New Roman"/>
          <w:iCs/>
          <w:noProof/>
          <w:sz w:val="24"/>
          <w:szCs w:val="20"/>
          <w:lang w:val="en-US"/>
        </w:rPr>
        <w:t xml:space="preserve">(Shahab </w:t>
      </w:r>
      <w:r w:rsidR="00A860B0" w:rsidRPr="005B7CAC">
        <w:rPr>
          <w:rFonts w:ascii="Times New Roman" w:hAnsi="Times New Roman"/>
          <w:i/>
          <w:iCs/>
          <w:noProof/>
          <w:sz w:val="24"/>
          <w:szCs w:val="20"/>
          <w:lang w:val="en-US"/>
        </w:rPr>
        <w:t>et al.</w:t>
      </w:r>
      <w:r w:rsidR="00A860B0" w:rsidRPr="005B7CAC">
        <w:rPr>
          <w:rFonts w:ascii="Times New Roman" w:hAnsi="Times New Roman"/>
          <w:iCs/>
          <w:noProof/>
          <w:sz w:val="24"/>
          <w:szCs w:val="20"/>
          <w:lang w:val="en-US"/>
        </w:rPr>
        <w:t>, 2022)</w:t>
      </w:r>
      <w:r w:rsidR="001A43BD" w:rsidRPr="005B7CAC">
        <w:rPr>
          <w:rFonts w:ascii="Times New Roman" w:hAnsi="Times New Roman"/>
          <w:iCs/>
          <w:sz w:val="24"/>
          <w:szCs w:val="20"/>
          <w:lang w:val="en-US"/>
        </w:rPr>
        <w:fldChar w:fldCharType="end"/>
      </w:r>
      <w:r w:rsidR="00E20556" w:rsidRPr="005B7CAC">
        <w:rPr>
          <w:rFonts w:ascii="Times New Roman" w:hAnsi="Times New Roman"/>
          <w:iCs/>
          <w:sz w:val="24"/>
          <w:szCs w:val="20"/>
          <w:lang w:val="en-US"/>
        </w:rPr>
        <w:t>,</w:t>
      </w:r>
      <w:r w:rsidR="003E6C64" w:rsidRPr="005B7CAC">
        <w:rPr>
          <w:rFonts w:ascii="Times New Roman" w:hAnsi="Times New Roman"/>
          <w:iCs/>
          <w:sz w:val="24"/>
          <w:szCs w:val="20"/>
          <w:lang w:val="en-US"/>
        </w:rPr>
        <w:t xml:space="preserve"> </w:t>
      </w:r>
      <w:r w:rsidR="00C52626" w:rsidRPr="005B7CAC">
        <w:rPr>
          <w:rFonts w:ascii="Times New Roman" w:hAnsi="Times New Roman"/>
          <w:iCs/>
          <w:sz w:val="24"/>
          <w:szCs w:val="20"/>
          <w:lang w:val="en-US"/>
        </w:rPr>
        <w:t xml:space="preserve">enhancing </w:t>
      </w:r>
      <w:r w:rsidR="00D736B4" w:rsidRPr="005B7CAC">
        <w:rPr>
          <w:rFonts w:ascii="Times New Roman" w:hAnsi="Times New Roman"/>
          <w:iCs/>
          <w:sz w:val="24"/>
          <w:szCs w:val="20"/>
          <w:lang w:val="en-US"/>
        </w:rPr>
        <w:t xml:space="preserve">actual </w:t>
      </w:r>
      <w:r w:rsidR="00F75D9C" w:rsidRPr="005B7CAC">
        <w:rPr>
          <w:rFonts w:ascii="Times New Roman" w:hAnsi="Times New Roman"/>
          <w:iCs/>
          <w:sz w:val="24"/>
          <w:szCs w:val="20"/>
          <w:lang w:val="en-US"/>
        </w:rPr>
        <w:t xml:space="preserve">environmental performance, </w:t>
      </w:r>
      <w:r w:rsidR="00D736B4" w:rsidRPr="005B7CAC">
        <w:rPr>
          <w:rFonts w:ascii="Times New Roman" w:hAnsi="Times New Roman"/>
          <w:iCs/>
          <w:sz w:val="24"/>
          <w:szCs w:val="20"/>
          <w:lang w:val="en-US"/>
        </w:rPr>
        <w:t>such as</w:t>
      </w:r>
      <w:r w:rsidR="00F75D9C" w:rsidRPr="005B7CAC">
        <w:rPr>
          <w:rFonts w:ascii="Times New Roman" w:hAnsi="Times New Roman"/>
          <w:iCs/>
          <w:sz w:val="24"/>
          <w:szCs w:val="20"/>
          <w:lang w:val="en-US"/>
        </w:rPr>
        <w:t xml:space="preserve"> </w:t>
      </w:r>
      <w:r w:rsidR="00F75D9C" w:rsidRPr="005B7CAC">
        <w:rPr>
          <w:rFonts w:ascii="Times New Roman" w:hAnsi="Times New Roman"/>
          <w:i/>
          <w:sz w:val="24"/>
          <w:szCs w:val="20"/>
          <w:lang w:val="en-US"/>
        </w:rPr>
        <w:t>WM</w:t>
      </w:r>
      <w:r w:rsidR="003F3069" w:rsidRPr="005B7CAC">
        <w:rPr>
          <w:rFonts w:ascii="Times New Roman" w:hAnsi="Times New Roman"/>
          <w:iCs/>
          <w:sz w:val="24"/>
          <w:szCs w:val="20"/>
          <w:lang w:val="en-US"/>
        </w:rPr>
        <w:t xml:space="preserve">, </w:t>
      </w:r>
      <w:r w:rsidR="00C52626" w:rsidRPr="005B7CAC">
        <w:rPr>
          <w:rFonts w:ascii="Times New Roman" w:hAnsi="Times New Roman"/>
          <w:iCs/>
          <w:sz w:val="24"/>
          <w:szCs w:val="20"/>
          <w:lang w:val="en-US"/>
        </w:rPr>
        <w:t xml:space="preserve">enables firms </w:t>
      </w:r>
      <w:r w:rsidR="003F3069" w:rsidRPr="005B7CAC">
        <w:rPr>
          <w:rFonts w:ascii="Times New Roman" w:hAnsi="Times New Roman"/>
          <w:iCs/>
          <w:sz w:val="24"/>
          <w:szCs w:val="20"/>
          <w:lang w:val="en-US"/>
        </w:rPr>
        <w:t xml:space="preserve">to establish/maintain </w:t>
      </w:r>
      <w:r w:rsidR="00D736B4" w:rsidRPr="005B7CAC">
        <w:rPr>
          <w:rFonts w:ascii="Times New Roman" w:hAnsi="Times New Roman"/>
          <w:iCs/>
          <w:sz w:val="24"/>
          <w:szCs w:val="20"/>
          <w:lang w:val="en-US"/>
        </w:rPr>
        <w:t>positive</w:t>
      </w:r>
      <w:r w:rsidR="003F3069" w:rsidRPr="005B7CAC">
        <w:rPr>
          <w:rFonts w:ascii="Times New Roman" w:hAnsi="Times New Roman"/>
          <w:iCs/>
          <w:sz w:val="24"/>
          <w:szCs w:val="20"/>
          <w:lang w:val="en-US"/>
        </w:rPr>
        <w:t xml:space="preserve"> stakeholder relationships, </w:t>
      </w:r>
      <w:r w:rsidR="00C52626" w:rsidRPr="005B7CAC">
        <w:rPr>
          <w:rFonts w:ascii="Times New Roman" w:hAnsi="Times New Roman"/>
          <w:iCs/>
          <w:sz w:val="24"/>
          <w:szCs w:val="20"/>
          <w:lang w:val="en-US"/>
        </w:rPr>
        <w:t>attract</w:t>
      </w:r>
      <w:r w:rsidR="00D736B4" w:rsidRPr="005B7CAC">
        <w:rPr>
          <w:rFonts w:ascii="Times New Roman" w:hAnsi="Times New Roman"/>
          <w:iCs/>
          <w:sz w:val="24"/>
          <w:szCs w:val="20"/>
          <w:lang w:val="en-US"/>
        </w:rPr>
        <w:t xml:space="preserve"> funding</w:t>
      </w:r>
      <w:r w:rsidR="00C52626" w:rsidRPr="005B7CAC">
        <w:rPr>
          <w:rFonts w:ascii="Times New Roman" w:hAnsi="Times New Roman"/>
          <w:iCs/>
          <w:sz w:val="24"/>
          <w:szCs w:val="20"/>
          <w:lang w:val="en-US"/>
        </w:rPr>
        <w:t xml:space="preserve"> from environmentally responsible investors</w:t>
      </w:r>
      <w:r w:rsidR="003F3069" w:rsidRPr="005B7CAC">
        <w:rPr>
          <w:rFonts w:ascii="Times New Roman" w:hAnsi="Times New Roman"/>
          <w:iCs/>
          <w:sz w:val="24"/>
          <w:szCs w:val="20"/>
          <w:lang w:val="en-US"/>
        </w:rPr>
        <w:t xml:space="preserve">, </w:t>
      </w:r>
      <w:r w:rsidR="00D736B4" w:rsidRPr="005B7CAC">
        <w:rPr>
          <w:rFonts w:ascii="Times New Roman" w:hAnsi="Times New Roman"/>
          <w:iCs/>
          <w:sz w:val="24"/>
          <w:szCs w:val="20"/>
          <w:lang w:val="en-US"/>
        </w:rPr>
        <w:t xml:space="preserve">reduce </w:t>
      </w:r>
      <w:r w:rsidR="003F3069" w:rsidRPr="005B7CAC">
        <w:rPr>
          <w:rFonts w:ascii="Times New Roman" w:hAnsi="Times New Roman"/>
          <w:iCs/>
          <w:sz w:val="24"/>
          <w:szCs w:val="20"/>
          <w:lang w:val="en-US"/>
        </w:rPr>
        <w:t>financial risks</w:t>
      </w:r>
      <w:r w:rsidR="00D736B4" w:rsidRPr="005B7CAC">
        <w:rPr>
          <w:rFonts w:ascii="Times New Roman" w:hAnsi="Times New Roman"/>
          <w:iCs/>
          <w:sz w:val="24"/>
          <w:szCs w:val="20"/>
          <w:lang w:val="en-US"/>
        </w:rPr>
        <w:t>, and</w:t>
      </w:r>
      <w:r w:rsidR="003F3069" w:rsidRPr="005B7CAC">
        <w:rPr>
          <w:rFonts w:ascii="Times New Roman" w:hAnsi="Times New Roman"/>
          <w:iCs/>
          <w:sz w:val="24"/>
          <w:szCs w:val="20"/>
          <w:lang w:val="en-US"/>
        </w:rPr>
        <w:t xml:space="preserve"> </w:t>
      </w:r>
      <w:r w:rsidR="00D736B4" w:rsidRPr="005B7CAC">
        <w:rPr>
          <w:rFonts w:ascii="Times New Roman" w:hAnsi="Times New Roman"/>
          <w:iCs/>
          <w:sz w:val="24"/>
          <w:szCs w:val="20"/>
          <w:lang w:val="en-US"/>
        </w:rPr>
        <w:t xml:space="preserve">improve sustainability </w:t>
      </w:r>
      <w:r w:rsidR="00386A0C" w:rsidRPr="005B7CAC">
        <w:rPr>
          <w:rFonts w:ascii="Times New Roman" w:hAnsi="Times New Roman"/>
          <w:iCs/>
          <w:sz w:val="24"/>
          <w:szCs w:val="20"/>
          <w:lang w:val="en-US"/>
        </w:rPr>
        <w:fldChar w:fldCharType="begin" w:fldLock="1"/>
      </w:r>
      <w:r w:rsidR="002347D5" w:rsidRPr="005B7CAC">
        <w:rPr>
          <w:rFonts w:ascii="Times New Roman" w:hAnsi="Times New Roman"/>
          <w:iCs/>
          <w:sz w:val="24"/>
          <w:szCs w:val="20"/>
          <w:lang w:val="en-US"/>
        </w:rPr>
        <w:instrText>ADDIN CSL_CITATION {"citationItems":[{"id":"ITEM-1","itemData":{"DOI":"10.1111/auar.12366","ISSN":"18352561","abstract":"This study examines the association between corporate environmental performance and financial distress. Using a sample of Australian firms, we find that environmental performance is negatively related to the financial distress probability perceived by the market. In addition, the negative association between environmental performance and the financial distress probability is more pronounced for firms with a higher level of risk. The findings provide important empirical evidence regarding the implications of environmental performance on firms’ risk management.","author":[{"dropping-particle":"","family":"Jia","given":"Jing","non-dropping-particle":"","parse-names":false,"suffix":""},{"dropping-particle":"","family":"Li","given":"Zhongtian","non-dropping-particle":"","parse-names":false,"suffix":""}],"container-title":"Australian Accounting Review","id":"ITEM-1","issue":"2","issued":{"date-parts":[["2022"]]},"page":"188-200","title":"Corporate Environmental Performance and Financial Distress: Evidence from Australia","type":"article-journal","volume":"32"},"uris":["http://www.mendeley.com/documents/?uuid=e29c5adf-e7ff-3dee-9c25-48e25598f3e7"]},{"id":"ITEM-2","itemData":{"DOI":"10.1108/JAAR-12-2022-0329","ISSN":"09675426","abstract":"Purpose: This study tests whether corporate social responsibility (CSR) performance is a predictor of the financial sector's financial stability (FS), with the moderation of a sustainability committee. Design/methodology/approach: The sample covers financial sector firms included in the Thomson Reuters Eikon database. The analyses are based on 8,840 firm-year observations for the years between 2002 and 2019 and the country-firm-year fixed-effects (FE) regression analysis is executed. Findings: The results reveal that CSR initiatives contribute to the financial sector's FS as a whole and the sector's three individual sub-sectors. This proven significant association holds for all sub-sectors, namely insurance, banking, and investment banking. Moreover, the moderation analysis reveals the prominent role of a sustainability committee in bridging CSR performance (CSRP) with FS. Research limitations/implications: The findings highlight that meeting societies' expectations pays back in the form of greater FS in the financial sector. Practical implications: The findings suggest that CSR engagement helps the financial sector firms manage their risks and alleviates exposure to insolvency. This is because CSR performance promotes firms' accountability and transparency toward stakeholders. The results help motivate managers to pursue CSR goals more seriously to ensure FS. The moderation analysis implies that sustainability committees develop policies and practices to integrate the non-financial and financial goals of the firm. Originality/value: Although prior studies have examined the link between CSR and financial performance (FP) in the financial sector, those studies have largely ignored FS in terms of risk-adjusted performance. Besides, prior studies have exclusively focused on the banking sector, but the authors concentrate on the banking, insurance, and investment banking sectors.","author":[{"dropping-particle":"","family":"Orazalin","given":"Nurlan","non-dropping-particle":"","parse-names":false,"suffix":""},{"dropping-particle":"","family":"Kuzey","given":"Cemil","non-dropping-particle":"","parse-names":false,"suffix":""},{"dropping-particle":"","family":"Uyar","given":"Ali","non-dropping-particle":"","parse-names":false,"suffix":""},{"dropping-particle":"","family":"Karaman","given":"Abdullah S.","non-dropping-particle":"","parse-names":false,"suffix":""}],"container-title":"Journal of Applied Accounting Research","id":"ITEM-2","issued":{"date-parts":[["2023"]]},"title":"Does CSR contribute to the financial sector's financial stability? The moderating role of a sustainability committee","type":"article-journal"},"uris":["http://www.mendeley.com/documents/?uuid=7d20d343-c643-3450-a67e-d8f2e8162028"]}],"mendeley":{"formattedCitation":"(Jia and Li, 2022; Orazalin &lt;i&gt;et al.&lt;/i&gt;, 2023)","plainTextFormattedCitation":"(Jia and Li, 2022; Orazalin et al., 2023)","previouslyFormattedCitation":"(Jia and Li, 2022; Orazalin &lt;i&gt;et al.&lt;/i&gt;, 2023)"},"properties":{"noteIndex":0},"schema":"https://github.com/citation-style-language/schema/raw/master/csl-citation.json"}</w:instrText>
      </w:r>
      <w:r w:rsidR="00386A0C" w:rsidRPr="005B7CAC">
        <w:rPr>
          <w:rFonts w:ascii="Times New Roman" w:hAnsi="Times New Roman"/>
          <w:iCs/>
          <w:sz w:val="24"/>
          <w:szCs w:val="20"/>
          <w:lang w:val="en-US"/>
        </w:rPr>
        <w:fldChar w:fldCharType="separate"/>
      </w:r>
      <w:r w:rsidR="00BB4571" w:rsidRPr="005B7CAC">
        <w:rPr>
          <w:rFonts w:ascii="Times New Roman" w:hAnsi="Times New Roman"/>
          <w:iCs/>
          <w:noProof/>
          <w:sz w:val="24"/>
          <w:szCs w:val="20"/>
          <w:lang w:val="en-US"/>
        </w:rPr>
        <w:t xml:space="preserve">(Jia and Li, 2022; Orazalin </w:t>
      </w:r>
      <w:r w:rsidR="00BB4571" w:rsidRPr="005B7CAC">
        <w:rPr>
          <w:rFonts w:ascii="Times New Roman" w:hAnsi="Times New Roman"/>
          <w:i/>
          <w:iCs/>
          <w:noProof/>
          <w:sz w:val="24"/>
          <w:szCs w:val="20"/>
          <w:lang w:val="en-US"/>
        </w:rPr>
        <w:t>et al.</w:t>
      </w:r>
      <w:r w:rsidR="00BB4571" w:rsidRPr="005B7CAC">
        <w:rPr>
          <w:rFonts w:ascii="Times New Roman" w:hAnsi="Times New Roman"/>
          <w:iCs/>
          <w:noProof/>
          <w:sz w:val="24"/>
          <w:szCs w:val="20"/>
          <w:lang w:val="en-US"/>
        </w:rPr>
        <w:t>, 2023)</w:t>
      </w:r>
      <w:r w:rsidR="00386A0C" w:rsidRPr="005B7CAC">
        <w:rPr>
          <w:rFonts w:ascii="Times New Roman" w:hAnsi="Times New Roman"/>
          <w:iCs/>
          <w:sz w:val="24"/>
          <w:szCs w:val="20"/>
          <w:lang w:val="en-US"/>
        </w:rPr>
        <w:fldChar w:fldCharType="end"/>
      </w:r>
      <w:r w:rsidR="00C52626" w:rsidRPr="005B7CAC">
        <w:rPr>
          <w:rFonts w:ascii="Times New Roman" w:hAnsi="Times New Roman"/>
          <w:iCs/>
          <w:sz w:val="24"/>
          <w:szCs w:val="20"/>
          <w:lang w:val="en-US"/>
        </w:rPr>
        <w:t>.</w:t>
      </w:r>
      <w:r w:rsidR="003F3069" w:rsidRPr="005B7CAC">
        <w:rPr>
          <w:rFonts w:ascii="Times New Roman" w:hAnsi="Times New Roman"/>
          <w:iCs/>
          <w:sz w:val="24"/>
          <w:szCs w:val="20"/>
          <w:lang w:val="en-US"/>
        </w:rPr>
        <w:t xml:space="preserve"> </w:t>
      </w:r>
      <w:r w:rsidR="00D354CA" w:rsidRPr="005B7CAC">
        <w:rPr>
          <w:rFonts w:ascii="Times New Roman" w:hAnsi="Times New Roman"/>
          <w:iCs/>
          <w:sz w:val="24"/>
          <w:szCs w:val="20"/>
          <w:lang w:val="en-US"/>
        </w:rPr>
        <w:t xml:space="preserve">Consistent with this view, prior research </w:t>
      </w:r>
      <w:r w:rsidR="00C67849" w:rsidRPr="005B7CAC">
        <w:rPr>
          <w:rFonts w:ascii="Times New Roman" w:hAnsi="Times New Roman"/>
          <w:iCs/>
          <w:sz w:val="24"/>
          <w:szCs w:val="20"/>
          <w:lang w:val="en-US"/>
        </w:rPr>
        <w:fldChar w:fldCharType="begin" w:fldLock="1"/>
      </w:r>
      <w:r w:rsidR="00C67849" w:rsidRPr="005B7CAC">
        <w:rPr>
          <w:rFonts w:ascii="Times New Roman" w:hAnsi="Times New Roman"/>
          <w:iCs/>
          <w:sz w:val="24"/>
          <w:szCs w:val="20"/>
          <w:lang w:val="en-US"/>
        </w:rPr>
        <w:instrText>ADDIN CSL_CITATION {"citationItems":[{"id":"ITEM-1","itemData":{"DOI":"10.1111/auar.12366","ISSN":"18352561","abstract":"This study examines the association between corporate environmental performance and financial distress. Using a sample of Australian firms, we find that environmental performance is negatively related to the financial distress probability perceived by the market. In addition, the negative association between environmental performance and the financial distress probability is more pronounced for firms with a higher level of risk. The findings provide important empirical evidence regarding the implications of environmental performance on firms’ risk management.","author":[{"dropping-particle":"","family":"Jia","given":"Jing","non-dropping-particle":"","parse-names":false,"suffix":""},{"dropping-particle":"","family":"Li","given":"Zhongtian","non-dropping-particle":"","parse-names":false,"suffix":""}],"container-title":"Australian Accounting Review","id":"ITEM-1","issue":"2","issued":{"date-parts":[["2022"]]},"page":"188-200","title":"Corporate Environmental Performance and Financial Distress: Evidence from Australia","type":"article-journal","volume":"32"},"uris":["http://www.mendeley.com/documents/?uuid=e29c5adf-e7ff-3dee-9c25-48e25598f3e7"]},{"id":"ITEM-2","itemData":{"DOI":"10.1080/01559982.2023.2169893","ISSN":"14676303","abstract":"We examine how corporate environmental performance relates to financial constraints in an environment likely to face high global pressure to address climate change. Using multivariate regressions and a large dataset of over 8,500 firm-years from 24 emerging market countries during 2003 to 2020, we find superior environmental performance (especially relating to carbon emissions) to be associated with significantly lower levels of financial constraints. This finding is robust to an alternative measure of financial constraint, different sample compositions, and to endogeneity concerns. Further analyses reveal that the reductions in financial constraints are significantly higher for firms: (i) in high carbon-emitting countries; (ii) in countries that adopted the 2015 Paris Climate Agreement early; and (iii) that cross-list onto foreign stock exchanges. Finally, we provide evidence to suggest that the environmental aspects of a firm’s CSR efforts mitigate its financial constraints more than can be attained by the other major CSR dimensions. Overall, the findings imply that stakeholders (capital providers) of emerging market firms prioritise environmental concerns and, therefore, reward environmentally responsible firms with cheaper and easier access to financing, especially when global environmental concerns are high.","author":[{"dropping-particle":"","family":"Agyei-Boapeah","given":"Henry","non-dropping-particle":"","parse-names":false,"suffix":""},{"dropping-particle":"","family":"Ciftci","given":"Neytullah","non-dropping-particle":"","parse-names":false,"suffix":""},{"dropping-particle":"","family":"Kalimilo Malagila","given":"John","non-dropping-particle":"","parse-names":false,"suffix":""},{"dropping-particle":"","family":"Brodmann","given":"Jennifer","non-dropping-particle":"","parse-names":false,"suffix":""},{"dropping-particle":"","family":"Fosu","given":"Samuel","non-dropping-particle":"","parse-names":false,"suffix":""}],"container-title":"Accounting Forum","id":"ITEM-2","issued":{"date-parts":[["2023"]]},"title":"Environmental performance and financial constraints in emerging markets","type":"article-journal"},"uris":["http://www.mendeley.com/documents/?uuid=9ce40414-8207-3936-bfcc-bd72773ed35c"]}],"mendeley":{"formattedCitation":"(Agyei-Boapeah &lt;i&gt;et al.&lt;/i&gt;, 2023; Jia and Li, 2022)","plainTextFormattedCitation":"(Agyei-Boapeah et al., 2023; Jia and Li, 2022)","previouslyFormattedCitation":"(Agyei-Boapeah &lt;i&gt;et al.&lt;/i&gt;, 2023; Jia and Li, 2022)"},"properties":{"noteIndex":0},"schema":"https://github.com/citation-style-language/schema/raw/master/csl-citation.json"}</w:instrText>
      </w:r>
      <w:r w:rsidR="00C67849" w:rsidRPr="005B7CAC">
        <w:rPr>
          <w:rFonts w:ascii="Times New Roman" w:hAnsi="Times New Roman"/>
          <w:iCs/>
          <w:sz w:val="24"/>
          <w:szCs w:val="20"/>
          <w:lang w:val="en-US"/>
        </w:rPr>
        <w:fldChar w:fldCharType="separate"/>
      </w:r>
      <w:r w:rsidR="00D354CA" w:rsidRPr="005B7CAC">
        <w:rPr>
          <w:rFonts w:ascii="Times New Roman" w:hAnsi="Times New Roman"/>
          <w:iCs/>
          <w:noProof/>
          <w:sz w:val="24"/>
          <w:szCs w:val="20"/>
          <w:lang w:val="en-US"/>
        </w:rPr>
        <w:t xml:space="preserve">(Agyei-Boapeah </w:t>
      </w:r>
      <w:r w:rsidR="00D354CA" w:rsidRPr="005B7CAC">
        <w:rPr>
          <w:rFonts w:ascii="Times New Roman" w:hAnsi="Times New Roman"/>
          <w:i/>
          <w:iCs/>
          <w:noProof/>
          <w:sz w:val="24"/>
          <w:szCs w:val="20"/>
          <w:lang w:val="en-US"/>
        </w:rPr>
        <w:t>et al.</w:t>
      </w:r>
      <w:r w:rsidR="00D354CA" w:rsidRPr="005B7CAC">
        <w:rPr>
          <w:rFonts w:ascii="Times New Roman" w:hAnsi="Times New Roman"/>
          <w:iCs/>
          <w:noProof/>
          <w:sz w:val="24"/>
          <w:szCs w:val="20"/>
          <w:lang w:val="en-US"/>
        </w:rPr>
        <w:t>, 2023; Jia and Li, 2022)</w:t>
      </w:r>
      <w:r w:rsidR="00C67849" w:rsidRPr="005B7CAC">
        <w:rPr>
          <w:rFonts w:ascii="Times New Roman" w:hAnsi="Times New Roman"/>
          <w:iCs/>
          <w:sz w:val="24"/>
          <w:szCs w:val="20"/>
          <w:lang w:val="en-US"/>
        </w:rPr>
        <w:fldChar w:fldCharType="end"/>
      </w:r>
      <w:r w:rsidR="00D354CA" w:rsidRPr="005B7CAC">
        <w:rPr>
          <w:rFonts w:ascii="Times New Roman" w:hAnsi="Times New Roman"/>
          <w:iCs/>
          <w:sz w:val="24"/>
          <w:szCs w:val="20"/>
          <w:lang w:val="en-US"/>
        </w:rPr>
        <w:t xml:space="preserve"> suggests that stakeholder-oriented firms</w:t>
      </w:r>
      <w:r w:rsidR="00002125" w:rsidRPr="005B7CAC">
        <w:rPr>
          <w:rFonts w:ascii="Times New Roman" w:hAnsi="Times New Roman"/>
          <w:iCs/>
          <w:sz w:val="24"/>
          <w:szCs w:val="20"/>
          <w:lang w:val="en-US"/>
        </w:rPr>
        <w:t xml:space="preserve"> can</w:t>
      </w:r>
      <w:r w:rsidR="00DC1CF6" w:rsidRPr="005B7CAC">
        <w:rPr>
          <w:rFonts w:ascii="Times New Roman" w:hAnsi="Times New Roman"/>
          <w:iCs/>
          <w:sz w:val="24"/>
          <w:szCs w:val="20"/>
          <w:lang w:val="en-US"/>
        </w:rPr>
        <w:t xml:space="preserve"> </w:t>
      </w:r>
      <w:r w:rsidR="00A97865" w:rsidRPr="005B7CAC">
        <w:rPr>
          <w:rFonts w:ascii="Times New Roman" w:hAnsi="Times New Roman"/>
          <w:iCs/>
          <w:sz w:val="24"/>
          <w:szCs w:val="20"/>
          <w:lang w:val="en-US"/>
        </w:rPr>
        <w:t xml:space="preserve">mitigate </w:t>
      </w:r>
      <w:r w:rsidR="00A97865" w:rsidRPr="005B7CAC">
        <w:rPr>
          <w:rFonts w:ascii="Times New Roman" w:hAnsi="Times New Roman"/>
          <w:i/>
          <w:iCs/>
          <w:sz w:val="24"/>
          <w:szCs w:val="20"/>
          <w:lang w:val="en-US"/>
        </w:rPr>
        <w:t>FD</w:t>
      </w:r>
      <w:r w:rsidR="00A97865" w:rsidRPr="005B7CAC">
        <w:rPr>
          <w:rFonts w:ascii="Times New Roman" w:hAnsi="Times New Roman"/>
          <w:iCs/>
          <w:sz w:val="24"/>
          <w:szCs w:val="20"/>
          <w:lang w:val="en-US"/>
        </w:rPr>
        <w:t xml:space="preserve"> levels and ultimately</w:t>
      </w:r>
      <w:r w:rsidR="00D354CA" w:rsidRPr="005B7CAC">
        <w:rPr>
          <w:rFonts w:ascii="Times New Roman" w:hAnsi="Times New Roman"/>
          <w:iCs/>
          <w:sz w:val="24"/>
          <w:szCs w:val="20"/>
          <w:lang w:val="en-US"/>
        </w:rPr>
        <w:t xml:space="preserve"> </w:t>
      </w:r>
      <w:r w:rsidR="00DC1CF6" w:rsidRPr="005B7CAC">
        <w:rPr>
          <w:rFonts w:ascii="Times New Roman" w:hAnsi="Times New Roman"/>
          <w:iCs/>
          <w:sz w:val="24"/>
          <w:szCs w:val="20"/>
          <w:lang w:val="en-US"/>
        </w:rPr>
        <w:t>improve</w:t>
      </w:r>
      <w:r w:rsidR="00D354CA" w:rsidRPr="005B7CAC">
        <w:rPr>
          <w:rFonts w:ascii="Times New Roman" w:hAnsi="Times New Roman"/>
          <w:iCs/>
          <w:sz w:val="24"/>
          <w:szCs w:val="20"/>
          <w:lang w:val="en-US"/>
        </w:rPr>
        <w:t xml:space="preserve"> financial stability by </w:t>
      </w:r>
      <w:r w:rsidR="00A97865" w:rsidRPr="005B7CAC">
        <w:rPr>
          <w:rFonts w:ascii="Times New Roman" w:hAnsi="Times New Roman"/>
          <w:iCs/>
          <w:sz w:val="24"/>
          <w:szCs w:val="20"/>
          <w:lang w:val="en-US"/>
        </w:rPr>
        <w:t>increasing</w:t>
      </w:r>
      <w:r w:rsidR="00D354CA" w:rsidRPr="005B7CAC">
        <w:rPr>
          <w:rFonts w:ascii="Times New Roman" w:hAnsi="Times New Roman"/>
          <w:iCs/>
          <w:sz w:val="24"/>
          <w:szCs w:val="20"/>
          <w:lang w:val="en-US"/>
        </w:rPr>
        <w:t xml:space="preserve"> </w:t>
      </w:r>
      <w:r w:rsidR="00A97865" w:rsidRPr="005B7CAC">
        <w:rPr>
          <w:rFonts w:ascii="Times New Roman" w:hAnsi="Times New Roman"/>
          <w:iCs/>
          <w:sz w:val="24"/>
          <w:szCs w:val="20"/>
          <w:lang w:val="en-US"/>
        </w:rPr>
        <w:t xml:space="preserve">their environmental engagement and enhancing </w:t>
      </w:r>
      <w:r w:rsidR="00D354CA" w:rsidRPr="005B7CAC">
        <w:rPr>
          <w:rFonts w:ascii="Times New Roman" w:hAnsi="Times New Roman"/>
          <w:iCs/>
          <w:sz w:val="24"/>
          <w:szCs w:val="20"/>
          <w:lang w:val="en-US"/>
        </w:rPr>
        <w:t>environmental sustainability.</w:t>
      </w:r>
      <w:r w:rsidR="00991351" w:rsidRPr="005B7CAC">
        <w:rPr>
          <w:rFonts w:ascii="Times New Roman" w:hAnsi="Times New Roman"/>
          <w:iCs/>
          <w:sz w:val="24"/>
          <w:szCs w:val="20"/>
          <w:lang w:val="en-US"/>
        </w:rPr>
        <w:t xml:space="preserve"> Hence, </w:t>
      </w:r>
      <w:r w:rsidR="00936E97" w:rsidRPr="005B7CAC">
        <w:rPr>
          <w:rFonts w:ascii="Times New Roman" w:hAnsi="Times New Roman"/>
          <w:iCs/>
          <w:sz w:val="24"/>
          <w:szCs w:val="20"/>
          <w:lang w:val="en-US"/>
        </w:rPr>
        <w:t xml:space="preserve">the stakeholder view </w:t>
      </w:r>
      <w:r w:rsidR="00CB681D" w:rsidRPr="005B7CAC">
        <w:rPr>
          <w:rFonts w:ascii="Times New Roman" w:hAnsi="Times New Roman"/>
          <w:iCs/>
          <w:sz w:val="24"/>
          <w:szCs w:val="20"/>
          <w:lang w:val="en-US"/>
        </w:rPr>
        <w:t>predicts</w:t>
      </w:r>
      <w:r w:rsidR="00B302C1" w:rsidRPr="005B7CAC">
        <w:rPr>
          <w:rFonts w:ascii="Times New Roman" w:hAnsi="Times New Roman"/>
          <w:iCs/>
          <w:sz w:val="24"/>
          <w:szCs w:val="20"/>
          <w:lang w:val="en-US"/>
        </w:rPr>
        <w:t xml:space="preserve"> that </w:t>
      </w:r>
      <w:r w:rsidR="000F410D" w:rsidRPr="005B7CAC">
        <w:rPr>
          <w:rFonts w:ascii="Times New Roman" w:hAnsi="Times New Roman"/>
          <w:iCs/>
          <w:sz w:val="24"/>
          <w:szCs w:val="20"/>
          <w:lang w:val="en-US"/>
        </w:rPr>
        <w:t xml:space="preserve">implementing effective environmental initiatives/strategies, including </w:t>
      </w:r>
      <w:r w:rsidR="000F410D" w:rsidRPr="005B7CAC">
        <w:rPr>
          <w:rFonts w:ascii="Times New Roman" w:hAnsi="Times New Roman"/>
          <w:i/>
          <w:iCs/>
          <w:sz w:val="24"/>
          <w:szCs w:val="20"/>
          <w:lang w:val="en-US"/>
        </w:rPr>
        <w:t>WM</w:t>
      </w:r>
      <w:r w:rsidR="000F410D" w:rsidRPr="005B7CAC">
        <w:rPr>
          <w:rFonts w:ascii="Times New Roman" w:hAnsi="Times New Roman"/>
          <w:iCs/>
          <w:sz w:val="24"/>
          <w:szCs w:val="20"/>
          <w:lang w:val="en-US"/>
        </w:rPr>
        <w:t xml:space="preserve"> practices</w:t>
      </w:r>
      <w:r w:rsidR="00995B37">
        <w:rPr>
          <w:rFonts w:ascii="Times New Roman" w:hAnsi="Times New Roman"/>
          <w:iCs/>
          <w:sz w:val="24"/>
          <w:szCs w:val="20"/>
          <w:lang w:val="en-US"/>
        </w:rPr>
        <w:t>,</w:t>
      </w:r>
      <w:r w:rsidR="000F410D" w:rsidRPr="005B7CAC">
        <w:rPr>
          <w:rFonts w:ascii="Times New Roman" w:hAnsi="Times New Roman"/>
          <w:iCs/>
          <w:sz w:val="24"/>
          <w:szCs w:val="20"/>
          <w:lang w:val="en-US"/>
        </w:rPr>
        <w:t xml:space="preserve"> would help businesses </w:t>
      </w:r>
      <w:r w:rsidR="00B302C1" w:rsidRPr="005B7CAC">
        <w:rPr>
          <w:rFonts w:ascii="Times New Roman" w:hAnsi="Times New Roman"/>
          <w:iCs/>
          <w:sz w:val="24"/>
          <w:szCs w:val="20"/>
          <w:lang w:val="en-US"/>
        </w:rPr>
        <w:t>respond to stakeholder demands/expectations</w:t>
      </w:r>
      <w:r w:rsidR="000F410D" w:rsidRPr="005B7CAC">
        <w:rPr>
          <w:rFonts w:ascii="Times New Roman" w:hAnsi="Times New Roman"/>
          <w:iCs/>
          <w:sz w:val="24"/>
          <w:szCs w:val="20"/>
          <w:lang w:val="en-US"/>
        </w:rPr>
        <w:t xml:space="preserve"> </w:t>
      </w:r>
      <w:r w:rsidR="00B302C1" w:rsidRPr="005B7CAC">
        <w:rPr>
          <w:rFonts w:ascii="Times New Roman" w:hAnsi="Times New Roman"/>
          <w:iCs/>
          <w:sz w:val="24"/>
          <w:szCs w:val="20"/>
          <w:lang w:val="en-US"/>
        </w:rPr>
        <w:t xml:space="preserve">for </w:t>
      </w:r>
      <w:r w:rsidR="000F410D" w:rsidRPr="005B7CAC">
        <w:rPr>
          <w:rFonts w:ascii="Times New Roman" w:hAnsi="Times New Roman"/>
          <w:iCs/>
          <w:sz w:val="24"/>
          <w:szCs w:val="20"/>
          <w:lang w:val="en-US"/>
        </w:rPr>
        <w:t>sustainable development, gain/maintain competitive advantages, and ultimately enhance financial sustainability, t</w:t>
      </w:r>
      <w:r w:rsidR="00991351" w:rsidRPr="005B7CAC">
        <w:rPr>
          <w:rFonts w:ascii="Times New Roman" w:hAnsi="Times New Roman"/>
          <w:iCs/>
          <w:sz w:val="24"/>
          <w:szCs w:val="20"/>
          <w:lang w:val="en-US"/>
        </w:rPr>
        <w:t xml:space="preserve">hus suggesting that effective </w:t>
      </w:r>
      <w:r w:rsidR="00991351" w:rsidRPr="005B7CAC">
        <w:rPr>
          <w:rFonts w:ascii="Times New Roman" w:hAnsi="Times New Roman"/>
          <w:i/>
          <w:iCs/>
          <w:sz w:val="24"/>
          <w:szCs w:val="20"/>
          <w:lang w:val="en-US"/>
        </w:rPr>
        <w:t>WM</w:t>
      </w:r>
      <w:r w:rsidR="00991351" w:rsidRPr="005B7CAC">
        <w:rPr>
          <w:rFonts w:ascii="Times New Roman" w:hAnsi="Times New Roman"/>
          <w:iCs/>
          <w:sz w:val="24"/>
          <w:szCs w:val="20"/>
          <w:lang w:val="en-US"/>
        </w:rPr>
        <w:t xml:space="preserve"> results </w:t>
      </w:r>
      <w:r w:rsidR="00991351" w:rsidRPr="005B7CAC">
        <w:rPr>
          <w:rFonts w:ascii="Times New Roman" w:hAnsi="Times New Roman"/>
          <w:iCs/>
          <w:sz w:val="24"/>
          <w:szCs w:val="20"/>
          <w:lang w:val="en-US"/>
        </w:rPr>
        <w:lastRenderedPageBreak/>
        <w:t xml:space="preserve">in lower </w:t>
      </w:r>
      <w:r w:rsidR="00991351" w:rsidRPr="005B7CAC">
        <w:rPr>
          <w:rFonts w:ascii="Times New Roman" w:hAnsi="Times New Roman"/>
          <w:i/>
          <w:sz w:val="24"/>
          <w:szCs w:val="20"/>
          <w:lang w:val="en-US"/>
        </w:rPr>
        <w:t>FD</w:t>
      </w:r>
      <w:r w:rsidR="00991351" w:rsidRPr="005B7CAC">
        <w:rPr>
          <w:rFonts w:ascii="Times New Roman" w:hAnsi="Times New Roman"/>
          <w:iCs/>
          <w:sz w:val="24"/>
          <w:szCs w:val="20"/>
          <w:lang w:val="en-US"/>
        </w:rPr>
        <w:t>.</w:t>
      </w:r>
    </w:p>
    <w:p w14:paraId="1868C03C" w14:textId="141AE9D4" w:rsidR="00EF68DF" w:rsidRPr="005B7CAC" w:rsidRDefault="00D354CA" w:rsidP="003D5418">
      <w:pPr>
        <w:widowControl w:val="0"/>
        <w:autoSpaceDE w:val="0"/>
        <w:autoSpaceDN w:val="0"/>
        <w:adjustRightInd w:val="0"/>
        <w:spacing w:after="240" w:line="360" w:lineRule="auto"/>
        <w:jc w:val="both"/>
        <w:rPr>
          <w:rFonts w:ascii="Times New Roman" w:hAnsi="Times New Roman"/>
          <w:iCs/>
          <w:sz w:val="24"/>
          <w:szCs w:val="20"/>
          <w:lang w:val="en-US"/>
        </w:rPr>
      </w:pPr>
      <w:r w:rsidRPr="005B7CAC">
        <w:rPr>
          <w:rFonts w:ascii="Times New Roman" w:hAnsi="Times New Roman"/>
          <w:iCs/>
          <w:sz w:val="24"/>
          <w:szCs w:val="20"/>
          <w:lang w:val="en-US"/>
        </w:rPr>
        <w:t>Empirically, a</w:t>
      </w:r>
      <w:r w:rsidR="00C124B3" w:rsidRPr="005B7CAC">
        <w:rPr>
          <w:rFonts w:ascii="Times New Roman" w:hAnsi="Times New Roman"/>
          <w:iCs/>
          <w:sz w:val="24"/>
          <w:szCs w:val="20"/>
          <w:lang w:val="en-US"/>
        </w:rPr>
        <w:t xml:space="preserve">vailable </w:t>
      </w:r>
      <w:r w:rsidR="00DF09C3" w:rsidRPr="005B7CAC">
        <w:rPr>
          <w:rFonts w:ascii="Times New Roman" w:hAnsi="Times New Roman"/>
          <w:iCs/>
          <w:sz w:val="24"/>
          <w:szCs w:val="20"/>
          <w:lang w:val="en-US"/>
        </w:rPr>
        <w:t xml:space="preserve">studies have mainly </w:t>
      </w:r>
      <w:r w:rsidR="0083052B" w:rsidRPr="005B7CAC">
        <w:rPr>
          <w:rFonts w:ascii="Times New Roman" w:hAnsi="Times New Roman"/>
          <w:iCs/>
          <w:sz w:val="24"/>
          <w:szCs w:val="20"/>
          <w:lang w:val="en-US"/>
        </w:rPr>
        <w:t>reported</w:t>
      </w:r>
      <w:r w:rsidR="00DF09C3" w:rsidRPr="005B7CAC">
        <w:rPr>
          <w:rFonts w:ascii="Times New Roman" w:hAnsi="Times New Roman"/>
          <w:iCs/>
          <w:sz w:val="24"/>
          <w:szCs w:val="20"/>
          <w:lang w:val="en-US"/>
        </w:rPr>
        <w:t xml:space="preserve"> that </w:t>
      </w:r>
      <w:r w:rsidR="00C124B3" w:rsidRPr="005B7CAC">
        <w:rPr>
          <w:rFonts w:ascii="Times New Roman" w:hAnsi="Times New Roman"/>
          <w:iCs/>
          <w:sz w:val="24"/>
          <w:szCs w:val="20"/>
          <w:lang w:val="en-US"/>
        </w:rPr>
        <w:t xml:space="preserve">greater CSR/environmental performance is linked to reduced financial constraints/risks. </w:t>
      </w:r>
      <w:r w:rsidR="008A57DC" w:rsidRPr="005B7CAC">
        <w:rPr>
          <w:rFonts w:ascii="Times New Roman" w:hAnsi="Times New Roman"/>
          <w:iCs/>
          <w:sz w:val="24"/>
          <w:szCs w:val="20"/>
          <w:lang w:val="en-US"/>
        </w:rPr>
        <w:t>For example,</w:t>
      </w:r>
      <w:r w:rsidR="005C1D81" w:rsidRPr="005B7CAC">
        <w:rPr>
          <w:rFonts w:ascii="Times New Roman" w:hAnsi="Times New Roman"/>
          <w:iCs/>
          <w:sz w:val="24"/>
          <w:szCs w:val="20"/>
          <w:lang w:val="en-US"/>
        </w:rPr>
        <w:t xml:space="preserve"> </w:t>
      </w:r>
      <w:r w:rsidR="00B75373" w:rsidRPr="005B7CAC">
        <w:rPr>
          <w:rFonts w:ascii="Times New Roman" w:hAnsi="Times New Roman"/>
          <w:iCs/>
          <w:sz w:val="24"/>
          <w:szCs w:val="20"/>
          <w:lang w:val="en-US"/>
        </w:rPr>
        <w:fldChar w:fldCharType="begin" w:fldLock="1"/>
      </w:r>
      <w:r w:rsidR="00BB4571" w:rsidRPr="005B7CAC">
        <w:rPr>
          <w:rFonts w:ascii="Times New Roman" w:hAnsi="Times New Roman"/>
          <w:iCs/>
          <w:sz w:val="24"/>
          <w:szCs w:val="20"/>
          <w:lang w:val="en-US"/>
        </w:rPr>
        <w:instrText>ADDIN CSL_CITATION {"citationItems":[{"id":"ITEM-1","itemData":{"DOI":"10.1002/bse.2229","ISSN":"10990836","abstract":"Abstract This study investigates the effect of environmental performance that is driven by good environmental policies, regulations, and management on firm's financial distress and, consequently, ascertains the extent to which top management teams' (TMTs') characteristics can moderate the environmental performance–financial distress nexus in China using 749 firms over the 2009–2014 period (i.e., generating over 3,000 indi- vidual observations). Our findings are twofold. First, our results indicate that increased environmental performance that is driven by good environmental policies tends to strategically reduce the extent of firm financial distress. Second, this nexus is moder- ated by TMT gender diversity, foreign exposure, and political connection. We inter- pret our findings within neo‐institutional, upper echelons, and risk management theoretical perspectives. The findings are robust to the use of alternative measures of financial distress, estimation techniques, and endogeneity problems.","author":[{"dropping-particle":"","family":"Shahab","given":"Yasir","non-dropping-particle":"","parse-names":false,"suffix":""},{"dropping-particle":"","family":"Ntim","given":"Collins G.","non-dropping-particle":"","parse-names":false,"suffix":""},{"dropping-particle":"","family":"Chengang","given":"Ye","non-dropping-particle":"","parse-names":false,"suffix":""},{"dropping-particle":"","family":"Ullah","given":"Farid","non-dropping-particle":"","parse-names":false,"suffix":""},{"dropping-particle":"","family":"Fosu","given":"Samuel","non-dropping-particle":"","parse-names":false,"suffix":""}],"container-title":"Business Strategy and the Environment","id":"ITEM-1","issue":"8","issued":{"date-parts":[["2018"]]},"page":"1635-1652","title":"Environmental policy, environmental performance, and financial distress in China: Do top management team characteristics matter?","type":"article-journal","volume":"27"},"uris":["http://www.mendeley.com/documents/?uuid=85485e83-878d-35b2-95f0-fd3d227658d2"]}],"mendeley":{"formattedCitation":"(Shahab &lt;i&gt;et al.&lt;/i&gt;, 2018)","manualFormatting":"Shahab et al. (2018)","plainTextFormattedCitation":"(Shahab et al., 2018)","previouslyFormattedCitation":"(Shahab &lt;i&gt;et al.&lt;/i&gt;, 2018)"},"properties":{"noteIndex":0},"schema":"https://github.com/citation-style-language/schema/raw/master/csl-citation.json"}</w:instrText>
      </w:r>
      <w:r w:rsidR="00B75373" w:rsidRPr="005B7CAC">
        <w:rPr>
          <w:rFonts w:ascii="Times New Roman" w:hAnsi="Times New Roman"/>
          <w:iCs/>
          <w:sz w:val="24"/>
          <w:szCs w:val="20"/>
          <w:lang w:val="en-US"/>
        </w:rPr>
        <w:fldChar w:fldCharType="separate"/>
      </w:r>
      <w:r w:rsidR="005C1D81" w:rsidRPr="005B7CAC">
        <w:rPr>
          <w:rFonts w:ascii="Times New Roman" w:hAnsi="Times New Roman"/>
          <w:iCs/>
          <w:noProof/>
          <w:sz w:val="24"/>
          <w:szCs w:val="20"/>
          <w:lang w:val="en-US"/>
        </w:rPr>
        <w:t xml:space="preserve">Shahab </w:t>
      </w:r>
      <w:r w:rsidR="005C1D81" w:rsidRPr="005B7CAC">
        <w:rPr>
          <w:rFonts w:ascii="Times New Roman" w:hAnsi="Times New Roman"/>
          <w:i/>
          <w:iCs/>
          <w:noProof/>
          <w:sz w:val="24"/>
          <w:szCs w:val="20"/>
          <w:lang w:val="en-US"/>
        </w:rPr>
        <w:t>et al.</w:t>
      </w:r>
      <w:r w:rsidR="00D113D1" w:rsidRPr="005B7CAC">
        <w:rPr>
          <w:rFonts w:ascii="Times New Roman" w:hAnsi="Times New Roman"/>
          <w:iCs/>
          <w:noProof/>
          <w:sz w:val="24"/>
          <w:szCs w:val="20"/>
          <w:lang w:val="en-US"/>
        </w:rPr>
        <w:t xml:space="preserve"> (</w:t>
      </w:r>
      <w:r w:rsidR="005C1D81" w:rsidRPr="005B7CAC">
        <w:rPr>
          <w:rFonts w:ascii="Times New Roman" w:hAnsi="Times New Roman"/>
          <w:iCs/>
          <w:noProof/>
          <w:sz w:val="24"/>
          <w:szCs w:val="20"/>
          <w:lang w:val="en-US"/>
        </w:rPr>
        <w:t>2018)</w:t>
      </w:r>
      <w:r w:rsidR="00B75373" w:rsidRPr="005B7CAC">
        <w:rPr>
          <w:rFonts w:ascii="Times New Roman" w:hAnsi="Times New Roman"/>
          <w:iCs/>
          <w:sz w:val="24"/>
          <w:szCs w:val="20"/>
          <w:lang w:val="en-US"/>
        </w:rPr>
        <w:fldChar w:fldCharType="end"/>
      </w:r>
      <w:r w:rsidR="005C1D81" w:rsidRPr="005B7CAC">
        <w:rPr>
          <w:rFonts w:ascii="Times New Roman" w:hAnsi="Times New Roman"/>
          <w:iCs/>
          <w:sz w:val="24"/>
          <w:szCs w:val="20"/>
          <w:lang w:val="en-US"/>
        </w:rPr>
        <w:t xml:space="preserve"> find that improved environmental performance serves as a risk</w:t>
      </w:r>
      <w:r w:rsidR="007D40F2">
        <w:rPr>
          <w:rFonts w:ascii="Times New Roman" w:hAnsi="Times New Roman"/>
          <w:iCs/>
          <w:sz w:val="24"/>
          <w:szCs w:val="20"/>
          <w:lang w:val="en-US"/>
        </w:rPr>
        <w:t>-</w:t>
      </w:r>
      <w:r w:rsidR="005C1D81" w:rsidRPr="005B7CAC">
        <w:rPr>
          <w:rFonts w:ascii="Times New Roman" w:hAnsi="Times New Roman"/>
          <w:iCs/>
          <w:sz w:val="24"/>
          <w:szCs w:val="20"/>
          <w:lang w:val="en-US"/>
        </w:rPr>
        <w:t xml:space="preserve">mitigating tool </w:t>
      </w:r>
      <w:r w:rsidR="000A1707" w:rsidRPr="005B7CAC">
        <w:rPr>
          <w:rFonts w:ascii="Times New Roman" w:hAnsi="Times New Roman"/>
          <w:iCs/>
          <w:sz w:val="24"/>
          <w:szCs w:val="20"/>
          <w:lang w:val="en-US"/>
        </w:rPr>
        <w:t>and significantly decreases</w:t>
      </w:r>
      <w:r w:rsidR="005C1D81" w:rsidRPr="005B7CAC">
        <w:rPr>
          <w:rFonts w:ascii="Times New Roman" w:hAnsi="Times New Roman"/>
          <w:iCs/>
          <w:sz w:val="24"/>
          <w:szCs w:val="20"/>
          <w:lang w:val="en-US"/>
        </w:rPr>
        <w:t xml:space="preserve"> </w:t>
      </w:r>
      <w:r w:rsidR="005C1D81" w:rsidRPr="005B7CAC">
        <w:rPr>
          <w:rFonts w:ascii="Times New Roman" w:hAnsi="Times New Roman"/>
          <w:i/>
          <w:sz w:val="24"/>
          <w:szCs w:val="20"/>
          <w:lang w:val="en-US"/>
        </w:rPr>
        <w:t>FD</w:t>
      </w:r>
      <w:r w:rsidR="005C1D81" w:rsidRPr="005B7CAC">
        <w:rPr>
          <w:rFonts w:ascii="Times New Roman" w:hAnsi="Times New Roman"/>
          <w:iCs/>
          <w:sz w:val="24"/>
          <w:szCs w:val="20"/>
          <w:lang w:val="en-US"/>
        </w:rPr>
        <w:t xml:space="preserve"> </w:t>
      </w:r>
      <w:r w:rsidR="000A1707" w:rsidRPr="005B7CAC">
        <w:rPr>
          <w:rFonts w:ascii="Times New Roman" w:hAnsi="Times New Roman"/>
          <w:iCs/>
          <w:sz w:val="24"/>
          <w:szCs w:val="20"/>
          <w:lang w:val="en-US"/>
        </w:rPr>
        <w:t>levels</w:t>
      </w:r>
      <w:r w:rsidR="005C1D81" w:rsidRPr="005B7CAC">
        <w:rPr>
          <w:rFonts w:ascii="Times New Roman" w:hAnsi="Times New Roman"/>
          <w:iCs/>
          <w:sz w:val="24"/>
          <w:szCs w:val="20"/>
          <w:lang w:val="en-US"/>
        </w:rPr>
        <w:t xml:space="preserve"> in China. Similarly, </w:t>
      </w:r>
      <w:r w:rsidR="005C1D81" w:rsidRPr="005B7CAC">
        <w:rPr>
          <w:rFonts w:ascii="Times New Roman" w:hAnsi="Times New Roman"/>
          <w:iCs/>
          <w:sz w:val="24"/>
          <w:szCs w:val="20"/>
          <w:lang w:val="en-US"/>
        </w:rPr>
        <w:fldChar w:fldCharType="begin" w:fldLock="1"/>
      </w:r>
      <w:r w:rsidR="00BB4571" w:rsidRPr="005B7CAC">
        <w:rPr>
          <w:rFonts w:ascii="Times New Roman" w:hAnsi="Times New Roman"/>
          <w:iCs/>
          <w:sz w:val="24"/>
          <w:szCs w:val="20"/>
          <w:lang w:val="en-US"/>
        </w:rPr>
        <w:instrText>ADDIN CSL_CITATION {"citationItems":[{"id":"ITEM-1","itemData":{"DOI":"10.1111/auar.12366","ISSN":"18352561","abstract":"This study examines the association between corporate environmental performance and financial distress. Using a sample of Australian firms, we find that environmental performance is negatively related to the financial distress probability perceived by the market. In addition, the negative association between environmental performance and the financial distress probability is more pronounced for firms with a higher level of risk. The findings provide important empirical evidence regarding the implications of environmental performance on firms’ risk management.","author":[{"dropping-particle":"","family":"Jia","given":"Jing","non-dropping-particle":"","parse-names":false,"suffix":""},{"dropping-particle":"","family":"Li","given":"Zhongtian","non-dropping-particle":"","parse-names":false,"suffix":""}],"container-title":"Australian Accounting Review","id":"ITEM-1","issue":"2","issued":{"date-parts":[["2022"]]},"page":"188-200","title":"Corporate Environmental Performance and Financial Distress: Evidence from Australia","type":"article-journal","volume":"32"},"uris":["http://www.mendeley.com/documents/?uuid=e29c5adf-e7ff-3dee-9c25-48e25598f3e7"]}],"mendeley":{"formattedCitation":"(Jia and Li, 2022)","manualFormatting":"Jia and Li (2022)","plainTextFormattedCitation":"(Jia and Li, 2022)","previouslyFormattedCitation":"(Jia and Li, 2022)"},"properties":{"noteIndex":0},"schema":"https://github.com/citation-style-language/schema/raw/master/csl-citation.json"}</w:instrText>
      </w:r>
      <w:r w:rsidR="005C1D81" w:rsidRPr="005B7CAC">
        <w:rPr>
          <w:rFonts w:ascii="Times New Roman" w:hAnsi="Times New Roman"/>
          <w:iCs/>
          <w:sz w:val="24"/>
          <w:szCs w:val="20"/>
          <w:lang w:val="en-US"/>
        </w:rPr>
        <w:fldChar w:fldCharType="separate"/>
      </w:r>
      <w:r w:rsidR="00D113D1" w:rsidRPr="005B7CAC">
        <w:rPr>
          <w:rFonts w:ascii="Times New Roman" w:hAnsi="Times New Roman"/>
          <w:iCs/>
          <w:noProof/>
          <w:sz w:val="24"/>
          <w:szCs w:val="20"/>
          <w:lang w:val="en-US"/>
        </w:rPr>
        <w:t>Jia and Li (</w:t>
      </w:r>
      <w:r w:rsidR="008A57DC" w:rsidRPr="005B7CAC">
        <w:rPr>
          <w:rFonts w:ascii="Times New Roman" w:hAnsi="Times New Roman"/>
          <w:iCs/>
          <w:noProof/>
          <w:sz w:val="24"/>
          <w:szCs w:val="20"/>
          <w:lang w:val="en-US"/>
        </w:rPr>
        <w:t>2022)</w:t>
      </w:r>
      <w:r w:rsidR="005C1D81" w:rsidRPr="005B7CAC">
        <w:rPr>
          <w:rFonts w:ascii="Times New Roman" w:hAnsi="Times New Roman"/>
          <w:iCs/>
          <w:sz w:val="24"/>
          <w:szCs w:val="20"/>
          <w:lang w:val="en-US"/>
        </w:rPr>
        <w:fldChar w:fldCharType="end"/>
      </w:r>
      <w:r w:rsidR="005C1D81" w:rsidRPr="005B7CAC">
        <w:rPr>
          <w:rFonts w:ascii="Times New Roman" w:hAnsi="Times New Roman"/>
          <w:iCs/>
          <w:sz w:val="24"/>
          <w:szCs w:val="20"/>
          <w:lang w:val="en-US"/>
        </w:rPr>
        <w:t xml:space="preserve"> document that </w:t>
      </w:r>
      <w:r w:rsidR="00026585" w:rsidRPr="005B7CAC">
        <w:rPr>
          <w:rFonts w:ascii="Times New Roman" w:hAnsi="Times New Roman"/>
          <w:iCs/>
          <w:sz w:val="24"/>
          <w:szCs w:val="20"/>
          <w:lang w:val="en-US"/>
        </w:rPr>
        <w:t xml:space="preserve">Australian </w:t>
      </w:r>
      <w:r w:rsidR="005C1D81" w:rsidRPr="005B7CAC">
        <w:rPr>
          <w:rFonts w:ascii="Times New Roman" w:hAnsi="Times New Roman"/>
          <w:iCs/>
          <w:sz w:val="24"/>
          <w:szCs w:val="20"/>
          <w:lang w:val="en-US"/>
        </w:rPr>
        <w:t xml:space="preserve">firms with higher environmental performance face lower </w:t>
      </w:r>
      <w:r w:rsidR="005C1D81" w:rsidRPr="005B7CAC">
        <w:rPr>
          <w:rFonts w:ascii="Times New Roman" w:hAnsi="Times New Roman"/>
          <w:i/>
          <w:sz w:val="24"/>
          <w:szCs w:val="20"/>
          <w:lang w:val="en-US"/>
        </w:rPr>
        <w:t>FD</w:t>
      </w:r>
      <w:r w:rsidR="005C1D81" w:rsidRPr="005B7CAC">
        <w:rPr>
          <w:rFonts w:ascii="Times New Roman" w:hAnsi="Times New Roman"/>
          <w:iCs/>
          <w:sz w:val="24"/>
          <w:szCs w:val="20"/>
          <w:lang w:val="en-US"/>
        </w:rPr>
        <w:t xml:space="preserve"> </w:t>
      </w:r>
      <w:r w:rsidR="006B518D" w:rsidRPr="005B7CAC">
        <w:rPr>
          <w:rFonts w:ascii="Times New Roman" w:hAnsi="Times New Roman"/>
          <w:iCs/>
          <w:sz w:val="24"/>
          <w:szCs w:val="20"/>
          <w:lang w:val="en-US"/>
        </w:rPr>
        <w:t>probability</w:t>
      </w:r>
      <w:r w:rsidR="005C1D81" w:rsidRPr="005B7CAC">
        <w:rPr>
          <w:rFonts w:ascii="Times New Roman" w:hAnsi="Times New Roman"/>
          <w:iCs/>
          <w:sz w:val="24"/>
          <w:szCs w:val="20"/>
          <w:lang w:val="en-US"/>
        </w:rPr>
        <w:t>.</w:t>
      </w:r>
      <w:r w:rsidR="00B75373" w:rsidRPr="005B7CAC">
        <w:rPr>
          <w:rFonts w:ascii="Times New Roman" w:hAnsi="Times New Roman"/>
          <w:iCs/>
          <w:sz w:val="24"/>
          <w:szCs w:val="20"/>
          <w:lang w:val="en-US"/>
        </w:rPr>
        <w:t xml:space="preserve"> </w:t>
      </w:r>
      <w:r w:rsidR="005C1D81" w:rsidRPr="005B7CAC">
        <w:rPr>
          <w:rFonts w:ascii="Times New Roman" w:hAnsi="Times New Roman"/>
          <w:iCs/>
          <w:sz w:val="24"/>
          <w:szCs w:val="20"/>
          <w:lang w:val="en-US"/>
        </w:rPr>
        <w:t>Other investigations</w:t>
      </w:r>
      <w:r w:rsidR="00B75373" w:rsidRPr="005B7CAC">
        <w:rPr>
          <w:rFonts w:ascii="Times New Roman" w:hAnsi="Times New Roman"/>
          <w:iCs/>
          <w:sz w:val="24"/>
          <w:szCs w:val="20"/>
          <w:lang w:val="en-US"/>
        </w:rPr>
        <w:t xml:space="preserve"> </w:t>
      </w:r>
      <w:r w:rsidR="000134C6" w:rsidRPr="005B7CAC">
        <w:rPr>
          <w:rFonts w:ascii="Times New Roman" w:hAnsi="Times New Roman"/>
          <w:iCs/>
          <w:sz w:val="24"/>
          <w:szCs w:val="20"/>
          <w:lang w:val="en-US"/>
        </w:rPr>
        <w:fldChar w:fldCharType="begin" w:fldLock="1"/>
      </w:r>
      <w:r w:rsidR="002347D5" w:rsidRPr="005B7CAC">
        <w:rPr>
          <w:rFonts w:ascii="Times New Roman" w:hAnsi="Times New Roman"/>
          <w:iCs/>
          <w:sz w:val="24"/>
          <w:szCs w:val="20"/>
          <w:lang w:val="en-US"/>
        </w:rPr>
        <w:instrText>ADDIN CSL_CITATION {"citationItems":[{"id":"ITEM-1","itemData":{"DOI":"10.1080/01559982.2023.2169893","ISSN":"14676303","abstract":"We examine how corporate environmental performance relates to financial constraints in an environment likely to face high global pressure to address climate change. Using multivariate regressions and a large dataset of over 8,500 firm-years from 24 emerging market countries during 2003 to 2020, we find superior environmental performance (especially relating to carbon emissions) to be associated with significantly lower levels of financial constraints. This finding is robust to an alternative measure of financial constraint, different sample compositions, and to endogeneity concerns. Further analyses reveal that the reductions in financial constraints are significantly higher for firms: (i) in high carbon-emitting countries; (ii) in countries that adopted the 2015 Paris Climate Agreement early; and (iii) that cross-list onto foreign stock exchanges. Finally, we provide evidence to suggest that the environmental aspects of a firm’s CSR efforts mitigate its financial constraints more than can be attained by the other major CSR dimensions. Overall, the findings imply that stakeholders (capital providers) of emerging market firms prioritise environmental concerns and, therefore, reward environmentally responsible firms with cheaper and easier access to financing, especially when global environmental concerns are high.","author":[{"dropping-particle":"","family":"Agyei-Boapeah","given":"Henry","non-dropping-particle":"","parse-names":false,"suffix":""},{"dropping-particle":"","family":"Ciftci","given":"Neytullah","non-dropping-particle":"","parse-names":false,"suffix":""},{"dropping-particle":"","family":"Kalimilo Malagila","given":"John","non-dropping-particle":"","parse-names":false,"suffix":""},{"dropping-particle":"","family":"Brodmann","given":"Jennifer","non-dropping-particle":"","parse-names":false,"suffix":""},{"dropping-particle":"","family":"Fosu","given":"Samuel","non-dropping-particle":"","parse-names":false,"suffix":""}],"container-title":"Accounting Forum","id":"ITEM-1","issued":{"date-parts":[["2023"]]},"title":"Environmental performance and financial constraints in emerging markets","type":"article-journal"},"uris":["http://www.mendeley.com/documents/?uuid=9ce40414-8207-3936-bfcc-bd72773ed35c"]},{"id":"ITEM-2","itemData":{"DOI":"10.1016/j.econmod.2020.05.012","ISSN":"02649993","abstract":"This paper examines how corporate social responsibility (CSR) affects the level of financial distress risk (FDR). Using a sample of 1201 US-listed firms during 1991–2012, our results indicate that firms with higher CSR levels have lower FDR, suggesting that a better CSR performance makes firms more creditworthy and have better access to financing, which is rewarded with less financial defaults. This finding is robust to using alternative proxies of FDR, to controlling for potential endogeneity, and is mainly driven by the community, diversity, employee relations, and environmental dimensions of CSR. Moreover, this relationship is more prevalent in firms with strong governance mechanisms and high product market competition. It is also more exacerbated for less distressed firms and during non-crisis periods. Overall, our findings suggest that the adoption of CSR practices comes with less distress and default risks, likely leading to a more attractive corporate environment, better financial stability and more crisis-resilient economies.","author":[{"dropping-particle":"","family":"Boubaker","given":"Sabri","non-dropping-particle":"","parse-names":false,"suffix":""},{"dropping-particle":"","family":"Cellier","given":"Alexis","non-dropping-particle":"","parse-names":false,"suffix":""},{"dropping-particle":"","family":"Manita","given":"Riadh","non-dropping-particle":"","parse-names":false,"suffix":""},{"dropping-particle":"","family":"Saeed","given":"Asif","non-dropping-particle":"","parse-names":false,"suffix":""}],"container-title":"Economic Modelling","id":"ITEM-2","issued":{"date-parts":[["2020"]]},"page":"835-851","title":"Does corporate social responsibility reduce financial distress risk?","type":"article-journal","volume":"91"},"uris":["http://www.mendeley.com/documents/?uuid=70fa69c4-6f8c-4161-8285-efdbb2b9c72e"]},{"id":"ITEM-3","itemData":{"DOI":"10.1108/MD-02-2015-0047","ISSN":"00251747","abstract":"Purpose – The purpose of this paper is to examine whether socially responsible firms behave differently from other firms in terms of financial risk using US-based firms from 1991 to 2012. Design/methodology/approach – The authors used the KLD social performance rating scores as the measure of corporate social responsibility (CSR) performance and obtained an initial sample of 38,158 firm-year observations from 1991 to 2012. The authors obtained the monthly consensus earnings forecast for fiscal year one and the monthly dispersions for these earnings forecasts from I/B/E/S, and the bond spread from DataStream database. Specifically, the authors question whether firms that exhibit CSR obtain market approval to reduce financial risk, thereby providing investors and regulators with more reliable and transparent financial information, as opposed to firms that do not meet the same criteria. Findings – The authors find that social responsible firms usually perform better in terms of their credit ratings and have lower credit risk, in terms of loan spreads when compared to corporate bond spreads, and in terms of distance to default. The results control for various measurements for CSR and time periods, consider various CSR dimensions and components, and use alternative proxies to improve the quality of financial risk estimates. Originality/value – The findings demonstrate the importance of considering both positive and negative CSR performance. Positive CSR ratings are associated with reduced financial risk while negative CSR performance scores lead to increased financial distress. Investors respond to positive CSR ratings.","author":[{"dropping-particle":"","family":"Hsu","given":"Feng Jui","non-dropping-particle":"","parse-names":false,"suffix":""},{"dropping-particle":"","family":"Chen","given":"Yu Cheng","non-dropping-particle":"","parse-names":false,"suffix":""}],"container-title":"Management Decision","id":"ITEM-3","issue":"9","issued":{"date-parts":[["2015"]]},"page":"2175-2199","title":"Is a firm’s financial risk associated with corporate social responsibility?","type":"article-journal","volume":"53"},"uris":["http://www.mendeley.com/documents/?uuid=459e5cc9-d1eb-36f9-92db-9436f43d66dd"]},{"id":"ITEM-4","itemData":{"DOI":"10.1108/JAAR-12-2022-0329","ISSN":"09675426","abstract":"Purpose: This study tests whether corporate social responsibility (CSR) performance is a predictor of the financial sector's financial stability (FS), with the moderation of a sustainability committee. Design/methodology/approach: The sample covers financial sector firms included in the Thomson Reuters Eikon database. The analyses are based on 8,840 firm-year observations for the years between 2002 and 2019 and the country-firm-year fixed-effects (FE) regression analysis is executed. Findings: The results reveal that CSR initiatives contribute to the financial sector's FS as a whole and the sector's three individual sub-sectors. This proven significant association holds for all sub-sectors, namely insurance, banking, and investment banking. Moreover, the moderation analysis reveals the prominent role of a sustainability committee in bridging CSR performance (CSRP) with FS. Research limitations/implications: The findings highlight that meeting societies' expectations pays back in the form of greater FS in the financial sector. Practical implications: The findings suggest that CSR engagement helps the financial sector firms manage their risks and alleviates exposure to insolvency. This is because CSR performance promotes firms' accountability and transparency toward stakeholders. The results help motivate managers to pursue CSR goals more seriously to ensure FS. The moderation analysis implies that sustainability committees develop policies and practices to integrate the non-financial and financial goals of the firm. Originality/value: Although prior studies have examined the link between CSR and financial performance (FP) in the financial sector, those studies have largely ignored FS in terms of risk-adjusted performance. Besides, prior studies have exclusively focused on the banking sector, but the authors concentrate on the banking, insurance, and investment banking sectors.","author":[{"dropping-particle":"","family":"Orazalin","given":"Nurlan","non-dropping-particle":"","parse-names":false,"suffix":""},{"dropping-particle":"","family":"Kuzey","given":"Cemil","non-dropping-particle":"","parse-names":false,"suffix":""},{"dropping-particle":"","family":"Uyar","given":"Ali","non-dropping-particle":"","parse-names":false,"suffix":""},{"dropping-particle":"","family":"Karaman","given":"Abdullah S.","non-dropping-particle":"","parse-names":false,"suffix":""}],"container-title":"Journal of Applied Accounting Research","id":"ITEM-4","issued":{"date-parts":[["2023"]]},"title":"Does CSR contribute to the financial sector's financial stability? The moderating role of a sustainability committee","type":"article-journal"},"uris":["http://www.mendeley.com/documents/?uuid=7d20d343-c643-3450-a67e-d8f2e8162028"]}],"mendeley":{"formattedCitation":"(Agyei-Boapeah &lt;i&gt;et al.&lt;/i&gt;, 2023; Boubaker &lt;i&gt;et al.&lt;/i&gt;, 2020; Hsu and Chen, 2015; Orazalin &lt;i&gt;et al.&lt;/i&gt;, 2023)","plainTextFormattedCitation":"(Agyei-Boapeah et al., 2023; Boubaker et al., 2020; Hsu and Chen, 2015; Orazalin et al., 2023)","previouslyFormattedCitation":"(Agyei-Boapeah &lt;i&gt;et al.&lt;/i&gt;, 2023; Boubaker &lt;i&gt;et al.&lt;/i&gt;, 2020; Hsu and Chen, 2015; Orazalin &lt;i&gt;et al.&lt;/i&gt;, 2023)"},"properties":{"noteIndex":0},"schema":"https://github.com/citation-style-language/schema/raw/master/csl-citation.json"}</w:instrText>
      </w:r>
      <w:r w:rsidR="000134C6" w:rsidRPr="005B7CAC">
        <w:rPr>
          <w:rFonts w:ascii="Times New Roman" w:hAnsi="Times New Roman"/>
          <w:iCs/>
          <w:sz w:val="24"/>
          <w:szCs w:val="20"/>
          <w:lang w:val="en-US"/>
        </w:rPr>
        <w:fldChar w:fldCharType="separate"/>
      </w:r>
      <w:r w:rsidR="00BB4571" w:rsidRPr="005B7CAC">
        <w:rPr>
          <w:rFonts w:ascii="Times New Roman" w:hAnsi="Times New Roman"/>
          <w:iCs/>
          <w:noProof/>
          <w:sz w:val="24"/>
          <w:szCs w:val="20"/>
          <w:lang w:val="en-US"/>
        </w:rPr>
        <w:t xml:space="preserve">(Agyei-Boapeah </w:t>
      </w:r>
      <w:r w:rsidR="00BB4571" w:rsidRPr="005B7CAC">
        <w:rPr>
          <w:rFonts w:ascii="Times New Roman" w:hAnsi="Times New Roman"/>
          <w:i/>
          <w:iCs/>
          <w:noProof/>
          <w:sz w:val="24"/>
          <w:szCs w:val="20"/>
          <w:lang w:val="en-US"/>
        </w:rPr>
        <w:t>et al.</w:t>
      </w:r>
      <w:r w:rsidR="00BB4571" w:rsidRPr="005B7CAC">
        <w:rPr>
          <w:rFonts w:ascii="Times New Roman" w:hAnsi="Times New Roman"/>
          <w:iCs/>
          <w:noProof/>
          <w:sz w:val="24"/>
          <w:szCs w:val="20"/>
          <w:lang w:val="en-US"/>
        </w:rPr>
        <w:t xml:space="preserve">, 2023; Boubaker </w:t>
      </w:r>
      <w:r w:rsidR="00BB4571" w:rsidRPr="005B7CAC">
        <w:rPr>
          <w:rFonts w:ascii="Times New Roman" w:hAnsi="Times New Roman"/>
          <w:i/>
          <w:iCs/>
          <w:noProof/>
          <w:sz w:val="24"/>
          <w:szCs w:val="20"/>
          <w:lang w:val="en-US"/>
        </w:rPr>
        <w:t>et al.</w:t>
      </w:r>
      <w:r w:rsidR="00BB4571" w:rsidRPr="005B7CAC">
        <w:rPr>
          <w:rFonts w:ascii="Times New Roman" w:hAnsi="Times New Roman"/>
          <w:iCs/>
          <w:noProof/>
          <w:sz w:val="24"/>
          <w:szCs w:val="20"/>
          <w:lang w:val="en-US"/>
        </w:rPr>
        <w:t xml:space="preserve">, 2020; Hsu and Chen, 2015; Orazalin </w:t>
      </w:r>
      <w:r w:rsidR="00BB4571" w:rsidRPr="005B7CAC">
        <w:rPr>
          <w:rFonts w:ascii="Times New Roman" w:hAnsi="Times New Roman"/>
          <w:i/>
          <w:iCs/>
          <w:noProof/>
          <w:sz w:val="24"/>
          <w:szCs w:val="20"/>
          <w:lang w:val="en-US"/>
        </w:rPr>
        <w:t>et al.</w:t>
      </w:r>
      <w:r w:rsidR="00BB4571" w:rsidRPr="005B7CAC">
        <w:rPr>
          <w:rFonts w:ascii="Times New Roman" w:hAnsi="Times New Roman"/>
          <w:iCs/>
          <w:noProof/>
          <w:sz w:val="24"/>
          <w:szCs w:val="20"/>
          <w:lang w:val="en-US"/>
        </w:rPr>
        <w:t>, 2023)</w:t>
      </w:r>
      <w:r w:rsidR="000134C6" w:rsidRPr="005B7CAC">
        <w:rPr>
          <w:rFonts w:ascii="Times New Roman" w:hAnsi="Times New Roman"/>
          <w:iCs/>
          <w:sz w:val="24"/>
          <w:szCs w:val="20"/>
          <w:lang w:val="en-US"/>
        </w:rPr>
        <w:fldChar w:fldCharType="end"/>
      </w:r>
      <w:r w:rsidR="00B75373" w:rsidRPr="005B7CAC">
        <w:rPr>
          <w:rFonts w:ascii="Times New Roman" w:hAnsi="Times New Roman"/>
          <w:iCs/>
          <w:sz w:val="24"/>
          <w:szCs w:val="20"/>
          <w:lang w:val="en-US"/>
        </w:rPr>
        <w:t xml:space="preserve"> </w:t>
      </w:r>
      <w:r w:rsidR="005C1D81" w:rsidRPr="005B7CAC">
        <w:rPr>
          <w:rFonts w:ascii="Times New Roman" w:hAnsi="Times New Roman"/>
          <w:iCs/>
          <w:sz w:val="24"/>
          <w:szCs w:val="20"/>
          <w:lang w:val="en-US"/>
        </w:rPr>
        <w:t xml:space="preserve">have also </w:t>
      </w:r>
      <w:r w:rsidR="0083052B" w:rsidRPr="005B7CAC">
        <w:rPr>
          <w:rFonts w:ascii="Times New Roman" w:hAnsi="Times New Roman"/>
          <w:iCs/>
          <w:sz w:val="24"/>
          <w:szCs w:val="20"/>
          <w:lang w:val="en-US"/>
        </w:rPr>
        <w:t>revealed</w:t>
      </w:r>
      <w:r w:rsidR="005C1D81" w:rsidRPr="005B7CAC">
        <w:rPr>
          <w:rFonts w:ascii="Times New Roman" w:hAnsi="Times New Roman"/>
          <w:iCs/>
          <w:sz w:val="24"/>
          <w:szCs w:val="20"/>
          <w:lang w:val="en-US"/>
        </w:rPr>
        <w:t xml:space="preserve"> </w:t>
      </w:r>
      <w:r w:rsidR="006B518D" w:rsidRPr="005B7CAC">
        <w:rPr>
          <w:rFonts w:ascii="Times New Roman" w:hAnsi="Times New Roman"/>
          <w:iCs/>
          <w:sz w:val="24"/>
          <w:szCs w:val="20"/>
          <w:lang w:val="en-US"/>
        </w:rPr>
        <w:t xml:space="preserve">that improving CSR/environmental performance can reduce </w:t>
      </w:r>
      <w:r w:rsidR="006B518D" w:rsidRPr="005B7CAC">
        <w:rPr>
          <w:rFonts w:ascii="Times New Roman" w:hAnsi="Times New Roman"/>
          <w:i/>
          <w:sz w:val="24"/>
          <w:szCs w:val="20"/>
          <w:lang w:val="en-US"/>
        </w:rPr>
        <w:t>FD</w:t>
      </w:r>
      <w:r w:rsidR="006B518D" w:rsidRPr="005B7CAC">
        <w:rPr>
          <w:rFonts w:ascii="Times New Roman" w:hAnsi="Times New Roman"/>
          <w:iCs/>
          <w:sz w:val="24"/>
          <w:szCs w:val="20"/>
          <w:lang w:val="en-US"/>
        </w:rPr>
        <w:t xml:space="preserve"> risks.</w:t>
      </w:r>
      <w:r w:rsidR="00026585" w:rsidRPr="005B7CAC">
        <w:rPr>
          <w:rFonts w:ascii="Times New Roman" w:hAnsi="Times New Roman"/>
          <w:iCs/>
          <w:sz w:val="24"/>
          <w:szCs w:val="20"/>
          <w:lang w:val="en-US"/>
        </w:rPr>
        <w:t xml:space="preserve"> Nevertheless, the above/prior studies have </w:t>
      </w:r>
      <w:r w:rsidR="008C3B2C" w:rsidRPr="005B7CAC">
        <w:rPr>
          <w:rFonts w:ascii="Times New Roman" w:hAnsi="Times New Roman"/>
          <w:iCs/>
          <w:sz w:val="24"/>
          <w:szCs w:val="20"/>
          <w:lang w:val="en-US"/>
        </w:rPr>
        <w:t>assessed</w:t>
      </w:r>
      <w:r w:rsidR="00873FEE" w:rsidRPr="005B7CAC">
        <w:rPr>
          <w:rFonts w:ascii="Times New Roman" w:hAnsi="Times New Roman"/>
          <w:iCs/>
          <w:sz w:val="24"/>
          <w:szCs w:val="20"/>
          <w:lang w:val="en-US"/>
        </w:rPr>
        <w:t xml:space="preserve"> the broader aspects of CSR and environmental performance</w:t>
      </w:r>
      <w:r w:rsidR="0051019E">
        <w:rPr>
          <w:rFonts w:ascii="Times New Roman" w:hAnsi="Times New Roman"/>
          <w:iCs/>
          <w:sz w:val="24"/>
          <w:szCs w:val="20"/>
          <w:lang w:val="en-US"/>
        </w:rPr>
        <w:t xml:space="preserve"> </w:t>
      </w:r>
      <w:r w:rsidR="00A02F3B" w:rsidRPr="005B7CAC">
        <w:rPr>
          <w:rFonts w:ascii="Times New Roman" w:hAnsi="Times New Roman"/>
          <w:iCs/>
          <w:sz w:val="24"/>
          <w:szCs w:val="20"/>
          <w:lang w:val="en-US"/>
        </w:rPr>
        <w:t xml:space="preserve">without assessing the possible effects of </w:t>
      </w:r>
      <w:r w:rsidR="008C3B2C" w:rsidRPr="005B7CAC">
        <w:rPr>
          <w:rFonts w:ascii="Times New Roman" w:hAnsi="Times New Roman"/>
          <w:iCs/>
          <w:sz w:val="24"/>
          <w:szCs w:val="20"/>
          <w:lang w:val="en-US"/>
        </w:rPr>
        <w:t xml:space="preserve">specific WM performance indicators, such as </w:t>
      </w:r>
      <w:r w:rsidR="00A02F3B" w:rsidRPr="005B7CAC">
        <w:rPr>
          <w:rFonts w:ascii="Times New Roman" w:hAnsi="Times New Roman"/>
          <w:iCs/>
          <w:sz w:val="24"/>
          <w:szCs w:val="20"/>
          <w:lang w:val="en-US"/>
        </w:rPr>
        <w:t xml:space="preserve">waste generation </w:t>
      </w:r>
      <w:r w:rsidR="008C3B2C" w:rsidRPr="005B7CAC">
        <w:rPr>
          <w:rFonts w:ascii="Times New Roman" w:hAnsi="Times New Roman"/>
          <w:iCs/>
          <w:sz w:val="24"/>
          <w:szCs w:val="20"/>
          <w:lang w:val="en-US"/>
        </w:rPr>
        <w:t>and recycling</w:t>
      </w:r>
      <w:r w:rsidR="00E80C8A" w:rsidRPr="005B7CAC">
        <w:rPr>
          <w:rFonts w:ascii="Times New Roman" w:hAnsi="Times New Roman"/>
          <w:iCs/>
          <w:sz w:val="24"/>
          <w:szCs w:val="20"/>
          <w:lang w:val="en-US"/>
        </w:rPr>
        <w:t>,</w:t>
      </w:r>
      <w:r w:rsidR="008C3B2C" w:rsidRPr="005B7CAC">
        <w:rPr>
          <w:rFonts w:ascii="Times New Roman" w:hAnsi="Times New Roman"/>
          <w:iCs/>
          <w:sz w:val="24"/>
          <w:szCs w:val="20"/>
          <w:lang w:val="en-US"/>
        </w:rPr>
        <w:t xml:space="preserve"> </w:t>
      </w:r>
      <w:r w:rsidR="00A02F3B" w:rsidRPr="005B7CAC">
        <w:rPr>
          <w:rFonts w:ascii="Times New Roman" w:hAnsi="Times New Roman"/>
          <w:iCs/>
          <w:sz w:val="24"/>
          <w:szCs w:val="20"/>
          <w:lang w:val="en-US"/>
        </w:rPr>
        <w:t xml:space="preserve">on </w:t>
      </w:r>
      <w:r w:rsidR="008C3B2C" w:rsidRPr="005B7CAC">
        <w:rPr>
          <w:rFonts w:ascii="Times New Roman" w:hAnsi="Times New Roman"/>
          <w:i/>
          <w:sz w:val="24"/>
          <w:szCs w:val="20"/>
          <w:lang w:val="en-US"/>
        </w:rPr>
        <w:t>FD</w:t>
      </w:r>
      <w:r w:rsidR="00873FEE" w:rsidRPr="005B7CAC">
        <w:rPr>
          <w:rFonts w:ascii="Times New Roman" w:hAnsi="Times New Roman"/>
          <w:iCs/>
          <w:sz w:val="24"/>
          <w:szCs w:val="20"/>
          <w:lang w:val="en-US"/>
        </w:rPr>
        <w:t>.</w:t>
      </w:r>
      <w:r w:rsidR="000E2425" w:rsidRPr="005B7CAC">
        <w:rPr>
          <w:rFonts w:ascii="Times New Roman" w:hAnsi="Times New Roman"/>
          <w:iCs/>
          <w:sz w:val="24"/>
          <w:szCs w:val="20"/>
          <w:lang w:val="en-US"/>
        </w:rPr>
        <w:t xml:space="preserve"> </w:t>
      </w:r>
      <w:r w:rsidR="0057141C" w:rsidRPr="005B7CAC">
        <w:rPr>
          <w:rFonts w:ascii="Times New Roman" w:hAnsi="Times New Roman"/>
          <w:iCs/>
          <w:sz w:val="24"/>
          <w:szCs w:val="20"/>
          <w:lang w:val="en-US"/>
        </w:rPr>
        <w:t xml:space="preserve">As for </w:t>
      </w:r>
      <w:r w:rsidR="0057141C" w:rsidRPr="005B7CAC">
        <w:rPr>
          <w:rFonts w:ascii="Times New Roman" w:hAnsi="Times New Roman"/>
          <w:i/>
          <w:sz w:val="24"/>
          <w:szCs w:val="20"/>
          <w:lang w:val="en-US"/>
        </w:rPr>
        <w:t xml:space="preserve">WM, </w:t>
      </w:r>
      <w:r w:rsidR="00E74978" w:rsidRPr="005B7CAC">
        <w:rPr>
          <w:rFonts w:ascii="Times New Roman" w:hAnsi="Times New Roman"/>
          <w:iCs/>
          <w:sz w:val="24"/>
          <w:szCs w:val="20"/>
          <w:lang w:val="en-US"/>
        </w:rPr>
        <w:fldChar w:fldCharType="begin" w:fldLock="1"/>
      </w:r>
      <w:r w:rsidR="0050174D" w:rsidRPr="005B7CAC">
        <w:rPr>
          <w:rFonts w:ascii="Times New Roman" w:hAnsi="Times New Roman"/>
          <w:iCs/>
          <w:sz w:val="24"/>
          <w:szCs w:val="20"/>
          <w:lang w:val="en-US"/>
        </w:rPr>
        <w:instrText>ADDIN CSL_CITATION {"citationItems":[{"id":"ITEM-1","itemData":{"DOI":"10.1016/J.ECONMOD.2022.105932","ISSN":"0264-9993","abstract":"This study examines an important yet underexplored aspect of firms’ sustainability practices, i.e., waste management, in order to analyze its impact on financial performance. Although the extant literature has focused on various aspects of sustainability, the impact of waste management, which has disastrous consequences for the climate and firm performance, remains largely unexplored. Thus, using the 2002–2019 data of listed firms from 41 countries, we found a significantly negative (positive) relationship between waste generation (recycling) and financial performance. Our findings are robust to alternative variables, sub-sample analysis, and identification strategies. Moreover, a channel analysis showed that this relationship is influenced by operating costs, ESG performance-based compensation, industry nature, the Paris agreement on climate change, and the global financial crisis. Overall, the findings suggest that environmental initiatives are beneficial for firms and present important policy implications for regulators and firms.","author":[{"dropping-particle":"","family":"Gull","given":"Ammar Ali","non-dropping-particle":"","parse-names":false,"suffix":""},{"dropping-particle":"","family":"Atif","given":"Muhammad","non-dropping-particle":"","parse-names":false,"suffix":""},{"dropping-particle":"","family":"Ahsan","given":"Tanveer","non-dropping-particle":"","parse-names":false,"suffix":""},{"dropping-particle":"","family":"Derouiche","given":"Imen","non-dropping-particle":"","parse-names":false,"suffix":""}],"container-title":"Economic Modelling","id":"ITEM-1","issued":{"date-parts":[["2022","9","1"]]},"page":"105932","title":"Does waste management affect firm performance? International evidence","type":"article-journal","volume":"114"},"uris":["http://www.mendeley.com/documents/?uuid=0ecbc08a-9434-37fc-b2bd-379559bf0932"]}],"mendeley":{"formattedCitation":"(Gull, Atif, Ahsan, &lt;i&gt;et al.&lt;/i&gt;, 2022)","plainTextFormattedCitation":"(Gull, Atif, Ahsan, et al., 2022)","previouslyFormattedCitation":"(Gull, Atif, Ahsan, &lt;i&gt;et al.&lt;/i&gt;, 2022)"},"properties":{"noteIndex":0},"schema":"https://github.com/citation-style-language/schema/raw/master/csl-citation.json"}</w:instrText>
      </w:r>
      <w:r w:rsidR="00E74978" w:rsidRPr="005B7CAC">
        <w:rPr>
          <w:rFonts w:ascii="Times New Roman" w:hAnsi="Times New Roman"/>
          <w:iCs/>
          <w:sz w:val="24"/>
          <w:szCs w:val="20"/>
          <w:lang w:val="en-US"/>
        </w:rPr>
        <w:fldChar w:fldCharType="separate"/>
      </w:r>
      <w:r w:rsidR="00E74978" w:rsidRPr="005B7CAC">
        <w:rPr>
          <w:rFonts w:ascii="Times New Roman" w:hAnsi="Times New Roman"/>
          <w:iCs/>
          <w:noProof/>
          <w:sz w:val="24"/>
          <w:szCs w:val="20"/>
          <w:lang w:val="en-US"/>
        </w:rPr>
        <w:t>Gull</w:t>
      </w:r>
      <w:r w:rsidR="00DE0D0B" w:rsidRPr="005B7CAC">
        <w:rPr>
          <w:rFonts w:ascii="Times New Roman" w:hAnsi="Times New Roman"/>
          <w:iCs/>
          <w:noProof/>
          <w:sz w:val="24"/>
          <w:szCs w:val="20"/>
          <w:lang w:val="en-US"/>
        </w:rPr>
        <w:t xml:space="preserve"> </w:t>
      </w:r>
      <w:r w:rsidR="00E74978" w:rsidRPr="005B7CAC">
        <w:rPr>
          <w:rFonts w:ascii="Times New Roman" w:hAnsi="Times New Roman"/>
          <w:i/>
          <w:iCs/>
          <w:noProof/>
          <w:sz w:val="24"/>
          <w:szCs w:val="20"/>
          <w:lang w:val="en-US"/>
        </w:rPr>
        <w:t>et al.</w:t>
      </w:r>
      <w:r w:rsidR="00DE0D0B" w:rsidRPr="005B7CAC">
        <w:rPr>
          <w:rFonts w:ascii="Times New Roman" w:hAnsi="Times New Roman"/>
          <w:iCs/>
          <w:noProof/>
          <w:sz w:val="24"/>
          <w:szCs w:val="20"/>
          <w:lang w:val="en-US"/>
        </w:rPr>
        <w:t xml:space="preserve"> (</w:t>
      </w:r>
      <w:r w:rsidR="00E74978" w:rsidRPr="005B7CAC">
        <w:rPr>
          <w:rFonts w:ascii="Times New Roman" w:hAnsi="Times New Roman"/>
          <w:iCs/>
          <w:noProof/>
          <w:sz w:val="24"/>
          <w:szCs w:val="20"/>
          <w:lang w:val="en-US"/>
        </w:rPr>
        <w:t>2022</w:t>
      </w:r>
      <w:r w:rsidR="00DE0D0B" w:rsidRPr="005B7CAC">
        <w:rPr>
          <w:rFonts w:ascii="Times New Roman" w:hAnsi="Times New Roman"/>
          <w:iCs/>
          <w:noProof/>
          <w:sz w:val="24"/>
          <w:szCs w:val="20"/>
          <w:lang w:val="en-US"/>
        </w:rPr>
        <w:t>a</w:t>
      </w:r>
      <w:r w:rsidR="00E74978" w:rsidRPr="005B7CAC">
        <w:rPr>
          <w:rFonts w:ascii="Times New Roman" w:hAnsi="Times New Roman"/>
          <w:iCs/>
          <w:noProof/>
          <w:sz w:val="24"/>
          <w:szCs w:val="20"/>
          <w:lang w:val="en-US"/>
        </w:rPr>
        <w:t>)</w:t>
      </w:r>
      <w:r w:rsidR="00E74978" w:rsidRPr="005B7CAC">
        <w:rPr>
          <w:rFonts w:ascii="Times New Roman" w:hAnsi="Times New Roman"/>
          <w:iCs/>
          <w:sz w:val="24"/>
          <w:szCs w:val="20"/>
          <w:lang w:val="en-US"/>
        </w:rPr>
        <w:fldChar w:fldCharType="end"/>
      </w:r>
      <w:r w:rsidR="00E74978" w:rsidRPr="005B7CAC">
        <w:rPr>
          <w:rFonts w:ascii="Times New Roman" w:hAnsi="Times New Roman"/>
          <w:iCs/>
          <w:sz w:val="24"/>
          <w:szCs w:val="20"/>
          <w:lang w:val="en-US"/>
        </w:rPr>
        <w:t xml:space="preserve"> </w:t>
      </w:r>
      <w:r w:rsidR="0057141C" w:rsidRPr="005B7CAC">
        <w:rPr>
          <w:rFonts w:ascii="Times New Roman" w:hAnsi="Times New Roman"/>
          <w:iCs/>
          <w:sz w:val="24"/>
          <w:szCs w:val="20"/>
          <w:lang w:val="en-US"/>
        </w:rPr>
        <w:t xml:space="preserve">report that reduced waste production and improved waste recycling have a positive impact on firm performance. </w:t>
      </w:r>
      <w:r w:rsidR="00904E52" w:rsidRPr="005B7CAC">
        <w:rPr>
          <w:rFonts w:ascii="Times New Roman" w:hAnsi="Times New Roman"/>
          <w:iCs/>
          <w:sz w:val="24"/>
          <w:szCs w:val="20"/>
          <w:lang w:val="en-US"/>
        </w:rPr>
        <w:t xml:space="preserve">Other studies have also </w:t>
      </w:r>
      <w:r w:rsidR="004279FE" w:rsidRPr="005B7CAC">
        <w:rPr>
          <w:rFonts w:ascii="Times New Roman" w:hAnsi="Times New Roman"/>
          <w:iCs/>
          <w:sz w:val="24"/>
          <w:szCs w:val="20"/>
          <w:lang w:val="en-US"/>
        </w:rPr>
        <w:t xml:space="preserve">demonstrated </w:t>
      </w:r>
      <w:r w:rsidR="00904E52" w:rsidRPr="005B7CAC">
        <w:rPr>
          <w:rFonts w:ascii="Times New Roman" w:hAnsi="Times New Roman"/>
          <w:iCs/>
          <w:sz w:val="24"/>
          <w:szCs w:val="20"/>
          <w:lang w:val="en-US"/>
        </w:rPr>
        <w:t xml:space="preserve">that sustainable </w:t>
      </w:r>
      <w:r w:rsidR="00904E52" w:rsidRPr="005B7CAC">
        <w:rPr>
          <w:rFonts w:ascii="Times New Roman" w:hAnsi="Times New Roman"/>
          <w:i/>
          <w:sz w:val="24"/>
          <w:szCs w:val="20"/>
          <w:lang w:val="en-US"/>
        </w:rPr>
        <w:t>WM</w:t>
      </w:r>
      <w:r w:rsidR="00904E52" w:rsidRPr="005B7CAC">
        <w:rPr>
          <w:rFonts w:ascii="Times New Roman" w:hAnsi="Times New Roman"/>
          <w:iCs/>
          <w:sz w:val="24"/>
          <w:szCs w:val="20"/>
          <w:lang w:val="en-US"/>
        </w:rPr>
        <w:t xml:space="preserve"> practices improve </w:t>
      </w:r>
      <w:r w:rsidR="001D7E84" w:rsidRPr="005B7CAC">
        <w:rPr>
          <w:rFonts w:ascii="Times New Roman" w:hAnsi="Times New Roman"/>
          <w:iCs/>
          <w:sz w:val="24"/>
          <w:szCs w:val="20"/>
          <w:lang w:val="en-US"/>
        </w:rPr>
        <w:t xml:space="preserve">organizational </w:t>
      </w:r>
      <w:r w:rsidR="00904E52" w:rsidRPr="005B7CAC">
        <w:rPr>
          <w:rFonts w:ascii="Times New Roman" w:hAnsi="Times New Roman"/>
          <w:iCs/>
          <w:sz w:val="24"/>
          <w:szCs w:val="20"/>
          <w:lang w:val="en-US"/>
        </w:rPr>
        <w:t xml:space="preserve">performance </w:t>
      </w:r>
      <w:r w:rsidR="00904E52" w:rsidRPr="005B7CAC">
        <w:rPr>
          <w:rFonts w:ascii="Times New Roman" w:hAnsi="Times New Roman"/>
          <w:iCs/>
          <w:sz w:val="24"/>
          <w:szCs w:val="20"/>
          <w:lang w:val="en-US"/>
        </w:rPr>
        <w:fldChar w:fldCharType="begin" w:fldLock="1"/>
      </w:r>
      <w:r w:rsidR="00D127EF" w:rsidRPr="005B7CAC">
        <w:rPr>
          <w:rFonts w:ascii="Times New Roman" w:hAnsi="Times New Roman"/>
          <w:iCs/>
          <w:sz w:val="24"/>
          <w:szCs w:val="20"/>
          <w:lang w:val="en-US"/>
        </w:rPr>
        <w:instrText>ADDIN CSL_CITATION {"citationItems":[{"id":"ITEM-1","itemData":{"DOI":"10.3390/ijerph17145206","ISSN":"16604601","abstract":"This paper aimed to investigate the impact of water, waste, and energy consumption on firm performance for a sample of enterprises that belong to the S&amp;P 500 Information Technology sector over the period of 2009–2020. The quantitative framework covered both accounting (e.g., return on assets—ROA; return on common equity—ROE; return on capital—ROC; return on invested capital—ROIC) and market-based measures of performance (e.g., price-to-book value— PB), alongside firm and corporate governance specific variables. By estimating multivariate panel data regression models, the empirical results provided support for a negative impact of total water use on PB but a positive effect on ROA. With reference to the total waste, the econometric outcomes revealed a negative influence on the entire selected performance measures, whereas total energy consumption did not reveal any statistically significant influence.","author":[{"dropping-particle":"","family":"Simionescu","given":"Liliana Nicoleta","non-dropping-particle":"","parse-names":false,"suffix":""},{"dropping-particle":"","family":"Gherghina","given":"Ștefan Cristian","non-dropping-particle":"","parse-names":false,"suffix":""},{"dropping-particle":"","family":"Sheikha","given":"Ziad","non-dropping-particle":"","parse-names":false,"suffix":""},{"dropping-particle":"","family":"Tawil","given":"Hiba","non-dropping-particle":"","parse-names":false,"suffix":""}],"container-title":"International Journal of Environmental Research and Public Health","id":"ITEM-1","issue":"14","issued":{"date-parts":[["2020"]]},"page":"5206","title":"Does water, waste, and energy consumption influence firm performance? Panel data evidence from S &amp;P 500 information technology sector","type":"article-journal","volume":"17"},"uris":["http://www.mendeley.com/documents/?uuid=416ffb51-17e1-3ace-8d61-e7b79bf0a232"]},{"id":"ITEM-2","itemData":{"DOI":"10.5267/j.uscm.2023.3.011","ISSN":"22916830","abstract":"The company seeks the role of internal function and external partnership to eliminate or reduce the waste generated and its impact on the environment. Internally, Top management needs to commit and actively increase the participation of employees in implementing total quality management and production waste management to enhance business performance. This study surveyed the companies engaged in the industry sector producing finished products while generating waste in the production process. Data collection is carried out using online questionnaires through Google Forms with data analysis using PLS software. One hundred and thirty-six (136) manufacturing companies located in East Java, Indonesia. The results of the data analysis indicated that top management commitment significantly influences firm performance, employee empowerment, and total quality management. Employee empowerment impacts total quality management and production waste management. Total quality management positively influences production waste management and firm performance. In addition, production waste management significantly impacts the firm performance. In addition, top management commitment indirectly affects firm performance through the mediating role of total quality management. However, the mediating effect of production waste management is insignificant in translating top management commitments to firm performance. The result provides a theoretical contribution to developing green supply chain practices and sustainability. Furthermore, the practical contribution provides insight for top management companies that production waste management can improve performance with high management commitment and employee empowerment.","author":[{"dropping-particle":"","family":"Wijaya","given":"Shania Vanessa","non-dropping-particle":"","parse-names":false,"suffix":""},{"dropping-particle":"","family":"Tarigan","given":"Zeplin Jiwa Husada","non-dropping-particle":"","parse-names":false,"suffix":""},{"dropping-particle":"","family":"Siagian","given":"Hotlan","non-dropping-particle":"","parse-names":false,"suffix":""}],"container-title":"Uncertain Supply Chain Management","id":"ITEM-2","issue":"3","issued":{"date-parts":[["2023"]]},"page":"1369–1382","title":"The role of top management commitment, employee empowerment and total quality management in production waste management and enhancing firm performance","type":"article-journal","volume":"11"},"uris":["http://www.mendeley.com/documents/?uuid=d1412f96-8a81-3b9e-9536-f96336e339e9"]}],"mendeley":{"formattedCitation":"(Simionescu &lt;i&gt;et al.&lt;/i&gt;, 2020; Wijaya &lt;i&gt;et al.&lt;/i&gt;, 2023)","plainTextFormattedCitation":"(Simionescu et al., 2020; Wijaya et al., 2023)","previouslyFormattedCitation":"(Simionescu &lt;i&gt;et al.&lt;/i&gt;, 2020; Wijaya &lt;i&gt;et al.&lt;/i&gt;, 2023)"},"properties":{"noteIndex":0},"schema":"https://github.com/citation-style-language/schema/raw/master/csl-citation.json"}</w:instrText>
      </w:r>
      <w:r w:rsidR="00904E52" w:rsidRPr="005B7CAC">
        <w:rPr>
          <w:rFonts w:ascii="Times New Roman" w:hAnsi="Times New Roman"/>
          <w:iCs/>
          <w:sz w:val="24"/>
          <w:szCs w:val="20"/>
          <w:lang w:val="en-US"/>
        </w:rPr>
        <w:fldChar w:fldCharType="separate"/>
      </w:r>
      <w:r w:rsidR="00904E52" w:rsidRPr="005B7CAC">
        <w:rPr>
          <w:rFonts w:ascii="Times New Roman" w:hAnsi="Times New Roman"/>
          <w:iCs/>
          <w:noProof/>
          <w:sz w:val="24"/>
          <w:szCs w:val="20"/>
          <w:lang w:val="en-US"/>
        </w:rPr>
        <w:t xml:space="preserve">(Simionescu </w:t>
      </w:r>
      <w:r w:rsidR="00904E52" w:rsidRPr="005B7CAC">
        <w:rPr>
          <w:rFonts w:ascii="Times New Roman" w:hAnsi="Times New Roman"/>
          <w:i/>
          <w:iCs/>
          <w:noProof/>
          <w:sz w:val="24"/>
          <w:szCs w:val="20"/>
          <w:lang w:val="en-US"/>
        </w:rPr>
        <w:t>et al.</w:t>
      </w:r>
      <w:r w:rsidR="00904E52" w:rsidRPr="005B7CAC">
        <w:rPr>
          <w:rFonts w:ascii="Times New Roman" w:hAnsi="Times New Roman"/>
          <w:iCs/>
          <w:noProof/>
          <w:sz w:val="24"/>
          <w:szCs w:val="20"/>
          <w:lang w:val="en-US"/>
        </w:rPr>
        <w:t xml:space="preserve">, 2020; Wijaya </w:t>
      </w:r>
      <w:r w:rsidR="00904E52" w:rsidRPr="005B7CAC">
        <w:rPr>
          <w:rFonts w:ascii="Times New Roman" w:hAnsi="Times New Roman"/>
          <w:i/>
          <w:iCs/>
          <w:noProof/>
          <w:sz w:val="24"/>
          <w:szCs w:val="20"/>
          <w:lang w:val="en-US"/>
        </w:rPr>
        <w:t>et al.</w:t>
      </w:r>
      <w:r w:rsidR="00904E52" w:rsidRPr="005B7CAC">
        <w:rPr>
          <w:rFonts w:ascii="Times New Roman" w:hAnsi="Times New Roman"/>
          <w:iCs/>
          <w:noProof/>
          <w:sz w:val="24"/>
          <w:szCs w:val="20"/>
          <w:lang w:val="en-US"/>
        </w:rPr>
        <w:t>, 2023)</w:t>
      </w:r>
      <w:r w:rsidR="00904E52" w:rsidRPr="005B7CAC">
        <w:rPr>
          <w:rFonts w:ascii="Times New Roman" w:hAnsi="Times New Roman"/>
          <w:iCs/>
          <w:sz w:val="24"/>
          <w:szCs w:val="20"/>
          <w:lang w:val="en-US"/>
        </w:rPr>
        <w:fldChar w:fldCharType="end"/>
      </w:r>
      <w:r w:rsidR="00904E52" w:rsidRPr="005B7CAC">
        <w:rPr>
          <w:rFonts w:ascii="Times New Roman" w:hAnsi="Times New Roman"/>
          <w:iCs/>
          <w:sz w:val="24"/>
          <w:szCs w:val="20"/>
          <w:lang w:val="en-US"/>
        </w:rPr>
        <w:t xml:space="preserve">. </w:t>
      </w:r>
      <w:r w:rsidR="0057141C" w:rsidRPr="005B7CAC">
        <w:rPr>
          <w:rFonts w:ascii="Times New Roman" w:hAnsi="Times New Roman"/>
          <w:iCs/>
          <w:sz w:val="24"/>
          <w:szCs w:val="20"/>
          <w:lang w:val="en-US"/>
        </w:rPr>
        <w:t xml:space="preserve">However, </w:t>
      </w:r>
      <w:r w:rsidR="00904E52" w:rsidRPr="005B7CAC">
        <w:rPr>
          <w:rFonts w:ascii="Times New Roman" w:hAnsi="Times New Roman"/>
          <w:iCs/>
          <w:sz w:val="24"/>
          <w:szCs w:val="20"/>
          <w:lang w:val="en-US"/>
        </w:rPr>
        <w:t xml:space="preserve">these studies have mainly focused </w:t>
      </w:r>
      <w:r w:rsidR="0057141C" w:rsidRPr="005B7CAC">
        <w:rPr>
          <w:rFonts w:ascii="Times New Roman" w:hAnsi="Times New Roman"/>
          <w:iCs/>
          <w:sz w:val="24"/>
          <w:szCs w:val="20"/>
          <w:lang w:val="en-US"/>
        </w:rPr>
        <w:t xml:space="preserve">on financial indicators, </w:t>
      </w:r>
      <w:r w:rsidR="00D16E8E" w:rsidRPr="005B7CAC">
        <w:rPr>
          <w:rFonts w:ascii="Times New Roman" w:hAnsi="Times New Roman"/>
          <w:iCs/>
          <w:sz w:val="24"/>
          <w:szCs w:val="20"/>
          <w:lang w:val="en-US"/>
        </w:rPr>
        <w:t xml:space="preserve">such as </w:t>
      </w:r>
      <w:r w:rsidR="0057141C" w:rsidRPr="005B7CAC">
        <w:rPr>
          <w:rFonts w:ascii="Times New Roman" w:hAnsi="Times New Roman"/>
          <w:iCs/>
          <w:sz w:val="24"/>
          <w:szCs w:val="20"/>
          <w:lang w:val="en-US"/>
        </w:rPr>
        <w:t xml:space="preserve">profitability and </w:t>
      </w:r>
      <w:r w:rsidR="00D16E8E" w:rsidRPr="005B7CAC">
        <w:rPr>
          <w:rFonts w:ascii="Times New Roman" w:hAnsi="Times New Roman"/>
          <w:iCs/>
          <w:sz w:val="24"/>
          <w:szCs w:val="20"/>
          <w:lang w:val="en-US"/>
        </w:rPr>
        <w:t xml:space="preserve">Tobin’s Q, without assessing </w:t>
      </w:r>
      <w:r w:rsidR="00D16E8E" w:rsidRPr="005B7CAC">
        <w:rPr>
          <w:rFonts w:ascii="Times New Roman" w:hAnsi="Times New Roman"/>
          <w:i/>
          <w:sz w:val="24"/>
          <w:szCs w:val="20"/>
          <w:lang w:val="en-US"/>
        </w:rPr>
        <w:t>FD</w:t>
      </w:r>
      <w:r w:rsidR="00D16E8E" w:rsidRPr="005B7CAC">
        <w:rPr>
          <w:rFonts w:ascii="Times New Roman" w:hAnsi="Times New Roman"/>
          <w:iCs/>
          <w:sz w:val="24"/>
          <w:szCs w:val="20"/>
          <w:lang w:val="en-US"/>
        </w:rPr>
        <w:t xml:space="preserve"> risks. </w:t>
      </w:r>
      <w:r w:rsidR="00782CBA" w:rsidRPr="005B7CAC">
        <w:rPr>
          <w:rFonts w:ascii="Times New Roman" w:hAnsi="Times New Roman"/>
          <w:iCs/>
          <w:sz w:val="24"/>
          <w:szCs w:val="20"/>
          <w:lang w:val="en-US"/>
        </w:rPr>
        <w:t xml:space="preserve">Therefore, </w:t>
      </w:r>
      <w:r w:rsidR="002C0944" w:rsidRPr="005B7CAC">
        <w:rPr>
          <w:rFonts w:ascii="Times New Roman" w:hAnsi="Times New Roman"/>
          <w:iCs/>
          <w:sz w:val="24"/>
          <w:szCs w:val="20"/>
          <w:lang w:val="en-US"/>
        </w:rPr>
        <w:t xml:space="preserve">we seek to extend the literature by exploring </w:t>
      </w:r>
      <w:r w:rsidR="002C0944" w:rsidRPr="005B7CAC">
        <w:rPr>
          <w:rFonts w:ascii="Times New Roman" w:hAnsi="Times New Roman"/>
          <w:sz w:val="24"/>
          <w:szCs w:val="20"/>
          <w:lang w:val="en-US"/>
        </w:rPr>
        <w:t xml:space="preserve">the </w:t>
      </w:r>
      <w:r w:rsidR="002C0944" w:rsidRPr="005B7CAC">
        <w:rPr>
          <w:rFonts w:ascii="Times New Roman" w:hAnsi="Times New Roman"/>
          <w:i/>
          <w:sz w:val="24"/>
          <w:szCs w:val="20"/>
          <w:lang w:val="en-US"/>
        </w:rPr>
        <w:t>WM</w:t>
      </w:r>
      <w:r w:rsidR="002C0944" w:rsidRPr="005B7CAC">
        <w:rPr>
          <w:rFonts w:ascii="Calibri" w:hAnsi="Calibri" w:cs="Calibri"/>
          <w:bCs/>
          <w:sz w:val="24"/>
          <w:szCs w:val="24"/>
          <w:lang w:val="en-US"/>
        </w:rPr>
        <w:t>—</w:t>
      </w:r>
      <w:r w:rsidR="002C0944" w:rsidRPr="005B7CAC">
        <w:rPr>
          <w:rFonts w:ascii="Times New Roman" w:hAnsi="Times New Roman"/>
          <w:i/>
          <w:sz w:val="24"/>
          <w:szCs w:val="20"/>
          <w:lang w:val="en-US"/>
        </w:rPr>
        <w:t>FD</w:t>
      </w:r>
      <w:r w:rsidR="002C0944" w:rsidRPr="005B7CAC">
        <w:rPr>
          <w:rFonts w:ascii="Times New Roman" w:hAnsi="Times New Roman"/>
          <w:sz w:val="24"/>
          <w:szCs w:val="20"/>
          <w:lang w:val="en-US"/>
        </w:rPr>
        <w:t xml:space="preserve"> nexus</w:t>
      </w:r>
      <w:r w:rsidR="003C5CE0" w:rsidRPr="005B7CAC">
        <w:rPr>
          <w:rFonts w:ascii="Times New Roman" w:hAnsi="Times New Roman"/>
          <w:sz w:val="24"/>
          <w:szCs w:val="20"/>
          <w:lang w:val="en-US"/>
        </w:rPr>
        <w:t>. B</w:t>
      </w:r>
      <w:r w:rsidR="002C0944" w:rsidRPr="005B7CAC">
        <w:rPr>
          <w:rFonts w:ascii="Times New Roman" w:hAnsi="Times New Roman"/>
          <w:sz w:val="24"/>
          <w:szCs w:val="20"/>
          <w:lang w:val="en-US"/>
        </w:rPr>
        <w:t xml:space="preserve">ased on </w:t>
      </w:r>
      <w:r w:rsidR="007E5769" w:rsidRPr="005B7CAC">
        <w:rPr>
          <w:rFonts w:ascii="Times New Roman" w:hAnsi="Times New Roman"/>
          <w:iCs/>
          <w:sz w:val="24"/>
          <w:szCs w:val="20"/>
          <w:lang w:val="en-US"/>
        </w:rPr>
        <w:t>stakeholder view</w:t>
      </w:r>
      <w:r w:rsidR="00187DF8" w:rsidRPr="005B7CAC">
        <w:rPr>
          <w:rFonts w:ascii="Times New Roman" w:hAnsi="Times New Roman"/>
          <w:iCs/>
          <w:sz w:val="24"/>
          <w:szCs w:val="20"/>
          <w:lang w:val="en-US"/>
        </w:rPr>
        <w:t>s</w:t>
      </w:r>
      <w:r w:rsidR="007E5769" w:rsidRPr="005B7CAC">
        <w:rPr>
          <w:rFonts w:ascii="Times New Roman" w:hAnsi="Times New Roman"/>
          <w:iCs/>
          <w:sz w:val="24"/>
          <w:szCs w:val="20"/>
          <w:lang w:val="en-US"/>
        </w:rPr>
        <w:t xml:space="preserve"> and the above </w:t>
      </w:r>
      <w:r w:rsidR="002C0944" w:rsidRPr="005B7CAC">
        <w:rPr>
          <w:rFonts w:ascii="Times New Roman" w:hAnsi="Times New Roman"/>
          <w:iCs/>
          <w:sz w:val="24"/>
          <w:szCs w:val="20"/>
          <w:lang w:val="en-US"/>
        </w:rPr>
        <w:t>discussion</w:t>
      </w:r>
      <w:r w:rsidR="00EF68DF" w:rsidRPr="005B7CAC">
        <w:rPr>
          <w:rFonts w:ascii="Times New Roman" w:hAnsi="Times New Roman"/>
          <w:iCs/>
          <w:sz w:val="24"/>
          <w:szCs w:val="20"/>
          <w:lang w:val="en-US"/>
        </w:rPr>
        <w:t xml:space="preserve">, </w:t>
      </w:r>
      <w:r w:rsidR="00A02F3B" w:rsidRPr="005B7CAC">
        <w:rPr>
          <w:rFonts w:ascii="Times New Roman" w:hAnsi="Times New Roman"/>
          <w:iCs/>
          <w:sz w:val="24"/>
          <w:szCs w:val="20"/>
          <w:lang w:val="en-US"/>
        </w:rPr>
        <w:t xml:space="preserve">we </w:t>
      </w:r>
      <w:r w:rsidR="00B843AA" w:rsidRPr="005B7CAC">
        <w:rPr>
          <w:rFonts w:ascii="Times New Roman" w:hAnsi="Times New Roman"/>
          <w:iCs/>
          <w:sz w:val="24"/>
          <w:szCs w:val="20"/>
          <w:lang w:val="en-US"/>
        </w:rPr>
        <w:t>expect</w:t>
      </w:r>
      <w:r w:rsidR="00A02F3B" w:rsidRPr="005B7CAC">
        <w:rPr>
          <w:rFonts w:ascii="Times New Roman" w:hAnsi="Times New Roman"/>
          <w:iCs/>
          <w:sz w:val="24"/>
          <w:szCs w:val="20"/>
          <w:lang w:val="en-US"/>
        </w:rPr>
        <w:t xml:space="preserve"> </w:t>
      </w:r>
      <w:r w:rsidR="00187DF8" w:rsidRPr="005B7CAC">
        <w:rPr>
          <w:rFonts w:ascii="Times New Roman" w:hAnsi="Times New Roman"/>
          <w:iCs/>
          <w:sz w:val="24"/>
          <w:szCs w:val="20"/>
          <w:lang w:val="en-US"/>
        </w:rPr>
        <w:t xml:space="preserve">that </w:t>
      </w:r>
      <w:r w:rsidR="00EF68DF" w:rsidRPr="005B7CAC">
        <w:rPr>
          <w:rFonts w:ascii="Times New Roman" w:hAnsi="Times New Roman"/>
          <w:iCs/>
          <w:sz w:val="24"/>
          <w:szCs w:val="20"/>
          <w:lang w:val="en-US"/>
        </w:rPr>
        <w:t xml:space="preserve">firms with better </w:t>
      </w:r>
      <w:r w:rsidR="00EF68DF" w:rsidRPr="005B7CAC">
        <w:rPr>
          <w:rFonts w:ascii="Times New Roman" w:hAnsi="Times New Roman"/>
          <w:i/>
          <w:sz w:val="24"/>
          <w:szCs w:val="20"/>
          <w:lang w:val="en-US"/>
        </w:rPr>
        <w:t>WM</w:t>
      </w:r>
      <w:r w:rsidR="00EF68DF" w:rsidRPr="005B7CAC">
        <w:rPr>
          <w:rFonts w:ascii="Times New Roman" w:hAnsi="Times New Roman"/>
          <w:iCs/>
          <w:sz w:val="24"/>
          <w:szCs w:val="20"/>
          <w:lang w:val="en-US"/>
        </w:rPr>
        <w:t xml:space="preserve"> practices</w:t>
      </w:r>
      <w:r w:rsidR="00187DF8" w:rsidRPr="005B7CAC">
        <w:rPr>
          <w:rFonts w:ascii="Times New Roman" w:hAnsi="Times New Roman"/>
          <w:iCs/>
          <w:sz w:val="24"/>
          <w:szCs w:val="20"/>
          <w:lang w:val="en-US"/>
        </w:rPr>
        <w:t xml:space="preserve"> </w:t>
      </w:r>
      <w:r w:rsidR="00EF68DF" w:rsidRPr="005B7CAC">
        <w:rPr>
          <w:rFonts w:ascii="Times New Roman" w:hAnsi="Times New Roman"/>
          <w:iCs/>
          <w:sz w:val="24"/>
          <w:szCs w:val="20"/>
          <w:lang w:val="en-US"/>
        </w:rPr>
        <w:t xml:space="preserve">have lower </w:t>
      </w:r>
      <w:r w:rsidR="00EF68DF" w:rsidRPr="005B7CAC">
        <w:rPr>
          <w:rFonts w:ascii="Times New Roman" w:hAnsi="Times New Roman"/>
          <w:i/>
          <w:sz w:val="24"/>
          <w:szCs w:val="20"/>
          <w:lang w:val="en-US"/>
        </w:rPr>
        <w:t>FD</w:t>
      </w:r>
      <w:r w:rsidR="00EF68DF" w:rsidRPr="005B7CAC">
        <w:rPr>
          <w:rFonts w:ascii="Times New Roman" w:hAnsi="Times New Roman"/>
          <w:iCs/>
          <w:sz w:val="24"/>
          <w:szCs w:val="20"/>
          <w:lang w:val="en-US"/>
        </w:rPr>
        <w:t xml:space="preserve"> levels</w:t>
      </w:r>
      <w:r w:rsidR="002C0944" w:rsidRPr="005B7CAC">
        <w:rPr>
          <w:rFonts w:ascii="Times New Roman" w:hAnsi="Times New Roman"/>
          <w:iCs/>
          <w:sz w:val="24"/>
          <w:szCs w:val="20"/>
          <w:lang w:val="en-US"/>
        </w:rPr>
        <w:t xml:space="preserve"> in a heavily regulated environmental context, such as the UK. </w:t>
      </w:r>
      <w:r w:rsidR="00EC0117" w:rsidRPr="005B7CAC">
        <w:rPr>
          <w:rFonts w:ascii="Times New Roman" w:hAnsi="Times New Roman"/>
          <w:iCs/>
          <w:sz w:val="24"/>
          <w:szCs w:val="20"/>
          <w:lang w:val="en-US"/>
        </w:rPr>
        <w:t>Hence</w:t>
      </w:r>
      <w:r w:rsidR="00EF68DF" w:rsidRPr="005B7CAC">
        <w:rPr>
          <w:rFonts w:ascii="Times New Roman" w:hAnsi="Times New Roman"/>
          <w:iCs/>
          <w:sz w:val="24"/>
          <w:szCs w:val="20"/>
          <w:lang w:val="en-US"/>
        </w:rPr>
        <w:t>, the following</w:t>
      </w:r>
      <w:r w:rsidR="00E80C8A" w:rsidRPr="005B7CAC">
        <w:rPr>
          <w:rFonts w:ascii="Times New Roman" w:hAnsi="Times New Roman"/>
          <w:iCs/>
          <w:sz w:val="24"/>
          <w:szCs w:val="20"/>
          <w:lang w:val="en-US"/>
        </w:rPr>
        <w:t xml:space="preserve"> </w:t>
      </w:r>
      <w:r w:rsidR="00EF68DF" w:rsidRPr="005B7CAC">
        <w:rPr>
          <w:rFonts w:ascii="Times New Roman" w:hAnsi="Times New Roman"/>
          <w:iCs/>
          <w:sz w:val="24"/>
          <w:szCs w:val="20"/>
          <w:lang w:val="en-US"/>
        </w:rPr>
        <w:t xml:space="preserve">hypotheses are stated:  </w:t>
      </w:r>
    </w:p>
    <w:p w14:paraId="05A37E17" w14:textId="30B59421" w:rsidR="001E2CA1" w:rsidRPr="005B7CAC" w:rsidRDefault="001E2CA1" w:rsidP="003D5418">
      <w:pPr>
        <w:widowControl w:val="0"/>
        <w:autoSpaceDE w:val="0"/>
        <w:autoSpaceDN w:val="0"/>
        <w:adjustRightInd w:val="0"/>
        <w:spacing w:after="240" w:line="360" w:lineRule="auto"/>
        <w:rPr>
          <w:rFonts w:ascii="Times New Roman" w:hAnsi="Times New Roman"/>
          <w:iCs/>
          <w:sz w:val="24"/>
          <w:szCs w:val="20"/>
          <w:lang w:val="en-US"/>
        </w:rPr>
      </w:pPr>
      <w:r w:rsidRPr="005B7CAC">
        <w:rPr>
          <w:rFonts w:ascii="Times New Roman" w:hAnsi="Times New Roman"/>
          <w:i/>
          <w:iCs/>
          <w:sz w:val="24"/>
          <w:szCs w:val="20"/>
          <w:lang w:val="en-US"/>
        </w:rPr>
        <w:t>H1a</w:t>
      </w:r>
      <w:r w:rsidR="00817227" w:rsidRPr="005B7CAC">
        <w:rPr>
          <w:rFonts w:ascii="Times New Roman" w:hAnsi="Times New Roman"/>
          <w:iCs/>
          <w:sz w:val="24"/>
          <w:szCs w:val="20"/>
          <w:lang w:val="en-US"/>
        </w:rPr>
        <w:t>: Waste generation increases financial distress</w:t>
      </w:r>
      <w:r w:rsidR="000F6471" w:rsidRPr="005B7CAC">
        <w:rPr>
          <w:rFonts w:ascii="Times New Roman" w:hAnsi="Times New Roman"/>
          <w:iCs/>
          <w:sz w:val="24"/>
          <w:szCs w:val="20"/>
          <w:lang w:val="en-US"/>
        </w:rPr>
        <w:t>.</w:t>
      </w:r>
      <w:r w:rsidR="00817227" w:rsidRPr="005B7CAC">
        <w:rPr>
          <w:rFonts w:ascii="Times New Roman" w:hAnsi="Times New Roman"/>
          <w:iCs/>
          <w:sz w:val="24"/>
          <w:szCs w:val="20"/>
          <w:lang w:val="en-US"/>
        </w:rPr>
        <w:t xml:space="preserve"> </w:t>
      </w:r>
    </w:p>
    <w:p w14:paraId="6C28E5FC" w14:textId="00582664" w:rsidR="001E2CA1" w:rsidRPr="005B7CAC" w:rsidRDefault="001E2CA1" w:rsidP="003D5418">
      <w:pPr>
        <w:widowControl w:val="0"/>
        <w:autoSpaceDE w:val="0"/>
        <w:autoSpaceDN w:val="0"/>
        <w:adjustRightInd w:val="0"/>
        <w:spacing w:after="240" w:line="360" w:lineRule="auto"/>
        <w:rPr>
          <w:rFonts w:ascii="Times New Roman" w:hAnsi="Times New Roman"/>
          <w:iCs/>
          <w:sz w:val="24"/>
          <w:szCs w:val="20"/>
          <w:lang w:val="en-US"/>
        </w:rPr>
      </w:pPr>
      <w:r w:rsidRPr="005B7CAC">
        <w:rPr>
          <w:rFonts w:ascii="Times New Roman" w:hAnsi="Times New Roman"/>
          <w:i/>
          <w:iCs/>
          <w:sz w:val="24"/>
          <w:szCs w:val="20"/>
          <w:lang w:val="en-US"/>
        </w:rPr>
        <w:t>H1b</w:t>
      </w:r>
      <w:r w:rsidR="00817227" w:rsidRPr="005B7CAC">
        <w:rPr>
          <w:rFonts w:ascii="Times New Roman" w:hAnsi="Times New Roman"/>
          <w:iCs/>
          <w:sz w:val="24"/>
          <w:szCs w:val="20"/>
          <w:lang w:val="en-US"/>
        </w:rPr>
        <w:t>: Waste recycling reduces finance distress</w:t>
      </w:r>
      <w:r w:rsidR="000F6471" w:rsidRPr="005B7CAC">
        <w:rPr>
          <w:rFonts w:ascii="Times New Roman" w:hAnsi="Times New Roman"/>
          <w:iCs/>
          <w:sz w:val="24"/>
          <w:szCs w:val="20"/>
          <w:lang w:val="en-US"/>
        </w:rPr>
        <w:t>.</w:t>
      </w:r>
    </w:p>
    <w:p w14:paraId="66ECF274" w14:textId="77777777" w:rsidR="0021467A" w:rsidRPr="005B7CAC" w:rsidRDefault="0021467A" w:rsidP="003D5418">
      <w:pPr>
        <w:widowControl w:val="0"/>
        <w:autoSpaceDE w:val="0"/>
        <w:autoSpaceDN w:val="0"/>
        <w:adjustRightInd w:val="0"/>
        <w:spacing w:after="240" w:line="360" w:lineRule="auto"/>
        <w:rPr>
          <w:rFonts w:ascii="Times New Roman" w:hAnsi="Times New Roman"/>
          <w:iCs/>
          <w:sz w:val="24"/>
          <w:szCs w:val="20"/>
          <w:lang w:val="en-US"/>
        </w:rPr>
      </w:pPr>
    </w:p>
    <w:p w14:paraId="7B88B4A3" w14:textId="54973412" w:rsidR="001E2CA1" w:rsidRPr="005B7CAC" w:rsidRDefault="000F6471" w:rsidP="003D5418">
      <w:pPr>
        <w:widowControl w:val="0"/>
        <w:autoSpaceDE w:val="0"/>
        <w:autoSpaceDN w:val="0"/>
        <w:adjustRightInd w:val="0"/>
        <w:spacing w:after="240" w:line="360" w:lineRule="auto"/>
        <w:rPr>
          <w:rFonts w:ascii="Times New Roman" w:hAnsi="Times New Roman"/>
          <w:i/>
          <w:sz w:val="24"/>
          <w:szCs w:val="20"/>
          <w:lang w:val="en-US"/>
        </w:rPr>
      </w:pPr>
      <w:r w:rsidRPr="005B7CAC">
        <w:rPr>
          <w:rFonts w:ascii="Times New Roman" w:hAnsi="Times New Roman"/>
          <w:i/>
          <w:sz w:val="24"/>
          <w:szCs w:val="20"/>
          <w:lang w:val="en-US"/>
        </w:rPr>
        <w:t xml:space="preserve">2.2.2 </w:t>
      </w:r>
      <w:r w:rsidR="001E2CA1" w:rsidRPr="005B7CAC">
        <w:rPr>
          <w:rFonts w:ascii="Times New Roman" w:hAnsi="Times New Roman"/>
          <w:i/>
          <w:sz w:val="24"/>
          <w:szCs w:val="20"/>
          <w:lang w:val="en-US"/>
        </w:rPr>
        <w:t xml:space="preserve">Moderating role of green </w:t>
      </w:r>
      <w:r w:rsidR="00D40CE1" w:rsidRPr="005B7CAC">
        <w:rPr>
          <w:rFonts w:ascii="Times New Roman" w:hAnsi="Times New Roman"/>
          <w:i/>
          <w:sz w:val="24"/>
          <w:szCs w:val="20"/>
          <w:lang w:val="en-US"/>
        </w:rPr>
        <w:t>initiatives</w:t>
      </w:r>
      <w:r w:rsidR="001E2CA1" w:rsidRPr="005B7CAC">
        <w:rPr>
          <w:rFonts w:ascii="Times New Roman" w:hAnsi="Times New Roman"/>
          <w:i/>
          <w:sz w:val="24"/>
          <w:szCs w:val="20"/>
          <w:lang w:val="en-US"/>
        </w:rPr>
        <w:t xml:space="preserve"> </w:t>
      </w:r>
    </w:p>
    <w:p w14:paraId="4686CF05" w14:textId="279DA4BF" w:rsidR="00A860B0" w:rsidRPr="005B7CAC" w:rsidRDefault="001068BC" w:rsidP="003D5418">
      <w:pPr>
        <w:widowControl w:val="0"/>
        <w:autoSpaceDE w:val="0"/>
        <w:autoSpaceDN w:val="0"/>
        <w:adjustRightInd w:val="0"/>
        <w:spacing w:after="240" w:line="360" w:lineRule="auto"/>
        <w:jc w:val="both"/>
        <w:rPr>
          <w:rFonts w:ascii="Times New Roman" w:hAnsi="Times New Roman"/>
          <w:sz w:val="24"/>
          <w:szCs w:val="20"/>
          <w:lang w:val="en-US"/>
        </w:rPr>
      </w:pPr>
      <w:r w:rsidRPr="005B7CAC">
        <w:rPr>
          <w:rFonts w:ascii="Times New Roman" w:hAnsi="Times New Roman"/>
          <w:sz w:val="24"/>
          <w:szCs w:val="20"/>
          <w:lang w:val="en-US"/>
        </w:rPr>
        <w:t xml:space="preserve">Past </w:t>
      </w:r>
      <w:r w:rsidR="00175C01" w:rsidRPr="005B7CAC">
        <w:rPr>
          <w:rFonts w:ascii="Times New Roman" w:hAnsi="Times New Roman"/>
          <w:sz w:val="24"/>
          <w:szCs w:val="20"/>
          <w:lang w:val="en-US"/>
        </w:rPr>
        <w:t xml:space="preserve">empirical studies assessing corporate environmental performance and financial stability have mainly investigated the direct impacts of CSR/environmental performance on </w:t>
      </w:r>
      <w:r w:rsidR="00175C01" w:rsidRPr="005B7CAC">
        <w:rPr>
          <w:rFonts w:ascii="Times New Roman" w:hAnsi="Times New Roman"/>
          <w:i/>
          <w:iCs/>
          <w:sz w:val="24"/>
          <w:szCs w:val="20"/>
          <w:lang w:val="en-US"/>
        </w:rPr>
        <w:t>FD</w:t>
      </w:r>
      <w:r w:rsidR="00175C01" w:rsidRPr="005B7CAC">
        <w:rPr>
          <w:rFonts w:ascii="Times New Roman" w:hAnsi="Times New Roman"/>
          <w:sz w:val="24"/>
          <w:szCs w:val="20"/>
          <w:lang w:val="en-US"/>
        </w:rPr>
        <w:t xml:space="preserve"> levels</w:t>
      </w:r>
      <w:r w:rsidR="00EA598A" w:rsidRPr="005B7CAC">
        <w:rPr>
          <w:rFonts w:ascii="Times New Roman" w:hAnsi="Times New Roman"/>
          <w:sz w:val="24"/>
          <w:szCs w:val="20"/>
          <w:lang w:val="en-US"/>
        </w:rPr>
        <w:t xml:space="preserve"> </w:t>
      </w:r>
      <w:r w:rsidR="00731451" w:rsidRPr="005B7CAC">
        <w:rPr>
          <w:rFonts w:ascii="Times New Roman" w:hAnsi="Times New Roman"/>
          <w:sz w:val="24"/>
          <w:szCs w:val="20"/>
          <w:lang w:val="en-US"/>
        </w:rPr>
        <w:fldChar w:fldCharType="begin" w:fldLock="1"/>
      </w:r>
      <w:r w:rsidR="002347D5" w:rsidRPr="005B7CAC">
        <w:rPr>
          <w:rFonts w:ascii="Times New Roman" w:hAnsi="Times New Roman"/>
          <w:sz w:val="24"/>
          <w:szCs w:val="20"/>
          <w:lang w:val="en-US"/>
        </w:rPr>
        <w:instrText>ADDIN CSL_CITATION {"citationItems":[{"id":"ITEM-1","itemData":{"DOI":"10.1108/JAAR-12-2022-0329","ISSN":"09675426","abstract":"Purpose: This study tests whether corporate social responsibility (CSR) performance is a predictor of the financial sector's financial stability (FS), with the moderation of a sustainability committee. Design/methodology/approach: The sample covers financial sector firms included in the Thomson Reuters Eikon database. The analyses are based on 8,840 firm-year observations for the years between 2002 and 2019 and the country-firm-year fixed-effects (FE) regression analysis is executed. Findings: The results reveal that CSR initiatives contribute to the financial sector's FS as a whole and the sector's three individual sub-sectors. This proven significant association holds for all sub-sectors, namely insurance, banking, and investment banking. Moreover, the moderation analysis reveals the prominent role of a sustainability committee in bridging CSR performance (CSRP) with FS. Research limitations/implications: The findings highlight that meeting societies' expectations pays back in the form of greater FS in the financial sector. Practical implications: The findings suggest that CSR engagement helps the financial sector firms manage their risks and alleviates exposure to insolvency. This is because CSR performance promotes firms' accountability and transparency toward stakeholders. The results help motivate managers to pursue CSR goals more seriously to ensure FS. The moderation analysis implies that sustainability committees develop policies and practices to integrate the non-financial and financial goals of the firm. Originality/value: Although prior studies have examined the link between CSR and financial performance (FP) in the financial sector, those studies have largely ignored FS in terms of risk-adjusted performance. Besides, prior studies have exclusively focused on the banking sector, but the authors concentrate on the banking, insurance, and investment banking sectors.","author":[{"dropping-particle":"","family":"Orazalin","given":"Nurlan","non-dropping-particle":"","parse-names":false,"suffix":""},{"dropping-particle":"","family":"Kuzey","given":"Cemil","non-dropping-particle":"","parse-names":false,"suffix":""},{"dropping-particle":"","family":"Uyar","given":"Ali","non-dropping-particle":"","parse-names":false,"suffix":""},{"dropping-particle":"","family":"Karaman","given":"Abdullah S.","non-dropping-particle":"","parse-names":false,"suffix":""}],"container-title":"Journal of Applied Accounting Research","id":"ITEM-1","issued":{"date-parts":[["2023"]]},"title":"Does CSR contribute to the financial sector's financial stability? The moderating role of a sustainability committee","type":"article-journal"},"uris":["http://www.mendeley.com/documents/?uuid=7d20d343-c643-3450-a67e-d8f2e8162028"]},{"id":"ITEM-2","itemData":{"DOI":"10.1080/01559982.2023.2169893","ISSN":"14676303","abstract":"We examine how corporate environmental performance relates to financial constraints in an environment likely to face high global pressure to address climate change. Using multivariate regressions and a large dataset of over 8,500 firm-years from 24 emerging market countries during 2003 to 2020, we find superior environmental performance (especially relating to carbon emissions) to be associated with significantly lower levels of financial constraints. This finding is robust to an alternative measure of financial constraint, different sample compositions, and to endogeneity concerns. Further analyses reveal that the reductions in financial constraints are significantly higher for firms: (i) in high carbon-emitting countries; (ii) in countries that adopted the 2015 Paris Climate Agreement early; and (iii) that cross-list onto foreign stock exchanges. Finally, we provide evidence to suggest that the environmental aspects of a firm’s CSR efforts mitigate its financial constraints more than can be attained by the other major CSR dimensions. Overall, the findings imply that stakeholders (capital providers) of emerging market firms prioritise environmental concerns and, therefore, reward environmentally responsible firms with cheaper and easier access to financing, especially when global environmental concerns are high.","author":[{"dropping-particle":"","family":"Agyei-Boapeah","given":"Henry","non-dropping-particle":"","parse-names":false,"suffix":""},{"dropping-particle":"","family":"Ciftci","given":"Neytullah","non-dropping-particle":"","parse-names":false,"suffix":""},{"dropping-particle":"","family":"Kalimilo Malagila","given":"John","non-dropping-particle":"","parse-names":false,"suffix":""},{"dropping-particle":"","family":"Brodmann","given":"Jennifer","non-dropping-particle":"","parse-names":false,"suffix":""},{"dropping-particle":"","family":"Fosu","given":"Samuel","non-dropping-particle":"","parse-names":false,"suffix":""}],"container-title":"Accounting Forum","id":"ITEM-2","issued":{"date-parts":[["2023"]]},"title":"Environmental performance and financial constraints in emerging markets","type":"article-journal"},"uris":["http://www.mendeley.com/documents/?uuid=9ce40414-8207-3936-bfcc-bd72773ed35c"]},{"id":"ITEM-3","itemData":{"DOI":"10.1111/auar.12366","ISSN":"18352561","abstract":"This study examines the association between corporate environmental performance and financial distress. Using a sample of Australian firms, we find that environmental performance is negatively related to the financial distress probability perceived by the market. In addition, the negative association between environmental performance and the financial distress probability is more pronounced for firms with a higher level of risk. The findings provide important empirical evidence regarding the implications of environmental performance on firms’ risk management.","author":[{"dropping-particle":"","family":"Jia","given":"Jing","non-dropping-particle":"","parse-names":false,"suffix":""},{"dropping-particle":"","family":"Li","given":"Zhongtian","non-dropping-particle":"","parse-names":false,"suffix":""}],"container-title":"Australian Accounting Review","id":"ITEM-3","issue":"2","issued":{"date-parts":[["2022"]]},"page":"188-200","title":"Corporate Environmental Performance and Financial Distress: Evidence from Australia","type":"article-journal","volume":"32"},"uris":["http://www.mendeley.com/documents/?uuid=e29c5adf-e7ff-3dee-9c25-48e25598f3e7"]},{"id":"ITEM-4","itemData":{"DOI":"10.1002/bse.2229","ISSN":"10990836","abstract":"Abstract This study investigates the effect of environmental performance that is driven by good environmental policies, regulations, and management on firm's financial distress and, consequently, ascertains the extent to which top management teams' (TMTs') characteristics can moderate the environmental performance–financial distress nexus in China using 749 firms over the 2009–2014 period (i.e., generating over 3,000 indi- vidual observations). Our findings are twofold. First, our results indicate that increased environmental performance that is driven by good environmental policies tends to strategically reduce the extent of firm financial distress. Second, this nexus is moder- ated by TMT gender diversity, foreign exposure, and political connection. We inter- pret our findings within neo‐institutional, upper echelons, and risk management theoretical perspectives. The findings are robust to the use of alternative measures of financial distress, estimation techniques, and endogeneity problems.","author":[{"dropping-particle":"","family":"Shahab","given":"Yasir","non-dropping-particle":"","parse-names":false,"suffix":""},{"dropping-particle":"","family":"Ntim","given":"Collins G.","non-dropping-particle":"","parse-names":false,"suffix":""},{"dropping-particle":"","family":"Chengang","given":"Ye","non-dropping-particle":"","parse-names":false,"suffix":""},{"dropping-particle":"","family":"Ullah","given":"Farid","non-dropping-particle":"","parse-names":false,"suffix":""},{"dropping-particle":"","family":"Fosu","given":"Samuel","non-dropping-particle":"","parse-names":false,"suffix":""}],"container-title":"Business Strategy and the Environment","id":"ITEM-4","issue":"8","issued":{"date-parts":[["2018"]]},"page":"1635-1652","title":"Environmental policy, environmental performance, and financial distress in China: Do top management team characteristics matter?","type":"article-journal","volume":"27"},"uris":["http://www.mendeley.com/documents/?uuid=85485e83-878d-35b2-95f0-fd3d227658d2"]}],"mendeley":{"formattedCitation":"(Agyei-Boapeah &lt;i&gt;et al.&lt;/i&gt;, 2023; Jia and Li, 2022; Orazalin &lt;i&gt;et al.&lt;/i&gt;, 2023; Shahab &lt;i&gt;et al.&lt;/i&gt;, 2018)","plainTextFormattedCitation":"(Agyei-Boapeah et al., 2023; Jia and Li, 2022; Orazalin et al., 2023; Shahab et al., 2018)","previouslyFormattedCitation":"(Agyei-Boapeah &lt;i&gt;et al.&lt;/i&gt;, 2023; Jia and Li, 2022; Orazalin &lt;i&gt;et al.&lt;/i&gt;, 2023; Shahab &lt;i&gt;et al.&lt;/i&gt;, 2018)"},"properties":{"noteIndex":0},"schema":"https://github.com/citation-style-language/schema/raw/master/csl-citation.json"}</w:instrText>
      </w:r>
      <w:r w:rsidR="00731451" w:rsidRPr="005B7CAC">
        <w:rPr>
          <w:rFonts w:ascii="Times New Roman" w:hAnsi="Times New Roman"/>
          <w:sz w:val="24"/>
          <w:szCs w:val="20"/>
          <w:lang w:val="en-US"/>
        </w:rPr>
        <w:fldChar w:fldCharType="separate"/>
      </w:r>
      <w:r w:rsidR="00BB4571" w:rsidRPr="005B7CAC">
        <w:rPr>
          <w:rFonts w:ascii="Times New Roman" w:hAnsi="Times New Roman"/>
          <w:noProof/>
          <w:sz w:val="24"/>
          <w:szCs w:val="20"/>
          <w:lang w:val="en-US"/>
        </w:rPr>
        <w:t xml:space="preserve">(Agyei-Boapeah </w:t>
      </w:r>
      <w:r w:rsidR="00BB4571" w:rsidRPr="005B7CAC">
        <w:rPr>
          <w:rFonts w:ascii="Times New Roman" w:hAnsi="Times New Roman"/>
          <w:i/>
          <w:noProof/>
          <w:sz w:val="24"/>
          <w:szCs w:val="20"/>
          <w:lang w:val="en-US"/>
        </w:rPr>
        <w:t>et al.</w:t>
      </w:r>
      <w:r w:rsidR="00BB4571" w:rsidRPr="005B7CAC">
        <w:rPr>
          <w:rFonts w:ascii="Times New Roman" w:hAnsi="Times New Roman"/>
          <w:noProof/>
          <w:sz w:val="24"/>
          <w:szCs w:val="20"/>
          <w:lang w:val="en-US"/>
        </w:rPr>
        <w:t xml:space="preserve">, 2023; Jia and Li, 2022; Orazalin </w:t>
      </w:r>
      <w:r w:rsidR="00BB4571" w:rsidRPr="005B7CAC">
        <w:rPr>
          <w:rFonts w:ascii="Times New Roman" w:hAnsi="Times New Roman"/>
          <w:i/>
          <w:noProof/>
          <w:sz w:val="24"/>
          <w:szCs w:val="20"/>
          <w:lang w:val="en-US"/>
        </w:rPr>
        <w:t>et al.</w:t>
      </w:r>
      <w:r w:rsidR="00BB4571" w:rsidRPr="005B7CAC">
        <w:rPr>
          <w:rFonts w:ascii="Times New Roman" w:hAnsi="Times New Roman"/>
          <w:noProof/>
          <w:sz w:val="24"/>
          <w:szCs w:val="20"/>
          <w:lang w:val="en-US"/>
        </w:rPr>
        <w:t xml:space="preserve">, 2023; Shahab </w:t>
      </w:r>
      <w:r w:rsidR="00BB4571" w:rsidRPr="005B7CAC">
        <w:rPr>
          <w:rFonts w:ascii="Times New Roman" w:hAnsi="Times New Roman"/>
          <w:i/>
          <w:noProof/>
          <w:sz w:val="24"/>
          <w:szCs w:val="20"/>
          <w:lang w:val="en-US"/>
        </w:rPr>
        <w:t>et al.</w:t>
      </w:r>
      <w:r w:rsidR="00BB4571" w:rsidRPr="005B7CAC">
        <w:rPr>
          <w:rFonts w:ascii="Times New Roman" w:hAnsi="Times New Roman"/>
          <w:noProof/>
          <w:sz w:val="24"/>
          <w:szCs w:val="20"/>
          <w:lang w:val="en-US"/>
        </w:rPr>
        <w:t>, 2018)</w:t>
      </w:r>
      <w:r w:rsidR="00731451" w:rsidRPr="005B7CAC">
        <w:rPr>
          <w:rFonts w:ascii="Times New Roman" w:hAnsi="Times New Roman"/>
          <w:sz w:val="24"/>
          <w:szCs w:val="20"/>
          <w:lang w:val="en-US"/>
        </w:rPr>
        <w:fldChar w:fldCharType="end"/>
      </w:r>
      <w:r w:rsidR="00EB29CD" w:rsidRPr="005B7CAC">
        <w:rPr>
          <w:rFonts w:ascii="Times New Roman" w:hAnsi="Times New Roman"/>
          <w:sz w:val="24"/>
          <w:szCs w:val="20"/>
          <w:lang w:val="en-US"/>
        </w:rPr>
        <w:t xml:space="preserve">. However, these investigations have not considered the possible moderating impact of </w:t>
      </w:r>
      <w:r w:rsidR="001A1CB2" w:rsidRPr="005B7CAC">
        <w:rPr>
          <w:rFonts w:ascii="Times New Roman" w:hAnsi="Times New Roman"/>
          <w:i/>
          <w:iCs/>
          <w:sz w:val="24"/>
          <w:szCs w:val="20"/>
          <w:lang w:val="en-US"/>
        </w:rPr>
        <w:t>GINV</w:t>
      </w:r>
      <w:r w:rsidR="00D40CE1" w:rsidRPr="005B7CAC">
        <w:rPr>
          <w:rFonts w:ascii="Times New Roman" w:hAnsi="Times New Roman"/>
          <w:i/>
          <w:iCs/>
          <w:sz w:val="24"/>
          <w:szCs w:val="20"/>
          <w:lang w:val="en-US"/>
        </w:rPr>
        <w:t>s</w:t>
      </w:r>
      <w:r w:rsidR="00EB29CD" w:rsidRPr="005B7CAC">
        <w:rPr>
          <w:rFonts w:ascii="Times New Roman" w:hAnsi="Times New Roman"/>
          <w:sz w:val="24"/>
          <w:szCs w:val="20"/>
          <w:lang w:val="en-US"/>
        </w:rPr>
        <w:t xml:space="preserve"> on the </w:t>
      </w:r>
      <w:r w:rsidR="00EB29CD" w:rsidRPr="005B7CAC">
        <w:rPr>
          <w:rFonts w:ascii="Times New Roman" w:hAnsi="Times New Roman"/>
          <w:i/>
          <w:sz w:val="24"/>
          <w:szCs w:val="20"/>
          <w:lang w:val="en-US"/>
        </w:rPr>
        <w:t>WM</w:t>
      </w:r>
      <w:r w:rsidR="00EB29CD" w:rsidRPr="005B7CAC">
        <w:rPr>
          <w:rFonts w:ascii="Calibri" w:hAnsi="Calibri" w:cs="Calibri"/>
          <w:bCs/>
          <w:sz w:val="24"/>
          <w:szCs w:val="24"/>
          <w:lang w:val="en-US"/>
        </w:rPr>
        <w:t>—</w:t>
      </w:r>
      <w:r w:rsidR="00EB29CD" w:rsidRPr="005B7CAC">
        <w:rPr>
          <w:rFonts w:ascii="Times New Roman" w:hAnsi="Times New Roman"/>
          <w:i/>
          <w:sz w:val="24"/>
          <w:szCs w:val="20"/>
          <w:lang w:val="en-US"/>
        </w:rPr>
        <w:t>FD</w:t>
      </w:r>
      <w:r w:rsidR="00EB29CD" w:rsidRPr="005B7CAC">
        <w:rPr>
          <w:rFonts w:ascii="Times New Roman" w:hAnsi="Times New Roman"/>
          <w:sz w:val="24"/>
          <w:szCs w:val="20"/>
          <w:lang w:val="en-US"/>
        </w:rPr>
        <w:t xml:space="preserve"> nexus.</w:t>
      </w:r>
      <w:r w:rsidR="00DA41B6" w:rsidRPr="005B7CAC">
        <w:rPr>
          <w:rFonts w:ascii="Times New Roman" w:hAnsi="Times New Roman"/>
          <w:sz w:val="24"/>
          <w:szCs w:val="20"/>
          <w:lang w:val="en-US"/>
        </w:rPr>
        <w:t xml:space="preserve"> </w:t>
      </w:r>
      <w:r w:rsidR="00DC1FBB" w:rsidRPr="005B7CAC">
        <w:rPr>
          <w:rFonts w:ascii="Times New Roman" w:hAnsi="Times New Roman"/>
          <w:sz w:val="24"/>
          <w:szCs w:val="20"/>
          <w:lang w:val="en-US"/>
        </w:rPr>
        <w:t>P</w:t>
      </w:r>
      <w:r w:rsidR="00040F39" w:rsidRPr="005B7CAC">
        <w:rPr>
          <w:rFonts w:ascii="Times New Roman" w:hAnsi="Times New Roman"/>
          <w:sz w:val="24"/>
          <w:szCs w:val="20"/>
          <w:lang w:val="en-US"/>
        </w:rPr>
        <w:t xml:space="preserve">roactive </w:t>
      </w:r>
      <w:r w:rsidR="00DC1FBB" w:rsidRPr="005B7CAC">
        <w:rPr>
          <w:rFonts w:ascii="Times New Roman" w:hAnsi="Times New Roman"/>
          <w:sz w:val="24"/>
          <w:szCs w:val="20"/>
          <w:lang w:val="en-US"/>
        </w:rPr>
        <w:t xml:space="preserve">environmental </w:t>
      </w:r>
      <w:r w:rsidR="002E227B" w:rsidRPr="005B7CAC">
        <w:rPr>
          <w:rFonts w:ascii="Times New Roman" w:hAnsi="Times New Roman"/>
          <w:sz w:val="24"/>
          <w:szCs w:val="20"/>
          <w:lang w:val="en-US"/>
        </w:rPr>
        <w:t>innovations</w:t>
      </w:r>
      <w:r w:rsidR="00D63D26" w:rsidRPr="005B7CAC">
        <w:rPr>
          <w:rFonts w:ascii="Times New Roman" w:hAnsi="Times New Roman"/>
          <w:sz w:val="24"/>
          <w:szCs w:val="20"/>
          <w:lang w:val="en-US"/>
        </w:rPr>
        <w:t xml:space="preserve">/strategies </w:t>
      </w:r>
      <w:r w:rsidR="00DC1FBB" w:rsidRPr="005B7CAC">
        <w:rPr>
          <w:rFonts w:ascii="Times New Roman" w:hAnsi="Times New Roman"/>
          <w:sz w:val="24"/>
          <w:szCs w:val="20"/>
          <w:lang w:val="en-US"/>
        </w:rPr>
        <w:t xml:space="preserve">in the form of </w:t>
      </w:r>
      <w:r w:rsidR="00DC1FBB" w:rsidRPr="005B7CAC">
        <w:rPr>
          <w:rFonts w:ascii="Times New Roman" w:hAnsi="Times New Roman"/>
          <w:i/>
          <w:iCs/>
          <w:sz w:val="24"/>
          <w:szCs w:val="20"/>
          <w:lang w:val="en-US"/>
        </w:rPr>
        <w:t>GINVs</w:t>
      </w:r>
      <w:r w:rsidR="00DC1FBB" w:rsidRPr="005B7CAC">
        <w:rPr>
          <w:rFonts w:ascii="Times New Roman" w:hAnsi="Times New Roman"/>
          <w:sz w:val="24"/>
          <w:szCs w:val="20"/>
          <w:lang w:val="en-US"/>
        </w:rPr>
        <w:t xml:space="preserve"> refer to </w:t>
      </w:r>
      <w:r w:rsidR="00D06452" w:rsidRPr="005B7CAC">
        <w:rPr>
          <w:rFonts w:ascii="Times New Roman" w:hAnsi="Times New Roman"/>
          <w:iCs/>
          <w:sz w:val="24"/>
          <w:szCs w:val="20"/>
          <w:lang w:val="en-US"/>
        </w:rPr>
        <w:t xml:space="preserve">the </w:t>
      </w:r>
      <w:r w:rsidR="00815136" w:rsidRPr="005B7CAC">
        <w:rPr>
          <w:rFonts w:ascii="Times New Roman" w:hAnsi="Times New Roman"/>
          <w:iCs/>
          <w:sz w:val="24"/>
          <w:szCs w:val="20"/>
          <w:lang w:val="en-US"/>
        </w:rPr>
        <w:t xml:space="preserve">development of </w:t>
      </w:r>
      <w:r w:rsidR="00D06452" w:rsidRPr="005B7CAC">
        <w:rPr>
          <w:rFonts w:ascii="Times New Roman" w:hAnsi="Times New Roman"/>
          <w:iCs/>
          <w:sz w:val="24"/>
          <w:szCs w:val="20"/>
          <w:lang w:val="en-US"/>
        </w:rPr>
        <w:t>eco-designed</w:t>
      </w:r>
      <w:r w:rsidR="00815136" w:rsidRPr="005B7CAC">
        <w:rPr>
          <w:rFonts w:ascii="Times New Roman" w:hAnsi="Times New Roman"/>
          <w:iCs/>
          <w:sz w:val="24"/>
          <w:szCs w:val="20"/>
          <w:lang w:val="en-US"/>
        </w:rPr>
        <w:t xml:space="preserve"> </w:t>
      </w:r>
      <w:r w:rsidR="00D06452" w:rsidRPr="005B7CAC">
        <w:rPr>
          <w:rFonts w:ascii="Times New Roman" w:hAnsi="Times New Roman"/>
          <w:iCs/>
          <w:sz w:val="24"/>
          <w:szCs w:val="20"/>
          <w:lang w:val="en-US"/>
        </w:rPr>
        <w:t>products/services</w:t>
      </w:r>
      <w:r w:rsidR="00815136" w:rsidRPr="005B7CAC">
        <w:rPr>
          <w:rFonts w:ascii="Times New Roman" w:hAnsi="Times New Roman"/>
          <w:sz w:val="24"/>
          <w:szCs w:val="20"/>
          <w:lang w:val="en-US"/>
        </w:rPr>
        <w:t xml:space="preserve"> </w:t>
      </w:r>
      <w:r w:rsidR="00D06452" w:rsidRPr="005B7CAC">
        <w:rPr>
          <w:rFonts w:ascii="Times New Roman" w:hAnsi="Times New Roman"/>
          <w:sz w:val="24"/>
          <w:szCs w:val="20"/>
          <w:lang w:val="en-US"/>
        </w:rPr>
        <w:t xml:space="preserve">and the </w:t>
      </w:r>
      <w:r w:rsidR="00815136" w:rsidRPr="005B7CAC">
        <w:rPr>
          <w:rFonts w:ascii="Times New Roman" w:hAnsi="Times New Roman"/>
          <w:sz w:val="24"/>
          <w:szCs w:val="20"/>
          <w:lang w:val="en-US"/>
        </w:rPr>
        <w:t xml:space="preserve">implementation </w:t>
      </w:r>
      <w:r w:rsidR="00DC1FBB" w:rsidRPr="005B7CAC">
        <w:rPr>
          <w:rFonts w:ascii="Times New Roman" w:hAnsi="Times New Roman"/>
          <w:sz w:val="24"/>
          <w:szCs w:val="20"/>
          <w:lang w:val="en-US"/>
        </w:rPr>
        <w:t>of</w:t>
      </w:r>
      <w:r w:rsidR="00815136" w:rsidRPr="005B7CAC">
        <w:rPr>
          <w:rFonts w:ascii="Times New Roman" w:hAnsi="Times New Roman"/>
          <w:sz w:val="24"/>
          <w:szCs w:val="20"/>
          <w:lang w:val="en-US"/>
        </w:rPr>
        <w:t xml:space="preserve"> </w:t>
      </w:r>
      <w:r w:rsidR="00DC1FBB" w:rsidRPr="005B7CAC">
        <w:rPr>
          <w:rFonts w:ascii="Times New Roman" w:hAnsi="Times New Roman"/>
          <w:iCs/>
          <w:sz w:val="24"/>
          <w:szCs w:val="20"/>
          <w:lang w:val="en-US"/>
        </w:rPr>
        <w:t>innovative technologies</w:t>
      </w:r>
      <w:r w:rsidR="00815136" w:rsidRPr="005B7CAC">
        <w:rPr>
          <w:rFonts w:ascii="Times New Roman" w:hAnsi="Times New Roman"/>
          <w:iCs/>
          <w:sz w:val="24"/>
          <w:szCs w:val="20"/>
          <w:lang w:val="en-US"/>
        </w:rPr>
        <w:t xml:space="preserve"> and sustainable processes/practices </w:t>
      </w:r>
      <w:r w:rsidR="00D06452" w:rsidRPr="005B7CAC">
        <w:rPr>
          <w:rFonts w:ascii="Times New Roman" w:hAnsi="Times New Roman"/>
          <w:iCs/>
          <w:sz w:val="24"/>
          <w:szCs w:val="20"/>
          <w:lang w:val="en-US"/>
        </w:rPr>
        <w:t>that aim to mitigate environmental impacts and improve resource efficiency</w:t>
      </w:r>
      <w:r w:rsidR="00870FD0" w:rsidRPr="005B7CAC">
        <w:rPr>
          <w:rFonts w:ascii="Times New Roman" w:hAnsi="Times New Roman"/>
          <w:iCs/>
          <w:sz w:val="24"/>
          <w:szCs w:val="20"/>
          <w:lang w:val="en-US"/>
        </w:rPr>
        <w:t xml:space="preserve"> </w:t>
      </w:r>
      <w:r w:rsidR="00870FD0" w:rsidRPr="005B7CAC">
        <w:rPr>
          <w:rFonts w:ascii="Times New Roman" w:hAnsi="Times New Roman"/>
          <w:iCs/>
          <w:sz w:val="24"/>
          <w:szCs w:val="20"/>
          <w:lang w:val="en-US"/>
        </w:rPr>
        <w:fldChar w:fldCharType="begin" w:fldLock="1"/>
      </w:r>
      <w:r w:rsidR="00E856E8" w:rsidRPr="005B7CAC">
        <w:rPr>
          <w:rFonts w:ascii="Times New Roman" w:hAnsi="Times New Roman"/>
          <w:iCs/>
          <w:sz w:val="24"/>
          <w:szCs w:val="20"/>
          <w:lang w:val="en-US"/>
        </w:rPr>
        <w:instrText>ADDIN CSL_CITATION {"citationItems":[{"id":"ITEM-1","itemData":{"DOI":"10.1007/s10668-023-03328-4","ISSN":"15732975","abstract":"In today’s world, businesses and organizations should behave appropriately for the environment in order to make a contribution to welfare benefits while also gaining business opportunities and economic development. Green practice’s adoption could assist businesses to start saving mineral wealth, and power, avoid environmental damage and even result in the long development of businesses. This study examined the correlation between external environmental factors and green product innovation, as well as the impact of green product innovation on the environmental and financial performance of 400 manufacturing SMEs in Vietnam's primary industrial units. Customer pressure, government pressure, government support, and market changes all had a beneficial effect on green product innovation, according to the findings. Furthermore, this study found a strong positive relationship between green product innovation and environmental and financial performance. Based on the research findings of this research, SME administrators can effectively adapt their business strategies to attain greater financial results and a comparative position in the market while utilizing green initiatives to grow their businesses and preserve the natural environment in a sustainable manner.","author":[{"dropping-particle":"","family":"Ha","given":"Nguyen Minh","non-dropping-particle":"","parse-names":false,"suffix":""},{"dropping-particle":"","family":"Nguyen","given":"Pham Anh","non-dropping-particle":"","parse-names":false,"suffix":""},{"dropping-particle":"","family":"Luan","given":"Nguyen Vinh","non-dropping-particle":"","parse-names":false,"suffix":""},{"dropping-particle":"","family":"Tam","given":"Nguyen Minh","non-dropping-particle":"","parse-names":false,"suffix":""}],"container-title":"Environment, Development and Sustainability","id":"ITEM-1","issue":"7","issued":{"date-parts":[["2024"]]},"page":"17083–17104","title":"Impact of green innovation on environmental performance and financial performance","type":"article-journal","volume":"26"},"uris":["http://www.mendeley.com/documents/?uuid=3e4916fc-e6a6-3c9e-bf0d-5edd4f8d7168"]}],"mendeley":{"formattedCitation":"(Ha &lt;i&gt;et al.&lt;/i&gt;, 2024)","plainTextFormattedCitation":"(Ha et al., 2024)","previouslyFormattedCitation":"(Ha &lt;i&gt;et al.&lt;/i&gt;, 2024)"},"properties":{"noteIndex":0},"schema":"https://github.com/citation-style-language/schema/raw/master/csl-citation.json"}</w:instrText>
      </w:r>
      <w:r w:rsidR="00870FD0" w:rsidRPr="005B7CAC">
        <w:rPr>
          <w:rFonts w:ascii="Times New Roman" w:hAnsi="Times New Roman"/>
          <w:iCs/>
          <w:sz w:val="24"/>
          <w:szCs w:val="20"/>
          <w:lang w:val="en-US"/>
        </w:rPr>
        <w:fldChar w:fldCharType="separate"/>
      </w:r>
      <w:r w:rsidR="00870FD0" w:rsidRPr="005B7CAC">
        <w:rPr>
          <w:rFonts w:ascii="Times New Roman" w:hAnsi="Times New Roman"/>
          <w:iCs/>
          <w:noProof/>
          <w:sz w:val="24"/>
          <w:szCs w:val="20"/>
          <w:lang w:val="en-US"/>
        </w:rPr>
        <w:t xml:space="preserve">(Ha </w:t>
      </w:r>
      <w:r w:rsidR="00870FD0" w:rsidRPr="005B7CAC">
        <w:rPr>
          <w:rFonts w:ascii="Times New Roman" w:hAnsi="Times New Roman"/>
          <w:i/>
          <w:iCs/>
          <w:noProof/>
          <w:sz w:val="24"/>
          <w:szCs w:val="20"/>
          <w:lang w:val="en-US"/>
        </w:rPr>
        <w:lastRenderedPageBreak/>
        <w:t>et al.</w:t>
      </w:r>
      <w:r w:rsidR="00870FD0" w:rsidRPr="005B7CAC">
        <w:rPr>
          <w:rFonts w:ascii="Times New Roman" w:hAnsi="Times New Roman"/>
          <w:iCs/>
          <w:noProof/>
          <w:sz w:val="24"/>
          <w:szCs w:val="20"/>
          <w:lang w:val="en-US"/>
        </w:rPr>
        <w:t>, 2024)</w:t>
      </w:r>
      <w:r w:rsidR="00870FD0" w:rsidRPr="005B7CAC">
        <w:rPr>
          <w:rFonts w:ascii="Times New Roman" w:hAnsi="Times New Roman"/>
          <w:iCs/>
          <w:sz w:val="24"/>
          <w:szCs w:val="20"/>
          <w:lang w:val="en-US"/>
        </w:rPr>
        <w:fldChar w:fldCharType="end"/>
      </w:r>
      <w:r w:rsidR="00D06452" w:rsidRPr="005B7CAC">
        <w:rPr>
          <w:rFonts w:ascii="Times New Roman" w:hAnsi="Times New Roman"/>
          <w:iCs/>
          <w:sz w:val="24"/>
          <w:szCs w:val="20"/>
          <w:lang w:val="en-US"/>
        </w:rPr>
        <w:t>. These initiatives enable firms to reduce emissions and decrease waste levels while creating stakeholder values and gaining competitive advantages</w:t>
      </w:r>
      <w:r w:rsidR="00AB663D" w:rsidRPr="005B7CAC">
        <w:rPr>
          <w:rFonts w:ascii="Times New Roman" w:hAnsi="Times New Roman"/>
          <w:iCs/>
          <w:sz w:val="24"/>
          <w:szCs w:val="20"/>
          <w:lang w:val="en-US"/>
        </w:rPr>
        <w:t xml:space="preserve"> </w:t>
      </w:r>
      <w:r w:rsidR="00AB663D" w:rsidRPr="005B7CAC">
        <w:rPr>
          <w:rFonts w:ascii="Times New Roman" w:hAnsi="Times New Roman"/>
          <w:iCs/>
          <w:sz w:val="24"/>
          <w:szCs w:val="20"/>
          <w:lang w:val="en-US"/>
        </w:rPr>
        <w:fldChar w:fldCharType="begin" w:fldLock="1"/>
      </w:r>
      <w:r w:rsidR="0050174D" w:rsidRPr="005B7CAC">
        <w:rPr>
          <w:rFonts w:ascii="Times New Roman" w:hAnsi="Times New Roman"/>
          <w:iCs/>
          <w:sz w:val="24"/>
          <w:szCs w:val="20"/>
          <w:lang w:val="en-US"/>
        </w:rPr>
        <w:instrText>ADDIN CSL_CITATION {"citationItems":[{"id":"ITEM-1","itemData":{"DOI":"10.1002/bse.3589","ISSN":"10990836","abstract":"Prior studies have reported an association between corporate waste management practices and certain board attributes, but none have focused on foreign directors. Therefore, we examine foreign directors' contributions to firms' waste management by exclusively focusing on waste reduction and recycling. Furthermore, we explore an important channel through which foreign directors spur better waste management, namely, eco-innovation. Drawing on 6891 observations affiliated with 9 sectors and 46 countries, we execute country, industry and year fixed-effects regression analysis. We find that while foreign directors on the board are negatively associated with waste generation, they are positively associated with waste recycling. Furthermore, while the eco-innovativeness of firms negatively moderates the association between foreign directors on the board and waste generation, it positively moderates the association between foreign directors on the board and waste recycling. Further channel analyses reveal more insights concerning polluting versus non-polluting and poor versus strong regulatory environments.","author":[{"dropping-particle":"","family":"Uyar","given":"Ali","non-dropping-particle":"","parse-names":false,"suffix":""},{"dropping-particle":"","family":"Al-Shaer","given":"Habiba","non-dropping-particle":"","parse-names":false,"suffix":""},{"dropping-particle":"","family":"Kuzey","given":"Cemil","non-dropping-particle":"","parse-names":false,"suffix":""},{"dropping-particle":"","family":"Karaman","given":"Abdullah S.","non-dropping-particle":"","parse-names":false,"suffix":""}],"container-title":"Business Strategy and the Environment","id":"ITEM-1","issued":{"date-parts":[["2023"]]},"page":"1-26","title":"Do foreign directors reinforce better waste management? The moderating role of eco-innovation","type":"article-journal"},"uris":["http://www.mendeley.com/documents/?uuid=2181dd7a-598d-44fd-b252-f31fe5b3ae59"]},{"id":"ITEM-2","itemData":{"DOI":"10.1016/J.ECONMOD.2022.105932","ISSN":"0264-9993","abstract":"This study examines an important yet underexplored aspect of firms’ sustainability practices, i.e., waste management, in order to analyze its impact on financial performance. Although the extant literature has focused on various aspects of sustainability, the impact of waste management, which has disastrous consequences for the climate and firm performance, remains largely unexplored. Thus, using the 2002–2019 data of listed firms from 41 countries, we found a significantly negative (positive) relationship between waste generation (recycling) and financial performance. Our findings are robust to alternative variables, sub-sample analysis, and identification strategies. Moreover, a channel analysis showed that this relationship is influenced by operating costs, ESG performance-based compensation, industry nature, the Paris agreement on climate change, and the global financial crisis. Overall, the findings suggest that environmental initiatives are beneficial for firms and present important policy implications for regulators and firms.","author":[{"dropping-particle":"","family":"Gull","given":"Ammar Ali","non-dropping-particle":"","parse-names":false,"suffix":""},{"dropping-particle":"","family":"Atif","given":"Muhammad","non-dropping-particle":"","parse-names":false,"suffix":""},{"dropping-particle":"","family":"Ahsan","given":"Tanveer","non-dropping-particle":"","parse-names":false,"suffix":""},{"dropping-particle":"","family":"Derouiche","given":"Imen","non-dropping-particle":"","parse-names":false,"suffix":""}],"container-title":"Economic Modelling","id":"ITEM-2","issued":{"date-parts":[["2022","9","1"]]},"page":"105932","title":"Does waste management affect firm performance? International evidence","type":"article-journal","volume":"114"},"uris":["http://www.mendeley.com/documents/?uuid=0ecbc08a-9434-37fc-b2bd-379559bf0932"]}],"mendeley":{"formattedCitation":"(Gull, Atif, Ahsan, &lt;i&gt;et al.&lt;/i&gt;, 2022; Uyar &lt;i&gt;et al.&lt;/i&gt;, 2023)","plainTextFormattedCitation":"(Gull, Atif, Ahsan, et al., 2022; Uyar et al., 2023)","previouslyFormattedCitation":"(Gull, Atif, Ahsan, &lt;i&gt;et al.&lt;/i&gt;, 2022; Uyar &lt;i&gt;et al.&lt;/i&gt;, 2023)"},"properties":{"noteIndex":0},"schema":"https://github.com/citation-style-language/schema/raw/master/csl-citation.json"}</w:instrText>
      </w:r>
      <w:r w:rsidR="00AB663D" w:rsidRPr="005B7CAC">
        <w:rPr>
          <w:rFonts w:ascii="Times New Roman" w:hAnsi="Times New Roman"/>
          <w:iCs/>
          <w:sz w:val="24"/>
          <w:szCs w:val="20"/>
          <w:lang w:val="en-US"/>
        </w:rPr>
        <w:fldChar w:fldCharType="separate"/>
      </w:r>
      <w:r w:rsidR="00AB663D" w:rsidRPr="005B7CAC">
        <w:rPr>
          <w:rFonts w:ascii="Times New Roman" w:hAnsi="Times New Roman"/>
          <w:iCs/>
          <w:noProof/>
          <w:sz w:val="24"/>
          <w:szCs w:val="20"/>
          <w:lang w:val="en-US"/>
        </w:rPr>
        <w:t>(Gull</w:t>
      </w:r>
      <w:r w:rsidR="002B78A0" w:rsidRPr="005B7CAC">
        <w:rPr>
          <w:rFonts w:ascii="Times New Roman" w:hAnsi="Times New Roman"/>
          <w:iCs/>
          <w:noProof/>
          <w:sz w:val="24"/>
          <w:szCs w:val="20"/>
          <w:lang w:val="en-US"/>
        </w:rPr>
        <w:t xml:space="preserve"> </w:t>
      </w:r>
      <w:r w:rsidR="00AB663D" w:rsidRPr="005B7CAC">
        <w:rPr>
          <w:rFonts w:ascii="Times New Roman" w:hAnsi="Times New Roman"/>
          <w:i/>
          <w:iCs/>
          <w:noProof/>
          <w:sz w:val="24"/>
          <w:szCs w:val="20"/>
          <w:lang w:val="en-US"/>
        </w:rPr>
        <w:t>et al.</w:t>
      </w:r>
      <w:r w:rsidR="00AB663D" w:rsidRPr="005B7CAC">
        <w:rPr>
          <w:rFonts w:ascii="Times New Roman" w:hAnsi="Times New Roman"/>
          <w:iCs/>
          <w:noProof/>
          <w:sz w:val="24"/>
          <w:szCs w:val="20"/>
          <w:lang w:val="en-US"/>
        </w:rPr>
        <w:t>, 2022</w:t>
      </w:r>
      <w:r w:rsidR="002B78A0" w:rsidRPr="005B7CAC">
        <w:rPr>
          <w:rFonts w:ascii="Times New Roman" w:hAnsi="Times New Roman"/>
          <w:iCs/>
          <w:noProof/>
          <w:sz w:val="24"/>
          <w:szCs w:val="20"/>
          <w:lang w:val="en-US"/>
        </w:rPr>
        <w:t>a</w:t>
      </w:r>
      <w:r w:rsidR="00AB663D" w:rsidRPr="005B7CAC">
        <w:rPr>
          <w:rFonts w:ascii="Times New Roman" w:hAnsi="Times New Roman"/>
          <w:iCs/>
          <w:noProof/>
          <w:sz w:val="24"/>
          <w:szCs w:val="20"/>
          <w:lang w:val="en-US"/>
        </w:rPr>
        <w:t xml:space="preserve">; Uyar </w:t>
      </w:r>
      <w:r w:rsidR="00AB663D" w:rsidRPr="005B7CAC">
        <w:rPr>
          <w:rFonts w:ascii="Times New Roman" w:hAnsi="Times New Roman"/>
          <w:i/>
          <w:iCs/>
          <w:noProof/>
          <w:sz w:val="24"/>
          <w:szCs w:val="20"/>
          <w:lang w:val="en-US"/>
        </w:rPr>
        <w:t>et al.</w:t>
      </w:r>
      <w:r w:rsidR="00AB663D" w:rsidRPr="005B7CAC">
        <w:rPr>
          <w:rFonts w:ascii="Times New Roman" w:hAnsi="Times New Roman"/>
          <w:iCs/>
          <w:noProof/>
          <w:sz w:val="24"/>
          <w:szCs w:val="20"/>
          <w:lang w:val="en-US"/>
        </w:rPr>
        <w:t>, 2023)</w:t>
      </w:r>
      <w:r w:rsidR="00AB663D" w:rsidRPr="005B7CAC">
        <w:rPr>
          <w:rFonts w:ascii="Times New Roman" w:hAnsi="Times New Roman"/>
          <w:iCs/>
          <w:sz w:val="24"/>
          <w:szCs w:val="20"/>
          <w:lang w:val="en-US"/>
        </w:rPr>
        <w:fldChar w:fldCharType="end"/>
      </w:r>
      <w:r w:rsidR="00D06452" w:rsidRPr="005B7CAC">
        <w:rPr>
          <w:rFonts w:ascii="Times New Roman" w:hAnsi="Times New Roman"/>
          <w:iCs/>
          <w:sz w:val="24"/>
          <w:szCs w:val="20"/>
          <w:lang w:val="en-US"/>
        </w:rPr>
        <w:t xml:space="preserve">. </w:t>
      </w:r>
      <w:r w:rsidR="00834FC8" w:rsidRPr="005B7CAC">
        <w:rPr>
          <w:rFonts w:ascii="Times New Roman" w:hAnsi="Times New Roman"/>
          <w:sz w:val="24"/>
          <w:szCs w:val="20"/>
          <w:lang w:val="en-US"/>
        </w:rPr>
        <w:t xml:space="preserve">According to </w:t>
      </w:r>
      <w:r w:rsidR="00EB29CD" w:rsidRPr="005B7CAC">
        <w:rPr>
          <w:rFonts w:ascii="Times New Roman" w:hAnsi="Times New Roman"/>
          <w:sz w:val="24"/>
          <w:szCs w:val="20"/>
          <w:lang w:val="en-US"/>
        </w:rPr>
        <w:t>the stakeholder view</w:t>
      </w:r>
      <w:r w:rsidR="00885DC3" w:rsidRPr="005B7CAC">
        <w:rPr>
          <w:rFonts w:ascii="Times New Roman" w:hAnsi="Times New Roman"/>
          <w:sz w:val="24"/>
          <w:szCs w:val="20"/>
          <w:lang w:val="en-US"/>
        </w:rPr>
        <w:t xml:space="preserve">point </w:t>
      </w:r>
      <w:r w:rsidR="00C52626" w:rsidRPr="005B7CAC">
        <w:rPr>
          <w:rFonts w:ascii="Times New Roman" w:hAnsi="Times New Roman"/>
          <w:sz w:val="24"/>
          <w:szCs w:val="20"/>
          <w:lang w:val="en-US"/>
        </w:rPr>
        <w:fldChar w:fldCharType="begin" w:fldLock="1"/>
      </w:r>
      <w:r w:rsidR="00C52626" w:rsidRPr="005B7CAC">
        <w:rPr>
          <w:rFonts w:ascii="Times New Roman" w:hAnsi="Times New Roman"/>
          <w:sz w:val="24"/>
          <w:szCs w:val="20"/>
          <w:lang w:val="en-US"/>
        </w:rPr>
        <w:instrText>ADDIN CSL_CITATION {"citationItems":[{"id":"ITEM-1","itemData":{"ISBN":"0273019139","ISSN":"15565068","PMID":"134","abstract":"The purpose of this chapter is to outline the development of the idea of stakeholder management as it has come to be applied in strategic management. We begin by developing a brief history of the concept. We then suggest that traditionally the stakeholder approach to strategic management has several related characteristics that serve as distinguishing features. We review recent work on stakeholder theory and suggest how stakeholder management has affected the practice of management. We end by suggesting further research questions.","author":[{"dropping-particle":"","family":"Freeman","given":"R. Edward","non-dropping-particle":"","parse-names":false,"suffix":""}],"container-title":"Pitman Series in Business and Public Policy","id":"ITEM-1","issued":{"date-parts":[["1984"]]},"number-of-pages":"276","title":"Strategic Management: A Stakeholder Approach","type":"book"},"uris":["http://www.mendeley.com/documents/?uuid=3bad9f52-0d99-4364-a252-1c6e0055e693"]},{"id":"ITEM-2","itemData":{"DOI":"10.5465/amr.1995.9503271992","ISSN":"0363-7425","abstract":"The stakeholder theory has been advanced and justified in the man- agement literature on the basis of its descriptive accuracy, instrumen- tal power, and normative validity. These three aspects of the theory, although interrelated, are quite distinct; they involve different types of evidence and argument and have different implications. In this article, we examine these three aspects of the theory and critique and integrate important contributions to the literature related to each. We conclude that the three aspects of stakeholder theory are mutually supportive and that the normative base of the theory-which includes the modern theory of property rights-is fundamental.","author":[{"dropping-particle":"","family":"Donaldson","given":"Thomas","non-dropping-particle":"","parse-names":false,"suffix":""},{"dropping-particle":"","family":"Preston","given":"Lee E.","non-dropping-particle":"","parse-names":false,"suffix":""}],"container-title":"Academy of Management Review","id":"ITEM-2","issue":"1","issued":{"date-parts":[["1995"]]},"page":"65-91","title":"The Stakeholder Theory of the Corporation: Concepts, Evidence, and Implications","type":"article-journal","volume":"20"},"uris":["http://www.mendeley.com/documents/?uuid=f4f284bb-59c8-3589-823c-818c0ddcda0a"]}],"mendeley":{"formattedCitation":"(Donaldson and Preston, 1995; Freeman, 1984)","plainTextFormattedCitation":"(Donaldson and Preston, 1995; Freeman, 1984)","previouslyFormattedCitation":"(Donaldson and Preston, 1995; Freeman, 1984)"},"properties":{"noteIndex":0},"schema":"https://github.com/citation-style-language/schema/raw/master/csl-citation.json"}</w:instrText>
      </w:r>
      <w:r w:rsidR="00C52626" w:rsidRPr="005B7CAC">
        <w:rPr>
          <w:rFonts w:ascii="Times New Roman" w:hAnsi="Times New Roman"/>
          <w:sz w:val="24"/>
          <w:szCs w:val="20"/>
          <w:lang w:val="en-US"/>
        </w:rPr>
        <w:fldChar w:fldCharType="separate"/>
      </w:r>
      <w:r w:rsidR="00885DC3" w:rsidRPr="005B7CAC">
        <w:rPr>
          <w:rFonts w:ascii="Times New Roman" w:hAnsi="Times New Roman"/>
          <w:noProof/>
          <w:sz w:val="24"/>
          <w:szCs w:val="20"/>
          <w:lang w:val="en-US"/>
        </w:rPr>
        <w:t>(Donaldson and Preston, 1995; Freeman, 1984)</w:t>
      </w:r>
      <w:r w:rsidR="00C52626" w:rsidRPr="005B7CAC">
        <w:rPr>
          <w:rFonts w:ascii="Times New Roman" w:hAnsi="Times New Roman"/>
          <w:sz w:val="24"/>
          <w:szCs w:val="20"/>
          <w:lang w:val="en-US"/>
        </w:rPr>
        <w:fldChar w:fldCharType="end"/>
      </w:r>
      <w:r w:rsidR="00834FC8" w:rsidRPr="005B7CAC">
        <w:rPr>
          <w:rFonts w:ascii="Times New Roman" w:hAnsi="Times New Roman"/>
          <w:sz w:val="24"/>
          <w:szCs w:val="20"/>
          <w:lang w:val="en-US"/>
        </w:rPr>
        <w:t>,</w:t>
      </w:r>
      <w:r w:rsidR="00885DC3" w:rsidRPr="005B7CAC">
        <w:rPr>
          <w:rFonts w:ascii="Times New Roman" w:hAnsi="Times New Roman"/>
          <w:sz w:val="24"/>
          <w:szCs w:val="20"/>
          <w:lang w:val="en-US"/>
        </w:rPr>
        <w:t xml:space="preserve"> </w:t>
      </w:r>
      <w:r w:rsidR="00834FC8" w:rsidRPr="005B7CAC">
        <w:rPr>
          <w:rFonts w:ascii="Times New Roman" w:hAnsi="Times New Roman"/>
          <w:sz w:val="24"/>
          <w:szCs w:val="20"/>
          <w:lang w:val="en-US"/>
        </w:rPr>
        <w:t xml:space="preserve">firms </w:t>
      </w:r>
      <w:r w:rsidR="003E6C64" w:rsidRPr="005B7CAC">
        <w:rPr>
          <w:rFonts w:ascii="Times New Roman" w:hAnsi="Times New Roman"/>
          <w:sz w:val="24"/>
          <w:szCs w:val="20"/>
          <w:lang w:val="en-US"/>
        </w:rPr>
        <w:t>need</w:t>
      </w:r>
      <w:r w:rsidR="00CA1AA2" w:rsidRPr="005B7CAC">
        <w:rPr>
          <w:rFonts w:ascii="Times New Roman" w:hAnsi="Times New Roman"/>
          <w:sz w:val="24"/>
          <w:szCs w:val="20"/>
          <w:lang w:val="en-US"/>
        </w:rPr>
        <w:t xml:space="preserve"> to invest in climate</w:t>
      </w:r>
      <w:r w:rsidR="003E6C64" w:rsidRPr="005B7CAC">
        <w:rPr>
          <w:rFonts w:ascii="Times New Roman" w:hAnsi="Times New Roman"/>
          <w:sz w:val="24"/>
          <w:szCs w:val="20"/>
          <w:lang w:val="en-US"/>
        </w:rPr>
        <w:t xml:space="preserve">-related </w:t>
      </w:r>
      <w:r w:rsidR="00CA1AA2" w:rsidRPr="005B7CAC">
        <w:rPr>
          <w:rFonts w:ascii="Times New Roman" w:hAnsi="Times New Roman"/>
          <w:sz w:val="24"/>
          <w:szCs w:val="20"/>
          <w:lang w:val="en-US"/>
        </w:rPr>
        <w:t xml:space="preserve">projects and </w:t>
      </w:r>
      <w:r w:rsidR="00834FC8" w:rsidRPr="005B7CAC">
        <w:rPr>
          <w:rFonts w:ascii="Times New Roman" w:hAnsi="Times New Roman"/>
          <w:sz w:val="24"/>
          <w:szCs w:val="20"/>
          <w:lang w:val="en-US"/>
        </w:rPr>
        <w:t xml:space="preserve">introduce </w:t>
      </w:r>
      <w:r w:rsidR="002E227B" w:rsidRPr="005B7CAC">
        <w:rPr>
          <w:rFonts w:ascii="Times New Roman" w:hAnsi="Times New Roman"/>
          <w:sz w:val="24"/>
          <w:szCs w:val="20"/>
          <w:lang w:val="en-US"/>
        </w:rPr>
        <w:t>environmental innovations</w:t>
      </w:r>
      <w:r w:rsidR="00CA1AA2" w:rsidRPr="005B7CAC">
        <w:rPr>
          <w:rFonts w:ascii="Times New Roman" w:hAnsi="Times New Roman"/>
          <w:sz w:val="24"/>
          <w:szCs w:val="20"/>
          <w:lang w:val="en-US"/>
        </w:rPr>
        <w:t xml:space="preserve"> aimed at</w:t>
      </w:r>
      <w:r w:rsidR="007F69BF" w:rsidRPr="005B7CAC">
        <w:rPr>
          <w:rFonts w:ascii="Times New Roman" w:hAnsi="Times New Roman"/>
          <w:sz w:val="24"/>
          <w:szCs w:val="20"/>
          <w:lang w:val="en-US"/>
        </w:rPr>
        <w:t xml:space="preserve"> enhancing </w:t>
      </w:r>
      <w:r w:rsidR="007F69BF" w:rsidRPr="005B7CAC">
        <w:rPr>
          <w:rFonts w:ascii="Times New Roman" w:hAnsi="Times New Roman"/>
          <w:iCs/>
          <w:sz w:val="24"/>
          <w:szCs w:val="20"/>
          <w:lang w:val="en-US"/>
        </w:rPr>
        <w:t>environmental and financial sustainability</w:t>
      </w:r>
      <w:r w:rsidR="003E6C64" w:rsidRPr="005B7CAC">
        <w:rPr>
          <w:rFonts w:ascii="Times New Roman" w:hAnsi="Times New Roman"/>
          <w:sz w:val="24"/>
          <w:szCs w:val="20"/>
          <w:lang w:val="en-US"/>
        </w:rPr>
        <w:t xml:space="preserve"> in order to meet the interests/needs of a wide range of stakeholders</w:t>
      </w:r>
      <w:r w:rsidR="0000057E" w:rsidRPr="005B7CAC">
        <w:rPr>
          <w:rFonts w:ascii="Times New Roman" w:hAnsi="Times New Roman"/>
          <w:sz w:val="24"/>
          <w:szCs w:val="20"/>
          <w:lang w:val="en-US"/>
        </w:rPr>
        <w:t>.</w:t>
      </w:r>
      <w:r w:rsidR="00815136" w:rsidRPr="005B7CAC">
        <w:rPr>
          <w:rFonts w:ascii="Times New Roman" w:hAnsi="Times New Roman"/>
          <w:sz w:val="24"/>
          <w:szCs w:val="20"/>
          <w:lang w:val="en-US"/>
        </w:rPr>
        <w:t xml:space="preserve"> </w:t>
      </w:r>
      <w:r w:rsidR="007F69BF" w:rsidRPr="005B7CAC">
        <w:rPr>
          <w:rFonts w:ascii="Times New Roman" w:hAnsi="Times New Roman"/>
          <w:sz w:val="24"/>
          <w:szCs w:val="20"/>
          <w:lang w:val="en-US"/>
        </w:rPr>
        <w:t xml:space="preserve">In this regard, </w:t>
      </w:r>
      <w:r w:rsidR="001A1CB2" w:rsidRPr="005B7CAC">
        <w:rPr>
          <w:rFonts w:ascii="Times New Roman" w:hAnsi="Times New Roman"/>
          <w:i/>
          <w:iCs/>
          <w:sz w:val="24"/>
          <w:szCs w:val="20"/>
          <w:lang w:val="en-US"/>
        </w:rPr>
        <w:t>GINV</w:t>
      </w:r>
      <w:r w:rsidR="00D40CE1" w:rsidRPr="005B7CAC">
        <w:rPr>
          <w:rFonts w:ascii="Times New Roman" w:hAnsi="Times New Roman"/>
          <w:i/>
          <w:iCs/>
          <w:sz w:val="24"/>
          <w:szCs w:val="20"/>
          <w:lang w:val="en-US"/>
        </w:rPr>
        <w:t>s</w:t>
      </w:r>
      <w:r w:rsidR="007F69BF" w:rsidRPr="005B7CAC">
        <w:rPr>
          <w:rFonts w:ascii="Times New Roman" w:hAnsi="Times New Roman"/>
          <w:sz w:val="24"/>
          <w:szCs w:val="20"/>
          <w:lang w:val="en-US"/>
        </w:rPr>
        <w:t xml:space="preserve"> serve as an effective environmental strategy to enhance environmental performance and improve financial outcomes </w:t>
      </w:r>
      <w:r w:rsidR="007F69BF" w:rsidRPr="005B7CAC">
        <w:rPr>
          <w:rFonts w:ascii="Times New Roman" w:hAnsi="Times New Roman"/>
          <w:sz w:val="24"/>
          <w:szCs w:val="20"/>
          <w:lang w:val="en-US"/>
        </w:rPr>
        <w:fldChar w:fldCharType="begin" w:fldLock="1"/>
      </w:r>
      <w:r w:rsidR="0050174D" w:rsidRPr="005B7CAC">
        <w:rPr>
          <w:rFonts w:ascii="Times New Roman" w:hAnsi="Times New Roman"/>
          <w:sz w:val="24"/>
          <w:szCs w:val="20"/>
          <w:lang w:val="en-US"/>
        </w:rPr>
        <w:instrText>ADDIN CSL_CITATION {"citationItems":[{"id":"ITEM-1","itemData":{"DOI":"10.1002/bse.3232","ISSN":"10990836","abstract":"This paper examines the effects of environmental innovation on CO2 emissions as well as the moderating role of environmental governance in this relationship. Based on a sample of companies listed on the London Stock Exchange for the period from 2016 to 2020, the findings show that environmental innovation reduces CO2 emissions including Scope 1 and Scope 2 CO2 emissions. Likewise, our findings are associative of a moderating effect of environmental governance on the environmental innovation-CO2 emissions nexus. We argue that environmental innovation along with better environmental governance leads to a reduction in CO2 emissions. Our results hold for subsamples of firms with a strong/low environmental governance and ESG performance. Our findings offer important implications for companies and policymakers towards adopting more environmental technologies along with enhancing environmental governance to reduce CO2 emissions.","author":[{"dropping-particle":"","family":"Albitar","given":"Khaldoon","non-dropping-particle":"","parse-names":false,"suffix":""},{"dropping-particle":"","family":"Borgi","given":"Hela","non-dropping-particle":"","parse-names":false,"suffix":""},{"dropping-particle":"","family":"Khan","given":"Muzammal","non-dropping-particle":"","parse-names":false,"suffix":""},{"dropping-particle":"","family":"Zahra","given":"Anum","non-dropping-particle":"","parse-names":false,"suffix":""}],"container-title":"Business Strategy and the Environment","id":"ITEM-1","issue":"4","issued":{"date-parts":[["2023"]]},"page":"1996-2007","title":"Business environmental innovation and CO2 emissions: The moderating role of environmental governance","type":"article-journal","volume":"32"},"uris":["http://www.mendeley.com/documents/?uuid=7de5d50a-1720-35da-acfc-b514ae3b49a5"]},{"id":"ITEM-2","itemData":{"DOI":"10.1016/J.ECONMOD.2022.105932","ISSN":"0264-9993","abstract":"This study examines an important yet underexplored aspect of firms’ sustainability practices, i.e., waste management, in order to analyze its impact on financial performance. Although the extant literature has focused on various aspects of sustainability, the impact of waste management, which has disastrous consequences for the climate and firm performance, remains largely unexplored. Thus, using the 2002–2019 data of listed firms from 41 countries, we found a significantly negative (positive) relationship between waste generation (recycling) and financial performance. Our findings are robust to alternative variables, sub-sample analysis, and identification strategies. Moreover, a channel analysis showed that this relationship is influenced by operating costs, ESG performance-based compensation, industry nature, the Paris agreement on climate change, and the global financial crisis. Overall, the findings suggest that environmental initiatives are beneficial for firms and present important policy implications for regulators and firms.","author":[{"dropping-particle":"","family":"Gull","given":"Ammar Ali","non-dropping-particle":"","parse-names":false,"suffix":""},{"dropping-particle":"","family":"Atif","given":"Muhammad","non-dropping-particle":"","parse-names":false,"suffix":""},{"dropping-particle":"","family":"Ahsan","given":"Tanveer","non-dropping-particle":"","parse-names":false,"suffix":""},{"dropping-particle":"","family":"Derouiche","given":"Imen","non-dropping-particle":"","parse-names":false,"suffix":""}],"container-title":"Economic Modelling","id":"ITEM-2","issued":{"date-parts":[["2022","9","1"]]},"page":"105932","title":"Does waste management affect firm performance? International evidence","type":"article-journal","volume":"114"},"uris":["http://www.mendeley.com/documents/?uuid=0ecbc08a-9434-37fc-b2bd-379559bf0932"]}],"mendeley":{"formattedCitation":"(Albitar &lt;i&gt;et al.&lt;/i&gt;, 2023; Gull, Atif, Ahsan, &lt;i&gt;et al.&lt;/i&gt;, 2022)","plainTextFormattedCitation":"(Albitar et al., 2023; Gull, Atif, Ahsan, et al., 2022)","previouslyFormattedCitation":"(Albitar &lt;i&gt;et al.&lt;/i&gt;, 2023; Gull, Atif, Ahsan, &lt;i&gt;et al.&lt;/i&gt;, 2022)"},"properties":{"noteIndex":0},"schema":"https://github.com/citation-style-language/schema/raw/master/csl-citation.json"}</w:instrText>
      </w:r>
      <w:r w:rsidR="007F69BF" w:rsidRPr="005B7CAC">
        <w:rPr>
          <w:rFonts w:ascii="Times New Roman" w:hAnsi="Times New Roman"/>
          <w:sz w:val="24"/>
          <w:szCs w:val="20"/>
          <w:lang w:val="en-US"/>
        </w:rPr>
        <w:fldChar w:fldCharType="separate"/>
      </w:r>
      <w:r w:rsidR="004F52B6" w:rsidRPr="005B7CAC">
        <w:rPr>
          <w:rFonts w:ascii="Times New Roman" w:hAnsi="Times New Roman"/>
          <w:noProof/>
          <w:sz w:val="24"/>
          <w:szCs w:val="20"/>
          <w:lang w:val="en-US"/>
        </w:rPr>
        <w:t xml:space="preserve">(Albitar </w:t>
      </w:r>
      <w:r w:rsidR="004F52B6" w:rsidRPr="005B7CAC">
        <w:rPr>
          <w:rFonts w:ascii="Times New Roman" w:hAnsi="Times New Roman"/>
          <w:i/>
          <w:noProof/>
          <w:sz w:val="24"/>
          <w:szCs w:val="20"/>
          <w:lang w:val="en-US"/>
        </w:rPr>
        <w:t>et al.</w:t>
      </w:r>
      <w:r w:rsidR="004F52B6" w:rsidRPr="005B7CAC">
        <w:rPr>
          <w:rFonts w:ascii="Times New Roman" w:hAnsi="Times New Roman"/>
          <w:noProof/>
          <w:sz w:val="24"/>
          <w:szCs w:val="20"/>
          <w:lang w:val="en-US"/>
        </w:rPr>
        <w:t>, 2023; Gull</w:t>
      </w:r>
      <w:r w:rsidR="002B78A0" w:rsidRPr="005B7CAC">
        <w:rPr>
          <w:rFonts w:ascii="Times New Roman" w:hAnsi="Times New Roman"/>
          <w:noProof/>
          <w:sz w:val="24"/>
          <w:szCs w:val="20"/>
          <w:lang w:val="en-US"/>
        </w:rPr>
        <w:t xml:space="preserve"> </w:t>
      </w:r>
      <w:r w:rsidR="004F52B6" w:rsidRPr="005B7CAC">
        <w:rPr>
          <w:rFonts w:ascii="Times New Roman" w:hAnsi="Times New Roman"/>
          <w:i/>
          <w:noProof/>
          <w:sz w:val="24"/>
          <w:szCs w:val="20"/>
          <w:lang w:val="en-US"/>
        </w:rPr>
        <w:t>et al.</w:t>
      </w:r>
      <w:r w:rsidR="004F52B6" w:rsidRPr="005B7CAC">
        <w:rPr>
          <w:rFonts w:ascii="Times New Roman" w:hAnsi="Times New Roman"/>
          <w:noProof/>
          <w:sz w:val="24"/>
          <w:szCs w:val="20"/>
          <w:lang w:val="en-US"/>
        </w:rPr>
        <w:t>, 2022</w:t>
      </w:r>
      <w:r w:rsidR="002B78A0" w:rsidRPr="005B7CAC">
        <w:rPr>
          <w:rFonts w:ascii="Times New Roman" w:hAnsi="Times New Roman"/>
          <w:noProof/>
          <w:sz w:val="24"/>
          <w:szCs w:val="20"/>
          <w:lang w:val="en-US"/>
        </w:rPr>
        <w:t>a</w:t>
      </w:r>
      <w:r w:rsidR="004F52B6" w:rsidRPr="005B7CAC">
        <w:rPr>
          <w:rFonts w:ascii="Times New Roman" w:hAnsi="Times New Roman"/>
          <w:noProof/>
          <w:sz w:val="24"/>
          <w:szCs w:val="20"/>
          <w:lang w:val="en-US"/>
        </w:rPr>
        <w:t>)</w:t>
      </w:r>
      <w:r w:rsidR="007F69BF" w:rsidRPr="005B7CAC">
        <w:rPr>
          <w:rFonts w:ascii="Times New Roman" w:hAnsi="Times New Roman"/>
          <w:sz w:val="24"/>
          <w:szCs w:val="20"/>
          <w:lang w:val="en-US"/>
        </w:rPr>
        <w:fldChar w:fldCharType="end"/>
      </w:r>
      <w:r w:rsidR="007F69BF" w:rsidRPr="005B7CAC">
        <w:rPr>
          <w:rFonts w:ascii="Times New Roman" w:hAnsi="Times New Roman"/>
          <w:sz w:val="24"/>
          <w:szCs w:val="20"/>
          <w:lang w:val="en-US"/>
        </w:rPr>
        <w:t xml:space="preserve">. </w:t>
      </w:r>
    </w:p>
    <w:p w14:paraId="3CC0CBC2" w14:textId="1D699686" w:rsidR="00C028A6" w:rsidRPr="005B7CAC" w:rsidRDefault="007F69BF" w:rsidP="003D5418">
      <w:pPr>
        <w:widowControl w:val="0"/>
        <w:autoSpaceDE w:val="0"/>
        <w:autoSpaceDN w:val="0"/>
        <w:adjustRightInd w:val="0"/>
        <w:spacing w:after="240" w:line="360" w:lineRule="auto"/>
        <w:jc w:val="both"/>
        <w:rPr>
          <w:rFonts w:ascii="Times New Roman" w:hAnsi="Times New Roman"/>
          <w:iCs/>
          <w:sz w:val="24"/>
          <w:szCs w:val="20"/>
          <w:lang w:val="en-US"/>
        </w:rPr>
      </w:pPr>
      <w:r w:rsidRPr="005B7CAC">
        <w:rPr>
          <w:rFonts w:ascii="Times New Roman" w:hAnsi="Times New Roman"/>
          <w:sz w:val="24"/>
          <w:szCs w:val="20"/>
          <w:lang w:val="en-US"/>
        </w:rPr>
        <w:t xml:space="preserve">Prior research suggests that </w:t>
      </w:r>
      <w:r w:rsidR="004F52B6" w:rsidRPr="005B7CAC">
        <w:rPr>
          <w:rFonts w:ascii="Times New Roman" w:hAnsi="Times New Roman"/>
          <w:i/>
          <w:iCs/>
          <w:sz w:val="24"/>
          <w:szCs w:val="20"/>
          <w:lang w:val="en-US"/>
        </w:rPr>
        <w:t>GINVs</w:t>
      </w:r>
      <w:r w:rsidR="00175C01" w:rsidRPr="005B7CAC">
        <w:rPr>
          <w:rFonts w:ascii="Times New Roman" w:hAnsi="Times New Roman"/>
          <w:sz w:val="24"/>
          <w:szCs w:val="20"/>
          <w:lang w:val="en-US"/>
        </w:rPr>
        <w:t xml:space="preserve"> can </w:t>
      </w:r>
      <w:r w:rsidR="00212AD3" w:rsidRPr="005B7CAC">
        <w:rPr>
          <w:rFonts w:ascii="Times New Roman" w:hAnsi="Times New Roman"/>
          <w:sz w:val="24"/>
          <w:szCs w:val="20"/>
          <w:lang w:val="en-US"/>
        </w:rPr>
        <w:t>enhanc</w:t>
      </w:r>
      <w:r w:rsidR="005C2B1D" w:rsidRPr="005B7CAC">
        <w:rPr>
          <w:rFonts w:ascii="Times New Roman" w:hAnsi="Times New Roman"/>
          <w:sz w:val="24"/>
          <w:szCs w:val="20"/>
          <w:lang w:val="en-US"/>
        </w:rPr>
        <w:t>e</w:t>
      </w:r>
      <w:r w:rsidR="00212AD3" w:rsidRPr="005B7CAC">
        <w:rPr>
          <w:rFonts w:ascii="Times New Roman" w:hAnsi="Times New Roman"/>
          <w:sz w:val="24"/>
          <w:szCs w:val="20"/>
          <w:lang w:val="en-US"/>
        </w:rPr>
        <w:t xml:space="preserve"> environmental transparency</w:t>
      </w:r>
      <w:r w:rsidR="005C2B1D" w:rsidRPr="005B7CAC">
        <w:rPr>
          <w:rFonts w:ascii="Times New Roman" w:hAnsi="Times New Roman"/>
          <w:sz w:val="24"/>
          <w:szCs w:val="20"/>
          <w:lang w:val="en-US"/>
        </w:rPr>
        <w:t xml:space="preserve"> </w:t>
      </w:r>
      <w:r w:rsidR="005C2B1D" w:rsidRPr="005B7CAC">
        <w:rPr>
          <w:rFonts w:ascii="Times New Roman" w:hAnsi="Times New Roman"/>
          <w:sz w:val="24"/>
          <w:szCs w:val="20"/>
          <w:lang w:val="en-US"/>
        </w:rPr>
        <w:fldChar w:fldCharType="begin" w:fldLock="1"/>
      </w:r>
      <w:r w:rsidR="005C2B1D" w:rsidRPr="005B7CAC">
        <w:rPr>
          <w:rFonts w:ascii="Times New Roman" w:hAnsi="Times New Roman"/>
          <w:sz w:val="24"/>
          <w:szCs w:val="20"/>
          <w:lang w:val="en-US"/>
        </w:rPr>
        <w:instrText>ADDIN CSL_CITATION {"citationItems":[{"id":"ITEM-1","itemData":{"DOI":"10.1002/bse.1950","ISSN":"10990836","abstract":"Sustainable development is a hot topic in business and the media, and there is a growing demand for reliable environmental disclosure from a wide range of stakeholders. Ethical performance, including social and environmental performance, is actively scrutinized. A firm's stakeholders expect reliable disclosure to correctly assess its performance. Research on the link between environmental disclosure and environmental performance shows mixed results. Both a positive and a negative association have been found. This study reexamines this association by considering environmental innovation as a key determinant of environmental disclosure. We find that environmental performance and environmental innovation jointly determine environmental disclosure. At low levels of environmental performance, innovative firms tend to disclose more than their non-innovative counterparts to inform stakeholders about their innovation and strategy to obtain an improved environmental performance. This disclosure gap tends to diminish as innovative firms become better environmental performers. The higher levels of environmental disclosure are closely associated with firms' environmental performance for both groups. Copyright © 2017 John Wiley &amp; Sons, Ltd and ERP Environment.","author":[{"dropping-particle":"","family":"Radu","given":"Camélia","non-dropping-particle":"","parse-names":false,"suffix":""},{"dropping-particle":"","family":"Francoeur","given":"Claude","non-dropping-particle":"","parse-names":false,"suffix":""}],"container-title":"Business Strategy and the Environment","id":"ITEM-1","issue":"7","issued":{"date-parts":[["2017"]]},"page":"893-911","title":"Does Innovation Drive Environmental Disclosure? A New Insight into Sustainable Development","type":"article-journal","volume":"26"},"uris":["http://www.mendeley.com/documents/?uuid=5dda1e77-62fa-30ff-98dd-bf0775805964"]}],"mendeley":{"formattedCitation":"(Radu and Francoeur, 2017)","plainTextFormattedCitation":"(Radu and Francoeur, 2017)","previouslyFormattedCitation":"(Radu and Francoeur, 2017)"},"properties":{"noteIndex":0},"schema":"https://github.com/citation-style-language/schema/raw/master/csl-citation.json"}</w:instrText>
      </w:r>
      <w:r w:rsidR="005C2B1D" w:rsidRPr="005B7CAC">
        <w:rPr>
          <w:rFonts w:ascii="Times New Roman" w:hAnsi="Times New Roman"/>
          <w:sz w:val="24"/>
          <w:szCs w:val="20"/>
          <w:lang w:val="en-US"/>
        </w:rPr>
        <w:fldChar w:fldCharType="separate"/>
      </w:r>
      <w:r w:rsidR="005C2B1D" w:rsidRPr="005B7CAC">
        <w:rPr>
          <w:rFonts w:ascii="Times New Roman" w:hAnsi="Times New Roman"/>
          <w:noProof/>
          <w:sz w:val="24"/>
          <w:szCs w:val="20"/>
          <w:lang w:val="en-US"/>
        </w:rPr>
        <w:t>(Radu and Francoeur, 2017)</w:t>
      </w:r>
      <w:r w:rsidR="005C2B1D" w:rsidRPr="005B7CAC">
        <w:rPr>
          <w:rFonts w:ascii="Times New Roman" w:hAnsi="Times New Roman"/>
          <w:sz w:val="24"/>
          <w:szCs w:val="20"/>
          <w:lang w:val="en-US"/>
        </w:rPr>
        <w:fldChar w:fldCharType="end"/>
      </w:r>
      <w:r w:rsidR="005C2B1D" w:rsidRPr="005B7CAC">
        <w:rPr>
          <w:rFonts w:ascii="Times New Roman" w:hAnsi="Times New Roman"/>
          <w:sz w:val="24"/>
          <w:szCs w:val="20"/>
          <w:lang w:val="en-US"/>
        </w:rPr>
        <w:t>,</w:t>
      </w:r>
      <w:r w:rsidR="00212AD3" w:rsidRPr="005B7CAC">
        <w:rPr>
          <w:rFonts w:ascii="Times New Roman" w:hAnsi="Times New Roman"/>
          <w:sz w:val="24"/>
          <w:szCs w:val="20"/>
          <w:lang w:val="en-US"/>
        </w:rPr>
        <w:t xml:space="preserve"> </w:t>
      </w:r>
      <w:r w:rsidR="00175C01" w:rsidRPr="005B7CAC">
        <w:rPr>
          <w:rFonts w:ascii="Times New Roman" w:hAnsi="Times New Roman"/>
          <w:sz w:val="24"/>
          <w:szCs w:val="20"/>
          <w:lang w:val="en-US"/>
        </w:rPr>
        <w:t xml:space="preserve">reduce carbon emissions </w:t>
      </w:r>
      <w:r w:rsidR="00790D5D" w:rsidRPr="005B7CAC">
        <w:rPr>
          <w:rFonts w:ascii="Times New Roman" w:hAnsi="Times New Roman"/>
          <w:sz w:val="24"/>
          <w:szCs w:val="20"/>
          <w:lang w:val="en-US"/>
        </w:rPr>
        <w:fldChar w:fldCharType="begin" w:fldLock="1"/>
      </w:r>
      <w:r w:rsidR="00790D5D" w:rsidRPr="005B7CAC">
        <w:rPr>
          <w:rFonts w:ascii="Times New Roman" w:hAnsi="Times New Roman"/>
          <w:sz w:val="24"/>
          <w:szCs w:val="20"/>
          <w:lang w:val="en-US"/>
        </w:rPr>
        <w:instrText>ADDIN CSL_CITATION {"citationItems":[{"id":"ITEM-1","itemData":{"ISSN":"0040-1625","author":[{"dropping-particle":"","family":"Konadu","given":"Renata","non-dropping-particle":"","parse-names":false,"suffix":""},{"dropping-particle":"","family":"Ahinful","given":"Gabriel Sam","non-dropping-particle":"","parse-names":false,"suffix":""},{"dropping-particle":"","family":"Boakye","given":"Danquah Jeff","non-dropping-particle":"","parse-names":false,"suffix":""},{"dropping-particle":"","family":"Elbardan","given":"Hany","non-dropping-particle":"","parse-names":false,"suffix":""}],"container-title":"Technological Forecasting and Social Change","id":"ITEM-1","issued":{"date-parts":[["2022"]]},"page":"121279","title":"Board gender diversity, environmental innovation and corporate carbon emissions","type":"article-journal","volume":"174"},"uris":["http://www.mendeley.com/documents/?uuid=a83b27ed-cc56-32e1-a88f-2808649048ed"]}],"mendeley":{"formattedCitation":"(Konadu &lt;i&gt;et al.&lt;/i&gt;, 2022)","plainTextFormattedCitation":"(Konadu et al., 2022)","previouslyFormattedCitation":"(Konadu &lt;i&gt;et al.&lt;/i&gt;, 2022)"},"properties":{"noteIndex":0},"schema":"https://github.com/citation-style-language/schema/raw/master/csl-citation.json"}</w:instrText>
      </w:r>
      <w:r w:rsidR="00790D5D" w:rsidRPr="005B7CAC">
        <w:rPr>
          <w:rFonts w:ascii="Times New Roman" w:hAnsi="Times New Roman"/>
          <w:sz w:val="24"/>
          <w:szCs w:val="20"/>
          <w:lang w:val="en-US"/>
        </w:rPr>
        <w:fldChar w:fldCharType="separate"/>
      </w:r>
      <w:r w:rsidR="005C2B1D" w:rsidRPr="005B7CAC">
        <w:rPr>
          <w:rFonts w:ascii="Times New Roman" w:hAnsi="Times New Roman"/>
          <w:noProof/>
          <w:sz w:val="24"/>
          <w:szCs w:val="20"/>
          <w:lang w:val="en-US"/>
        </w:rPr>
        <w:t xml:space="preserve">(Konadu </w:t>
      </w:r>
      <w:r w:rsidR="005C2B1D" w:rsidRPr="005B7CAC">
        <w:rPr>
          <w:rFonts w:ascii="Times New Roman" w:hAnsi="Times New Roman"/>
          <w:i/>
          <w:noProof/>
          <w:sz w:val="24"/>
          <w:szCs w:val="20"/>
          <w:lang w:val="en-US"/>
        </w:rPr>
        <w:t>et al.</w:t>
      </w:r>
      <w:r w:rsidR="005C2B1D" w:rsidRPr="005B7CAC">
        <w:rPr>
          <w:rFonts w:ascii="Times New Roman" w:hAnsi="Times New Roman"/>
          <w:noProof/>
          <w:sz w:val="24"/>
          <w:szCs w:val="20"/>
          <w:lang w:val="en-US"/>
        </w:rPr>
        <w:t>, 2022)</w:t>
      </w:r>
      <w:r w:rsidR="00790D5D" w:rsidRPr="005B7CAC">
        <w:rPr>
          <w:rFonts w:ascii="Times New Roman" w:hAnsi="Times New Roman"/>
          <w:sz w:val="24"/>
          <w:szCs w:val="20"/>
          <w:lang w:val="en-US"/>
        </w:rPr>
        <w:fldChar w:fldCharType="end"/>
      </w:r>
      <w:r w:rsidR="00212AD3" w:rsidRPr="005B7CAC">
        <w:rPr>
          <w:rFonts w:ascii="Times New Roman" w:hAnsi="Times New Roman"/>
          <w:sz w:val="24"/>
          <w:szCs w:val="20"/>
          <w:lang w:val="en-US"/>
        </w:rPr>
        <w:t>, and</w:t>
      </w:r>
      <w:r w:rsidR="005C2B1D" w:rsidRPr="005B7CAC">
        <w:rPr>
          <w:rFonts w:ascii="Times New Roman" w:hAnsi="Times New Roman"/>
          <w:sz w:val="24"/>
          <w:szCs w:val="20"/>
          <w:lang w:val="en-US"/>
        </w:rPr>
        <w:t xml:space="preserve"> prevent/mitigate excessive waste </w:t>
      </w:r>
      <w:r w:rsidR="00944D49" w:rsidRPr="005B7CAC">
        <w:rPr>
          <w:rFonts w:ascii="Times New Roman" w:hAnsi="Times New Roman"/>
          <w:sz w:val="24"/>
          <w:szCs w:val="20"/>
          <w:lang w:val="en-US"/>
        </w:rPr>
        <w:t xml:space="preserve">generation </w:t>
      </w:r>
      <w:r w:rsidR="00943F13" w:rsidRPr="005B7CAC">
        <w:rPr>
          <w:rFonts w:ascii="Times New Roman" w:hAnsi="Times New Roman"/>
          <w:sz w:val="24"/>
          <w:szCs w:val="20"/>
          <w:lang w:val="en-US"/>
        </w:rPr>
        <w:fldChar w:fldCharType="begin" w:fldLock="1"/>
      </w:r>
      <w:r w:rsidR="00943F13" w:rsidRPr="005B7CAC">
        <w:rPr>
          <w:rFonts w:ascii="Times New Roman" w:hAnsi="Times New Roman"/>
          <w:sz w:val="24"/>
          <w:szCs w:val="20"/>
          <w:lang w:val="en-US"/>
        </w:rPr>
        <w:instrText>ADDIN CSL_CITATION {"citationItems":[{"id":"ITEM-1","itemData":{"DOI":"10.1002/bse.3589","ISSN":"10990836","abstract":"Prior studies have reported an association between corporate waste management practices and certain board attributes, but none have focused on foreign directors. Therefore, we examine foreign directors' contributions to firms' waste management by exclusively focusing on waste reduction and recycling. Furthermore, we explore an important channel through which foreign directors spur better waste management, namely, eco-innovation. Drawing on 6891 observations affiliated with 9 sectors and 46 countries, we execute country, industry and year fixed-effects regression analysis. We find that while foreign directors on the board are negatively associated with waste generation, they are positively associated with waste recycling. Furthermore, while the eco-innovativeness of firms negatively moderates the association between foreign directors on the board and waste generation, it positively moderates the association between foreign directors on the board and waste recycling. Further channel analyses reveal more insights concerning polluting versus non-polluting and poor versus strong regulatory environments.","author":[{"dropping-particle":"","family":"Uyar","given":"Ali","non-dropping-particle":"","parse-names":false,"suffix":""},{"dropping-particle":"","family":"Al-Shaer","given":"Habiba","non-dropping-particle":"","parse-names":false,"suffix":""},{"dropping-particle":"","family":"Kuzey","given":"Cemil","non-dropping-particle":"","parse-names":false,"suffix":""},{"dropping-particle":"","family":"Karaman","given":"Abdullah S.","non-dropping-particle":"","parse-names":false,"suffix":""}],"container-title":"Business Strategy and the Environment","id":"ITEM-1","issued":{"date-parts":[["2023"]]},"page":"1-26","title":"Do foreign directors reinforce better waste management? The moderating role of eco-innovation","type":"article-journal"},"uris":["http://www.mendeley.com/documents/?uuid=2181dd7a-598d-44fd-b252-f31fe5b3ae59"]}],"mendeley":{"formattedCitation":"(Uyar &lt;i&gt;et al.&lt;/i&gt;, 2023)","plainTextFormattedCitation":"(Uyar et al., 2023)","previouslyFormattedCitation":"(Uyar &lt;i&gt;et al.&lt;/i&gt;, 2023)"},"properties":{"noteIndex":0},"schema":"https://github.com/citation-style-language/schema/raw/master/csl-citation.json"}</w:instrText>
      </w:r>
      <w:r w:rsidR="00943F13" w:rsidRPr="005B7CAC">
        <w:rPr>
          <w:rFonts w:ascii="Times New Roman" w:hAnsi="Times New Roman"/>
          <w:sz w:val="24"/>
          <w:szCs w:val="20"/>
          <w:lang w:val="en-US"/>
        </w:rPr>
        <w:fldChar w:fldCharType="separate"/>
      </w:r>
      <w:r w:rsidR="00790D5D" w:rsidRPr="005B7CAC">
        <w:rPr>
          <w:rFonts w:ascii="Times New Roman" w:hAnsi="Times New Roman"/>
          <w:noProof/>
          <w:sz w:val="24"/>
          <w:szCs w:val="20"/>
          <w:lang w:val="en-US"/>
        </w:rPr>
        <w:t xml:space="preserve">(Uyar </w:t>
      </w:r>
      <w:r w:rsidR="00790D5D" w:rsidRPr="005B7CAC">
        <w:rPr>
          <w:rFonts w:ascii="Times New Roman" w:hAnsi="Times New Roman"/>
          <w:i/>
          <w:noProof/>
          <w:sz w:val="24"/>
          <w:szCs w:val="20"/>
          <w:lang w:val="en-US"/>
        </w:rPr>
        <w:t>et al.</w:t>
      </w:r>
      <w:r w:rsidR="00790D5D" w:rsidRPr="005B7CAC">
        <w:rPr>
          <w:rFonts w:ascii="Times New Roman" w:hAnsi="Times New Roman"/>
          <w:noProof/>
          <w:sz w:val="24"/>
          <w:szCs w:val="20"/>
          <w:lang w:val="en-US"/>
        </w:rPr>
        <w:t>, 2023)</w:t>
      </w:r>
      <w:r w:rsidR="00943F13" w:rsidRPr="005B7CAC">
        <w:rPr>
          <w:rFonts w:ascii="Times New Roman" w:hAnsi="Times New Roman"/>
          <w:sz w:val="24"/>
          <w:szCs w:val="20"/>
          <w:lang w:val="en-US"/>
        </w:rPr>
        <w:fldChar w:fldCharType="end"/>
      </w:r>
      <w:r w:rsidR="005C2B1D" w:rsidRPr="005B7CAC">
        <w:rPr>
          <w:rFonts w:ascii="Times New Roman" w:hAnsi="Times New Roman"/>
          <w:sz w:val="24"/>
          <w:szCs w:val="20"/>
          <w:lang w:val="en-US"/>
        </w:rPr>
        <w:t>, thus creating sustainable values</w:t>
      </w:r>
      <w:r w:rsidR="00327FFE" w:rsidRPr="005B7CAC">
        <w:rPr>
          <w:rFonts w:ascii="Times New Roman" w:hAnsi="Times New Roman"/>
          <w:sz w:val="24"/>
          <w:szCs w:val="20"/>
          <w:lang w:val="en-US"/>
        </w:rPr>
        <w:t xml:space="preserve"> for organizational stakeholders</w:t>
      </w:r>
      <w:r w:rsidR="005C2B1D" w:rsidRPr="005B7CAC">
        <w:rPr>
          <w:rFonts w:ascii="Times New Roman" w:hAnsi="Times New Roman"/>
          <w:sz w:val="24"/>
          <w:szCs w:val="20"/>
          <w:lang w:val="en-US"/>
        </w:rPr>
        <w:t>.</w:t>
      </w:r>
      <w:r w:rsidR="00D75C2D" w:rsidRPr="005B7CAC">
        <w:rPr>
          <w:rFonts w:ascii="Times New Roman" w:hAnsi="Times New Roman"/>
          <w:sz w:val="24"/>
          <w:szCs w:val="20"/>
          <w:lang w:val="en-US"/>
        </w:rPr>
        <w:t xml:space="preserve"> </w:t>
      </w:r>
      <w:r w:rsidR="00E856E8" w:rsidRPr="005B7CAC">
        <w:rPr>
          <w:rFonts w:ascii="Times New Roman" w:hAnsi="Times New Roman"/>
          <w:sz w:val="24"/>
          <w:szCs w:val="20"/>
          <w:lang w:val="en-US"/>
        </w:rPr>
        <w:t>Additionally</w:t>
      </w:r>
      <w:r w:rsidR="00C36E6D" w:rsidRPr="005B7CAC">
        <w:rPr>
          <w:rFonts w:ascii="Times New Roman" w:hAnsi="Times New Roman"/>
          <w:sz w:val="24"/>
          <w:szCs w:val="20"/>
          <w:lang w:val="en-US"/>
        </w:rPr>
        <w:t>,</w:t>
      </w:r>
      <w:r w:rsidR="00E856E8" w:rsidRPr="005B7CAC">
        <w:rPr>
          <w:rFonts w:ascii="Times New Roman" w:hAnsi="Times New Roman"/>
          <w:sz w:val="24"/>
          <w:szCs w:val="20"/>
          <w:lang w:val="en-US"/>
        </w:rPr>
        <w:t xml:space="preserve"> </w:t>
      </w:r>
      <w:r w:rsidR="00C36E6D" w:rsidRPr="005B7CAC">
        <w:rPr>
          <w:rFonts w:ascii="Times New Roman" w:hAnsi="Times New Roman"/>
          <w:i/>
          <w:iCs/>
          <w:sz w:val="24"/>
          <w:szCs w:val="20"/>
          <w:lang w:val="en-US"/>
        </w:rPr>
        <w:t>GINVs</w:t>
      </w:r>
      <w:r w:rsidR="00C36E6D" w:rsidRPr="005B7CAC">
        <w:rPr>
          <w:rFonts w:ascii="Times New Roman" w:hAnsi="Times New Roman"/>
          <w:sz w:val="24"/>
          <w:szCs w:val="20"/>
          <w:lang w:val="en-US"/>
        </w:rPr>
        <w:t xml:space="preserve"> </w:t>
      </w:r>
      <w:r w:rsidR="00870FD0" w:rsidRPr="005B7CAC">
        <w:rPr>
          <w:rFonts w:ascii="Times New Roman" w:hAnsi="Times New Roman"/>
          <w:sz w:val="24"/>
          <w:szCs w:val="20"/>
          <w:lang w:val="en-US"/>
        </w:rPr>
        <w:t xml:space="preserve">may </w:t>
      </w:r>
      <w:r w:rsidR="00E856E8" w:rsidRPr="005B7CAC">
        <w:rPr>
          <w:rFonts w:ascii="Times New Roman" w:hAnsi="Times New Roman"/>
          <w:sz w:val="24"/>
          <w:szCs w:val="20"/>
          <w:lang w:val="en-US"/>
        </w:rPr>
        <w:t xml:space="preserve">serve </w:t>
      </w:r>
      <w:r w:rsidR="00C36E6D" w:rsidRPr="005B7CAC">
        <w:rPr>
          <w:rFonts w:ascii="Times New Roman" w:hAnsi="Times New Roman"/>
          <w:sz w:val="24"/>
          <w:szCs w:val="20"/>
          <w:lang w:val="en-US"/>
        </w:rPr>
        <w:t>as an environmental strategy,</w:t>
      </w:r>
      <w:r w:rsidR="00E856E8" w:rsidRPr="005B7CAC">
        <w:rPr>
          <w:rFonts w:ascii="Times New Roman" w:hAnsi="Times New Roman"/>
          <w:sz w:val="24"/>
          <w:szCs w:val="20"/>
          <w:lang w:val="en-US"/>
        </w:rPr>
        <w:t xml:space="preserve"> influencing the link between </w:t>
      </w:r>
      <w:r w:rsidR="00C36E6D" w:rsidRPr="005B7CAC">
        <w:rPr>
          <w:rFonts w:ascii="Times New Roman" w:hAnsi="Times New Roman"/>
          <w:sz w:val="24"/>
          <w:szCs w:val="20"/>
          <w:lang w:val="en-US"/>
        </w:rPr>
        <w:t xml:space="preserve">environmental performance </w:t>
      </w:r>
      <w:r w:rsidR="00E856E8" w:rsidRPr="005B7CAC">
        <w:rPr>
          <w:rFonts w:ascii="Times New Roman" w:hAnsi="Times New Roman"/>
          <w:sz w:val="24"/>
          <w:szCs w:val="20"/>
          <w:lang w:val="en-US"/>
        </w:rPr>
        <w:t>and</w:t>
      </w:r>
      <w:r w:rsidR="00C36E6D" w:rsidRPr="005B7CAC">
        <w:rPr>
          <w:rFonts w:ascii="Times New Roman" w:hAnsi="Times New Roman"/>
          <w:sz w:val="24"/>
          <w:szCs w:val="20"/>
          <w:lang w:val="en-US"/>
        </w:rPr>
        <w:t xml:space="preserve"> financial </w:t>
      </w:r>
      <w:r w:rsidR="00E856E8" w:rsidRPr="005B7CAC">
        <w:rPr>
          <w:rFonts w:ascii="Times New Roman" w:hAnsi="Times New Roman"/>
          <w:sz w:val="24"/>
          <w:szCs w:val="20"/>
          <w:lang w:val="en-US"/>
        </w:rPr>
        <w:t xml:space="preserve">results </w:t>
      </w:r>
      <w:r w:rsidR="00E856E8" w:rsidRPr="005B7CAC">
        <w:rPr>
          <w:rFonts w:ascii="Times New Roman" w:hAnsi="Times New Roman"/>
          <w:sz w:val="24"/>
          <w:szCs w:val="20"/>
          <w:lang w:val="en-US"/>
        </w:rPr>
        <w:fldChar w:fldCharType="begin" w:fldLock="1"/>
      </w:r>
      <w:r w:rsidR="00AB663D" w:rsidRPr="005B7CAC">
        <w:rPr>
          <w:rFonts w:ascii="Times New Roman" w:hAnsi="Times New Roman"/>
          <w:sz w:val="24"/>
          <w:szCs w:val="20"/>
          <w:lang w:val="en-US"/>
        </w:rPr>
        <w:instrText>ADDIN CSL_CITATION {"citationItems":[{"id":"ITEM-1","itemData":{"DOI":"10.1016/J.JENVMAN.2021.113695","ISSN":"0301-4797","PMID":"34649325","abstract":"The current global economy demands synergies between ecological responsiveness and business models. To analyse this dynamic, this study investigates the relationship between green innovation and corporate financial performance for German HDAX companies from 2008 to 2019 by constructing an green innovation measure. A two-step GMM system and penalised-spline estimation are used to test the linear relationship between green innovation and financial proxies (return on assets, return on invested capital, and the market-to-book ratio). The results indicate a linear positive effect of green innovation on different financial performance measures. This suggests that green innovation drives resource efficiency and enhances corporate reputation, which, in turn, boosts financial performance.","author":[{"dropping-particle":"","family":"Farza","given":"Khouloud","non-dropping-particle":"","parse-names":false,"suffix":""},{"dropping-particle":"","family":"Ftiti","given":"Zied","non-dropping-particle":"","parse-names":false,"suffix":""},{"dropping-particle":"","family":"Hlioui","given":"Zaineb","non-dropping-particle":"","parse-names":false,"suffix":""},{"dropping-particle":"","family":"Louhichi","given":"Waël","non-dropping-particle":"","parse-names":false,"suffix":""},{"dropping-particle":"","family":"Omri","given":"Abdelwahed","non-dropping-particle":"","parse-names":false,"suffix":""}],"container-title":"Journal of Environmental Management","id":"ITEM-1","issued":{"date-parts":[["2021","12","15"]]},"page":"113695","title":"Does it pay to go green? The environmental innovation effect on corporate financial performance","type":"article-journal","volume":"300"},"uris":["http://www.mendeley.com/documents/?uuid=94c3d31e-6ae8-3300-878c-0defa20cccf3"]},{"id":"ITEM-2","itemData":{"DOI":"10.1007/s10668-023-03328-4","ISSN":"15732975","abstract":"In today’s world, businesses and organizations should behave appropriately for the environment in order to make a contribution to welfare benefits while also gaining business opportunities and economic development. Green practice’s adoption could assist businesses to start saving mineral wealth, and power, avoid environmental damage and even result in the long development of businesses. This study examined the correlation between external environmental factors and green product innovation, as well as the impact of green product innovation on the environmental and financial performance of 400 manufacturing SMEs in Vietnam's primary industrial units. Customer pressure, government pressure, government support, and market changes all had a beneficial effect on green product innovation, according to the findings. Furthermore, this study found a strong positive relationship between green product innovation and environmental and financial performance. Based on the research findings of this research, SME administrators can effectively adapt their business strategies to attain greater financial results and a comparative position in the market while utilizing green initiatives to grow their businesses and preserve the natural environment in a sustainable manner.","author":[{"dropping-particle":"","family":"Ha","given":"Nguyen Minh","non-dropping-particle":"","parse-names":false,"suffix":""},{"dropping-particle":"","family":"Nguyen","given":"Pham Anh","non-dropping-particle":"","parse-names":false,"suffix":""},{"dropping-particle":"","family":"Luan","given":"Nguyen Vinh","non-dropping-particle":"","parse-names":false,"suffix":""},{"dropping-particle":"","family":"Tam","given":"Nguyen Minh","non-dropping-particle":"","parse-names":false,"suffix":""}],"container-title":"Environment, Development and Sustainability","id":"ITEM-2","issue":"7","issued":{"date-parts":[["2024"]]},"page":"17083–17104","title":"Impact of green innovation on environmental performance and financial performance","type":"article-journal","volume":"26"},"uris":["http://www.mendeley.com/documents/?uuid=3e4916fc-e6a6-3c9e-bf0d-5edd4f8d7168"]}],"mendeley":{"formattedCitation":"(Farza &lt;i&gt;et al.&lt;/i&gt;, 2021; Ha &lt;i&gt;et al.&lt;/i&gt;, 2024)","plainTextFormattedCitation":"(Farza et al., 2021; Ha et al., 2024)","previouslyFormattedCitation":"(Farza &lt;i&gt;et al.&lt;/i&gt;, 2021; Ha &lt;i&gt;et al.&lt;/i&gt;, 2024)"},"properties":{"noteIndex":0},"schema":"https://github.com/citation-style-language/schema/raw/master/csl-citation.json"}</w:instrText>
      </w:r>
      <w:r w:rsidR="00E856E8" w:rsidRPr="005B7CAC">
        <w:rPr>
          <w:rFonts w:ascii="Times New Roman" w:hAnsi="Times New Roman"/>
          <w:sz w:val="24"/>
          <w:szCs w:val="20"/>
          <w:lang w:val="en-US"/>
        </w:rPr>
        <w:fldChar w:fldCharType="separate"/>
      </w:r>
      <w:r w:rsidR="00E856E8" w:rsidRPr="005B7CAC">
        <w:rPr>
          <w:rFonts w:ascii="Times New Roman" w:hAnsi="Times New Roman"/>
          <w:noProof/>
          <w:sz w:val="24"/>
          <w:szCs w:val="20"/>
          <w:lang w:val="en-US"/>
        </w:rPr>
        <w:t xml:space="preserve">(Farza </w:t>
      </w:r>
      <w:r w:rsidR="00E856E8" w:rsidRPr="005B7CAC">
        <w:rPr>
          <w:rFonts w:ascii="Times New Roman" w:hAnsi="Times New Roman"/>
          <w:i/>
          <w:noProof/>
          <w:sz w:val="24"/>
          <w:szCs w:val="20"/>
          <w:lang w:val="en-US"/>
        </w:rPr>
        <w:t>et al.</w:t>
      </w:r>
      <w:r w:rsidR="00E856E8" w:rsidRPr="005B7CAC">
        <w:rPr>
          <w:rFonts w:ascii="Times New Roman" w:hAnsi="Times New Roman"/>
          <w:noProof/>
          <w:sz w:val="24"/>
          <w:szCs w:val="20"/>
          <w:lang w:val="en-US"/>
        </w:rPr>
        <w:t xml:space="preserve">, 2021; Ha </w:t>
      </w:r>
      <w:r w:rsidR="00E856E8" w:rsidRPr="005B7CAC">
        <w:rPr>
          <w:rFonts w:ascii="Times New Roman" w:hAnsi="Times New Roman"/>
          <w:i/>
          <w:noProof/>
          <w:sz w:val="24"/>
          <w:szCs w:val="20"/>
          <w:lang w:val="en-US"/>
        </w:rPr>
        <w:t>et al.</w:t>
      </w:r>
      <w:r w:rsidR="00E856E8" w:rsidRPr="005B7CAC">
        <w:rPr>
          <w:rFonts w:ascii="Times New Roman" w:hAnsi="Times New Roman"/>
          <w:noProof/>
          <w:sz w:val="24"/>
          <w:szCs w:val="20"/>
          <w:lang w:val="en-US"/>
        </w:rPr>
        <w:t>, 2024)</w:t>
      </w:r>
      <w:r w:rsidR="00E856E8" w:rsidRPr="005B7CAC">
        <w:rPr>
          <w:rFonts w:ascii="Times New Roman" w:hAnsi="Times New Roman"/>
          <w:sz w:val="24"/>
          <w:szCs w:val="20"/>
          <w:lang w:val="en-US"/>
        </w:rPr>
        <w:fldChar w:fldCharType="end"/>
      </w:r>
      <w:r w:rsidR="002E227B" w:rsidRPr="005B7CAC">
        <w:rPr>
          <w:rFonts w:ascii="Times New Roman" w:hAnsi="Times New Roman"/>
          <w:sz w:val="24"/>
          <w:szCs w:val="20"/>
          <w:lang w:val="en-US"/>
        </w:rPr>
        <w:t xml:space="preserve">. </w:t>
      </w:r>
      <w:r w:rsidR="002D415A" w:rsidRPr="005B7CAC">
        <w:rPr>
          <w:rFonts w:ascii="Times New Roman" w:hAnsi="Times New Roman"/>
          <w:sz w:val="24"/>
          <w:szCs w:val="20"/>
          <w:lang w:val="en-US"/>
        </w:rPr>
        <w:t xml:space="preserve">As noted by past research </w:t>
      </w:r>
      <w:r w:rsidR="002D415A" w:rsidRPr="005B7CAC">
        <w:rPr>
          <w:rFonts w:ascii="Times New Roman" w:hAnsi="Times New Roman"/>
          <w:sz w:val="24"/>
          <w:szCs w:val="20"/>
          <w:lang w:val="en-US"/>
        </w:rPr>
        <w:fldChar w:fldCharType="begin" w:fldLock="1"/>
      </w:r>
      <w:r w:rsidR="002D415A" w:rsidRPr="005B7CAC">
        <w:rPr>
          <w:rFonts w:ascii="Times New Roman" w:hAnsi="Times New Roman"/>
          <w:sz w:val="24"/>
          <w:szCs w:val="20"/>
          <w:lang w:val="en-US"/>
        </w:rPr>
        <w:instrText>ADDIN CSL_CITATION {"citationItems":[{"id":"ITEM-1","itemData":{"DOI":"10.1002/bse.3232","ISSN":"10990836","abstract":"This paper examines the effects of environmental innovation on CO2 emissions as well as the moderating role of environmental governance in this relationship. Based on a sample of companies listed on the London Stock Exchange for the period from 2016 to 2020, the findings show that environmental innovation reduces CO2 emissions including Scope 1 and Scope 2 CO2 emissions. Likewise, our findings are associative of a moderating effect of environmental governance on the environmental innovation-CO2 emissions nexus. We argue that environmental innovation along with better environmental governance leads to a reduction in CO2 emissions. Our results hold for subsamples of firms with a strong/low environmental governance and ESG performance. Our findings offer important implications for companies and policymakers towards adopting more environmental technologies along with enhancing environmental governance to reduce CO2 emissions.","author":[{"dropping-particle":"","family":"Albitar","given":"Khaldoon","non-dropping-particle":"","parse-names":false,"suffix":""},{"dropping-particle":"","family":"Borgi","given":"Hela","non-dropping-particle":"","parse-names":false,"suffix":""},{"dropping-particle":"","family":"Khan","given":"Muzammal","non-dropping-particle":"","parse-names":false,"suffix":""},{"dropping-particle":"","family":"Zahra","given":"Anum","non-dropping-particle":"","parse-names":false,"suffix":""}],"container-title":"Business Strategy and the Environment","id":"ITEM-1","issue":"4","issued":{"date-parts":[["2023"]]},"page":"1996-2007","title":"Business environmental innovation and CO2 emissions: The moderating role of environmental governance","type":"article-journal","volume":"32"},"uris":["http://www.mendeley.com/documents/?uuid=7de5d50a-1720-35da-acfc-b514ae3b49a5"]},{"id":"ITEM-2","itemData":{"DOI":"10.1016/J.JCLEPRO.2014.07.059","ISSN":"0959-6526","abstract":"The theoretical framework of the Natural Resource-Based View has been used to study how firms that develop environmentally proactive strategies achieve better performance. In particular, we have tried to introduce a novel perspective in the environmental management-firm performance debate by proposing that environmental product innovation and marketing capabilities can interact and achieve positive performance outcomes. By making the connection between product stewardship strategies and a shift in focus from processes to products, our study empirically analyzes the moderating role of the green corporate image in the relationship between environmental product innovations and firm performance in 157 Spanish metal firms. The results show the importance of efficiently managing the green image of the firm.","author":[{"dropping-particle":"","family":"Amores-Salvadó","given":"Javier","non-dropping-particle":"","parse-names":false,"suffix":""},{"dropping-particle":"De","family":"Castro","given":"Gregorio Martín","non-dropping-particle":"","parse-names":false,"suffix":""},{"dropping-particle":"","family":"Navas-López","given":"José E.","non-dropping-particle":"","parse-names":false,"suffix":""}],"container-title":"Journal of Cleaner Production","id":"ITEM-2","issued":{"date-parts":[["2014","11","15"]]},"page":"356-365","title":"Green corporate image: moderating the connection between environmental product innovation and firm performance","type":"article-journal","volume":"83"},"uris":["http://www.mendeley.com/documents/?uuid=f5a6bb50-3e38-3fec-8dbd-b33706083e08"]},{"id":"ITEM-3","itemData":{"DOI":"10.1108/IJAIM-04-2023-0107","ISSN":"17589037","abstract":"Purpose: This study aims to examine the relationship between carbon reduction initiatives and financial performance. Additionally, it explores potential moderating variables, such as corporate social responsible (CSR) strategy and corporate governance practices, that may strengthen the link between carbon reduction initiatives and financial performance. Design/methodology/approach: The empirical analysis is conducted using 1,740 firm-year observations from UK firms listed on the FTSE 350. Data on carbon emissions and firm-specific characteristics are obtained from the Refinitiv Eikon database for the period 2011–2020. Various econometric techniques, including ordinary least squares and system generalized method of moments, are used to examine the relationship between carbon reduction initiatives and financial performance. Additionally, alternative samples are used to further explore this relationship. Findings: The author observes a significantly positive association between carbon reduction initiatives and financial performance in this study. Additionally, the significance of this relationship is found to be present specifically after the announcement of the Paris Agreement. Furthermore, a channel analysis reveals that moderating factors like CSR strategy and corporate governance quality influence this relationship. Practical implications: The study underscores the importance of carbon reduction initiatives for sustainable business growth and financial performance. Managers can use these insights to prioritize investments in sustainable practices. Policymakers should consider implementing supportive regulations to incentivize companies to adopt carbon reduction strategies. Originality/value: This study adds value to the existing body of literature by empirically examining the moderating role of CSR strategy and best corporate governance practices in the relationship between carbon reduction initiatives and financial performance. The findings contribute to a deeper understanding of how these factors interact and influence the outcomes.","author":[{"dropping-particle":"","family":"Issa","given":"Ayman","non-dropping-particle":"","parse-names":false,"suffix":""}],"container-title":"International Journal of Accounting and Information Management","id":"ITEM-3","issued":{"date-parts":[["2023"]]},"title":"Do emissions reduction initiatives improve financial performance? Empirical analysis of moderating factors","type":"article-journal"},"uris":["http://www.mendeley.com/documents/?uuid=5d57898e-647e-4fd4-9f4d-31fcd905f88e"]}],"mendeley":{"formattedCitation":"(Albitar &lt;i&gt;et al.&lt;/i&gt;, 2023; Amores-Salvadó &lt;i&gt;et al.&lt;/i&gt;, 2014; Issa, 2023)","plainTextFormattedCitation":"(Albitar et al., 2023; Amores-Salvadó et al., 2014; Issa, 2023)","previouslyFormattedCitation":"(Albitar &lt;i&gt;et al.&lt;/i&gt;, 2023; Amores-Salvadó &lt;i&gt;et al.&lt;/i&gt;, 2014; Issa, 2023)"},"properties":{"noteIndex":0},"schema":"https://github.com/citation-style-language/schema/raw/master/csl-citation.json"}</w:instrText>
      </w:r>
      <w:r w:rsidR="002D415A" w:rsidRPr="005B7CAC">
        <w:rPr>
          <w:rFonts w:ascii="Times New Roman" w:hAnsi="Times New Roman"/>
          <w:sz w:val="24"/>
          <w:szCs w:val="20"/>
          <w:lang w:val="en-US"/>
        </w:rPr>
        <w:fldChar w:fldCharType="separate"/>
      </w:r>
      <w:r w:rsidR="002D415A" w:rsidRPr="005B7CAC">
        <w:rPr>
          <w:rFonts w:ascii="Times New Roman" w:hAnsi="Times New Roman"/>
          <w:noProof/>
          <w:sz w:val="24"/>
          <w:szCs w:val="20"/>
          <w:lang w:val="en-US"/>
        </w:rPr>
        <w:t xml:space="preserve">(Albitar </w:t>
      </w:r>
      <w:r w:rsidR="002D415A" w:rsidRPr="005B7CAC">
        <w:rPr>
          <w:rFonts w:ascii="Times New Roman" w:hAnsi="Times New Roman"/>
          <w:i/>
          <w:noProof/>
          <w:sz w:val="24"/>
          <w:szCs w:val="20"/>
          <w:lang w:val="en-US"/>
        </w:rPr>
        <w:t>et al.</w:t>
      </w:r>
      <w:r w:rsidR="002D415A" w:rsidRPr="005B7CAC">
        <w:rPr>
          <w:rFonts w:ascii="Times New Roman" w:hAnsi="Times New Roman"/>
          <w:noProof/>
          <w:sz w:val="24"/>
          <w:szCs w:val="20"/>
          <w:lang w:val="en-US"/>
        </w:rPr>
        <w:t xml:space="preserve">, 2023; Amores-Salvadó </w:t>
      </w:r>
      <w:r w:rsidR="002D415A" w:rsidRPr="005B7CAC">
        <w:rPr>
          <w:rFonts w:ascii="Times New Roman" w:hAnsi="Times New Roman"/>
          <w:i/>
          <w:noProof/>
          <w:sz w:val="24"/>
          <w:szCs w:val="20"/>
          <w:lang w:val="en-US"/>
        </w:rPr>
        <w:t>et al.</w:t>
      </w:r>
      <w:r w:rsidR="002D415A" w:rsidRPr="005B7CAC">
        <w:rPr>
          <w:rFonts w:ascii="Times New Roman" w:hAnsi="Times New Roman"/>
          <w:noProof/>
          <w:sz w:val="24"/>
          <w:szCs w:val="20"/>
          <w:lang w:val="en-US"/>
        </w:rPr>
        <w:t>, 2014; Issa, 2023)</w:t>
      </w:r>
      <w:r w:rsidR="002D415A" w:rsidRPr="005B7CAC">
        <w:rPr>
          <w:rFonts w:ascii="Times New Roman" w:hAnsi="Times New Roman"/>
          <w:sz w:val="24"/>
          <w:szCs w:val="20"/>
          <w:lang w:val="en-US"/>
        </w:rPr>
        <w:fldChar w:fldCharType="end"/>
      </w:r>
      <w:r w:rsidR="00D75C2D" w:rsidRPr="005B7CAC">
        <w:rPr>
          <w:rFonts w:ascii="Times New Roman" w:hAnsi="Times New Roman"/>
          <w:sz w:val="24"/>
          <w:szCs w:val="20"/>
          <w:lang w:val="en-US"/>
        </w:rPr>
        <w:t>,</w:t>
      </w:r>
      <w:r w:rsidR="002D415A" w:rsidRPr="005B7CAC">
        <w:rPr>
          <w:rFonts w:ascii="Times New Roman" w:hAnsi="Times New Roman"/>
          <w:sz w:val="24"/>
          <w:szCs w:val="20"/>
          <w:lang w:val="en-US"/>
        </w:rPr>
        <w:t xml:space="preserve"> </w:t>
      </w:r>
      <w:r w:rsidR="00D75C2D" w:rsidRPr="005B7CAC">
        <w:rPr>
          <w:rFonts w:ascii="Times New Roman" w:hAnsi="Times New Roman"/>
          <w:sz w:val="24"/>
          <w:szCs w:val="20"/>
          <w:lang w:val="en-US"/>
        </w:rPr>
        <w:t>e</w:t>
      </w:r>
      <w:r w:rsidR="005A2804" w:rsidRPr="005B7CAC">
        <w:rPr>
          <w:rFonts w:ascii="Times New Roman" w:hAnsi="Times New Roman"/>
          <w:sz w:val="24"/>
          <w:szCs w:val="20"/>
          <w:lang w:val="en-US"/>
        </w:rPr>
        <w:t>co-friendly green transformation initiatives</w:t>
      </w:r>
      <w:r w:rsidR="00D75C2D" w:rsidRPr="005B7CAC">
        <w:rPr>
          <w:rFonts w:ascii="Times New Roman" w:hAnsi="Times New Roman"/>
          <w:sz w:val="24"/>
          <w:szCs w:val="20"/>
          <w:lang w:val="en-US"/>
        </w:rPr>
        <w:t xml:space="preserve"> offer several benefits, such as allocati</w:t>
      </w:r>
      <w:r w:rsidR="00BC03D8" w:rsidRPr="005B7CAC">
        <w:rPr>
          <w:rFonts w:ascii="Times New Roman" w:hAnsi="Times New Roman"/>
          <w:sz w:val="24"/>
          <w:szCs w:val="20"/>
          <w:lang w:val="en-US"/>
        </w:rPr>
        <w:t xml:space="preserve">ng </w:t>
      </w:r>
      <w:r w:rsidR="00DD6900" w:rsidRPr="005B7CAC">
        <w:rPr>
          <w:rFonts w:ascii="Times New Roman" w:hAnsi="Times New Roman"/>
          <w:sz w:val="24"/>
          <w:szCs w:val="20"/>
          <w:lang w:val="en-US"/>
        </w:rPr>
        <w:t xml:space="preserve">efficiently </w:t>
      </w:r>
      <w:r w:rsidR="00825E9F" w:rsidRPr="005B7CAC">
        <w:rPr>
          <w:rFonts w:ascii="Times New Roman" w:hAnsi="Times New Roman"/>
          <w:sz w:val="24"/>
          <w:szCs w:val="20"/>
          <w:lang w:val="en-US"/>
        </w:rPr>
        <w:t>economic resources</w:t>
      </w:r>
      <w:r w:rsidR="00D75C2D" w:rsidRPr="005B7CAC">
        <w:rPr>
          <w:rFonts w:ascii="Times New Roman" w:hAnsi="Times New Roman"/>
          <w:sz w:val="24"/>
          <w:szCs w:val="20"/>
          <w:lang w:val="en-US"/>
        </w:rPr>
        <w:t>,</w:t>
      </w:r>
      <w:r w:rsidR="00BC03D8" w:rsidRPr="005B7CAC">
        <w:rPr>
          <w:rFonts w:ascii="Times New Roman" w:hAnsi="Times New Roman"/>
          <w:sz w:val="24"/>
          <w:szCs w:val="20"/>
          <w:lang w:val="en-US"/>
        </w:rPr>
        <w:t xml:space="preserve"> </w:t>
      </w:r>
      <w:r w:rsidR="00DD6900" w:rsidRPr="005B7CAC">
        <w:rPr>
          <w:rFonts w:ascii="Times New Roman" w:hAnsi="Times New Roman"/>
          <w:sz w:val="24"/>
          <w:szCs w:val="20"/>
          <w:lang w:val="en-US"/>
        </w:rPr>
        <w:t>improving production and energy efficiency,</w:t>
      </w:r>
      <w:r w:rsidR="002E227B" w:rsidRPr="005B7CAC">
        <w:rPr>
          <w:rFonts w:ascii="Times New Roman" w:hAnsi="Times New Roman"/>
          <w:sz w:val="24"/>
          <w:szCs w:val="20"/>
          <w:lang w:val="en-US"/>
        </w:rPr>
        <w:t xml:space="preserve"> </w:t>
      </w:r>
      <w:r w:rsidR="00BC03D8" w:rsidRPr="005B7CAC">
        <w:rPr>
          <w:rFonts w:ascii="Times New Roman" w:hAnsi="Times New Roman"/>
          <w:sz w:val="24"/>
          <w:szCs w:val="20"/>
          <w:lang w:val="en-US"/>
        </w:rPr>
        <w:t xml:space="preserve">mitigating </w:t>
      </w:r>
      <w:r w:rsidR="00DD6900" w:rsidRPr="005B7CAC">
        <w:rPr>
          <w:rFonts w:ascii="Times New Roman" w:hAnsi="Times New Roman"/>
          <w:sz w:val="24"/>
          <w:szCs w:val="20"/>
          <w:lang w:val="en-US"/>
        </w:rPr>
        <w:t xml:space="preserve">environmental </w:t>
      </w:r>
      <w:r w:rsidR="00BC03D8" w:rsidRPr="005B7CAC">
        <w:rPr>
          <w:rFonts w:ascii="Times New Roman" w:hAnsi="Times New Roman"/>
          <w:sz w:val="24"/>
          <w:szCs w:val="20"/>
          <w:lang w:val="en-US"/>
        </w:rPr>
        <w:t>risks</w:t>
      </w:r>
      <w:r w:rsidR="002E227B" w:rsidRPr="005B7CAC">
        <w:rPr>
          <w:rFonts w:ascii="Times New Roman" w:hAnsi="Times New Roman"/>
          <w:sz w:val="24"/>
          <w:szCs w:val="20"/>
          <w:lang w:val="en-US"/>
        </w:rPr>
        <w:t>/threats</w:t>
      </w:r>
      <w:r w:rsidR="00BC03D8" w:rsidRPr="005B7CAC">
        <w:rPr>
          <w:rFonts w:ascii="Times New Roman" w:hAnsi="Times New Roman"/>
          <w:sz w:val="24"/>
          <w:szCs w:val="20"/>
          <w:lang w:val="en-US"/>
        </w:rPr>
        <w:t xml:space="preserve">, </w:t>
      </w:r>
      <w:r w:rsidR="00E856E8" w:rsidRPr="005B7CAC">
        <w:rPr>
          <w:rFonts w:ascii="Times New Roman" w:hAnsi="Times New Roman"/>
          <w:sz w:val="24"/>
          <w:szCs w:val="20"/>
          <w:lang w:val="en-US"/>
        </w:rPr>
        <w:t>and ultimately enhancing corporate resilience to financial risks</w:t>
      </w:r>
      <w:r w:rsidR="002D415A" w:rsidRPr="005B7CAC">
        <w:rPr>
          <w:rFonts w:ascii="Times New Roman" w:hAnsi="Times New Roman"/>
          <w:sz w:val="24"/>
          <w:szCs w:val="20"/>
          <w:lang w:val="en-US"/>
        </w:rPr>
        <w:t xml:space="preserve">. </w:t>
      </w:r>
      <w:r w:rsidR="0031489A" w:rsidRPr="005B7CAC">
        <w:rPr>
          <w:rFonts w:ascii="Times New Roman" w:hAnsi="Times New Roman"/>
          <w:sz w:val="24"/>
          <w:szCs w:val="20"/>
          <w:lang w:val="en-US"/>
        </w:rPr>
        <w:t xml:space="preserve">Taking into account </w:t>
      </w:r>
      <w:r w:rsidR="002E227B" w:rsidRPr="005B7CAC">
        <w:rPr>
          <w:rFonts w:ascii="Times New Roman" w:hAnsi="Times New Roman"/>
          <w:sz w:val="24"/>
          <w:szCs w:val="20"/>
          <w:lang w:val="en-US"/>
        </w:rPr>
        <w:t>the importance of environmental innovation</w:t>
      </w:r>
      <w:r w:rsidR="005C045C" w:rsidRPr="005B7CAC">
        <w:rPr>
          <w:rFonts w:ascii="Times New Roman" w:hAnsi="Times New Roman"/>
          <w:sz w:val="24"/>
          <w:szCs w:val="20"/>
          <w:lang w:val="en-US"/>
        </w:rPr>
        <w:t xml:space="preserve">s in shaping environmental and financial performance, we seek to </w:t>
      </w:r>
      <w:r w:rsidR="001068BC" w:rsidRPr="005B7CAC">
        <w:rPr>
          <w:rFonts w:ascii="Times New Roman" w:hAnsi="Times New Roman"/>
          <w:sz w:val="24"/>
          <w:szCs w:val="20"/>
          <w:lang w:val="en-US"/>
        </w:rPr>
        <w:t>extend the existing literature</w:t>
      </w:r>
      <w:r w:rsidR="005C045C" w:rsidRPr="005B7CAC">
        <w:rPr>
          <w:rFonts w:ascii="Times New Roman" w:hAnsi="Times New Roman"/>
          <w:sz w:val="24"/>
          <w:szCs w:val="20"/>
          <w:lang w:val="en-US"/>
        </w:rPr>
        <w:t xml:space="preserve"> </w:t>
      </w:r>
      <w:r w:rsidR="0031489A" w:rsidRPr="005B7CAC">
        <w:rPr>
          <w:rFonts w:ascii="Times New Roman" w:hAnsi="Times New Roman"/>
          <w:sz w:val="24"/>
          <w:szCs w:val="20"/>
          <w:lang w:val="en-US"/>
        </w:rPr>
        <w:t xml:space="preserve">by testing </w:t>
      </w:r>
      <w:r w:rsidR="0032174C" w:rsidRPr="005B7CAC">
        <w:rPr>
          <w:rFonts w:ascii="Times New Roman" w:hAnsi="Times New Roman"/>
          <w:sz w:val="24"/>
          <w:szCs w:val="20"/>
          <w:lang w:val="en-US"/>
        </w:rPr>
        <w:t>how</w:t>
      </w:r>
      <w:r w:rsidR="0031489A" w:rsidRPr="005B7CAC">
        <w:rPr>
          <w:rFonts w:ascii="Times New Roman" w:hAnsi="Times New Roman"/>
          <w:sz w:val="24"/>
          <w:szCs w:val="20"/>
          <w:lang w:val="en-US"/>
        </w:rPr>
        <w:t xml:space="preserve"> </w:t>
      </w:r>
      <w:r w:rsidR="0031489A" w:rsidRPr="005B7CAC">
        <w:rPr>
          <w:rFonts w:ascii="Times New Roman" w:hAnsi="Times New Roman"/>
          <w:i/>
          <w:iCs/>
          <w:sz w:val="24"/>
          <w:szCs w:val="20"/>
          <w:lang w:val="en-US"/>
        </w:rPr>
        <w:t>GINVs</w:t>
      </w:r>
      <w:r w:rsidR="0031489A" w:rsidRPr="005B7CAC">
        <w:rPr>
          <w:rFonts w:ascii="Times New Roman" w:hAnsi="Times New Roman"/>
          <w:sz w:val="24"/>
          <w:szCs w:val="20"/>
          <w:lang w:val="en-US"/>
        </w:rPr>
        <w:t xml:space="preserve"> </w:t>
      </w:r>
      <w:r w:rsidR="0032174C" w:rsidRPr="005B7CAC">
        <w:rPr>
          <w:rFonts w:ascii="Times New Roman" w:hAnsi="Times New Roman"/>
          <w:sz w:val="24"/>
          <w:szCs w:val="20"/>
          <w:lang w:val="en-US"/>
        </w:rPr>
        <w:t xml:space="preserve">moderate </w:t>
      </w:r>
      <w:r w:rsidR="0031489A" w:rsidRPr="005B7CAC">
        <w:rPr>
          <w:rFonts w:ascii="Times New Roman" w:hAnsi="Times New Roman"/>
          <w:sz w:val="24"/>
          <w:szCs w:val="20"/>
          <w:lang w:val="en-US"/>
        </w:rPr>
        <w:t xml:space="preserve">the impacts of waste generation and recycling on </w:t>
      </w:r>
      <w:r w:rsidR="0031489A" w:rsidRPr="005B7CAC">
        <w:rPr>
          <w:rFonts w:ascii="Times New Roman" w:hAnsi="Times New Roman"/>
          <w:i/>
          <w:iCs/>
          <w:sz w:val="24"/>
          <w:szCs w:val="20"/>
          <w:lang w:val="en-US"/>
        </w:rPr>
        <w:t>FD</w:t>
      </w:r>
      <w:r w:rsidR="0031489A" w:rsidRPr="005B7CAC">
        <w:rPr>
          <w:rFonts w:ascii="Times New Roman" w:hAnsi="Times New Roman"/>
          <w:sz w:val="24"/>
          <w:szCs w:val="20"/>
          <w:lang w:val="en-US"/>
        </w:rPr>
        <w:t xml:space="preserve"> risks in </w:t>
      </w:r>
      <w:r w:rsidR="0032174C" w:rsidRPr="005B7CAC">
        <w:rPr>
          <w:rFonts w:ascii="Times New Roman" w:hAnsi="Times New Roman"/>
          <w:iCs/>
          <w:sz w:val="24"/>
          <w:szCs w:val="20"/>
          <w:lang w:val="en-US"/>
        </w:rPr>
        <w:t xml:space="preserve">a heavily regulated environmental </w:t>
      </w:r>
      <w:r w:rsidR="001F60ED" w:rsidRPr="005B7CAC">
        <w:rPr>
          <w:rFonts w:ascii="Times New Roman" w:hAnsi="Times New Roman"/>
          <w:iCs/>
          <w:sz w:val="24"/>
          <w:szCs w:val="20"/>
          <w:lang w:val="en-US"/>
        </w:rPr>
        <w:t>setting</w:t>
      </w:r>
      <w:r w:rsidR="001068BC" w:rsidRPr="005B7CAC">
        <w:rPr>
          <w:rFonts w:ascii="Times New Roman" w:hAnsi="Times New Roman"/>
          <w:sz w:val="24"/>
          <w:szCs w:val="20"/>
          <w:lang w:val="en-US"/>
        </w:rPr>
        <w:t xml:space="preserve">. </w:t>
      </w:r>
      <w:r w:rsidR="00B843AA" w:rsidRPr="005B7CAC">
        <w:rPr>
          <w:rFonts w:ascii="Times New Roman" w:hAnsi="Times New Roman"/>
          <w:sz w:val="24"/>
          <w:szCs w:val="20"/>
          <w:lang w:val="en-US"/>
        </w:rPr>
        <w:t xml:space="preserve">Given </w:t>
      </w:r>
      <w:r w:rsidR="007E5769" w:rsidRPr="005B7CAC">
        <w:rPr>
          <w:rFonts w:ascii="Times New Roman" w:hAnsi="Times New Roman"/>
          <w:sz w:val="24"/>
          <w:szCs w:val="20"/>
          <w:lang w:val="en-US"/>
        </w:rPr>
        <w:t xml:space="preserve">the stakeholder view and </w:t>
      </w:r>
      <w:r w:rsidR="00B843AA" w:rsidRPr="005B7CAC">
        <w:rPr>
          <w:rFonts w:ascii="Times New Roman" w:hAnsi="Times New Roman"/>
          <w:sz w:val="24"/>
          <w:szCs w:val="20"/>
          <w:lang w:val="en-US"/>
        </w:rPr>
        <w:t xml:space="preserve">the above discussion, we </w:t>
      </w:r>
      <w:r w:rsidR="007E5769" w:rsidRPr="005B7CAC">
        <w:rPr>
          <w:rFonts w:ascii="Times New Roman" w:hAnsi="Times New Roman"/>
          <w:sz w:val="24"/>
          <w:szCs w:val="20"/>
          <w:lang w:val="en-US"/>
        </w:rPr>
        <w:t xml:space="preserve">expect </w:t>
      </w:r>
      <w:r w:rsidR="00ED6AAA" w:rsidRPr="005B7CAC">
        <w:rPr>
          <w:rFonts w:ascii="Times New Roman" w:hAnsi="Times New Roman"/>
          <w:sz w:val="24"/>
          <w:szCs w:val="20"/>
          <w:lang w:val="en-US"/>
        </w:rPr>
        <w:t xml:space="preserve">that </w:t>
      </w:r>
      <w:r w:rsidR="001068BC" w:rsidRPr="005B7CAC">
        <w:rPr>
          <w:rFonts w:ascii="Times New Roman" w:hAnsi="Times New Roman"/>
          <w:sz w:val="24"/>
          <w:szCs w:val="20"/>
          <w:lang w:val="en-US"/>
        </w:rPr>
        <w:t>corporate investment</w:t>
      </w:r>
      <w:r w:rsidR="00ED6AAA" w:rsidRPr="005B7CAC">
        <w:rPr>
          <w:rFonts w:ascii="Times New Roman" w:hAnsi="Times New Roman"/>
          <w:sz w:val="24"/>
          <w:szCs w:val="20"/>
          <w:lang w:val="en-US"/>
        </w:rPr>
        <w:t>s</w:t>
      </w:r>
      <w:r w:rsidR="001068BC" w:rsidRPr="005B7CAC">
        <w:rPr>
          <w:rFonts w:ascii="Times New Roman" w:hAnsi="Times New Roman"/>
          <w:sz w:val="24"/>
          <w:szCs w:val="20"/>
          <w:lang w:val="en-US"/>
        </w:rPr>
        <w:t xml:space="preserve"> in </w:t>
      </w:r>
      <w:r w:rsidR="00825B7E" w:rsidRPr="005B7CAC">
        <w:rPr>
          <w:rFonts w:ascii="Times New Roman" w:hAnsi="Times New Roman"/>
          <w:i/>
          <w:iCs/>
          <w:sz w:val="24"/>
          <w:szCs w:val="20"/>
          <w:lang w:val="en-US"/>
        </w:rPr>
        <w:t>GINVs</w:t>
      </w:r>
      <w:r w:rsidR="001068BC" w:rsidRPr="005B7CAC">
        <w:rPr>
          <w:rFonts w:ascii="Times New Roman" w:hAnsi="Times New Roman"/>
          <w:sz w:val="24"/>
          <w:szCs w:val="20"/>
          <w:lang w:val="en-US"/>
        </w:rPr>
        <w:t xml:space="preserve"> </w:t>
      </w:r>
      <w:r w:rsidR="00ED6AAA" w:rsidRPr="005B7CAC">
        <w:rPr>
          <w:rFonts w:ascii="Times New Roman" w:hAnsi="Times New Roman"/>
          <w:sz w:val="24"/>
          <w:szCs w:val="20"/>
          <w:lang w:val="en-US"/>
        </w:rPr>
        <w:t>are likely to</w:t>
      </w:r>
      <w:r w:rsidR="001068BC" w:rsidRPr="005B7CAC">
        <w:rPr>
          <w:rFonts w:ascii="Times New Roman" w:hAnsi="Times New Roman"/>
          <w:sz w:val="24"/>
          <w:szCs w:val="20"/>
          <w:lang w:val="en-US"/>
        </w:rPr>
        <w:t xml:space="preserve"> influence the link between </w:t>
      </w:r>
      <w:r w:rsidR="001068BC" w:rsidRPr="005B7CAC">
        <w:rPr>
          <w:rFonts w:ascii="Times New Roman" w:hAnsi="Times New Roman"/>
          <w:i/>
          <w:sz w:val="24"/>
          <w:szCs w:val="20"/>
          <w:lang w:val="en-US"/>
        </w:rPr>
        <w:t>WM</w:t>
      </w:r>
      <w:r w:rsidR="001068BC" w:rsidRPr="005B7CAC">
        <w:rPr>
          <w:rFonts w:ascii="Times New Roman" w:hAnsi="Times New Roman"/>
          <w:sz w:val="24"/>
          <w:szCs w:val="20"/>
          <w:lang w:val="en-US"/>
        </w:rPr>
        <w:t xml:space="preserve"> and </w:t>
      </w:r>
      <w:r w:rsidR="001068BC" w:rsidRPr="005B7CAC">
        <w:rPr>
          <w:rFonts w:ascii="Times New Roman" w:hAnsi="Times New Roman"/>
          <w:i/>
          <w:sz w:val="24"/>
          <w:szCs w:val="20"/>
          <w:lang w:val="en-US"/>
        </w:rPr>
        <w:t>FD</w:t>
      </w:r>
      <w:r w:rsidR="001068BC" w:rsidRPr="005B7CAC">
        <w:rPr>
          <w:rFonts w:ascii="Times New Roman" w:hAnsi="Times New Roman"/>
          <w:sz w:val="24"/>
          <w:szCs w:val="20"/>
          <w:lang w:val="en-US"/>
        </w:rPr>
        <w:t xml:space="preserve"> levels. </w:t>
      </w:r>
      <w:r w:rsidR="00C028A6" w:rsidRPr="005B7CAC">
        <w:rPr>
          <w:rFonts w:ascii="Times New Roman" w:hAnsi="Times New Roman"/>
          <w:iCs/>
          <w:sz w:val="24"/>
          <w:szCs w:val="20"/>
          <w:lang w:val="en-US"/>
        </w:rPr>
        <w:t>Accordingly, the following hypotheses are proposed:</w:t>
      </w:r>
    </w:p>
    <w:p w14:paraId="4B559C41" w14:textId="2D377AA1" w:rsidR="001E2CA1" w:rsidRPr="005B7CAC" w:rsidRDefault="001E2CA1" w:rsidP="003D5418">
      <w:pPr>
        <w:widowControl w:val="0"/>
        <w:autoSpaceDE w:val="0"/>
        <w:autoSpaceDN w:val="0"/>
        <w:adjustRightInd w:val="0"/>
        <w:spacing w:after="240" w:line="360" w:lineRule="auto"/>
        <w:rPr>
          <w:rFonts w:ascii="Times New Roman" w:hAnsi="Times New Roman"/>
          <w:iCs/>
          <w:sz w:val="24"/>
          <w:szCs w:val="20"/>
          <w:lang w:val="en-US"/>
        </w:rPr>
      </w:pPr>
      <w:r w:rsidRPr="005B7CAC">
        <w:rPr>
          <w:rFonts w:ascii="Times New Roman" w:hAnsi="Times New Roman"/>
          <w:i/>
          <w:iCs/>
          <w:sz w:val="24"/>
          <w:szCs w:val="20"/>
          <w:lang w:val="en-US"/>
        </w:rPr>
        <w:t>H2a</w:t>
      </w:r>
      <w:r w:rsidRPr="005B7CAC">
        <w:rPr>
          <w:rFonts w:ascii="Times New Roman" w:hAnsi="Times New Roman"/>
          <w:iCs/>
          <w:sz w:val="24"/>
          <w:szCs w:val="20"/>
          <w:lang w:val="en-US"/>
        </w:rPr>
        <w:t>: Green in</w:t>
      </w:r>
      <w:r w:rsidR="00902E1C" w:rsidRPr="005B7CAC">
        <w:rPr>
          <w:rFonts w:ascii="Times New Roman" w:hAnsi="Times New Roman"/>
          <w:iCs/>
          <w:sz w:val="24"/>
          <w:szCs w:val="20"/>
          <w:lang w:val="en-US"/>
        </w:rPr>
        <w:t>itiatives</w:t>
      </w:r>
      <w:r w:rsidRPr="005B7CAC">
        <w:rPr>
          <w:rFonts w:ascii="Times New Roman" w:hAnsi="Times New Roman"/>
          <w:iCs/>
          <w:sz w:val="24"/>
          <w:szCs w:val="20"/>
          <w:lang w:val="en-US"/>
        </w:rPr>
        <w:t xml:space="preserve"> moderate the link between waste generation and financial distress</w:t>
      </w:r>
      <w:r w:rsidR="000F6471" w:rsidRPr="005B7CAC">
        <w:rPr>
          <w:rFonts w:ascii="Times New Roman" w:hAnsi="Times New Roman"/>
          <w:iCs/>
          <w:sz w:val="24"/>
          <w:szCs w:val="20"/>
          <w:lang w:val="en-US"/>
        </w:rPr>
        <w:t>.</w:t>
      </w:r>
    </w:p>
    <w:p w14:paraId="2E584E18" w14:textId="07110825" w:rsidR="001E2CA1" w:rsidRPr="005B7CAC" w:rsidRDefault="001E2CA1" w:rsidP="003D5418">
      <w:pPr>
        <w:widowControl w:val="0"/>
        <w:autoSpaceDE w:val="0"/>
        <w:autoSpaceDN w:val="0"/>
        <w:adjustRightInd w:val="0"/>
        <w:spacing w:after="240" w:line="360" w:lineRule="auto"/>
        <w:rPr>
          <w:rFonts w:ascii="Times New Roman" w:hAnsi="Times New Roman"/>
          <w:iCs/>
          <w:sz w:val="24"/>
          <w:szCs w:val="20"/>
          <w:lang w:val="en-US"/>
        </w:rPr>
      </w:pPr>
      <w:r w:rsidRPr="005B7CAC">
        <w:rPr>
          <w:rFonts w:ascii="Times New Roman" w:hAnsi="Times New Roman"/>
          <w:i/>
          <w:iCs/>
          <w:sz w:val="24"/>
          <w:szCs w:val="20"/>
          <w:lang w:val="en-US"/>
        </w:rPr>
        <w:t>H2b</w:t>
      </w:r>
      <w:r w:rsidRPr="005B7CAC">
        <w:rPr>
          <w:rFonts w:ascii="Times New Roman" w:hAnsi="Times New Roman"/>
          <w:iCs/>
          <w:sz w:val="24"/>
          <w:szCs w:val="20"/>
          <w:lang w:val="en-US"/>
        </w:rPr>
        <w:t xml:space="preserve">: Green </w:t>
      </w:r>
      <w:r w:rsidR="00902E1C" w:rsidRPr="005B7CAC">
        <w:rPr>
          <w:rFonts w:ascii="Times New Roman" w:hAnsi="Times New Roman"/>
          <w:iCs/>
          <w:sz w:val="24"/>
          <w:szCs w:val="20"/>
          <w:lang w:val="en-US"/>
        </w:rPr>
        <w:t>initiatives</w:t>
      </w:r>
      <w:r w:rsidRPr="005B7CAC">
        <w:rPr>
          <w:rFonts w:ascii="Times New Roman" w:hAnsi="Times New Roman"/>
          <w:iCs/>
          <w:sz w:val="24"/>
          <w:szCs w:val="20"/>
          <w:lang w:val="en-US"/>
        </w:rPr>
        <w:t xml:space="preserve"> moderate the link between waste recycling and financial distress</w:t>
      </w:r>
      <w:r w:rsidR="000F6471" w:rsidRPr="005B7CAC">
        <w:rPr>
          <w:rFonts w:ascii="Times New Roman" w:hAnsi="Times New Roman"/>
          <w:iCs/>
          <w:sz w:val="24"/>
          <w:szCs w:val="20"/>
          <w:lang w:val="en-US"/>
        </w:rPr>
        <w:t>.</w:t>
      </w:r>
    </w:p>
    <w:p w14:paraId="0CB8B874" w14:textId="77777777" w:rsidR="001E2CA1" w:rsidRPr="005B7CAC" w:rsidRDefault="001E2CA1" w:rsidP="003D5418">
      <w:pPr>
        <w:widowControl w:val="0"/>
        <w:autoSpaceDE w:val="0"/>
        <w:autoSpaceDN w:val="0"/>
        <w:adjustRightInd w:val="0"/>
        <w:spacing w:after="240" w:line="360" w:lineRule="auto"/>
        <w:rPr>
          <w:rFonts w:ascii="Times New Roman" w:hAnsi="Times New Roman"/>
          <w:b/>
          <w:iCs/>
          <w:sz w:val="24"/>
          <w:szCs w:val="20"/>
          <w:lang w:val="en-US"/>
        </w:rPr>
      </w:pPr>
    </w:p>
    <w:p w14:paraId="0F89A9A9" w14:textId="77777777" w:rsidR="001E2CA1" w:rsidRPr="005B7CAC" w:rsidRDefault="001E2CA1" w:rsidP="003D5418">
      <w:pPr>
        <w:widowControl w:val="0"/>
        <w:autoSpaceDE w:val="0"/>
        <w:autoSpaceDN w:val="0"/>
        <w:adjustRightInd w:val="0"/>
        <w:spacing w:after="240" w:line="360" w:lineRule="auto"/>
        <w:rPr>
          <w:rFonts w:ascii="Times New Roman" w:hAnsi="Times New Roman"/>
          <w:b/>
          <w:iCs/>
          <w:sz w:val="24"/>
          <w:szCs w:val="20"/>
          <w:lang w:val="en-US"/>
        </w:rPr>
      </w:pPr>
      <w:r w:rsidRPr="005B7CAC">
        <w:rPr>
          <w:rFonts w:ascii="Times New Roman" w:hAnsi="Times New Roman"/>
          <w:b/>
          <w:iCs/>
          <w:sz w:val="24"/>
          <w:szCs w:val="20"/>
          <w:lang w:val="en-US"/>
        </w:rPr>
        <w:t>3. Methodology</w:t>
      </w:r>
    </w:p>
    <w:p w14:paraId="2F3E82CD" w14:textId="77777777" w:rsidR="001E2CA1" w:rsidRPr="005B7CAC" w:rsidRDefault="001E2CA1" w:rsidP="003D5418">
      <w:pPr>
        <w:widowControl w:val="0"/>
        <w:autoSpaceDE w:val="0"/>
        <w:autoSpaceDN w:val="0"/>
        <w:adjustRightInd w:val="0"/>
        <w:spacing w:after="240" w:line="360" w:lineRule="auto"/>
        <w:rPr>
          <w:rFonts w:ascii="Times New Roman" w:hAnsi="Times New Roman"/>
          <w:i/>
          <w:sz w:val="24"/>
          <w:szCs w:val="20"/>
          <w:lang w:val="en-US"/>
        </w:rPr>
      </w:pPr>
      <w:r w:rsidRPr="005B7CAC">
        <w:rPr>
          <w:rFonts w:ascii="Times New Roman" w:hAnsi="Times New Roman"/>
          <w:i/>
          <w:sz w:val="24"/>
          <w:szCs w:val="20"/>
          <w:lang w:val="en-US"/>
        </w:rPr>
        <w:t>3.1 Sample and data</w:t>
      </w:r>
    </w:p>
    <w:p w14:paraId="0C2CB41D" w14:textId="5667D8F4" w:rsidR="00C70801" w:rsidRPr="005B7CAC" w:rsidRDefault="00573F6F" w:rsidP="003D5418">
      <w:pPr>
        <w:widowControl w:val="0"/>
        <w:autoSpaceDE w:val="0"/>
        <w:autoSpaceDN w:val="0"/>
        <w:adjustRightInd w:val="0"/>
        <w:spacing w:after="240" w:line="360" w:lineRule="auto"/>
        <w:jc w:val="both"/>
        <w:rPr>
          <w:rFonts w:ascii="Times New Roman" w:hAnsi="Times New Roman"/>
          <w:bCs/>
          <w:iCs/>
          <w:sz w:val="24"/>
          <w:szCs w:val="20"/>
          <w:lang w:val="en-US"/>
        </w:rPr>
      </w:pPr>
      <w:r w:rsidRPr="005B7CAC">
        <w:rPr>
          <w:rFonts w:ascii="Times New Roman" w:hAnsi="Times New Roman"/>
          <w:bCs/>
          <w:iCs/>
          <w:sz w:val="24"/>
          <w:szCs w:val="20"/>
          <w:lang w:val="en-US"/>
        </w:rPr>
        <w:t>The</w:t>
      </w:r>
      <w:r w:rsidR="001D1EDE" w:rsidRPr="005B7CAC">
        <w:rPr>
          <w:rFonts w:ascii="Times New Roman" w:hAnsi="Times New Roman"/>
          <w:bCs/>
          <w:iCs/>
          <w:sz w:val="24"/>
          <w:szCs w:val="20"/>
          <w:lang w:val="en-US"/>
        </w:rPr>
        <w:t xml:space="preserve"> initial sample included</w:t>
      </w:r>
      <w:r w:rsidRPr="005B7CAC">
        <w:rPr>
          <w:rFonts w:ascii="Times New Roman" w:hAnsi="Times New Roman"/>
          <w:bCs/>
          <w:iCs/>
          <w:sz w:val="24"/>
          <w:szCs w:val="20"/>
          <w:lang w:val="en-US"/>
        </w:rPr>
        <w:t xml:space="preserve"> </w:t>
      </w:r>
      <w:r w:rsidR="00437500" w:rsidRPr="005B7CAC">
        <w:rPr>
          <w:rFonts w:ascii="Times New Roman" w:hAnsi="Times New Roman"/>
          <w:bCs/>
          <w:iCs/>
          <w:sz w:val="24"/>
          <w:szCs w:val="20"/>
          <w:lang w:val="en-US"/>
        </w:rPr>
        <w:t xml:space="preserve">14,780 firm-years from </w:t>
      </w:r>
      <w:r w:rsidRPr="005B7CAC">
        <w:rPr>
          <w:rFonts w:ascii="Times New Roman" w:hAnsi="Times New Roman"/>
          <w:bCs/>
          <w:iCs/>
          <w:sz w:val="24"/>
          <w:szCs w:val="20"/>
          <w:lang w:val="en-US"/>
        </w:rPr>
        <w:t>all UK</w:t>
      </w:r>
      <w:r w:rsidR="00007F1E">
        <w:rPr>
          <w:rFonts w:ascii="Times New Roman" w:hAnsi="Times New Roman"/>
          <w:bCs/>
          <w:iCs/>
          <w:sz w:val="24"/>
          <w:szCs w:val="20"/>
          <w:lang w:val="en-US"/>
        </w:rPr>
        <w:t>-</w:t>
      </w:r>
      <w:r w:rsidRPr="005B7CAC">
        <w:rPr>
          <w:rFonts w:ascii="Times New Roman" w:hAnsi="Times New Roman"/>
          <w:bCs/>
          <w:iCs/>
          <w:sz w:val="24"/>
          <w:szCs w:val="20"/>
          <w:lang w:val="en-US"/>
        </w:rPr>
        <w:t xml:space="preserve">listed firms </w:t>
      </w:r>
      <w:r w:rsidR="000C4941" w:rsidRPr="005B7CAC">
        <w:rPr>
          <w:rFonts w:ascii="Times New Roman" w:hAnsi="Times New Roman"/>
          <w:bCs/>
          <w:iCs/>
          <w:sz w:val="24"/>
          <w:szCs w:val="20"/>
          <w:lang w:val="en-US"/>
        </w:rPr>
        <w:t xml:space="preserve">with available ESG data </w:t>
      </w:r>
      <w:r w:rsidRPr="005B7CAC">
        <w:rPr>
          <w:rFonts w:ascii="Times New Roman" w:hAnsi="Times New Roman"/>
          <w:bCs/>
          <w:iCs/>
          <w:sz w:val="24"/>
          <w:szCs w:val="20"/>
          <w:lang w:val="en-US"/>
        </w:rPr>
        <w:lastRenderedPageBreak/>
        <w:t xml:space="preserve">covered by </w:t>
      </w:r>
      <w:r w:rsidR="005B7880">
        <w:rPr>
          <w:rFonts w:ascii="Times New Roman" w:hAnsi="Times New Roman"/>
          <w:bCs/>
          <w:iCs/>
          <w:sz w:val="24"/>
          <w:szCs w:val="20"/>
          <w:lang w:val="en-US"/>
        </w:rPr>
        <w:t xml:space="preserve">LSEG (formerly known as Refinitiv </w:t>
      </w:r>
      <w:r w:rsidRPr="005B7CAC">
        <w:rPr>
          <w:rFonts w:ascii="Times New Roman" w:hAnsi="Times New Roman"/>
          <w:bCs/>
          <w:iCs/>
          <w:sz w:val="24"/>
          <w:szCs w:val="20"/>
          <w:lang w:val="en-US"/>
        </w:rPr>
        <w:t>Asset4 ESG</w:t>
      </w:r>
      <w:r w:rsidR="005B7880">
        <w:rPr>
          <w:rFonts w:ascii="Times New Roman" w:hAnsi="Times New Roman"/>
          <w:bCs/>
          <w:iCs/>
          <w:sz w:val="24"/>
          <w:szCs w:val="20"/>
          <w:lang w:val="en-US"/>
        </w:rPr>
        <w:t>)</w:t>
      </w:r>
      <w:r w:rsidRPr="005B7CAC">
        <w:rPr>
          <w:rFonts w:ascii="Times New Roman" w:hAnsi="Times New Roman"/>
          <w:bCs/>
          <w:iCs/>
          <w:sz w:val="24"/>
          <w:szCs w:val="20"/>
          <w:lang w:val="en-US"/>
        </w:rPr>
        <w:t xml:space="preserve"> </w:t>
      </w:r>
      <w:r w:rsidR="00F931CE" w:rsidRPr="005B7CAC">
        <w:rPr>
          <w:rFonts w:ascii="Times New Roman" w:hAnsi="Times New Roman"/>
          <w:bCs/>
          <w:iCs/>
          <w:sz w:val="24"/>
          <w:szCs w:val="20"/>
          <w:lang w:val="en-US"/>
        </w:rPr>
        <w:t xml:space="preserve">from </w:t>
      </w:r>
      <w:r w:rsidRPr="005B7CAC">
        <w:rPr>
          <w:rFonts w:ascii="Times New Roman" w:hAnsi="Times New Roman"/>
          <w:bCs/>
          <w:iCs/>
          <w:sz w:val="24"/>
          <w:szCs w:val="20"/>
          <w:lang w:val="en-US"/>
        </w:rPr>
        <w:t>2002</w:t>
      </w:r>
      <w:r w:rsidR="00F931CE" w:rsidRPr="005B7CAC">
        <w:rPr>
          <w:rFonts w:ascii="Times New Roman" w:hAnsi="Times New Roman"/>
          <w:bCs/>
          <w:iCs/>
          <w:sz w:val="24"/>
          <w:szCs w:val="20"/>
          <w:lang w:val="en-US"/>
        </w:rPr>
        <w:t xml:space="preserve"> to </w:t>
      </w:r>
      <w:r w:rsidRPr="005B7CAC">
        <w:rPr>
          <w:rFonts w:ascii="Times New Roman" w:hAnsi="Times New Roman"/>
          <w:bCs/>
          <w:iCs/>
          <w:sz w:val="24"/>
          <w:szCs w:val="20"/>
          <w:lang w:val="en-US"/>
        </w:rPr>
        <w:t>2021</w:t>
      </w:r>
      <w:r w:rsidR="00C70801" w:rsidRPr="005B7CAC">
        <w:rPr>
          <w:rFonts w:ascii="Times New Roman" w:hAnsi="Times New Roman"/>
          <w:bCs/>
          <w:iCs/>
          <w:sz w:val="24"/>
          <w:szCs w:val="20"/>
          <w:lang w:val="en-US"/>
        </w:rPr>
        <w:t>.</w:t>
      </w:r>
      <w:r w:rsidR="00DE691A" w:rsidRPr="005B7CAC">
        <w:rPr>
          <w:rStyle w:val="FootnoteReference"/>
          <w:rFonts w:ascii="Times New Roman" w:hAnsi="Times New Roman"/>
          <w:bCs/>
          <w:iCs/>
          <w:sz w:val="24"/>
          <w:szCs w:val="20"/>
          <w:lang w:val="en-US"/>
        </w:rPr>
        <w:footnoteReference w:id="1"/>
      </w:r>
      <w:r w:rsidR="00C70801" w:rsidRPr="005B7CAC">
        <w:rPr>
          <w:rFonts w:ascii="Times New Roman" w:hAnsi="Times New Roman"/>
          <w:bCs/>
          <w:iCs/>
          <w:sz w:val="24"/>
          <w:szCs w:val="20"/>
          <w:lang w:val="en-US"/>
        </w:rPr>
        <w:t xml:space="preserve"> Financial sector firms with </w:t>
      </w:r>
      <w:r w:rsidR="00437500" w:rsidRPr="005B7CAC">
        <w:rPr>
          <w:rFonts w:ascii="Times New Roman" w:hAnsi="Times New Roman"/>
          <w:bCs/>
          <w:iCs/>
          <w:sz w:val="24"/>
          <w:szCs w:val="20"/>
          <w:lang w:val="en-US"/>
        </w:rPr>
        <w:t xml:space="preserve">3,020 firm-years </w:t>
      </w:r>
      <w:r w:rsidR="00C70801" w:rsidRPr="005B7CAC">
        <w:rPr>
          <w:rFonts w:ascii="Times New Roman" w:hAnsi="Times New Roman"/>
          <w:bCs/>
          <w:iCs/>
          <w:sz w:val="24"/>
          <w:szCs w:val="20"/>
          <w:lang w:val="en-US"/>
        </w:rPr>
        <w:t xml:space="preserve">were removed from the dataset due to their </w:t>
      </w:r>
      <w:r w:rsidR="00437500" w:rsidRPr="005B7CAC">
        <w:rPr>
          <w:rFonts w:ascii="Times New Roman" w:hAnsi="Times New Roman"/>
          <w:bCs/>
          <w:iCs/>
          <w:sz w:val="24"/>
          <w:szCs w:val="20"/>
          <w:lang w:val="en-US"/>
        </w:rPr>
        <w:t xml:space="preserve">unique reporting practices and specific regulatory environments. Then, 9,716 firm-years with missing </w:t>
      </w:r>
      <w:r w:rsidR="00AE0F08" w:rsidRPr="005B7CAC">
        <w:rPr>
          <w:rFonts w:ascii="Times New Roman" w:hAnsi="Times New Roman"/>
          <w:bCs/>
          <w:iCs/>
          <w:sz w:val="24"/>
          <w:szCs w:val="20"/>
          <w:lang w:val="en-US"/>
        </w:rPr>
        <w:t>waste generation data were eliminated, leaving the firms with at least five consecutive years</w:t>
      </w:r>
      <w:r w:rsidR="00862E74" w:rsidRPr="005B7CAC">
        <w:rPr>
          <w:rFonts w:ascii="Times New Roman" w:hAnsi="Times New Roman"/>
          <w:bCs/>
          <w:iCs/>
          <w:sz w:val="24"/>
          <w:szCs w:val="20"/>
          <w:lang w:val="en-US"/>
        </w:rPr>
        <w:t xml:space="preserve"> of data</w:t>
      </w:r>
      <w:r w:rsidR="00AE0F08" w:rsidRPr="005B7CAC">
        <w:rPr>
          <w:rFonts w:ascii="Times New Roman" w:hAnsi="Times New Roman"/>
          <w:bCs/>
          <w:iCs/>
          <w:sz w:val="24"/>
          <w:szCs w:val="20"/>
          <w:lang w:val="en-US"/>
        </w:rPr>
        <w:t>.</w:t>
      </w:r>
      <w:r w:rsidR="00862E74" w:rsidRPr="005B7CAC">
        <w:rPr>
          <w:rFonts w:ascii="Times New Roman" w:hAnsi="Times New Roman"/>
          <w:bCs/>
          <w:iCs/>
          <w:sz w:val="24"/>
          <w:szCs w:val="20"/>
          <w:lang w:val="en-US"/>
        </w:rPr>
        <w:t xml:space="preserve"> Finally, 3</w:t>
      </w:r>
      <w:r w:rsidR="00C05136" w:rsidRPr="005B7CAC">
        <w:rPr>
          <w:rFonts w:ascii="Times New Roman" w:hAnsi="Times New Roman"/>
          <w:bCs/>
          <w:iCs/>
          <w:sz w:val="24"/>
          <w:szCs w:val="20"/>
          <w:lang w:val="en-US"/>
        </w:rPr>
        <w:t>7</w:t>
      </w:r>
      <w:r w:rsidR="00862E74" w:rsidRPr="005B7CAC">
        <w:rPr>
          <w:rFonts w:ascii="Times New Roman" w:hAnsi="Times New Roman"/>
          <w:bCs/>
          <w:iCs/>
          <w:sz w:val="24"/>
          <w:szCs w:val="20"/>
          <w:lang w:val="en-US"/>
        </w:rPr>
        <w:t xml:space="preserve">7 firm-years </w:t>
      </w:r>
      <w:r w:rsidR="00425F7E" w:rsidRPr="005B7CAC">
        <w:rPr>
          <w:rFonts w:ascii="Times New Roman" w:hAnsi="Times New Roman"/>
          <w:bCs/>
          <w:iCs/>
          <w:sz w:val="24"/>
          <w:szCs w:val="20"/>
          <w:lang w:val="en-US"/>
        </w:rPr>
        <w:t xml:space="preserve">with missing </w:t>
      </w:r>
      <w:r w:rsidR="001371CC" w:rsidRPr="005B7CAC">
        <w:rPr>
          <w:rFonts w:ascii="Times New Roman" w:hAnsi="Times New Roman"/>
          <w:bCs/>
          <w:iCs/>
          <w:sz w:val="24"/>
          <w:szCs w:val="20"/>
          <w:lang w:val="en-US"/>
        </w:rPr>
        <w:t xml:space="preserve">and insufficient </w:t>
      </w:r>
      <w:r w:rsidR="00425F7E" w:rsidRPr="005B7CAC">
        <w:rPr>
          <w:rFonts w:ascii="Times New Roman" w:hAnsi="Times New Roman"/>
          <w:bCs/>
          <w:iCs/>
          <w:sz w:val="24"/>
          <w:szCs w:val="20"/>
          <w:lang w:val="en-US"/>
        </w:rPr>
        <w:t xml:space="preserve">data on other variables </w:t>
      </w:r>
      <w:r w:rsidR="00862E74" w:rsidRPr="005B7CAC">
        <w:rPr>
          <w:rFonts w:ascii="Times New Roman" w:hAnsi="Times New Roman"/>
          <w:bCs/>
          <w:iCs/>
          <w:sz w:val="24"/>
          <w:szCs w:val="20"/>
          <w:lang w:val="en-US"/>
        </w:rPr>
        <w:t>were</w:t>
      </w:r>
      <w:r w:rsidR="00425F7E" w:rsidRPr="005B7CAC">
        <w:rPr>
          <w:rFonts w:ascii="Times New Roman" w:hAnsi="Times New Roman"/>
          <w:bCs/>
          <w:iCs/>
          <w:sz w:val="24"/>
          <w:szCs w:val="20"/>
          <w:lang w:val="en-US"/>
        </w:rPr>
        <w:t xml:space="preserve"> dropped</w:t>
      </w:r>
      <w:r w:rsidR="00862E74" w:rsidRPr="005B7CAC">
        <w:rPr>
          <w:rFonts w:ascii="Times New Roman" w:hAnsi="Times New Roman"/>
          <w:bCs/>
          <w:iCs/>
          <w:sz w:val="24"/>
          <w:szCs w:val="20"/>
          <w:lang w:val="en-US"/>
        </w:rPr>
        <w:t>, resulting in</w:t>
      </w:r>
      <w:r w:rsidR="00691EDD" w:rsidRPr="005B7CAC">
        <w:rPr>
          <w:rFonts w:ascii="Times New Roman" w:hAnsi="Times New Roman"/>
          <w:bCs/>
          <w:iCs/>
          <w:sz w:val="24"/>
          <w:szCs w:val="20"/>
          <w:lang w:val="en-US"/>
        </w:rPr>
        <w:t xml:space="preserve"> the final sample of 1,6</w:t>
      </w:r>
      <w:r w:rsidR="00C05136" w:rsidRPr="005B7CAC">
        <w:rPr>
          <w:rFonts w:ascii="Times New Roman" w:hAnsi="Times New Roman"/>
          <w:bCs/>
          <w:iCs/>
          <w:sz w:val="24"/>
          <w:szCs w:val="20"/>
          <w:lang w:val="en-US"/>
        </w:rPr>
        <w:t>67</w:t>
      </w:r>
      <w:r w:rsidR="00425F7E" w:rsidRPr="005B7CAC">
        <w:rPr>
          <w:rFonts w:ascii="Times New Roman" w:hAnsi="Times New Roman"/>
          <w:bCs/>
          <w:iCs/>
          <w:sz w:val="24"/>
          <w:szCs w:val="20"/>
          <w:lang w:val="en-US"/>
        </w:rPr>
        <w:t xml:space="preserve"> firm-years. </w:t>
      </w:r>
      <w:r w:rsidR="00C70801" w:rsidRPr="005B7CAC">
        <w:rPr>
          <w:rFonts w:ascii="Times New Roman" w:hAnsi="Times New Roman"/>
          <w:bCs/>
          <w:iCs/>
          <w:sz w:val="24"/>
          <w:szCs w:val="20"/>
          <w:lang w:val="en-US"/>
        </w:rPr>
        <w:t xml:space="preserve">Data on </w:t>
      </w:r>
      <w:r w:rsidR="00437500" w:rsidRPr="005B7CAC">
        <w:rPr>
          <w:rFonts w:ascii="Times New Roman" w:hAnsi="Times New Roman"/>
          <w:bCs/>
          <w:iCs/>
          <w:sz w:val="24"/>
          <w:szCs w:val="20"/>
          <w:lang w:val="en-US"/>
        </w:rPr>
        <w:t xml:space="preserve">waste generation and recycling, green </w:t>
      </w:r>
      <w:r w:rsidR="00902E1C" w:rsidRPr="005B7CAC">
        <w:rPr>
          <w:rFonts w:ascii="Times New Roman" w:hAnsi="Times New Roman"/>
          <w:bCs/>
          <w:iCs/>
          <w:sz w:val="24"/>
          <w:szCs w:val="20"/>
          <w:lang w:val="en-US"/>
        </w:rPr>
        <w:t>initiatives</w:t>
      </w:r>
      <w:r w:rsidR="00437500" w:rsidRPr="005B7CAC">
        <w:rPr>
          <w:rFonts w:ascii="Times New Roman" w:hAnsi="Times New Roman"/>
          <w:bCs/>
          <w:iCs/>
          <w:sz w:val="24"/>
          <w:szCs w:val="20"/>
          <w:lang w:val="en-US"/>
        </w:rPr>
        <w:t xml:space="preserve">, </w:t>
      </w:r>
      <w:r w:rsidR="00C70801" w:rsidRPr="005B7CAC">
        <w:rPr>
          <w:rFonts w:ascii="Times New Roman" w:hAnsi="Times New Roman"/>
          <w:bCs/>
          <w:iCs/>
          <w:sz w:val="24"/>
          <w:szCs w:val="20"/>
          <w:lang w:val="en-US"/>
        </w:rPr>
        <w:t xml:space="preserve">and board governance were retrieved from </w:t>
      </w:r>
      <w:r w:rsidR="005B7880">
        <w:rPr>
          <w:rFonts w:ascii="Times New Roman" w:hAnsi="Times New Roman"/>
          <w:bCs/>
          <w:iCs/>
          <w:sz w:val="24"/>
          <w:szCs w:val="20"/>
          <w:lang w:val="en-US"/>
        </w:rPr>
        <w:t>LSEG</w:t>
      </w:r>
      <w:r w:rsidR="008F3C8A" w:rsidRPr="005B7CAC">
        <w:rPr>
          <w:rFonts w:ascii="Times New Roman" w:hAnsi="Times New Roman"/>
          <w:bCs/>
          <w:iCs/>
          <w:sz w:val="24"/>
          <w:szCs w:val="20"/>
          <w:lang w:val="en-US"/>
        </w:rPr>
        <w:t>, whereas</w:t>
      </w:r>
      <w:r w:rsidR="00AE0F08" w:rsidRPr="005B7CAC">
        <w:rPr>
          <w:rFonts w:ascii="Times New Roman" w:hAnsi="Times New Roman"/>
          <w:bCs/>
          <w:iCs/>
          <w:sz w:val="24"/>
          <w:szCs w:val="20"/>
          <w:lang w:val="en-US"/>
        </w:rPr>
        <w:t xml:space="preserve"> a</w:t>
      </w:r>
      <w:r w:rsidR="00C70801" w:rsidRPr="005B7CAC">
        <w:rPr>
          <w:rFonts w:ascii="Times New Roman" w:hAnsi="Times New Roman"/>
          <w:bCs/>
          <w:iCs/>
          <w:sz w:val="24"/>
          <w:szCs w:val="20"/>
          <w:lang w:val="en-US"/>
        </w:rPr>
        <w:t xml:space="preserve">ccounting </w:t>
      </w:r>
      <w:r w:rsidR="00AE0F08" w:rsidRPr="005B7CAC">
        <w:rPr>
          <w:rFonts w:ascii="Times New Roman" w:hAnsi="Times New Roman"/>
          <w:bCs/>
          <w:iCs/>
          <w:sz w:val="24"/>
          <w:szCs w:val="20"/>
          <w:lang w:val="en-US"/>
        </w:rPr>
        <w:t xml:space="preserve">characteristics </w:t>
      </w:r>
      <w:r w:rsidR="00C70801" w:rsidRPr="005B7CAC">
        <w:rPr>
          <w:rFonts w:ascii="Times New Roman" w:hAnsi="Times New Roman"/>
          <w:bCs/>
          <w:iCs/>
          <w:sz w:val="24"/>
          <w:szCs w:val="20"/>
          <w:lang w:val="en-US"/>
        </w:rPr>
        <w:t xml:space="preserve">were collected from </w:t>
      </w:r>
      <w:r w:rsidR="00553AC4" w:rsidRPr="005B7CAC">
        <w:rPr>
          <w:rFonts w:ascii="Times New Roman" w:hAnsi="Times New Roman"/>
          <w:bCs/>
          <w:iCs/>
          <w:sz w:val="24"/>
          <w:szCs w:val="20"/>
          <w:lang w:val="en-US"/>
        </w:rPr>
        <w:t xml:space="preserve">the </w:t>
      </w:r>
      <w:proofErr w:type="spellStart"/>
      <w:r w:rsidR="00AE0F08" w:rsidRPr="005B7CAC">
        <w:rPr>
          <w:rFonts w:ascii="Times New Roman" w:hAnsi="Times New Roman"/>
          <w:bCs/>
          <w:iCs/>
          <w:sz w:val="24"/>
          <w:szCs w:val="20"/>
          <w:lang w:val="en-US"/>
        </w:rPr>
        <w:t>WorldScope</w:t>
      </w:r>
      <w:proofErr w:type="spellEnd"/>
      <w:r w:rsidR="00771459" w:rsidRPr="005B7CAC">
        <w:rPr>
          <w:rFonts w:ascii="Times New Roman" w:hAnsi="Times New Roman"/>
          <w:bCs/>
          <w:iCs/>
          <w:sz w:val="24"/>
          <w:szCs w:val="20"/>
          <w:lang w:val="en-US"/>
        </w:rPr>
        <w:t xml:space="preserve"> database</w:t>
      </w:r>
      <w:r w:rsidR="00C70801" w:rsidRPr="005B7CAC">
        <w:rPr>
          <w:rFonts w:ascii="Times New Roman" w:hAnsi="Times New Roman"/>
          <w:bCs/>
          <w:iCs/>
          <w:sz w:val="24"/>
          <w:szCs w:val="20"/>
          <w:lang w:val="en-US"/>
        </w:rPr>
        <w:t>.</w:t>
      </w:r>
      <w:r w:rsidR="00771459" w:rsidRPr="005B7CAC">
        <w:rPr>
          <w:rFonts w:ascii="Times New Roman" w:hAnsi="Times New Roman"/>
          <w:bCs/>
          <w:iCs/>
          <w:sz w:val="24"/>
          <w:szCs w:val="20"/>
          <w:lang w:val="en-US"/>
        </w:rPr>
        <w:t xml:space="preserve"> </w:t>
      </w:r>
      <w:r w:rsidR="00F44B34" w:rsidRPr="005B7CAC">
        <w:rPr>
          <w:rFonts w:ascii="Times New Roman" w:hAnsi="Times New Roman"/>
          <w:bCs/>
          <w:iCs/>
          <w:sz w:val="24"/>
          <w:szCs w:val="20"/>
          <w:lang w:val="en-US"/>
        </w:rPr>
        <w:t xml:space="preserve">Appendix </w:t>
      </w:r>
      <w:r w:rsidR="00771459" w:rsidRPr="005B7CAC">
        <w:rPr>
          <w:rFonts w:ascii="Times New Roman" w:hAnsi="Times New Roman"/>
          <w:bCs/>
          <w:iCs/>
          <w:sz w:val="24"/>
          <w:szCs w:val="20"/>
          <w:lang w:val="en-US"/>
        </w:rPr>
        <w:t>1 displays the industry</w:t>
      </w:r>
      <w:r w:rsidR="00D11249" w:rsidRPr="005B7CAC">
        <w:rPr>
          <w:rFonts w:ascii="Times New Roman" w:hAnsi="Times New Roman"/>
          <w:bCs/>
          <w:iCs/>
          <w:sz w:val="24"/>
          <w:szCs w:val="20"/>
          <w:lang w:val="en-US"/>
        </w:rPr>
        <w:t>-</w:t>
      </w:r>
      <w:r w:rsidR="0014371C" w:rsidRPr="005B7CAC">
        <w:rPr>
          <w:rFonts w:ascii="Times New Roman" w:hAnsi="Times New Roman"/>
          <w:bCs/>
          <w:iCs/>
          <w:sz w:val="24"/>
          <w:szCs w:val="20"/>
          <w:lang w:val="en-US"/>
        </w:rPr>
        <w:t>wide</w:t>
      </w:r>
      <w:r w:rsidR="00D11249" w:rsidRPr="005B7CAC">
        <w:rPr>
          <w:rFonts w:ascii="Times New Roman" w:hAnsi="Times New Roman"/>
          <w:bCs/>
          <w:iCs/>
          <w:sz w:val="24"/>
          <w:szCs w:val="20"/>
          <w:lang w:val="en-US"/>
        </w:rPr>
        <w:t xml:space="preserve"> distribution of the final sample. </w:t>
      </w:r>
      <w:r w:rsidR="00D603DE" w:rsidRPr="005B7CAC">
        <w:rPr>
          <w:rFonts w:ascii="Times New Roman" w:hAnsi="Times New Roman"/>
          <w:bCs/>
          <w:iCs/>
          <w:sz w:val="24"/>
          <w:szCs w:val="20"/>
          <w:lang w:val="en-US"/>
        </w:rPr>
        <w:t xml:space="preserve"> </w:t>
      </w:r>
    </w:p>
    <w:p w14:paraId="2229A40D" w14:textId="77777777" w:rsidR="009C3118" w:rsidRPr="005B7CAC" w:rsidRDefault="009C3118" w:rsidP="003D5418">
      <w:pPr>
        <w:widowControl w:val="0"/>
        <w:autoSpaceDE w:val="0"/>
        <w:autoSpaceDN w:val="0"/>
        <w:adjustRightInd w:val="0"/>
        <w:spacing w:after="240" w:line="360" w:lineRule="auto"/>
        <w:jc w:val="both"/>
        <w:rPr>
          <w:rFonts w:ascii="Times New Roman" w:hAnsi="Times New Roman"/>
          <w:bCs/>
          <w:iCs/>
          <w:sz w:val="24"/>
          <w:szCs w:val="20"/>
          <w:lang w:val="en-US"/>
        </w:rPr>
      </w:pPr>
    </w:p>
    <w:p w14:paraId="2A067482" w14:textId="77777777" w:rsidR="001E2CA1" w:rsidRPr="005B7CAC" w:rsidRDefault="001E2CA1" w:rsidP="003D5418">
      <w:pPr>
        <w:widowControl w:val="0"/>
        <w:autoSpaceDE w:val="0"/>
        <w:autoSpaceDN w:val="0"/>
        <w:adjustRightInd w:val="0"/>
        <w:spacing w:after="240" w:line="360" w:lineRule="auto"/>
        <w:rPr>
          <w:rFonts w:ascii="Times New Roman" w:hAnsi="Times New Roman"/>
          <w:i/>
          <w:sz w:val="24"/>
          <w:szCs w:val="20"/>
          <w:lang w:val="en-US"/>
        </w:rPr>
      </w:pPr>
      <w:r w:rsidRPr="005B7CAC">
        <w:rPr>
          <w:rFonts w:ascii="Times New Roman" w:hAnsi="Times New Roman"/>
          <w:i/>
          <w:sz w:val="24"/>
          <w:szCs w:val="20"/>
          <w:lang w:val="en-US"/>
        </w:rPr>
        <w:t>3.2 Variables and measures</w:t>
      </w:r>
    </w:p>
    <w:p w14:paraId="54B06D00" w14:textId="243B6225" w:rsidR="00AD0976" w:rsidRPr="005B7CAC" w:rsidRDefault="004A228B" w:rsidP="003D5418">
      <w:pPr>
        <w:widowControl w:val="0"/>
        <w:autoSpaceDE w:val="0"/>
        <w:autoSpaceDN w:val="0"/>
        <w:adjustRightInd w:val="0"/>
        <w:spacing w:after="240" w:line="360" w:lineRule="auto"/>
        <w:jc w:val="both"/>
        <w:rPr>
          <w:rFonts w:ascii="Times New Roman" w:hAnsi="Times New Roman"/>
          <w:iCs/>
          <w:sz w:val="24"/>
          <w:szCs w:val="24"/>
          <w:lang w:val="en-US"/>
        </w:rPr>
      </w:pPr>
      <w:r w:rsidRPr="005B7CAC">
        <w:rPr>
          <w:rFonts w:ascii="Times New Roman" w:hAnsi="Times New Roman"/>
          <w:iCs/>
          <w:sz w:val="24"/>
          <w:szCs w:val="24"/>
          <w:lang w:val="en-US"/>
        </w:rPr>
        <w:t>To assess financial distress (FD),</w:t>
      </w:r>
      <w:r w:rsidR="00E251DE" w:rsidRPr="005B7CAC">
        <w:rPr>
          <w:rFonts w:ascii="Times New Roman" w:hAnsi="Times New Roman"/>
          <w:iCs/>
          <w:sz w:val="24"/>
          <w:szCs w:val="24"/>
          <w:lang w:val="en-US"/>
        </w:rPr>
        <w:t xml:space="preserve"> we employ </w:t>
      </w:r>
      <w:r w:rsidR="00E251DE" w:rsidRPr="005B7CAC">
        <w:rPr>
          <w:rFonts w:ascii="Times New Roman" w:hAnsi="Times New Roman"/>
          <w:iCs/>
          <w:sz w:val="24"/>
          <w:szCs w:val="24"/>
          <w:lang w:val="en-US"/>
        </w:rPr>
        <w:fldChar w:fldCharType="begin" w:fldLock="1"/>
      </w:r>
      <w:r w:rsidR="006B2FCD" w:rsidRPr="005B7CAC">
        <w:rPr>
          <w:rFonts w:ascii="Times New Roman" w:hAnsi="Times New Roman"/>
          <w:iCs/>
          <w:sz w:val="24"/>
          <w:szCs w:val="24"/>
          <w:lang w:val="en-US"/>
        </w:rPr>
        <w:instrText>ADDIN CSL_CITATION {"citationItems":[{"id":"ITEM-1","itemData":{"DOI":"10.1111/j.1540-6261.1968.tb00843.x","ISSN":"15406261","author":[{"dropping-particle":"","family":"Altman","given":"Edward I.","non-dropping-particle":"","parse-names":false,"suffix":""}],"container-title":"The Journal of Finance","id":"ITEM-1","issue":"4","issued":{"date-parts":[["1968"]]},"page":"589-609","title":"Financial ratios, discriminant analysis and the prediction of corporate bankruptcy","type":"article-journal","volume":"23"},"uris":["http://www.mendeley.com/documents/?uuid=ce79f24a-c38b-3c56-9de2-8472a67ebc96"]}],"mendeley":{"formattedCitation":"(Altman, 1968)","manualFormatting":"Altman (1968)","plainTextFormattedCitation":"(Altman, 1968)","previouslyFormattedCitation":"(Altman, 1968)"},"properties":{"noteIndex":0},"schema":"https://github.com/citation-style-language/schema/raw/master/csl-citation.json"}</w:instrText>
      </w:r>
      <w:r w:rsidR="00E251DE" w:rsidRPr="005B7CAC">
        <w:rPr>
          <w:rFonts w:ascii="Times New Roman" w:hAnsi="Times New Roman"/>
          <w:iCs/>
          <w:sz w:val="24"/>
          <w:szCs w:val="24"/>
          <w:lang w:val="en-US"/>
        </w:rPr>
        <w:fldChar w:fldCharType="separate"/>
      </w:r>
      <w:r w:rsidR="00E251DE" w:rsidRPr="005B7CAC">
        <w:rPr>
          <w:rFonts w:ascii="Times New Roman" w:hAnsi="Times New Roman"/>
          <w:iCs/>
          <w:noProof/>
          <w:sz w:val="24"/>
          <w:szCs w:val="24"/>
          <w:lang w:val="en-US"/>
        </w:rPr>
        <w:t>Altman (1968)</w:t>
      </w:r>
      <w:r w:rsidR="00E251DE" w:rsidRPr="005B7CAC">
        <w:rPr>
          <w:rFonts w:ascii="Times New Roman" w:hAnsi="Times New Roman"/>
          <w:iCs/>
          <w:sz w:val="24"/>
          <w:szCs w:val="24"/>
          <w:lang w:val="en-US"/>
        </w:rPr>
        <w:fldChar w:fldCharType="end"/>
      </w:r>
      <w:r w:rsidR="00E251DE" w:rsidRPr="005B7CAC">
        <w:rPr>
          <w:rFonts w:ascii="Times New Roman" w:hAnsi="Times New Roman"/>
          <w:iCs/>
          <w:sz w:val="24"/>
          <w:szCs w:val="24"/>
          <w:lang w:val="en-US"/>
        </w:rPr>
        <w:t>’s score (Z_ALT), which is estimated in Equation (1). W</w:t>
      </w:r>
      <w:r w:rsidR="00F728BE" w:rsidRPr="005B7CAC">
        <w:rPr>
          <w:rFonts w:ascii="Times New Roman" w:hAnsi="Times New Roman"/>
          <w:iCs/>
          <w:sz w:val="24"/>
          <w:szCs w:val="24"/>
          <w:lang w:val="en-US"/>
        </w:rPr>
        <w:t>e</w:t>
      </w:r>
      <w:r w:rsidRPr="005B7CAC">
        <w:rPr>
          <w:rFonts w:ascii="Times New Roman" w:hAnsi="Times New Roman"/>
          <w:iCs/>
          <w:sz w:val="24"/>
          <w:szCs w:val="24"/>
          <w:lang w:val="en-US"/>
        </w:rPr>
        <w:t xml:space="preserve"> </w:t>
      </w:r>
      <w:r w:rsidR="00E251DE" w:rsidRPr="005B7CAC">
        <w:rPr>
          <w:rFonts w:ascii="Times New Roman" w:hAnsi="Times New Roman"/>
          <w:iCs/>
          <w:sz w:val="24"/>
          <w:szCs w:val="24"/>
          <w:lang w:val="en-US"/>
        </w:rPr>
        <w:t xml:space="preserve">then </w:t>
      </w:r>
      <w:r w:rsidRPr="005B7CAC">
        <w:rPr>
          <w:rFonts w:ascii="Times New Roman" w:hAnsi="Times New Roman"/>
          <w:iCs/>
          <w:sz w:val="24"/>
          <w:szCs w:val="24"/>
          <w:lang w:val="en-US"/>
        </w:rPr>
        <w:t xml:space="preserve">use the </w:t>
      </w:r>
      <w:r w:rsidR="00D1438F" w:rsidRPr="005B7CAC">
        <w:rPr>
          <w:rFonts w:ascii="Times New Roman" w:hAnsi="Times New Roman"/>
          <w:iCs/>
          <w:sz w:val="24"/>
          <w:szCs w:val="24"/>
          <w:lang w:val="en-US"/>
        </w:rPr>
        <w:t>Z_UK</w:t>
      </w:r>
      <w:r w:rsidRPr="005B7CAC">
        <w:rPr>
          <w:rFonts w:ascii="Times New Roman" w:hAnsi="Times New Roman"/>
          <w:iCs/>
          <w:sz w:val="24"/>
          <w:szCs w:val="24"/>
          <w:lang w:val="en-US"/>
        </w:rPr>
        <w:t xml:space="preserve"> </w:t>
      </w:r>
      <w:r w:rsidR="00D1438F" w:rsidRPr="005B7CAC">
        <w:rPr>
          <w:rFonts w:ascii="Times New Roman" w:hAnsi="Times New Roman"/>
          <w:iCs/>
          <w:sz w:val="24"/>
          <w:szCs w:val="24"/>
          <w:lang w:val="en-US"/>
        </w:rPr>
        <w:t>score model</w:t>
      </w:r>
      <w:r w:rsidR="008F4820" w:rsidRPr="005B7CAC">
        <w:rPr>
          <w:rFonts w:ascii="Times New Roman" w:hAnsi="Times New Roman"/>
          <w:iCs/>
          <w:sz w:val="24"/>
          <w:szCs w:val="24"/>
          <w:lang w:val="en-US"/>
        </w:rPr>
        <w:t xml:space="preserve"> </w:t>
      </w:r>
      <w:r w:rsidR="00D1438F" w:rsidRPr="005B7CAC">
        <w:rPr>
          <w:rFonts w:ascii="Times New Roman" w:hAnsi="Times New Roman"/>
          <w:iCs/>
          <w:sz w:val="24"/>
          <w:szCs w:val="24"/>
          <w:lang w:val="en-US"/>
        </w:rPr>
        <w:t xml:space="preserve">developed </w:t>
      </w:r>
      <w:r w:rsidR="008F4820" w:rsidRPr="005B7CAC">
        <w:rPr>
          <w:rFonts w:ascii="Times New Roman" w:hAnsi="Times New Roman"/>
          <w:iCs/>
          <w:sz w:val="24"/>
          <w:szCs w:val="24"/>
          <w:lang w:val="en-US"/>
        </w:rPr>
        <w:t xml:space="preserve">by </w:t>
      </w:r>
      <w:r w:rsidR="00923D40" w:rsidRPr="005B7CAC">
        <w:rPr>
          <w:rFonts w:ascii="Times New Roman" w:hAnsi="Times New Roman"/>
          <w:iCs/>
          <w:sz w:val="24"/>
          <w:szCs w:val="24"/>
          <w:lang w:val="en-US"/>
        </w:rPr>
        <w:fldChar w:fldCharType="begin" w:fldLock="1"/>
      </w:r>
      <w:r w:rsidR="00BB4571" w:rsidRPr="005B7CAC">
        <w:rPr>
          <w:rFonts w:ascii="Times New Roman" w:hAnsi="Times New Roman"/>
          <w:iCs/>
          <w:sz w:val="24"/>
          <w:szCs w:val="24"/>
          <w:lang w:val="en-US"/>
        </w:rPr>
        <w:instrText>ADDIN CSL_CITATION {"citationItems":[{"id":"ITEM-1","itemData":{"DOI":"10.1016/J.JCORPFIN.2015.12.009","ISSN":"0929-1199","abstract":"This paper investigates the extension of the Z-score model in predicting the health of UK companies; using discriminant analysis, and performance ratios to test which ratios are statistically significant in predicting the health of UK companies from 2000 to 2013. The purpose of this study is to contribute towards Altman's (1968) original Z-score model by adding a new variable. We found that, cash flow when combined with the original Z-score variable is highly significant in predicting the health of UK companies. A J-UK model was developed to test the health of UK companies. When compared to the Z-score model, the predictive power of the model was 82.9%, which is consistent with Taffler's (1982) UK model. Furthermore, to test the predictive power of the model before, during and after the financial crisis period; results show that J-UK model had higher accuracy to predict the health of UK companies than the Z-score UK model. Thus, the extension of Altman's Z score model leads to better results and assists users such as researchers, managers, regulators and other practitioners to manage their risk profile more effectively.","author":[{"dropping-particle":"","family":"Almamy","given":"Jeehan","non-dropping-particle":"","parse-names":false,"suffix":""},{"dropping-particle":"","family":"Aston","given":"John","non-dropping-particle":"","parse-names":false,"suffix":""},{"dropping-particle":"","family":"Ngwa","given":"Leonard N.","non-dropping-particle":"","parse-names":false,"suffix":""}],"container-title":"Journal of Corporate Finance","id":"ITEM-1","issued":{"date-parts":[["2016","2","1"]]},"page":"278-285","title":"An evaluation of Altman's Z-score using cash flow ratio to predict corporate failure amid the recent financial crisis: Evidence from the UK","type":"article-journal","volume":"36"},"uris":["http://www.mendeley.com/documents/?uuid=d7b13bd1-fd61-37cf-a3f8-6726314893c9"]}],"mendeley":{"formattedCitation":"(Almamy &lt;i&gt;et al.&lt;/i&gt;, 2016)","manualFormatting":"Almamy et al. (2016)","plainTextFormattedCitation":"(Almamy et al., 2016)","previouslyFormattedCitation":"(Almamy &lt;i&gt;et al.&lt;/i&gt;, 2016)"},"properties":{"noteIndex":0},"schema":"https://github.com/citation-style-language/schema/raw/master/csl-citation.json"}</w:instrText>
      </w:r>
      <w:r w:rsidR="00923D40" w:rsidRPr="005B7CAC">
        <w:rPr>
          <w:rFonts w:ascii="Times New Roman" w:hAnsi="Times New Roman"/>
          <w:iCs/>
          <w:sz w:val="24"/>
          <w:szCs w:val="24"/>
          <w:lang w:val="en-US"/>
        </w:rPr>
        <w:fldChar w:fldCharType="separate"/>
      </w:r>
      <w:r w:rsidR="008F4820" w:rsidRPr="005B7CAC">
        <w:rPr>
          <w:rFonts w:ascii="Times New Roman" w:hAnsi="Times New Roman"/>
          <w:iCs/>
          <w:noProof/>
          <w:sz w:val="24"/>
          <w:szCs w:val="24"/>
          <w:lang w:val="en-US"/>
        </w:rPr>
        <w:t xml:space="preserve">Almamy </w:t>
      </w:r>
      <w:r w:rsidR="008F4820" w:rsidRPr="005B7CAC">
        <w:rPr>
          <w:rFonts w:ascii="Times New Roman" w:hAnsi="Times New Roman"/>
          <w:i/>
          <w:iCs/>
          <w:noProof/>
          <w:sz w:val="24"/>
          <w:szCs w:val="24"/>
          <w:lang w:val="en-US"/>
        </w:rPr>
        <w:t>et al.</w:t>
      </w:r>
      <w:r w:rsidR="00D113D1" w:rsidRPr="005B7CAC">
        <w:rPr>
          <w:rFonts w:ascii="Times New Roman" w:hAnsi="Times New Roman"/>
          <w:iCs/>
          <w:noProof/>
          <w:sz w:val="24"/>
          <w:szCs w:val="24"/>
          <w:lang w:val="en-US"/>
        </w:rPr>
        <w:t xml:space="preserve"> (</w:t>
      </w:r>
      <w:r w:rsidR="008F4820" w:rsidRPr="005B7CAC">
        <w:rPr>
          <w:rFonts w:ascii="Times New Roman" w:hAnsi="Times New Roman"/>
          <w:iCs/>
          <w:noProof/>
          <w:sz w:val="24"/>
          <w:szCs w:val="24"/>
          <w:lang w:val="en-US"/>
        </w:rPr>
        <w:t>2016)</w:t>
      </w:r>
      <w:r w:rsidR="00923D40" w:rsidRPr="005B7CAC">
        <w:rPr>
          <w:rFonts w:ascii="Times New Roman" w:hAnsi="Times New Roman"/>
          <w:iCs/>
          <w:sz w:val="24"/>
          <w:szCs w:val="24"/>
          <w:lang w:val="en-US"/>
        </w:rPr>
        <w:fldChar w:fldCharType="end"/>
      </w:r>
      <w:r w:rsidR="00D1438F" w:rsidRPr="005B7CAC">
        <w:rPr>
          <w:rFonts w:ascii="Times New Roman" w:hAnsi="Times New Roman"/>
          <w:iCs/>
          <w:sz w:val="24"/>
          <w:szCs w:val="24"/>
          <w:lang w:val="en-US"/>
        </w:rPr>
        <w:t xml:space="preserve"> for the UK market</w:t>
      </w:r>
      <w:r w:rsidR="00E251DE" w:rsidRPr="005B7CAC">
        <w:rPr>
          <w:rFonts w:ascii="Times New Roman" w:hAnsi="Times New Roman"/>
          <w:iCs/>
          <w:sz w:val="24"/>
          <w:szCs w:val="24"/>
          <w:lang w:val="en-US"/>
        </w:rPr>
        <w:t xml:space="preserve"> and estimate</w:t>
      </w:r>
      <w:r w:rsidR="00233B6D" w:rsidRPr="005B7CAC">
        <w:rPr>
          <w:rFonts w:ascii="Times New Roman" w:hAnsi="Times New Roman"/>
          <w:iCs/>
          <w:sz w:val="24"/>
          <w:szCs w:val="24"/>
          <w:lang w:val="en-US"/>
        </w:rPr>
        <w:t xml:space="preserve"> it</w:t>
      </w:r>
      <w:r w:rsidR="00E251DE" w:rsidRPr="005B7CAC">
        <w:rPr>
          <w:rFonts w:ascii="Times New Roman" w:hAnsi="Times New Roman"/>
          <w:iCs/>
          <w:sz w:val="24"/>
          <w:szCs w:val="24"/>
          <w:lang w:val="en-US"/>
        </w:rPr>
        <w:t xml:space="preserve"> in Equation (2)</w:t>
      </w:r>
      <w:r w:rsidRPr="005B7CAC">
        <w:rPr>
          <w:rFonts w:ascii="Times New Roman" w:hAnsi="Times New Roman"/>
          <w:iCs/>
          <w:sz w:val="24"/>
          <w:szCs w:val="24"/>
          <w:lang w:val="en-US"/>
        </w:rPr>
        <w:t xml:space="preserve">. </w:t>
      </w:r>
      <w:r w:rsidR="008769BE" w:rsidRPr="005B7CAC">
        <w:rPr>
          <w:rFonts w:ascii="Times New Roman" w:hAnsi="Times New Roman"/>
          <w:iCs/>
          <w:sz w:val="24"/>
          <w:szCs w:val="24"/>
          <w:lang w:val="en-US"/>
        </w:rPr>
        <w:t>By incorporating operating cash flows, t</w:t>
      </w:r>
      <w:r w:rsidRPr="005B7CAC">
        <w:rPr>
          <w:rFonts w:ascii="Times New Roman" w:hAnsi="Times New Roman"/>
          <w:iCs/>
          <w:sz w:val="24"/>
          <w:szCs w:val="24"/>
          <w:lang w:val="en-US"/>
        </w:rPr>
        <w:t xml:space="preserve">his model </w:t>
      </w:r>
      <w:r w:rsidR="00DB41FA" w:rsidRPr="005B7CAC">
        <w:rPr>
          <w:rFonts w:ascii="Times New Roman" w:hAnsi="Times New Roman"/>
          <w:iCs/>
          <w:sz w:val="24"/>
          <w:szCs w:val="24"/>
          <w:lang w:val="en-US"/>
        </w:rPr>
        <w:t xml:space="preserve">extends </w:t>
      </w:r>
      <w:r w:rsidR="00DB41FA" w:rsidRPr="005B7CAC">
        <w:rPr>
          <w:rFonts w:ascii="Times New Roman" w:hAnsi="Times New Roman"/>
          <w:iCs/>
          <w:sz w:val="24"/>
          <w:szCs w:val="24"/>
          <w:lang w:val="en-US"/>
        </w:rPr>
        <w:fldChar w:fldCharType="begin" w:fldLock="1"/>
      </w:r>
      <w:r w:rsidR="00BB4571" w:rsidRPr="005B7CAC">
        <w:rPr>
          <w:rFonts w:ascii="Times New Roman" w:hAnsi="Times New Roman"/>
          <w:iCs/>
          <w:sz w:val="24"/>
          <w:szCs w:val="24"/>
          <w:lang w:val="en-US"/>
        </w:rPr>
        <w:instrText>ADDIN CSL_CITATION {"citationItems":[{"id":"ITEM-1","itemData":{"DOI":"10.1111/j.1540-6261.1968.tb00843.x","ISSN":"15406261","author":[{"dropping-particle":"","family":"Altman","given":"Edward I.","non-dropping-particle":"","parse-names":false,"suffix":""}],"container-title":"The Journal of Finance","id":"ITEM-1","issue":"4","issued":{"date-parts":[["1968"]]},"page":"589-609","title":"Financial ratios, discriminant analysis and the prediction of corporate bankruptcy","type":"article-journal","volume":"23"},"uris":["http://www.mendeley.com/documents/?uuid=ce79f24a-c38b-3c56-9de2-8472a67ebc96"]}],"mendeley":{"formattedCitation":"(Altman, 1968)","manualFormatting":"Altman (1968)","plainTextFormattedCitation":"(Altman, 1968)","previouslyFormattedCitation":"(Altman, 1968)"},"properties":{"noteIndex":0},"schema":"https://github.com/citation-style-language/schema/raw/master/csl-citation.json"}</w:instrText>
      </w:r>
      <w:r w:rsidR="00DB41FA" w:rsidRPr="005B7CAC">
        <w:rPr>
          <w:rFonts w:ascii="Times New Roman" w:hAnsi="Times New Roman"/>
          <w:iCs/>
          <w:sz w:val="24"/>
          <w:szCs w:val="24"/>
          <w:lang w:val="en-US"/>
        </w:rPr>
        <w:fldChar w:fldCharType="separate"/>
      </w:r>
      <w:r w:rsidR="00D113D1" w:rsidRPr="005B7CAC">
        <w:rPr>
          <w:rFonts w:ascii="Times New Roman" w:hAnsi="Times New Roman"/>
          <w:iCs/>
          <w:noProof/>
          <w:sz w:val="24"/>
          <w:szCs w:val="24"/>
          <w:lang w:val="en-US"/>
        </w:rPr>
        <w:t>Altman (</w:t>
      </w:r>
      <w:r w:rsidR="00325980" w:rsidRPr="005B7CAC">
        <w:rPr>
          <w:rFonts w:ascii="Times New Roman" w:hAnsi="Times New Roman"/>
          <w:iCs/>
          <w:noProof/>
          <w:sz w:val="24"/>
          <w:szCs w:val="24"/>
          <w:lang w:val="en-US"/>
        </w:rPr>
        <w:t>1968)</w:t>
      </w:r>
      <w:r w:rsidR="00DB41FA" w:rsidRPr="005B7CAC">
        <w:rPr>
          <w:rFonts w:ascii="Times New Roman" w:hAnsi="Times New Roman"/>
          <w:iCs/>
          <w:sz w:val="24"/>
          <w:szCs w:val="24"/>
          <w:lang w:val="en-US"/>
        </w:rPr>
        <w:fldChar w:fldCharType="end"/>
      </w:r>
      <w:r w:rsidR="00325980" w:rsidRPr="005B7CAC">
        <w:rPr>
          <w:rFonts w:ascii="Times New Roman" w:hAnsi="Times New Roman"/>
          <w:iCs/>
          <w:sz w:val="24"/>
          <w:szCs w:val="24"/>
          <w:lang w:val="en-US"/>
        </w:rPr>
        <w:t xml:space="preserve">’s </w:t>
      </w:r>
      <w:r w:rsidR="00DB41FA" w:rsidRPr="005B7CAC">
        <w:rPr>
          <w:rFonts w:ascii="Times New Roman" w:hAnsi="Times New Roman"/>
          <w:iCs/>
          <w:sz w:val="24"/>
          <w:szCs w:val="24"/>
          <w:lang w:val="en-US"/>
        </w:rPr>
        <w:t xml:space="preserve">original </w:t>
      </w:r>
      <w:r w:rsidRPr="005B7CAC">
        <w:rPr>
          <w:rFonts w:ascii="Times New Roman" w:hAnsi="Times New Roman"/>
          <w:iCs/>
          <w:sz w:val="24"/>
          <w:szCs w:val="24"/>
          <w:lang w:val="en-US"/>
        </w:rPr>
        <w:t xml:space="preserve">Z-score </w:t>
      </w:r>
      <w:r w:rsidR="00D1438F" w:rsidRPr="005B7CAC">
        <w:rPr>
          <w:rFonts w:ascii="Times New Roman" w:hAnsi="Times New Roman"/>
          <w:iCs/>
          <w:sz w:val="24"/>
          <w:szCs w:val="24"/>
          <w:lang w:val="en-US"/>
        </w:rPr>
        <w:t xml:space="preserve">and </w:t>
      </w:r>
      <w:r w:rsidR="008769BE" w:rsidRPr="005B7CAC">
        <w:rPr>
          <w:rFonts w:ascii="Times New Roman" w:hAnsi="Times New Roman"/>
          <w:iCs/>
          <w:sz w:val="24"/>
          <w:szCs w:val="24"/>
          <w:lang w:val="en-US"/>
        </w:rPr>
        <w:t xml:space="preserve">predicts UK firms’ </w:t>
      </w:r>
      <w:r w:rsidR="008F4820" w:rsidRPr="005B7CAC">
        <w:rPr>
          <w:rFonts w:ascii="Times New Roman" w:hAnsi="Times New Roman"/>
          <w:iCs/>
          <w:sz w:val="24"/>
          <w:szCs w:val="24"/>
          <w:lang w:val="en-US"/>
        </w:rPr>
        <w:t>financial health</w:t>
      </w:r>
      <w:r w:rsidR="008769BE" w:rsidRPr="005B7CAC">
        <w:rPr>
          <w:rFonts w:ascii="Times New Roman" w:hAnsi="Times New Roman"/>
          <w:iCs/>
          <w:sz w:val="24"/>
          <w:szCs w:val="24"/>
          <w:lang w:val="en-US"/>
        </w:rPr>
        <w:t xml:space="preserve"> more accurately and effectively </w:t>
      </w:r>
      <w:r w:rsidR="00923D40" w:rsidRPr="005B7CAC">
        <w:rPr>
          <w:rFonts w:ascii="Times New Roman" w:hAnsi="Times New Roman"/>
          <w:iCs/>
          <w:sz w:val="24"/>
          <w:szCs w:val="24"/>
          <w:lang w:val="en-US"/>
        </w:rPr>
        <w:fldChar w:fldCharType="begin" w:fldLock="1"/>
      </w:r>
      <w:r w:rsidR="00923D40" w:rsidRPr="005B7CAC">
        <w:rPr>
          <w:rFonts w:ascii="Times New Roman" w:hAnsi="Times New Roman"/>
          <w:iCs/>
          <w:sz w:val="24"/>
          <w:szCs w:val="24"/>
          <w:lang w:val="en-US"/>
        </w:rPr>
        <w:instrText>ADDIN CSL_CITATION {"citationItems":[{"id":"ITEM-1","itemData":{"DOI":"10.1016/J.JCORPFIN.2015.12.009","ISSN":"0929-1199","abstract":"This paper investigates the extension of the Z-score model in predicting the health of UK companies; using discriminant analysis, and performance ratios to test which ratios are statistically significant in predicting the health of UK companies from 2000 to 2013. The purpose of this study is to contribute towards Altman's (1968) original Z-score model by adding a new variable. We found that, cash flow when combined with the original Z-score variable is highly significant in predicting the health of UK companies. A J-UK model was developed to test the health of UK companies. When compared to the Z-score model, the predictive power of the model was 82.9%, which is consistent with Taffler's (1982) UK model. Furthermore, to test the predictive power of the model before, during and after the financial crisis period; results show that J-UK model had higher accuracy to predict the health of UK companies than the Z-score UK model. Thus, the extension of Altman's Z score model leads to better results and assists users such as researchers, managers, regulators and other practitioners to manage their risk profile more effectively.","author":[{"dropping-particle":"","family":"Almamy","given":"Jeehan","non-dropping-particle":"","parse-names":false,"suffix":""},{"dropping-particle":"","family":"Aston","given":"John","non-dropping-particle":"","parse-names":false,"suffix":""},{"dropping-particle":"","family":"Ngwa","given":"Leonard N.","non-dropping-particle":"","parse-names":false,"suffix":""}],"container-title":"Journal of Corporate Finance","id":"ITEM-1","issued":{"date-parts":[["2016","2","1"]]},"page":"278-285","title":"An evaluation of Altman's Z-score using cash flow ratio to predict corporate failure amid the recent financial crisis: Evidence from the UK","type":"article-journal","volume":"36"},"uris":["http://www.mendeley.com/documents/?uuid=d7b13bd1-fd61-37cf-a3f8-6726314893c9"]}],"mendeley":{"formattedCitation":"(Almamy &lt;i&gt;et al.&lt;/i&gt;, 2016)","plainTextFormattedCitation":"(Almamy et al., 2016)","previouslyFormattedCitation":"(Almamy &lt;i&gt;et al.&lt;/i&gt;, 2016)"},"properties":{"noteIndex":0},"schema":"https://github.com/citation-style-language/schema/raw/master/csl-citation.json"}</w:instrText>
      </w:r>
      <w:r w:rsidR="00923D40" w:rsidRPr="005B7CAC">
        <w:rPr>
          <w:rFonts w:ascii="Times New Roman" w:hAnsi="Times New Roman"/>
          <w:iCs/>
          <w:sz w:val="24"/>
          <w:szCs w:val="24"/>
          <w:lang w:val="en-US"/>
        </w:rPr>
        <w:fldChar w:fldCharType="separate"/>
      </w:r>
      <w:r w:rsidR="008769BE" w:rsidRPr="005B7CAC">
        <w:rPr>
          <w:rFonts w:ascii="Times New Roman" w:hAnsi="Times New Roman"/>
          <w:iCs/>
          <w:noProof/>
          <w:sz w:val="24"/>
          <w:szCs w:val="24"/>
          <w:lang w:val="en-US"/>
        </w:rPr>
        <w:t xml:space="preserve">(Almamy </w:t>
      </w:r>
      <w:r w:rsidR="008769BE" w:rsidRPr="005B7CAC">
        <w:rPr>
          <w:rFonts w:ascii="Times New Roman" w:hAnsi="Times New Roman"/>
          <w:i/>
          <w:iCs/>
          <w:noProof/>
          <w:sz w:val="24"/>
          <w:szCs w:val="24"/>
          <w:lang w:val="en-US"/>
        </w:rPr>
        <w:t>et al.</w:t>
      </w:r>
      <w:r w:rsidR="008769BE" w:rsidRPr="005B7CAC">
        <w:rPr>
          <w:rFonts w:ascii="Times New Roman" w:hAnsi="Times New Roman"/>
          <w:iCs/>
          <w:noProof/>
          <w:sz w:val="24"/>
          <w:szCs w:val="24"/>
          <w:lang w:val="en-US"/>
        </w:rPr>
        <w:t>, 2016)</w:t>
      </w:r>
      <w:r w:rsidR="00923D40" w:rsidRPr="005B7CAC">
        <w:rPr>
          <w:rFonts w:ascii="Times New Roman" w:hAnsi="Times New Roman"/>
          <w:iCs/>
          <w:sz w:val="24"/>
          <w:szCs w:val="24"/>
          <w:lang w:val="en-US"/>
        </w:rPr>
        <w:fldChar w:fldCharType="end"/>
      </w:r>
      <w:r w:rsidR="008769BE" w:rsidRPr="005B7CAC">
        <w:rPr>
          <w:rFonts w:ascii="Times New Roman" w:hAnsi="Times New Roman"/>
          <w:iCs/>
          <w:sz w:val="24"/>
          <w:szCs w:val="24"/>
          <w:lang w:val="en-US"/>
        </w:rPr>
        <w:t xml:space="preserve">. </w:t>
      </w:r>
    </w:p>
    <w:p w14:paraId="4434328E" w14:textId="08ED0672" w:rsidR="00E251DE" w:rsidRPr="005B7CAC" w:rsidRDefault="00E251DE" w:rsidP="003D5418">
      <w:pPr>
        <w:widowControl w:val="0"/>
        <w:autoSpaceDE w:val="0"/>
        <w:autoSpaceDN w:val="0"/>
        <w:adjustRightInd w:val="0"/>
        <w:spacing w:after="0" w:line="360" w:lineRule="auto"/>
        <w:jc w:val="center"/>
        <w:rPr>
          <w:rFonts w:ascii="Times New Roman" w:hAnsi="Times New Roman"/>
          <w:i/>
          <w:sz w:val="24"/>
          <w:szCs w:val="24"/>
          <w:lang w:val="en-US"/>
        </w:rPr>
      </w:pPr>
      <w:r w:rsidRPr="005B7CAC">
        <w:rPr>
          <w:rFonts w:ascii="Times New Roman" w:hAnsi="Times New Roman"/>
          <w:i/>
          <w:sz w:val="24"/>
          <w:szCs w:val="24"/>
          <w:lang w:val="en-US"/>
        </w:rPr>
        <w:t>Z_ALT=1.</w:t>
      </w:r>
      <w:r w:rsidR="006B2FCD" w:rsidRPr="005B7CAC">
        <w:rPr>
          <w:rFonts w:ascii="Times New Roman" w:hAnsi="Times New Roman"/>
          <w:i/>
          <w:sz w:val="24"/>
          <w:szCs w:val="24"/>
          <w:lang w:val="en-US"/>
        </w:rPr>
        <w:t>2</w:t>
      </w:r>
      <w:r w:rsidRPr="005B7CAC">
        <w:rPr>
          <w:rFonts w:ascii="Times New Roman" w:hAnsi="Times New Roman"/>
          <w:i/>
          <w:sz w:val="24"/>
          <w:szCs w:val="24"/>
          <w:lang w:val="en-US"/>
        </w:rPr>
        <w:t>*W+</w:t>
      </w:r>
      <w:r w:rsidR="006B2FCD" w:rsidRPr="005B7CAC">
        <w:rPr>
          <w:rFonts w:ascii="Times New Roman" w:hAnsi="Times New Roman"/>
          <w:i/>
          <w:sz w:val="24"/>
          <w:szCs w:val="24"/>
          <w:lang w:val="en-US"/>
        </w:rPr>
        <w:t>1</w:t>
      </w:r>
      <w:r w:rsidRPr="005B7CAC">
        <w:rPr>
          <w:rFonts w:ascii="Times New Roman" w:hAnsi="Times New Roman"/>
          <w:i/>
          <w:sz w:val="24"/>
          <w:szCs w:val="24"/>
          <w:lang w:val="en-US"/>
        </w:rPr>
        <w:t>.4*R+</w:t>
      </w:r>
      <w:r w:rsidR="006B2FCD" w:rsidRPr="005B7CAC">
        <w:rPr>
          <w:rFonts w:ascii="Times New Roman" w:hAnsi="Times New Roman"/>
          <w:i/>
          <w:sz w:val="24"/>
          <w:szCs w:val="24"/>
          <w:lang w:val="en-US"/>
        </w:rPr>
        <w:t>3.3</w:t>
      </w:r>
      <w:r w:rsidRPr="005B7CAC">
        <w:rPr>
          <w:rFonts w:ascii="Times New Roman" w:hAnsi="Times New Roman"/>
          <w:i/>
          <w:sz w:val="24"/>
          <w:szCs w:val="24"/>
          <w:lang w:val="en-US"/>
        </w:rPr>
        <w:t>*E+0.</w:t>
      </w:r>
      <w:r w:rsidR="006B2FCD" w:rsidRPr="005B7CAC">
        <w:rPr>
          <w:rFonts w:ascii="Times New Roman" w:hAnsi="Times New Roman"/>
          <w:i/>
          <w:sz w:val="24"/>
          <w:szCs w:val="24"/>
          <w:lang w:val="en-US"/>
        </w:rPr>
        <w:t>6</w:t>
      </w:r>
      <w:r w:rsidRPr="005B7CAC">
        <w:rPr>
          <w:rFonts w:ascii="Times New Roman" w:hAnsi="Times New Roman"/>
          <w:i/>
          <w:sz w:val="24"/>
          <w:szCs w:val="24"/>
          <w:lang w:val="en-US"/>
        </w:rPr>
        <w:t>*M+0.</w:t>
      </w:r>
      <w:r w:rsidR="006B2FCD" w:rsidRPr="005B7CAC">
        <w:rPr>
          <w:rFonts w:ascii="Times New Roman" w:hAnsi="Times New Roman"/>
          <w:i/>
          <w:sz w:val="24"/>
          <w:szCs w:val="24"/>
          <w:lang w:val="en-US"/>
        </w:rPr>
        <w:t>999</w:t>
      </w:r>
      <w:r w:rsidRPr="005B7CAC">
        <w:rPr>
          <w:rFonts w:ascii="Times New Roman" w:hAnsi="Times New Roman"/>
          <w:i/>
          <w:sz w:val="24"/>
          <w:szCs w:val="24"/>
          <w:lang w:val="en-US"/>
        </w:rPr>
        <w:t>*S</w:t>
      </w:r>
    </w:p>
    <w:p w14:paraId="2184382C" w14:textId="4FEA589E" w:rsidR="00E251DE" w:rsidRPr="005B7CAC" w:rsidRDefault="00E251DE" w:rsidP="003D5418">
      <w:pPr>
        <w:widowControl w:val="0"/>
        <w:autoSpaceDE w:val="0"/>
        <w:autoSpaceDN w:val="0"/>
        <w:adjustRightInd w:val="0"/>
        <w:spacing w:after="120" w:line="360" w:lineRule="auto"/>
        <w:jc w:val="right"/>
        <w:rPr>
          <w:rFonts w:ascii="Times New Roman" w:hAnsi="Times New Roman"/>
          <w:bCs/>
          <w:iCs/>
          <w:sz w:val="24"/>
          <w:szCs w:val="24"/>
          <w:lang w:val="en-US"/>
        </w:rPr>
      </w:pPr>
      <w:r w:rsidRPr="005B7CAC">
        <w:rPr>
          <w:rFonts w:ascii="Times New Roman" w:hAnsi="Times New Roman"/>
          <w:iCs/>
          <w:sz w:val="24"/>
          <w:szCs w:val="24"/>
          <w:lang w:val="en-US"/>
        </w:rPr>
        <w:t>(1)</w:t>
      </w:r>
    </w:p>
    <w:p w14:paraId="0F5287AC" w14:textId="01B5863D" w:rsidR="00407684" w:rsidRPr="005B7CAC" w:rsidRDefault="00407684" w:rsidP="003D5418">
      <w:pPr>
        <w:widowControl w:val="0"/>
        <w:autoSpaceDE w:val="0"/>
        <w:autoSpaceDN w:val="0"/>
        <w:adjustRightInd w:val="0"/>
        <w:spacing w:after="0" w:line="360" w:lineRule="auto"/>
        <w:jc w:val="center"/>
        <w:rPr>
          <w:rFonts w:ascii="Times New Roman" w:hAnsi="Times New Roman"/>
          <w:i/>
          <w:sz w:val="24"/>
          <w:szCs w:val="24"/>
          <w:lang w:val="en-US"/>
        </w:rPr>
      </w:pPr>
      <w:r w:rsidRPr="005B7CAC">
        <w:rPr>
          <w:rFonts w:ascii="Times New Roman" w:hAnsi="Times New Roman"/>
          <w:i/>
          <w:sz w:val="24"/>
          <w:szCs w:val="24"/>
          <w:lang w:val="en-US"/>
        </w:rPr>
        <w:t>Z_UK=1.484*W+0.043*R+0.390*E+0.004*M+0.424*</w:t>
      </w:r>
      <w:r w:rsidR="008F4820" w:rsidRPr="005B7CAC">
        <w:rPr>
          <w:rFonts w:ascii="Times New Roman" w:hAnsi="Times New Roman"/>
          <w:i/>
          <w:sz w:val="24"/>
          <w:szCs w:val="24"/>
          <w:lang w:val="en-US"/>
        </w:rPr>
        <w:t>S</w:t>
      </w:r>
      <w:r w:rsidRPr="005B7CAC">
        <w:rPr>
          <w:rFonts w:ascii="Times New Roman" w:hAnsi="Times New Roman"/>
          <w:i/>
          <w:sz w:val="24"/>
          <w:szCs w:val="24"/>
          <w:lang w:val="en-US"/>
        </w:rPr>
        <w:t>+0.750*C</w:t>
      </w:r>
      <w:r w:rsidR="003A06F7" w:rsidRPr="005B7CAC">
        <w:rPr>
          <w:rFonts w:ascii="Times New Roman" w:hAnsi="Times New Roman"/>
          <w:i/>
          <w:sz w:val="24"/>
          <w:szCs w:val="24"/>
          <w:lang w:val="en-US"/>
        </w:rPr>
        <w:t>F</w:t>
      </w:r>
    </w:p>
    <w:p w14:paraId="42C1ECD8" w14:textId="4DCFC904" w:rsidR="00F728BE" w:rsidRPr="005B7CAC" w:rsidRDefault="00F728BE" w:rsidP="003D5418">
      <w:pPr>
        <w:widowControl w:val="0"/>
        <w:autoSpaceDE w:val="0"/>
        <w:autoSpaceDN w:val="0"/>
        <w:adjustRightInd w:val="0"/>
        <w:spacing w:after="120" w:line="360" w:lineRule="auto"/>
        <w:jc w:val="right"/>
        <w:rPr>
          <w:rFonts w:ascii="Times New Roman" w:hAnsi="Times New Roman"/>
          <w:bCs/>
          <w:iCs/>
          <w:sz w:val="24"/>
          <w:szCs w:val="24"/>
          <w:lang w:val="en-US"/>
        </w:rPr>
      </w:pPr>
      <w:r w:rsidRPr="005B7CAC">
        <w:rPr>
          <w:rFonts w:ascii="Times New Roman" w:hAnsi="Times New Roman"/>
          <w:iCs/>
          <w:sz w:val="24"/>
          <w:szCs w:val="24"/>
          <w:lang w:val="en-US"/>
        </w:rPr>
        <w:t>(</w:t>
      </w:r>
      <w:r w:rsidR="00E251DE" w:rsidRPr="005B7CAC">
        <w:rPr>
          <w:rFonts w:ascii="Times New Roman" w:hAnsi="Times New Roman"/>
          <w:iCs/>
          <w:sz w:val="24"/>
          <w:szCs w:val="24"/>
          <w:lang w:val="en-US"/>
        </w:rPr>
        <w:t>2</w:t>
      </w:r>
      <w:r w:rsidRPr="005B7CAC">
        <w:rPr>
          <w:rFonts w:ascii="Times New Roman" w:hAnsi="Times New Roman"/>
          <w:iCs/>
          <w:sz w:val="24"/>
          <w:szCs w:val="24"/>
          <w:lang w:val="en-US"/>
        </w:rPr>
        <w:t>)</w:t>
      </w:r>
    </w:p>
    <w:p w14:paraId="48ABFD51" w14:textId="3398EC21" w:rsidR="00F728BE" w:rsidRPr="005B7CAC" w:rsidRDefault="008F4820" w:rsidP="003D5418">
      <w:pPr>
        <w:widowControl w:val="0"/>
        <w:autoSpaceDE w:val="0"/>
        <w:autoSpaceDN w:val="0"/>
        <w:adjustRightInd w:val="0"/>
        <w:spacing w:after="240" w:line="360" w:lineRule="auto"/>
        <w:jc w:val="both"/>
        <w:rPr>
          <w:rFonts w:ascii="Times New Roman" w:hAnsi="Times New Roman"/>
          <w:bCs/>
          <w:iCs/>
          <w:sz w:val="24"/>
          <w:szCs w:val="24"/>
          <w:lang w:val="en-US"/>
        </w:rPr>
      </w:pPr>
      <w:r w:rsidRPr="005B7CAC">
        <w:rPr>
          <w:rFonts w:ascii="Times New Roman" w:hAnsi="Times New Roman"/>
          <w:iCs/>
          <w:sz w:val="24"/>
          <w:szCs w:val="24"/>
          <w:lang w:val="en-US"/>
        </w:rPr>
        <w:t>where, W = working capital/total assets, R = retained earnings/total assets, E = earnings before interest and taxation/total assets, M = market value of equity/total liabilities, S = sales/total assets, and C</w:t>
      </w:r>
      <w:r w:rsidR="003A06F7" w:rsidRPr="005B7CAC">
        <w:rPr>
          <w:rFonts w:ascii="Times New Roman" w:hAnsi="Times New Roman"/>
          <w:iCs/>
          <w:sz w:val="24"/>
          <w:szCs w:val="24"/>
          <w:lang w:val="en-US"/>
        </w:rPr>
        <w:t>F</w:t>
      </w:r>
      <w:r w:rsidRPr="005B7CAC">
        <w:rPr>
          <w:rFonts w:ascii="Times New Roman" w:hAnsi="Times New Roman"/>
          <w:iCs/>
          <w:sz w:val="24"/>
          <w:szCs w:val="24"/>
          <w:lang w:val="en-US"/>
        </w:rPr>
        <w:t xml:space="preserve"> = </w:t>
      </w:r>
      <w:r w:rsidR="00AE4902" w:rsidRPr="005B7CAC">
        <w:rPr>
          <w:rFonts w:ascii="Times New Roman" w:hAnsi="Times New Roman"/>
          <w:iCs/>
          <w:sz w:val="24"/>
          <w:szCs w:val="24"/>
          <w:lang w:val="en-US"/>
        </w:rPr>
        <w:t>c</w:t>
      </w:r>
      <w:r w:rsidRPr="005B7CAC">
        <w:rPr>
          <w:rFonts w:ascii="Times New Roman" w:hAnsi="Times New Roman"/>
          <w:iCs/>
          <w:sz w:val="24"/>
          <w:szCs w:val="24"/>
          <w:lang w:val="en-US"/>
        </w:rPr>
        <w:t>ash flows from operating activities/</w:t>
      </w:r>
      <w:r w:rsidR="00E251DE" w:rsidRPr="005B7CAC">
        <w:rPr>
          <w:rFonts w:ascii="Times New Roman" w:hAnsi="Times New Roman"/>
          <w:iCs/>
          <w:sz w:val="24"/>
          <w:szCs w:val="24"/>
          <w:lang w:val="en-US"/>
        </w:rPr>
        <w:t>t</w:t>
      </w:r>
      <w:r w:rsidRPr="005B7CAC">
        <w:rPr>
          <w:rFonts w:ascii="Times New Roman" w:hAnsi="Times New Roman"/>
          <w:iCs/>
          <w:sz w:val="24"/>
          <w:szCs w:val="24"/>
          <w:lang w:val="en-US"/>
        </w:rPr>
        <w:t>otal assets.</w:t>
      </w:r>
      <w:r w:rsidR="006C7F8E" w:rsidRPr="005B7CAC">
        <w:rPr>
          <w:rFonts w:ascii="Times New Roman" w:hAnsi="Times New Roman"/>
          <w:iCs/>
          <w:sz w:val="24"/>
          <w:szCs w:val="24"/>
          <w:lang w:val="en-US"/>
        </w:rPr>
        <w:t xml:space="preserve"> </w:t>
      </w:r>
      <w:r w:rsidR="00192D55" w:rsidRPr="005B7CAC">
        <w:rPr>
          <w:rFonts w:ascii="Times New Roman" w:hAnsi="Times New Roman"/>
          <w:bCs/>
          <w:iCs/>
          <w:sz w:val="24"/>
          <w:szCs w:val="24"/>
          <w:lang w:val="en-US"/>
        </w:rPr>
        <w:t>High</w:t>
      </w:r>
      <w:r w:rsidR="000943E5" w:rsidRPr="005B7CAC">
        <w:rPr>
          <w:rFonts w:ascii="Times New Roman" w:hAnsi="Times New Roman"/>
          <w:bCs/>
          <w:iCs/>
          <w:sz w:val="24"/>
          <w:szCs w:val="24"/>
          <w:lang w:val="en-US"/>
        </w:rPr>
        <w:t>er</w:t>
      </w:r>
      <w:r w:rsidR="00192D55" w:rsidRPr="005B7CAC">
        <w:rPr>
          <w:rFonts w:ascii="Times New Roman" w:hAnsi="Times New Roman"/>
          <w:bCs/>
          <w:iCs/>
          <w:sz w:val="24"/>
          <w:szCs w:val="24"/>
          <w:lang w:val="en-US"/>
        </w:rPr>
        <w:t xml:space="preserve"> </w:t>
      </w:r>
      <w:r w:rsidR="00192D55" w:rsidRPr="005B7CAC">
        <w:rPr>
          <w:rFonts w:ascii="Times New Roman" w:hAnsi="Times New Roman"/>
          <w:bCs/>
          <w:i/>
          <w:sz w:val="24"/>
          <w:szCs w:val="24"/>
          <w:lang w:val="en-US"/>
        </w:rPr>
        <w:t>Z_UK</w:t>
      </w:r>
      <w:r w:rsidR="00192D55" w:rsidRPr="005B7CAC">
        <w:rPr>
          <w:rFonts w:ascii="Times New Roman" w:hAnsi="Times New Roman"/>
          <w:bCs/>
          <w:iCs/>
          <w:sz w:val="24"/>
          <w:szCs w:val="24"/>
          <w:lang w:val="en-US"/>
        </w:rPr>
        <w:t xml:space="preserve"> </w:t>
      </w:r>
      <w:r w:rsidR="00E251DE" w:rsidRPr="005B7CAC">
        <w:rPr>
          <w:rFonts w:ascii="Times New Roman" w:hAnsi="Times New Roman"/>
          <w:bCs/>
          <w:iCs/>
          <w:sz w:val="24"/>
          <w:szCs w:val="24"/>
          <w:lang w:val="en-US"/>
        </w:rPr>
        <w:t xml:space="preserve">and </w:t>
      </w:r>
      <w:r w:rsidR="00E251DE" w:rsidRPr="005B7CAC">
        <w:rPr>
          <w:rFonts w:ascii="Times New Roman" w:hAnsi="Times New Roman"/>
          <w:bCs/>
          <w:i/>
          <w:sz w:val="24"/>
          <w:szCs w:val="24"/>
          <w:lang w:val="en-US"/>
        </w:rPr>
        <w:t>Z_ALT</w:t>
      </w:r>
      <w:r w:rsidR="00E251DE" w:rsidRPr="005B7CAC">
        <w:rPr>
          <w:rFonts w:ascii="Times New Roman" w:hAnsi="Times New Roman"/>
          <w:bCs/>
          <w:iCs/>
          <w:sz w:val="24"/>
          <w:szCs w:val="24"/>
          <w:lang w:val="en-US"/>
        </w:rPr>
        <w:t xml:space="preserve"> </w:t>
      </w:r>
      <w:r w:rsidR="00192D55" w:rsidRPr="005B7CAC">
        <w:rPr>
          <w:rFonts w:ascii="Times New Roman" w:hAnsi="Times New Roman"/>
          <w:bCs/>
          <w:iCs/>
          <w:sz w:val="24"/>
          <w:szCs w:val="24"/>
          <w:lang w:val="en-US"/>
        </w:rPr>
        <w:t>scores indicate</w:t>
      </w:r>
      <w:r w:rsidR="002F4777" w:rsidRPr="005B7CAC">
        <w:rPr>
          <w:rFonts w:ascii="Times New Roman" w:hAnsi="Times New Roman"/>
          <w:bCs/>
          <w:iCs/>
          <w:sz w:val="24"/>
          <w:szCs w:val="24"/>
          <w:lang w:val="en-US"/>
        </w:rPr>
        <w:t xml:space="preserve"> </w:t>
      </w:r>
      <w:r w:rsidR="006969D0" w:rsidRPr="005B7CAC">
        <w:rPr>
          <w:rFonts w:ascii="Times New Roman" w:hAnsi="Times New Roman"/>
          <w:bCs/>
          <w:iCs/>
          <w:sz w:val="24"/>
          <w:szCs w:val="24"/>
          <w:lang w:val="en-US"/>
        </w:rPr>
        <w:t xml:space="preserve">decreased </w:t>
      </w:r>
      <w:r w:rsidR="00192D55" w:rsidRPr="005B7CAC">
        <w:rPr>
          <w:rFonts w:ascii="Times New Roman" w:hAnsi="Times New Roman"/>
          <w:bCs/>
          <w:i/>
          <w:sz w:val="24"/>
          <w:szCs w:val="24"/>
          <w:lang w:val="en-US"/>
        </w:rPr>
        <w:t>FD</w:t>
      </w:r>
      <w:r w:rsidR="00192D55" w:rsidRPr="005B7CAC">
        <w:rPr>
          <w:rFonts w:ascii="Times New Roman" w:hAnsi="Times New Roman"/>
          <w:bCs/>
          <w:iCs/>
          <w:sz w:val="24"/>
          <w:szCs w:val="24"/>
          <w:lang w:val="en-US"/>
        </w:rPr>
        <w:t xml:space="preserve"> levels</w:t>
      </w:r>
      <w:r w:rsidR="002F4777" w:rsidRPr="005B7CAC">
        <w:rPr>
          <w:rFonts w:ascii="Times New Roman" w:hAnsi="Times New Roman"/>
          <w:bCs/>
          <w:iCs/>
          <w:sz w:val="24"/>
          <w:szCs w:val="24"/>
          <w:lang w:val="en-US"/>
        </w:rPr>
        <w:t xml:space="preserve"> and increased financial stability</w:t>
      </w:r>
      <w:r w:rsidR="006969D0" w:rsidRPr="005B7CAC">
        <w:rPr>
          <w:rFonts w:ascii="Times New Roman" w:hAnsi="Times New Roman"/>
          <w:bCs/>
          <w:iCs/>
          <w:sz w:val="24"/>
          <w:szCs w:val="24"/>
          <w:lang w:val="en-US"/>
        </w:rPr>
        <w:t>, and vice versa</w:t>
      </w:r>
      <w:r w:rsidR="00192D55" w:rsidRPr="005B7CAC">
        <w:rPr>
          <w:rFonts w:ascii="Times New Roman" w:hAnsi="Times New Roman"/>
          <w:bCs/>
          <w:iCs/>
          <w:sz w:val="24"/>
          <w:szCs w:val="24"/>
          <w:lang w:val="en-US"/>
        </w:rPr>
        <w:t>.</w:t>
      </w:r>
      <w:r w:rsidR="00F728BE" w:rsidRPr="005B7CAC">
        <w:rPr>
          <w:rFonts w:ascii="Times New Roman" w:hAnsi="Times New Roman"/>
          <w:bCs/>
          <w:iCs/>
          <w:sz w:val="24"/>
          <w:szCs w:val="24"/>
          <w:lang w:val="en-US"/>
        </w:rPr>
        <w:t xml:space="preserve"> </w:t>
      </w:r>
      <w:r w:rsidR="00192D55" w:rsidRPr="005B7CAC">
        <w:rPr>
          <w:rFonts w:ascii="Times New Roman" w:hAnsi="Times New Roman"/>
          <w:bCs/>
          <w:iCs/>
          <w:sz w:val="24"/>
          <w:szCs w:val="24"/>
          <w:lang w:val="en-US"/>
        </w:rPr>
        <w:t xml:space="preserve"> </w:t>
      </w:r>
    </w:p>
    <w:p w14:paraId="5E397049" w14:textId="3EED1306" w:rsidR="00062E58" w:rsidRPr="005B7CAC" w:rsidRDefault="008B6B47" w:rsidP="003D5418">
      <w:pPr>
        <w:widowControl w:val="0"/>
        <w:autoSpaceDE w:val="0"/>
        <w:autoSpaceDN w:val="0"/>
        <w:adjustRightInd w:val="0"/>
        <w:spacing w:after="240" w:line="360" w:lineRule="auto"/>
        <w:jc w:val="both"/>
        <w:rPr>
          <w:rFonts w:ascii="Times New Roman" w:hAnsi="Times New Roman"/>
          <w:b/>
          <w:iCs/>
          <w:sz w:val="24"/>
          <w:szCs w:val="20"/>
          <w:lang w:val="en-US"/>
        </w:rPr>
      </w:pPr>
      <w:r w:rsidRPr="005B7CAC">
        <w:rPr>
          <w:rFonts w:ascii="Times New Roman" w:hAnsi="Times New Roman"/>
          <w:bCs/>
          <w:iCs/>
          <w:sz w:val="24"/>
          <w:szCs w:val="20"/>
          <w:lang w:val="en-US"/>
        </w:rPr>
        <w:t>Further,</w:t>
      </w:r>
      <w:r w:rsidR="00062E58" w:rsidRPr="005B7CAC">
        <w:rPr>
          <w:rFonts w:ascii="Times New Roman" w:hAnsi="Times New Roman"/>
          <w:bCs/>
          <w:iCs/>
          <w:sz w:val="24"/>
          <w:szCs w:val="20"/>
          <w:lang w:val="en-US"/>
        </w:rPr>
        <w:t xml:space="preserve"> </w:t>
      </w:r>
      <w:r w:rsidR="00301840" w:rsidRPr="005B7CAC">
        <w:rPr>
          <w:rFonts w:ascii="Times New Roman" w:hAnsi="Times New Roman"/>
          <w:bCs/>
          <w:iCs/>
          <w:sz w:val="24"/>
          <w:szCs w:val="20"/>
          <w:lang w:val="en-US"/>
        </w:rPr>
        <w:t>we</w:t>
      </w:r>
      <w:r w:rsidR="00FE3B31" w:rsidRPr="005B7CAC">
        <w:rPr>
          <w:rFonts w:ascii="Times New Roman" w:hAnsi="Times New Roman"/>
          <w:bCs/>
          <w:iCs/>
          <w:sz w:val="24"/>
          <w:szCs w:val="20"/>
          <w:lang w:val="en-US"/>
        </w:rPr>
        <w:t xml:space="preserve"> </w:t>
      </w:r>
      <w:r w:rsidR="00062E58" w:rsidRPr="005B7CAC">
        <w:rPr>
          <w:rFonts w:ascii="Times New Roman" w:hAnsi="Times New Roman"/>
          <w:bCs/>
          <w:iCs/>
          <w:sz w:val="24"/>
          <w:szCs w:val="20"/>
          <w:lang w:val="en-US"/>
        </w:rPr>
        <w:t xml:space="preserve">measure </w:t>
      </w:r>
      <w:r w:rsidR="00C70801" w:rsidRPr="005B7CAC">
        <w:rPr>
          <w:rFonts w:ascii="Times New Roman" w:hAnsi="Times New Roman"/>
          <w:bCs/>
          <w:iCs/>
          <w:sz w:val="24"/>
          <w:szCs w:val="20"/>
          <w:lang w:val="en-US"/>
        </w:rPr>
        <w:t>waste management (</w:t>
      </w:r>
      <w:r w:rsidR="00FE3B31" w:rsidRPr="005B7CAC">
        <w:rPr>
          <w:rFonts w:ascii="Times New Roman" w:hAnsi="Times New Roman"/>
          <w:bCs/>
          <w:i/>
          <w:sz w:val="24"/>
          <w:szCs w:val="20"/>
          <w:lang w:val="en-US"/>
        </w:rPr>
        <w:t>WM</w:t>
      </w:r>
      <w:r w:rsidR="00C70801" w:rsidRPr="005B7CAC">
        <w:rPr>
          <w:rFonts w:ascii="Times New Roman" w:hAnsi="Times New Roman"/>
          <w:bCs/>
          <w:iCs/>
          <w:sz w:val="24"/>
          <w:szCs w:val="20"/>
          <w:lang w:val="en-US"/>
        </w:rPr>
        <w:t>)</w:t>
      </w:r>
      <w:r w:rsidR="00CA5E91">
        <w:rPr>
          <w:rFonts w:ascii="Times New Roman" w:hAnsi="Times New Roman"/>
          <w:bCs/>
          <w:iCs/>
          <w:sz w:val="24"/>
          <w:szCs w:val="20"/>
          <w:lang w:val="en-US"/>
        </w:rPr>
        <w:t xml:space="preserve"> </w:t>
      </w:r>
      <w:r w:rsidR="00062E58" w:rsidRPr="005B7CAC">
        <w:rPr>
          <w:rFonts w:ascii="Times New Roman" w:hAnsi="Times New Roman"/>
          <w:bCs/>
          <w:iCs/>
          <w:sz w:val="24"/>
          <w:szCs w:val="20"/>
          <w:lang w:val="en-US"/>
        </w:rPr>
        <w:t>using several proxies</w:t>
      </w:r>
      <w:r w:rsidR="00FE3B31" w:rsidRPr="005B7CAC">
        <w:rPr>
          <w:rFonts w:ascii="Times New Roman" w:hAnsi="Times New Roman"/>
          <w:bCs/>
          <w:iCs/>
          <w:sz w:val="24"/>
          <w:szCs w:val="20"/>
          <w:lang w:val="en-US"/>
        </w:rPr>
        <w:t>.</w:t>
      </w:r>
      <w:r w:rsidR="00062E58" w:rsidRPr="005B7CAC">
        <w:rPr>
          <w:rFonts w:ascii="Times New Roman" w:hAnsi="Times New Roman"/>
          <w:bCs/>
          <w:iCs/>
          <w:sz w:val="24"/>
          <w:szCs w:val="20"/>
          <w:lang w:val="en-US"/>
        </w:rPr>
        <w:t xml:space="preserve"> Specifically</w:t>
      </w:r>
      <w:r w:rsidR="008176FB" w:rsidRPr="005B7CAC">
        <w:rPr>
          <w:rFonts w:ascii="Times New Roman" w:hAnsi="Times New Roman"/>
          <w:bCs/>
          <w:iCs/>
          <w:sz w:val="24"/>
          <w:szCs w:val="20"/>
          <w:lang w:val="en-US"/>
        </w:rPr>
        <w:t xml:space="preserve">, </w:t>
      </w:r>
      <w:r w:rsidR="00D113D1" w:rsidRPr="005B7CAC">
        <w:rPr>
          <w:rFonts w:ascii="Times New Roman" w:hAnsi="Times New Roman"/>
          <w:bCs/>
          <w:iCs/>
          <w:sz w:val="24"/>
          <w:szCs w:val="20"/>
          <w:lang w:val="en-US"/>
        </w:rPr>
        <w:t>following past research</w:t>
      </w:r>
      <w:r w:rsidR="008176FB" w:rsidRPr="005B7CAC">
        <w:rPr>
          <w:rFonts w:ascii="Times New Roman" w:hAnsi="Times New Roman"/>
          <w:bCs/>
          <w:iCs/>
          <w:sz w:val="24"/>
          <w:szCs w:val="20"/>
          <w:lang w:val="en-US"/>
        </w:rPr>
        <w:t xml:space="preserve"> </w:t>
      </w:r>
      <w:r w:rsidR="001A43BD" w:rsidRPr="005B7CAC">
        <w:rPr>
          <w:rFonts w:ascii="Times New Roman" w:hAnsi="Times New Roman"/>
          <w:bCs/>
          <w:iCs/>
          <w:sz w:val="24"/>
          <w:szCs w:val="20"/>
          <w:lang w:val="en-US"/>
        </w:rPr>
        <w:fldChar w:fldCharType="begin" w:fldLock="1"/>
      </w:r>
      <w:r w:rsidR="00C11EA2" w:rsidRPr="005B7CAC">
        <w:rPr>
          <w:rFonts w:ascii="Times New Roman" w:hAnsi="Times New Roman"/>
          <w:bCs/>
          <w:iCs/>
          <w:sz w:val="24"/>
          <w:szCs w:val="20"/>
          <w:lang w:val="en-US"/>
        </w:rPr>
        <w:instrText>ADDIN CSL_CITATION {"citationItems":[{"id":"ITEM-1","itemData":{"DOI":"10.1016/J.BAR.2022.101097","ISSN":"0890-8389","author":[{"dropping-particle":"","family":"Gull","given":"Ammar Ali","non-dropping-particle":"","parse-names":false,"suffix":""},{"dropping-particle":"","family":"Atif","given":"Muhammad","non-dropping-particle":"","parse-names":false,"suffix":""},{"dropping-particle":"","family":"Hussain","given":"Nazim","non-dropping-particle":"","parse-names":false,"suffix":""}],"container-title":"The British Accounting Review","id":"ITEM-1","issue":"1","issued":{"date-parts":[["2022","4","19"]]},"page":"101097","title":"Board gender composition and waste management: Cross-country evidence","type":"article-journal","volume":"55"},"uris":["http://www.mendeley.com/documents/?uuid=998cc938-d7d9-3a14-90d5-d3f26977d6e8"]},{"id":"ITEM-2","itemData":{"DOI":"10.1016/J.JENVMAN.2022.114707","ISSN":"0301-4797","PMID":"35192979","abstract":"This study investigates whether waste management, including waste generation and recycling, affects firm performance. Using a panel of 14,601 firm-year observations from 41 countries from 2002 to 2019, we find a significantly negative (positive) relationship between waste generation (recycling) and firm performance. Our findings are robust to alternative measures of waste management and firm performance, sub-sample analysis, and alternative econometric specifications. Further, our results are robust to different identification strategies. Finally, our channel analysis shows that the negative (positive) relationship between waste generation (recycling) and firm performance is stronger in firms offering no environmental, social, and governance (ESG) based compensation. However, the relationship varies with the level of firms’ environmental orientation, and we observe insensitivity of the relationship regardless of firm-level governance quality. Our study presents important policy implications for regulators and firms.","author":[{"dropping-particle":"","family":"Shahab","given":"Yasir","non-dropping-particle":"","parse-names":false,"suffix":""},{"dropping-particle":"","family":"Gull","given":"Ammar Ali","non-dropping-particle":"","parse-names":false,"suffix":""},{"dropping-particle":"","family":"Rind","given":"Asad Ali","non-dropping-particle":"","parse-names":false,"suffix":""},{"dropping-particle":"","family":"Alias Sarang","given":"Aitzaz Ahsan","non-dropping-particle":"","parse-names":false,"suffix":""},{"dropping-particle":"","family":"Ahsan","given":"Tanveer","non-dropping-particle":"","parse-names":false,"suffix":""}],"container-title":"Journal of Environmental Management","id":"ITEM-2","issued":{"date-parts":[["2022","5","15"]]},"page":"114707","title":"Do corporate governance mechanisms curb the anti-environmental behavior of firms worldwide? An illustration through waste management","type":"article-journal","volume":"310"},"uris":["http://www.mendeley.com/documents/?uuid=c556222d-9ca6-3fde-aa0c-8aee59de9a12"]}],"mendeley":{"formattedCitation":"(Gull, Atif and Hussain, 2022; Shahab &lt;i&gt;et al.&lt;/i&gt;, 2022)","plainTextFormattedCitation":"(Gull, Atif and Hussain, 2022; Shahab et al., 2022)","previouslyFormattedCitation":"(Gull, Atif and Hussain, 2022; Shahab &lt;i&gt;et al.&lt;/i&gt;, 2022)"},"properties":{"noteIndex":0},"schema":"https://github.com/citation-style-language/schema/raw/master/csl-citation.json"}</w:instrText>
      </w:r>
      <w:r w:rsidR="001A43BD" w:rsidRPr="005B7CAC">
        <w:rPr>
          <w:rFonts w:ascii="Times New Roman" w:hAnsi="Times New Roman"/>
          <w:bCs/>
          <w:iCs/>
          <w:sz w:val="24"/>
          <w:szCs w:val="20"/>
          <w:lang w:val="en-US"/>
        </w:rPr>
        <w:fldChar w:fldCharType="separate"/>
      </w:r>
      <w:r w:rsidR="00E74978" w:rsidRPr="005B7CAC">
        <w:rPr>
          <w:rFonts w:ascii="Times New Roman" w:hAnsi="Times New Roman"/>
          <w:bCs/>
          <w:iCs/>
          <w:noProof/>
          <w:sz w:val="24"/>
          <w:szCs w:val="20"/>
          <w:lang w:val="en-US"/>
        </w:rPr>
        <w:t>(Gull</w:t>
      </w:r>
      <w:r w:rsidR="002025D6" w:rsidRPr="005B7CAC">
        <w:rPr>
          <w:rFonts w:ascii="Times New Roman" w:hAnsi="Times New Roman"/>
          <w:bCs/>
          <w:iCs/>
          <w:noProof/>
          <w:sz w:val="24"/>
          <w:szCs w:val="20"/>
          <w:lang w:val="en-US"/>
        </w:rPr>
        <w:t xml:space="preserve"> </w:t>
      </w:r>
      <w:r w:rsidR="002025D6" w:rsidRPr="005B7CAC">
        <w:rPr>
          <w:rFonts w:ascii="Times New Roman" w:hAnsi="Times New Roman"/>
          <w:bCs/>
          <w:i/>
          <w:noProof/>
          <w:sz w:val="24"/>
          <w:szCs w:val="20"/>
          <w:lang w:val="en-US"/>
        </w:rPr>
        <w:t>et al.</w:t>
      </w:r>
      <w:r w:rsidR="00E74978" w:rsidRPr="005B7CAC">
        <w:rPr>
          <w:rFonts w:ascii="Times New Roman" w:hAnsi="Times New Roman"/>
          <w:bCs/>
          <w:iCs/>
          <w:noProof/>
          <w:sz w:val="24"/>
          <w:szCs w:val="20"/>
          <w:lang w:val="en-US"/>
        </w:rPr>
        <w:t>, 2022</w:t>
      </w:r>
      <w:r w:rsidR="002025D6" w:rsidRPr="005B7CAC">
        <w:rPr>
          <w:rFonts w:ascii="Times New Roman" w:hAnsi="Times New Roman"/>
          <w:bCs/>
          <w:iCs/>
          <w:noProof/>
          <w:sz w:val="24"/>
          <w:szCs w:val="20"/>
          <w:lang w:val="en-US"/>
        </w:rPr>
        <w:t>b</w:t>
      </w:r>
      <w:r w:rsidR="00E74978" w:rsidRPr="005B7CAC">
        <w:rPr>
          <w:rFonts w:ascii="Times New Roman" w:hAnsi="Times New Roman"/>
          <w:bCs/>
          <w:iCs/>
          <w:noProof/>
          <w:sz w:val="24"/>
          <w:szCs w:val="20"/>
          <w:lang w:val="en-US"/>
        </w:rPr>
        <w:t xml:space="preserve">; Shahab </w:t>
      </w:r>
      <w:r w:rsidR="00E74978" w:rsidRPr="005B7CAC">
        <w:rPr>
          <w:rFonts w:ascii="Times New Roman" w:hAnsi="Times New Roman"/>
          <w:bCs/>
          <w:i/>
          <w:iCs/>
          <w:noProof/>
          <w:sz w:val="24"/>
          <w:szCs w:val="20"/>
          <w:lang w:val="en-US"/>
        </w:rPr>
        <w:t>et al.</w:t>
      </w:r>
      <w:r w:rsidR="00E74978" w:rsidRPr="005B7CAC">
        <w:rPr>
          <w:rFonts w:ascii="Times New Roman" w:hAnsi="Times New Roman"/>
          <w:bCs/>
          <w:iCs/>
          <w:noProof/>
          <w:sz w:val="24"/>
          <w:szCs w:val="20"/>
          <w:lang w:val="en-US"/>
        </w:rPr>
        <w:t>, 2022)</w:t>
      </w:r>
      <w:r w:rsidR="001A43BD" w:rsidRPr="005B7CAC">
        <w:rPr>
          <w:rFonts w:ascii="Times New Roman" w:hAnsi="Times New Roman"/>
          <w:bCs/>
          <w:iCs/>
          <w:sz w:val="24"/>
          <w:szCs w:val="20"/>
          <w:lang w:val="en-US"/>
        </w:rPr>
        <w:fldChar w:fldCharType="end"/>
      </w:r>
      <w:r w:rsidR="008176FB" w:rsidRPr="005B7CAC">
        <w:rPr>
          <w:rFonts w:ascii="Times New Roman" w:hAnsi="Times New Roman"/>
          <w:bCs/>
          <w:iCs/>
          <w:sz w:val="24"/>
          <w:szCs w:val="20"/>
          <w:lang w:val="en-US"/>
        </w:rPr>
        <w:t>, waste generation (</w:t>
      </w:r>
      <w:r w:rsidR="008176FB" w:rsidRPr="005B7CAC">
        <w:rPr>
          <w:rFonts w:ascii="Times New Roman" w:hAnsi="Times New Roman"/>
          <w:bCs/>
          <w:i/>
          <w:sz w:val="24"/>
          <w:szCs w:val="20"/>
          <w:lang w:val="en-US"/>
        </w:rPr>
        <w:t>W</w:t>
      </w:r>
      <w:r w:rsidR="00F04013" w:rsidRPr="005B7CAC">
        <w:rPr>
          <w:rFonts w:ascii="Times New Roman" w:hAnsi="Times New Roman"/>
          <w:bCs/>
          <w:i/>
          <w:sz w:val="24"/>
          <w:szCs w:val="20"/>
          <w:lang w:val="en-US"/>
        </w:rPr>
        <w:t>AST</w:t>
      </w:r>
      <w:r w:rsidR="00F04013" w:rsidRPr="005B7CAC">
        <w:rPr>
          <w:rFonts w:ascii="Times New Roman" w:hAnsi="Times New Roman"/>
          <w:bCs/>
          <w:iCs/>
          <w:sz w:val="24"/>
          <w:szCs w:val="20"/>
          <w:lang w:val="en-US"/>
        </w:rPr>
        <w:t xml:space="preserve">) </w:t>
      </w:r>
      <w:r w:rsidR="008176FB" w:rsidRPr="005B7CAC">
        <w:rPr>
          <w:rFonts w:ascii="Times New Roman" w:hAnsi="Times New Roman"/>
          <w:bCs/>
          <w:iCs/>
          <w:sz w:val="24"/>
          <w:szCs w:val="20"/>
          <w:lang w:val="en-US"/>
        </w:rPr>
        <w:t>is measured as the ratio of the total waste generated to total assets.</w:t>
      </w:r>
      <w:r w:rsidR="00F04013" w:rsidRPr="005B7CAC">
        <w:rPr>
          <w:rFonts w:ascii="Times New Roman" w:hAnsi="Times New Roman"/>
          <w:bCs/>
          <w:iCs/>
          <w:sz w:val="24"/>
          <w:szCs w:val="20"/>
          <w:lang w:val="en-US"/>
        </w:rPr>
        <w:t xml:space="preserve"> Higher </w:t>
      </w:r>
      <w:r w:rsidR="00F04013" w:rsidRPr="005B7CAC">
        <w:rPr>
          <w:rFonts w:ascii="Times New Roman" w:hAnsi="Times New Roman"/>
          <w:bCs/>
          <w:i/>
          <w:sz w:val="24"/>
          <w:szCs w:val="20"/>
          <w:lang w:val="en-US"/>
        </w:rPr>
        <w:t>WAST</w:t>
      </w:r>
      <w:r w:rsidR="00F04013" w:rsidRPr="005B7CAC">
        <w:rPr>
          <w:rFonts w:ascii="Times New Roman" w:hAnsi="Times New Roman"/>
          <w:bCs/>
          <w:iCs/>
          <w:sz w:val="24"/>
          <w:szCs w:val="20"/>
          <w:lang w:val="en-US"/>
        </w:rPr>
        <w:t xml:space="preserve"> values indicate greater levels of waste. In addition</w:t>
      </w:r>
      <w:r w:rsidR="008176FB" w:rsidRPr="005B7CAC">
        <w:rPr>
          <w:rFonts w:ascii="Times New Roman" w:hAnsi="Times New Roman"/>
          <w:bCs/>
          <w:iCs/>
          <w:sz w:val="24"/>
          <w:szCs w:val="20"/>
          <w:lang w:val="en-US"/>
        </w:rPr>
        <w:t>,</w:t>
      </w:r>
      <w:r w:rsidR="005C5910" w:rsidRPr="005B7CAC">
        <w:rPr>
          <w:rFonts w:ascii="Times New Roman" w:hAnsi="Times New Roman"/>
          <w:bCs/>
          <w:iCs/>
          <w:sz w:val="24"/>
          <w:szCs w:val="20"/>
          <w:lang w:val="en-US"/>
        </w:rPr>
        <w:t xml:space="preserve"> </w:t>
      </w:r>
      <w:r w:rsidR="00F04013" w:rsidRPr="005B7CAC">
        <w:rPr>
          <w:rFonts w:ascii="Times New Roman" w:hAnsi="Times New Roman"/>
          <w:bCs/>
          <w:iCs/>
          <w:sz w:val="24"/>
          <w:szCs w:val="20"/>
          <w:lang w:val="en-US"/>
        </w:rPr>
        <w:t>waste recycling (</w:t>
      </w:r>
      <w:r w:rsidR="00F04013" w:rsidRPr="005B7CAC">
        <w:rPr>
          <w:rFonts w:ascii="Times New Roman" w:hAnsi="Times New Roman"/>
          <w:bCs/>
          <w:i/>
          <w:sz w:val="24"/>
          <w:szCs w:val="20"/>
          <w:lang w:val="en-US"/>
        </w:rPr>
        <w:t>WREC</w:t>
      </w:r>
      <w:r w:rsidR="00F04013" w:rsidRPr="005B7CAC">
        <w:rPr>
          <w:rFonts w:ascii="Times New Roman" w:hAnsi="Times New Roman"/>
          <w:bCs/>
          <w:iCs/>
          <w:sz w:val="24"/>
          <w:szCs w:val="20"/>
          <w:lang w:val="en-US"/>
        </w:rPr>
        <w:t>)</w:t>
      </w:r>
      <w:r w:rsidR="005C5910" w:rsidRPr="005B7CAC">
        <w:rPr>
          <w:rFonts w:ascii="Times New Roman" w:hAnsi="Times New Roman"/>
          <w:bCs/>
          <w:iCs/>
          <w:sz w:val="24"/>
          <w:szCs w:val="20"/>
          <w:lang w:val="en-US"/>
        </w:rPr>
        <w:t>, calculated</w:t>
      </w:r>
      <w:r w:rsidR="00373E5A" w:rsidRPr="005B7CAC">
        <w:rPr>
          <w:rFonts w:ascii="Times New Roman" w:hAnsi="Times New Roman"/>
          <w:bCs/>
          <w:iCs/>
          <w:sz w:val="24"/>
          <w:szCs w:val="20"/>
          <w:lang w:val="en-US"/>
        </w:rPr>
        <w:t xml:space="preserve"> as</w:t>
      </w:r>
      <w:r w:rsidR="005C5910" w:rsidRPr="005B7CAC">
        <w:rPr>
          <w:rFonts w:ascii="Times New Roman" w:hAnsi="Times New Roman"/>
          <w:bCs/>
          <w:iCs/>
          <w:sz w:val="24"/>
          <w:szCs w:val="20"/>
          <w:lang w:val="en-US"/>
        </w:rPr>
        <w:t xml:space="preserve"> t</w:t>
      </w:r>
      <w:r w:rsidR="00F04013" w:rsidRPr="005B7CAC">
        <w:rPr>
          <w:rFonts w:ascii="Times New Roman" w:hAnsi="Times New Roman"/>
          <w:bCs/>
          <w:iCs/>
          <w:sz w:val="24"/>
          <w:szCs w:val="20"/>
          <w:lang w:val="en-US"/>
        </w:rPr>
        <w:t>he ratio of waste recycled to total waste</w:t>
      </w:r>
      <w:r w:rsidR="005C5910" w:rsidRPr="005B7CAC">
        <w:rPr>
          <w:rFonts w:ascii="Times New Roman" w:hAnsi="Times New Roman"/>
          <w:bCs/>
          <w:iCs/>
          <w:sz w:val="24"/>
          <w:szCs w:val="20"/>
          <w:lang w:val="en-US"/>
        </w:rPr>
        <w:t xml:space="preserve">, is adopted </w:t>
      </w:r>
      <w:r w:rsidR="005C5910" w:rsidRPr="005B7CAC">
        <w:rPr>
          <w:rFonts w:ascii="Times New Roman" w:hAnsi="Times New Roman"/>
          <w:bCs/>
          <w:iCs/>
          <w:sz w:val="24"/>
          <w:szCs w:val="20"/>
          <w:lang w:val="en-US"/>
        </w:rPr>
        <w:lastRenderedPageBreak/>
        <w:t xml:space="preserve">to assess a firm’s waste mitigation efforts. </w:t>
      </w:r>
      <w:r w:rsidR="00062E58" w:rsidRPr="005B7CAC">
        <w:rPr>
          <w:rFonts w:ascii="Times New Roman" w:hAnsi="Times New Roman"/>
          <w:bCs/>
          <w:iCs/>
          <w:sz w:val="24"/>
          <w:szCs w:val="20"/>
          <w:lang w:val="en-US"/>
        </w:rPr>
        <w:t xml:space="preserve">In the robustness analysis, </w:t>
      </w:r>
      <w:r w:rsidR="006B2FCD" w:rsidRPr="005B7CAC">
        <w:rPr>
          <w:rFonts w:ascii="Times New Roman" w:hAnsi="Times New Roman"/>
          <w:bCs/>
          <w:iCs/>
          <w:sz w:val="24"/>
          <w:szCs w:val="20"/>
          <w:lang w:val="en-US"/>
        </w:rPr>
        <w:t>we</w:t>
      </w:r>
      <w:r w:rsidR="00062E58" w:rsidRPr="005B7CAC">
        <w:rPr>
          <w:rFonts w:ascii="Times New Roman" w:hAnsi="Times New Roman"/>
          <w:bCs/>
          <w:iCs/>
          <w:sz w:val="24"/>
          <w:szCs w:val="20"/>
          <w:lang w:val="en-US"/>
        </w:rPr>
        <w:t xml:space="preserve"> also measure waste, </w:t>
      </w:r>
      <w:r w:rsidR="008176FB" w:rsidRPr="005B7CAC">
        <w:rPr>
          <w:rFonts w:ascii="Times New Roman" w:hAnsi="Times New Roman"/>
          <w:bCs/>
          <w:iCs/>
          <w:sz w:val="24"/>
          <w:szCs w:val="20"/>
          <w:lang w:val="en-US"/>
        </w:rPr>
        <w:t>calculated</w:t>
      </w:r>
      <w:r w:rsidR="00062E58" w:rsidRPr="005B7CAC">
        <w:rPr>
          <w:rFonts w:ascii="Times New Roman" w:hAnsi="Times New Roman"/>
          <w:bCs/>
          <w:iCs/>
          <w:sz w:val="24"/>
          <w:szCs w:val="20"/>
          <w:lang w:val="en-US"/>
        </w:rPr>
        <w:t xml:space="preserve"> as the ratio of the total amount of waste to total sales, </w:t>
      </w:r>
      <w:r w:rsidR="008176FB" w:rsidRPr="005B7CAC">
        <w:rPr>
          <w:rFonts w:ascii="Times New Roman" w:hAnsi="Times New Roman"/>
          <w:bCs/>
          <w:iCs/>
          <w:sz w:val="24"/>
          <w:szCs w:val="20"/>
          <w:lang w:val="en-US"/>
        </w:rPr>
        <w:t>following</w:t>
      </w:r>
      <w:r w:rsidR="00062E58" w:rsidRPr="005B7CAC">
        <w:rPr>
          <w:rFonts w:ascii="Times New Roman" w:hAnsi="Times New Roman"/>
          <w:bCs/>
          <w:iCs/>
          <w:sz w:val="24"/>
          <w:szCs w:val="20"/>
          <w:lang w:val="en-US"/>
        </w:rPr>
        <w:t xml:space="preserve"> </w:t>
      </w:r>
      <w:r w:rsidR="007E1CC6" w:rsidRPr="005B7CAC">
        <w:rPr>
          <w:rFonts w:ascii="Times New Roman" w:hAnsi="Times New Roman"/>
          <w:bCs/>
          <w:iCs/>
          <w:sz w:val="24"/>
          <w:szCs w:val="20"/>
          <w:lang w:val="en-US"/>
        </w:rPr>
        <w:fldChar w:fldCharType="begin" w:fldLock="1"/>
      </w:r>
      <w:r w:rsidR="00C11EA2" w:rsidRPr="005B7CAC">
        <w:rPr>
          <w:rFonts w:ascii="Times New Roman" w:hAnsi="Times New Roman"/>
          <w:bCs/>
          <w:iCs/>
          <w:sz w:val="24"/>
          <w:szCs w:val="20"/>
          <w:lang w:val="en-US"/>
        </w:rPr>
        <w:instrText>ADDIN CSL_CITATION {"citationItems":[{"id":"ITEM-1","itemData":{"DOI":"10.1016/J.BAR.2022.101097","ISSN":"0890-8389","author":[{"dropping-particle":"","family":"Gull","given":"Ammar Ali","non-dropping-particle":"","parse-names":false,"suffix":""},{"dropping-particle":"","family":"Atif","given":"Muhammad","non-dropping-particle":"","parse-names":false,"suffix":""},{"dropping-particle":"","family":"Hussain","given":"Nazim","non-dropping-particle":"","parse-names":false,"suffix":""}],"container-title":"The British Accounting Review","id":"ITEM-1","issue":"1","issued":{"date-parts":[["2022","4","19"]]},"page":"101097","title":"Board gender composition and waste management: Cross-country evidence","type":"article-journal","volume":"55"},"uris":["http://www.mendeley.com/documents/?uuid=998cc938-d7d9-3a14-90d5-d3f26977d6e8"]}],"mendeley":{"formattedCitation":"(Gull, Atif and Hussain, 2022)","plainTextFormattedCitation":"(Gull, Atif and Hussain, 2022)","previouslyFormattedCitation":"(Gull, Atif and Hussain, 2022)"},"properties":{"noteIndex":0},"schema":"https://github.com/citation-style-language/schema/raw/master/csl-citation.json"}</w:instrText>
      </w:r>
      <w:r w:rsidR="007E1CC6" w:rsidRPr="005B7CAC">
        <w:rPr>
          <w:rFonts w:ascii="Times New Roman" w:hAnsi="Times New Roman"/>
          <w:bCs/>
          <w:iCs/>
          <w:sz w:val="24"/>
          <w:szCs w:val="20"/>
          <w:lang w:val="en-US"/>
        </w:rPr>
        <w:fldChar w:fldCharType="separate"/>
      </w:r>
      <w:r w:rsidR="00E74978" w:rsidRPr="005B7CAC">
        <w:rPr>
          <w:rFonts w:ascii="Times New Roman" w:hAnsi="Times New Roman"/>
          <w:bCs/>
          <w:iCs/>
          <w:noProof/>
          <w:sz w:val="24"/>
          <w:szCs w:val="20"/>
          <w:lang w:val="en-US"/>
        </w:rPr>
        <w:t>Gull</w:t>
      </w:r>
      <w:r w:rsidR="00E9663C" w:rsidRPr="005B7CAC">
        <w:rPr>
          <w:rFonts w:ascii="Times New Roman" w:hAnsi="Times New Roman"/>
          <w:bCs/>
          <w:iCs/>
          <w:noProof/>
          <w:sz w:val="24"/>
          <w:szCs w:val="20"/>
          <w:lang w:val="en-US"/>
        </w:rPr>
        <w:t xml:space="preserve"> </w:t>
      </w:r>
      <w:r w:rsidR="00E9663C" w:rsidRPr="005B7CAC">
        <w:rPr>
          <w:rFonts w:ascii="Times New Roman" w:hAnsi="Times New Roman"/>
          <w:bCs/>
          <w:i/>
          <w:noProof/>
          <w:sz w:val="24"/>
          <w:szCs w:val="20"/>
          <w:lang w:val="en-US"/>
        </w:rPr>
        <w:t>et al.</w:t>
      </w:r>
      <w:r w:rsidR="00C6324A" w:rsidRPr="005B7CAC">
        <w:rPr>
          <w:rFonts w:ascii="Times New Roman" w:hAnsi="Times New Roman"/>
          <w:bCs/>
          <w:iCs/>
          <w:noProof/>
          <w:sz w:val="24"/>
          <w:szCs w:val="20"/>
          <w:lang w:val="en-US"/>
        </w:rPr>
        <w:t xml:space="preserve"> </w:t>
      </w:r>
      <w:r w:rsidR="00734EFC" w:rsidRPr="005B7CAC">
        <w:rPr>
          <w:rFonts w:ascii="Times New Roman" w:hAnsi="Times New Roman"/>
          <w:bCs/>
          <w:iCs/>
          <w:noProof/>
          <w:sz w:val="24"/>
          <w:szCs w:val="20"/>
          <w:lang w:val="en-US"/>
        </w:rPr>
        <w:t>(</w:t>
      </w:r>
      <w:r w:rsidR="00E74978" w:rsidRPr="005B7CAC">
        <w:rPr>
          <w:rFonts w:ascii="Times New Roman" w:hAnsi="Times New Roman"/>
          <w:bCs/>
          <w:iCs/>
          <w:noProof/>
          <w:sz w:val="24"/>
          <w:szCs w:val="20"/>
          <w:lang w:val="en-US"/>
        </w:rPr>
        <w:t>2022</w:t>
      </w:r>
      <w:r w:rsidR="00E9663C" w:rsidRPr="005B7CAC">
        <w:rPr>
          <w:rFonts w:ascii="Times New Roman" w:hAnsi="Times New Roman"/>
          <w:bCs/>
          <w:iCs/>
          <w:noProof/>
          <w:sz w:val="24"/>
          <w:szCs w:val="20"/>
          <w:lang w:val="en-US"/>
        </w:rPr>
        <w:t>b</w:t>
      </w:r>
      <w:r w:rsidR="00E74978" w:rsidRPr="005B7CAC">
        <w:rPr>
          <w:rFonts w:ascii="Times New Roman" w:hAnsi="Times New Roman"/>
          <w:bCs/>
          <w:iCs/>
          <w:noProof/>
          <w:sz w:val="24"/>
          <w:szCs w:val="20"/>
          <w:lang w:val="en-US"/>
        </w:rPr>
        <w:t>)</w:t>
      </w:r>
      <w:r w:rsidR="007E1CC6" w:rsidRPr="005B7CAC">
        <w:rPr>
          <w:rFonts w:ascii="Times New Roman" w:hAnsi="Times New Roman"/>
          <w:bCs/>
          <w:iCs/>
          <w:sz w:val="24"/>
          <w:szCs w:val="20"/>
          <w:lang w:val="en-US"/>
        </w:rPr>
        <w:fldChar w:fldCharType="end"/>
      </w:r>
      <w:r w:rsidR="00062E58" w:rsidRPr="005B7CAC">
        <w:rPr>
          <w:rFonts w:ascii="Times New Roman" w:hAnsi="Times New Roman"/>
          <w:bCs/>
          <w:iCs/>
          <w:sz w:val="24"/>
          <w:szCs w:val="20"/>
          <w:lang w:val="en-US"/>
        </w:rPr>
        <w:t>.</w:t>
      </w:r>
    </w:p>
    <w:p w14:paraId="0DB01013" w14:textId="4A39BC2D" w:rsidR="009C3118" w:rsidRPr="005B7CAC" w:rsidRDefault="00604479" w:rsidP="003D5418">
      <w:pPr>
        <w:widowControl w:val="0"/>
        <w:autoSpaceDE w:val="0"/>
        <w:autoSpaceDN w:val="0"/>
        <w:adjustRightInd w:val="0"/>
        <w:spacing w:after="240" w:line="360" w:lineRule="auto"/>
        <w:jc w:val="both"/>
        <w:rPr>
          <w:rFonts w:ascii="Times New Roman" w:hAnsi="Times New Roman"/>
          <w:bCs/>
          <w:iCs/>
          <w:sz w:val="24"/>
          <w:szCs w:val="20"/>
          <w:lang w:val="en-US"/>
        </w:rPr>
      </w:pPr>
      <w:r w:rsidRPr="005B7CAC">
        <w:rPr>
          <w:rFonts w:ascii="Times New Roman" w:hAnsi="Times New Roman"/>
          <w:bCs/>
          <w:iCs/>
          <w:sz w:val="24"/>
          <w:szCs w:val="20"/>
          <w:lang w:val="en-US"/>
        </w:rPr>
        <w:t>F</w:t>
      </w:r>
      <w:r w:rsidR="000C4941" w:rsidRPr="005B7CAC">
        <w:rPr>
          <w:rFonts w:ascii="Times New Roman" w:hAnsi="Times New Roman"/>
          <w:bCs/>
          <w:iCs/>
          <w:sz w:val="24"/>
          <w:szCs w:val="20"/>
          <w:lang w:val="en-US"/>
        </w:rPr>
        <w:t>inally,</w:t>
      </w:r>
      <w:r w:rsidR="00FD2328" w:rsidRPr="005B7CAC">
        <w:rPr>
          <w:rFonts w:ascii="Times New Roman" w:hAnsi="Times New Roman"/>
          <w:bCs/>
          <w:iCs/>
          <w:sz w:val="24"/>
          <w:szCs w:val="20"/>
          <w:lang w:val="en-US"/>
        </w:rPr>
        <w:t xml:space="preserve"> we </w:t>
      </w:r>
      <w:r w:rsidR="009E18AA" w:rsidRPr="005B7CAC">
        <w:rPr>
          <w:rFonts w:ascii="Times New Roman" w:hAnsi="Times New Roman"/>
          <w:bCs/>
          <w:iCs/>
          <w:sz w:val="24"/>
          <w:szCs w:val="20"/>
          <w:lang w:val="en-US"/>
        </w:rPr>
        <w:t>estimate</w:t>
      </w:r>
      <w:r w:rsidR="009C5156" w:rsidRPr="005B7CAC">
        <w:rPr>
          <w:rFonts w:ascii="Times New Roman" w:hAnsi="Times New Roman"/>
          <w:bCs/>
          <w:iCs/>
          <w:sz w:val="24"/>
          <w:szCs w:val="20"/>
          <w:lang w:val="en-US"/>
        </w:rPr>
        <w:t xml:space="preserve"> green initiatives</w:t>
      </w:r>
      <w:r w:rsidR="00FD2328" w:rsidRPr="005B7CAC">
        <w:rPr>
          <w:rFonts w:ascii="Times New Roman" w:hAnsi="Times New Roman"/>
          <w:bCs/>
          <w:iCs/>
          <w:sz w:val="24"/>
          <w:szCs w:val="20"/>
          <w:lang w:val="en-US"/>
        </w:rPr>
        <w:t xml:space="preserve"> </w:t>
      </w:r>
      <w:r w:rsidR="009C5156" w:rsidRPr="005B7CAC">
        <w:rPr>
          <w:rFonts w:ascii="Times New Roman" w:hAnsi="Times New Roman"/>
          <w:bCs/>
          <w:iCs/>
          <w:sz w:val="24"/>
          <w:szCs w:val="20"/>
          <w:lang w:val="en-US"/>
        </w:rPr>
        <w:t>(</w:t>
      </w:r>
      <w:r w:rsidR="001A1CB2" w:rsidRPr="005B7CAC">
        <w:rPr>
          <w:rFonts w:ascii="Times New Roman" w:hAnsi="Times New Roman"/>
          <w:bCs/>
          <w:i/>
          <w:iCs/>
          <w:sz w:val="24"/>
          <w:szCs w:val="20"/>
          <w:lang w:val="en-US"/>
        </w:rPr>
        <w:t>GINV</w:t>
      </w:r>
      <w:r w:rsidR="00D40CE1" w:rsidRPr="005B7CAC">
        <w:rPr>
          <w:rFonts w:ascii="Times New Roman" w:hAnsi="Times New Roman"/>
          <w:bCs/>
          <w:i/>
          <w:iCs/>
          <w:sz w:val="24"/>
          <w:szCs w:val="20"/>
          <w:lang w:val="en-US"/>
        </w:rPr>
        <w:t>s</w:t>
      </w:r>
      <w:r w:rsidR="009C5156" w:rsidRPr="005B7CAC">
        <w:rPr>
          <w:rFonts w:ascii="Times New Roman" w:hAnsi="Times New Roman"/>
          <w:bCs/>
          <w:iCs/>
          <w:sz w:val="24"/>
          <w:szCs w:val="20"/>
          <w:lang w:val="en-US"/>
        </w:rPr>
        <w:t xml:space="preserve">) </w:t>
      </w:r>
      <w:r w:rsidR="00FD2328" w:rsidRPr="005B7CAC">
        <w:rPr>
          <w:rFonts w:ascii="Times New Roman" w:hAnsi="Times New Roman"/>
          <w:bCs/>
          <w:iCs/>
          <w:sz w:val="24"/>
          <w:szCs w:val="20"/>
          <w:lang w:val="en-US"/>
        </w:rPr>
        <w:t>using extensive environmental data points</w:t>
      </w:r>
      <w:r w:rsidR="00212B2C" w:rsidRPr="005B7CAC">
        <w:rPr>
          <w:rFonts w:ascii="Times New Roman" w:hAnsi="Times New Roman"/>
          <w:bCs/>
          <w:iCs/>
          <w:sz w:val="24"/>
          <w:szCs w:val="20"/>
          <w:lang w:val="en-US"/>
        </w:rPr>
        <w:t xml:space="preserve"> </w:t>
      </w:r>
      <w:r w:rsidR="00FD2328" w:rsidRPr="005B7CAC">
        <w:rPr>
          <w:rFonts w:ascii="Times New Roman" w:hAnsi="Times New Roman"/>
          <w:bCs/>
          <w:iCs/>
          <w:sz w:val="24"/>
          <w:szCs w:val="20"/>
          <w:lang w:val="en-US"/>
        </w:rPr>
        <w:t xml:space="preserve">from </w:t>
      </w:r>
      <w:r w:rsidR="0006302C">
        <w:rPr>
          <w:rFonts w:ascii="Times New Roman" w:hAnsi="Times New Roman"/>
          <w:bCs/>
          <w:iCs/>
          <w:sz w:val="24"/>
          <w:szCs w:val="20"/>
          <w:lang w:val="en-US"/>
        </w:rPr>
        <w:t>LSEG</w:t>
      </w:r>
      <w:r w:rsidR="00FD2328" w:rsidRPr="005B7CAC">
        <w:rPr>
          <w:rFonts w:ascii="Times New Roman" w:hAnsi="Times New Roman"/>
          <w:bCs/>
          <w:iCs/>
          <w:sz w:val="24"/>
          <w:szCs w:val="20"/>
          <w:lang w:val="en-US"/>
        </w:rPr>
        <w:t xml:space="preserve">. Following past literature </w:t>
      </w:r>
      <w:r w:rsidR="00FD2328" w:rsidRPr="005B7CAC">
        <w:rPr>
          <w:rFonts w:ascii="Times New Roman" w:hAnsi="Times New Roman"/>
          <w:bCs/>
          <w:iCs/>
          <w:sz w:val="24"/>
          <w:szCs w:val="20"/>
          <w:lang w:val="en-US"/>
        </w:rPr>
        <w:fldChar w:fldCharType="begin" w:fldLock="1"/>
      </w:r>
      <w:r w:rsidR="002347D5" w:rsidRPr="005B7CAC">
        <w:rPr>
          <w:rFonts w:ascii="Times New Roman" w:hAnsi="Times New Roman"/>
          <w:bCs/>
          <w:iCs/>
          <w:sz w:val="24"/>
          <w:szCs w:val="20"/>
          <w:lang w:val="en-US"/>
        </w:rPr>
        <w:instrText>ADDIN CSL_CITATION {"citationItems":[{"id":"ITEM-1","itemData":{"DOI":"10.1111/1467-8551.12715","author":[{"dropping-particle":"","family":"Orazalin","given":"Nurlan","non-dropping-particle":"","parse-names":false,"suffix":""},{"dropping-particle":"","family":"Ntim","given":"Collins","non-dropping-particle":"","parse-names":false,"suffix":""},{"dropping-particle":"","family":"Malagila","given":"John","non-dropping-particle":"","parse-names":false,"suffix":""}],"container-title":"British Journal of Management","id":"ITEM-1","issue":"1","issued":{"date-parts":[["2024"]]},"page":"295-320","title":"Board sustainability committees, climate change initiatives, carbon performance, and market value","type":"article-journal","volume":"35"},"uris":["http://www.mendeley.com/documents/?uuid=a619d5c5-bf37-445d-9069-2df2648f2b82"]},{"id":"ITEM-2","itemData":{"DOI":"10.1002/bse.2563","ISSN":"10990836","abstract":"As a result of recent climate change impacts, environmental sustainability has received enormous attention from scholars and policy makers. Environmental innovation is one of the major ways of acting in harmony with the environment, but it also requires a significant amount of resources and strong corporate commitment. As boards of directors have great influence over the strategic direction of firms and are responsible for corporate environmentalism, we examine the likely relationship between board gender diversity (BGD) and environmental innovation measured as process innovation and product innovation. Based on a relatively large dataset (10,334 firm-year observations) of U.S. listed firms, we find that BGD has a significant positive association with environmental innovation. Furthermore, we also find that this relationship is more pronounced in less profitable firms and in environmentally sensitive industries. Our results remain robust to endogeneity issues and alternative proxies. We interpret our results under upper echelon and gender socialization theories and suggest important implications for policy makers.","author":[{"dropping-particle":"","family":"Nadeem","given":"Muhammad","non-dropping-particle":"","parse-names":false,"suffix":""},{"dropping-particle":"","family":"Bahadar","given":"Stephen","non-dropping-particle":"","parse-names":false,"suffix":""},{"dropping-particle":"","family":"Gull","given":"Ammar Ali","non-dropping-particle":"","parse-names":false,"suffix":""},{"dropping-particle":"","family":"Iqbal","given":"Umer","non-dropping-particle":"","parse-names":false,"suffix":""}],"container-title":"Business Strategy and the Environment","id":"ITEM-2","issue":"8","issued":{"date-parts":[["2020","12","1"]]},"page":"3146-3161","title":"Are women eco-friendly? Board gender diversity and environmental innovation","type":"article-journal","volume":"29"},"uris":["http://www.mendeley.com/documents/?uuid=e48951d9-11b1-3140-bf56-70973871398e"]}],"mendeley":{"formattedCitation":"(Nadeem &lt;i&gt;et al.&lt;/i&gt;, 2020; Orazalin &lt;i&gt;et al.&lt;/i&gt;, 2024)","plainTextFormattedCitation":"(Nadeem et al., 2020; Orazalin et al., 2024)","previouslyFormattedCitation":"(Nadeem &lt;i&gt;et al.&lt;/i&gt;, 2020; Orazalin &lt;i&gt;et al.&lt;/i&gt;, 2024)"},"properties":{"noteIndex":0},"schema":"https://github.com/citation-style-language/schema/raw/master/csl-citation.json"}</w:instrText>
      </w:r>
      <w:r w:rsidR="00FD2328" w:rsidRPr="005B7CAC">
        <w:rPr>
          <w:rFonts w:ascii="Times New Roman" w:hAnsi="Times New Roman"/>
          <w:bCs/>
          <w:iCs/>
          <w:sz w:val="24"/>
          <w:szCs w:val="20"/>
          <w:lang w:val="en-US"/>
        </w:rPr>
        <w:fldChar w:fldCharType="separate"/>
      </w:r>
      <w:r w:rsidR="00BB4571" w:rsidRPr="005B7CAC">
        <w:rPr>
          <w:rFonts w:ascii="Times New Roman" w:hAnsi="Times New Roman"/>
          <w:bCs/>
          <w:iCs/>
          <w:noProof/>
          <w:sz w:val="24"/>
          <w:szCs w:val="20"/>
          <w:lang w:val="en-US"/>
        </w:rPr>
        <w:t xml:space="preserve">(Nadeem </w:t>
      </w:r>
      <w:r w:rsidR="00BB4571" w:rsidRPr="005B7CAC">
        <w:rPr>
          <w:rFonts w:ascii="Times New Roman" w:hAnsi="Times New Roman"/>
          <w:bCs/>
          <w:i/>
          <w:iCs/>
          <w:noProof/>
          <w:sz w:val="24"/>
          <w:szCs w:val="20"/>
          <w:lang w:val="en-US"/>
        </w:rPr>
        <w:t>et al.</w:t>
      </w:r>
      <w:r w:rsidR="00BB4571" w:rsidRPr="005B7CAC">
        <w:rPr>
          <w:rFonts w:ascii="Times New Roman" w:hAnsi="Times New Roman"/>
          <w:bCs/>
          <w:iCs/>
          <w:noProof/>
          <w:sz w:val="24"/>
          <w:szCs w:val="20"/>
          <w:lang w:val="en-US"/>
        </w:rPr>
        <w:t xml:space="preserve">, 2020; Orazalin </w:t>
      </w:r>
      <w:r w:rsidR="00BB4571" w:rsidRPr="005B7CAC">
        <w:rPr>
          <w:rFonts w:ascii="Times New Roman" w:hAnsi="Times New Roman"/>
          <w:bCs/>
          <w:i/>
          <w:iCs/>
          <w:noProof/>
          <w:sz w:val="24"/>
          <w:szCs w:val="20"/>
          <w:lang w:val="en-US"/>
        </w:rPr>
        <w:t>et al.</w:t>
      </w:r>
      <w:r w:rsidR="00BB4571" w:rsidRPr="005B7CAC">
        <w:rPr>
          <w:rFonts w:ascii="Times New Roman" w:hAnsi="Times New Roman"/>
          <w:bCs/>
          <w:iCs/>
          <w:noProof/>
          <w:sz w:val="24"/>
          <w:szCs w:val="20"/>
          <w:lang w:val="en-US"/>
        </w:rPr>
        <w:t>, 2024)</w:t>
      </w:r>
      <w:r w:rsidR="00FD2328" w:rsidRPr="005B7CAC">
        <w:rPr>
          <w:rFonts w:ascii="Times New Roman" w:hAnsi="Times New Roman"/>
          <w:bCs/>
          <w:iCs/>
          <w:sz w:val="24"/>
          <w:szCs w:val="20"/>
          <w:lang w:val="en-US"/>
        </w:rPr>
        <w:fldChar w:fldCharType="end"/>
      </w:r>
      <w:r w:rsidR="00FD2328" w:rsidRPr="005B7CAC">
        <w:rPr>
          <w:rFonts w:ascii="Times New Roman" w:hAnsi="Times New Roman"/>
          <w:bCs/>
          <w:iCs/>
          <w:sz w:val="24"/>
          <w:szCs w:val="20"/>
          <w:lang w:val="en-US"/>
        </w:rPr>
        <w:t>, we</w:t>
      </w:r>
      <w:r w:rsidR="009E18AA" w:rsidRPr="005B7CAC">
        <w:rPr>
          <w:rFonts w:ascii="Times New Roman" w:hAnsi="Times New Roman"/>
          <w:bCs/>
          <w:iCs/>
          <w:sz w:val="24"/>
          <w:szCs w:val="20"/>
          <w:lang w:val="en-US"/>
        </w:rPr>
        <w:t xml:space="preserve"> identif</w:t>
      </w:r>
      <w:r w:rsidR="00212B2C" w:rsidRPr="005B7CAC">
        <w:rPr>
          <w:rFonts w:ascii="Times New Roman" w:hAnsi="Times New Roman"/>
          <w:bCs/>
          <w:iCs/>
          <w:sz w:val="24"/>
          <w:szCs w:val="20"/>
          <w:lang w:val="en-US"/>
        </w:rPr>
        <w:t>y</w:t>
      </w:r>
      <w:r w:rsidR="009E18AA" w:rsidRPr="005B7CAC">
        <w:rPr>
          <w:rFonts w:ascii="Times New Roman" w:hAnsi="Times New Roman"/>
          <w:bCs/>
          <w:iCs/>
          <w:sz w:val="24"/>
          <w:szCs w:val="20"/>
          <w:lang w:val="en-US"/>
        </w:rPr>
        <w:t xml:space="preserve"> 21 environmental</w:t>
      </w:r>
      <w:r w:rsidR="006F440D" w:rsidRPr="005B7CAC">
        <w:rPr>
          <w:rFonts w:ascii="Times New Roman" w:hAnsi="Times New Roman"/>
          <w:bCs/>
          <w:iCs/>
          <w:sz w:val="24"/>
          <w:szCs w:val="20"/>
          <w:lang w:val="en-US"/>
        </w:rPr>
        <w:t xml:space="preserve"> indicators</w:t>
      </w:r>
      <w:r w:rsidR="009E18AA" w:rsidRPr="005B7CAC">
        <w:rPr>
          <w:rFonts w:ascii="Times New Roman" w:hAnsi="Times New Roman"/>
          <w:bCs/>
          <w:iCs/>
          <w:sz w:val="24"/>
          <w:szCs w:val="20"/>
          <w:lang w:val="en-US"/>
        </w:rPr>
        <w:t xml:space="preserve">, which </w:t>
      </w:r>
      <w:r w:rsidR="006F440D" w:rsidRPr="005B7CAC">
        <w:rPr>
          <w:rFonts w:ascii="Times New Roman" w:hAnsi="Times New Roman"/>
          <w:bCs/>
          <w:iCs/>
          <w:sz w:val="24"/>
          <w:szCs w:val="20"/>
          <w:lang w:val="en-US"/>
        </w:rPr>
        <w:t>reflect</w:t>
      </w:r>
      <w:r w:rsidR="009E18AA" w:rsidRPr="005B7CAC">
        <w:rPr>
          <w:rFonts w:ascii="Times New Roman" w:hAnsi="Times New Roman"/>
          <w:bCs/>
          <w:iCs/>
          <w:sz w:val="24"/>
          <w:szCs w:val="20"/>
          <w:lang w:val="en-US"/>
        </w:rPr>
        <w:t xml:space="preserve"> a firm’s </w:t>
      </w:r>
      <w:r w:rsidR="006F440D" w:rsidRPr="005B7CAC">
        <w:rPr>
          <w:rFonts w:ascii="Times New Roman" w:hAnsi="Times New Roman"/>
          <w:bCs/>
          <w:iCs/>
          <w:sz w:val="24"/>
          <w:szCs w:val="20"/>
          <w:lang w:val="en-US"/>
        </w:rPr>
        <w:t>initiatives</w:t>
      </w:r>
      <w:r w:rsidR="00A02F00" w:rsidRPr="005B7CAC">
        <w:rPr>
          <w:rFonts w:ascii="Times New Roman" w:hAnsi="Times New Roman"/>
          <w:bCs/>
          <w:iCs/>
          <w:sz w:val="24"/>
          <w:szCs w:val="20"/>
          <w:lang w:val="en-US"/>
        </w:rPr>
        <w:t>/</w:t>
      </w:r>
      <w:r w:rsidR="006F440D" w:rsidRPr="005B7CAC">
        <w:rPr>
          <w:rFonts w:ascii="Times New Roman" w:hAnsi="Times New Roman"/>
          <w:bCs/>
          <w:iCs/>
          <w:sz w:val="24"/>
          <w:szCs w:val="20"/>
          <w:lang w:val="en-US"/>
        </w:rPr>
        <w:t xml:space="preserve">strategies </w:t>
      </w:r>
      <w:r w:rsidR="009E18AA" w:rsidRPr="005B7CAC">
        <w:rPr>
          <w:rFonts w:ascii="Times New Roman" w:hAnsi="Times New Roman"/>
          <w:bCs/>
          <w:iCs/>
          <w:sz w:val="24"/>
          <w:szCs w:val="20"/>
          <w:lang w:val="en-US"/>
        </w:rPr>
        <w:t xml:space="preserve">to protect ecosystems, reduce, reuse, </w:t>
      </w:r>
      <w:r w:rsidR="006F440D" w:rsidRPr="005B7CAC">
        <w:rPr>
          <w:rFonts w:ascii="Times New Roman" w:hAnsi="Times New Roman"/>
          <w:bCs/>
          <w:iCs/>
          <w:sz w:val="24"/>
          <w:szCs w:val="20"/>
          <w:lang w:val="en-US"/>
        </w:rPr>
        <w:t xml:space="preserve">phase out </w:t>
      </w:r>
      <w:r w:rsidR="009E18AA" w:rsidRPr="005B7CAC">
        <w:rPr>
          <w:rFonts w:ascii="Times New Roman" w:hAnsi="Times New Roman"/>
          <w:bCs/>
          <w:iCs/>
          <w:sz w:val="24"/>
          <w:szCs w:val="20"/>
          <w:lang w:val="en-US"/>
        </w:rPr>
        <w:t>or substitute emissions and/or toxic chemicals, and</w:t>
      </w:r>
      <w:r w:rsidR="006F440D" w:rsidRPr="005B7CAC">
        <w:rPr>
          <w:rFonts w:ascii="Times New Roman" w:hAnsi="Times New Roman"/>
          <w:bCs/>
          <w:iCs/>
          <w:sz w:val="24"/>
          <w:szCs w:val="20"/>
          <w:lang w:val="en-US"/>
        </w:rPr>
        <w:t xml:space="preserve"> promote efficient use of natural resources by designing green products/services, adopting new environmental technologies,</w:t>
      </w:r>
      <w:r w:rsidR="00A02F00" w:rsidRPr="005B7CAC">
        <w:rPr>
          <w:rFonts w:ascii="Times New Roman" w:hAnsi="Times New Roman"/>
          <w:bCs/>
          <w:iCs/>
          <w:sz w:val="24"/>
          <w:szCs w:val="20"/>
          <w:lang w:val="en-US"/>
        </w:rPr>
        <w:t xml:space="preserve"> implementing renewable energy</w:t>
      </w:r>
      <w:r w:rsidR="008C4268" w:rsidRPr="005B7CAC">
        <w:rPr>
          <w:rFonts w:ascii="Times New Roman" w:hAnsi="Times New Roman"/>
          <w:bCs/>
          <w:iCs/>
          <w:sz w:val="24"/>
          <w:szCs w:val="20"/>
          <w:lang w:val="en-US"/>
        </w:rPr>
        <w:t xml:space="preserve"> systems</w:t>
      </w:r>
      <w:r w:rsidR="00A02F00" w:rsidRPr="005B7CAC">
        <w:rPr>
          <w:rFonts w:ascii="Times New Roman" w:hAnsi="Times New Roman"/>
          <w:bCs/>
          <w:iCs/>
          <w:sz w:val="24"/>
          <w:szCs w:val="20"/>
          <w:lang w:val="en-US"/>
        </w:rPr>
        <w:t xml:space="preserve">, and introducing environmentally sustainable activities/practices. Each indicator </w:t>
      </w:r>
      <w:r w:rsidR="00D60A0D" w:rsidRPr="005B7CAC">
        <w:rPr>
          <w:rFonts w:ascii="Times New Roman" w:hAnsi="Times New Roman"/>
          <w:bCs/>
          <w:iCs/>
          <w:sz w:val="24"/>
          <w:szCs w:val="20"/>
          <w:lang w:val="en-US"/>
        </w:rPr>
        <w:t>equals</w:t>
      </w:r>
      <w:r w:rsidR="00A02F00" w:rsidRPr="005B7CAC">
        <w:rPr>
          <w:rFonts w:ascii="Times New Roman" w:hAnsi="Times New Roman"/>
          <w:bCs/>
          <w:iCs/>
          <w:sz w:val="24"/>
          <w:szCs w:val="20"/>
          <w:lang w:val="en-US"/>
        </w:rPr>
        <w:t xml:space="preserve"> one if </w:t>
      </w:r>
      <w:r w:rsidR="00D60A0D" w:rsidRPr="005B7CAC">
        <w:rPr>
          <w:rFonts w:ascii="Times New Roman" w:hAnsi="Times New Roman"/>
          <w:bCs/>
          <w:iCs/>
          <w:sz w:val="24"/>
          <w:szCs w:val="20"/>
          <w:lang w:val="en-US"/>
        </w:rPr>
        <w:t xml:space="preserve">a firm has </w:t>
      </w:r>
      <w:r w:rsidR="008C4268" w:rsidRPr="005B7CAC">
        <w:rPr>
          <w:rFonts w:ascii="Times New Roman" w:hAnsi="Times New Roman"/>
          <w:bCs/>
          <w:iCs/>
          <w:sz w:val="24"/>
          <w:szCs w:val="20"/>
          <w:lang w:val="en-US"/>
        </w:rPr>
        <w:t xml:space="preserve">undertaken </w:t>
      </w:r>
      <w:r w:rsidR="00D60A0D" w:rsidRPr="005B7CAC">
        <w:rPr>
          <w:rFonts w:ascii="Times New Roman" w:hAnsi="Times New Roman"/>
          <w:bCs/>
          <w:iCs/>
          <w:sz w:val="24"/>
          <w:szCs w:val="20"/>
          <w:lang w:val="en-US"/>
        </w:rPr>
        <w:t>an associated initiative</w:t>
      </w:r>
      <w:r w:rsidR="008C4268" w:rsidRPr="005B7CAC">
        <w:rPr>
          <w:rFonts w:ascii="Times New Roman" w:hAnsi="Times New Roman"/>
          <w:bCs/>
          <w:iCs/>
          <w:sz w:val="24"/>
          <w:szCs w:val="20"/>
          <w:lang w:val="en-US"/>
        </w:rPr>
        <w:t>/strategy</w:t>
      </w:r>
      <w:r w:rsidR="00D60A0D" w:rsidRPr="005B7CAC">
        <w:rPr>
          <w:rFonts w:ascii="Times New Roman" w:hAnsi="Times New Roman"/>
          <w:bCs/>
          <w:iCs/>
          <w:sz w:val="24"/>
          <w:szCs w:val="20"/>
          <w:lang w:val="en-US"/>
        </w:rPr>
        <w:t xml:space="preserve">. </w:t>
      </w:r>
      <w:r w:rsidR="00A02F00" w:rsidRPr="005B7CAC">
        <w:rPr>
          <w:rFonts w:ascii="Times New Roman" w:hAnsi="Times New Roman"/>
          <w:bCs/>
          <w:iCs/>
          <w:sz w:val="24"/>
          <w:szCs w:val="20"/>
          <w:lang w:val="en-US"/>
        </w:rPr>
        <w:t xml:space="preserve">We then assess </w:t>
      </w:r>
      <w:r w:rsidR="001A1CB2" w:rsidRPr="005B7CAC">
        <w:rPr>
          <w:rFonts w:ascii="Times New Roman" w:hAnsi="Times New Roman"/>
          <w:bCs/>
          <w:i/>
          <w:sz w:val="24"/>
          <w:szCs w:val="20"/>
          <w:lang w:val="en-US"/>
        </w:rPr>
        <w:t>GINV</w:t>
      </w:r>
      <w:r w:rsidR="003F6D7A" w:rsidRPr="005B7CAC">
        <w:rPr>
          <w:rFonts w:ascii="Times New Roman" w:hAnsi="Times New Roman"/>
          <w:bCs/>
          <w:i/>
          <w:sz w:val="24"/>
          <w:szCs w:val="20"/>
          <w:lang w:val="en-US"/>
        </w:rPr>
        <w:t>s</w:t>
      </w:r>
      <w:r w:rsidR="00A02F00" w:rsidRPr="005B7CAC">
        <w:rPr>
          <w:rFonts w:ascii="Times New Roman" w:hAnsi="Times New Roman"/>
          <w:bCs/>
          <w:iCs/>
          <w:sz w:val="24"/>
          <w:szCs w:val="20"/>
          <w:lang w:val="en-US"/>
        </w:rPr>
        <w:t xml:space="preserve"> by totaling the above 21 indicators to determine the </w:t>
      </w:r>
      <w:r w:rsidR="001A1CB2" w:rsidRPr="005B7CAC">
        <w:rPr>
          <w:rFonts w:ascii="Times New Roman" w:hAnsi="Times New Roman"/>
          <w:bCs/>
          <w:i/>
          <w:sz w:val="24"/>
          <w:szCs w:val="20"/>
          <w:lang w:val="en-US"/>
        </w:rPr>
        <w:t>GINV</w:t>
      </w:r>
      <w:r w:rsidR="00D40CE1" w:rsidRPr="005B7CAC">
        <w:rPr>
          <w:rFonts w:ascii="Times New Roman" w:hAnsi="Times New Roman"/>
          <w:bCs/>
          <w:i/>
          <w:sz w:val="24"/>
          <w:szCs w:val="20"/>
          <w:lang w:val="en-US"/>
        </w:rPr>
        <w:t>s</w:t>
      </w:r>
      <w:r w:rsidR="00D60A0D" w:rsidRPr="005B7CAC">
        <w:rPr>
          <w:rFonts w:ascii="Times New Roman" w:hAnsi="Times New Roman"/>
          <w:bCs/>
          <w:iCs/>
          <w:sz w:val="24"/>
          <w:szCs w:val="20"/>
          <w:lang w:val="en-US"/>
        </w:rPr>
        <w:t xml:space="preserve"> score for each firm</w:t>
      </w:r>
      <w:r w:rsidR="00A02F00" w:rsidRPr="005B7CAC">
        <w:rPr>
          <w:rFonts w:ascii="Times New Roman" w:hAnsi="Times New Roman"/>
          <w:bCs/>
          <w:iCs/>
          <w:sz w:val="24"/>
          <w:szCs w:val="20"/>
          <w:lang w:val="en-US"/>
        </w:rPr>
        <w:t>.</w:t>
      </w:r>
      <w:r w:rsidR="00D60A0D" w:rsidRPr="005B7CAC">
        <w:rPr>
          <w:rFonts w:ascii="Times New Roman" w:hAnsi="Times New Roman"/>
          <w:bCs/>
          <w:iCs/>
          <w:sz w:val="24"/>
          <w:szCs w:val="20"/>
          <w:lang w:val="en-US"/>
        </w:rPr>
        <w:t xml:space="preserve"> </w:t>
      </w:r>
      <w:r w:rsidR="00053F0A" w:rsidRPr="005B7CAC">
        <w:rPr>
          <w:rFonts w:ascii="Times New Roman" w:hAnsi="Times New Roman"/>
          <w:bCs/>
          <w:iCs/>
          <w:sz w:val="24"/>
          <w:szCs w:val="20"/>
          <w:lang w:val="en-US"/>
        </w:rPr>
        <w:t xml:space="preserve">Higher </w:t>
      </w:r>
      <w:r w:rsidR="001A1CB2" w:rsidRPr="005B7CAC">
        <w:rPr>
          <w:rFonts w:ascii="Times New Roman" w:hAnsi="Times New Roman"/>
          <w:bCs/>
          <w:i/>
          <w:sz w:val="24"/>
          <w:szCs w:val="20"/>
          <w:lang w:val="en-US"/>
        </w:rPr>
        <w:t>GINV</w:t>
      </w:r>
      <w:r w:rsidR="00D40CE1" w:rsidRPr="005B7CAC">
        <w:rPr>
          <w:rFonts w:ascii="Times New Roman" w:hAnsi="Times New Roman"/>
          <w:bCs/>
          <w:i/>
          <w:sz w:val="24"/>
          <w:szCs w:val="20"/>
          <w:lang w:val="en-US"/>
        </w:rPr>
        <w:t>s</w:t>
      </w:r>
      <w:r w:rsidR="00301840" w:rsidRPr="005B7CAC">
        <w:rPr>
          <w:rFonts w:ascii="Times New Roman" w:hAnsi="Times New Roman"/>
          <w:bCs/>
          <w:iCs/>
          <w:sz w:val="24"/>
          <w:szCs w:val="20"/>
          <w:lang w:val="en-US"/>
        </w:rPr>
        <w:t xml:space="preserve"> values</w:t>
      </w:r>
      <w:r w:rsidR="00053F0A" w:rsidRPr="005B7CAC">
        <w:rPr>
          <w:rFonts w:ascii="Times New Roman" w:hAnsi="Times New Roman"/>
          <w:bCs/>
          <w:iCs/>
          <w:sz w:val="24"/>
          <w:szCs w:val="20"/>
          <w:lang w:val="en-US"/>
        </w:rPr>
        <w:t xml:space="preserve"> indicate</w:t>
      </w:r>
      <w:r w:rsidR="00AE0325" w:rsidRPr="005B7CAC">
        <w:rPr>
          <w:rFonts w:ascii="Times New Roman" w:hAnsi="Times New Roman"/>
          <w:bCs/>
          <w:iCs/>
          <w:sz w:val="24"/>
          <w:szCs w:val="20"/>
          <w:lang w:val="en-US"/>
        </w:rPr>
        <w:t xml:space="preserve"> </w:t>
      </w:r>
      <w:r w:rsidR="00053F0A" w:rsidRPr="005B7CAC">
        <w:rPr>
          <w:rFonts w:ascii="Times New Roman" w:hAnsi="Times New Roman"/>
          <w:bCs/>
          <w:iCs/>
          <w:sz w:val="24"/>
          <w:szCs w:val="20"/>
          <w:lang w:val="en-US"/>
        </w:rPr>
        <w:t xml:space="preserve">greater engagement in </w:t>
      </w:r>
      <w:r w:rsidR="00301840" w:rsidRPr="005B7CAC">
        <w:rPr>
          <w:rFonts w:ascii="Times New Roman" w:hAnsi="Times New Roman"/>
          <w:bCs/>
          <w:iCs/>
          <w:sz w:val="24"/>
          <w:szCs w:val="20"/>
          <w:lang w:val="en-US"/>
        </w:rPr>
        <w:t xml:space="preserve">green </w:t>
      </w:r>
      <w:r w:rsidR="00B85636" w:rsidRPr="005B7CAC">
        <w:rPr>
          <w:rFonts w:ascii="Times New Roman" w:hAnsi="Times New Roman"/>
          <w:bCs/>
          <w:iCs/>
          <w:sz w:val="24"/>
          <w:szCs w:val="20"/>
          <w:lang w:val="en-US"/>
        </w:rPr>
        <w:t xml:space="preserve">transformation </w:t>
      </w:r>
      <w:r w:rsidR="00301840" w:rsidRPr="005B7CAC">
        <w:rPr>
          <w:rFonts w:ascii="Times New Roman" w:hAnsi="Times New Roman"/>
          <w:bCs/>
          <w:iCs/>
          <w:sz w:val="24"/>
          <w:szCs w:val="20"/>
          <w:lang w:val="en-US"/>
        </w:rPr>
        <w:t>initiatives/strategies</w:t>
      </w:r>
      <w:r w:rsidR="00053F0A" w:rsidRPr="005B7CAC">
        <w:rPr>
          <w:rFonts w:ascii="Times New Roman" w:hAnsi="Times New Roman"/>
          <w:bCs/>
          <w:iCs/>
          <w:sz w:val="24"/>
          <w:szCs w:val="20"/>
          <w:lang w:val="en-US"/>
        </w:rPr>
        <w:t>.</w:t>
      </w:r>
      <w:r w:rsidR="00F252F1" w:rsidRPr="005B7CAC">
        <w:rPr>
          <w:rStyle w:val="FootnoteReference"/>
          <w:rFonts w:ascii="Times New Roman" w:hAnsi="Times New Roman"/>
          <w:bCs/>
          <w:iCs/>
          <w:sz w:val="24"/>
          <w:szCs w:val="20"/>
          <w:lang w:val="en-US"/>
        </w:rPr>
        <w:footnoteReference w:id="2"/>
      </w:r>
      <w:r w:rsidR="00053F0A" w:rsidRPr="005B7CAC">
        <w:rPr>
          <w:rFonts w:ascii="Times New Roman" w:hAnsi="Times New Roman"/>
          <w:bCs/>
          <w:iCs/>
          <w:sz w:val="24"/>
          <w:szCs w:val="20"/>
          <w:lang w:val="en-US"/>
        </w:rPr>
        <w:t xml:space="preserve"> </w:t>
      </w:r>
      <w:r w:rsidR="002D59D5" w:rsidRPr="005B7CAC">
        <w:rPr>
          <w:rFonts w:ascii="Times New Roman" w:hAnsi="Times New Roman"/>
          <w:bCs/>
          <w:iCs/>
          <w:sz w:val="24"/>
          <w:szCs w:val="20"/>
          <w:lang w:val="en-US"/>
        </w:rPr>
        <w:t xml:space="preserve">   </w:t>
      </w:r>
    </w:p>
    <w:p w14:paraId="5C958A3E" w14:textId="32875AB8" w:rsidR="00604479" w:rsidRPr="005B7CAC" w:rsidRDefault="002D59D5" w:rsidP="003D5418">
      <w:pPr>
        <w:widowControl w:val="0"/>
        <w:autoSpaceDE w:val="0"/>
        <w:autoSpaceDN w:val="0"/>
        <w:adjustRightInd w:val="0"/>
        <w:spacing w:after="240" w:line="360" w:lineRule="auto"/>
        <w:jc w:val="both"/>
        <w:rPr>
          <w:rFonts w:ascii="Times New Roman" w:hAnsi="Times New Roman"/>
          <w:bCs/>
          <w:iCs/>
          <w:sz w:val="24"/>
          <w:szCs w:val="20"/>
          <w:lang w:val="en-US"/>
        </w:rPr>
      </w:pPr>
      <w:r w:rsidRPr="005B7CAC">
        <w:rPr>
          <w:rFonts w:ascii="Times New Roman" w:hAnsi="Times New Roman"/>
          <w:bCs/>
          <w:iCs/>
          <w:sz w:val="24"/>
          <w:szCs w:val="20"/>
          <w:lang w:val="en-US"/>
        </w:rPr>
        <w:t xml:space="preserve"> </w:t>
      </w:r>
      <w:r w:rsidR="00604479" w:rsidRPr="005B7CAC">
        <w:rPr>
          <w:rFonts w:ascii="Times New Roman" w:hAnsi="Times New Roman"/>
          <w:bCs/>
          <w:iCs/>
          <w:sz w:val="24"/>
          <w:szCs w:val="20"/>
          <w:lang w:val="en-US"/>
        </w:rPr>
        <w:t xml:space="preserve"> </w:t>
      </w:r>
    </w:p>
    <w:p w14:paraId="4B7B3BEE" w14:textId="4D957384" w:rsidR="001E2CA1" w:rsidRPr="005B7CAC" w:rsidRDefault="001E2CA1" w:rsidP="003D5418">
      <w:pPr>
        <w:widowControl w:val="0"/>
        <w:autoSpaceDE w:val="0"/>
        <w:autoSpaceDN w:val="0"/>
        <w:adjustRightInd w:val="0"/>
        <w:spacing w:after="240" w:line="360" w:lineRule="auto"/>
        <w:rPr>
          <w:rFonts w:ascii="Times New Roman" w:hAnsi="Times New Roman"/>
          <w:i/>
          <w:sz w:val="24"/>
          <w:szCs w:val="20"/>
          <w:lang w:val="en-US"/>
        </w:rPr>
      </w:pPr>
      <w:r w:rsidRPr="005B7CAC">
        <w:rPr>
          <w:rFonts w:ascii="Times New Roman" w:hAnsi="Times New Roman"/>
          <w:i/>
          <w:sz w:val="24"/>
          <w:szCs w:val="20"/>
          <w:lang w:val="en-US"/>
        </w:rPr>
        <w:t>3.</w:t>
      </w:r>
      <w:r w:rsidR="000C0E1E" w:rsidRPr="005B7CAC">
        <w:rPr>
          <w:rFonts w:ascii="Times New Roman" w:hAnsi="Times New Roman"/>
          <w:i/>
          <w:sz w:val="24"/>
          <w:szCs w:val="20"/>
          <w:lang w:val="en-US"/>
        </w:rPr>
        <w:t>3</w:t>
      </w:r>
      <w:r w:rsidRPr="005B7CAC">
        <w:rPr>
          <w:rFonts w:ascii="Times New Roman" w:hAnsi="Times New Roman"/>
          <w:i/>
          <w:sz w:val="24"/>
          <w:szCs w:val="20"/>
          <w:lang w:val="en-US"/>
        </w:rPr>
        <w:t xml:space="preserve"> Empirical model</w:t>
      </w:r>
    </w:p>
    <w:p w14:paraId="51B6EA75" w14:textId="77777777" w:rsidR="00F2035D" w:rsidRPr="005B7CAC" w:rsidRDefault="00F2035D" w:rsidP="003D5418">
      <w:pPr>
        <w:widowControl w:val="0"/>
        <w:autoSpaceDE w:val="0"/>
        <w:autoSpaceDN w:val="0"/>
        <w:adjustRightInd w:val="0"/>
        <w:spacing w:after="240" w:line="360" w:lineRule="auto"/>
        <w:rPr>
          <w:rFonts w:ascii="Times New Roman" w:hAnsi="Times New Roman"/>
          <w:bCs/>
          <w:iCs/>
          <w:sz w:val="24"/>
          <w:szCs w:val="20"/>
          <w:lang w:val="en-US"/>
        </w:rPr>
      </w:pPr>
      <w:r w:rsidRPr="005B7CAC">
        <w:rPr>
          <w:rFonts w:ascii="Times New Roman" w:hAnsi="Times New Roman"/>
          <w:bCs/>
          <w:iCs/>
          <w:sz w:val="24"/>
          <w:szCs w:val="20"/>
          <w:lang w:val="en-US"/>
        </w:rPr>
        <w:t>To test the hypotheses, the study employs the following panel-regression model:</w:t>
      </w:r>
    </w:p>
    <w:p w14:paraId="714D71E7" w14:textId="168E4F50" w:rsidR="00F2035D" w:rsidRPr="005B7CAC" w:rsidRDefault="00F2035D" w:rsidP="003D5418">
      <w:pPr>
        <w:widowControl w:val="0"/>
        <w:autoSpaceDE w:val="0"/>
        <w:autoSpaceDN w:val="0"/>
        <w:adjustRightInd w:val="0"/>
        <w:spacing w:after="0" w:line="360" w:lineRule="auto"/>
        <w:jc w:val="center"/>
        <w:rPr>
          <w:rFonts w:ascii="Times New Roman" w:hAnsi="Times New Roman"/>
          <w:bCs/>
          <w:i/>
          <w:sz w:val="24"/>
          <w:szCs w:val="20"/>
          <w:vertAlign w:val="subscript"/>
          <w:lang w:val="en-US"/>
        </w:rPr>
      </w:pPr>
      <w:proofErr w:type="spellStart"/>
      <w:r w:rsidRPr="005B7CAC">
        <w:rPr>
          <w:rFonts w:ascii="Times New Roman" w:hAnsi="Times New Roman"/>
          <w:bCs/>
          <w:i/>
          <w:sz w:val="24"/>
          <w:szCs w:val="20"/>
          <w:lang w:val="en-US"/>
        </w:rPr>
        <w:t>FD</w:t>
      </w:r>
      <w:r w:rsidRPr="005B7CAC">
        <w:rPr>
          <w:rFonts w:ascii="Times New Roman" w:hAnsi="Times New Roman"/>
          <w:bCs/>
          <w:i/>
          <w:sz w:val="24"/>
          <w:szCs w:val="20"/>
          <w:vertAlign w:val="subscript"/>
          <w:lang w:val="en-US"/>
        </w:rPr>
        <w:t>it</w:t>
      </w:r>
      <w:proofErr w:type="spellEnd"/>
      <w:r w:rsidRPr="005B7CAC">
        <w:rPr>
          <w:rFonts w:ascii="Times New Roman" w:hAnsi="Times New Roman"/>
          <w:bCs/>
          <w:i/>
          <w:sz w:val="24"/>
          <w:szCs w:val="20"/>
          <w:lang w:val="en-US"/>
        </w:rPr>
        <w:t>=α+β</w:t>
      </w:r>
      <w:r w:rsidRPr="005B7CAC">
        <w:rPr>
          <w:rFonts w:ascii="Times New Roman" w:hAnsi="Times New Roman"/>
          <w:bCs/>
          <w:i/>
          <w:sz w:val="24"/>
          <w:szCs w:val="20"/>
          <w:vertAlign w:val="subscript"/>
          <w:lang w:val="en-US"/>
        </w:rPr>
        <w:t>1</w:t>
      </w:r>
      <w:r w:rsidRPr="005B7CAC">
        <w:rPr>
          <w:rFonts w:ascii="Times New Roman" w:hAnsi="Times New Roman"/>
          <w:bCs/>
          <w:i/>
          <w:sz w:val="24"/>
          <w:szCs w:val="20"/>
          <w:lang w:val="en-US"/>
        </w:rPr>
        <w:t>WM</w:t>
      </w:r>
      <w:r w:rsidRPr="005B7CAC">
        <w:rPr>
          <w:rFonts w:ascii="Times New Roman" w:hAnsi="Times New Roman"/>
          <w:bCs/>
          <w:i/>
          <w:sz w:val="24"/>
          <w:szCs w:val="20"/>
          <w:vertAlign w:val="subscript"/>
          <w:lang w:val="en-US"/>
        </w:rPr>
        <w:t>it</w:t>
      </w:r>
      <w:r w:rsidRPr="005B7CAC">
        <w:rPr>
          <w:rFonts w:ascii="Times New Roman" w:hAnsi="Times New Roman"/>
          <w:bCs/>
          <w:i/>
          <w:sz w:val="24"/>
          <w:szCs w:val="20"/>
          <w:lang w:val="en-US"/>
        </w:rPr>
        <w:t>+β</w:t>
      </w:r>
      <w:r w:rsidRPr="005B7CAC">
        <w:rPr>
          <w:rFonts w:ascii="Times New Roman" w:hAnsi="Times New Roman"/>
          <w:bCs/>
          <w:i/>
          <w:sz w:val="24"/>
          <w:szCs w:val="20"/>
          <w:vertAlign w:val="subscript"/>
          <w:lang w:val="en-US"/>
        </w:rPr>
        <w:t>2</w:t>
      </w:r>
      <w:r w:rsidRPr="005B7CAC">
        <w:rPr>
          <w:rFonts w:ascii="Times New Roman" w:hAnsi="Times New Roman"/>
          <w:bCs/>
          <w:i/>
          <w:sz w:val="24"/>
          <w:szCs w:val="20"/>
          <w:lang w:val="en-US"/>
        </w:rPr>
        <w:t>WM</w:t>
      </w:r>
      <w:r w:rsidRPr="005B7CAC">
        <w:rPr>
          <w:rFonts w:ascii="Times New Roman" w:hAnsi="Times New Roman"/>
          <w:bCs/>
          <w:i/>
          <w:sz w:val="24"/>
          <w:szCs w:val="20"/>
          <w:vertAlign w:val="subscript"/>
          <w:lang w:val="en-US"/>
        </w:rPr>
        <w:t>it</w:t>
      </w:r>
      <w:r w:rsidRPr="005B7CAC">
        <w:rPr>
          <w:rFonts w:ascii="Times New Roman" w:hAnsi="Times New Roman"/>
          <w:bCs/>
          <w:i/>
          <w:sz w:val="24"/>
          <w:szCs w:val="20"/>
          <w:lang w:val="en-US"/>
        </w:rPr>
        <w:t>*</w:t>
      </w:r>
      <w:proofErr w:type="spellStart"/>
      <w:r w:rsidR="001A1CB2" w:rsidRPr="005B7CAC">
        <w:rPr>
          <w:rFonts w:ascii="Times New Roman" w:hAnsi="Times New Roman"/>
          <w:bCs/>
          <w:i/>
          <w:sz w:val="24"/>
          <w:szCs w:val="20"/>
          <w:lang w:val="en-US"/>
        </w:rPr>
        <w:t>GINV</w:t>
      </w:r>
      <w:r w:rsidR="00B85636" w:rsidRPr="005B7CAC">
        <w:rPr>
          <w:rFonts w:ascii="Times New Roman" w:hAnsi="Times New Roman"/>
          <w:bCs/>
          <w:i/>
          <w:sz w:val="24"/>
          <w:szCs w:val="20"/>
          <w:lang w:val="en-US"/>
        </w:rPr>
        <w:t>s</w:t>
      </w:r>
      <w:r w:rsidRPr="005B7CAC">
        <w:rPr>
          <w:rFonts w:ascii="Times New Roman" w:hAnsi="Times New Roman"/>
          <w:bCs/>
          <w:i/>
          <w:sz w:val="24"/>
          <w:szCs w:val="20"/>
          <w:vertAlign w:val="subscript"/>
          <w:lang w:val="en-US"/>
        </w:rPr>
        <w:t>it</w:t>
      </w:r>
      <w:proofErr w:type="spellEnd"/>
      <w:r w:rsidRPr="005B7CAC">
        <w:rPr>
          <w:rFonts w:ascii="Times New Roman" w:hAnsi="Times New Roman"/>
          <w:bCs/>
          <w:i/>
          <w:sz w:val="24"/>
          <w:szCs w:val="20"/>
          <w:lang w:val="en-US"/>
        </w:rPr>
        <w:t>+β</w:t>
      </w:r>
      <w:r w:rsidRPr="005B7CAC">
        <w:rPr>
          <w:rFonts w:ascii="Times New Roman" w:hAnsi="Times New Roman"/>
          <w:bCs/>
          <w:i/>
          <w:sz w:val="24"/>
          <w:szCs w:val="20"/>
          <w:vertAlign w:val="subscript"/>
          <w:lang w:val="en-US"/>
        </w:rPr>
        <w:t>3</w:t>
      </w:r>
      <w:r w:rsidR="001A1CB2" w:rsidRPr="005B7CAC">
        <w:rPr>
          <w:rFonts w:ascii="Times New Roman" w:hAnsi="Times New Roman"/>
          <w:bCs/>
          <w:i/>
          <w:sz w:val="24"/>
          <w:szCs w:val="20"/>
          <w:lang w:val="en-US"/>
        </w:rPr>
        <w:t>GINVS</w:t>
      </w:r>
      <w:r w:rsidRPr="005B7CAC">
        <w:rPr>
          <w:rFonts w:ascii="Times New Roman" w:hAnsi="Times New Roman"/>
          <w:bCs/>
          <w:i/>
          <w:sz w:val="24"/>
          <w:szCs w:val="20"/>
          <w:vertAlign w:val="subscript"/>
          <w:lang w:val="en-US"/>
        </w:rPr>
        <w:t>it</w:t>
      </w:r>
      <w:r w:rsidRPr="005B7CAC">
        <w:rPr>
          <w:rFonts w:ascii="Times New Roman" w:hAnsi="Times New Roman"/>
          <w:bCs/>
          <w:i/>
          <w:sz w:val="24"/>
          <w:szCs w:val="20"/>
          <w:lang w:val="en-US"/>
        </w:rPr>
        <w:t>+β</w:t>
      </w:r>
      <w:proofErr w:type="spellStart"/>
      <w:r w:rsidRPr="005B7CAC">
        <w:rPr>
          <w:rFonts w:ascii="Times New Roman" w:hAnsi="Times New Roman"/>
          <w:bCs/>
          <w:i/>
          <w:sz w:val="24"/>
          <w:szCs w:val="20"/>
          <w:vertAlign w:val="subscript"/>
          <w:lang w:val="en-US"/>
        </w:rPr>
        <w:t>j</w:t>
      </w:r>
      <w:r w:rsidRPr="005B7CAC">
        <w:rPr>
          <w:rFonts w:ascii="Times New Roman" w:hAnsi="Times New Roman"/>
          <w:bCs/>
          <w:i/>
          <w:sz w:val="24"/>
          <w:szCs w:val="20"/>
          <w:lang w:val="en-US"/>
        </w:rPr>
        <w:t>Controls</w:t>
      </w:r>
      <w:r w:rsidRPr="005B7CAC">
        <w:rPr>
          <w:rFonts w:ascii="Times New Roman" w:hAnsi="Times New Roman"/>
          <w:bCs/>
          <w:i/>
          <w:sz w:val="24"/>
          <w:szCs w:val="20"/>
          <w:vertAlign w:val="subscript"/>
          <w:lang w:val="en-US"/>
        </w:rPr>
        <w:t>it</w:t>
      </w:r>
      <w:r w:rsidRPr="005B7CAC">
        <w:rPr>
          <w:rFonts w:ascii="Times New Roman" w:hAnsi="Times New Roman"/>
          <w:bCs/>
          <w:i/>
          <w:sz w:val="24"/>
          <w:szCs w:val="20"/>
          <w:lang w:val="en-US"/>
        </w:rPr>
        <w:t>+ɛ</w:t>
      </w:r>
      <w:r w:rsidRPr="005B7CAC">
        <w:rPr>
          <w:rFonts w:ascii="Times New Roman" w:hAnsi="Times New Roman"/>
          <w:bCs/>
          <w:i/>
          <w:sz w:val="24"/>
          <w:szCs w:val="20"/>
          <w:vertAlign w:val="subscript"/>
          <w:lang w:val="en-US"/>
        </w:rPr>
        <w:t>it</w:t>
      </w:r>
      <w:proofErr w:type="spellEnd"/>
    </w:p>
    <w:p w14:paraId="4B8A0277" w14:textId="15C67FD5" w:rsidR="003A06F7" w:rsidRPr="005B7CAC" w:rsidRDefault="003A06F7" w:rsidP="003D5418">
      <w:pPr>
        <w:widowControl w:val="0"/>
        <w:autoSpaceDE w:val="0"/>
        <w:autoSpaceDN w:val="0"/>
        <w:adjustRightInd w:val="0"/>
        <w:spacing w:after="240" w:line="360" w:lineRule="auto"/>
        <w:jc w:val="right"/>
        <w:rPr>
          <w:rFonts w:ascii="Times New Roman" w:hAnsi="Times New Roman"/>
          <w:bCs/>
          <w:iCs/>
          <w:sz w:val="24"/>
          <w:szCs w:val="20"/>
          <w:lang w:val="en-US"/>
        </w:rPr>
      </w:pPr>
      <w:r w:rsidRPr="005B7CAC">
        <w:rPr>
          <w:rFonts w:ascii="Times New Roman" w:hAnsi="Times New Roman"/>
          <w:bCs/>
          <w:iCs/>
          <w:sz w:val="24"/>
          <w:szCs w:val="20"/>
          <w:lang w:val="en-US"/>
        </w:rPr>
        <w:t>(3)</w:t>
      </w:r>
    </w:p>
    <w:p w14:paraId="43179E3C" w14:textId="54C9797C" w:rsidR="00705DCA" w:rsidRPr="005B7CAC" w:rsidRDefault="00CA6200" w:rsidP="003D5418">
      <w:pPr>
        <w:widowControl w:val="0"/>
        <w:autoSpaceDE w:val="0"/>
        <w:autoSpaceDN w:val="0"/>
        <w:adjustRightInd w:val="0"/>
        <w:spacing w:after="240" w:line="360" w:lineRule="auto"/>
        <w:jc w:val="both"/>
        <w:rPr>
          <w:rFonts w:ascii="Times New Roman" w:hAnsi="Times New Roman"/>
          <w:bCs/>
          <w:iCs/>
          <w:sz w:val="24"/>
          <w:szCs w:val="20"/>
          <w:lang w:val="en-US"/>
        </w:rPr>
      </w:pPr>
      <w:r w:rsidRPr="005B7CAC">
        <w:rPr>
          <w:rFonts w:ascii="Times New Roman" w:hAnsi="Times New Roman"/>
          <w:bCs/>
          <w:iCs/>
          <w:sz w:val="24"/>
          <w:szCs w:val="20"/>
          <w:lang w:val="en-US"/>
        </w:rPr>
        <w:t>w</w:t>
      </w:r>
      <w:r w:rsidR="00F2035D" w:rsidRPr="005B7CAC">
        <w:rPr>
          <w:rFonts w:ascii="Times New Roman" w:hAnsi="Times New Roman"/>
          <w:bCs/>
          <w:iCs/>
          <w:sz w:val="24"/>
          <w:szCs w:val="20"/>
          <w:lang w:val="en-US"/>
        </w:rPr>
        <w:t xml:space="preserve">here, </w:t>
      </w:r>
      <w:r w:rsidRPr="005B7CAC">
        <w:rPr>
          <w:rFonts w:ascii="Times New Roman" w:hAnsi="Times New Roman"/>
          <w:bCs/>
          <w:iCs/>
          <w:sz w:val="24"/>
          <w:szCs w:val="20"/>
          <w:lang w:val="en-US"/>
        </w:rPr>
        <w:t>for firm</w:t>
      </w:r>
      <w:r w:rsidRPr="005B7CAC">
        <w:rPr>
          <w:rFonts w:ascii="Times New Roman" w:hAnsi="Times New Roman"/>
          <w:bCs/>
          <w:i/>
          <w:sz w:val="24"/>
          <w:szCs w:val="20"/>
          <w:lang w:val="en-US"/>
        </w:rPr>
        <w:t xml:space="preserve"> i </w:t>
      </w:r>
      <w:r w:rsidRPr="005B7CAC">
        <w:rPr>
          <w:rFonts w:ascii="Times New Roman" w:hAnsi="Times New Roman"/>
          <w:bCs/>
          <w:iCs/>
          <w:sz w:val="24"/>
          <w:szCs w:val="20"/>
          <w:lang w:val="en-US"/>
        </w:rPr>
        <w:t>at time</w:t>
      </w:r>
      <w:r w:rsidRPr="005B7CAC">
        <w:rPr>
          <w:rFonts w:ascii="Times New Roman" w:hAnsi="Times New Roman"/>
          <w:bCs/>
          <w:i/>
          <w:sz w:val="24"/>
          <w:szCs w:val="20"/>
          <w:lang w:val="en-US"/>
        </w:rPr>
        <w:t xml:space="preserve"> t, </w:t>
      </w:r>
      <w:proofErr w:type="spellStart"/>
      <w:r w:rsidR="00F2035D" w:rsidRPr="005B7CAC">
        <w:rPr>
          <w:rFonts w:ascii="Times New Roman" w:hAnsi="Times New Roman"/>
          <w:bCs/>
          <w:i/>
          <w:sz w:val="24"/>
          <w:szCs w:val="20"/>
          <w:lang w:val="en-US"/>
        </w:rPr>
        <w:t>FD</w:t>
      </w:r>
      <w:r w:rsidR="00F2035D" w:rsidRPr="005B7CAC">
        <w:rPr>
          <w:rFonts w:ascii="Times New Roman" w:hAnsi="Times New Roman"/>
          <w:bCs/>
          <w:i/>
          <w:sz w:val="24"/>
          <w:szCs w:val="20"/>
          <w:vertAlign w:val="subscript"/>
          <w:lang w:val="en-US"/>
        </w:rPr>
        <w:t>it</w:t>
      </w:r>
      <w:proofErr w:type="spellEnd"/>
      <w:r w:rsidR="00F2035D" w:rsidRPr="005B7CAC">
        <w:rPr>
          <w:rFonts w:ascii="Times New Roman" w:hAnsi="Times New Roman"/>
          <w:bCs/>
          <w:i/>
          <w:sz w:val="24"/>
          <w:szCs w:val="20"/>
          <w:lang w:val="en-US"/>
        </w:rPr>
        <w:t xml:space="preserve"> </w:t>
      </w:r>
      <w:r w:rsidR="00F2035D" w:rsidRPr="005B7CAC">
        <w:rPr>
          <w:rFonts w:ascii="Times New Roman" w:hAnsi="Times New Roman"/>
          <w:bCs/>
          <w:iCs/>
          <w:sz w:val="24"/>
          <w:szCs w:val="20"/>
          <w:lang w:val="en-US"/>
        </w:rPr>
        <w:t>represents financial distress</w:t>
      </w:r>
      <w:r w:rsidRPr="005B7CAC">
        <w:rPr>
          <w:rFonts w:ascii="Times New Roman" w:hAnsi="Times New Roman"/>
          <w:bCs/>
          <w:iCs/>
          <w:sz w:val="24"/>
          <w:szCs w:val="20"/>
          <w:lang w:val="en-US"/>
        </w:rPr>
        <w:t xml:space="preserve"> (Z_UK score)</w:t>
      </w:r>
      <w:r w:rsidR="00F2035D" w:rsidRPr="005B7CAC">
        <w:rPr>
          <w:rFonts w:ascii="Times New Roman" w:hAnsi="Times New Roman"/>
          <w:bCs/>
          <w:i/>
          <w:sz w:val="24"/>
          <w:szCs w:val="20"/>
          <w:lang w:val="en-US"/>
        </w:rPr>
        <w:t xml:space="preserve">, WM </w:t>
      </w:r>
      <w:r w:rsidR="00F2035D" w:rsidRPr="005B7CAC">
        <w:rPr>
          <w:rFonts w:ascii="Times New Roman" w:hAnsi="Times New Roman"/>
          <w:bCs/>
          <w:iCs/>
          <w:sz w:val="24"/>
          <w:szCs w:val="20"/>
          <w:lang w:val="en-US"/>
        </w:rPr>
        <w:t>represents either</w:t>
      </w:r>
      <w:r w:rsidR="00F2035D" w:rsidRPr="005B7CAC">
        <w:rPr>
          <w:rFonts w:ascii="Times New Roman" w:hAnsi="Times New Roman"/>
          <w:bCs/>
          <w:i/>
          <w:sz w:val="24"/>
          <w:szCs w:val="20"/>
          <w:lang w:val="en-US"/>
        </w:rPr>
        <w:t xml:space="preserve"> WAST </w:t>
      </w:r>
      <w:r w:rsidR="00F2035D" w:rsidRPr="005B7CAC">
        <w:rPr>
          <w:rFonts w:ascii="Times New Roman" w:hAnsi="Times New Roman"/>
          <w:bCs/>
          <w:iCs/>
          <w:sz w:val="24"/>
          <w:szCs w:val="20"/>
          <w:lang w:val="en-US"/>
        </w:rPr>
        <w:t>or</w:t>
      </w:r>
      <w:r w:rsidR="00F2035D" w:rsidRPr="005B7CAC">
        <w:rPr>
          <w:rFonts w:ascii="Times New Roman" w:hAnsi="Times New Roman"/>
          <w:bCs/>
          <w:i/>
          <w:sz w:val="24"/>
          <w:szCs w:val="20"/>
          <w:lang w:val="en-US"/>
        </w:rPr>
        <w:t xml:space="preserve"> WREC, </w:t>
      </w:r>
      <w:r w:rsidR="001A1CB2" w:rsidRPr="005B7CAC">
        <w:rPr>
          <w:rFonts w:ascii="Times New Roman" w:hAnsi="Times New Roman"/>
          <w:bCs/>
          <w:i/>
          <w:sz w:val="24"/>
          <w:szCs w:val="20"/>
          <w:lang w:val="en-US"/>
        </w:rPr>
        <w:t>GINV</w:t>
      </w:r>
      <w:r w:rsidR="00B85636" w:rsidRPr="005B7CAC">
        <w:rPr>
          <w:rFonts w:ascii="Times New Roman" w:hAnsi="Times New Roman"/>
          <w:bCs/>
          <w:i/>
          <w:sz w:val="24"/>
          <w:szCs w:val="20"/>
          <w:lang w:val="en-US"/>
        </w:rPr>
        <w:t>s</w:t>
      </w:r>
      <w:r w:rsidR="00D60BEB" w:rsidRPr="005B7CAC">
        <w:rPr>
          <w:rFonts w:ascii="Times New Roman" w:hAnsi="Times New Roman"/>
          <w:bCs/>
          <w:i/>
          <w:sz w:val="24"/>
          <w:szCs w:val="20"/>
          <w:lang w:val="en-US"/>
        </w:rPr>
        <w:t xml:space="preserve"> </w:t>
      </w:r>
      <w:r w:rsidR="00D60BEB" w:rsidRPr="005B7CAC">
        <w:rPr>
          <w:rFonts w:ascii="Times New Roman" w:hAnsi="Times New Roman"/>
          <w:bCs/>
          <w:iCs/>
          <w:sz w:val="24"/>
          <w:szCs w:val="20"/>
          <w:lang w:val="en-US"/>
        </w:rPr>
        <w:t>represent</w:t>
      </w:r>
      <w:r w:rsidR="00B85636" w:rsidRPr="005B7CAC">
        <w:rPr>
          <w:rFonts w:ascii="Times New Roman" w:hAnsi="Times New Roman"/>
          <w:bCs/>
          <w:iCs/>
          <w:sz w:val="24"/>
          <w:szCs w:val="20"/>
          <w:lang w:val="en-US"/>
        </w:rPr>
        <w:t xml:space="preserve"> </w:t>
      </w:r>
      <w:r w:rsidR="00D60BEB" w:rsidRPr="005B7CAC">
        <w:rPr>
          <w:rFonts w:ascii="Times New Roman" w:hAnsi="Times New Roman"/>
          <w:bCs/>
          <w:iCs/>
          <w:sz w:val="24"/>
          <w:szCs w:val="20"/>
          <w:lang w:val="en-US"/>
        </w:rPr>
        <w:t>green in</w:t>
      </w:r>
      <w:r w:rsidR="00B85636" w:rsidRPr="005B7CAC">
        <w:rPr>
          <w:rFonts w:ascii="Times New Roman" w:hAnsi="Times New Roman"/>
          <w:bCs/>
          <w:iCs/>
          <w:sz w:val="24"/>
          <w:szCs w:val="20"/>
          <w:lang w:val="en-US"/>
        </w:rPr>
        <w:t>itiatives</w:t>
      </w:r>
      <w:r w:rsidR="00D60BEB" w:rsidRPr="005B7CAC">
        <w:rPr>
          <w:rFonts w:ascii="Times New Roman" w:hAnsi="Times New Roman"/>
          <w:bCs/>
          <w:iCs/>
          <w:sz w:val="24"/>
          <w:szCs w:val="20"/>
          <w:lang w:val="en-US"/>
        </w:rPr>
        <w:t xml:space="preserve">, </w:t>
      </w:r>
      <w:r w:rsidR="00F2035D" w:rsidRPr="005B7CAC">
        <w:rPr>
          <w:rFonts w:ascii="Times New Roman" w:hAnsi="Times New Roman"/>
          <w:bCs/>
          <w:iCs/>
          <w:sz w:val="24"/>
          <w:szCs w:val="20"/>
          <w:lang w:val="en-US"/>
        </w:rPr>
        <w:t>and</w:t>
      </w:r>
      <w:r w:rsidR="00F2035D" w:rsidRPr="005B7CAC">
        <w:rPr>
          <w:rFonts w:ascii="Times New Roman" w:hAnsi="Times New Roman"/>
          <w:bCs/>
          <w:i/>
          <w:sz w:val="24"/>
          <w:szCs w:val="20"/>
          <w:lang w:val="en-US"/>
        </w:rPr>
        <w:t xml:space="preserve"> Controls</w:t>
      </w:r>
      <w:r w:rsidR="00F2035D" w:rsidRPr="005B7CAC">
        <w:rPr>
          <w:rFonts w:ascii="Times New Roman" w:hAnsi="Times New Roman"/>
          <w:bCs/>
          <w:i/>
          <w:sz w:val="24"/>
          <w:szCs w:val="20"/>
          <w:vertAlign w:val="subscript"/>
          <w:lang w:val="en-US"/>
        </w:rPr>
        <w:t xml:space="preserve"> </w:t>
      </w:r>
      <w:r w:rsidR="00F2035D" w:rsidRPr="005B7CAC">
        <w:rPr>
          <w:rFonts w:ascii="Times New Roman" w:hAnsi="Times New Roman"/>
          <w:bCs/>
          <w:iCs/>
          <w:sz w:val="24"/>
          <w:szCs w:val="20"/>
          <w:lang w:val="en-US"/>
        </w:rPr>
        <w:t>represent the control variables.</w:t>
      </w:r>
      <w:r w:rsidR="00925B1C" w:rsidRPr="005B7CAC">
        <w:rPr>
          <w:rFonts w:ascii="Times New Roman" w:hAnsi="Times New Roman"/>
          <w:bCs/>
          <w:iCs/>
          <w:sz w:val="24"/>
          <w:szCs w:val="20"/>
          <w:lang w:val="en-US"/>
        </w:rPr>
        <w:t xml:space="preserve"> Consistent with </w:t>
      </w:r>
      <w:r w:rsidR="00107290" w:rsidRPr="005B7CAC">
        <w:rPr>
          <w:rFonts w:ascii="Times New Roman" w:hAnsi="Times New Roman"/>
          <w:bCs/>
          <w:iCs/>
          <w:sz w:val="24"/>
          <w:szCs w:val="20"/>
          <w:lang w:val="en-US"/>
        </w:rPr>
        <w:t xml:space="preserve">the moderation analysis approach used in </w:t>
      </w:r>
      <w:r w:rsidR="00925B1C" w:rsidRPr="005B7CAC">
        <w:rPr>
          <w:rFonts w:ascii="Times New Roman" w:hAnsi="Times New Roman"/>
          <w:bCs/>
          <w:iCs/>
          <w:sz w:val="24"/>
          <w:szCs w:val="20"/>
          <w:lang w:val="en-US"/>
        </w:rPr>
        <w:t xml:space="preserve">past research </w:t>
      </w:r>
      <w:r w:rsidR="00925B1C" w:rsidRPr="005B7CAC">
        <w:rPr>
          <w:rFonts w:ascii="Times New Roman" w:hAnsi="Times New Roman"/>
          <w:bCs/>
          <w:iCs/>
          <w:sz w:val="24"/>
          <w:szCs w:val="20"/>
          <w:lang w:val="en-US"/>
        </w:rPr>
        <w:fldChar w:fldCharType="begin" w:fldLock="1"/>
      </w:r>
      <w:r w:rsidR="00635D53" w:rsidRPr="005B7CAC">
        <w:rPr>
          <w:rFonts w:ascii="Times New Roman" w:hAnsi="Times New Roman"/>
          <w:bCs/>
          <w:iCs/>
          <w:sz w:val="24"/>
          <w:szCs w:val="20"/>
          <w:lang w:val="en-US"/>
        </w:rPr>
        <w:instrText>ADDIN CSL_CITATION {"citationItems":[{"id":"ITEM-1","itemData":{"DOI":"10.1002/bse.3589","ISSN":"10990836","abstract":"Prior studies have reported an association between corporate waste management practices and certain board attributes, but none have focused on foreign directors. Therefore, we examine foreign directors' contributions to firms' waste management by exclusively focusing on waste reduction and recycling. Furthermore, we explore an important channel through which foreign directors spur better waste management, namely, eco-innovation. Drawing on 6891 observations affiliated with 9 sectors and 46 countries, we execute country, industry and year fixed-effects regression analysis. We find that while foreign directors on the board are negatively associated with waste generation, they are positively associated with waste recycling. Furthermore, while the eco-innovativeness of firms negatively moderates the association between foreign directors on the board and waste generation, it positively moderates the association between foreign directors on the board and waste recycling. Further channel analyses reveal more insights concerning polluting versus non-polluting and poor versus strong regulatory environments.","author":[{"dropping-particle":"","family":"Uyar","given":"Ali","non-dropping-particle":"","parse-names":false,"suffix":""},{"dropping-particle":"","family":"Al-Shaer","given":"Habiba","non-dropping-particle":"","parse-names":false,"suffix":""},{"dropping-particle":"","family":"Kuzey","given":"Cemil","non-dropping-particle":"","parse-names":false,"suffix":""},{"dropping-particle":"","family":"Karaman","given":"Abdullah S.","non-dropping-particle":"","parse-names":false,"suffix":""}],"container-title":"Business Strategy and the Environment","id":"ITEM-1","issued":{"date-parts":[["2023"]]},"page":"1-26","title":"Do foreign directors reinforce better waste management? The moderating role of eco-innovation","type":"article-journal"},"uris":["http://www.mendeley.com/documents/?uuid=2181dd7a-598d-44fd-b252-f31fe5b3ae59"]},{"id":"ITEM-2","itemData":{"DOI":"10.1002/bse.3232","ISSN":"10990836","abstract":"This paper examines the effects of environmental innovation on CO2 emissions as well as the moderating role of environmental governance in this relationship. Based on a sample of companies listed on the London Stock Exchange for the period from 2016 to 2020, the findings show that environmental innovation reduces CO2 emissions including Scope 1 and Scope 2 CO2 emissions. Likewise, our findings are associative of a moderating effect of environmental governance on the environmental innovation-CO2 emissions nexus. We argue that environmental innovation along with better environmental governance leads to a reduction in CO2 emissions. Our results hold for subsamples of firms with a strong/low environmental governance and ESG performance. Our findings offer important implications for companies and policymakers towards adopting more environmental technologies along with enhancing environmental governance to reduce CO2 emissions.","author":[{"dropping-particle":"","family":"Albitar","given":"Khaldoon","non-dropping-particle":"","parse-names":false,"suffix":""},{"dropping-particle":"","family":"Borgi","given":"Hela","non-dropping-particle":"","parse-names":false,"suffix":""},{"dropping-particle":"","family":"Khan","given":"Muzammal","non-dropping-particle":"","parse-names":false,"suffix":""},{"dropping-particle":"","family":"Zahra","given":"Anum","non-dropping-particle":"","parse-names":false,"suffix":""}],"container-title":"Business Strategy and the Environment","id":"ITEM-2","issue":"4","issued":{"date-parts":[["2023"]]},"page":"1996-2007","title":"Business environmental innovation and CO2 emissions: The moderating role of environmental governance","type":"article-journal","volume":"32"},"uris":["http://www.mendeley.com/documents/?uuid=7de5d50a-1720-35da-acfc-b514ae3b49a5"]}],"mendeley":{"formattedCitation":"(Albitar &lt;i&gt;et al.&lt;/i&gt;, 2023; Uyar &lt;i&gt;et al.&lt;/i&gt;, 2023)","plainTextFormattedCitation":"(Albitar et al., 2023; Uyar et al., 2023)","previouslyFormattedCitation":"(Albitar &lt;i&gt;et al.&lt;/i&gt;, 2023; Uyar &lt;i&gt;et al.&lt;/i&gt;, 2023)"},"properties":{"noteIndex":0},"schema":"https://github.com/citation-style-language/schema/raw/master/csl-citation.json"}</w:instrText>
      </w:r>
      <w:r w:rsidR="00925B1C" w:rsidRPr="005B7CAC">
        <w:rPr>
          <w:rFonts w:ascii="Times New Roman" w:hAnsi="Times New Roman"/>
          <w:bCs/>
          <w:iCs/>
          <w:sz w:val="24"/>
          <w:szCs w:val="20"/>
          <w:lang w:val="en-US"/>
        </w:rPr>
        <w:fldChar w:fldCharType="separate"/>
      </w:r>
      <w:r w:rsidR="007065D3" w:rsidRPr="005B7CAC">
        <w:rPr>
          <w:rFonts w:ascii="Times New Roman" w:hAnsi="Times New Roman"/>
          <w:bCs/>
          <w:iCs/>
          <w:noProof/>
          <w:sz w:val="24"/>
          <w:szCs w:val="20"/>
          <w:lang w:val="en-US"/>
        </w:rPr>
        <w:t xml:space="preserve">(Albitar </w:t>
      </w:r>
      <w:r w:rsidR="007065D3" w:rsidRPr="005B7CAC">
        <w:rPr>
          <w:rFonts w:ascii="Times New Roman" w:hAnsi="Times New Roman"/>
          <w:bCs/>
          <w:i/>
          <w:iCs/>
          <w:noProof/>
          <w:sz w:val="24"/>
          <w:szCs w:val="20"/>
          <w:lang w:val="en-US"/>
        </w:rPr>
        <w:t>et al.</w:t>
      </w:r>
      <w:r w:rsidR="007065D3" w:rsidRPr="005B7CAC">
        <w:rPr>
          <w:rFonts w:ascii="Times New Roman" w:hAnsi="Times New Roman"/>
          <w:bCs/>
          <w:iCs/>
          <w:noProof/>
          <w:sz w:val="24"/>
          <w:szCs w:val="20"/>
          <w:lang w:val="en-US"/>
        </w:rPr>
        <w:t xml:space="preserve">, 2023; Uyar </w:t>
      </w:r>
      <w:r w:rsidR="007065D3" w:rsidRPr="005B7CAC">
        <w:rPr>
          <w:rFonts w:ascii="Times New Roman" w:hAnsi="Times New Roman"/>
          <w:bCs/>
          <w:i/>
          <w:iCs/>
          <w:noProof/>
          <w:sz w:val="24"/>
          <w:szCs w:val="20"/>
          <w:lang w:val="en-US"/>
        </w:rPr>
        <w:t>et al.</w:t>
      </w:r>
      <w:r w:rsidR="007065D3" w:rsidRPr="005B7CAC">
        <w:rPr>
          <w:rFonts w:ascii="Times New Roman" w:hAnsi="Times New Roman"/>
          <w:bCs/>
          <w:iCs/>
          <w:noProof/>
          <w:sz w:val="24"/>
          <w:szCs w:val="20"/>
          <w:lang w:val="en-US"/>
        </w:rPr>
        <w:t>, 2023)</w:t>
      </w:r>
      <w:r w:rsidR="00925B1C" w:rsidRPr="005B7CAC">
        <w:rPr>
          <w:rFonts w:ascii="Times New Roman" w:hAnsi="Times New Roman"/>
          <w:bCs/>
          <w:iCs/>
          <w:sz w:val="24"/>
          <w:szCs w:val="20"/>
          <w:lang w:val="en-US"/>
        </w:rPr>
        <w:fldChar w:fldCharType="end"/>
      </w:r>
      <w:r w:rsidR="00925B1C" w:rsidRPr="005B7CAC">
        <w:rPr>
          <w:rFonts w:ascii="Times New Roman" w:hAnsi="Times New Roman"/>
          <w:bCs/>
          <w:iCs/>
          <w:sz w:val="24"/>
          <w:szCs w:val="20"/>
          <w:lang w:val="en-US"/>
        </w:rPr>
        <w:t xml:space="preserve">, we estimate the </w:t>
      </w:r>
      <w:r w:rsidR="00925B1C" w:rsidRPr="005B7CAC">
        <w:rPr>
          <w:rFonts w:ascii="Times New Roman" w:hAnsi="Times New Roman"/>
          <w:bCs/>
          <w:i/>
          <w:sz w:val="24"/>
          <w:szCs w:val="20"/>
          <w:lang w:val="en-US"/>
        </w:rPr>
        <w:t xml:space="preserve">WM*GINVS </w:t>
      </w:r>
      <w:r w:rsidR="00925B1C" w:rsidRPr="005B7CAC">
        <w:rPr>
          <w:rFonts w:ascii="Times New Roman" w:hAnsi="Times New Roman"/>
          <w:bCs/>
          <w:iCs/>
          <w:sz w:val="24"/>
          <w:szCs w:val="20"/>
          <w:lang w:val="en-US"/>
        </w:rPr>
        <w:t xml:space="preserve">variable, </w:t>
      </w:r>
      <w:r w:rsidR="001D101F" w:rsidRPr="005B7CAC">
        <w:rPr>
          <w:rFonts w:ascii="Times New Roman" w:hAnsi="Times New Roman"/>
          <w:bCs/>
          <w:iCs/>
          <w:sz w:val="24"/>
          <w:szCs w:val="20"/>
          <w:lang w:val="en-US"/>
        </w:rPr>
        <w:t>representing</w:t>
      </w:r>
      <w:r w:rsidR="00107290" w:rsidRPr="005B7CAC">
        <w:rPr>
          <w:rFonts w:ascii="Times New Roman" w:hAnsi="Times New Roman"/>
          <w:bCs/>
          <w:iCs/>
          <w:sz w:val="24"/>
          <w:szCs w:val="20"/>
          <w:lang w:val="en-US"/>
        </w:rPr>
        <w:t xml:space="preserve"> </w:t>
      </w:r>
      <w:r w:rsidR="00925B1C" w:rsidRPr="005B7CAC">
        <w:rPr>
          <w:rFonts w:ascii="Times New Roman" w:hAnsi="Times New Roman"/>
          <w:bCs/>
          <w:iCs/>
          <w:sz w:val="24"/>
          <w:szCs w:val="20"/>
          <w:lang w:val="en-US"/>
        </w:rPr>
        <w:t xml:space="preserve">the interaction </w:t>
      </w:r>
      <w:r w:rsidR="00107290" w:rsidRPr="005B7CAC">
        <w:rPr>
          <w:rFonts w:ascii="Times New Roman" w:hAnsi="Times New Roman"/>
          <w:bCs/>
          <w:iCs/>
          <w:sz w:val="24"/>
          <w:szCs w:val="20"/>
          <w:lang w:val="en-US"/>
        </w:rPr>
        <w:t xml:space="preserve">term </w:t>
      </w:r>
      <w:r w:rsidR="00925B1C" w:rsidRPr="005B7CAC">
        <w:rPr>
          <w:rFonts w:ascii="Times New Roman" w:hAnsi="Times New Roman"/>
          <w:bCs/>
          <w:iCs/>
          <w:sz w:val="24"/>
          <w:szCs w:val="20"/>
          <w:lang w:val="en-US"/>
        </w:rPr>
        <w:t>between</w:t>
      </w:r>
      <w:r w:rsidR="00925B1C" w:rsidRPr="005B7CAC">
        <w:rPr>
          <w:rFonts w:ascii="Times New Roman" w:hAnsi="Times New Roman"/>
          <w:bCs/>
          <w:i/>
          <w:sz w:val="24"/>
          <w:szCs w:val="20"/>
          <w:lang w:val="en-US"/>
        </w:rPr>
        <w:t xml:space="preserve"> WM </w:t>
      </w:r>
      <w:r w:rsidR="00925B1C" w:rsidRPr="005B7CAC">
        <w:rPr>
          <w:rFonts w:ascii="Times New Roman" w:hAnsi="Times New Roman"/>
          <w:bCs/>
          <w:iCs/>
          <w:sz w:val="24"/>
          <w:szCs w:val="20"/>
          <w:lang w:val="en-US"/>
        </w:rPr>
        <w:t>and</w:t>
      </w:r>
      <w:r w:rsidR="00925B1C" w:rsidRPr="005B7CAC">
        <w:rPr>
          <w:rFonts w:ascii="Times New Roman" w:hAnsi="Times New Roman"/>
          <w:bCs/>
          <w:i/>
          <w:sz w:val="24"/>
          <w:szCs w:val="20"/>
          <w:lang w:val="en-US"/>
        </w:rPr>
        <w:t xml:space="preserve"> GINVs, </w:t>
      </w:r>
      <w:r w:rsidR="00925B1C" w:rsidRPr="005B7CAC">
        <w:rPr>
          <w:rFonts w:ascii="Times New Roman" w:hAnsi="Times New Roman"/>
          <w:bCs/>
          <w:iCs/>
          <w:sz w:val="24"/>
          <w:szCs w:val="20"/>
          <w:lang w:val="en-US"/>
        </w:rPr>
        <w:t xml:space="preserve">to test the moderating impact of </w:t>
      </w:r>
      <w:r w:rsidR="00925B1C" w:rsidRPr="005B7CAC">
        <w:rPr>
          <w:rFonts w:ascii="Times New Roman" w:hAnsi="Times New Roman"/>
          <w:bCs/>
          <w:i/>
          <w:sz w:val="24"/>
          <w:szCs w:val="20"/>
          <w:lang w:val="en-US"/>
        </w:rPr>
        <w:t>GINVs</w:t>
      </w:r>
      <w:r w:rsidR="00925B1C" w:rsidRPr="005B7CAC">
        <w:rPr>
          <w:rFonts w:ascii="Times New Roman" w:hAnsi="Times New Roman"/>
          <w:bCs/>
          <w:iCs/>
          <w:sz w:val="24"/>
          <w:szCs w:val="20"/>
          <w:lang w:val="en-US"/>
        </w:rPr>
        <w:t>.</w:t>
      </w:r>
      <w:r w:rsidR="001D101F" w:rsidRPr="005B7CAC">
        <w:rPr>
          <w:rStyle w:val="FootnoteReference"/>
          <w:rFonts w:ascii="Times New Roman" w:hAnsi="Times New Roman"/>
          <w:bCs/>
          <w:iCs/>
          <w:sz w:val="24"/>
          <w:szCs w:val="20"/>
          <w:lang w:val="en-US"/>
        </w:rPr>
        <w:footnoteReference w:id="3"/>
      </w:r>
      <w:r w:rsidR="00925B1C" w:rsidRPr="005B7CAC">
        <w:rPr>
          <w:rFonts w:ascii="Times New Roman" w:hAnsi="Times New Roman"/>
          <w:bCs/>
          <w:iCs/>
          <w:sz w:val="24"/>
          <w:szCs w:val="20"/>
          <w:lang w:val="en-US"/>
        </w:rPr>
        <w:t xml:space="preserve"> </w:t>
      </w:r>
      <w:r w:rsidR="00F2035D" w:rsidRPr="005B7CAC">
        <w:rPr>
          <w:rFonts w:ascii="Times New Roman" w:hAnsi="Times New Roman"/>
          <w:bCs/>
          <w:iCs/>
          <w:sz w:val="24"/>
          <w:szCs w:val="20"/>
          <w:lang w:val="en-US"/>
        </w:rPr>
        <w:t>Following related studies</w:t>
      </w:r>
      <w:r w:rsidRPr="005B7CAC">
        <w:rPr>
          <w:rFonts w:ascii="Times New Roman" w:hAnsi="Times New Roman"/>
          <w:bCs/>
          <w:iCs/>
          <w:sz w:val="24"/>
          <w:szCs w:val="20"/>
          <w:lang w:val="en-US"/>
        </w:rPr>
        <w:t xml:space="preserve"> </w:t>
      </w:r>
      <w:r w:rsidR="007E65CE" w:rsidRPr="005B7CAC">
        <w:rPr>
          <w:rFonts w:ascii="Times New Roman" w:hAnsi="Times New Roman"/>
          <w:bCs/>
          <w:iCs/>
          <w:sz w:val="24"/>
          <w:szCs w:val="20"/>
          <w:lang w:val="en-US"/>
        </w:rPr>
        <w:fldChar w:fldCharType="begin" w:fldLock="1"/>
      </w:r>
      <w:r w:rsidR="007E65CE" w:rsidRPr="005B7CAC">
        <w:rPr>
          <w:rFonts w:ascii="Times New Roman" w:hAnsi="Times New Roman"/>
          <w:bCs/>
          <w:iCs/>
          <w:sz w:val="24"/>
          <w:szCs w:val="20"/>
          <w:lang w:val="en-US"/>
        </w:rPr>
        <w:instrText>ADDIN CSL_CITATION {"citationItems":[{"id":"ITEM-1","itemData":{"DOI":"10.1016/j.econmod.2020.05.012","ISSN":"02649993","abstract":"This paper examines how corporate social responsibility (CSR) affects the level of financial distress risk (FDR). Using a sample of 1201 US-listed firms during 1991–2012, our results indicate that firms with higher CSR levels have lower FDR, suggesting that a better CSR performance makes firms more creditworthy and have better access to financing, which is rewarded with less financial defaults. This finding is robust to using alternative proxies of FDR, to controlling for potential endogeneity, and is mainly driven by the community, diversity, employee relations, and environmental dimensions of CSR. Moreover, this relationship is more prevalent in firms with strong governance mechanisms and high product market competition. It is also more exacerbated for less distressed firms and during non-crisis periods. Overall, our findings suggest that the adoption of CSR practices comes with less distress and default risks, likely leading to a more attractive corporate environment, better financial stability and more crisis-resilient economies.","author":[{"dropping-particle":"","family":"Boubaker","given":"Sabri","non-dropping-particle":"","parse-names":false,"suffix":""},{"dropping-particle":"","family":"Cellier","given":"Alexis","non-dropping-particle":"","parse-names":false,"suffix":""},{"dropping-particle":"","family":"Manita","given":"Riadh","non-dropping-particle":"","parse-names":false,"suffix":""},{"dropping-particle":"","family":"Saeed","given":"Asif","non-dropping-particle":"","parse-names":false,"suffix":""}],"container-title":"Economic Modelling","id":"ITEM-1","issued":{"date-parts":[["2020"]]},"page":"835-851","title":"Does corporate social responsibility reduce financial distress risk?","type":"article-journal","volume":"91"},"uris":["http://www.mendeley.com/documents/?uuid=70fa69c4-6f8c-4161-8285-efdbb2b9c72e"]},{"id":"ITEM-2","itemData":{"DOI":"10.1002/bse.2229","ISSN":"10990836","abstract":"Abstract This study investigates the effect of environmental performance that is driven by good environmental policies, regulations, and management on firm's financial distress and, consequently, ascertains the extent to which top management teams' (TMTs') characteristics can moderate the environmental performance–financial distress nexus in China using 749 firms over the 2009–2014 period (i.e., generating over 3,000 indi- vidual observations). Our findings are twofold. First, our results indicate that increased environmental performance that is driven by good environmental policies tends to strategically reduce the extent of firm financial distress. Second, this nexus is moder- ated by TMT gender diversity, foreign exposure, and political connection. We inter- pret our findings within neo‐institutional, upper echelons, and risk management theoretical perspectives. The findings are robust to the use of alternative measures of financial distress, estimation techniques, and endogeneity problems.","author":[{"dropping-particle":"","family":"Shahab","given":"Yasir","non-dropping-particle":"","parse-names":false,"suffix":""},{"dropping-particle":"","family":"Ntim","given":"Collins G.","non-dropping-particle":"","parse-names":false,"suffix":""},{"dropping-particle":"","family":"Chengang","given":"Ye","non-dropping-particle":"","parse-names":false,"suffix":""},{"dropping-particle":"","family":"Ullah","given":"Farid","non-dropping-particle":"","parse-names":false,"suffix":""},{"dropping-particle":"","family":"Fosu","given":"Samuel","non-dropping-particle":"","parse-names":false,"suffix":""}],"container-title":"Business Strategy and the Environment","id":"ITEM-2","issue":"8","issued":{"date-parts":[["2018"]]},"page":"1635-1652","title":"Environmental policy, environmental performance, and financial distress in China: Do top management team characteristics matter?","type":"article-journal","volume":"27"},"uris":["http://www.mendeley.com/documents/?uuid=85485e83-878d-35b2-95f0-fd3d227658d2"]},{"id":"ITEM-3","itemData":{"DOI":"10.1111/auar.12366","ISSN":"18352561","abstract":"This study examines the association between corporate environmental performance and financial distress. Using a sample of Australian firms, we find that environmental performance is negatively related to the financial distress probability perceived by the market. In addition, the negative association between environmental performance and the financial distress probability is more pronounced for firms with a higher level of risk. The findings provide important empirical evidence regarding the implications of environmental performance on firms’ risk management.","author":[{"dropping-particle":"","family":"Jia","given":"Jing","non-dropping-particle":"","parse-names":false,"suffix":""},{"dropping-particle":"","family":"Li","given":"Zhongtian","non-dropping-particle":"","parse-names":false,"suffix":""}],"container-title":"Australian Accounting Review","id":"ITEM-3","issue":"2","issued":{"date-parts":[["2022"]]},"page":"188-200","title":"Corporate Environmental Performance and Financial Distress: Evidence from Australia","type":"article-journal","volume":"32"},"uris":["http://www.mendeley.com/documents/?uuid=e29c5adf-e7ff-3dee-9c25-48e25598f3e7"]},{"id":"ITEM-4","itemData":{"DOI":"10.1108/IJAIM-04-2023-0081","ISSN":"17589037","abstract":"Purpose: This study aims to investigate the relationship between corporate social responsibility (CSR) and financial distress and the moderating effect of firm characteristics, auditor characteristics and the Coronavirus disease 2019 (Covid-19) in China. Design/methodology/approach: The research question is empirically examined on the basis of a data set of 1,257 Chinese-listed firms from 2011 to 2021. The dependent variable is financial distress risk, which is measured mainly by Z-score. CSR score is used as a proxy for CSR. Propensity score matching, two-stage least square and generalized method of moments are adopted to mitigate the potential endogeneity issue. Findings: This study reveals that CSR can reduce financial distress. Specifically, results show an inverse relationship between CSR and financial distress, more significantly in non-state-owned enterprises, firms with non-BigN auditor and during Covid-19. The results are consistent and robust to endogeneity tests and sensitivity analyses. Originality/value: This study enriches the literature on CSR and financial distress, resulting in a more attractive corporate environment, improved financial stability and more crisis-resistant economies in China.","author":[{"dropping-particle":"","family":"Rahman","given":"Md Jahidur","non-dropping-particle":"","parse-names":false,"suffix":""},{"dropping-particle":"","family":"Zhu","given":"Hongtao","non-dropping-particle":"","parse-names":false,"suffix":""},{"dropping-particle":"","family":"Chen","given":"Sihe","non-dropping-particle":"","parse-names":false,"suffix":""}],"container-title":"International Journal of Accounting and Information Management","id":"ITEM-4","issue":"5","issued":{"date-parts":[["2023"]]},"page":"756-784","title":"Does CSR reduce financial distress? Moderating effect of firm characteristics, auditor characteristics, and covid-19","type":"article-journal","volume":"31"},"uris":["http://www.mendeley.com/documents/?uuid=f3818ab8-3288-392b-877b-143a0b22fedd"]}],"mendeley":{"formattedCitation":"(Boubaker &lt;i&gt;et al.&lt;/i&gt;, 2020; Jia and Li, 2022; Rahman &lt;i&gt;et al.&lt;/i&gt;, 2023; Shahab &lt;i&gt;et al.&lt;/i&gt;, 2018)","plainTextFormattedCitation":"(Boubaker et al., 2020; Jia and Li, 2022; Rahman et al., 2023; Shahab et al., 2018)","previouslyFormattedCitation":"(Boubaker &lt;i&gt;et al.&lt;/i&gt;, 2020; Jia and Li, 2022; Rahman &lt;i&gt;et al.&lt;/i&gt;, 2023; Shahab &lt;i&gt;et al.&lt;/i&gt;, 2018)"},"properties":{"noteIndex":0},"schema":"https://github.com/citation-style-language/schema/raw/master/csl-citation.json"}</w:instrText>
      </w:r>
      <w:r w:rsidR="007E65CE" w:rsidRPr="005B7CAC">
        <w:rPr>
          <w:rFonts w:ascii="Times New Roman" w:hAnsi="Times New Roman"/>
          <w:bCs/>
          <w:iCs/>
          <w:sz w:val="24"/>
          <w:szCs w:val="20"/>
          <w:lang w:val="en-US"/>
        </w:rPr>
        <w:fldChar w:fldCharType="separate"/>
      </w:r>
      <w:r w:rsidR="00705A17" w:rsidRPr="005B7CAC">
        <w:rPr>
          <w:rFonts w:ascii="Times New Roman" w:hAnsi="Times New Roman"/>
          <w:bCs/>
          <w:iCs/>
          <w:noProof/>
          <w:sz w:val="24"/>
          <w:szCs w:val="20"/>
          <w:lang w:val="en-US"/>
        </w:rPr>
        <w:t xml:space="preserve">(Boubaker </w:t>
      </w:r>
      <w:r w:rsidR="00705A17" w:rsidRPr="005B7CAC">
        <w:rPr>
          <w:rFonts w:ascii="Times New Roman" w:hAnsi="Times New Roman"/>
          <w:bCs/>
          <w:i/>
          <w:iCs/>
          <w:noProof/>
          <w:sz w:val="24"/>
          <w:szCs w:val="20"/>
          <w:lang w:val="en-US"/>
        </w:rPr>
        <w:t>et al.</w:t>
      </w:r>
      <w:r w:rsidR="00705A17" w:rsidRPr="005B7CAC">
        <w:rPr>
          <w:rFonts w:ascii="Times New Roman" w:hAnsi="Times New Roman"/>
          <w:bCs/>
          <w:iCs/>
          <w:noProof/>
          <w:sz w:val="24"/>
          <w:szCs w:val="20"/>
          <w:lang w:val="en-US"/>
        </w:rPr>
        <w:t xml:space="preserve">, 2020; Jia and Li, 2022; Rahman </w:t>
      </w:r>
      <w:r w:rsidR="00705A17" w:rsidRPr="005B7CAC">
        <w:rPr>
          <w:rFonts w:ascii="Times New Roman" w:hAnsi="Times New Roman"/>
          <w:bCs/>
          <w:i/>
          <w:iCs/>
          <w:noProof/>
          <w:sz w:val="24"/>
          <w:szCs w:val="20"/>
          <w:lang w:val="en-US"/>
        </w:rPr>
        <w:t>et al.</w:t>
      </w:r>
      <w:r w:rsidR="00705A17" w:rsidRPr="005B7CAC">
        <w:rPr>
          <w:rFonts w:ascii="Times New Roman" w:hAnsi="Times New Roman"/>
          <w:bCs/>
          <w:iCs/>
          <w:noProof/>
          <w:sz w:val="24"/>
          <w:szCs w:val="20"/>
          <w:lang w:val="en-US"/>
        </w:rPr>
        <w:t xml:space="preserve">, 2023; Shahab </w:t>
      </w:r>
      <w:r w:rsidR="00705A17" w:rsidRPr="005B7CAC">
        <w:rPr>
          <w:rFonts w:ascii="Times New Roman" w:hAnsi="Times New Roman"/>
          <w:bCs/>
          <w:i/>
          <w:iCs/>
          <w:noProof/>
          <w:sz w:val="24"/>
          <w:szCs w:val="20"/>
          <w:lang w:val="en-US"/>
        </w:rPr>
        <w:t>et al.</w:t>
      </w:r>
      <w:r w:rsidR="00705A17" w:rsidRPr="005B7CAC">
        <w:rPr>
          <w:rFonts w:ascii="Times New Roman" w:hAnsi="Times New Roman"/>
          <w:bCs/>
          <w:iCs/>
          <w:noProof/>
          <w:sz w:val="24"/>
          <w:szCs w:val="20"/>
          <w:lang w:val="en-US"/>
        </w:rPr>
        <w:t>, 2018)</w:t>
      </w:r>
      <w:r w:rsidR="007E65CE" w:rsidRPr="005B7CAC">
        <w:rPr>
          <w:rFonts w:ascii="Times New Roman" w:hAnsi="Times New Roman"/>
          <w:bCs/>
          <w:iCs/>
          <w:sz w:val="24"/>
          <w:szCs w:val="20"/>
          <w:lang w:val="en-US"/>
        </w:rPr>
        <w:fldChar w:fldCharType="end"/>
      </w:r>
      <w:r w:rsidR="00F2035D" w:rsidRPr="005B7CAC">
        <w:rPr>
          <w:rFonts w:ascii="Times New Roman" w:hAnsi="Times New Roman"/>
          <w:bCs/>
          <w:iCs/>
          <w:sz w:val="24"/>
          <w:szCs w:val="20"/>
          <w:lang w:val="en-US"/>
        </w:rPr>
        <w:t xml:space="preserve">, </w:t>
      </w:r>
      <w:r w:rsidR="00925B1C" w:rsidRPr="005B7CAC">
        <w:rPr>
          <w:rFonts w:ascii="Times New Roman" w:hAnsi="Times New Roman"/>
          <w:bCs/>
          <w:iCs/>
          <w:sz w:val="24"/>
          <w:szCs w:val="20"/>
          <w:lang w:val="en-US"/>
        </w:rPr>
        <w:t xml:space="preserve">we also </w:t>
      </w:r>
      <w:r w:rsidR="00577E7C" w:rsidRPr="005B7CAC">
        <w:rPr>
          <w:rFonts w:ascii="Times New Roman" w:hAnsi="Times New Roman"/>
          <w:bCs/>
          <w:iCs/>
          <w:sz w:val="24"/>
          <w:szCs w:val="20"/>
          <w:lang w:val="en-US"/>
        </w:rPr>
        <w:t>incorporate</w:t>
      </w:r>
      <w:r w:rsidR="00925B1C" w:rsidRPr="005B7CAC">
        <w:rPr>
          <w:rFonts w:ascii="Times New Roman" w:hAnsi="Times New Roman"/>
          <w:bCs/>
          <w:iCs/>
          <w:sz w:val="24"/>
          <w:szCs w:val="20"/>
          <w:lang w:val="en-US"/>
        </w:rPr>
        <w:t xml:space="preserve"> </w:t>
      </w:r>
      <w:r w:rsidR="0055632D" w:rsidRPr="005B7CAC">
        <w:rPr>
          <w:rFonts w:ascii="Times New Roman" w:hAnsi="Times New Roman"/>
          <w:bCs/>
          <w:iCs/>
          <w:sz w:val="24"/>
          <w:szCs w:val="20"/>
          <w:lang w:val="en-US"/>
        </w:rPr>
        <w:t>a set of</w:t>
      </w:r>
      <w:r w:rsidR="00577E7C" w:rsidRPr="005B7CAC">
        <w:rPr>
          <w:rFonts w:ascii="Times New Roman" w:hAnsi="Times New Roman"/>
          <w:bCs/>
          <w:iCs/>
          <w:sz w:val="24"/>
          <w:szCs w:val="20"/>
          <w:lang w:val="en-US"/>
        </w:rPr>
        <w:t xml:space="preserve"> control variables </w:t>
      </w:r>
      <w:r w:rsidR="00F2035D" w:rsidRPr="005B7CAC">
        <w:rPr>
          <w:rFonts w:ascii="Times New Roman" w:hAnsi="Times New Roman"/>
          <w:bCs/>
          <w:iCs/>
          <w:sz w:val="24"/>
          <w:szCs w:val="20"/>
          <w:lang w:val="en-US"/>
        </w:rPr>
        <w:t xml:space="preserve">that may </w:t>
      </w:r>
      <w:r w:rsidR="00577E7C" w:rsidRPr="005B7CAC">
        <w:rPr>
          <w:rFonts w:ascii="Times New Roman" w:hAnsi="Times New Roman"/>
          <w:bCs/>
          <w:iCs/>
          <w:sz w:val="24"/>
          <w:szCs w:val="20"/>
          <w:lang w:val="en-US"/>
        </w:rPr>
        <w:t xml:space="preserve">influence </w:t>
      </w:r>
      <w:r w:rsidR="00F2035D" w:rsidRPr="005B7CAC">
        <w:rPr>
          <w:rFonts w:ascii="Times New Roman" w:hAnsi="Times New Roman"/>
          <w:bCs/>
          <w:i/>
          <w:sz w:val="24"/>
          <w:szCs w:val="20"/>
          <w:lang w:val="en-US"/>
        </w:rPr>
        <w:t>FD</w:t>
      </w:r>
      <w:r w:rsidR="00F2035D" w:rsidRPr="005B7CAC">
        <w:rPr>
          <w:rFonts w:ascii="Times New Roman" w:hAnsi="Times New Roman"/>
          <w:bCs/>
          <w:iCs/>
          <w:sz w:val="24"/>
          <w:szCs w:val="20"/>
          <w:lang w:val="en-US"/>
        </w:rPr>
        <w:t>.</w:t>
      </w:r>
      <w:r w:rsidR="00EE6725" w:rsidRPr="005B7CAC">
        <w:rPr>
          <w:rFonts w:ascii="Times New Roman" w:hAnsi="Times New Roman"/>
          <w:bCs/>
          <w:iCs/>
          <w:sz w:val="24"/>
          <w:szCs w:val="20"/>
          <w:lang w:val="en-US"/>
        </w:rPr>
        <w:t xml:space="preserve"> </w:t>
      </w:r>
      <w:r w:rsidR="00F2035D" w:rsidRPr="005B7CAC">
        <w:rPr>
          <w:rFonts w:ascii="Times New Roman" w:hAnsi="Times New Roman"/>
          <w:bCs/>
          <w:iCs/>
          <w:sz w:val="24"/>
          <w:szCs w:val="20"/>
          <w:lang w:val="en-US"/>
        </w:rPr>
        <w:t>The</w:t>
      </w:r>
      <w:r w:rsidR="00577E7C" w:rsidRPr="005B7CAC">
        <w:rPr>
          <w:rFonts w:ascii="Times New Roman" w:hAnsi="Times New Roman"/>
          <w:bCs/>
          <w:iCs/>
          <w:sz w:val="24"/>
          <w:szCs w:val="20"/>
          <w:lang w:val="en-US"/>
        </w:rPr>
        <w:t xml:space="preserve">se control variables </w:t>
      </w:r>
      <w:r w:rsidR="00F2035D" w:rsidRPr="005B7CAC">
        <w:rPr>
          <w:rFonts w:ascii="Times New Roman" w:hAnsi="Times New Roman"/>
          <w:bCs/>
          <w:iCs/>
          <w:sz w:val="24"/>
          <w:szCs w:val="20"/>
          <w:lang w:val="en-US"/>
        </w:rPr>
        <w:t>include</w:t>
      </w:r>
      <w:r w:rsidR="00577E7C" w:rsidRPr="005B7CAC">
        <w:rPr>
          <w:rFonts w:ascii="Times New Roman" w:hAnsi="Times New Roman"/>
          <w:bCs/>
          <w:iCs/>
          <w:sz w:val="24"/>
          <w:szCs w:val="20"/>
          <w:lang w:val="en-US"/>
        </w:rPr>
        <w:t xml:space="preserve"> </w:t>
      </w:r>
      <w:r w:rsidR="00F2035D" w:rsidRPr="005B7CAC">
        <w:rPr>
          <w:rFonts w:ascii="Times New Roman" w:hAnsi="Times New Roman"/>
          <w:bCs/>
          <w:iCs/>
          <w:sz w:val="24"/>
          <w:szCs w:val="20"/>
          <w:lang w:val="en-US"/>
        </w:rPr>
        <w:t>board size (</w:t>
      </w:r>
      <w:r w:rsidR="00F2035D" w:rsidRPr="005B7CAC">
        <w:rPr>
          <w:rFonts w:ascii="Times New Roman" w:hAnsi="Times New Roman"/>
          <w:bCs/>
          <w:i/>
          <w:sz w:val="24"/>
          <w:szCs w:val="20"/>
          <w:lang w:val="en-US"/>
        </w:rPr>
        <w:t>BS</w:t>
      </w:r>
      <w:r w:rsidR="00925B1C" w:rsidRPr="005B7CAC">
        <w:rPr>
          <w:rFonts w:ascii="Times New Roman" w:hAnsi="Times New Roman"/>
          <w:bCs/>
          <w:i/>
          <w:sz w:val="24"/>
          <w:szCs w:val="20"/>
          <w:lang w:val="en-US"/>
        </w:rPr>
        <w:t>I</w:t>
      </w:r>
      <w:r w:rsidR="00F2035D" w:rsidRPr="005B7CAC">
        <w:rPr>
          <w:rFonts w:ascii="Times New Roman" w:hAnsi="Times New Roman"/>
          <w:bCs/>
          <w:i/>
          <w:sz w:val="24"/>
          <w:szCs w:val="20"/>
          <w:lang w:val="en-US"/>
        </w:rPr>
        <w:t>ZE</w:t>
      </w:r>
      <w:r w:rsidR="00F2035D" w:rsidRPr="005B7CAC">
        <w:rPr>
          <w:rFonts w:ascii="Times New Roman" w:hAnsi="Times New Roman"/>
          <w:bCs/>
          <w:iCs/>
          <w:sz w:val="24"/>
          <w:szCs w:val="20"/>
          <w:lang w:val="en-US"/>
        </w:rPr>
        <w:t xml:space="preserve">), </w:t>
      </w:r>
      <w:r w:rsidR="00C45CE0" w:rsidRPr="005B7CAC">
        <w:rPr>
          <w:rFonts w:ascii="Times New Roman" w:hAnsi="Times New Roman"/>
          <w:bCs/>
          <w:iCs/>
          <w:sz w:val="24"/>
          <w:szCs w:val="20"/>
          <w:lang w:val="en-US"/>
        </w:rPr>
        <w:t xml:space="preserve">board </w:t>
      </w:r>
      <w:r w:rsidR="00F2035D" w:rsidRPr="005B7CAC">
        <w:rPr>
          <w:rFonts w:ascii="Times New Roman" w:hAnsi="Times New Roman"/>
          <w:bCs/>
          <w:iCs/>
          <w:sz w:val="24"/>
          <w:szCs w:val="20"/>
          <w:lang w:val="en-US"/>
        </w:rPr>
        <w:t>gender diversity (</w:t>
      </w:r>
      <w:r w:rsidR="00F2035D" w:rsidRPr="005B7CAC">
        <w:rPr>
          <w:rFonts w:ascii="Times New Roman" w:hAnsi="Times New Roman"/>
          <w:bCs/>
          <w:i/>
          <w:sz w:val="24"/>
          <w:szCs w:val="20"/>
          <w:lang w:val="en-US"/>
        </w:rPr>
        <w:t>BGD</w:t>
      </w:r>
      <w:r w:rsidR="00BF7920" w:rsidRPr="005B7CAC">
        <w:rPr>
          <w:rFonts w:ascii="Times New Roman" w:hAnsi="Times New Roman"/>
          <w:bCs/>
          <w:i/>
          <w:sz w:val="24"/>
          <w:szCs w:val="20"/>
          <w:lang w:val="en-US"/>
        </w:rPr>
        <w:t>I</w:t>
      </w:r>
      <w:r w:rsidR="00F2035D" w:rsidRPr="005B7CAC">
        <w:rPr>
          <w:rFonts w:ascii="Times New Roman" w:hAnsi="Times New Roman"/>
          <w:bCs/>
          <w:i/>
          <w:sz w:val="24"/>
          <w:szCs w:val="20"/>
          <w:lang w:val="en-US"/>
        </w:rPr>
        <w:t>V</w:t>
      </w:r>
      <w:r w:rsidR="00F2035D" w:rsidRPr="005B7CAC">
        <w:rPr>
          <w:rFonts w:ascii="Times New Roman" w:hAnsi="Times New Roman"/>
          <w:bCs/>
          <w:iCs/>
          <w:sz w:val="24"/>
          <w:szCs w:val="20"/>
          <w:lang w:val="en-US"/>
        </w:rPr>
        <w:t>),</w:t>
      </w:r>
      <w:r w:rsidR="00C45CE0" w:rsidRPr="005B7CAC">
        <w:rPr>
          <w:rFonts w:ascii="Times New Roman" w:hAnsi="Times New Roman"/>
          <w:bCs/>
          <w:iCs/>
          <w:sz w:val="24"/>
          <w:szCs w:val="20"/>
          <w:lang w:val="en-US"/>
        </w:rPr>
        <w:t xml:space="preserve"> board </w:t>
      </w:r>
      <w:r w:rsidR="00F2035D" w:rsidRPr="005B7CAC">
        <w:rPr>
          <w:rFonts w:ascii="Times New Roman" w:hAnsi="Times New Roman"/>
          <w:bCs/>
          <w:iCs/>
          <w:sz w:val="24"/>
          <w:szCs w:val="20"/>
          <w:lang w:val="en-US"/>
        </w:rPr>
        <w:t>independence (</w:t>
      </w:r>
      <w:r w:rsidR="00F2035D" w:rsidRPr="005B7CAC">
        <w:rPr>
          <w:rFonts w:ascii="Times New Roman" w:hAnsi="Times New Roman"/>
          <w:bCs/>
          <w:i/>
          <w:sz w:val="24"/>
          <w:szCs w:val="20"/>
          <w:lang w:val="en-US"/>
        </w:rPr>
        <w:t>B</w:t>
      </w:r>
      <w:r w:rsidR="00E3099C" w:rsidRPr="005B7CAC">
        <w:rPr>
          <w:rFonts w:ascii="Times New Roman" w:hAnsi="Times New Roman"/>
          <w:bCs/>
          <w:i/>
          <w:sz w:val="24"/>
          <w:szCs w:val="20"/>
          <w:lang w:val="en-US"/>
        </w:rPr>
        <w:t>IND</w:t>
      </w:r>
      <w:r w:rsidR="00BF7920" w:rsidRPr="005B7CAC">
        <w:rPr>
          <w:rFonts w:ascii="Times New Roman" w:hAnsi="Times New Roman"/>
          <w:bCs/>
          <w:i/>
          <w:sz w:val="24"/>
          <w:szCs w:val="20"/>
          <w:lang w:val="en-US"/>
        </w:rPr>
        <w:t>R</w:t>
      </w:r>
      <w:r w:rsidR="00F2035D" w:rsidRPr="005B7CAC">
        <w:rPr>
          <w:rFonts w:ascii="Times New Roman" w:hAnsi="Times New Roman"/>
          <w:bCs/>
          <w:iCs/>
          <w:sz w:val="24"/>
          <w:szCs w:val="20"/>
          <w:lang w:val="en-US"/>
        </w:rPr>
        <w:t>)</w:t>
      </w:r>
      <w:r w:rsidR="00577E7C" w:rsidRPr="005B7CAC">
        <w:rPr>
          <w:rFonts w:ascii="Times New Roman" w:hAnsi="Times New Roman"/>
          <w:bCs/>
          <w:iCs/>
          <w:sz w:val="24"/>
          <w:szCs w:val="20"/>
          <w:lang w:val="en-US"/>
        </w:rPr>
        <w:t xml:space="preserve">, </w:t>
      </w:r>
      <w:r w:rsidR="00F2035D" w:rsidRPr="005B7CAC">
        <w:rPr>
          <w:rFonts w:ascii="Times New Roman" w:hAnsi="Times New Roman"/>
          <w:bCs/>
          <w:iCs/>
          <w:sz w:val="24"/>
          <w:szCs w:val="20"/>
          <w:lang w:val="en-US"/>
        </w:rPr>
        <w:t>firm age (</w:t>
      </w:r>
      <w:r w:rsidR="00F2035D" w:rsidRPr="005B7CAC">
        <w:rPr>
          <w:rFonts w:ascii="Times New Roman" w:hAnsi="Times New Roman"/>
          <w:bCs/>
          <w:i/>
          <w:sz w:val="24"/>
          <w:szCs w:val="20"/>
          <w:lang w:val="en-US"/>
        </w:rPr>
        <w:t>FAGE</w:t>
      </w:r>
      <w:r w:rsidR="00F2035D" w:rsidRPr="005B7CAC">
        <w:rPr>
          <w:rFonts w:ascii="Times New Roman" w:hAnsi="Times New Roman"/>
          <w:bCs/>
          <w:iCs/>
          <w:sz w:val="24"/>
          <w:szCs w:val="20"/>
          <w:lang w:val="en-US"/>
        </w:rPr>
        <w:t>), firm size (</w:t>
      </w:r>
      <w:r w:rsidR="00F2035D" w:rsidRPr="005B7CAC">
        <w:rPr>
          <w:rFonts w:ascii="Times New Roman" w:hAnsi="Times New Roman"/>
          <w:bCs/>
          <w:i/>
          <w:sz w:val="24"/>
          <w:szCs w:val="20"/>
          <w:lang w:val="en-US"/>
        </w:rPr>
        <w:t>SIZE</w:t>
      </w:r>
      <w:r w:rsidR="00F2035D" w:rsidRPr="005B7CAC">
        <w:rPr>
          <w:rFonts w:ascii="Times New Roman" w:hAnsi="Times New Roman"/>
          <w:bCs/>
          <w:iCs/>
          <w:sz w:val="24"/>
          <w:szCs w:val="20"/>
          <w:lang w:val="en-US"/>
        </w:rPr>
        <w:t>), profitability (</w:t>
      </w:r>
      <w:r w:rsidR="00F2035D" w:rsidRPr="005B7CAC">
        <w:rPr>
          <w:rFonts w:ascii="Times New Roman" w:hAnsi="Times New Roman"/>
          <w:bCs/>
          <w:i/>
          <w:sz w:val="24"/>
          <w:szCs w:val="20"/>
          <w:lang w:val="en-US"/>
        </w:rPr>
        <w:t>PROF</w:t>
      </w:r>
      <w:r w:rsidR="00F2035D" w:rsidRPr="005B7CAC">
        <w:rPr>
          <w:rFonts w:ascii="Times New Roman" w:hAnsi="Times New Roman"/>
          <w:bCs/>
          <w:iCs/>
          <w:sz w:val="24"/>
          <w:szCs w:val="20"/>
          <w:lang w:val="en-US"/>
        </w:rPr>
        <w:t>), leverage (</w:t>
      </w:r>
      <w:r w:rsidR="00F2035D" w:rsidRPr="005B7CAC">
        <w:rPr>
          <w:rFonts w:ascii="Times New Roman" w:hAnsi="Times New Roman"/>
          <w:bCs/>
          <w:i/>
          <w:sz w:val="24"/>
          <w:szCs w:val="20"/>
          <w:lang w:val="en-US"/>
        </w:rPr>
        <w:t>LVRG</w:t>
      </w:r>
      <w:r w:rsidR="00F2035D" w:rsidRPr="005B7CAC">
        <w:rPr>
          <w:rFonts w:ascii="Times New Roman" w:hAnsi="Times New Roman"/>
          <w:bCs/>
          <w:iCs/>
          <w:sz w:val="24"/>
          <w:szCs w:val="20"/>
          <w:lang w:val="en-US"/>
        </w:rPr>
        <w:t>), slack (</w:t>
      </w:r>
      <w:r w:rsidR="00F2035D" w:rsidRPr="005B7CAC">
        <w:rPr>
          <w:rFonts w:ascii="Times New Roman" w:hAnsi="Times New Roman"/>
          <w:bCs/>
          <w:i/>
          <w:sz w:val="24"/>
          <w:szCs w:val="20"/>
          <w:lang w:val="en-US"/>
        </w:rPr>
        <w:t>SLCK</w:t>
      </w:r>
      <w:r w:rsidR="00F2035D" w:rsidRPr="005B7CAC">
        <w:rPr>
          <w:rFonts w:ascii="Times New Roman" w:hAnsi="Times New Roman"/>
          <w:bCs/>
          <w:iCs/>
          <w:sz w:val="24"/>
          <w:szCs w:val="20"/>
          <w:lang w:val="en-US"/>
        </w:rPr>
        <w:t>), and capital intensity (</w:t>
      </w:r>
      <w:r w:rsidR="00F2035D" w:rsidRPr="005B7CAC">
        <w:rPr>
          <w:rFonts w:ascii="Times New Roman" w:hAnsi="Times New Roman"/>
          <w:bCs/>
          <w:i/>
          <w:sz w:val="24"/>
          <w:szCs w:val="20"/>
          <w:lang w:val="en-US"/>
        </w:rPr>
        <w:t>C</w:t>
      </w:r>
      <w:r w:rsidR="00BF7920" w:rsidRPr="005B7CAC">
        <w:rPr>
          <w:rFonts w:ascii="Times New Roman" w:hAnsi="Times New Roman"/>
          <w:bCs/>
          <w:i/>
          <w:sz w:val="24"/>
          <w:szCs w:val="20"/>
          <w:lang w:val="en-US"/>
        </w:rPr>
        <w:t>PIN</w:t>
      </w:r>
      <w:r w:rsidR="00F2035D" w:rsidRPr="005B7CAC">
        <w:rPr>
          <w:rFonts w:ascii="Times New Roman" w:hAnsi="Times New Roman"/>
          <w:bCs/>
          <w:iCs/>
          <w:sz w:val="24"/>
          <w:szCs w:val="20"/>
          <w:lang w:val="en-US"/>
        </w:rPr>
        <w:t>).</w:t>
      </w:r>
      <w:r w:rsidR="00577E7C" w:rsidRPr="005B7CAC">
        <w:rPr>
          <w:rFonts w:ascii="Times New Roman" w:hAnsi="Times New Roman"/>
          <w:bCs/>
          <w:iCs/>
          <w:sz w:val="24"/>
          <w:szCs w:val="20"/>
          <w:lang w:val="en-US"/>
        </w:rPr>
        <w:t xml:space="preserve"> </w:t>
      </w:r>
      <w:r w:rsidR="00D60BEB" w:rsidRPr="005B7CAC">
        <w:rPr>
          <w:rFonts w:ascii="Times New Roman" w:hAnsi="Times New Roman"/>
          <w:bCs/>
          <w:iCs/>
          <w:sz w:val="24"/>
          <w:szCs w:val="20"/>
          <w:lang w:val="en-US"/>
        </w:rPr>
        <w:t>The study also control</w:t>
      </w:r>
      <w:r w:rsidR="00577E7C" w:rsidRPr="005B7CAC">
        <w:rPr>
          <w:rFonts w:ascii="Times New Roman" w:hAnsi="Times New Roman"/>
          <w:bCs/>
          <w:iCs/>
          <w:sz w:val="24"/>
          <w:szCs w:val="20"/>
          <w:lang w:val="en-US"/>
        </w:rPr>
        <w:t xml:space="preserve">s </w:t>
      </w:r>
      <w:r w:rsidR="00D60BEB" w:rsidRPr="005B7CAC">
        <w:rPr>
          <w:rFonts w:ascii="Times New Roman" w:hAnsi="Times New Roman"/>
          <w:bCs/>
          <w:iCs/>
          <w:sz w:val="24"/>
          <w:szCs w:val="20"/>
          <w:lang w:val="en-US"/>
        </w:rPr>
        <w:t>for year and industry effects</w:t>
      </w:r>
      <w:r w:rsidR="00582792" w:rsidRPr="005B7CAC">
        <w:rPr>
          <w:rFonts w:ascii="Times New Roman" w:hAnsi="Times New Roman"/>
          <w:bCs/>
          <w:iCs/>
          <w:sz w:val="24"/>
          <w:szCs w:val="20"/>
          <w:lang w:val="en-US"/>
        </w:rPr>
        <w:t xml:space="preserve"> to account for variation</w:t>
      </w:r>
      <w:r w:rsidR="00C45CE0" w:rsidRPr="005B7CAC">
        <w:rPr>
          <w:rFonts w:ascii="Times New Roman" w:hAnsi="Times New Roman"/>
          <w:bCs/>
          <w:iCs/>
          <w:sz w:val="24"/>
          <w:szCs w:val="20"/>
          <w:lang w:val="en-US"/>
        </w:rPr>
        <w:t>s</w:t>
      </w:r>
      <w:r w:rsidR="00582792" w:rsidRPr="005B7CAC">
        <w:rPr>
          <w:rFonts w:ascii="Times New Roman" w:hAnsi="Times New Roman"/>
          <w:bCs/>
          <w:iCs/>
          <w:sz w:val="24"/>
          <w:szCs w:val="20"/>
          <w:lang w:val="en-US"/>
        </w:rPr>
        <w:t xml:space="preserve"> across years and industries.</w:t>
      </w:r>
      <w:r w:rsidR="003D5418" w:rsidRPr="005B7CAC">
        <w:rPr>
          <w:rFonts w:ascii="Times New Roman" w:hAnsi="Times New Roman"/>
          <w:bCs/>
          <w:iCs/>
          <w:sz w:val="24"/>
          <w:szCs w:val="20"/>
          <w:lang w:val="en-US"/>
        </w:rPr>
        <w:t xml:space="preserve"> </w:t>
      </w:r>
      <w:r w:rsidR="00400148" w:rsidRPr="005B7CAC">
        <w:rPr>
          <w:rFonts w:ascii="Times New Roman" w:hAnsi="Times New Roman"/>
          <w:bCs/>
          <w:iCs/>
          <w:sz w:val="24"/>
          <w:szCs w:val="20"/>
          <w:lang w:val="en-US"/>
        </w:rPr>
        <w:t>T</w:t>
      </w:r>
      <w:r w:rsidR="00373E5A" w:rsidRPr="005B7CAC">
        <w:rPr>
          <w:rFonts w:ascii="Times New Roman" w:hAnsi="Times New Roman"/>
          <w:bCs/>
          <w:iCs/>
          <w:sz w:val="24"/>
          <w:szCs w:val="20"/>
          <w:lang w:val="en-US"/>
        </w:rPr>
        <w:t xml:space="preserve">o control heteroskedasticity, </w:t>
      </w:r>
      <w:r w:rsidR="00400148" w:rsidRPr="005B7CAC">
        <w:rPr>
          <w:rFonts w:ascii="Times New Roman" w:hAnsi="Times New Roman"/>
          <w:bCs/>
          <w:iCs/>
          <w:sz w:val="24"/>
          <w:szCs w:val="20"/>
          <w:lang w:val="en-US"/>
        </w:rPr>
        <w:lastRenderedPageBreak/>
        <w:t>the study</w:t>
      </w:r>
      <w:r w:rsidR="00D52186" w:rsidRPr="005B7CAC">
        <w:rPr>
          <w:rFonts w:ascii="Times New Roman" w:hAnsi="Times New Roman"/>
          <w:bCs/>
          <w:iCs/>
          <w:sz w:val="24"/>
          <w:szCs w:val="20"/>
          <w:lang w:val="en-US"/>
        </w:rPr>
        <w:t xml:space="preserve"> uses </w:t>
      </w:r>
      <w:r w:rsidR="00373E5A" w:rsidRPr="005B7CAC">
        <w:rPr>
          <w:rFonts w:ascii="Times New Roman" w:hAnsi="Times New Roman"/>
          <w:bCs/>
          <w:iCs/>
          <w:sz w:val="24"/>
          <w:szCs w:val="20"/>
          <w:lang w:val="en-US"/>
        </w:rPr>
        <w:t>robust standard errors clustered at the firm-year level</w:t>
      </w:r>
      <w:r w:rsidR="00400148" w:rsidRPr="005B7CAC">
        <w:rPr>
          <w:rFonts w:ascii="Times New Roman" w:hAnsi="Times New Roman"/>
          <w:bCs/>
          <w:iCs/>
          <w:sz w:val="24"/>
          <w:szCs w:val="20"/>
          <w:lang w:val="en-US"/>
        </w:rPr>
        <w:t>.</w:t>
      </w:r>
      <w:r w:rsidR="00373E5A" w:rsidRPr="005B7CAC">
        <w:rPr>
          <w:rFonts w:ascii="Times New Roman" w:hAnsi="Times New Roman"/>
          <w:bCs/>
          <w:iCs/>
          <w:sz w:val="24"/>
          <w:szCs w:val="20"/>
          <w:lang w:val="en-US"/>
        </w:rPr>
        <w:t xml:space="preserve"> </w:t>
      </w:r>
      <w:r w:rsidR="00400148" w:rsidRPr="005B7CAC">
        <w:rPr>
          <w:rFonts w:ascii="Times New Roman" w:hAnsi="Times New Roman"/>
          <w:bCs/>
          <w:iCs/>
          <w:sz w:val="24"/>
          <w:szCs w:val="20"/>
          <w:lang w:val="en-US"/>
        </w:rPr>
        <w:t xml:space="preserve">Table </w:t>
      </w:r>
      <w:r w:rsidR="00637677" w:rsidRPr="005B7CAC">
        <w:rPr>
          <w:rFonts w:ascii="Times New Roman" w:hAnsi="Times New Roman"/>
          <w:bCs/>
          <w:iCs/>
          <w:sz w:val="24"/>
          <w:szCs w:val="20"/>
          <w:lang w:val="en-US"/>
        </w:rPr>
        <w:t>2</w:t>
      </w:r>
      <w:r w:rsidR="00400148" w:rsidRPr="005B7CAC">
        <w:rPr>
          <w:rFonts w:ascii="Times New Roman" w:hAnsi="Times New Roman"/>
          <w:bCs/>
          <w:iCs/>
          <w:sz w:val="24"/>
          <w:szCs w:val="20"/>
          <w:lang w:val="en-US"/>
        </w:rPr>
        <w:t xml:space="preserve"> displays the definitions/measurements of all the variables.</w:t>
      </w:r>
      <w:r w:rsidR="003D5418" w:rsidRPr="005B7CAC">
        <w:rPr>
          <w:rStyle w:val="FootnoteReference"/>
          <w:rFonts w:ascii="Times New Roman" w:hAnsi="Times New Roman"/>
          <w:bCs/>
          <w:iCs/>
          <w:sz w:val="24"/>
          <w:szCs w:val="20"/>
          <w:lang w:val="en-US"/>
        </w:rPr>
        <w:footnoteReference w:id="4"/>
      </w:r>
    </w:p>
    <w:p w14:paraId="7C1E2C40" w14:textId="77777777" w:rsidR="001E2CA1" w:rsidRPr="005B7CAC" w:rsidRDefault="001E2CA1" w:rsidP="003D5418">
      <w:pPr>
        <w:widowControl w:val="0"/>
        <w:autoSpaceDE w:val="0"/>
        <w:autoSpaceDN w:val="0"/>
        <w:adjustRightInd w:val="0"/>
        <w:spacing w:after="240" w:line="360" w:lineRule="auto"/>
        <w:rPr>
          <w:rFonts w:ascii="Times New Roman" w:hAnsi="Times New Roman"/>
          <w:b/>
          <w:iCs/>
          <w:sz w:val="24"/>
          <w:szCs w:val="20"/>
          <w:lang w:val="en-US"/>
        </w:rPr>
      </w:pPr>
    </w:p>
    <w:p w14:paraId="2C9485E4" w14:textId="77777777" w:rsidR="001E2CA1" w:rsidRPr="005B7CAC" w:rsidRDefault="001E2CA1" w:rsidP="003D5418">
      <w:pPr>
        <w:widowControl w:val="0"/>
        <w:autoSpaceDE w:val="0"/>
        <w:autoSpaceDN w:val="0"/>
        <w:adjustRightInd w:val="0"/>
        <w:spacing w:after="240" w:line="360" w:lineRule="auto"/>
        <w:rPr>
          <w:rFonts w:ascii="Times New Roman" w:hAnsi="Times New Roman"/>
          <w:b/>
          <w:iCs/>
          <w:sz w:val="24"/>
          <w:szCs w:val="20"/>
          <w:lang w:val="en-US"/>
        </w:rPr>
      </w:pPr>
      <w:r w:rsidRPr="005B7CAC">
        <w:rPr>
          <w:rFonts w:ascii="Times New Roman" w:hAnsi="Times New Roman"/>
          <w:b/>
          <w:iCs/>
          <w:sz w:val="24"/>
          <w:szCs w:val="20"/>
          <w:lang w:val="en-US"/>
        </w:rPr>
        <w:t>4. Results and discussion</w:t>
      </w:r>
    </w:p>
    <w:p w14:paraId="58E1525E" w14:textId="77777777" w:rsidR="001E2CA1" w:rsidRPr="005B7CAC" w:rsidRDefault="00BD6BF3" w:rsidP="003D5418">
      <w:pPr>
        <w:widowControl w:val="0"/>
        <w:autoSpaceDE w:val="0"/>
        <w:autoSpaceDN w:val="0"/>
        <w:adjustRightInd w:val="0"/>
        <w:spacing w:after="240" w:line="360" w:lineRule="auto"/>
        <w:rPr>
          <w:rFonts w:ascii="Times New Roman" w:hAnsi="Times New Roman"/>
          <w:bCs/>
          <w:i/>
          <w:sz w:val="24"/>
          <w:szCs w:val="20"/>
          <w:lang w:val="en-US"/>
        </w:rPr>
      </w:pPr>
      <w:r w:rsidRPr="005B7CAC">
        <w:rPr>
          <w:rFonts w:ascii="Times New Roman" w:hAnsi="Times New Roman"/>
          <w:bCs/>
          <w:i/>
          <w:sz w:val="24"/>
          <w:szCs w:val="20"/>
          <w:lang w:val="en-US"/>
        </w:rPr>
        <w:t>4.1 Descriptive statistics</w:t>
      </w:r>
    </w:p>
    <w:p w14:paraId="5721D87B" w14:textId="3EC1FF8D" w:rsidR="00F82344" w:rsidRPr="005B7CAC" w:rsidRDefault="00F82344" w:rsidP="003D5418">
      <w:pPr>
        <w:widowControl w:val="0"/>
        <w:autoSpaceDE w:val="0"/>
        <w:autoSpaceDN w:val="0"/>
        <w:adjustRightInd w:val="0"/>
        <w:spacing w:after="240" w:line="360" w:lineRule="auto"/>
        <w:jc w:val="both"/>
        <w:rPr>
          <w:rFonts w:ascii="Times New Roman" w:hAnsi="Times New Roman"/>
          <w:iCs/>
          <w:sz w:val="24"/>
          <w:szCs w:val="20"/>
          <w:lang w:val="en-US"/>
        </w:rPr>
      </w:pPr>
      <w:r w:rsidRPr="005B7CAC">
        <w:rPr>
          <w:rFonts w:ascii="Times New Roman" w:hAnsi="Times New Roman"/>
          <w:bCs/>
          <w:iCs/>
          <w:sz w:val="24"/>
          <w:szCs w:val="20"/>
          <w:lang w:val="en-US"/>
        </w:rPr>
        <w:t xml:space="preserve">Table </w:t>
      </w:r>
      <w:r w:rsidR="00DD281B" w:rsidRPr="005B7CAC">
        <w:rPr>
          <w:rFonts w:ascii="Times New Roman" w:hAnsi="Times New Roman"/>
          <w:bCs/>
          <w:iCs/>
          <w:sz w:val="24"/>
          <w:szCs w:val="20"/>
          <w:lang w:val="en-US"/>
        </w:rPr>
        <w:t>2</w:t>
      </w:r>
      <w:r w:rsidRPr="005B7CAC">
        <w:rPr>
          <w:rFonts w:ascii="Times New Roman" w:hAnsi="Times New Roman"/>
          <w:bCs/>
          <w:iCs/>
          <w:sz w:val="24"/>
          <w:szCs w:val="20"/>
          <w:lang w:val="en-US"/>
        </w:rPr>
        <w:t xml:space="preserve"> reports the descriptive results and correlation coefficients.</w:t>
      </w:r>
      <w:r w:rsidR="00CB55FE" w:rsidRPr="005B7CAC">
        <w:rPr>
          <w:rFonts w:ascii="Times New Roman" w:hAnsi="Times New Roman"/>
          <w:bCs/>
          <w:iCs/>
          <w:sz w:val="24"/>
          <w:szCs w:val="20"/>
          <w:lang w:val="en-US"/>
        </w:rPr>
        <w:t xml:space="preserve"> On average, the </w:t>
      </w:r>
      <w:r w:rsidR="00CB55FE" w:rsidRPr="005B7CAC">
        <w:rPr>
          <w:rFonts w:ascii="Times New Roman" w:hAnsi="Times New Roman"/>
          <w:bCs/>
          <w:i/>
          <w:sz w:val="24"/>
          <w:szCs w:val="20"/>
          <w:lang w:val="en-US"/>
        </w:rPr>
        <w:t>Z_UK</w:t>
      </w:r>
      <w:r w:rsidR="00CB55FE" w:rsidRPr="005B7CAC">
        <w:rPr>
          <w:rFonts w:ascii="Times New Roman" w:hAnsi="Times New Roman"/>
          <w:bCs/>
          <w:iCs/>
          <w:sz w:val="24"/>
          <w:szCs w:val="20"/>
          <w:lang w:val="en-US"/>
        </w:rPr>
        <w:t xml:space="preserve"> </w:t>
      </w:r>
      <w:r w:rsidR="00DD281B" w:rsidRPr="005B7CAC">
        <w:rPr>
          <w:rFonts w:ascii="Times New Roman" w:hAnsi="Times New Roman"/>
          <w:bCs/>
          <w:iCs/>
          <w:sz w:val="24"/>
          <w:szCs w:val="20"/>
          <w:lang w:val="en-US"/>
        </w:rPr>
        <w:t xml:space="preserve">and </w:t>
      </w:r>
      <w:r w:rsidR="00DD281B" w:rsidRPr="005B7CAC">
        <w:rPr>
          <w:rFonts w:ascii="Times New Roman" w:hAnsi="Times New Roman"/>
          <w:bCs/>
          <w:i/>
          <w:sz w:val="24"/>
          <w:szCs w:val="20"/>
          <w:lang w:val="en-US"/>
        </w:rPr>
        <w:t>Z_ALT</w:t>
      </w:r>
      <w:r w:rsidR="00DD281B" w:rsidRPr="005B7CAC">
        <w:rPr>
          <w:rFonts w:ascii="Times New Roman" w:hAnsi="Times New Roman"/>
          <w:bCs/>
          <w:iCs/>
          <w:sz w:val="24"/>
          <w:szCs w:val="20"/>
          <w:lang w:val="en-US"/>
        </w:rPr>
        <w:t xml:space="preserve"> </w:t>
      </w:r>
      <w:r w:rsidR="00CB55FE" w:rsidRPr="005B7CAC">
        <w:rPr>
          <w:rFonts w:ascii="Times New Roman" w:hAnsi="Times New Roman"/>
          <w:bCs/>
          <w:iCs/>
          <w:sz w:val="24"/>
          <w:szCs w:val="20"/>
          <w:lang w:val="en-US"/>
        </w:rPr>
        <w:t>score</w:t>
      </w:r>
      <w:r w:rsidR="00DD281B" w:rsidRPr="005B7CAC">
        <w:rPr>
          <w:rFonts w:ascii="Times New Roman" w:hAnsi="Times New Roman"/>
          <w:bCs/>
          <w:iCs/>
          <w:sz w:val="24"/>
          <w:szCs w:val="20"/>
          <w:lang w:val="en-US"/>
        </w:rPr>
        <w:t>s</w:t>
      </w:r>
      <w:r w:rsidR="00CB55FE" w:rsidRPr="005B7CAC">
        <w:rPr>
          <w:rFonts w:ascii="Times New Roman" w:hAnsi="Times New Roman"/>
          <w:bCs/>
          <w:iCs/>
          <w:sz w:val="24"/>
          <w:szCs w:val="20"/>
          <w:lang w:val="en-US"/>
        </w:rPr>
        <w:t xml:space="preserve"> for UK firms </w:t>
      </w:r>
      <w:r w:rsidR="00DD281B" w:rsidRPr="005B7CAC">
        <w:rPr>
          <w:rFonts w:ascii="Times New Roman" w:hAnsi="Times New Roman"/>
          <w:bCs/>
          <w:iCs/>
          <w:sz w:val="24"/>
          <w:szCs w:val="20"/>
          <w:lang w:val="en-US"/>
        </w:rPr>
        <w:t>are</w:t>
      </w:r>
      <w:r w:rsidR="00CB55FE" w:rsidRPr="005B7CAC">
        <w:rPr>
          <w:rFonts w:ascii="Times New Roman" w:hAnsi="Times New Roman"/>
          <w:bCs/>
          <w:iCs/>
          <w:sz w:val="24"/>
          <w:szCs w:val="20"/>
          <w:lang w:val="en-US"/>
        </w:rPr>
        <w:t xml:space="preserve"> 0.61 </w:t>
      </w:r>
      <w:r w:rsidR="00DD281B" w:rsidRPr="005B7CAC">
        <w:rPr>
          <w:rFonts w:ascii="Times New Roman" w:hAnsi="Times New Roman"/>
          <w:bCs/>
          <w:iCs/>
          <w:sz w:val="24"/>
          <w:szCs w:val="20"/>
          <w:lang w:val="en-US"/>
        </w:rPr>
        <w:t xml:space="preserve">and 1.61, respectively. </w:t>
      </w:r>
      <w:r w:rsidR="00904B52" w:rsidRPr="005B7CAC">
        <w:rPr>
          <w:rFonts w:ascii="Times New Roman" w:hAnsi="Times New Roman"/>
          <w:bCs/>
          <w:iCs/>
          <w:sz w:val="24"/>
          <w:szCs w:val="20"/>
          <w:lang w:val="en-US"/>
        </w:rPr>
        <w:t xml:space="preserve">The </w:t>
      </w:r>
      <w:r w:rsidR="006E7FBB" w:rsidRPr="005B7CAC">
        <w:rPr>
          <w:rFonts w:ascii="Times New Roman" w:hAnsi="Times New Roman"/>
          <w:bCs/>
          <w:iCs/>
          <w:sz w:val="24"/>
          <w:szCs w:val="20"/>
          <w:lang w:val="en-US"/>
        </w:rPr>
        <w:t xml:space="preserve">average </w:t>
      </w:r>
      <w:r w:rsidR="00904B52" w:rsidRPr="005B7CAC">
        <w:rPr>
          <w:rFonts w:ascii="Times New Roman" w:hAnsi="Times New Roman"/>
          <w:bCs/>
          <w:iCs/>
          <w:sz w:val="24"/>
          <w:szCs w:val="20"/>
          <w:lang w:val="en-US"/>
        </w:rPr>
        <w:t xml:space="preserve">of </w:t>
      </w:r>
      <w:r w:rsidR="006E7FBB" w:rsidRPr="005B7CAC">
        <w:rPr>
          <w:rFonts w:ascii="Times New Roman" w:hAnsi="Times New Roman"/>
          <w:bCs/>
          <w:iCs/>
          <w:sz w:val="24"/>
          <w:szCs w:val="20"/>
          <w:lang w:val="en-US"/>
        </w:rPr>
        <w:t xml:space="preserve">the </w:t>
      </w:r>
      <w:r w:rsidR="00904B52" w:rsidRPr="005B7CAC">
        <w:rPr>
          <w:rFonts w:ascii="Times New Roman" w:hAnsi="Times New Roman"/>
          <w:bCs/>
          <w:i/>
          <w:sz w:val="24"/>
          <w:szCs w:val="20"/>
          <w:lang w:val="en-US"/>
        </w:rPr>
        <w:t>GINVs</w:t>
      </w:r>
      <w:r w:rsidR="00904B52" w:rsidRPr="005B7CAC">
        <w:rPr>
          <w:rFonts w:ascii="Times New Roman" w:hAnsi="Times New Roman"/>
          <w:bCs/>
          <w:iCs/>
          <w:sz w:val="24"/>
          <w:szCs w:val="20"/>
          <w:lang w:val="en-US"/>
        </w:rPr>
        <w:t xml:space="preserve"> </w:t>
      </w:r>
      <w:r w:rsidR="006E7FBB" w:rsidRPr="005B7CAC">
        <w:rPr>
          <w:rFonts w:ascii="Times New Roman" w:hAnsi="Times New Roman"/>
          <w:bCs/>
          <w:iCs/>
          <w:sz w:val="24"/>
          <w:szCs w:val="20"/>
          <w:lang w:val="en-US"/>
        </w:rPr>
        <w:t xml:space="preserve">variable </w:t>
      </w:r>
      <w:r w:rsidR="00904B52" w:rsidRPr="005B7CAC">
        <w:rPr>
          <w:rFonts w:ascii="Times New Roman" w:hAnsi="Times New Roman"/>
          <w:bCs/>
          <w:iCs/>
          <w:sz w:val="24"/>
          <w:szCs w:val="20"/>
          <w:lang w:val="en-US"/>
        </w:rPr>
        <w:t>is 9.68</w:t>
      </w:r>
      <w:r w:rsidR="006E7FBB" w:rsidRPr="005B7CAC">
        <w:rPr>
          <w:rFonts w:ascii="Times New Roman" w:hAnsi="Times New Roman"/>
          <w:bCs/>
          <w:iCs/>
          <w:sz w:val="24"/>
          <w:szCs w:val="20"/>
          <w:lang w:val="en-US"/>
        </w:rPr>
        <w:t xml:space="preserve">. </w:t>
      </w:r>
      <w:r w:rsidR="00CB55FE" w:rsidRPr="005B7CAC">
        <w:rPr>
          <w:rFonts w:ascii="Times New Roman" w:hAnsi="Times New Roman"/>
          <w:bCs/>
          <w:iCs/>
          <w:sz w:val="24"/>
          <w:szCs w:val="20"/>
          <w:lang w:val="en-US"/>
        </w:rPr>
        <w:t xml:space="preserve">The mean values of </w:t>
      </w:r>
      <w:r w:rsidR="00CB55FE" w:rsidRPr="005B7CAC">
        <w:rPr>
          <w:rFonts w:ascii="Times New Roman" w:hAnsi="Times New Roman"/>
          <w:bCs/>
          <w:i/>
          <w:sz w:val="24"/>
          <w:szCs w:val="20"/>
          <w:lang w:val="en-US"/>
        </w:rPr>
        <w:t>WAST</w:t>
      </w:r>
      <w:r w:rsidR="00904B52" w:rsidRPr="005B7CAC">
        <w:rPr>
          <w:rFonts w:ascii="Times New Roman" w:hAnsi="Times New Roman"/>
          <w:bCs/>
          <w:i/>
          <w:sz w:val="24"/>
          <w:szCs w:val="20"/>
          <w:lang w:val="en-US"/>
        </w:rPr>
        <w:t xml:space="preserve"> </w:t>
      </w:r>
      <w:r w:rsidR="00904B52" w:rsidRPr="005B7CAC">
        <w:rPr>
          <w:rFonts w:ascii="Times New Roman" w:hAnsi="Times New Roman"/>
          <w:bCs/>
          <w:iCs/>
          <w:sz w:val="24"/>
          <w:szCs w:val="20"/>
          <w:lang w:val="en-US"/>
        </w:rPr>
        <w:t xml:space="preserve">and </w:t>
      </w:r>
      <w:r w:rsidR="00CB55FE" w:rsidRPr="005B7CAC">
        <w:rPr>
          <w:rFonts w:ascii="Times New Roman" w:hAnsi="Times New Roman"/>
          <w:bCs/>
          <w:i/>
          <w:sz w:val="24"/>
          <w:szCs w:val="20"/>
          <w:lang w:val="en-US"/>
        </w:rPr>
        <w:t>WREC</w:t>
      </w:r>
      <w:r w:rsidR="00904B52" w:rsidRPr="005B7CAC">
        <w:rPr>
          <w:rFonts w:ascii="Times New Roman" w:hAnsi="Times New Roman"/>
          <w:bCs/>
          <w:iCs/>
          <w:sz w:val="24"/>
          <w:szCs w:val="20"/>
          <w:lang w:val="en-US"/>
        </w:rPr>
        <w:t xml:space="preserve"> </w:t>
      </w:r>
      <w:r w:rsidR="00CB55FE" w:rsidRPr="005B7CAC">
        <w:rPr>
          <w:rFonts w:ascii="Times New Roman" w:hAnsi="Times New Roman"/>
          <w:bCs/>
          <w:iCs/>
          <w:sz w:val="24"/>
          <w:szCs w:val="20"/>
          <w:lang w:val="en-US"/>
        </w:rPr>
        <w:t>are 1.0</w:t>
      </w:r>
      <w:r w:rsidR="003F02A4" w:rsidRPr="005B7CAC">
        <w:rPr>
          <w:rFonts w:ascii="Times New Roman" w:hAnsi="Times New Roman"/>
          <w:bCs/>
          <w:iCs/>
          <w:sz w:val="24"/>
          <w:szCs w:val="20"/>
          <w:lang w:val="en-US"/>
        </w:rPr>
        <w:t>6</w:t>
      </w:r>
      <w:r w:rsidR="00904B52" w:rsidRPr="005B7CAC">
        <w:rPr>
          <w:rFonts w:ascii="Times New Roman" w:hAnsi="Times New Roman"/>
          <w:bCs/>
          <w:iCs/>
          <w:sz w:val="24"/>
          <w:szCs w:val="20"/>
          <w:lang w:val="en-US"/>
        </w:rPr>
        <w:t xml:space="preserve"> and </w:t>
      </w:r>
      <w:r w:rsidR="00CB55FE" w:rsidRPr="005B7CAC">
        <w:rPr>
          <w:rFonts w:ascii="Times New Roman" w:hAnsi="Times New Roman"/>
          <w:bCs/>
          <w:iCs/>
          <w:sz w:val="24"/>
          <w:szCs w:val="20"/>
          <w:lang w:val="en-US"/>
        </w:rPr>
        <w:t>62.</w:t>
      </w:r>
      <w:r w:rsidR="00904B52" w:rsidRPr="005B7CAC">
        <w:rPr>
          <w:rFonts w:ascii="Times New Roman" w:hAnsi="Times New Roman"/>
          <w:bCs/>
          <w:iCs/>
          <w:sz w:val="24"/>
          <w:szCs w:val="20"/>
          <w:lang w:val="en-US"/>
        </w:rPr>
        <w:t>45</w:t>
      </w:r>
      <w:r w:rsidR="00CB55FE" w:rsidRPr="005B7CAC">
        <w:rPr>
          <w:rFonts w:ascii="Times New Roman" w:hAnsi="Times New Roman"/>
          <w:bCs/>
          <w:iCs/>
          <w:sz w:val="24"/>
          <w:szCs w:val="20"/>
          <w:lang w:val="en-US"/>
        </w:rPr>
        <w:t>%,</w:t>
      </w:r>
      <w:r w:rsidR="00904B52" w:rsidRPr="005B7CAC">
        <w:rPr>
          <w:rFonts w:ascii="Times New Roman" w:hAnsi="Times New Roman"/>
          <w:bCs/>
          <w:iCs/>
          <w:sz w:val="24"/>
          <w:szCs w:val="20"/>
          <w:lang w:val="en-US"/>
        </w:rPr>
        <w:t xml:space="preserve"> </w:t>
      </w:r>
      <w:r w:rsidR="00CB55FE" w:rsidRPr="005B7CAC">
        <w:rPr>
          <w:rFonts w:ascii="Times New Roman" w:hAnsi="Times New Roman"/>
          <w:bCs/>
          <w:iCs/>
          <w:sz w:val="24"/>
          <w:szCs w:val="20"/>
          <w:lang w:val="en-US"/>
        </w:rPr>
        <w:t xml:space="preserve">respectively. </w:t>
      </w:r>
      <w:r w:rsidR="00BF6B08" w:rsidRPr="005B7CAC">
        <w:rPr>
          <w:rFonts w:ascii="Times New Roman" w:hAnsi="Times New Roman"/>
          <w:bCs/>
          <w:iCs/>
          <w:sz w:val="24"/>
          <w:szCs w:val="20"/>
          <w:lang w:val="en-US"/>
        </w:rPr>
        <w:t xml:space="preserve">Overall, the </w:t>
      </w:r>
      <w:r w:rsidR="00767C24" w:rsidRPr="005B7CAC">
        <w:rPr>
          <w:rFonts w:ascii="Times New Roman" w:hAnsi="Times New Roman"/>
          <w:iCs/>
          <w:sz w:val="24"/>
          <w:szCs w:val="20"/>
          <w:lang w:val="en-US"/>
        </w:rPr>
        <w:t xml:space="preserve">statistics </w:t>
      </w:r>
      <w:r w:rsidR="00160A76" w:rsidRPr="005B7CAC">
        <w:rPr>
          <w:rFonts w:ascii="Times New Roman" w:hAnsi="Times New Roman"/>
          <w:iCs/>
          <w:sz w:val="24"/>
          <w:szCs w:val="20"/>
          <w:lang w:val="en-US"/>
        </w:rPr>
        <w:t xml:space="preserve">of </w:t>
      </w:r>
      <w:r w:rsidR="00904B52" w:rsidRPr="005B7CAC">
        <w:rPr>
          <w:rFonts w:ascii="Times New Roman" w:hAnsi="Times New Roman"/>
          <w:i/>
          <w:sz w:val="24"/>
          <w:szCs w:val="20"/>
          <w:lang w:val="en-US"/>
        </w:rPr>
        <w:t>WAST</w:t>
      </w:r>
      <w:r w:rsidR="00904B52" w:rsidRPr="005B7CAC">
        <w:rPr>
          <w:rFonts w:ascii="Times New Roman" w:hAnsi="Times New Roman"/>
          <w:iCs/>
          <w:sz w:val="24"/>
          <w:szCs w:val="20"/>
          <w:lang w:val="en-US"/>
        </w:rPr>
        <w:t xml:space="preserve"> and </w:t>
      </w:r>
      <w:r w:rsidR="00904B52" w:rsidRPr="005B7CAC">
        <w:rPr>
          <w:rFonts w:ascii="Times New Roman" w:hAnsi="Times New Roman"/>
          <w:i/>
          <w:sz w:val="24"/>
          <w:szCs w:val="20"/>
          <w:lang w:val="en-US"/>
        </w:rPr>
        <w:t>WREC</w:t>
      </w:r>
      <w:r w:rsidR="00160A76" w:rsidRPr="005B7CAC">
        <w:rPr>
          <w:rFonts w:ascii="Times New Roman" w:hAnsi="Times New Roman"/>
          <w:iCs/>
          <w:sz w:val="24"/>
          <w:szCs w:val="20"/>
          <w:lang w:val="en-US"/>
        </w:rPr>
        <w:t xml:space="preserve"> </w:t>
      </w:r>
      <w:r w:rsidR="00767C24" w:rsidRPr="005B7CAC">
        <w:rPr>
          <w:rFonts w:ascii="Times New Roman" w:hAnsi="Times New Roman"/>
          <w:iCs/>
          <w:sz w:val="24"/>
          <w:szCs w:val="20"/>
          <w:lang w:val="en-US"/>
        </w:rPr>
        <w:t xml:space="preserve">are comparable </w:t>
      </w:r>
      <w:r w:rsidR="00160A76" w:rsidRPr="005B7CAC">
        <w:rPr>
          <w:rFonts w:ascii="Times New Roman" w:hAnsi="Times New Roman"/>
          <w:iCs/>
          <w:sz w:val="24"/>
          <w:szCs w:val="20"/>
          <w:lang w:val="en-US"/>
        </w:rPr>
        <w:t xml:space="preserve">with </w:t>
      </w:r>
      <w:r w:rsidR="00767C24" w:rsidRPr="005B7CAC">
        <w:rPr>
          <w:rFonts w:ascii="Times New Roman" w:hAnsi="Times New Roman"/>
          <w:iCs/>
          <w:sz w:val="24"/>
          <w:szCs w:val="20"/>
          <w:lang w:val="en-US"/>
        </w:rPr>
        <w:t>those of</w:t>
      </w:r>
      <w:r w:rsidR="006E7FBB" w:rsidRPr="005B7CAC">
        <w:rPr>
          <w:rFonts w:ascii="Times New Roman" w:hAnsi="Times New Roman"/>
          <w:iCs/>
          <w:sz w:val="24"/>
          <w:szCs w:val="20"/>
          <w:lang w:val="en-US"/>
        </w:rPr>
        <w:t xml:space="preserve"> </w:t>
      </w:r>
      <w:r w:rsidR="00F05814" w:rsidRPr="005B7CAC">
        <w:rPr>
          <w:rFonts w:ascii="Times New Roman" w:hAnsi="Times New Roman"/>
          <w:i/>
          <w:sz w:val="24"/>
          <w:szCs w:val="20"/>
          <w:lang w:val="en-US"/>
        </w:rPr>
        <w:t>WM</w:t>
      </w:r>
      <w:r w:rsidR="00F05814" w:rsidRPr="005B7CAC">
        <w:rPr>
          <w:rFonts w:ascii="Times New Roman" w:hAnsi="Times New Roman"/>
          <w:iCs/>
          <w:sz w:val="24"/>
          <w:szCs w:val="20"/>
          <w:lang w:val="en-US"/>
        </w:rPr>
        <w:t>-related</w:t>
      </w:r>
      <w:r w:rsidR="00767C24" w:rsidRPr="005B7CAC">
        <w:rPr>
          <w:rFonts w:ascii="Times New Roman" w:hAnsi="Times New Roman"/>
          <w:iCs/>
          <w:sz w:val="24"/>
          <w:szCs w:val="20"/>
          <w:lang w:val="en-US"/>
        </w:rPr>
        <w:t xml:space="preserve"> studies</w:t>
      </w:r>
      <w:r w:rsidR="00CB55FE" w:rsidRPr="005B7CAC">
        <w:rPr>
          <w:rFonts w:ascii="Times New Roman" w:hAnsi="Times New Roman"/>
          <w:iCs/>
          <w:sz w:val="24"/>
          <w:szCs w:val="20"/>
          <w:lang w:val="en-US"/>
        </w:rPr>
        <w:t xml:space="preserve"> </w:t>
      </w:r>
      <w:r w:rsidR="00705A17" w:rsidRPr="005B7CAC">
        <w:rPr>
          <w:rFonts w:ascii="Times New Roman" w:hAnsi="Times New Roman"/>
          <w:iCs/>
          <w:sz w:val="24"/>
          <w:szCs w:val="20"/>
          <w:lang w:val="en-US"/>
        </w:rPr>
        <w:fldChar w:fldCharType="begin" w:fldLock="1"/>
      </w:r>
      <w:r w:rsidR="0050174D" w:rsidRPr="005B7CAC">
        <w:rPr>
          <w:rFonts w:ascii="Times New Roman" w:hAnsi="Times New Roman"/>
          <w:iCs/>
          <w:sz w:val="24"/>
          <w:szCs w:val="20"/>
          <w:lang w:val="en-US"/>
        </w:rPr>
        <w:instrText>ADDIN CSL_CITATION {"citationItems":[{"id":"ITEM-1","itemData":{"DOI":"10.1016/J.ECONMOD.2022.105932","ISSN":"0264-9993","abstract":"This study examines an important yet underexplored aspect of firms’ sustainability practices, i.e., waste management, in order to analyze its impact on financial performance. Although the extant literature has focused on various aspects of sustainability, the impact of waste management, which has disastrous consequences for the climate and firm performance, remains largely unexplored. Thus, using the 2002–2019 data of listed firms from 41 countries, we found a significantly negative (positive) relationship between waste generation (recycling) and financial performance. Our findings are robust to alternative variables, sub-sample analysis, and identification strategies. Moreover, a channel analysis showed that this relationship is influenced by operating costs, ESG performance-based compensation, industry nature, the Paris agreement on climate change, and the global financial crisis. Overall, the findings suggest that environmental initiatives are beneficial for firms and present important policy implications for regulators and firms.","author":[{"dropping-particle":"","family":"Gull","given":"Ammar Ali","non-dropping-particle":"","parse-names":false,"suffix":""},{"dropping-particle":"","family":"Atif","given":"Muhammad","non-dropping-particle":"","parse-names":false,"suffix":""},{"dropping-particle":"","family":"Ahsan","given":"Tanveer","non-dropping-particle":"","parse-names":false,"suffix":""},{"dropping-particle":"","family":"Derouiche","given":"Imen","non-dropping-particle":"","parse-names":false,"suffix":""}],"container-title":"Economic Modelling","id":"ITEM-1","issued":{"date-parts":[["2022","9","1"]]},"page":"105932","title":"Does waste management affect firm performance? International evidence","type":"article-journal","volume":"114"},"uris":["http://www.mendeley.com/documents/?uuid=0ecbc08a-9434-37fc-b2bd-379559bf0932"]},{"id":"ITEM-2","itemData":{"DOI":"10.1002/bse.3589","ISSN":"10990836","abstract":"Prior studies have reported an association between corporate waste management practices and certain board attributes, but none have focused on foreign directors. Therefore, we examine foreign directors' contributions to firms' waste management by exclusively focusing on waste reduction and recycling. Furthermore, we explore an important channel through which foreign directors spur better waste management, namely, eco-innovation. Drawing on 6891 observations affiliated with 9 sectors and 46 countries, we execute country, industry and year fixed-effects regression analysis. We find that while foreign directors on the board are negatively associated with waste generation, they are positively associated with waste recycling. Furthermore, while the eco-innovativeness of firms negatively moderates the association between foreign directors on the board and waste generation, it positively moderates the association between foreign directors on the board and waste recycling. Further channel analyses reveal more insights concerning polluting versus non-polluting and poor versus strong regulatory environments.","author":[{"dropping-particle":"","family":"Uyar","given":"Ali","non-dropping-particle":"","parse-names":false,"suffix":""},{"dropping-particle":"","family":"Al-Shaer","given":"Habiba","non-dropping-particle":"","parse-names":false,"suffix":""},{"dropping-particle":"","family":"Kuzey","given":"Cemil","non-dropping-particle":"","parse-names":false,"suffix":""},{"dropping-particle":"","family":"Karaman","given":"Abdullah S.","non-dropping-particle":"","parse-names":false,"suffix":""}],"container-title":"Business Strategy and the Environment","id":"ITEM-2","issued":{"date-parts":[["2023"]]},"page":"1-26","title":"Do foreign directors reinforce better waste management? The moderating role of eco-innovation","type":"article-journal"},"uris":["http://www.mendeley.com/documents/?uuid=2181dd7a-598d-44fd-b252-f31fe5b3ae59"]},{"id":"ITEM-3","itemData":{"DOI":"10.1111/corg.12567","ISSN":"14678683","abstract":"Research Question/Issue: We investigate the impact of board co-option on corporate environmental orientation from the perspective of waste management. As waste presents damaging effects on the natural environment, climate change, and human health, businesses assume an ethical responsibility to conduct their operations in a sustainable and responsible manner. Research Findings/Insights: Employing firm-level waste production data, we document a significant negative relationship between board co-option and waste generation, suggesting that co-opted directors help firms reduce their waste—a finding that also carries economic significance. The cross-sectional analyses reveal that the relationship only holds when a CEO does not chair the board and has a shorter tenure. Furthermore, we find that the board co-option–waste management relationship is stronger in environmentally sensitive industries and is mainly driven by the manufacturing firms. We perform a battery of analyses to rule out endogeneity concerns and check for the robustness of our results. The channel test reveals that CEOs of firms with higher waste management face lower performance-induced turnover, particularly when working with co-opted boards. Finally, we also find that co-option-induced waste management initiatives ultimately increase firms' economic value. Theoretical/Academic Implications: We document that co-opted boards may enhance firms' waste management practices by reducing performance-induced CEO turnover. Thus, we make important contributions to the corporate governance and environmentalism strands of the literature by highlighting the bright side of board co-option for waste reduction initiatives. Practitioner/Policy Implications: Our study provides vital policy implications for regulators and top management teams against the background of public outcry and social pressure to mitigate the damage to the environment and calls for ethical business practices.","author":[{"dropping-particle":"","family":"Gull","given":"Ammar Ali","non-dropping-particle":"","parse-names":false,"suffix":""},{"dropping-particle":"","family":"Luong","given":"Hoa","non-dropping-particle":"","parse-names":false,"suffix":""},{"dropping-particle":"","family":"Nadeem","given":"Muhammad","non-dropping-particle":"","parse-names":false,"suffix":""}],"container-title":"Corporate Governance: An International Review","id":"ITEM-3","issue":"5","issued":{"date-parts":[["2024"]]},"page":"758-785","title":"Board co-option and corporate environmental orientation: New insights from the waste management perspective","type":"article-journal","volume":"32"},"uris":["http://www.mendeley.com/documents/?uuid=026a1573-02d3-3c09-a2bc-ed265df5423b"]}],"mendeley":{"formattedCitation":"(Gull &lt;i&gt;et al.&lt;/i&gt;, 2024; Gull, Atif, Ahsan, &lt;i&gt;et al.&lt;/i&gt;, 2022; Uyar &lt;i&gt;et al.&lt;/i&gt;, 2023)","manualFormatting":"(Gull et al., 2022a; Gull et al., 2024; Uyar et al., 2023)","plainTextFormattedCitation":"(Gull et al., 2024; Gull, Atif, Ahsan, et al., 2022; Uyar et al., 2023)","previouslyFormattedCitation":"(Gull &lt;i&gt;et al.&lt;/i&gt;, 2024; Gull, Atif, Ahsan, &lt;i&gt;et al.&lt;/i&gt;, 2022; Uyar &lt;i&gt;et al.&lt;/i&gt;, 2023)"},"properties":{"noteIndex":0},"schema":"https://github.com/citation-style-language/schema/raw/master/csl-citation.json"}</w:instrText>
      </w:r>
      <w:r w:rsidR="00705A17" w:rsidRPr="005B7CAC">
        <w:rPr>
          <w:rFonts w:ascii="Times New Roman" w:hAnsi="Times New Roman"/>
          <w:iCs/>
          <w:sz w:val="24"/>
          <w:szCs w:val="20"/>
          <w:lang w:val="en-US"/>
        </w:rPr>
        <w:fldChar w:fldCharType="separate"/>
      </w:r>
      <w:r w:rsidR="00302318" w:rsidRPr="005B7CAC">
        <w:rPr>
          <w:rFonts w:ascii="Times New Roman" w:hAnsi="Times New Roman"/>
          <w:iCs/>
          <w:noProof/>
          <w:sz w:val="24"/>
          <w:szCs w:val="20"/>
          <w:lang w:val="en-US"/>
        </w:rPr>
        <w:t>(Gull</w:t>
      </w:r>
      <w:r w:rsidR="00BB2D35" w:rsidRPr="005B7CAC">
        <w:rPr>
          <w:rFonts w:ascii="Times New Roman" w:hAnsi="Times New Roman"/>
          <w:iCs/>
          <w:noProof/>
          <w:sz w:val="24"/>
          <w:szCs w:val="20"/>
          <w:lang w:val="en-US"/>
        </w:rPr>
        <w:t xml:space="preserve"> </w:t>
      </w:r>
      <w:r w:rsidR="00302318" w:rsidRPr="005B7CAC">
        <w:rPr>
          <w:rFonts w:ascii="Times New Roman" w:hAnsi="Times New Roman"/>
          <w:i/>
          <w:iCs/>
          <w:noProof/>
          <w:sz w:val="24"/>
          <w:szCs w:val="20"/>
          <w:lang w:val="en-US"/>
        </w:rPr>
        <w:t>et al.</w:t>
      </w:r>
      <w:r w:rsidR="00302318" w:rsidRPr="005B7CAC">
        <w:rPr>
          <w:rFonts w:ascii="Times New Roman" w:hAnsi="Times New Roman"/>
          <w:iCs/>
          <w:noProof/>
          <w:sz w:val="24"/>
          <w:szCs w:val="20"/>
          <w:lang w:val="en-US"/>
        </w:rPr>
        <w:t>, 2022</w:t>
      </w:r>
      <w:r w:rsidR="00BB2D35" w:rsidRPr="005B7CAC">
        <w:rPr>
          <w:rFonts w:ascii="Times New Roman" w:hAnsi="Times New Roman"/>
          <w:iCs/>
          <w:noProof/>
          <w:sz w:val="24"/>
          <w:szCs w:val="20"/>
          <w:lang w:val="en-US"/>
        </w:rPr>
        <w:t>a</w:t>
      </w:r>
      <w:r w:rsidR="00302318" w:rsidRPr="005B7CAC">
        <w:rPr>
          <w:rFonts w:ascii="Times New Roman" w:hAnsi="Times New Roman"/>
          <w:iCs/>
          <w:noProof/>
          <w:sz w:val="24"/>
          <w:szCs w:val="20"/>
          <w:lang w:val="en-US"/>
        </w:rPr>
        <w:t xml:space="preserve">; Gull </w:t>
      </w:r>
      <w:r w:rsidR="00302318" w:rsidRPr="005B7CAC">
        <w:rPr>
          <w:rFonts w:ascii="Times New Roman" w:hAnsi="Times New Roman"/>
          <w:i/>
          <w:iCs/>
          <w:noProof/>
          <w:sz w:val="24"/>
          <w:szCs w:val="20"/>
          <w:lang w:val="en-US"/>
        </w:rPr>
        <w:t>et al.</w:t>
      </w:r>
      <w:r w:rsidR="00302318" w:rsidRPr="005B7CAC">
        <w:rPr>
          <w:rFonts w:ascii="Times New Roman" w:hAnsi="Times New Roman"/>
          <w:iCs/>
          <w:noProof/>
          <w:sz w:val="24"/>
          <w:szCs w:val="20"/>
          <w:lang w:val="en-US"/>
        </w:rPr>
        <w:t xml:space="preserve">, 2024; Uyar </w:t>
      </w:r>
      <w:r w:rsidR="00302318" w:rsidRPr="005B7CAC">
        <w:rPr>
          <w:rFonts w:ascii="Times New Roman" w:hAnsi="Times New Roman"/>
          <w:i/>
          <w:iCs/>
          <w:noProof/>
          <w:sz w:val="24"/>
          <w:szCs w:val="20"/>
          <w:lang w:val="en-US"/>
        </w:rPr>
        <w:t>et al.</w:t>
      </w:r>
      <w:r w:rsidR="00302318" w:rsidRPr="005B7CAC">
        <w:rPr>
          <w:rFonts w:ascii="Times New Roman" w:hAnsi="Times New Roman"/>
          <w:iCs/>
          <w:noProof/>
          <w:sz w:val="24"/>
          <w:szCs w:val="20"/>
          <w:lang w:val="en-US"/>
        </w:rPr>
        <w:t>, 2023)</w:t>
      </w:r>
      <w:r w:rsidR="00705A17" w:rsidRPr="005B7CAC">
        <w:rPr>
          <w:rFonts w:ascii="Times New Roman" w:hAnsi="Times New Roman"/>
          <w:iCs/>
          <w:sz w:val="24"/>
          <w:szCs w:val="20"/>
          <w:lang w:val="en-US"/>
        </w:rPr>
        <w:fldChar w:fldCharType="end"/>
      </w:r>
      <w:r w:rsidR="00904B52" w:rsidRPr="005B7CAC">
        <w:rPr>
          <w:rFonts w:ascii="Times New Roman" w:hAnsi="Times New Roman"/>
          <w:iCs/>
          <w:sz w:val="24"/>
          <w:szCs w:val="20"/>
          <w:lang w:val="en-US"/>
        </w:rPr>
        <w:t xml:space="preserve">. </w:t>
      </w:r>
      <w:r w:rsidR="008F5C5B" w:rsidRPr="005B7CAC">
        <w:rPr>
          <w:rFonts w:ascii="Times New Roman" w:hAnsi="Times New Roman"/>
          <w:iCs/>
          <w:sz w:val="24"/>
          <w:szCs w:val="20"/>
          <w:lang w:val="en-US"/>
        </w:rPr>
        <w:t xml:space="preserve">Regarding the control variables, the means of </w:t>
      </w:r>
      <w:r w:rsidR="008F5C5B" w:rsidRPr="005B7CAC">
        <w:rPr>
          <w:rFonts w:ascii="Times New Roman" w:hAnsi="Times New Roman"/>
          <w:i/>
          <w:sz w:val="24"/>
          <w:szCs w:val="20"/>
          <w:lang w:val="en-US"/>
        </w:rPr>
        <w:t>BSIZE</w:t>
      </w:r>
      <w:r w:rsidR="008F5C5B" w:rsidRPr="005B7CAC">
        <w:rPr>
          <w:rFonts w:ascii="Times New Roman" w:hAnsi="Times New Roman"/>
          <w:iCs/>
          <w:sz w:val="24"/>
          <w:szCs w:val="20"/>
          <w:lang w:val="en-US"/>
        </w:rPr>
        <w:t xml:space="preserve">, </w:t>
      </w:r>
      <w:r w:rsidR="008F5C5B" w:rsidRPr="005B7CAC">
        <w:rPr>
          <w:rFonts w:ascii="Times New Roman" w:hAnsi="Times New Roman"/>
          <w:i/>
          <w:sz w:val="24"/>
          <w:szCs w:val="20"/>
          <w:lang w:val="en-US"/>
        </w:rPr>
        <w:t>BGDIV</w:t>
      </w:r>
      <w:r w:rsidR="008F5C5B" w:rsidRPr="005B7CAC">
        <w:rPr>
          <w:rFonts w:ascii="Times New Roman" w:hAnsi="Times New Roman"/>
          <w:iCs/>
          <w:sz w:val="24"/>
          <w:szCs w:val="20"/>
          <w:lang w:val="en-US"/>
        </w:rPr>
        <w:t xml:space="preserve">, </w:t>
      </w:r>
      <w:r w:rsidR="008F5C5B" w:rsidRPr="005B7CAC">
        <w:rPr>
          <w:rFonts w:ascii="Times New Roman" w:hAnsi="Times New Roman"/>
          <w:i/>
          <w:sz w:val="24"/>
          <w:szCs w:val="20"/>
          <w:lang w:val="en-US"/>
        </w:rPr>
        <w:t>BINDR</w:t>
      </w:r>
      <w:r w:rsidR="008F5C5B" w:rsidRPr="005B7CAC">
        <w:rPr>
          <w:rFonts w:ascii="Times New Roman" w:hAnsi="Times New Roman"/>
          <w:iCs/>
          <w:sz w:val="24"/>
          <w:szCs w:val="20"/>
          <w:lang w:val="en-US"/>
        </w:rPr>
        <w:t xml:space="preserve">, </w:t>
      </w:r>
      <w:r w:rsidR="008F5C5B" w:rsidRPr="005B7CAC">
        <w:rPr>
          <w:rFonts w:ascii="Times New Roman" w:hAnsi="Times New Roman"/>
          <w:i/>
          <w:sz w:val="24"/>
          <w:szCs w:val="20"/>
          <w:lang w:val="en-US"/>
        </w:rPr>
        <w:t>FAGE</w:t>
      </w:r>
      <w:r w:rsidR="008F5C5B" w:rsidRPr="005B7CAC">
        <w:rPr>
          <w:rFonts w:ascii="Times New Roman" w:hAnsi="Times New Roman"/>
          <w:iCs/>
          <w:sz w:val="24"/>
          <w:szCs w:val="20"/>
          <w:lang w:val="en-US"/>
        </w:rPr>
        <w:t xml:space="preserve">, </w:t>
      </w:r>
      <w:r w:rsidR="008F5C5B" w:rsidRPr="005B7CAC">
        <w:rPr>
          <w:rFonts w:ascii="Times New Roman" w:hAnsi="Times New Roman"/>
          <w:i/>
          <w:sz w:val="24"/>
          <w:szCs w:val="20"/>
          <w:lang w:val="en-US"/>
        </w:rPr>
        <w:t>SIZE</w:t>
      </w:r>
      <w:r w:rsidR="008F5C5B" w:rsidRPr="005B7CAC">
        <w:rPr>
          <w:rFonts w:ascii="Times New Roman" w:hAnsi="Times New Roman"/>
          <w:iCs/>
          <w:sz w:val="24"/>
          <w:szCs w:val="20"/>
          <w:lang w:val="en-US"/>
        </w:rPr>
        <w:t xml:space="preserve">, </w:t>
      </w:r>
      <w:r w:rsidR="008F5C5B" w:rsidRPr="005B7CAC">
        <w:rPr>
          <w:rFonts w:ascii="Times New Roman" w:hAnsi="Times New Roman"/>
          <w:i/>
          <w:sz w:val="24"/>
          <w:szCs w:val="20"/>
          <w:lang w:val="en-US"/>
        </w:rPr>
        <w:t>PROF</w:t>
      </w:r>
      <w:r w:rsidR="008F5C5B" w:rsidRPr="005B7CAC">
        <w:rPr>
          <w:rFonts w:ascii="Times New Roman" w:hAnsi="Times New Roman"/>
          <w:iCs/>
          <w:sz w:val="24"/>
          <w:szCs w:val="20"/>
          <w:lang w:val="en-US"/>
        </w:rPr>
        <w:t xml:space="preserve">, </w:t>
      </w:r>
      <w:r w:rsidR="008F5C5B" w:rsidRPr="005B7CAC">
        <w:rPr>
          <w:rFonts w:ascii="Times New Roman" w:hAnsi="Times New Roman"/>
          <w:i/>
          <w:sz w:val="24"/>
          <w:szCs w:val="20"/>
          <w:lang w:val="en-US"/>
        </w:rPr>
        <w:t>LVRG</w:t>
      </w:r>
      <w:r w:rsidR="008F5C5B" w:rsidRPr="005B7CAC">
        <w:rPr>
          <w:rFonts w:ascii="Times New Roman" w:hAnsi="Times New Roman"/>
          <w:iCs/>
          <w:sz w:val="24"/>
          <w:szCs w:val="20"/>
          <w:lang w:val="en-US"/>
        </w:rPr>
        <w:t xml:space="preserve">, </w:t>
      </w:r>
      <w:r w:rsidR="008F5C5B" w:rsidRPr="005B7CAC">
        <w:rPr>
          <w:rFonts w:ascii="Times New Roman" w:hAnsi="Times New Roman"/>
          <w:i/>
          <w:sz w:val="24"/>
          <w:szCs w:val="20"/>
          <w:lang w:val="en-US"/>
        </w:rPr>
        <w:t>SLCK</w:t>
      </w:r>
      <w:r w:rsidR="008F5C5B" w:rsidRPr="005B7CAC">
        <w:rPr>
          <w:rFonts w:ascii="Times New Roman" w:hAnsi="Times New Roman"/>
          <w:iCs/>
          <w:sz w:val="24"/>
          <w:szCs w:val="20"/>
          <w:lang w:val="en-US"/>
        </w:rPr>
        <w:t xml:space="preserve">, and </w:t>
      </w:r>
      <w:r w:rsidR="008F5C5B" w:rsidRPr="005B7CAC">
        <w:rPr>
          <w:rFonts w:ascii="Times New Roman" w:hAnsi="Times New Roman"/>
          <w:i/>
          <w:sz w:val="24"/>
          <w:szCs w:val="20"/>
          <w:lang w:val="en-US"/>
        </w:rPr>
        <w:t>CPIN</w:t>
      </w:r>
      <w:r w:rsidR="008F5C5B" w:rsidRPr="005B7CAC">
        <w:rPr>
          <w:rFonts w:ascii="Times New Roman" w:hAnsi="Times New Roman"/>
          <w:iCs/>
          <w:sz w:val="24"/>
          <w:szCs w:val="20"/>
          <w:lang w:val="en-US"/>
        </w:rPr>
        <w:t xml:space="preserve"> are 9.73, 20.30%, 61.63%, 38.05, 15.72, 0.07</w:t>
      </w:r>
      <w:r w:rsidR="00904B52" w:rsidRPr="005B7CAC">
        <w:rPr>
          <w:rFonts w:ascii="Times New Roman" w:hAnsi="Times New Roman"/>
          <w:iCs/>
          <w:sz w:val="24"/>
          <w:szCs w:val="20"/>
          <w:lang w:val="en-US"/>
        </w:rPr>
        <w:t xml:space="preserve">, 27.13%, 0.09, and 0.36, respectively. The </w:t>
      </w:r>
      <w:r w:rsidR="002426F0" w:rsidRPr="005B7CAC">
        <w:rPr>
          <w:rFonts w:ascii="Times New Roman" w:hAnsi="Times New Roman"/>
          <w:iCs/>
          <w:sz w:val="24"/>
          <w:szCs w:val="20"/>
          <w:lang w:val="en-US"/>
        </w:rPr>
        <w:t xml:space="preserve">statistics </w:t>
      </w:r>
      <w:r w:rsidR="00904B52" w:rsidRPr="005B7CAC">
        <w:rPr>
          <w:rFonts w:ascii="Times New Roman" w:hAnsi="Times New Roman"/>
          <w:iCs/>
          <w:sz w:val="24"/>
          <w:szCs w:val="20"/>
          <w:lang w:val="en-US"/>
        </w:rPr>
        <w:t xml:space="preserve">of the controls are generally consistent with those of recent </w:t>
      </w:r>
      <w:r w:rsidR="00F05814" w:rsidRPr="005B7CAC">
        <w:rPr>
          <w:rFonts w:ascii="Times New Roman" w:hAnsi="Times New Roman"/>
          <w:iCs/>
          <w:sz w:val="24"/>
          <w:szCs w:val="20"/>
          <w:lang w:val="en-US"/>
        </w:rPr>
        <w:t xml:space="preserve">UK-based studies </w:t>
      </w:r>
      <w:r w:rsidR="00F05814" w:rsidRPr="005B7CAC">
        <w:rPr>
          <w:rFonts w:ascii="Times New Roman" w:hAnsi="Times New Roman"/>
          <w:iCs/>
          <w:sz w:val="24"/>
          <w:szCs w:val="20"/>
          <w:lang w:val="en-US"/>
        </w:rPr>
        <w:fldChar w:fldCharType="begin" w:fldLock="1"/>
      </w:r>
      <w:r w:rsidR="00925B1C" w:rsidRPr="005B7CAC">
        <w:rPr>
          <w:rFonts w:ascii="Times New Roman" w:hAnsi="Times New Roman"/>
          <w:iCs/>
          <w:sz w:val="24"/>
          <w:szCs w:val="20"/>
          <w:lang w:val="en-US"/>
        </w:rPr>
        <w:instrText>ADDIN CSL_CITATION {"citationItems":[{"id":"ITEM-1","itemData":{"DOI":"https://doi.org/10.1002/bse.4007","ISSN":"0964-4733","abstract":"Abstract This study investigates the influence of organizational psychological capital (OPC) on corporate environmental, social, and governance (ESG) practices, highlighting a relatively overlooked aspect in existing studies, and examines the moderating effect of chief executive officer (CEO) power on this relationship. Using a dataset of 1659 firm-year observations from FTSE 350 firms across the years 2012?2021 and applying natural language processing (NLP) techniques, our findings reveal that higher levels of OPC are linked to a stronger commitment to ESG initiatives. However, this positive association is tempered by CEO power, which negatively moderates the relationship. Furthermore, our analysis shows that OPC not only enhances ESG performance but also positively influences financial performance and the core ESG pillars. These results, validated through rigorous robustness checks, offer significant insights for stakeholders and policymakers in the realm of corporate governance.","author":[{"dropping-particle":"","family":"Mahran","given":"Karim","non-dropping-particle":"","parse-names":false,"suffix":""},{"dropping-particle":"","family":"Elamer","given":"Ahmed A","non-dropping-particle":"","parse-names":false,"suffix":""}],"container-title":"Business Strategy and the Environment","id":"ITEM-1","issued":{"date-parts":[["2024","10","20"]]},"page":"1–18","publisher":"John Wiley &amp; Sons, Ltd","title":"Shaping ESG commitment through organizational psychological capital: The role of CEO power","type":"article-journal"},"uris":["http://www.mendeley.com/documents/?uuid=0492ac75-b043-4738-8e2b-4912bf6f21aa"]},{"id":"ITEM-2","itemData":{"DOI":"10.1002/bse.3232","ISSN":"10990836","abstract":"This paper examines the effects of environmental innovation on CO2 emissions as well as the moderating role of environmental governance in this relationship. Based on a sample of companies listed on the London Stock Exchange for the period from 2016 to 2020, the findings show that environmental innovation reduces CO2 emissions including Scope 1 and Scope 2 CO2 emissions. Likewise, our findings are associative of a moderating effect of environmental governance on the environmental innovation-CO2 emissions nexus. We argue that environmental innovation along with better environmental governance leads to a reduction in CO2 emissions. Our results hold for subsamples of firms with a strong/low environmental governance and ESG performance. Our findings offer important implications for companies and policymakers towards adopting more environmental technologies along with enhancing environmental governance to reduce CO2 emissions.","author":[{"dropping-particle":"","family":"Albitar","given":"Khaldoon","non-dropping-particle":"","parse-names":false,"suffix":""},{"dropping-particle":"","family":"Borgi","given":"Hela","non-dropping-particle":"","parse-names":false,"suffix":""},{"dropping-particle":"","family":"Khan","given":"Muzammal","non-dropping-particle":"","parse-names":false,"suffix":""},{"dropping-particle":"","family":"Zahra","given":"Anum","non-dropping-particle":"","parse-names":false,"suffix":""}],"container-title":"Business Strategy and the Environment","id":"ITEM-2","issue":"4","issued":{"date-parts":[["2023"]]},"page":"1996-2007","title":"Business environmental innovation and CO2 emissions: The moderating role of environmental governance","type":"article-journal","volume":"32"},"uris":["http://www.mendeley.com/documents/?uuid=7de5d50a-1720-35da-acfc-b514ae3b49a5"]},{"id":"ITEM-3","itemData":{"DOI":"10.1108/CG-02-2022-0069","ISSN":"14720701","abstract":"Purpose: This study aims to investigate the possible implications of compliance with corporate governance (CG) provisions, including board composition and ownership structures, on the firm’s likelihood of falling into financial distress. Design/methodology/approach: The study applies a random-effects logistic regression model as a baseline analysis using a sample of 110 FTSE 350 manufacturing companies from 2014 to 2019. This technique is supported by conducting a two-stage Heckman regression model to overcome the potential existence of endogeneity problems. Findings: The empirical evidence suggests that board composition and ownership structure are heterogeneously associated with financial distress probabilities in that they might have either reduced or increased the financial distress of the sampled firms. Specifically, board independence, board gender diversity, audit committee independence and institutional ownership negatively influence the likelihood of financial distress. In contrast, and consistent with the expectations, ownership concentration is positively attributed to financial distress, while the board size, audit committee size and managerial ownership have insignificant impacts on financial distress. Originality/value: The study extends the existing body of knowledge by examining the collective effect of board characteristics and ownership structures on firms’ financial distress likelihood among a sample of manufacturing firms within the FTSE 350 index post the 2008 global financial crisis and following the recent CG reforms in the UK during the study period from 2014 to 2019.","author":[{"dropping-particle":"","family":"Gerged","given":"Ali Meftah","non-dropping-particle":"","parse-names":false,"suffix":""},{"dropping-particle":"","family":"Yao","given":"Shaojie","non-dropping-particle":"","parse-names":false,"suffix":""},{"dropping-particle":"","family":"Albitar","given":"Khaldoon","non-dropping-particle":"","parse-names":false,"suffix":""}],"container-title":"Corporate Governance: The international journal of business in society","id":"ITEM-3","issue":"3","issued":{"date-parts":[["2023"]]},"page":"628-649","title":"Board composition, ownership structure and financial distress: insights from UK FTSE 350","type":"article-journal","volume":"23"},"uris":["http://www.mendeley.com/documents/?uuid=d920d754-d3b1-316c-9998-aa7f27f65266"]}],"mendeley":{"formattedCitation":"(Albitar &lt;i&gt;et al.&lt;/i&gt;, 2023; Gerged &lt;i&gt;et al.&lt;/i&gt;, 2023; Mahran and Elamer, 2024)","plainTextFormattedCitation":"(Albitar et al., 2023; Gerged et al., 2023; Mahran and Elamer, 2024)","previouslyFormattedCitation":"(Albitar &lt;i&gt;et al.&lt;/i&gt;, 2023; Gerged &lt;i&gt;et al.&lt;/i&gt;, 2023; Mahran and Elamer, 2024)"},"properties":{"noteIndex":0},"schema":"https://github.com/citation-style-language/schema/raw/master/csl-citation.json"}</w:instrText>
      </w:r>
      <w:r w:rsidR="00F05814" w:rsidRPr="005B7CAC">
        <w:rPr>
          <w:rFonts w:ascii="Times New Roman" w:hAnsi="Times New Roman"/>
          <w:iCs/>
          <w:sz w:val="24"/>
          <w:szCs w:val="20"/>
          <w:lang w:val="en-US"/>
        </w:rPr>
        <w:fldChar w:fldCharType="separate"/>
      </w:r>
      <w:r w:rsidR="00160A76" w:rsidRPr="005B7CAC">
        <w:rPr>
          <w:rFonts w:ascii="Times New Roman" w:hAnsi="Times New Roman"/>
          <w:iCs/>
          <w:noProof/>
          <w:sz w:val="24"/>
          <w:szCs w:val="20"/>
          <w:lang w:val="en-US"/>
        </w:rPr>
        <w:t xml:space="preserve">(Albitar </w:t>
      </w:r>
      <w:r w:rsidR="00160A76" w:rsidRPr="005B7CAC">
        <w:rPr>
          <w:rFonts w:ascii="Times New Roman" w:hAnsi="Times New Roman"/>
          <w:i/>
          <w:iCs/>
          <w:noProof/>
          <w:sz w:val="24"/>
          <w:szCs w:val="20"/>
          <w:lang w:val="en-US"/>
        </w:rPr>
        <w:t>et al.</w:t>
      </w:r>
      <w:r w:rsidR="00160A76" w:rsidRPr="005B7CAC">
        <w:rPr>
          <w:rFonts w:ascii="Times New Roman" w:hAnsi="Times New Roman"/>
          <w:iCs/>
          <w:noProof/>
          <w:sz w:val="24"/>
          <w:szCs w:val="20"/>
          <w:lang w:val="en-US"/>
        </w:rPr>
        <w:t xml:space="preserve">, 2023; Gerged </w:t>
      </w:r>
      <w:r w:rsidR="00160A76" w:rsidRPr="005B7CAC">
        <w:rPr>
          <w:rFonts w:ascii="Times New Roman" w:hAnsi="Times New Roman"/>
          <w:i/>
          <w:iCs/>
          <w:noProof/>
          <w:sz w:val="24"/>
          <w:szCs w:val="20"/>
          <w:lang w:val="en-US"/>
        </w:rPr>
        <w:t>et al.</w:t>
      </w:r>
      <w:r w:rsidR="00160A76" w:rsidRPr="005B7CAC">
        <w:rPr>
          <w:rFonts w:ascii="Times New Roman" w:hAnsi="Times New Roman"/>
          <w:iCs/>
          <w:noProof/>
          <w:sz w:val="24"/>
          <w:szCs w:val="20"/>
          <w:lang w:val="en-US"/>
        </w:rPr>
        <w:t>, 2023; Mahran and Elamer, 2024)</w:t>
      </w:r>
      <w:r w:rsidR="00F05814" w:rsidRPr="005B7CAC">
        <w:rPr>
          <w:rFonts w:ascii="Times New Roman" w:hAnsi="Times New Roman"/>
          <w:iCs/>
          <w:sz w:val="24"/>
          <w:szCs w:val="20"/>
          <w:lang w:val="en-US"/>
        </w:rPr>
        <w:fldChar w:fldCharType="end"/>
      </w:r>
      <w:r w:rsidR="00CB55FE" w:rsidRPr="005B7CAC">
        <w:rPr>
          <w:rFonts w:ascii="Times New Roman" w:hAnsi="Times New Roman"/>
          <w:iCs/>
          <w:sz w:val="24"/>
          <w:szCs w:val="20"/>
          <w:lang w:val="en-US"/>
        </w:rPr>
        <w:t xml:space="preserve">. Further, </w:t>
      </w:r>
      <w:r w:rsidR="003E789D" w:rsidRPr="005B7CAC">
        <w:rPr>
          <w:rFonts w:ascii="Times New Roman" w:hAnsi="Times New Roman"/>
          <w:iCs/>
          <w:sz w:val="24"/>
          <w:szCs w:val="20"/>
          <w:lang w:val="en-US"/>
        </w:rPr>
        <w:t xml:space="preserve">Table 3 displays that the </w:t>
      </w:r>
      <w:r w:rsidR="00CB55FE" w:rsidRPr="005B7CAC">
        <w:rPr>
          <w:rFonts w:ascii="Times New Roman" w:hAnsi="Times New Roman"/>
          <w:iCs/>
          <w:sz w:val="24"/>
          <w:szCs w:val="20"/>
          <w:lang w:val="en-US"/>
        </w:rPr>
        <w:t xml:space="preserve">correlation coefficients </w:t>
      </w:r>
      <w:r w:rsidR="00BF6B08" w:rsidRPr="005B7CAC">
        <w:rPr>
          <w:rFonts w:ascii="Times New Roman" w:hAnsi="Times New Roman"/>
          <w:iCs/>
          <w:sz w:val="24"/>
          <w:szCs w:val="20"/>
          <w:lang w:val="en-US"/>
        </w:rPr>
        <w:t xml:space="preserve">among </w:t>
      </w:r>
      <w:r w:rsidR="001B2F42" w:rsidRPr="005B7CAC">
        <w:rPr>
          <w:rFonts w:ascii="Times New Roman" w:hAnsi="Times New Roman"/>
          <w:iCs/>
          <w:sz w:val="24"/>
          <w:szCs w:val="20"/>
          <w:lang w:val="en-US"/>
        </w:rPr>
        <w:t xml:space="preserve">the independent variables </w:t>
      </w:r>
      <w:r w:rsidR="00BF6B08" w:rsidRPr="005B7CAC">
        <w:rPr>
          <w:rFonts w:ascii="Times New Roman" w:hAnsi="Times New Roman"/>
          <w:iCs/>
          <w:sz w:val="24"/>
          <w:szCs w:val="20"/>
          <w:lang w:val="en-US"/>
        </w:rPr>
        <w:t>do not exceed 0.700,</w:t>
      </w:r>
      <w:r w:rsidR="00BD736E" w:rsidRPr="005B7CAC">
        <w:rPr>
          <w:rFonts w:ascii="Times New Roman" w:hAnsi="Times New Roman"/>
          <w:iCs/>
          <w:sz w:val="24"/>
          <w:szCs w:val="20"/>
          <w:lang w:val="en-US"/>
        </w:rPr>
        <w:t xml:space="preserve"> </w:t>
      </w:r>
      <w:r w:rsidR="00BF6B08" w:rsidRPr="005B7CAC">
        <w:rPr>
          <w:rFonts w:ascii="Times New Roman" w:hAnsi="Times New Roman"/>
          <w:iCs/>
          <w:sz w:val="24"/>
          <w:szCs w:val="20"/>
          <w:lang w:val="en-US"/>
        </w:rPr>
        <w:t>implying</w:t>
      </w:r>
      <w:r w:rsidR="00CF7E52" w:rsidRPr="005B7CAC">
        <w:rPr>
          <w:rFonts w:ascii="Times New Roman" w:hAnsi="Times New Roman"/>
          <w:iCs/>
          <w:sz w:val="24"/>
          <w:szCs w:val="20"/>
          <w:lang w:val="en-US"/>
        </w:rPr>
        <w:t xml:space="preserve"> </w:t>
      </w:r>
      <w:r w:rsidR="00BD736E" w:rsidRPr="005B7CAC">
        <w:rPr>
          <w:rFonts w:ascii="Times New Roman" w:hAnsi="Times New Roman"/>
          <w:iCs/>
          <w:sz w:val="24"/>
          <w:szCs w:val="20"/>
          <w:lang w:val="en-US"/>
        </w:rPr>
        <w:t xml:space="preserve">no serious </w:t>
      </w:r>
      <w:r w:rsidR="00CF7E52" w:rsidRPr="005B7CAC">
        <w:rPr>
          <w:rFonts w:ascii="Times New Roman" w:hAnsi="Times New Roman"/>
          <w:iCs/>
          <w:sz w:val="24"/>
          <w:szCs w:val="20"/>
          <w:lang w:val="en-US"/>
        </w:rPr>
        <w:t xml:space="preserve">multicollinearity </w:t>
      </w:r>
      <w:r w:rsidR="00BD736E" w:rsidRPr="005B7CAC">
        <w:rPr>
          <w:rFonts w:ascii="Times New Roman" w:hAnsi="Times New Roman"/>
          <w:iCs/>
          <w:sz w:val="24"/>
          <w:szCs w:val="20"/>
          <w:lang w:val="en-US"/>
        </w:rPr>
        <w:t>issues</w:t>
      </w:r>
      <w:r w:rsidR="00BF6B08" w:rsidRPr="005B7CAC">
        <w:rPr>
          <w:rFonts w:ascii="Times New Roman" w:hAnsi="Times New Roman"/>
          <w:iCs/>
          <w:sz w:val="24"/>
          <w:szCs w:val="20"/>
          <w:lang w:val="en-US"/>
        </w:rPr>
        <w:t>.</w:t>
      </w:r>
      <w:r w:rsidR="00605A66" w:rsidRPr="005B7CAC">
        <w:rPr>
          <w:rFonts w:ascii="Times New Roman" w:hAnsi="Times New Roman"/>
          <w:iCs/>
          <w:sz w:val="24"/>
          <w:szCs w:val="20"/>
          <w:lang w:val="en-US"/>
        </w:rPr>
        <w:t xml:space="preserve"> T</w:t>
      </w:r>
      <w:r w:rsidR="001B2F42" w:rsidRPr="005B7CAC">
        <w:rPr>
          <w:rFonts w:ascii="Times New Roman" w:hAnsi="Times New Roman"/>
          <w:iCs/>
          <w:sz w:val="24"/>
          <w:szCs w:val="20"/>
          <w:lang w:val="en-US"/>
        </w:rPr>
        <w:t xml:space="preserve">he </w:t>
      </w:r>
      <w:r w:rsidR="00092E86" w:rsidRPr="005B7CAC">
        <w:rPr>
          <w:rFonts w:ascii="Times New Roman" w:hAnsi="Times New Roman"/>
          <w:iCs/>
          <w:sz w:val="24"/>
          <w:szCs w:val="20"/>
          <w:lang w:val="en-US"/>
        </w:rPr>
        <w:t xml:space="preserve">estimated </w:t>
      </w:r>
      <w:r w:rsidR="001B2F42" w:rsidRPr="005B7CAC">
        <w:rPr>
          <w:rFonts w:ascii="Times New Roman" w:hAnsi="Times New Roman"/>
          <w:iCs/>
          <w:sz w:val="24"/>
          <w:szCs w:val="20"/>
          <w:lang w:val="en-US"/>
        </w:rPr>
        <w:t>variance inflation factors (VIFs)</w:t>
      </w:r>
      <w:r w:rsidR="00BD736E" w:rsidRPr="005B7CAC">
        <w:rPr>
          <w:rFonts w:ascii="Times New Roman" w:hAnsi="Times New Roman"/>
          <w:iCs/>
          <w:sz w:val="24"/>
          <w:szCs w:val="20"/>
          <w:lang w:val="en-US"/>
        </w:rPr>
        <w:t xml:space="preserve"> </w:t>
      </w:r>
      <w:r w:rsidR="00605A66" w:rsidRPr="005B7CAC">
        <w:rPr>
          <w:rFonts w:ascii="Times New Roman" w:hAnsi="Times New Roman"/>
          <w:iCs/>
          <w:sz w:val="24"/>
          <w:szCs w:val="20"/>
          <w:lang w:val="en-US"/>
        </w:rPr>
        <w:t xml:space="preserve">also verify that multicollinearity is not an issue in this study because the VIFs </w:t>
      </w:r>
      <w:r w:rsidR="00BD736E" w:rsidRPr="005B7CAC">
        <w:rPr>
          <w:rFonts w:ascii="Times New Roman" w:hAnsi="Times New Roman"/>
          <w:iCs/>
          <w:sz w:val="24"/>
          <w:szCs w:val="20"/>
          <w:lang w:val="en-US"/>
        </w:rPr>
        <w:t xml:space="preserve">are </w:t>
      </w:r>
      <w:r w:rsidR="00605A66" w:rsidRPr="005B7CAC">
        <w:rPr>
          <w:rFonts w:ascii="Times New Roman" w:hAnsi="Times New Roman"/>
          <w:iCs/>
          <w:sz w:val="24"/>
          <w:szCs w:val="20"/>
          <w:lang w:val="en-US"/>
        </w:rPr>
        <w:t xml:space="preserve">far </w:t>
      </w:r>
      <w:r w:rsidR="00BD736E" w:rsidRPr="005B7CAC">
        <w:rPr>
          <w:rFonts w:ascii="Times New Roman" w:hAnsi="Times New Roman"/>
          <w:iCs/>
          <w:sz w:val="24"/>
          <w:szCs w:val="20"/>
          <w:lang w:val="en-US"/>
        </w:rPr>
        <w:t>below the cut-off value of 10</w:t>
      </w:r>
      <w:r w:rsidR="00605A66" w:rsidRPr="005B7CAC">
        <w:rPr>
          <w:rFonts w:ascii="Times New Roman" w:hAnsi="Times New Roman"/>
          <w:iCs/>
          <w:sz w:val="24"/>
          <w:szCs w:val="20"/>
          <w:lang w:val="en-US"/>
        </w:rPr>
        <w:t xml:space="preserve"> </w:t>
      </w:r>
      <w:r w:rsidR="00694566" w:rsidRPr="005B7CAC">
        <w:rPr>
          <w:rFonts w:ascii="Times New Roman" w:hAnsi="Times New Roman"/>
          <w:iCs/>
          <w:sz w:val="24"/>
          <w:szCs w:val="20"/>
          <w:lang w:val="en-US"/>
        </w:rPr>
        <w:t>(to conserve space, the VIFs are not reported</w:t>
      </w:r>
      <w:r w:rsidR="009F3773">
        <w:rPr>
          <w:rFonts w:ascii="Times New Roman" w:hAnsi="Times New Roman"/>
          <w:iCs/>
          <w:sz w:val="24"/>
          <w:szCs w:val="20"/>
          <w:lang w:val="en-US"/>
        </w:rPr>
        <w:t xml:space="preserve"> </w:t>
      </w:r>
      <w:r w:rsidR="00694566" w:rsidRPr="005B7CAC">
        <w:rPr>
          <w:rFonts w:ascii="Times New Roman" w:hAnsi="Times New Roman"/>
          <w:iCs/>
          <w:sz w:val="24"/>
          <w:szCs w:val="20"/>
          <w:lang w:val="en-US"/>
        </w:rPr>
        <w:t>but are available upon request)</w:t>
      </w:r>
      <w:r w:rsidR="00BD736E" w:rsidRPr="005B7CAC">
        <w:rPr>
          <w:rFonts w:ascii="Times New Roman" w:hAnsi="Times New Roman"/>
          <w:iCs/>
          <w:sz w:val="24"/>
          <w:szCs w:val="20"/>
          <w:lang w:val="en-US"/>
        </w:rPr>
        <w:t>.</w:t>
      </w:r>
    </w:p>
    <w:p w14:paraId="6BB22E98" w14:textId="77777777" w:rsidR="009C3118" w:rsidRPr="005B7CAC" w:rsidRDefault="009C3118" w:rsidP="003D5418">
      <w:pPr>
        <w:widowControl w:val="0"/>
        <w:autoSpaceDE w:val="0"/>
        <w:autoSpaceDN w:val="0"/>
        <w:adjustRightInd w:val="0"/>
        <w:spacing w:after="240" w:line="360" w:lineRule="auto"/>
        <w:jc w:val="both"/>
        <w:rPr>
          <w:rFonts w:ascii="Times New Roman" w:hAnsi="Times New Roman"/>
          <w:iCs/>
          <w:sz w:val="24"/>
          <w:szCs w:val="20"/>
          <w:lang w:val="en-US"/>
        </w:rPr>
      </w:pPr>
    </w:p>
    <w:p w14:paraId="487ADBF2" w14:textId="77777777" w:rsidR="00BD6BF3" w:rsidRPr="005B7CAC" w:rsidRDefault="00BD6BF3" w:rsidP="003D5418">
      <w:pPr>
        <w:widowControl w:val="0"/>
        <w:autoSpaceDE w:val="0"/>
        <w:autoSpaceDN w:val="0"/>
        <w:adjustRightInd w:val="0"/>
        <w:spacing w:after="240" w:line="360" w:lineRule="auto"/>
        <w:rPr>
          <w:rFonts w:ascii="Times New Roman" w:hAnsi="Times New Roman"/>
          <w:bCs/>
          <w:i/>
          <w:sz w:val="24"/>
          <w:szCs w:val="20"/>
          <w:lang w:val="en-US"/>
        </w:rPr>
      </w:pPr>
      <w:r w:rsidRPr="005B7CAC">
        <w:rPr>
          <w:rFonts w:ascii="Times New Roman" w:hAnsi="Times New Roman"/>
          <w:bCs/>
          <w:i/>
          <w:sz w:val="24"/>
          <w:szCs w:val="20"/>
          <w:lang w:val="en-US"/>
        </w:rPr>
        <w:t>4.2 Regression results</w:t>
      </w:r>
    </w:p>
    <w:p w14:paraId="2C54B705" w14:textId="00B6182B" w:rsidR="0017325F" w:rsidRPr="005B7CAC" w:rsidRDefault="00F82344" w:rsidP="003D5418">
      <w:pPr>
        <w:widowControl w:val="0"/>
        <w:autoSpaceDE w:val="0"/>
        <w:autoSpaceDN w:val="0"/>
        <w:adjustRightInd w:val="0"/>
        <w:spacing w:after="240" w:line="360" w:lineRule="auto"/>
        <w:jc w:val="both"/>
        <w:rPr>
          <w:rFonts w:ascii="Times New Roman" w:hAnsi="Times New Roman"/>
          <w:bCs/>
          <w:iCs/>
          <w:sz w:val="24"/>
          <w:szCs w:val="20"/>
          <w:lang w:val="en-US"/>
        </w:rPr>
      </w:pPr>
      <w:r w:rsidRPr="005B7CAC">
        <w:rPr>
          <w:rFonts w:ascii="Times New Roman" w:hAnsi="Times New Roman"/>
          <w:bCs/>
          <w:iCs/>
          <w:sz w:val="24"/>
          <w:szCs w:val="20"/>
          <w:lang w:val="en-US"/>
        </w:rPr>
        <w:t xml:space="preserve">Table </w:t>
      </w:r>
      <w:r w:rsidR="00637677" w:rsidRPr="005B7CAC">
        <w:rPr>
          <w:rFonts w:ascii="Times New Roman" w:hAnsi="Times New Roman"/>
          <w:bCs/>
          <w:iCs/>
          <w:sz w:val="24"/>
          <w:szCs w:val="20"/>
          <w:lang w:val="en-US"/>
        </w:rPr>
        <w:t>4</w:t>
      </w:r>
      <w:r w:rsidR="00C7420F" w:rsidRPr="005B7CAC">
        <w:rPr>
          <w:rFonts w:ascii="Times New Roman" w:hAnsi="Times New Roman"/>
          <w:bCs/>
          <w:iCs/>
          <w:sz w:val="24"/>
          <w:szCs w:val="20"/>
          <w:lang w:val="en-US"/>
        </w:rPr>
        <w:t xml:space="preserve"> displays</w:t>
      </w:r>
      <w:r w:rsidR="005B53EE" w:rsidRPr="005B7CAC">
        <w:rPr>
          <w:rFonts w:ascii="Times New Roman" w:hAnsi="Times New Roman"/>
          <w:bCs/>
          <w:iCs/>
          <w:sz w:val="24"/>
          <w:szCs w:val="20"/>
          <w:lang w:val="en-US"/>
        </w:rPr>
        <w:t xml:space="preserve"> the regression results for the links among waste management, green </w:t>
      </w:r>
      <w:r w:rsidR="00726F7E" w:rsidRPr="005B7CAC">
        <w:rPr>
          <w:rFonts w:ascii="Times New Roman" w:hAnsi="Times New Roman"/>
          <w:bCs/>
          <w:iCs/>
          <w:sz w:val="24"/>
          <w:szCs w:val="20"/>
          <w:lang w:val="en-US"/>
        </w:rPr>
        <w:t>initiatives</w:t>
      </w:r>
      <w:r w:rsidR="005B53EE" w:rsidRPr="005B7CAC">
        <w:rPr>
          <w:rFonts w:ascii="Times New Roman" w:hAnsi="Times New Roman"/>
          <w:bCs/>
          <w:iCs/>
          <w:sz w:val="24"/>
          <w:szCs w:val="20"/>
          <w:lang w:val="en-US"/>
        </w:rPr>
        <w:t xml:space="preserve">, and financial distress. As shown in </w:t>
      </w:r>
      <w:r w:rsidR="00ED1A0D" w:rsidRPr="005B7CAC">
        <w:rPr>
          <w:rFonts w:ascii="Times New Roman" w:hAnsi="Times New Roman"/>
          <w:bCs/>
          <w:iCs/>
          <w:sz w:val="24"/>
          <w:szCs w:val="20"/>
          <w:lang w:val="en-US"/>
        </w:rPr>
        <w:t>Column</w:t>
      </w:r>
      <w:r w:rsidR="00BD1C71" w:rsidRPr="005B7CAC">
        <w:rPr>
          <w:rFonts w:ascii="Times New Roman" w:hAnsi="Times New Roman"/>
          <w:bCs/>
          <w:iCs/>
          <w:sz w:val="24"/>
          <w:szCs w:val="20"/>
          <w:lang w:val="en-US"/>
        </w:rPr>
        <w:t>s</w:t>
      </w:r>
      <w:r w:rsidR="005B53EE" w:rsidRPr="005B7CAC">
        <w:rPr>
          <w:rFonts w:ascii="Times New Roman" w:hAnsi="Times New Roman"/>
          <w:bCs/>
          <w:iCs/>
          <w:sz w:val="24"/>
          <w:szCs w:val="20"/>
          <w:lang w:val="en-US"/>
        </w:rPr>
        <w:t xml:space="preserve"> 1</w:t>
      </w:r>
      <w:r w:rsidR="00BD1C71" w:rsidRPr="005B7CAC">
        <w:rPr>
          <w:rFonts w:ascii="Times New Roman" w:hAnsi="Times New Roman"/>
          <w:bCs/>
          <w:iCs/>
          <w:sz w:val="24"/>
          <w:szCs w:val="20"/>
          <w:lang w:val="en-US"/>
        </w:rPr>
        <w:t xml:space="preserve"> and </w:t>
      </w:r>
      <w:r w:rsidR="001A0319" w:rsidRPr="005B7CAC">
        <w:rPr>
          <w:rFonts w:ascii="Times New Roman" w:hAnsi="Times New Roman"/>
          <w:bCs/>
          <w:iCs/>
          <w:sz w:val="24"/>
          <w:szCs w:val="20"/>
          <w:lang w:val="en-US"/>
        </w:rPr>
        <w:t>3</w:t>
      </w:r>
      <w:r w:rsidR="005B53EE" w:rsidRPr="005B7CAC">
        <w:rPr>
          <w:rFonts w:ascii="Times New Roman" w:hAnsi="Times New Roman"/>
          <w:bCs/>
          <w:iCs/>
          <w:sz w:val="24"/>
          <w:szCs w:val="20"/>
          <w:lang w:val="en-US"/>
        </w:rPr>
        <w:t xml:space="preserve">, </w:t>
      </w:r>
      <w:r w:rsidR="005B53EE" w:rsidRPr="005B7CAC">
        <w:rPr>
          <w:rFonts w:ascii="Times New Roman" w:hAnsi="Times New Roman"/>
          <w:bCs/>
          <w:i/>
          <w:sz w:val="24"/>
          <w:szCs w:val="20"/>
          <w:lang w:val="en-US"/>
        </w:rPr>
        <w:t>WAST</w:t>
      </w:r>
      <w:r w:rsidR="005B53EE" w:rsidRPr="005B7CAC">
        <w:rPr>
          <w:rFonts w:ascii="Times New Roman" w:hAnsi="Times New Roman"/>
          <w:bCs/>
          <w:iCs/>
          <w:sz w:val="24"/>
          <w:szCs w:val="20"/>
          <w:lang w:val="en-US"/>
        </w:rPr>
        <w:t xml:space="preserve"> </w:t>
      </w:r>
      <w:r w:rsidR="003461BE" w:rsidRPr="005B7CAC">
        <w:rPr>
          <w:rFonts w:ascii="Times New Roman" w:hAnsi="Times New Roman"/>
          <w:bCs/>
          <w:iCs/>
          <w:sz w:val="24"/>
          <w:szCs w:val="20"/>
          <w:lang w:val="en-US"/>
        </w:rPr>
        <w:t xml:space="preserve">has a negative association with </w:t>
      </w:r>
      <w:r w:rsidR="003461BE" w:rsidRPr="005B7CAC">
        <w:rPr>
          <w:rFonts w:ascii="Times New Roman" w:hAnsi="Times New Roman"/>
          <w:bCs/>
          <w:i/>
          <w:sz w:val="24"/>
          <w:szCs w:val="20"/>
          <w:lang w:val="en-US"/>
        </w:rPr>
        <w:t>Z_UK</w:t>
      </w:r>
      <w:r w:rsidR="00034D8B" w:rsidRPr="005B7CAC">
        <w:rPr>
          <w:rFonts w:ascii="Times New Roman" w:hAnsi="Times New Roman"/>
          <w:bCs/>
          <w:iCs/>
          <w:sz w:val="24"/>
          <w:szCs w:val="20"/>
          <w:lang w:val="en-US"/>
        </w:rPr>
        <w:t xml:space="preserve"> (</w:t>
      </w:r>
      <w:r w:rsidR="007B0F51" w:rsidRPr="005B7CAC">
        <w:rPr>
          <w:rFonts w:ascii="Times New Roman" w:hAnsi="Times New Roman"/>
          <w:bCs/>
          <w:i/>
          <w:sz w:val="24"/>
          <w:szCs w:val="20"/>
          <w:lang w:val="en-US"/>
        </w:rPr>
        <w:t>p</w:t>
      </w:r>
      <w:r w:rsidR="007B0F51" w:rsidRPr="005B7CAC">
        <w:rPr>
          <w:rFonts w:ascii="Times New Roman" w:hAnsi="Times New Roman"/>
          <w:bCs/>
          <w:iCs/>
          <w:sz w:val="24"/>
          <w:szCs w:val="20"/>
          <w:lang w:val="en-US"/>
        </w:rPr>
        <w:t xml:space="preserve"> &lt; 0.01)</w:t>
      </w:r>
      <w:r w:rsidR="001A0319" w:rsidRPr="005B7CAC">
        <w:rPr>
          <w:rFonts w:ascii="Times New Roman" w:hAnsi="Times New Roman"/>
          <w:bCs/>
          <w:iCs/>
          <w:sz w:val="24"/>
          <w:szCs w:val="20"/>
          <w:lang w:val="en-US"/>
        </w:rPr>
        <w:t xml:space="preserve"> and </w:t>
      </w:r>
      <w:r w:rsidR="001A0319" w:rsidRPr="005B7CAC">
        <w:rPr>
          <w:rFonts w:ascii="Times New Roman" w:hAnsi="Times New Roman"/>
          <w:bCs/>
          <w:i/>
          <w:sz w:val="24"/>
          <w:szCs w:val="20"/>
          <w:lang w:val="en-US"/>
        </w:rPr>
        <w:t>Z_ALT</w:t>
      </w:r>
      <w:r w:rsidR="001A0319" w:rsidRPr="005B7CAC">
        <w:rPr>
          <w:rFonts w:ascii="Times New Roman" w:hAnsi="Times New Roman"/>
          <w:bCs/>
          <w:iCs/>
          <w:sz w:val="24"/>
          <w:szCs w:val="20"/>
          <w:lang w:val="en-US"/>
        </w:rPr>
        <w:t xml:space="preserve"> (</w:t>
      </w:r>
      <w:r w:rsidR="001A0319" w:rsidRPr="005B7CAC">
        <w:rPr>
          <w:rFonts w:ascii="Times New Roman" w:hAnsi="Times New Roman"/>
          <w:bCs/>
          <w:i/>
          <w:sz w:val="24"/>
          <w:szCs w:val="20"/>
          <w:lang w:val="en-US"/>
        </w:rPr>
        <w:t>p</w:t>
      </w:r>
      <w:r w:rsidR="001A0319" w:rsidRPr="005B7CAC">
        <w:rPr>
          <w:rFonts w:ascii="Times New Roman" w:hAnsi="Times New Roman"/>
          <w:bCs/>
          <w:iCs/>
          <w:sz w:val="24"/>
          <w:szCs w:val="20"/>
          <w:lang w:val="en-US"/>
        </w:rPr>
        <w:t xml:space="preserve"> &lt; 0.01)</w:t>
      </w:r>
      <w:r w:rsidR="007B0F51" w:rsidRPr="005B7CAC">
        <w:rPr>
          <w:rFonts w:ascii="Times New Roman" w:hAnsi="Times New Roman"/>
          <w:bCs/>
          <w:iCs/>
          <w:sz w:val="24"/>
          <w:szCs w:val="20"/>
          <w:lang w:val="en-US"/>
        </w:rPr>
        <w:t>,</w:t>
      </w:r>
      <w:r w:rsidR="00FC3109" w:rsidRPr="005B7CAC">
        <w:rPr>
          <w:rFonts w:ascii="Times New Roman" w:hAnsi="Times New Roman"/>
          <w:bCs/>
          <w:iCs/>
          <w:sz w:val="24"/>
          <w:szCs w:val="20"/>
          <w:lang w:val="en-US"/>
        </w:rPr>
        <w:t xml:space="preserve"> indicating that waste generation increases </w:t>
      </w:r>
      <w:r w:rsidR="00FC3109" w:rsidRPr="005B7CAC">
        <w:rPr>
          <w:rFonts w:ascii="Times New Roman" w:hAnsi="Times New Roman"/>
          <w:bCs/>
          <w:i/>
          <w:sz w:val="24"/>
          <w:szCs w:val="20"/>
          <w:lang w:val="en-US"/>
        </w:rPr>
        <w:t>FD</w:t>
      </w:r>
      <w:r w:rsidR="00FC3109" w:rsidRPr="005B7CAC">
        <w:rPr>
          <w:rFonts w:ascii="Times New Roman" w:hAnsi="Times New Roman"/>
          <w:bCs/>
          <w:iCs/>
          <w:sz w:val="24"/>
          <w:szCs w:val="20"/>
          <w:lang w:val="en-US"/>
        </w:rPr>
        <w:t xml:space="preserve"> probability</w:t>
      </w:r>
      <w:r w:rsidR="00120B7E" w:rsidRPr="005B7CAC">
        <w:rPr>
          <w:rFonts w:ascii="Times New Roman" w:hAnsi="Times New Roman"/>
          <w:bCs/>
          <w:iCs/>
          <w:sz w:val="24"/>
          <w:szCs w:val="20"/>
          <w:lang w:val="en-US"/>
        </w:rPr>
        <w:t xml:space="preserve">, consistent with </w:t>
      </w:r>
      <w:r w:rsidR="00120B7E" w:rsidRPr="005B7CAC">
        <w:rPr>
          <w:rFonts w:ascii="Times New Roman" w:hAnsi="Times New Roman"/>
          <w:bCs/>
          <w:i/>
          <w:sz w:val="24"/>
          <w:szCs w:val="20"/>
          <w:lang w:val="en-US"/>
        </w:rPr>
        <w:t>H1</w:t>
      </w:r>
      <w:r w:rsidR="00952DF5" w:rsidRPr="005B7CAC">
        <w:rPr>
          <w:rFonts w:ascii="Times New Roman" w:hAnsi="Times New Roman"/>
          <w:bCs/>
          <w:i/>
          <w:sz w:val="24"/>
          <w:szCs w:val="20"/>
          <w:lang w:val="en-US"/>
        </w:rPr>
        <w:t>a</w:t>
      </w:r>
      <w:r w:rsidR="009E3E02" w:rsidRPr="005B7CAC">
        <w:rPr>
          <w:rFonts w:ascii="Times New Roman" w:hAnsi="Times New Roman"/>
          <w:bCs/>
          <w:iCs/>
          <w:sz w:val="24"/>
          <w:szCs w:val="20"/>
          <w:lang w:val="en-US"/>
        </w:rPr>
        <w:t>.</w:t>
      </w:r>
      <w:r w:rsidR="009E3E02" w:rsidRPr="005B7CAC">
        <w:rPr>
          <w:rStyle w:val="FootnoteReference"/>
          <w:rFonts w:ascii="Times New Roman" w:hAnsi="Times New Roman"/>
          <w:bCs/>
          <w:iCs/>
          <w:sz w:val="24"/>
          <w:szCs w:val="20"/>
          <w:lang w:val="en-US"/>
        </w:rPr>
        <w:footnoteReference w:id="5"/>
      </w:r>
      <w:r w:rsidR="00120B7E" w:rsidRPr="005B7CAC">
        <w:rPr>
          <w:rFonts w:ascii="Times New Roman" w:hAnsi="Times New Roman"/>
          <w:bCs/>
          <w:iCs/>
          <w:sz w:val="24"/>
          <w:szCs w:val="20"/>
          <w:lang w:val="en-US"/>
        </w:rPr>
        <w:t xml:space="preserve"> </w:t>
      </w:r>
      <w:r w:rsidR="00F7086C" w:rsidRPr="005B7CAC">
        <w:rPr>
          <w:rFonts w:ascii="Times New Roman" w:hAnsi="Times New Roman"/>
          <w:bCs/>
          <w:iCs/>
          <w:sz w:val="24"/>
          <w:szCs w:val="20"/>
          <w:lang w:val="en-US"/>
        </w:rPr>
        <w:t xml:space="preserve">In other words, firms </w:t>
      </w:r>
      <w:r w:rsidR="00120B7E" w:rsidRPr="005B7CAC">
        <w:rPr>
          <w:rFonts w:ascii="Times New Roman" w:hAnsi="Times New Roman"/>
          <w:bCs/>
          <w:iCs/>
          <w:sz w:val="24"/>
          <w:szCs w:val="20"/>
          <w:lang w:val="en-US"/>
        </w:rPr>
        <w:t xml:space="preserve">with </w:t>
      </w:r>
      <w:r w:rsidR="003461BE" w:rsidRPr="005B7CAC">
        <w:rPr>
          <w:rFonts w:ascii="Times New Roman" w:hAnsi="Times New Roman"/>
          <w:bCs/>
          <w:iCs/>
          <w:sz w:val="24"/>
          <w:szCs w:val="20"/>
          <w:lang w:val="en-US"/>
        </w:rPr>
        <w:t>reduced</w:t>
      </w:r>
      <w:r w:rsidR="00120B7E" w:rsidRPr="005B7CAC">
        <w:rPr>
          <w:rFonts w:ascii="Times New Roman" w:hAnsi="Times New Roman"/>
          <w:bCs/>
          <w:iCs/>
          <w:sz w:val="24"/>
          <w:szCs w:val="20"/>
          <w:lang w:val="en-US"/>
        </w:rPr>
        <w:t xml:space="preserve"> levels of waste have lower </w:t>
      </w:r>
      <w:r w:rsidR="00120B7E" w:rsidRPr="005B7CAC">
        <w:rPr>
          <w:rFonts w:ascii="Times New Roman" w:hAnsi="Times New Roman"/>
          <w:bCs/>
          <w:i/>
          <w:sz w:val="24"/>
          <w:szCs w:val="20"/>
          <w:lang w:val="en-US"/>
        </w:rPr>
        <w:t>FD</w:t>
      </w:r>
      <w:r w:rsidR="00120B7E" w:rsidRPr="005B7CAC">
        <w:rPr>
          <w:rFonts w:ascii="Times New Roman" w:hAnsi="Times New Roman"/>
          <w:bCs/>
          <w:iCs/>
          <w:sz w:val="24"/>
          <w:szCs w:val="20"/>
          <w:lang w:val="en-US"/>
        </w:rPr>
        <w:t xml:space="preserve">. It also </w:t>
      </w:r>
      <w:r w:rsidR="00BA1E9C" w:rsidRPr="005B7CAC">
        <w:rPr>
          <w:rFonts w:ascii="Times New Roman" w:hAnsi="Times New Roman"/>
          <w:bCs/>
          <w:iCs/>
          <w:sz w:val="24"/>
          <w:szCs w:val="20"/>
          <w:lang w:val="en-US"/>
        </w:rPr>
        <w:t xml:space="preserve">aligns </w:t>
      </w:r>
      <w:r w:rsidR="00120B7E" w:rsidRPr="005B7CAC">
        <w:rPr>
          <w:rFonts w:ascii="Times New Roman" w:hAnsi="Times New Roman"/>
          <w:bCs/>
          <w:iCs/>
          <w:sz w:val="24"/>
          <w:szCs w:val="20"/>
          <w:lang w:val="en-US"/>
        </w:rPr>
        <w:t xml:space="preserve">with past investigations </w:t>
      </w:r>
      <w:r w:rsidR="008B5DF5" w:rsidRPr="005B7CAC">
        <w:rPr>
          <w:rFonts w:ascii="Times New Roman" w:hAnsi="Times New Roman"/>
          <w:bCs/>
          <w:iCs/>
          <w:sz w:val="24"/>
          <w:szCs w:val="20"/>
          <w:lang w:val="en-US"/>
        </w:rPr>
        <w:fldChar w:fldCharType="begin" w:fldLock="1"/>
      </w:r>
      <w:r w:rsidR="008B5DF5" w:rsidRPr="005B7CAC">
        <w:rPr>
          <w:rFonts w:ascii="Times New Roman" w:hAnsi="Times New Roman"/>
          <w:bCs/>
          <w:iCs/>
          <w:sz w:val="24"/>
          <w:szCs w:val="20"/>
          <w:lang w:val="en-US"/>
        </w:rPr>
        <w:instrText>ADDIN CSL_CITATION {"citationItems":[{"id":"ITEM-1","itemData":{"DOI":"10.1002/bse.2229","ISSN":"10990836","abstract":"Abstract This study investigates the effect of environmental performance that is driven by good environmental policies, regulations, and management on firm's financial distress and, consequently, ascertains the extent to which top management teams' (TMTs') characteristics can moderate the environmental performance–financial distress nexus in China using 749 firms over the 2009–2014 period (i.e., generating over 3,000 indi- vidual observations). Our findings are twofold. First, our results indicate that increased environmental performance that is driven by good environmental policies tends to strategically reduce the extent of firm financial distress. Second, this nexus is moder- ated by TMT gender diversity, foreign exposure, and political connection. We inter- pret our findings within neo‐institutional, upper echelons, and risk management theoretical perspectives. The findings are robust to the use of alternative measures of financial distress, estimation techniques, and endogeneity problems.","author":[{"dropping-particle":"","family":"Shahab","given":"Yasir","non-dropping-particle":"","parse-names":false,"suffix":""},{"dropping-particle":"","family":"Ntim","given":"Collins G.","non-dropping-particle":"","parse-names":false,"suffix":""},{"dropping-particle":"","family":"Chengang","given":"Ye","non-dropping-particle":"","parse-names":false,"suffix":""},{"dropping-particle":"","family":"Ullah","given":"Farid","non-dropping-particle":"","parse-names":false,"suffix":""},{"dropping-particle":"","family":"Fosu","given":"Samuel","non-dropping-particle":"","parse-names":false,"suffix":""}],"container-title":"Business Strategy and the Environment","id":"ITEM-1","issue":"8","issued":{"date-parts":[["2018"]]},"page":"1635-1652","title":"Environmental policy, environmental performance, and financial distress in China: Do top management team characteristics matter?","type":"article-journal","volume":"27"},"uris":["http://www.mendeley.com/documents/?uuid=85485e83-878d-35b2-95f0-fd3d227658d2"]},{"id":"ITEM-2","itemData":{"DOI":"10.1111/auar.12366","ISSN":"18352561","abstract":"This study examines the association between corporate environmental performance and financial distress. Using a sample of Australian firms, we find that environmental performance is negatively related to the financial distress probability perceived by the market. In addition, the negative association between environmental performance and the financial distress probability is more pronounced for firms with a higher level of risk. The findings provide important empirical evidence regarding the implications of environmental performance on firms’ risk management.","author":[{"dropping-particle":"","family":"Jia","given":"Jing","non-dropping-particle":"","parse-names":false,"suffix":""},{"dropping-particle":"","family":"Li","given":"Zhongtian","non-dropping-particle":"","parse-names":false,"suffix":""}],"container-title":"Australian Accounting Review","id":"ITEM-2","issue":"2","issued":{"date-parts":[["2022"]]},"page":"188-200","title":"Corporate Environmental Performance and Financial Distress: Evidence from Australia","type":"article-journal","volume":"32"},"uris":["http://www.mendeley.com/documents/?uuid=e29c5adf-e7ff-3dee-9c25-48e25598f3e7"]}],"mendeley":{"formattedCitation":"(Jia and Li, 2022; Shahab &lt;i&gt;et al.&lt;/i&gt;, 2018)","plainTextFormattedCitation":"(Jia and Li, 2022; Shahab et al., 2018)","previouslyFormattedCitation":"(Jia and Li, 2022; Shahab &lt;i&gt;et al.&lt;/i&gt;, 2018)"},"properties":{"noteIndex":0},"schema":"https://github.com/citation-style-language/schema/raw/master/csl-citation.json"}</w:instrText>
      </w:r>
      <w:r w:rsidR="008B5DF5" w:rsidRPr="005B7CAC">
        <w:rPr>
          <w:rFonts w:ascii="Times New Roman" w:hAnsi="Times New Roman"/>
          <w:bCs/>
          <w:iCs/>
          <w:sz w:val="24"/>
          <w:szCs w:val="20"/>
          <w:lang w:val="en-US"/>
        </w:rPr>
        <w:fldChar w:fldCharType="separate"/>
      </w:r>
      <w:r w:rsidR="00120B7E" w:rsidRPr="005B7CAC">
        <w:rPr>
          <w:rFonts w:ascii="Times New Roman" w:hAnsi="Times New Roman"/>
          <w:bCs/>
          <w:iCs/>
          <w:noProof/>
          <w:sz w:val="24"/>
          <w:szCs w:val="20"/>
          <w:lang w:val="en-US"/>
        </w:rPr>
        <w:t xml:space="preserve">(Jia and Li, 2022; Shahab </w:t>
      </w:r>
      <w:r w:rsidR="00120B7E" w:rsidRPr="005B7CAC">
        <w:rPr>
          <w:rFonts w:ascii="Times New Roman" w:hAnsi="Times New Roman"/>
          <w:bCs/>
          <w:i/>
          <w:iCs/>
          <w:noProof/>
          <w:sz w:val="24"/>
          <w:szCs w:val="20"/>
          <w:lang w:val="en-US"/>
        </w:rPr>
        <w:t>et al.</w:t>
      </w:r>
      <w:r w:rsidR="00120B7E" w:rsidRPr="005B7CAC">
        <w:rPr>
          <w:rFonts w:ascii="Times New Roman" w:hAnsi="Times New Roman"/>
          <w:bCs/>
          <w:iCs/>
          <w:noProof/>
          <w:sz w:val="24"/>
          <w:szCs w:val="20"/>
          <w:lang w:val="en-US"/>
        </w:rPr>
        <w:t>, 2018)</w:t>
      </w:r>
      <w:r w:rsidR="008B5DF5" w:rsidRPr="005B7CAC">
        <w:rPr>
          <w:rFonts w:ascii="Times New Roman" w:hAnsi="Times New Roman"/>
          <w:bCs/>
          <w:iCs/>
          <w:sz w:val="24"/>
          <w:szCs w:val="20"/>
          <w:lang w:val="en-US"/>
        </w:rPr>
        <w:fldChar w:fldCharType="end"/>
      </w:r>
      <w:r w:rsidR="00120B7E" w:rsidRPr="005B7CAC">
        <w:rPr>
          <w:rFonts w:ascii="Times New Roman" w:hAnsi="Times New Roman"/>
          <w:bCs/>
          <w:iCs/>
          <w:sz w:val="24"/>
          <w:szCs w:val="20"/>
          <w:lang w:val="en-US"/>
        </w:rPr>
        <w:t xml:space="preserve"> </w:t>
      </w:r>
      <w:r w:rsidR="003461BE" w:rsidRPr="005B7CAC">
        <w:rPr>
          <w:rFonts w:ascii="Times New Roman" w:hAnsi="Times New Roman"/>
          <w:bCs/>
          <w:iCs/>
          <w:sz w:val="24"/>
          <w:szCs w:val="20"/>
          <w:lang w:val="en-US"/>
        </w:rPr>
        <w:t xml:space="preserve">that </w:t>
      </w:r>
      <w:r w:rsidR="00120B7E" w:rsidRPr="005B7CAC">
        <w:rPr>
          <w:rFonts w:ascii="Times New Roman" w:hAnsi="Times New Roman"/>
          <w:bCs/>
          <w:iCs/>
          <w:sz w:val="24"/>
          <w:szCs w:val="20"/>
          <w:lang w:val="en-US"/>
        </w:rPr>
        <w:t xml:space="preserve">better environmental performance leads to lower </w:t>
      </w:r>
      <w:r w:rsidR="00120B7E" w:rsidRPr="005B7CAC">
        <w:rPr>
          <w:rFonts w:ascii="Times New Roman" w:hAnsi="Times New Roman"/>
          <w:bCs/>
          <w:i/>
          <w:sz w:val="24"/>
          <w:szCs w:val="20"/>
          <w:lang w:val="en-US"/>
        </w:rPr>
        <w:t>FD</w:t>
      </w:r>
      <w:r w:rsidR="00120B7E" w:rsidRPr="005B7CAC">
        <w:rPr>
          <w:rFonts w:ascii="Times New Roman" w:hAnsi="Times New Roman"/>
          <w:bCs/>
          <w:iCs/>
          <w:sz w:val="24"/>
          <w:szCs w:val="20"/>
          <w:lang w:val="en-US"/>
        </w:rPr>
        <w:t xml:space="preserve"> risks. </w:t>
      </w:r>
      <w:r w:rsidR="00326582" w:rsidRPr="005B7CAC">
        <w:rPr>
          <w:rFonts w:ascii="Times New Roman" w:hAnsi="Times New Roman"/>
          <w:bCs/>
          <w:iCs/>
          <w:sz w:val="24"/>
          <w:szCs w:val="20"/>
          <w:lang w:val="en-US"/>
        </w:rPr>
        <w:t xml:space="preserve">Further, </w:t>
      </w:r>
      <w:r w:rsidR="00ED1A0D" w:rsidRPr="005B7CAC">
        <w:rPr>
          <w:rFonts w:ascii="Times New Roman" w:hAnsi="Times New Roman"/>
          <w:bCs/>
          <w:iCs/>
          <w:sz w:val="24"/>
          <w:szCs w:val="20"/>
          <w:lang w:val="en-US"/>
        </w:rPr>
        <w:t>Columns</w:t>
      </w:r>
      <w:r w:rsidR="00326582" w:rsidRPr="005B7CAC">
        <w:rPr>
          <w:rFonts w:ascii="Times New Roman" w:hAnsi="Times New Roman"/>
          <w:bCs/>
          <w:iCs/>
          <w:sz w:val="24"/>
          <w:szCs w:val="20"/>
          <w:lang w:val="en-US"/>
        </w:rPr>
        <w:t xml:space="preserve"> </w:t>
      </w:r>
      <w:r w:rsidR="001A0319" w:rsidRPr="005B7CAC">
        <w:rPr>
          <w:rFonts w:ascii="Times New Roman" w:hAnsi="Times New Roman"/>
          <w:bCs/>
          <w:iCs/>
          <w:sz w:val="24"/>
          <w:szCs w:val="20"/>
          <w:lang w:val="en-US"/>
        </w:rPr>
        <w:t>2</w:t>
      </w:r>
      <w:r w:rsidR="00326582" w:rsidRPr="005B7CAC">
        <w:rPr>
          <w:rFonts w:ascii="Times New Roman" w:hAnsi="Times New Roman"/>
          <w:bCs/>
          <w:iCs/>
          <w:sz w:val="24"/>
          <w:szCs w:val="20"/>
          <w:lang w:val="en-US"/>
        </w:rPr>
        <w:t xml:space="preserve"> and 4 display that the coefficients of </w:t>
      </w:r>
      <w:r w:rsidR="00326582" w:rsidRPr="005B7CAC">
        <w:rPr>
          <w:rFonts w:ascii="Times New Roman" w:hAnsi="Times New Roman"/>
          <w:bCs/>
          <w:i/>
          <w:sz w:val="24"/>
          <w:szCs w:val="20"/>
          <w:lang w:val="en-US"/>
        </w:rPr>
        <w:t>WREC</w:t>
      </w:r>
      <w:r w:rsidR="00326582" w:rsidRPr="005B7CAC">
        <w:rPr>
          <w:rFonts w:ascii="Times New Roman" w:hAnsi="Times New Roman"/>
          <w:bCs/>
          <w:iCs/>
          <w:sz w:val="24"/>
          <w:szCs w:val="20"/>
          <w:lang w:val="en-US"/>
        </w:rPr>
        <w:t xml:space="preserve"> are positive and</w:t>
      </w:r>
      <w:r w:rsidR="001C6060" w:rsidRPr="005B7CAC">
        <w:rPr>
          <w:rFonts w:ascii="Times New Roman" w:hAnsi="Times New Roman"/>
          <w:bCs/>
          <w:iCs/>
          <w:sz w:val="24"/>
          <w:szCs w:val="20"/>
          <w:lang w:val="en-US"/>
        </w:rPr>
        <w:t xml:space="preserve"> </w:t>
      </w:r>
      <w:r w:rsidR="00473950" w:rsidRPr="005B7CAC">
        <w:rPr>
          <w:rFonts w:ascii="Times New Roman" w:hAnsi="Times New Roman"/>
          <w:bCs/>
          <w:iCs/>
          <w:sz w:val="24"/>
          <w:szCs w:val="20"/>
          <w:lang w:val="en-US"/>
        </w:rPr>
        <w:t>significant</w:t>
      </w:r>
      <w:r w:rsidR="00605A66" w:rsidRPr="005B7CAC">
        <w:rPr>
          <w:rFonts w:ascii="Times New Roman" w:hAnsi="Times New Roman"/>
          <w:bCs/>
          <w:iCs/>
          <w:sz w:val="24"/>
          <w:szCs w:val="20"/>
          <w:lang w:val="en-US"/>
        </w:rPr>
        <w:t xml:space="preserve"> </w:t>
      </w:r>
      <w:r w:rsidR="00473950" w:rsidRPr="005B7CAC">
        <w:rPr>
          <w:rFonts w:ascii="Times New Roman" w:hAnsi="Times New Roman"/>
          <w:bCs/>
          <w:iCs/>
          <w:sz w:val="24"/>
          <w:szCs w:val="20"/>
          <w:lang w:val="en-US"/>
        </w:rPr>
        <w:t>(</w:t>
      </w:r>
      <w:r w:rsidR="00473950" w:rsidRPr="005B7CAC">
        <w:rPr>
          <w:rFonts w:ascii="Times New Roman" w:hAnsi="Times New Roman"/>
          <w:bCs/>
          <w:i/>
          <w:sz w:val="24"/>
          <w:szCs w:val="20"/>
          <w:lang w:val="en-US"/>
        </w:rPr>
        <w:t>p</w:t>
      </w:r>
      <w:r w:rsidR="00473950" w:rsidRPr="005B7CAC">
        <w:rPr>
          <w:rFonts w:ascii="Times New Roman" w:hAnsi="Times New Roman"/>
          <w:bCs/>
          <w:iCs/>
          <w:sz w:val="24"/>
          <w:szCs w:val="20"/>
          <w:lang w:val="en-US"/>
        </w:rPr>
        <w:t xml:space="preserve"> &lt; 0.01)</w:t>
      </w:r>
      <w:r w:rsidR="00952DF5" w:rsidRPr="005B7CAC">
        <w:rPr>
          <w:rFonts w:ascii="Times New Roman" w:hAnsi="Times New Roman"/>
          <w:bCs/>
          <w:iCs/>
          <w:sz w:val="24"/>
          <w:szCs w:val="20"/>
          <w:lang w:val="en-US"/>
        </w:rPr>
        <w:t>, implying that waste recycling decrease</w:t>
      </w:r>
      <w:r w:rsidR="001A0319" w:rsidRPr="005B7CAC">
        <w:rPr>
          <w:rFonts w:ascii="Times New Roman" w:hAnsi="Times New Roman"/>
          <w:bCs/>
          <w:iCs/>
          <w:sz w:val="24"/>
          <w:szCs w:val="20"/>
          <w:lang w:val="en-US"/>
        </w:rPr>
        <w:t>s</w:t>
      </w:r>
      <w:r w:rsidR="00952DF5" w:rsidRPr="005B7CAC">
        <w:rPr>
          <w:rFonts w:ascii="Times New Roman" w:hAnsi="Times New Roman"/>
          <w:bCs/>
          <w:iCs/>
          <w:sz w:val="24"/>
          <w:szCs w:val="20"/>
          <w:lang w:val="en-US"/>
        </w:rPr>
        <w:t xml:space="preserve"> </w:t>
      </w:r>
      <w:r w:rsidR="00952DF5" w:rsidRPr="005B7CAC">
        <w:rPr>
          <w:rFonts w:ascii="Times New Roman" w:hAnsi="Times New Roman"/>
          <w:bCs/>
          <w:i/>
          <w:sz w:val="24"/>
          <w:szCs w:val="20"/>
          <w:lang w:val="en-US"/>
        </w:rPr>
        <w:t>FD</w:t>
      </w:r>
      <w:r w:rsidR="00952DF5" w:rsidRPr="005B7CAC">
        <w:rPr>
          <w:rFonts w:ascii="Times New Roman" w:hAnsi="Times New Roman"/>
          <w:bCs/>
          <w:iCs/>
          <w:sz w:val="24"/>
          <w:szCs w:val="20"/>
          <w:lang w:val="en-US"/>
        </w:rPr>
        <w:t xml:space="preserve"> risks, consistent with </w:t>
      </w:r>
      <w:r w:rsidR="00952DF5" w:rsidRPr="005B7CAC">
        <w:rPr>
          <w:rFonts w:ascii="Times New Roman" w:hAnsi="Times New Roman"/>
          <w:bCs/>
          <w:i/>
          <w:sz w:val="24"/>
          <w:szCs w:val="20"/>
          <w:lang w:val="en-US"/>
        </w:rPr>
        <w:t>H1b.</w:t>
      </w:r>
      <w:r w:rsidR="00605A66" w:rsidRPr="005B7CAC">
        <w:rPr>
          <w:rFonts w:ascii="Times New Roman" w:hAnsi="Times New Roman"/>
          <w:bCs/>
          <w:iCs/>
          <w:sz w:val="24"/>
          <w:szCs w:val="20"/>
          <w:lang w:val="en-US"/>
        </w:rPr>
        <w:t xml:space="preserve"> This </w:t>
      </w:r>
      <w:r w:rsidR="00605A66" w:rsidRPr="005B7CAC">
        <w:rPr>
          <w:rFonts w:ascii="Times New Roman" w:hAnsi="Times New Roman"/>
          <w:bCs/>
          <w:iCs/>
          <w:sz w:val="24"/>
          <w:szCs w:val="20"/>
          <w:lang w:val="en-US"/>
        </w:rPr>
        <w:lastRenderedPageBreak/>
        <w:t>evidence</w:t>
      </w:r>
      <w:r w:rsidR="009F785F" w:rsidRPr="005B7CAC">
        <w:rPr>
          <w:rFonts w:ascii="Times New Roman" w:hAnsi="Times New Roman"/>
          <w:bCs/>
          <w:iCs/>
          <w:sz w:val="24"/>
          <w:szCs w:val="20"/>
          <w:lang w:val="en-US"/>
        </w:rPr>
        <w:t xml:space="preserve"> </w:t>
      </w:r>
      <w:r w:rsidR="008E0CF9" w:rsidRPr="005B7CAC">
        <w:rPr>
          <w:rFonts w:ascii="Times New Roman" w:hAnsi="Times New Roman"/>
          <w:bCs/>
          <w:iCs/>
          <w:sz w:val="24"/>
          <w:szCs w:val="20"/>
          <w:lang w:val="en-US"/>
        </w:rPr>
        <w:t>suggest</w:t>
      </w:r>
      <w:r w:rsidR="00234ED5" w:rsidRPr="005B7CAC">
        <w:rPr>
          <w:rFonts w:ascii="Times New Roman" w:hAnsi="Times New Roman"/>
          <w:bCs/>
          <w:iCs/>
          <w:sz w:val="24"/>
          <w:szCs w:val="20"/>
          <w:lang w:val="en-US"/>
        </w:rPr>
        <w:t xml:space="preserve">s that firms highly committed to climate mitigation through increased waste recycling have lower </w:t>
      </w:r>
      <w:r w:rsidR="00234ED5" w:rsidRPr="005B7CAC">
        <w:rPr>
          <w:rFonts w:ascii="Times New Roman" w:hAnsi="Times New Roman"/>
          <w:bCs/>
          <w:i/>
          <w:sz w:val="24"/>
          <w:szCs w:val="20"/>
          <w:lang w:val="en-US"/>
        </w:rPr>
        <w:t>FD</w:t>
      </w:r>
      <w:r w:rsidR="00234ED5" w:rsidRPr="005B7CAC">
        <w:rPr>
          <w:rFonts w:ascii="Times New Roman" w:hAnsi="Times New Roman"/>
          <w:bCs/>
          <w:iCs/>
          <w:sz w:val="24"/>
          <w:szCs w:val="20"/>
          <w:lang w:val="en-US"/>
        </w:rPr>
        <w:t xml:space="preserve"> levels.</w:t>
      </w:r>
      <w:r w:rsidR="00B86BCA" w:rsidRPr="005B7CAC">
        <w:rPr>
          <w:rFonts w:ascii="Times New Roman" w:hAnsi="Times New Roman"/>
          <w:bCs/>
          <w:iCs/>
          <w:sz w:val="24"/>
          <w:szCs w:val="20"/>
          <w:lang w:val="en-US"/>
        </w:rPr>
        <w:t xml:space="preserve"> </w:t>
      </w:r>
      <w:r w:rsidR="00070D2E" w:rsidRPr="005B7CAC">
        <w:rPr>
          <w:rFonts w:ascii="Times New Roman" w:hAnsi="Times New Roman"/>
          <w:bCs/>
          <w:iCs/>
          <w:sz w:val="24"/>
          <w:szCs w:val="20"/>
          <w:lang w:val="en-US"/>
        </w:rPr>
        <w:t>Taken together, the results</w:t>
      </w:r>
      <w:r w:rsidR="009350CB" w:rsidRPr="005B7CAC">
        <w:rPr>
          <w:rFonts w:ascii="Times New Roman" w:hAnsi="Times New Roman"/>
          <w:bCs/>
          <w:iCs/>
          <w:sz w:val="24"/>
          <w:szCs w:val="20"/>
          <w:lang w:val="en-US"/>
        </w:rPr>
        <w:t xml:space="preserve"> from the regression analysis imply that firms with improved </w:t>
      </w:r>
      <w:r w:rsidR="009350CB" w:rsidRPr="005B7CAC">
        <w:rPr>
          <w:rFonts w:ascii="Times New Roman" w:hAnsi="Times New Roman"/>
          <w:bCs/>
          <w:i/>
          <w:sz w:val="24"/>
          <w:szCs w:val="20"/>
          <w:lang w:val="en-US"/>
        </w:rPr>
        <w:t>WM</w:t>
      </w:r>
      <w:r w:rsidR="009350CB" w:rsidRPr="005B7CAC">
        <w:rPr>
          <w:rFonts w:ascii="Times New Roman" w:hAnsi="Times New Roman"/>
          <w:bCs/>
          <w:iCs/>
          <w:sz w:val="24"/>
          <w:szCs w:val="20"/>
          <w:lang w:val="en-US"/>
        </w:rPr>
        <w:t xml:space="preserve"> practices (reduced </w:t>
      </w:r>
      <w:r w:rsidR="0098075F" w:rsidRPr="005B7CAC">
        <w:rPr>
          <w:rFonts w:ascii="Times New Roman" w:hAnsi="Times New Roman"/>
          <w:bCs/>
          <w:iCs/>
          <w:sz w:val="24"/>
          <w:szCs w:val="20"/>
          <w:lang w:val="en-US"/>
        </w:rPr>
        <w:t xml:space="preserve">levels of </w:t>
      </w:r>
      <w:r w:rsidR="009350CB" w:rsidRPr="005B7CAC">
        <w:rPr>
          <w:rFonts w:ascii="Times New Roman" w:hAnsi="Times New Roman"/>
          <w:bCs/>
          <w:iCs/>
          <w:sz w:val="24"/>
          <w:szCs w:val="20"/>
          <w:lang w:val="en-US"/>
        </w:rPr>
        <w:t xml:space="preserve">waste </w:t>
      </w:r>
      <w:r w:rsidR="0098075F" w:rsidRPr="005B7CAC">
        <w:rPr>
          <w:rFonts w:ascii="Times New Roman" w:hAnsi="Times New Roman"/>
          <w:bCs/>
          <w:iCs/>
          <w:sz w:val="24"/>
          <w:szCs w:val="20"/>
          <w:lang w:val="en-US"/>
        </w:rPr>
        <w:t xml:space="preserve">generation and increased levels </w:t>
      </w:r>
      <w:r w:rsidR="00432523" w:rsidRPr="005B7CAC">
        <w:rPr>
          <w:rFonts w:ascii="Times New Roman" w:hAnsi="Times New Roman"/>
          <w:bCs/>
          <w:iCs/>
          <w:sz w:val="24"/>
          <w:szCs w:val="20"/>
          <w:lang w:val="en-US"/>
        </w:rPr>
        <w:t xml:space="preserve">of </w:t>
      </w:r>
      <w:r w:rsidR="0098075F" w:rsidRPr="005B7CAC">
        <w:rPr>
          <w:rFonts w:ascii="Times New Roman" w:hAnsi="Times New Roman"/>
          <w:bCs/>
          <w:iCs/>
          <w:sz w:val="24"/>
          <w:szCs w:val="20"/>
          <w:lang w:val="en-US"/>
        </w:rPr>
        <w:t xml:space="preserve">recycled waste) exhibit lower </w:t>
      </w:r>
      <w:r w:rsidR="0098075F" w:rsidRPr="005B7CAC">
        <w:rPr>
          <w:rFonts w:ascii="Times New Roman" w:hAnsi="Times New Roman"/>
          <w:bCs/>
          <w:i/>
          <w:sz w:val="24"/>
          <w:szCs w:val="20"/>
          <w:lang w:val="en-US"/>
        </w:rPr>
        <w:t>FD</w:t>
      </w:r>
      <w:r w:rsidR="0098075F" w:rsidRPr="005B7CAC">
        <w:rPr>
          <w:rFonts w:ascii="Times New Roman" w:hAnsi="Times New Roman"/>
          <w:bCs/>
          <w:iCs/>
          <w:sz w:val="24"/>
          <w:szCs w:val="20"/>
          <w:lang w:val="en-US"/>
        </w:rPr>
        <w:t xml:space="preserve"> risks. </w:t>
      </w:r>
      <w:r w:rsidR="00B86BCA" w:rsidRPr="005B7CAC">
        <w:rPr>
          <w:rFonts w:ascii="Times New Roman" w:hAnsi="Times New Roman"/>
          <w:bCs/>
          <w:iCs/>
          <w:sz w:val="24"/>
          <w:szCs w:val="20"/>
          <w:lang w:val="en-US"/>
        </w:rPr>
        <w:t xml:space="preserve">They also </w:t>
      </w:r>
      <w:r w:rsidR="00070D2E" w:rsidRPr="005B7CAC">
        <w:rPr>
          <w:rFonts w:ascii="Times New Roman" w:hAnsi="Times New Roman"/>
          <w:bCs/>
          <w:iCs/>
          <w:sz w:val="24"/>
          <w:szCs w:val="20"/>
          <w:lang w:val="en-US"/>
        </w:rPr>
        <w:t xml:space="preserve">support </w:t>
      </w:r>
      <w:r w:rsidR="00386A0C" w:rsidRPr="005B7CAC">
        <w:rPr>
          <w:rFonts w:ascii="Times New Roman" w:hAnsi="Times New Roman"/>
          <w:bCs/>
          <w:iCs/>
          <w:sz w:val="24"/>
          <w:szCs w:val="20"/>
          <w:lang w:val="en-US"/>
        </w:rPr>
        <w:t xml:space="preserve">the </w:t>
      </w:r>
      <w:r w:rsidR="00070D2E" w:rsidRPr="005B7CAC">
        <w:rPr>
          <w:rFonts w:ascii="Times New Roman" w:hAnsi="Times New Roman"/>
          <w:bCs/>
          <w:iCs/>
          <w:sz w:val="24"/>
          <w:szCs w:val="20"/>
          <w:lang w:val="en-US"/>
        </w:rPr>
        <w:t xml:space="preserve">stakeholder </w:t>
      </w:r>
      <w:r w:rsidR="00386A0C" w:rsidRPr="005B7CAC">
        <w:rPr>
          <w:rFonts w:ascii="Times New Roman" w:hAnsi="Times New Roman"/>
          <w:bCs/>
          <w:iCs/>
          <w:sz w:val="24"/>
          <w:szCs w:val="20"/>
          <w:lang w:val="en-US"/>
        </w:rPr>
        <w:t xml:space="preserve">view </w:t>
      </w:r>
      <w:r w:rsidR="00FD41B4" w:rsidRPr="005B7CAC">
        <w:rPr>
          <w:rFonts w:ascii="Times New Roman" w:hAnsi="Times New Roman"/>
          <w:bCs/>
          <w:iCs/>
          <w:sz w:val="24"/>
          <w:szCs w:val="20"/>
          <w:lang w:val="en-US"/>
        </w:rPr>
        <w:fldChar w:fldCharType="begin" w:fldLock="1"/>
      </w:r>
      <w:r w:rsidR="00FD41B4" w:rsidRPr="005B7CAC">
        <w:rPr>
          <w:rFonts w:ascii="Times New Roman" w:hAnsi="Times New Roman"/>
          <w:bCs/>
          <w:iCs/>
          <w:sz w:val="24"/>
          <w:szCs w:val="20"/>
          <w:lang w:val="en-US"/>
        </w:rPr>
        <w:instrText>ADDIN CSL_CITATION {"citationItems":[{"id":"ITEM-1","itemData":{"DOI":"10.5465/amr.1995.9503271992","ISSN":"0363-7425","abstract":"The stakeholder theory has been advanced and justified in the man- agement literature on the basis of its descriptive accuracy, instrumen- tal power, and normative validity. These three aspects of the theory, although interrelated, are quite distinct; they involve different types of evidence and argument and have different implications. In this article, we examine these three aspects of the theory and critique and integrate important contributions to the literature related to each. We conclude that the three aspects of stakeholder theory are mutually supportive and that the normative base of the theory-which includes the modern theory of property rights-is fundamental.","author":[{"dropping-particle":"","family":"Donaldson","given":"Thomas","non-dropping-particle":"","parse-names":false,"suffix":""},{"dropping-particle":"","family":"Preston","given":"Lee E.","non-dropping-particle":"","parse-names":false,"suffix":""}],"container-title":"Academy of Management Review","id":"ITEM-1","issue":"1","issued":{"date-parts":[["1995"]]},"page":"65-91","title":"The Stakeholder Theory of the Corporation: Concepts, Evidence, and Implications","type":"article-journal","volume":"20"},"uris":["http://www.mendeley.com/documents/?uuid=f4f284bb-59c8-3589-823c-818c0ddcda0a"]},{"id":"ITEM-2","itemData":{"ISBN":"0273019139","ISSN":"15565068","PMID":"134","abstract":"The purpose of this chapter is to outline the development of the idea of stakeholder management as it has come to be applied in strategic management. We begin by developing a brief history of the concept. We then suggest that traditionally the stakeholder approach to strategic management has several related characteristics that serve as distinguishing features. We review recent work on stakeholder theory and suggest how stakeholder management has affected the practice of management. We end by suggesting further research questions.","author":[{"dropping-particle":"","family":"Freeman","given":"R. Edward","non-dropping-particle":"","parse-names":false,"suffix":""}],"container-title":"Pitman Series in Business and Public Policy","id":"ITEM-2","issued":{"date-parts":[["1984"]]},"number-of-pages":"276","title":"Strategic Management: A Stakeholder Approach","type":"book"},"uris":["http://www.mendeley.com/documents/?uuid=3bad9f52-0d99-4364-a252-1c6e0055e693"]},{"id":"ITEM-3","itemData":{"DOI":"10.1111/auar.12366","ISSN":"18352561","abstract":"This study examines the association between corporate environmental performance and financial distress. Using a sample of Australian firms, we find that environmental performance is negatively related to the financial distress probability perceived by the market. In addition, the negative association between environmental performance and the financial distress probability is more pronounced for firms with a higher level of risk. The findings provide important empirical evidence regarding the implications of environmental performance on firms’ risk management.","author":[{"dropping-particle":"","family":"Jia","given":"Jing","non-dropping-particle":"","parse-names":false,"suffix":""},{"dropping-particle":"","family":"Li","given":"Zhongtian","non-dropping-particle":"","parse-names":false,"suffix":""}],"container-title":"Australian Accounting Review","id":"ITEM-3","issue":"2","issued":{"date-parts":[["2022"]]},"page":"188-200","title":"Corporate Environmental Performance and Financial Distress: Evidence from Australia","type":"article-journal","volume":"32"},"uris":["http://www.mendeley.com/documents/?uuid=e29c5adf-e7ff-3dee-9c25-48e25598f3e7"]}],"mendeley":{"formattedCitation":"(Donaldson and Preston, 1995; Freeman, 1984; Jia and Li, 2022)","plainTextFormattedCitation":"(Donaldson and Preston, 1995; Freeman, 1984; Jia and Li, 2022)","previouslyFormattedCitation":"(Donaldson and Preston, 1995; Freeman, 1984; Jia and Li, 2022)"},"properties":{"noteIndex":0},"schema":"https://github.com/citation-style-language/schema/raw/master/csl-citation.json"}</w:instrText>
      </w:r>
      <w:r w:rsidR="00FD41B4" w:rsidRPr="005B7CAC">
        <w:rPr>
          <w:rFonts w:ascii="Times New Roman" w:hAnsi="Times New Roman"/>
          <w:bCs/>
          <w:iCs/>
          <w:sz w:val="24"/>
          <w:szCs w:val="20"/>
          <w:lang w:val="en-US"/>
        </w:rPr>
        <w:fldChar w:fldCharType="separate"/>
      </w:r>
      <w:r w:rsidR="00D872B6" w:rsidRPr="005B7CAC">
        <w:rPr>
          <w:rFonts w:ascii="Times New Roman" w:hAnsi="Times New Roman"/>
          <w:bCs/>
          <w:iCs/>
          <w:noProof/>
          <w:sz w:val="24"/>
          <w:szCs w:val="20"/>
          <w:lang w:val="en-US"/>
        </w:rPr>
        <w:t>(Donaldson and Preston, 1995; Freeman, 1984; Jia and Li, 2022)</w:t>
      </w:r>
      <w:r w:rsidR="00FD41B4" w:rsidRPr="005B7CAC">
        <w:rPr>
          <w:rFonts w:ascii="Times New Roman" w:hAnsi="Times New Roman"/>
          <w:bCs/>
          <w:iCs/>
          <w:sz w:val="24"/>
          <w:szCs w:val="20"/>
          <w:lang w:val="en-US"/>
        </w:rPr>
        <w:fldChar w:fldCharType="end"/>
      </w:r>
      <w:r w:rsidR="00072C7B" w:rsidRPr="005B7CAC">
        <w:rPr>
          <w:rFonts w:ascii="Times New Roman" w:hAnsi="Times New Roman"/>
          <w:bCs/>
          <w:iCs/>
          <w:sz w:val="24"/>
          <w:szCs w:val="20"/>
          <w:lang w:val="en-US"/>
        </w:rPr>
        <w:t xml:space="preserve"> in </w:t>
      </w:r>
      <w:r w:rsidR="00070D2E" w:rsidRPr="005B7CAC">
        <w:rPr>
          <w:rFonts w:ascii="Times New Roman" w:hAnsi="Times New Roman"/>
          <w:bCs/>
          <w:iCs/>
          <w:sz w:val="24"/>
          <w:szCs w:val="20"/>
          <w:lang w:val="en-US"/>
        </w:rPr>
        <w:t>that effective environmental</w:t>
      </w:r>
      <w:r w:rsidR="009350CB" w:rsidRPr="005B7CAC">
        <w:rPr>
          <w:rFonts w:ascii="Times New Roman" w:hAnsi="Times New Roman"/>
          <w:bCs/>
          <w:iCs/>
          <w:sz w:val="24"/>
          <w:szCs w:val="20"/>
          <w:lang w:val="en-US"/>
        </w:rPr>
        <w:t xml:space="preserve"> activities</w:t>
      </w:r>
      <w:r w:rsidR="00072C7B" w:rsidRPr="005B7CAC">
        <w:rPr>
          <w:rFonts w:ascii="Times New Roman" w:hAnsi="Times New Roman"/>
          <w:bCs/>
          <w:iCs/>
          <w:sz w:val="24"/>
          <w:szCs w:val="20"/>
          <w:lang w:val="en-US"/>
        </w:rPr>
        <w:t>/practices</w:t>
      </w:r>
      <w:r w:rsidR="00070D2E" w:rsidRPr="005B7CAC">
        <w:rPr>
          <w:rFonts w:ascii="Times New Roman" w:hAnsi="Times New Roman"/>
          <w:bCs/>
          <w:iCs/>
          <w:sz w:val="24"/>
          <w:szCs w:val="20"/>
          <w:lang w:val="en-US"/>
        </w:rPr>
        <w:t xml:space="preserve">, </w:t>
      </w:r>
      <w:r w:rsidR="00072C7B" w:rsidRPr="005B7CAC">
        <w:rPr>
          <w:rFonts w:ascii="Times New Roman" w:hAnsi="Times New Roman"/>
          <w:bCs/>
          <w:iCs/>
          <w:sz w:val="24"/>
          <w:szCs w:val="20"/>
          <w:lang w:val="en-US"/>
        </w:rPr>
        <w:t xml:space="preserve">such as </w:t>
      </w:r>
      <w:r w:rsidR="00070D2E" w:rsidRPr="005B7CAC">
        <w:rPr>
          <w:rFonts w:ascii="Times New Roman" w:hAnsi="Times New Roman"/>
          <w:bCs/>
          <w:i/>
          <w:sz w:val="24"/>
          <w:szCs w:val="20"/>
          <w:lang w:val="en-US"/>
        </w:rPr>
        <w:t>WM</w:t>
      </w:r>
      <w:r w:rsidR="00CF5358" w:rsidRPr="005B7CAC">
        <w:rPr>
          <w:rFonts w:ascii="Times New Roman" w:hAnsi="Times New Roman"/>
          <w:bCs/>
          <w:iCs/>
          <w:sz w:val="24"/>
          <w:szCs w:val="20"/>
          <w:lang w:val="en-US"/>
        </w:rPr>
        <w:t xml:space="preserve">, </w:t>
      </w:r>
      <w:r w:rsidR="00070D2E" w:rsidRPr="005B7CAC">
        <w:rPr>
          <w:rFonts w:ascii="Times New Roman" w:hAnsi="Times New Roman"/>
          <w:bCs/>
          <w:iCs/>
          <w:sz w:val="24"/>
          <w:szCs w:val="20"/>
          <w:lang w:val="en-US"/>
        </w:rPr>
        <w:t>help</w:t>
      </w:r>
      <w:r w:rsidR="00D872B6" w:rsidRPr="005B7CAC">
        <w:rPr>
          <w:rFonts w:ascii="Times New Roman" w:hAnsi="Times New Roman"/>
          <w:bCs/>
          <w:iCs/>
          <w:sz w:val="24"/>
          <w:szCs w:val="20"/>
          <w:lang w:val="en-US"/>
        </w:rPr>
        <w:t xml:space="preserve"> </w:t>
      </w:r>
      <w:r w:rsidR="00070D2E" w:rsidRPr="005B7CAC">
        <w:rPr>
          <w:rFonts w:ascii="Times New Roman" w:hAnsi="Times New Roman"/>
          <w:bCs/>
          <w:iCs/>
          <w:sz w:val="24"/>
          <w:szCs w:val="20"/>
          <w:lang w:val="en-US"/>
        </w:rPr>
        <w:t xml:space="preserve">firms </w:t>
      </w:r>
      <w:r w:rsidR="0017325F" w:rsidRPr="005B7CAC">
        <w:rPr>
          <w:rFonts w:ascii="Times New Roman" w:hAnsi="Times New Roman"/>
          <w:iCs/>
          <w:sz w:val="24"/>
          <w:szCs w:val="20"/>
          <w:lang w:val="en-US"/>
        </w:rPr>
        <w:t>establish/maintain positive stakeholder relationships</w:t>
      </w:r>
      <w:r w:rsidR="0017325F" w:rsidRPr="005B7CAC">
        <w:rPr>
          <w:rFonts w:ascii="Times New Roman" w:hAnsi="Times New Roman"/>
          <w:bCs/>
          <w:iCs/>
          <w:sz w:val="24"/>
          <w:szCs w:val="20"/>
          <w:lang w:val="en-US"/>
        </w:rPr>
        <w:t xml:space="preserve">, </w:t>
      </w:r>
      <w:r w:rsidR="00070D2E" w:rsidRPr="005B7CAC">
        <w:rPr>
          <w:rFonts w:ascii="Times New Roman" w:hAnsi="Times New Roman"/>
          <w:bCs/>
          <w:iCs/>
          <w:sz w:val="24"/>
          <w:szCs w:val="20"/>
          <w:lang w:val="en-US"/>
        </w:rPr>
        <w:t>enhance stakeholders’ trust,</w:t>
      </w:r>
      <w:r w:rsidR="00F33F02" w:rsidRPr="005B7CAC">
        <w:rPr>
          <w:rFonts w:ascii="Times New Roman" w:hAnsi="Times New Roman"/>
          <w:bCs/>
          <w:iCs/>
          <w:sz w:val="24"/>
          <w:szCs w:val="20"/>
          <w:lang w:val="en-US"/>
        </w:rPr>
        <w:t xml:space="preserve"> </w:t>
      </w:r>
      <w:r w:rsidR="0017325F" w:rsidRPr="005B7CAC">
        <w:rPr>
          <w:rFonts w:ascii="Times New Roman" w:hAnsi="Times New Roman"/>
          <w:iCs/>
          <w:sz w:val="24"/>
          <w:szCs w:val="20"/>
          <w:lang w:val="en-US"/>
        </w:rPr>
        <w:t xml:space="preserve">attract </w:t>
      </w:r>
      <w:r w:rsidR="00F33F02" w:rsidRPr="005B7CAC">
        <w:rPr>
          <w:rFonts w:ascii="Times New Roman" w:hAnsi="Times New Roman"/>
          <w:iCs/>
          <w:sz w:val="24"/>
          <w:szCs w:val="20"/>
          <w:lang w:val="en-US"/>
        </w:rPr>
        <w:t>green investments</w:t>
      </w:r>
      <w:r w:rsidR="0017325F" w:rsidRPr="005B7CAC">
        <w:rPr>
          <w:rFonts w:ascii="Times New Roman" w:hAnsi="Times New Roman"/>
          <w:iCs/>
          <w:sz w:val="24"/>
          <w:szCs w:val="20"/>
          <w:lang w:val="en-US"/>
        </w:rPr>
        <w:t>, improve sustainability</w:t>
      </w:r>
      <w:r w:rsidR="00F33F02" w:rsidRPr="005B7CAC">
        <w:rPr>
          <w:rFonts w:ascii="Times New Roman" w:hAnsi="Times New Roman"/>
          <w:iCs/>
          <w:sz w:val="24"/>
          <w:szCs w:val="20"/>
          <w:lang w:val="en-US"/>
        </w:rPr>
        <w:t xml:space="preserve">, and </w:t>
      </w:r>
      <w:r w:rsidR="0017325F" w:rsidRPr="005B7CAC">
        <w:rPr>
          <w:rFonts w:ascii="Times New Roman" w:hAnsi="Times New Roman"/>
          <w:bCs/>
          <w:iCs/>
          <w:sz w:val="24"/>
          <w:szCs w:val="20"/>
          <w:lang w:val="en-US"/>
        </w:rPr>
        <w:t>provid</w:t>
      </w:r>
      <w:r w:rsidR="00F33F02" w:rsidRPr="005B7CAC">
        <w:rPr>
          <w:rFonts w:ascii="Times New Roman" w:hAnsi="Times New Roman"/>
          <w:bCs/>
          <w:iCs/>
          <w:sz w:val="24"/>
          <w:szCs w:val="20"/>
          <w:lang w:val="en-US"/>
        </w:rPr>
        <w:t>e</w:t>
      </w:r>
      <w:r w:rsidR="0017325F" w:rsidRPr="005B7CAC">
        <w:rPr>
          <w:rFonts w:ascii="Times New Roman" w:hAnsi="Times New Roman"/>
          <w:bCs/>
          <w:iCs/>
          <w:sz w:val="24"/>
          <w:szCs w:val="20"/>
          <w:lang w:val="en-US"/>
        </w:rPr>
        <w:t xml:space="preserve"> ‘shield</w:t>
      </w:r>
      <w:r w:rsidR="00F33F02" w:rsidRPr="005B7CAC">
        <w:rPr>
          <w:rFonts w:ascii="Times New Roman" w:hAnsi="Times New Roman"/>
          <w:bCs/>
          <w:iCs/>
          <w:sz w:val="24"/>
          <w:szCs w:val="20"/>
          <w:lang w:val="en-US"/>
        </w:rPr>
        <w:t>s</w:t>
      </w:r>
      <w:r w:rsidR="0017325F" w:rsidRPr="005B7CAC">
        <w:rPr>
          <w:rFonts w:ascii="Times New Roman" w:hAnsi="Times New Roman"/>
          <w:bCs/>
          <w:iCs/>
          <w:sz w:val="24"/>
          <w:szCs w:val="20"/>
          <w:lang w:val="en-US"/>
        </w:rPr>
        <w:t>’ against negative financial outcomes</w:t>
      </w:r>
      <w:r w:rsidR="00F33F02" w:rsidRPr="005B7CAC">
        <w:rPr>
          <w:rFonts w:ascii="Times New Roman" w:hAnsi="Times New Roman"/>
          <w:bCs/>
          <w:iCs/>
          <w:sz w:val="24"/>
          <w:szCs w:val="20"/>
          <w:lang w:val="en-US"/>
        </w:rPr>
        <w:t xml:space="preserve">, thus </w:t>
      </w:r>
      <w:r w:rsidR="0017325F" w:rsidRPr="005B7CAC">
        <w:rPr>
          <w:rFonts w:ascii="Times New Roman" w:hAnsi="Times New Roman"/>
          <w:bCs/>
          <w:iCs/>
          <w:sz w:val="24"/>
          <w:szCs w:val="20"/>
          <w:lang w:val="en-US"/>
        </w:rPr>
        <w:t xml:space="preserve">resulting in lower </w:t>
      </w:r>
      <w:r w:rsidR="0017325F" w:rsidRPr="005B7CAC">
        <w:rPr>
          <w:rFonts w:ascii="Times New Roman" w:hAnsi="Times New Roman"/>
          <w:bCs/>
          <w:i/>
          <w:sz w:val="24"/>
          <w:szCs w:val="20"/>
          <w:lang w:val="en-US"/>
        </w:rPr>
        <w:t>FD</w:t>
      </w:r>
      <w:r w:rsidR="0017325F" w:rsidRPr="005B7CAC">
        <w:rPr>
          <w:rFonts w:ascii="Times New Roman" w:hAnsi="Times New Roman"/>
          <w:bCs/>
          <w:iCs/>
          <w:sz w:val="24"/>
          <w:szCs w:val="20"/>
          <w:lang w:val="en-US"/>
        </w:rPr>
        <w:t xml:space="preserve"> risks</w:t>
      </w:r>
      <w:r w:rsidR="00BC71FE" w:rsidRPr="005B7CAC">
        <w:rPr>
          <w:rFonts w:ascii="Times New Roman" w:hAnsi="Times New Roman"/>
          <w:bCs/>
          <w:iCs/>
          <w:sz w:val="24"/>
          <w:szCs w:val="20"/>
          <w:lang w:val="en-US"/>
        </w:rPr>
        <w:t>.</w:t>
      </w:r>
    </w:p>
    <w:p w14:paraId="48FE0811" w14:textId="0C3CBC0F" w:rsidR="00692C7C" w:rsidRPr="005B7CAC" w:rsidRDefault="00ED1A0D" w:rsidP="003D5418">
      <w:pPr>
        <w:widowControl w:val="0"/>
        <w:autoSpaceDE w:val="0"/>
        <w:autoSpaceDN w:val="0"/>
        <w:adjustRightInd w:val="0"/>
        <w:spacing w:after="240" w:line="360" w:lineRule="auto"/>
        <w:jc w:val="both"/>
        <w:rPr>
          <w:rFonts w:ascii="Times New Roman" w:hAnsi="Times New Roman"/>
          <w:bCs/>
          <w:iCs/>
          <w:sz w:val="24"/>
          <w:szCs w:val="20"/>
          <w:lang w:val="en-US"/>
        </w:rPr>
      </w:pPr>
      <w:r w:rsidRPr="005B7CAC">
        <w:rPr>
          <w:rFonts w:ascii="Times New Roman" w:hAnsi="Times New Roman"/>
          <w:bCs/>
          <w:iCs/>
          <w:sz w:val="24"/>
          <w:szCs w:val="20"/>
          <w:lang w:val="en-US"/>
        </w:rPr>
        <w:t xml:space="preserve">Columns 1-4 (Table </w:t>
      </w:r>
      <w:r w:rsidR="00B92733" w:rsidRPr="005B7CAC">
        <w:rPr>
          <w:rFonts w:ascii="Times New Roman" w:hAnsi="Times New Roman"/>
          <w:bCs/>
          <w:iCs/>
          <w:sz w:val="24"/>
          <w:szCs w:val="20"/>
          <w:lang w:val="en-US"/>
        </w:rPr>
        <w:t>5</w:t>
      </w:r>
      <w:r w:rsidRPr="005B7CAC">
        <w:rPr>
          <w:rFonts w:ascii="Times New Roman" w:hAnsi="Times New Roman"/>
          <w:bCs/>
          <w:iCs/>
          <w:sz w:val="24"/>
          <w:szCs w:val="20"/>
          <w:lang w:val="en-US"/>
        </w:rPr>
        <w:t xml:space="preserve">) further show that </w:t>
      </w:r>
      <w:r w:rsidR="001A1CB2" w:rsidRPr="005B7CAC">
        <w:rPr>
          <w:rFonts w:ascii="Times New Roman" w:hAnsi="Times New Roman"/>
          <w:bCs/>
          <w:i/>
          <w:sz w:val="24"/>
          <w:szCs w:val="20"/>
          <w:lang w:val="en-US"/>
        </w:rPr>
        <w:t>GINV</w:t>
      </w:r>
      <w:r w:rsidR="00B85636" w:rsidRPr="005B7CAC">
        <w:rPr>
          <w:rFonts w:ascii="Times New Roman" w:hAnsi="Times New Roman"/>
          <w:bCs/>
          <w:i/>
          <w:sz w:val="24"/>
          <w:szCs w:val="20"/>
          <w:lang w:val="en-US"/>
        </w:rPr>
        <w:t>s</w:t>
      </w:r>
      <w:r w:rsidR="00E912D6" w:rsidRPr="005B7CAC">
        <w:rPr>
          <w:rFonts w:ascii="Times New Roman" w:hAnsi="Times New Roman"/>
          <w:bCs/>
          <w:iCs/>
          <w:sz w:val="24"/>
          <w:szCs w:val="20"/>
          <w:lang w:val="en-US"/>
        </w:rPr>
        <w:t xml:space="preserve"> are positive </w:t>
      </w:r>
      <w:r w:rsidR="00B648DA" w:rsidRPr="005B7CAC">
        <w:rPr>
          <w:rFonts w:ascii="Times New Roman" w:hAnsi="Times New Roman"/>
          <w:bCs/>
          <w:iCs/>
          <w:sz w:val="24"/>
          <w:szCs w:val="20"/>
          <w:lang w:val="en-US"/>
        </w:rPr>
        <w:t xml:space="preserve">and significant </w:t>
      </w:r>
      <w:r w:rsidR="00B92733" w:rsidRPr="005B7CAC">
        <w:rPr>
          <w:rFonts w:ascii="Times New Roman" w:hAnsi="Times New Roman"/>
          <w:bCs/>
          <w:iCs/>
          <w:sz w:val="24"/>
          <w:szCs w:val="20"/>
          <w:lang w:val="en-US"/>
        </w:rPr>
        <w:t xml:space="preserve">with </w:t>
      </w:r>
      <w:r w:rsidR="00B92733" w:rsidRPr="005B7CAC">
        <w:rPr>
          <w:rFonts w:ascii="Times New Roman" w:hAnsi="Times New Roman"/>
          <w:bCs/>
          <w:i/>
          <w:sz w:val="24"/>
          <w:szCs w:val="20"/>
          <w:lang w:val="en-US"/>
        </w:rPr>
        <w:t>Z_UK</w:t>
      </w:r>
      <w:r w:rsidR="00B92733" w:rsidRPr="005B7CAC">
        <w:rPr>
          <w:rFonts w:ascii="Times New Roman" w:hAnsi="Times New Roman"/>
          <w:bCs/>
          <w:iCs/>
          <w:sz w:val="24"/>
          <w:szCs w:val="20"/>
          <w:lang w:val="en-US"/>
        </w:rPr>
        <w:t xml:space="preserve"> (</w:t>
      </w:r>
      <w:r w:rsidR="00B92733" w:rsidRPr="005B7CAC">
        <w:rPr>
          <w:rFonts w:ascii="Times New Roman" w:hAnsi="Times New Roman"/>
          <w:bCs/>
          <w:i/>
          <w:sz w:val="24"/>
          <w:szCs w:val="20"/>
          <w:lang w:val="en-US"/>
        </w:rPr>
        <w:t>p</w:t>
      </w:r>
      <w:r w:rsidR="00B92733" w:rsidRPr="005B7CAC">
        <w:rPr>
          <w:rFonts w:ascii="Times New Roman" w:hAnsi="Times New Roman"/>
          <w:bCs/>
          <w:iCs/>
          <w:sz w:val="24"/>
          <w:szCs w:val="20"/>
          <w:lang w:val="en-US"/>
        </w:rPr>
        <w:t xml:space="preserve"> &lt; 0.01) and </w:t>
      </w:r>
      <w:r w:rsidR="00B92733" w:rsidRPr="005B7CAC">
        <w:rPr>
          <w:rFonts w:ascii="Times New Roman" w:hAnsi="Times New Roman"/>
          <w:bCs/>
          <w:i/>
          <w:sz w:val="24"/>
          <w:szCs w:val="20"/>
          <w:lang w:val="en-US"/>
        </w:rPr>
        <w:t>Z_ALT</w:t>
      </w:r>
      <w:r w:rsidR="00B92733" w:rsidRPr="005B7CAC">
        <w:rPr>
          <w:rFonts w:ascii="Times New Roman" w:hAnsi="Times New Roman"/>
          <w:bCs/>
          <w:iCs/>
          <w:sz w:val="24"/>
          <w:szCs w:val="20"/>
          <w:lang w:val="en-US"/>
        </w:rPr>
        <w:t xml:space="preserve"> (</w:t>
      </w:r>
      <w:r w:rsidR="00B92733" w:rsidRPr="005B7CAC">
        <w:rPr>
          <w:rFonts w:ascii="Times New Roman" w:hAnsi="Times New Roman"/>
          <w:bCs/>
          <w:i/>
          <w:sz w:val="24"/>
          <w:szCs w:val="20"/>
          <w:lang w:val="en-US"/>
        </w:rPr>
        <w:t>p</w:t>
      </w:r>
      <w:r w:rsidR="00B92733" w:rsidRPr="005B7CAC">
        <w:rPr>
          <w:rFonts w:ascii="Times New Roman" w:hAnsi="Times New Roman"/>
          <w:bCs/>
          <w:iCs/>
          <w:sz w:val="24"/>
          <w:szCs w:val="20"/>
          <w:lang w:val="en-US"/>
        </w:rPr>
        <w:t xml:space="preserve"> &lt; 0.01)</w:t>
      </w:r>
      <w:r w:rsidR="00E20BF8" w:rsidRPr="005B7CAC">
        <w:rPr>
          <w:rFonts w:ascii="Times New Roman" w:hAnsi="Times New Roman"/>
          <w:bCs/>
          <w:iCs/>
          <w:sz w:val="24"/>
          <w:szCs w:val="20"/>
          <w:lang w:val="en-US"/>
        </w:rPr>
        <w:t xml:space="preserve">, indicating that green </w:t>
      </w:r>
      <w:r w:rsidR="00726F7E" w:rsidRPr="005B7CAC">
        <w:rPr>
          <w:rFonts w:ascii="Times New Roman" w:hAnsi="Times New Roman"/>
          <w:bCs/>
          <w:iCs/>
          <w:sz w:val="24"/>
          <w:szCs w:val="20"/>
          <w:lang w:val="en-US"/>
        </w:rPr>
        <w:t>initiatives</w:t>
      </w:r>
      <w:r w:rsidR="00E20BF8" w:rsidRPr="005B7CAC">
        <w:rPr>
          <w:rFonts w:ascii="Times New Roman" w:hAnsi="Times New Roman"/>
          <w:bCs/>
          <w:iCs/>
          <w:sz w:val="24"/>
          <w:szCs w:val="20"/>
          <w:lang w:val="en-US"/>
        </w:rPr>
        <w:t xml:space="preserve"> decrease </w:t>
      </w:r>
      <w:r w:rsidR="00E20BF8" w:rsidRPr="005B7CAC">
        <w:rPr>
          <w:rFonts w:ascii="Times New Roman" w:hAnsi="Times New Roman"/>
          <w:bCs/>
          <w:i/>
          <w:sz w:val="24"/>
          <w:szCs w:val="20"/>
          <w:lang w:val="en-US"/>
        </w:rPr>
        <w:t>FD</w:t>
      </w:r>
      <w:r w:rsidR="00BA0BB6" w:rsidRPr="005B7CAC">
        <w:rPr>
          <w:rFonts w:ascii="Times New Roman" w:hAnsi="Times New Roman"/>
          <w:bCs/>
          <w:iCs/>
          <w:sz w:val="24"/>
          <w:szCs w:val="20"/>
          <w:lang w:val="en-US"/>
        </w:rPr>
        <w:t>.</w:t>
      </w:r>
      <w:r w:rsidR="007C65B0" w:rsidRPr="005B7CAC">
        <w:rPr>
          <w:rFonts w:ascii="Times New Roman" w:hAnsi="Times New Roman"/>
          <w:bCs/>
          <w:iCs/>
          <w:sz w:val="24"/>
          <w:szCs w:val="20"/>
          <w:lang w:val="en-US"/>
        </w:rPr>
        <w:t xml:space="preserve"> </w:t>
      </w:r>
      <w:r w:rsidR="00E20BF8" w:rsidRPr="005B7CAC">
        <w:rPr>
          <w:rFonts w:ascii="Times New Roman" w:hAnsi="Times New Roman"/>
          <w:bCs/>
          <w:iCs/>
          <w:sz w:val="24"/>
          <w:szCs w:val="20"/>
          <w:lang w:val="en-US"/>
        </w:rPr>
        <w:t xml:space="preserve">In other words, </w:t>
      </w:r>
      <w:r w:rsidR="00B92733" w:rsidRPr="005B7CAC">
        <w:rPr>
          <w:rFonts w:ascii="Times New Roman" w:hAnsi="Times New Roman"/>
          <w:bCs/>
          <w:iCs/>
          <w:sz w:val="24"/>
          <w:szCs w:val="20"/>
          <w:lang w:val="en-US"/>
        </w:rPr>
        <w:t xml:space="preserve">firms with increased </w:t>
      </w:r>
      <w:r w:rsidR="00A8064C" w:rsidRPr="005B7CAC">
        <w:rPr>
          <w:rFonts w:ascii="Times New Roman" w:hAnsi="Times New Roman"/>
          <w:bCs/>
          <w:iCs/>
          <w:sz w:val="24"/>
          <w:szCs w:val="20"/>
          <w:lang w:val="en-US"/>
        </w:rPr>
        <w:t xml:space="preserve">eco-friendly green </w:t>
      </w:r>
      <w:r w:rsidR="00B92733" w:rsidRPr="005B7CAC">
        <w:rPr>
          <w:rFonts w:ascii="Times New Roman" w:hAnsi="Times New Roman"/>
          <w:bCs/>
          <w:iCs/>
          <w:sz w:val="24"/>
          <w:szCs w:val="20"/>
          <w:lang w:val="en-US"/>
        </w:rPr>
        <w:t xml:space="preserve">transformation </w:t>
      </w:r>
      <w:r w:rsidR="007C65B0" w:rsidRPr="005B7CAC">
        <w:rPr>
          <w:rFonts w:ascii="Times New Roman" w:hAnsi="Times New Roman"/>
          <w:bCs/>
          <w:iCs/>
          <w:sz w:val="24"/>
          <w:szCs w:val="20"/>
          <w:lang w:val="en-US"/>
        </w:rPr>
        <w:t>initiatives</w:t>
      </w:r>
      <w:r w:rsidR="00A8064C" w:rsidRPr="005B7CAC">
        <w:rPr>
          <w:rFonts w:ascii="Times New Roman" w:hAnsi="Times New Roman"/>
          <w:bCs/>
          <w:iCs/>
          <w:sz w:val="24"/>
          <w:szCs w:val="20"/>
          <w:lang w:val="en-US"/>
        </w:rPr>
        <w:t xml:space="preserve"> </w:t>
      </w:r>
      <w:r w:rsidR="00B92733" w:rsidRPr="005B7CAC">
        <w:rPr>
          <w:rFonts w:ascii="Times New Roman" w:hAnsi="Times New Roman"/>
          <w:bCs/>
          <w:iCs/>
          <w:sz w:val="24"/>
          <w:szCs w:val="20"/>
          <w:lang w:val="en-US"/>
        </w:rPr>
        <w:t>have lower</w:t>
      </w:r>
      <w:r w:rsidR="00A8064C" w:rsidRPr="005B7CAC">
        <w:rPr>
          <w:rFonts w:ascii="Times New Roman" w:hAnsi="Times New Roman"/>
          <w:bCs/>
          <w:iCs/>
          <w:sz w:val="24"/>
          <w:szCs w:val="20"/>
          <w:lang w:val="en-US"/>
        </w:rPr>
        <w:t xml:space="preserve"> </w:t>
      </w:r>
      <w:r w:rsidR="0055452C" w:rsidRPr="005B7CAC">
        <w:rPr>
          <w:rFonts w:ascii="Times New Roman" w:hAnsi="Times New Roman"/>
          <w:bCs/>
          <w:i/>
          <w:sz w:val="24"/>
          <w:szCs w:val="20"/>
          <w:lang w:val="en-US"/>
        </w:rPr>
        <w:t>FD</w:t>
      </w:r>
      <w:r w:rsidR="00A8064C" w:rsidRPr="005B7CAC">
        <w:rPr>
          <w:rFonts w:ascii="Times New Roman" w:hAnsi="Times New Roman"/>
          <w:bCs/>
          <w:iCs/>
          <w:sz w:val="24"/>
          <w:szCs w:val="20"/>
          <w:lang w:val="en-US"/>
        </w:rPr>
        <w:t xml:space="preserve"> risks. </w:t>
      </w:r>
      <w:r w:rsidR="00B648DA" w:rsidRPr="005B7CAC">
        <w:rPr>
          <w:rFonts w:ascii="Times New Roman" w:hAnsi="Times New Roman"/>
          <w:bCs/>
          <w:iCs/>
          <w:sz w:val="24"/>
          <w:szCs w:val="20"/>
          <w:lang w:val="en-US"/>
        </w:rPr>
        <w:t>Further,</w:t>
      </w:r>
      <w:r w:rsidR="00A70F63" w:rsidRPr="005B7CAC">
        <w:rPr>
          <w:rFonts w:ascii="Times New Roman" w:hAnsi="Times New Roman"/>
          <w:bCs/>
          <w:iCs/>
          <w:sz w:val="24"/>
          <w:szCs w:val="20"/>
          <w:lang w:val="en-US"/>
        </w:rPr>
        <w:t xml:space="preserve"> </w:t>
      </w:r>
      <w:r w:rsidR="00B648DA" w:rsidRPr="005B7CAC">
        <w:rPr>
          <w:rFonts w:ascii="Times New Roman" w:hAnsi="Times New Roman"/>
          <w:bCs/>
          <w:i/>
          <w:sz w:val="24"/>
          <w:szCs w:val="20"/>
          <w:lang w:val="en-US"/>
        </w:rPr>
        <w:t>WAST*</w:t>
      </w:r>
      <w:r w:rsidR="001A1CB2" w:rsidRPr="005B7CAC">
        <w:rPr>
          <w:rFonts w:ascii="Times New Roman" w:hAnsi="Times New Roman"/>
          <w:bCs/>
          <w:i/>
          <w:sz w:val="24"/>
          <w:szCs w:val="20"/>
          <w:lang w:val="en-US"/>
        </w:rPr>
        <w:t>GINV</w:t>
      </w:r>
      <w:r w:rsidR="00B85636" w:rsidRPr="005B7CAC">
        <w:rPr>
          <w:rFonts w:ascii="Times New Roman" w:hAnsi="Times New Roman"/>
          <w:bCs/>
          <w:i/>
          <w:sz w:val="24"/>
          <w:szCs w:val="20"/>
          <w:lang w:val="en-US"/>
        </w:rPr>
        <w:t>s</w:t>
      </w:r>
      <w:r w:rsidR="00B648DA" w:rsidRPr="005B7CAC">
        <w:rPr>
          <w:rFonts w:ascii="Times New Roman" w:hAnsi="Times New Roman"/>
          <w:bCs/>
          <w:iCs/>
          <w:sz w:val="24"/>
          <w:szCs w:val="20"/>
          <w:lang w:val="en-US"/>
        </w:rPr>
        <w:t xml:space="preserve"> is </w:t>
      </w:r>
      <w:r w:rsidR="003A5358" w:rsidRPr="005B7CAC">
        <w:rPr>
          <w:rFonts w:ascii="Times New Roman" w:hAnsi="Times New Roman"/>
          <w:bCs/>
          <w:iCs/>
          <w:sz w:val="24"/>
          <w:szCs w:val="20"/>
          <w:lang w:val="en-US"/>
        </w:rPr>
        <w:t xml:space="preserve">significantly </w:t>
      </w:r>
      <w:r w:rsidR="009860D9" w:rsidRPr="005B7CAC">
        <w:rPr>
          <w:rFonts w:ascii="Times New Roman" w:hAnsi="Times New Roman"/>
          <w:bCs/>
          <w:iCs/>
          <w:sz w:val="24"/>
          <w:szCs w:val="20"/>
          <w:lang w:val="en-US"/>
        </w:rPr>
        <w:t>positive</w:t>
      </w:r>
      <w:r w:rsidR="00B648DA" w:rsidRPr="005B7CAC">
        <w:rPr>
          <w:rFonts w:ascii="Times New Roman" w:hAnsi="Times New Roman"/>
          <w:bCs/>
          <w:iCs/>
          <w:sz w:val="24"/>
          <w:szCs w:val="20"/>
          <w:lang w:val="en-US"/>
        </w:rPr>
        <w:t xml:space="preserve"> </w:t>
      </w:r>
      <w:r w:rsidR="003A5358" w:rsidRPr="005B7CAC">
        <w:rPr>
          <w:rFonts w:ascii="Times New Roman" w:hAnsi="Times New Roman"/>
          <w:bCs/>
          <w:iCs/>
          <w:sz w:val="24"/>
          <w:szCs w:val="20"/>
          <w:lang w:val="en-US"/>
        </w:rPr>
        <w:t xml:space="preserve">with </w:t>
      </w:r>
      <w:r w:rsidR="003A5358" w:rsidRPr="005B7CAC">
        <w:rPr>
          <w:rFonts w:ascii="Times New Roman" w:hAnsi="Times New Roman"/>
          <w:bCs/>
          <w:i/>
          <w:sz w:val="24"/>
          <w:szCs w:val="20"/>
          <w:lang w:val="en-US"/>
        </w:rPr>
        <w:t>Z_UK</w:t>
      </w:r>
      <w:r w:rsidR="003A5358" w:rsidRPr="005B7CAC">
        <w:rPr>
          <w:rFonts w:ascii="Times New Roman" w:hAnsi="Times New Roman"/>
          <w:bCs/>
          <w:iCs/>
          <w:sz w:val="24"/>
          <w:szCs w:val="20"/>
          <w:lang w:val="en-US"/>
        </w:rPr>
        <w:t xml:space="preserve"> </w:t>
      </w:r>
      <w:r w:rsidR="00B648DA" w:rsidRPr="005B7CAC">
        <w:rPr>
          <w:rFonts w:ascii="Times New Roman" w:hAnsi="Times New Roman"/>
          <w:bCs/>
          <w:iCs/>
          <w:sz w:val="24"/>
          <w:szCs w:val="20"/>
          <w:lang w:val="en-US"/>
        </w:rPr>
        <w:t>(</w:t>
      </w:r>
      <w:r w:rsidR="00B648DA" w:rsidRPr="005B7CAC">
        <w:rPr>
          <w:rFonts w:ascii="Times New Roman" w:hAnsi="Times New Roman"/>
          <w:bCs/>
          <w:i/>
          <w:sz w:val="24"/>
          <w:szCs w:val="20"/>
          <w:lang w:val="en-US"/>
        </w:rPr>
        <w:t>p</w:t>
      </w:r>
      <w:r w:rsidR="00B648DA" w:rsidRPr="005B7CAC">
        <w:rPr>
          <w:rFonts w:ascii="Times New Roman" w:hAnsi="Times New Roman"/>
          <w:bCs/>
          <w:iCs/>
          <w:sz w:val="24"/>
          <w:szCs w:val="20"/>
          <w:lang w:val="en-US"/>
        </w:rPr>
        <w:t xml:space="preserve"> &lt; 0.05)</w:t>
      </w:r>
      <w:r w:rsidR="003A5358" w:rsidRPr="005B7CAC">
        <w:rPr>
          <w:rFonts w:ascii="Times New Roman" w:hAnsi="Times New Roman"/>
          <w:bCs/>
          <w:iCs/>
          <w:sz w:val="24"/>
          <w:szCs w:val="20"/>
          <w:lang w:val="en-US"/>
        </w:rPr>
        <w:t xml:space="preserve"> and </w:t>
      </w:r>
      <w:r w:rsidR="003A5358" w:rsidRPr="005B7CAC">
        <w:rPr>
          <w:rFonts w:ascii="Times New Roman" w:hAnsi="Times New Roman"/>
          <w:bCs/>
          <w:i/>
          <w:sz w:val="24"/>
          <w:szCs w:val="20"/>
          <w:lang w:val="en-US"/>
        </w:rPr>
        <w:t>Z_ALT</w:t>
      </w:r>
      <w:r w:rsidR="003A5358" w:rsidRPr="005B7CAC">
        <w:rPr>
          <w:rFonts w:ascii="Times New Roman" w:hAnsi="Times New Roman"/>
          <w:bCs/>
          <w:iCs/>
          <w:sz w:val="24"/>
          <w:szCs w:val="20"/>
          <w:lang w:val="en-US"/>
        </w:rPr>
        <w:t xml:space="preserve"> (</w:t>
      </w:r>
      <w:r w:rsidR="003A5358" w:rsidRPr="005B7CAC">
        <w:rPr>
          <w:rFonts w:ascii="Times New Roman" w:hAnsi="Times New Roman"/>
          <w:bCs/>
          <w:i/>
          <w:sz w:val="24"/>
          <w:szCs w:val="20"/>
          <w:lang w:val="en-US"/>
        </w:rPr>
        <w:t>p</w:t>
      </w:r>
      <w:r w:rsidR="003A5358" w:rsidRPr="005B7CAC">
        <w:rPr>
          <w:rFonts w:ascii="Times New Roman" w:hAnsi="Times New Roman"/>
          <w:bCs/>
          <w:iCs/>
          <w:sz w:val="24"/>
          <w:szCs w:val="20"/>
          <w:lang w:val="en-US"/>
        </w:rPr>
        <w:t xml:space="preserve"> &lt; 0.01), </w:t>
      </w:r>
      <w:r w:rsidR="00B35A43" w:rsidRPr="005B7CAC">
        <w:rPr>
          <w:rFonts w:ascii="Times New Roman" w:hAnsi="Times New Roman"/>
          <w:bCs/>
          <w:iCs/>
          <w:sz w:val="24"/>
          <w:szCs w:val="20"/>
          <w:lang w:val="en-US"/>
        </w:rPr>
        <w:t>implying</w:t>
      </w:r>
      <w:r w:rsidR="00B648DA" w:rsidRPr="005B7CAC">
        <w:rPr>
          <w:rFonts w:ascii="Times New Roman" w:hAnsi="Times New Roman"/>
          <w:bCs/>
          <w:iCs/>
          <w:sz w:val="24"/>
          <w:szCs w:val="20"/>
          <w:lang w:val="en-US"/>
        </w:rPr>
        <w:t xml:space="preserve"> that </w:t>
      </w:r>
      <w:r w:rsidR="001A1CB2" w:rsidRPr="005B7CAC">
        <w:rPr>
          <w:rFonts w:ascii="Times New Roman" w:hAnsi="Times New Roman"/>
          <w:bCs/>
          <w:i/>
          <w:sz w:val="24"/>
          <w:szCs w:val="20"/>
          <w:lang w:val="en-US"/>
        </w:rPr>
        <w:t>GINV</w:t>
      </w:r>
      <w:r w:rsidR="00B85636" w:rsidRPr="005B7CAC">
        <w:rPr>
          <w:rFonts w:ascii="Times New Roman" w:hAnsi="Times New Roman"/>
          <w:bCs/>
          <w:i/>
          <w:sz w:val="24"/>
          <w:szCs w:val="20"/>
          <w:lang w:val="en-US"/>
        </w:rPr>
        <w:t>s</w:t>
      </w:r>
      <w:r w:rsidR="00B648DA" w:rsidRPr="005B7CAC">
        <w:rPr>
          <w:rFonts w:ascii="Times New Roman" w:hAnsi="Times New Roman"/>
          <w:bCs/>
          <w:iCs/>
          <w:sz w:val="24"/>
          <w:szCs w:val="20"/>
          <w:lang w:val="en-US"/>
        </w:rPr>
        <w:t xml:space="preserve"> </w:t>
      </w:r>
      <w:r w:rsidR="009860D9" w:rsidRPr="005B7CAC">
        <w:rPr>
          <w:rFonts w:ascii="Times New Roman" w:hAnsi="Times New Roman"/>
          <w:bCs/>
          <w:iCs/>
          <w:sz w:val="24"/>
          <w:szCs w:val="20"/>
          <w:lang w:val="en-US"/>
        </w:rPr>
        <w:t>positively</w:t>
      </w:r>
      <w:r w:rsidR="00B648DA" w:rsidRPr="005B7CAC">
        <w:rPr>
          <w:rFonts w:ascii="Times New Roman" w:hAnsi="Times New Roman"/>
          <w:bCs/>
          <w:iCs/>
          <w:sz w:val="24"/>
          <w:szCs w:val="20"/>
          <w:lang w:val="en-US"/>
        </w:rPr>
        <w:t xml:space="preserve"> moderate</w:t>
      </w:r>
      <w:r w:rsidR="002A2473" w:rsidRPr="005B7CAC">
        <w:rPr>
          <w:rFonts w:ascii="Times New Roman" w:hAnsi="Times New Roman"/>
          <w:bCs/>
          <w:iCs/>
          <w:sz w:val="24"/>
          <w:szCs w:val="20"/>
          <w:lang w:val="en-US"/>
        </w:rPr>
        <w:t xml:space="preserve"> </w:t>
      </w:r>
      <w:r w:rsidR="00B648DA" w:rsidRPr="005B7CAC">
        <w:rPr>
          <w:rFonts w:ascii="Times New Roman" w:hAnsi="Times New Roman"/>
          <w:bCs/>
          <w:iCs/>
          <w:sz w:val="24"/>
          <w:szCs w:val="20"/>
          <w:lang w:val="en-US"/>
        </w:rPr>
        <w:t xml:space="preserve">the </w:t>
      </w:r>
      <w:r w:rsidR="005C7788" w:rsidRPr="005B7CAC">
        <w:rPr>
          <w:rFonts w:ascii="Times New Roman" w:hAnsi="Times New Roman"/>
          <w:bCs/>
          <w:i/>
          <w:sz w:val="24"/>
          <w:szCs w:val="20"/>
          <w:lang w:val="en-US"/>
        </w:rPr>
        <w:t>WAST</w:t>
      </w:r>
      <w:r w:rsidR="005C7788" w:rsidRPr="005B7CAC">
        <w:rPr>
          <w:rFonts w:ascii="Times New Roman" w:hAnsi="Times New Roman"/>
          <w:bCs/>
          <w:iCs/>
          <w:sz w:val="24"/>
          <w:szCs w:val="20"/>
          <w:lang w:val="en-US"/>
        </w:rPr>
        <w:t>–</w:t>
      </w:r>
      <w:r w:rsidR="005C7788" w:rsidRPr="005B7CAC">
        <w:rPr>
          <w:rFonts w:ascii="Times New Roman" w:hAnsi="Times New Roman"/>
          <w:bCs/>
          <w:i/>
          <w:sz w:val="24"/>
          <w:szCs w:val="20"/>
          <w:lang w:val="en-US"/>
        </w:rPr>
        <w:t>Z_UK</w:t>
      </w:r>
      <w:r w:rsidR="005C7788" w:rsidRPr="005B7CAC">
        <w:rPr>
          <w:rFonts w:ascii="Times New Roman" w:hAnsi="Times New Roman"/>
          <w:bCs/>
          <w:iCs/>
          <w:sz w:val="24"/>
          <w:szCs w:val="20"/>
          <w:lang w:val="en-US"/>
        </w:rPr>
        <w:t xml:space="preserve"> and the </w:t>
      </w:r>
      <w:r w:rsidR="005C7788" w:rsidRPr="005B7CAC">
        <w:rPr>
          <w:rFonts w:ascii="Times New Roman" w:hAnsi="Times New Roman"/>
          <w:bCs/>
          <w:i/>
          <w:sz w:val="24"/>
          <w:szCs w:val="20"/>
          <w:lang w:val="en-US"/>
        </w:rPr>
        <w:t>WAST</w:t>
      </w:r>
      <w:r w:rsidR="005C7788" w:rsidRPr="005B7CAC">
        <w:rPr>
          <w:rFonts w:ascii="Times New Roman" w:hAnsi="Times New Roman"/>
          <w:bCs/>
          <w:iCs/>
          <w:sz w:val="24"/>
          <w:szCs w:val="20"/>
          <w:lang w:val="en-US"/>
        </w:rPr>
        <w:t>–</w:t>
      </w:r>
      <w:r w:rsidR="005C7788" w:rsidRPr="005B7CAC">
        <w:rPr>
          <w:rFonts w:ascii="Times New Roman" w:hAnsi="Times New Roman"/>
          <w:bCs/>
          <w:i/>
          <w:sz w:val="24"/>
          <w:szCs w:val="20"/>
          <w:lang w:val="en-US"/>
        </w:rPr>
        <w:t>Z_ALT</w:t>
      </w:r>
      <w:r w:rsidR="005C7788" w:rsidRPr="005B7CAC">
        <w:rPr>
          <w:rFonts w:ascii="Times New Roman" w:hAnsi="Times New Roman"/>
          <w:bCs/>
          <w:iCs/>
          <w:sz w:val="24"/>
          <w:szCs w:val="20"/>
          <w:lang w:val="en-US"/>
        </w:rPr>
        <w:t xml:space="preserve"> </w:t>
      </w:r>
      <w:r w:rsidR="00B648DA" w:rsidRPr="005B7CAC">
        <w:rPr>
          <w:rFonts w:ascii="Times New Roman" w:hAnsi="Times New Roman"/>
          <w:bCs/>
          <w:iCs/>
          <w:sz w:val="24"/>
          <w:szCs w:val="20"/>
          <w:lang w:val="en-US"/>
        </w:rPr>
        <w:t>relationship</w:t>
      </w:r>
      <w:r w:rsidR="005C7788" w:rsidRPr="005B7CAC">
        <w:rPr>
          <w:rFonts w:ascii="Times New Roman" w:hAnsi="Times New Roman"/>
          <w:bCs/>
          <w:iCs/>
          <w:sz w:val="24"/>
          <w:szCs w:val="20"/>
          <w:lang w:val="en-US"/>
        </w:rPr>
        <w:t>s</w:t>
      </w:r>
      <w:r w:rsidR="00B648DA" w:rsidRPr="005B7CAC">
        <w:rPr>
          <w:rFonts w:ascii="Times New Roman" w:hAnsi="Times New Roman"/>
          <w:bCs/>
          <w:iCs/>
          <w:sz w:val="24"/>
          <w:szCs w:val="20"/>
          <w:lang w:val="en-US"/>
        </w:rPr>
        <w:t xml:space="preserve">, in line with </w:t>
      </w:r>
      <w:r w:rsidR="00B648DA" w:rsidRPr="005B7CAC">
        <w:rPr>
          <w:rFonts w:ascii="Times New Roman" w:hAnsi="Times New Roman"/>
          <w:bCs/>
          <w:i/>
          <w:sz w:val="24"/>
          <w:szCs w:val="20"/>
          <w:lang w:val="en-US"/>
        </w:rPr>
        <w:t>H2a</w:t>
      </w:r>
      <w:r w:rsidR="00B648DA" w:rsidRPr="005B7CAC">
        <w:rPr>
          <w:rFonts w:ascii="Times New Roman" w:hAnsi="Times New Roman"/>
          <w:bCs/>
          <w:iCs/>
          <w:sz w:val="24"/>
          <w:szCs w:val="20"/>
          <w:lang w:val="en-US"/>
        </w:rPr>
        <w:t>.</w:t>
      </w:r>
      <w:r w:rsidR="00140A23" w:rsidRPr="005B7CAC">
        <w:rPr>
          <w:rFonts w:ascii="Times New Roman" w:hAnsi="Times New Roman"/>
          <w:bCs/>
          <w:iCs/>
          <w:sz w:val="24"/>
          <w:szCs w:val="20"/>
          <w:lang w:val="en-US"/>
        </w:rPr>
        <w:t xml:space="preserve"> </w:t>
      </w:r>
      <w:r w:rsidR="003A5358" w:rsidRPr="005B7CAC">
        <w:rPr>
          <w:rFonts w:ascii="Times New Roman" w:hAnsi="Times New Roman"/>
          <w:sz w:val="24"/>
          <w:szCs w:val="24"/>
          <w:lang w:val="en-US"/>
        </w:rPr>
        <w:t xml:space="preserve">As shown in Figures 1 and 2, the </w:t>
      </w:r>
      <w:r w:rsidR="006128FE" w:rsidRPr="005B7CAC">
        <w:rPr>
          <w:rFonts w:ascii="Times New Roman" w:hAnsi="Times New Roman"/>
          <w:sz w:val="24"/>
          <w:szCs w:val="24"/>
          <w:lang w:val="en-US"/>
        </w:rPr>
        <w:t>blue</w:t>
      </w:r>
      <w:r w:rsidR="003A5358" w:rsidRPr="005B7CAC">
        <w:rPr>
          <w:rFonts w:ascii="Times New Roman" w:hAnsi="Times New Roman"/>
          <w:sz w:val="24"/>
          <w:szCs w:val="24"/>
          <w:lang w:val="en-US"/>
        </w:rPr>
        <w:t xml:space="preserve"> line </w:t>
      </w:r>
      <w:r w:rsidR="00072DF6" w:rsidRPr="005B7CAC">
        <w:rPr>
          <w:rFonts w:ascii="Times New Roman" w:hAnsi="Times New Roman"/>
          <w:sz w:val="24"/>
          <w:szCs w:val="24"/>
          <w:lang w:val="en-US"/>
        </w:rPr>
        <w:t>(</w:t>
      </w:r>
      <w:r w:rsidR="003A5358" w:rsidRPr="005B7CAC">
        <w:rPr>
          <w:rFonts w:ascii="Times New Roman" w:hAnsi="Times New Roman"/>
          <w:sz w:val="24"/>
          <w:szCs w:val="24"/>
          <w:lang w:val="en-US"/>
        </w:rPr>
        <w:t xml:space="preserve">for </w:t>
      </w:r>
      <w:r w:rsidR="006128FE" w:rsidRPr="005B7CAC">
        <w:rPr>
          <w:rFonts w:ascii="Times New Roman" w:hAnsi="Times New Roman"/>
          <w:sz w:val="24"/>
          <w:szCs w:val="24"/>
          <w:lang w:val="en-US"/>
        </w:rPr>
        <w:t>lower</w:t>
      </w:r>
      <w:r w:rsidR="00762269" w:rsidRPr="005B7CAC">
        <w:rPr>
          <w:rFonts w:ascii="Times New Roman" w:hAnsi="Times New Roman"/>
          <w:sz w:val="24"/>
          <w:szCs w:val="24"/>
          <w:lang w:val="en-US"/>
        </w:rPr>
        <w:t xml:space="preserve"> </w:t>
      </w:r>
      <w:r w:rsidR="003A5358" w:rsidRPr="005B7CAC">
        <w:rPr>
          <w:rFonts w:ascii="Times New Roman" w:hAnsi="Times New Roman"/>
          <w:i/>
          <w:iCs/>
          <w:sz w:val="24"/>
          <w:szCs w:val="24"/>
          <w:lang w:val="en-US"/>
        </w:rPr>
        <w:t>GINVs</w:t>
      </w:r>
      <w:r w:rsidR="00072DF6" w:rsidRPr="005B7CAC">
        <w:rPr>
          <w:rFonts w:ascii="Times New Roman" w:hAnsi="Times New Roman"/>
          <w:sz w:val="24"/>
          <w:szCs w:val="24"/>
          <w:lang w:val="en-US"/>
        </w:rPr>
        <w:t>) implies that as waste levels increase</w:t>
      </w:r>
      <w:r w:rsidR="00D314D9">
        <w:rPr>
          <w:rFonts w:ascii="Times New Roman" w:hAnsi="Times New Roman"/>
          <w:sz w:val="24"/>
          <w:szCs w:val="24"/>
          <w:lang w:val="en-US"/>
        </w:rPr>
        <w:t>,</w:t>
      </w:r>
      <w:r w:rsidR="00072DF6" w:rsidRPr="005B7CAC">
        <w:rPr>
          <w:rFonts w:ascii="Times New Roman" w:hAnsi="Times New Roman"/>
          <w:sz w:val="24"/>
          <w:szCs w:val="24"/>
          <w:lang w:val="en-US"/>
        </w:rPr>
        <w:t xml:space="preserve"> </w:t>
      </w:r>
      <w:r w:rsidR="00072DF6" w:rsidRPr="005B7CAC">
        <w:rPr>
          <w:rFonts w:ascii="Times New Roman" w:hAnsi="Times New Roman"/>
          <w:lang w:val="en-US"/>
        </w:rPr>
        <w:t xml:space="preserve">the </w:t>
      </w:r>
      <w:r w:rsidR="00072DF6" w:rsidRPr="005B7CAC">
        <w:rPr>
          <w:rFonts w:ascii="Times New Roman" w:hAnsi="Times New Roman"/>
          <w:i/>
          <w:iCs/>
          <w:lang w:val="en-US"/>
        </w:rPr>
        <w:t>Z_UK</w:t>
      </w:r>
      <w:r w:rsidR="00072DF6" w:rsidRPr="005B7CAC">
        <w:rPr>
          <w:rFonts w:ascii="Times New Roman" w:hAnsi="Times New Roman"/>
          <w:lang w:val="en-US"/>
        </w:rPr>
        <w:t xml:space="preserve"> and </w:t>
      </w:r>
      <w:r w:rsidR="00072DF6" w:rsidRPr="005B7CAC">
        <w:rPr>
          <w:rFonts w:ascii="Times New Roman" w:hAnsi="Times New Roman"/>
          <w:i/>
          <w:iCs/>
          <w:lang w:val="en-US"/>
        </w:rPr>
        <w:t>Z_ALT</w:t>
      </w:r>
      <w:r w:rsidR="00072DF6" w:rsidRPr="005B7CAC">
        <w:rPr>
          <w:rFonts w:ascii="Times New Roman" w:hAnsi="Times New Roman"/>
          <w:lang w:val="en-US"/>
        </w:rPr>
        <w:t xml:space="preserve"> scores decrease</w:t>
      </w:r>
      <w:r w:rsidR="00D314D9">
        <w:rPr>
          <w:rFonts w:ascii="Times New Roman" w:hAnsi="Times New Roman"/>
          <w:lang w:val="en-US"/>
        </w:rPr>
        <w:t>,</w:t>
      </w:r>
      <w:r w:rsidR="00072DF6" w:rsidRPr="005B7CAC">
        <w:rPr>
          <w:rFonts w:ascii="Times New Roman" w:hAnsi="Times New Roman"/>
          <w:lang w:val="en-US"/>
        </w:rPr>
        <w:t xml:space="preserve"> whereas the</w:t>
      </w:r>
      <w:r w:rsidR="006128FE" w:rsidRPr="005B7CAC">
        <w:rPr>
          <w:rFonts w:ascii="Times New Roman" w:hAnsi="Times New Roman"/>
          <w:lang w:val="en-US"/>
        </w:rPr>
        <w:t xml:space="preserve"> red</w:t>
      </w:r>
      <w:r w:rsidR="003A5358" w:rsidRPr="005B7CAC">
        <w:rPr>
          <w:rFonts w:ascii="Times New Roman" w:hAnsi="Times New Roman"/>
          <w:sz w:val="24"/>
          <w:szCs w:val="24"/>
          <w:lang w:val="en-US"/>
        </w:rPr>
        <w:t xml:space="preserve"> line</w:t>
      </w:r>
      <w:r w:rsidR="00072DF6" w:rsidRPr="005B7CAC">
        <w:rPr>
          <w:rFonts w:ascii="Times New Roman" w:hAnsi="Times New Roman"/>
          <w:sz w:val="24"/>
          <w:szCs w:val="24"/>
          <w:lang w:val="en-US"/>
        </w:rPr>
        <w:t xml:space="preserve"> (for </w:t>
      </w:r>
      <w:r w:rsidR="006128FE" w:rsidRPr="005B7CAC">
        <w:rPr>
          <w:rFonts w:ascii="Times New Roman" w:hAnsi="Times New Roman"/>
          <w:sz w:val="24"/>
          <w:szCs w:val="24"/>
          <w:lang w:val="en-US"/>
        </w:rPr>
        <w:t xml:space="preserve">higher </w:t>
      </w:r>
      <w:r w:rsidR="003A5358" w:rsidRPr="005B7CAC">
        <w:rPr>
          <w:rFonts w:ascii="Times New Roman" w:hAnsi="Times New Roman"/>
          <w:i/>
          <w:iCs/>
          <w:sz w:val="24"/>
          <w:szCs w:val="24"/>
          <w:lang w:val="en-US"/>
        </w:rPr>
        <w:t>GINVs</w:t>
      </w:r>
      <w:r w:rsidR="00072DF6" w:rsidRPr="005B7CAC">
        <w:rPr>
          <w:rFonts w:ascii="Times New Roman" w:hAnsi="Times New Roman"/>
          <w:sz w:val="24"/>
          <w:szCs w:val="24"/>
          <w:lang w:val="en-US"/>
        </w:rPr>
        <w:t xml:space="preserve">) indicates that </w:t>
      </w:r>
      <w:r w:rsidR="00072DF6" w:rsidRPr="005B7CAC">
        <w:rPr>
          <w:rFonts w:ascii="Times New Roman" w:hAnsi="Times New Roman"/>
          <w:bCs/>
          <w:iCs/>
          <w:sz w:val="24"/>
          <w:szCs w:val="20"/>
          <w:lang w:val="en-US"/>
        </w:rPr>
        <w:t xml:space="preserve">improved </w:t>
      </w:r>
      <w:r w:rsidR="00072DF6" w:rsidRPr="005B7CAC">
        <w:rPr>
          <w:rFonts w:ascii="Times New Roman" w:hAnsi="Times New Roman"/>
          <w:bCs/>
          <w:i/>
          <w:sz w:val="24"/>
          <w:szCs w:val="20"/>
          <w:lang w:val="en-US"/>
        </w:rPr>
        <w:t>GINVs</w:t>
      </w:r>
      <w:r w:rsidR="00072DF6" w:rsidRPr="005B7CAC">
        <w:rPr>
          <w:rFonts w:ascii="Times New Roman" w:hAnsi="Times New Roman"/>
          <w:bCs/>
          <w:iCs/>
          <w:sz w:val="24"/>
          <w:szCs w:val="20"/>
          <w:lang w:val="en-US"/>
        </w:rPr>
        <w:t xml:space="preserve"> neutralize the adverse financial effects of waste generation</w:t>
      </w:r>
      <w:r w:rsidR="003A5358" w:rsidRPr="005B7CAC">
        <w:rPr>
          <w:rFonts w:ascii="Times New Roman" w:hAnsi="Times New Roman"/>
          <w:sz w:val="24"/>
          <w:szCs w:val="24"/>
          <w:lang w:val="en-US"/>
        </w:rPr>
        <w:t xml:space="preserve">. </w:t>
      </w:r>
      <w:r w:rsidR="00140A23" w:rsidRPr="005B7CAC">
        <w:rPr>
          <w:rFonts w:ascii="Times New Roman" w:hAnsi="Times New Roman"/>
          <w:bCs/>
          <w:iCs/>
          <w:sz w:val="24"/>
          <w:szCs w:val="20"/>
          <w:lang w:val="en-US"/>
        </w:rPr>
        <w:t>These findings</w:t>
      </w:r>
      <w:r w:rsidR="0045168E" w:rsidRPr="005B7CAC">
        <w:rPr>
          <w:rFonts w:ascii="Times New Roman" w:hAnsi="Times New Roman"/>
          <w:bCs/>
          <w:iCs/>
          <w:sz w:val="24"/>
          <w:szCs w:val="20"/>
          <w:lang w:val="en-US"/>
        </w:rPr>
        <w:t xml:space="preserve"> suggest</w:t>
      </w:r>
      <w:r w:rsidR="003A5358" w:rsidRPr="005B7CAC">
        <w:rPr>
          <w:rFonts w:ascii="Times New Roman" w:hAnsi="Times New Roman"/>
          <w:bCs/>
          <w:iCs/>
          <w:sz w:val="24"/>
          <w:szCs w:val="20"/>
          <w:lang w:val="en-US"/>
        </w:rPr>
        <w:t xml:space="preserve"> </w:t>
      </w:r>
      <w:r w:rsidR="0045168E" w:rsidRPr="005B7CAC">
        <w:rPr>
          <w:rFonts w:ascii="Times New Roman" w:hAnsi="Times New Roman"/>
          <w:bCs/>
          <w:iCs/>
          <w:sz w:val="24"/>
          <w:szCs w:val="20"/>
          <w:lang w:val="en-US"/>
        </w:rPr>
        <w:t xml:space="preserve">that </w:t>
      </w:r>
      <w:r w:rsidR="004C61E3" w:rsidRPr="005B7CAC">
        <w:rPr>
          <w:rFonts w:ascii="Times New Roman" w:hAnsi="Times New Roman"/>
          <w:iCs/>
          <w:sz w:val="24"/>
          <w:szCs w:val="20"/>
          <w:lang w:val="en-US"/>
        </w:rPr>
        <w:t>i</w:t>
      </w:r>
      <w:r w:rsidR="007C65B0" w:rsidRPr="005B7CAC">
        <w:rPr>
          <w:rFonts w:ascii="Times New Roman" w:hAnsi="Times New Roman"/>
          <w:iCs/>
          <w:sz w:val="24"/>
          <w:szCs w:val="20"/>
          <w:lang w:val="en-US"/>
        </w:rPr>
        <w:t>ncreased</w:t>
      </w:r>
      <w:r w:rsidR="004C61E3" w:rsidRPr="005B7CAC">
        <w:rPr>
          <w:rFonts w:ascii="Times New Roman" w:hAnsi="Times New Roman"/>
          <w:iCs/>
          <w:sz w:val="24"/>
          <w:szCs w:val="20"/>
          <w:lang w:val="en-US"/>
        </w:rPr>
        <w:t xml:space="preserve"> green </w:t>
      </w:r>
      <w:r w:rsidR="007C65B0" w:rsidRPr="005B7CAC">
        <w:rPr>
          <w:rFonts w:ascii="Times New Roman" w:hAnsi="Times New Roman"/>
          <w:iCs/>
          <w:sz w:val="24"/>
          <w:szCs w:val="20"/>
          <w:lang w:val="en-US"/>
        </w:rPr>
        <w:t>initiatives</w:t>
      </w:r>
      <w:r w:rsidR="004C61E3" w:rsidRPr="005B7CAC">
        <w:rPr>
          <w:rFonts w:ascii="Times New Roman" w:hAnsi="Times New Roman"/>
          <w:iCs/>
          <w:sz w:val="24"/>
          <w:szCs w:val="20"/>
          <w:lang w:val="en-US"/>
        </w:rPr>
        <w:t xml:space="preserve"> </w:t>
      </w:r>
      <w:r w:rsidR="007C65B0" w:rsidRPr="005B7CAC">
        <w:rPr>
          <w:rFonts w:ascii="Times New Roman" w:hAnsi="Times New Roman"/>
          <w:iCs/>
          <w:sz w:val="24"/>
          <w:szCs w:val="20"/>
          <w:lang w:val="en-US"/>
        </w:rPr>
        <w:t>are</w:t>
      </w:r>
      <w:r w:rsidR="004C61E3" w:rsidRPr="005B7CAC">
        <w:rPr>
          <w:rFonts w:ascii="Times New Roman" w:hAnsi="Times New Roman"/>
          <w:iCs/>
          <w:sz w:val="24"/>
          <w:szCs w:val="20"/>
          <w:lang w:val="en-US"/>
        </w:rPr>
        <w:t xml:space="preserve"> effective in reducing </w:t>
      </w:r>
      <w:r w:rsidR="004C61E3" w:rsidRPr="005B7CAC">
        <w:rPr>
          <w:rFonts w:ascii="Times New Roman" w:hAnsi="Times New Roman"/>
          <w:i/>
          <w:sz w:val="24"/>
          <w:szCs w:val="20"/>
          <w:lang w:val="en-US"/>
        </w:rPr>
        <w:t>FD</w:t>
      </w:r>
      <w:r w:rsidR="004C61E3" w:rsidRPr="005B7CAC">
        <w:rPr>
          <w:rFonts w:ascii="Times New Roman" w:hAnsi="Times New Roman"/>
          <w:iCs/>
          <w:sz w:val="24"/>
          <w:szCs w:val="20"/>
          <w:lang w:val="en-US"/>
        </w:rPr>
        <w:t xml:space="preserve"> probability by mitigating waste levels</w:t>
      </w:r>
      <w:r w:rsidR="003B152F" w:rsidRPr="005B7CAC">
        <w:rPr>
          <w:rFonts w:ascii="Times New Roman" w:hAnsi="Times New Roman"/>
          <w:iCs/>
          <w:sz w:val="24"/>
          <w:szCs w:val="20"/>
          <w:lang w:val="en-US"/>
        </w:rPr>
        <w:t xml:space="preserve">. </w:t>
      </w:r>
      <w:r w:rsidR="0045168E" w:rsidRPr="005B7CAC">
        <w:rPr>
          <w:rFonts w:ascii="Times New Roman" w:hAnsi="Times New Roman"/>
          <w:bCs/>
          <w:iCs/>
          <w:sz w:val="24"/>
          <w:szCs w:val="20"/>
          <w:lang w:val="en-US"/>
        </w:rPr>
        <w:t xml:space="preserve">This is consistent with the notion that improved environmental performance </w:t>
      </w:r>
      <w:r w:rsidR="003B152F" w:rsidRPr="005B7CAC">
        <w:rPr>
          <w:rFonts w:ascii="Times New Roman" w:hAnsi="Times New Roman"/>
          <w:bCs/>
          <w:iCs/>
          <w:sz w:val="24"/>
          <w:szCs w:val="20"/>
          <w:lang w:val="en-US"/>
        </w:rPr>
        <w:t xml:space="preserve">achieved </w:t>
      </w:r>
      <w:r w:rsidR="0045168E" w:rsidRPr="005B7CAC">
        <w:rPr>
          <w:rFonts w:ascii="Times New Roman" w:hAnsi="Times New Roman"/>
          <w:bCs/>
          <w:iCs/>
          <w:sz w:val="24"/>
          <w:szCs w:val="20"/>
          <w:lang w:val="en-US"/>
        </w:rPr>
        <w:t xml:space="preserve">by effective corporate practices </w:t>
      </w:r>
      <w:r w:rsidR="003B152F" w:rsidRPr="005B7CAC">
        <w:rPr>
          <w:rFonts w:ascii="Times New Roman" w:hAnsi="Times New Roman"/>
          <w:bCs/>
          <w:iCs/>
          <w:sz w:val="24"/>
          <w:szCs w:val="20"/>
          <w:lang w:val="en-US"/>
        </w:rPr>
        <w:t xml:space="preserve">may </w:t>
      </w:r>
      <w:r w:rsidR="0045168E" w:rsidRPr="005B7CAC">
        <w:rPr>
          <w:rFonts w:ascii="Times New Roman" w:hAnsi="Times New Roman"/>
          <w:bCs/>
          <w:iCs/>
          <w:sz w:val="24"/>
          <w:szCs w:val="20"/>
          <w:lang w:val="en-US"/>
        </w:rPr>
        <w:t>lead to better financial outcomes</w:t>
      </w:r>
      <w:r w:rsidR="008B5DF5" w:rsidRPr="005B7CAC">
        <w:rPr>
          <w:rFonts w:ascii="Times New Roman" w:hAnsi="Times New Roman"/>
          <w:bCs/>
          <w:iCs/>
          <w:sz w:val="24"/>
          <w:szCs w:val="20"/>
          <w:lang w:val="en-US"/>
        </w:rPr>
        <w:t xml:space="preserve"> </w:t>
      </w:r>
      <w:r w:rsidR="00461F6F" w:rsidRPr="005B7CAC">
        <w:rPr>
          <w:rFonts w:ascii="Times New Roman" w:hAnsi="Times New Roman"/>
          <w:bCs/>
          <w:iCs/>
          <w:sz w:val="24"/>
          <w:szCs w:val="20"/>
          <w:lang w:val="en-US"/>
        </w:rPr>
        <w:fldChar w:fldCharType="begin" w:fldLock="1"/>
      </w:r>
      <w:r w:rsidR="00C11EA2" w:rsidRPr="005B7CAC">
        <w:rPr>
          <w:rFonts w:ascii="Times New Roman" w:hAnsi="Times New Roman"/>
          <w:bCs/>
          <w:iCs/>
          <w:sz w:val="24"/>
          <w:szCs w:val="20"/>
          <w:lang w:val="en-US"/>
        </w:rPr>
        <w:instrText>ADDIN CSL_CITATION {"citationItems":[{"id":"ITEM-1","itemData":{"DOI":"10.1016/J.BAR.2022.101097","ISSN":"0890-8389","author":[{"dropping-particle":"","family":"Gull","given":"Ammar Ali","non-dropping-particle":"","parse-names":false,"suffix":""},{"dropping-particle":"","family":"Atif","given":"Muhammad","non-dropping-particle":"","parse-names":false,"suffix":""},{"dropping-particle":"","family":"Hussain","given":"Nazim","non-dropping-particle":"","parse-names":false,"suffix":""}],"container-title":"The British Accounting Review","id":"ITEM-1","issue":"1","issued":{"date-parts":[["2022","4","19"]]},"page":"101097","title":"Board gender composition and waste management: Cross-country evidence","type":"article-journal","volume":"55"},"uris":["http://www.mendeley.com/documents/?uuid=998cc938-d7d9-3a14-90d5-d3f26977d6e8"]},{"id":"ITEM-2","itemData":{"DOI":"10.1108/JAOC-11-2021-0157","ISSN":"18325912","abstract":"Purpose: This study aims to investigate the impact of environmental management accounting (EMA) on manufacturing companies’ environmental and financial performance in Bangladesh. Thus, this research recognizes essential factors such as EMA, environmental performance (EP), financial performance (FP), environmental information systems (EIS), knowledge management (KM), green innovation and energy efficiency (EE). Design/methodology/approach: This research uses a quantitative approach and uses 323 responses from the manufacturing firms. This research tests the study model through the “Partial Least Square-Structural Equation Modeling” (PLS-SEM) technique using Smart PLS v3.3 software. This research uses AMOS v24 and 40% sample consideration to check the robustness. The study passes various model fit measures, i.e. reliability, validity, factor analysis and goodness of fit. Findings: The research finds that EMA is positively and significantly associated with EP and FP. The study also finds a substantial relationship between recognized factors with EMA and EP. This research connects the stakeholder theory and institutional theory to the EMA model and shows the pressures from stakeholders and institutions reassuring the manufacturing firms to implement EMA. This research evidences that EMA enhances EP and FP. Originality/value: The policymakers, regulators and government can consider these findings to formulate policy regarding companies’ EP and FP. Particularly, company executives can focus on KM, EIS, green innovation and EE factors for EP and FP.","author":[{"dropping-particle":"","family":"Deb","given":"Bishawjit Chandra","non-dropping-particle":"","parse-names":false,"suffix":""},{"dropping-particle":"","family":"Rahman","given":"Md Mominur","non-dropping-particle":"","parse-names":false,"suffix":""},{"dropping-particle":"","family":"Rahman","given":"Muhammad Shajib","non-dropping-particle":"","parse-names":false,"suffix":""}],"container-title":"Journal of Accounting and Organizational Change","id":"ITEM-2","issue":"3","issued":{"date-parts":[["2023"]]},"page":"420-446","title":"The impact of environmental management accounting on environmental and financial performance: empirical evidence from Bangladesh","type":"article-journal","volume":"19"},"uris":["http://www.mendeley.com/documents/?uuid=8a17b6a2-351c-3514-ac0a-73ed5b443853"]}],"mendeley":{"formattedCitation":"(Deb &lt;i&gt;et al.&lt;/i&gt;, 2023; Gull, Atif and Hussain, 2022)","plainTextFormattedCitation":"(Deb et al., 2023; Gull, Atif and Hussain, 2022)","previouslyFormattedCitation":"(Deb &lt;i&gt;et al.&lt;/i&gt;, 2023; Gull, Atif and Hussain, 2022)"},"properties":{"noteIndex":0},"schema":"https://github.com/citation-style-language/schema/raw/master/csl-citation.json"}</w:instrText>
      </w:r>
      <w:r w:rsidR="00461F6F" w:rsidRPr="005B7CAC">
        <w:rPr>
          <w:rFonts w:ascii="Times New Roman" w:hAnsi="Times New Roman"/>
          <w:bCs/>
          <w:iCs/>
          <w:sz w:val="24"/>
          <w:szCs w:val="20"/>
          <w:lang w:val="en-US"/>
        </w:rPr>
        <w:fldChar w:fldCharType="separate"/>
      </w:r>
      <w:r w:rsidR="00E74978" w:rsidRPr="005B7CAC">
        <w:rPr>
          <w:rFonts w:ascii="Times New Roman" w:hAnsi="Times New Roman"/>
          <w:bCs/>
          <w:iCs/>
          <w:noProof/>
          <w:sz w:val="24"/>
          <w:szCs w:val="20"/>
          <w:lang w:val="en-US"/>
        </w:rPr>
        <w:t xml:space="preserve">(Deb </w:t>
      </w:r>
      <w:r w:rsidR="00E74978" w:rsidRPr="005B7CAC">
        <w:rPr>
          <w:rFonts w:ascii="Times New Roman" w:hAnsi="Times New Roman"/>
          <w:bCs/>
          <w:i/>
          <w:iCs/>
          <w:noProof/>
          <w:sz w:val="24"/>
          <w:szCs w:val="20"/>
          <w:lang w:val="en-US"/>
        </w:rPr>
        <w:t>et al.</w:t>
      </w:r>
      <w:r w:rsidR="00E74978" w:rsidRPr="005B7CAC">
        <w:rPr>
          <w:rFonts w:ascii="Times New Roman" w:hAnsi="Times New Roman"/>
          <w:bCs/>
          <w:iCs/>
          <w:noProof/>
          <w:sz w:val="24"/>
          <w:szCs w:val="20"/>
          <w:lang w:val="en-US"/>
        </w:rPr>
        <w:t>, 2023; Gull</w:t>
      </w:r>
      <w:r w:rsidR="007509C3" w:rsidRPr="005B7CAC">
        <w:rPr>
          <w:rFonts w:ascii="Times New Roman" w:hAnsi="Times New Roman"/>
          <w:bCs/>
          <w:iCs/>
          <w:noProof/>
          <w:sz w:val="24"/>
          <w:szCs w:val="20"/>
          <w:lang w:val="en-US"/>
        </w:rPr>
        <w:t xml:space="preserve"> </w:t>
      </w:r>
      <w:r w:rsidR="007509C3" w:rsidRPr="005B7CAC">
        <w:rPr>
          <w:rFonts w:ascii="Times New Roman" w:hAnsi="Times New Roman"/>
          <w:bCs/>
          <w:i/>
          <w:noProof/>
          <w:sz w:val="24"/>
          <w:szCs w:val="20"/>
          <w:lang w:val="en-US"/>
        </w:rPr>
        <w:t>et al.</w:t>
      </w:r>
      <w:r w:rsidR="00E74978" w:rsidRPr="005B7CAC">
        <w:rPr>
          <w:rFonts w:ascii="Times New Roman" w:hAnsi="Times New Roman"/>
          <w:bCs/>
          <w:iCs/>
          <w:noProof/>
          <w:sz w:val="24"/>
          <w:szCs w:val="20"/>
          <w:lang w:val="en-US"/>
        </w:rPr>
        <w:t>,</w:t>
      </w:r>
      <w:r w:rsidR="007509C3" w:rsidRPr="005B7CAC">
        <w:rPr>
          <w:rFonts w:ascii="Times New Roman" w:hAnsi="Times New Roman"/>
          <w:bCs/>
          <w:iCs/>
          <w:noProof/>
          <w:sz w:val="24"/>
          <w:szCs w:val="20"/>
          <w:lang w:val="en-US"/>
        </w:rPr>
        <w:t xml:space="preserve"> </w:t>
      </w:r>
      <w:r w:rsidR="00E74978" w:rsidRPr="005B7CAC">
        <w:rPr>
          <w:rFonts w:ascii="Times New Roman" w:hAnsi="Times New Roman"/>
          <w:bCs/>
          <w:iCs/>
          <w:noProof/>
          <w:sz w:val="24"/>
          <w:szCs w:val="20"/>
          <w:lang w:val="en-US"/>
        </w:rPr>
        <w:t>2022</w:t>
      </w:r>
      <w:r w:rsidR="007509C3" w:rsidRPr="005B7CAC">
        <w:rPr>
          <w:rFonts w:ascii="Times New Roman" w:hAnsi="Times New Roman"/>
          <w:bCs/>
          <w:iCs/>
          <w:noProof/>
          <w:sz w:val="24"/>
          <w:szCs w:val="20"/>
          <w:lang w:val="en-US"/>
        </w:rPr>
        <w:t>b</w:t>
      </w:r>
      <w:r w:rsidR="00E74978" w:rsidRPr="005B7CAC">
        <w:rPr>
          <w:rFonts w:ascii="Times New Roman" w:hAnsi="Times New Roman"/>
          <w:bCs/>
          <w:iCs/>
          <w:noProof/>
          <w:sz w:val="24"/>
          <w:szCs w:val="20"/>
          <w:lang w:val="en-US"/>
        </w:rPr>
        <w:t>)</w:t>
      </w:r>
      <w:r w:rsidR="00461F6F" w:rsidRPr="005B7CAC">
        <w:rPr>
          <w:rFonts w:ascii="Times New Roman" w:hAnsi="Times New Roman"/>
          <w:bCs/>
          <w:iCs/>
          <w:sz w:val="24"/>
          <w:szCs w:val="20"/>
          <w:lang w:val="en-US"/>
        </w:rPr>
        <w:fldChar w:fldCharType="end"/>
      </w:r>
      <w:r w:rsidR="003461BE" w:rsidRPr="005B7CAC">
        <w:rPr>
          <w:rFonts w:ascii="Times New Roman" w:hAnsi="Times New Roman"/>
          <w:bCs/>
          <w:iCs/>
          <w:sz w:val="24"/>
          <w:szCs w:val="20"/>
          <w:lang w:val="en-US"/>
        </w:rPr>
        <w:t>.</w:t>
      </w:r>
      <w:r w:rsidR="003B152F" w:rsidRPr="005B7CAC">
        <w:rPr>
          <w:rFonts w:ascii="Times New Roman" w:hAnsi="Times New Roman"/>
          <w:bCs/>
          <w:iCs/>
          <w:sz w:val="24"/>
          <w:szCs w:val="20"/>
          <w:lang w:val="en-US"/>
        </w:rPr>
        <w:t xml:space="preserve"> In addition, this evidence corroborate</w:t>
      </w:r>
      <w:r w:rsidR="00C66DD9" w:rsidRPr="005B7CAC">
        <w:rPr>
          <w:rFonts w:ascii="Times New Roman" w:hAnsi="Times New Roman"/>
          <w:bCs/>
          <w:iCs/>
          <w:sz w:val="24"/>
          <w:szCs w:val="20"/>
          <w:lang w:val="en-US"/>
        </w:rPr>
        <w:t xml:space="preserve">s the stakeholder viewpoint </w:t>
      </w:r>
      <w:r w:rsidR="00021644" w:rsidRPr="005B7CAC">
        <w:rPr>
          <w:rFonts w:ascii="Times New Roman" w:hAnsi="Times New Roman"/>
          <w:sz w:val="24"/>
          <w:szCs w:val="20"/>
          <w:lang w:val="en-US"/>
        </w:rPr>
        <w:fldChar w:fldCharType="begin" w:fldLock="1"/>
      </w:r>
      <w:r w:rsidR="00021644" w:rsidRPr="005B7CAC">
        <w:rPr>
          <w:rFonts w:ascii="Times New Roman" w:hAnsi="Times New Roman"/>
          <w:sz w:val="24"/>
          <w:szCs w:val="20"/>
          <w:lang w:val="en-US"/>
        </w:rPr>
        <w:instrText>ADDIN CSL_CITATION {"citationItems":[{"id":"ITEM-1","itemData":{"DOI":"10.1002/bse.3232","ISSN":"10990836","abstract":"This paper examines the effects of environmental innovation on CO2 emissions as well as the moderating role of environmental governance in this relationship. Based on a sample of companies listed on the London Stock Exchange for the period from 2016 to 2020, the findings show that environmental innovation reduces CO2 emissions including Scope 1 and Scope 2 CO2 emissions. Likewise, our findings are associative of a moderating effect of environmental governance on the environmental innovation-CO2 emissions nexus. We argue that environmental innovation along with better environmental governance leads to a reduction in CO2 emissions. Our results hold for subsamples of firms with a strong/low environmental governance and ESG performance. Our findings offer important implications for companies and policymakers towards adopting more environmental technologies along with enhancing environmental governance to reduce CO2 emissions.","author":[{"dropping-particle":"","family":"Albitar","given":"Khaldoon","non-dropping-particle":"","parse-names":false,"suffix":""},{"dropping-particle":"","family":"Borgi","given":"Hela","non-dropping-particle":"","parse-names":false,"suffix":""},{"dropping-particle":"","family":"Khan","given":"Muzammal","non-dropping-particle":"","parse-names":false,"suffix":""},{"dropping-particle":"","family":"Zahra","given":"Anum","non-dropping-particle":"","parse-names":false,"suffix":""}],"container-title":"Business Strategy and the Environment","id":"ITEM-1","issue":"4","issued":{"date-parts":[["2023"]]},"page":"1996-2007","title":"Business environmental innovation and CO2 emissions: The moderating role of environmental governance","type":"article-journal","volume":"32"},"uris":["http://www.mendeley.com/documents/?uuid=7de5d50a-1720-35da-acfc-b514ae3b49a5"]}],"mendeley":{"formattedCitation":"(Albitar &lt;i&gt;et al.&lt;/i&gt;, 2023)","plainTextFormattedCitation":"(Albitar et al., 2023)","previouslyFormattedCitation":"(Albitar &lt;i&gt;et al.&lt;/i&gt;, 2023)"},"properties":{"noteIndex":0},"schema":"https://github.com/citation-style-language/schema/raw/master/csl-citation.json"}</w:instrText>
      </w:r>
      <w:r w:rsidR="00021644" w:rsidRPr="005B7CAC">
        <w:rPr>
          <w:rFonts w:ascii="Times New Roman" w:hAnsi="Times New Roman"/>
          <w:sz w:val="24"/>
          <w:szCs w:val="20"/>
          <w:lang w:val="en-US"/>
        </w:rPr>
        <w:fldChar w:fldCharType="separate"/>
      </w:r>
      <w:r w:rsidR="00021644" w:rsidRPr="005B7CAC">
        <w:rPr>
          <w:rFonts w:ascii="Times New Roman" w:hAnsi="Times New Roman"/>
          <w:noProof/>
          <w:sz w:val="24"/>
          <w:szCs w:val="20"/>
          <w:lang w:val="en-US"/>
        </w:rPr>
        <w:t xml:space="preserve">(Albitar </w:t>
      </w:r>
      <w:r w:rsidR="00021644" w:rsidRPr="005B7CAC">
        <w:rPr>
          <w:rFonts w:ascii="Times New Roman" w:hAnsi="Times New Roman"/>
          <w:i/>
          <w:noProof/>
          <w:sz w:val="24"/>
          <w:szCs w:val="20"/>
          <w:lang w:val="en-US"/>
        </w:rPr>
        <w:t>et al.</w:t>
      </w:r>
      <w:r w:rsidR="00021644" w:rsidRPr="005B7CAC">
        <w:rPr>
          <w:rFonts w:ascii="Times New Roman" w:hAnsi="Times New Roman"/>
          <w:noProof/>
          <w:sz w:val="24"/>
          <w:szCs w:val="20"/>
          <w:lang w:val="en-US"/>
        </w:rPr>
        <w:t>, 2023)</w:t>
      </w:r>
      <w:r w:rsidR="00021644" w:rsidRPr="005B7CAC">
        <w:rPr>
          <w:rFonts w:ascii="Times New Roman" w:hAnsi="Times New Roman"/>
          <w:sz w:val="24"/>
          <w:szCs w:val="20"/>
          <w:lang w:val="en-US"/>
        </w:rPr>
        <w:fldChar w:fldCharType="end"/>
      </w:r>
      <w:r w:rsidR="00021644" w:rsidRPr="005B7CAC">
        <w:rPr>
          <w:rFonts w:ascii="Times New Roman" w:hAnsi="Times New Roman"/>
          <w:sz w:val="24"/>
          <w:szCs w:val="20"/>
          <w:lang w:val="en-US"/>
        </w:rPr>
        <w:t xml:space="preserve"> </w:t>
      </w:r>
      <w:r w:rsidR="00C66DD9" w:rsidRPr="005B7CAC">
        <w:rPr>
          <w:rFonts w:ascii="Times New Roman" w:hAnsi="Times New Roman"/>
          <w:bCs/>
          <w:iCs/>
          <w:sz w:val="24"/>
          <w:szCs w:val="20"/>
          <w:lang w:val="en-US"/>
        </w:rPr>
        <w:t>that</w:t>
      </w:r>
      <w:r w:rsidR="00A115AA" w:rsidRPr="005B7CAC">
        <w:rPr>
          <w:rFonts w:ascii="Times New Roman" w:hAnsi="Times New Roman"/>
          <w:bCs/>
          <w:iCs/>
          <w:sz w:val="24"/>
          <w:szCs w:val="20"/>
          <w:lang w:val="en-US"/>
        </w:rPr>
        <w:t xml:space="preserve"> </w:t>
      </w:r>
      <w:r w:rsidR="001A1CB2" w:rsidRPr="005B7CAC">
        <w:rPr>
          <w:rFonts w:ascii="Times New Roman" w:hAnsi="Times New Roman"/>
          <w:i/>
          <w:iCs/>
          <w:sz w:val="24"/>
          <w:szCs w:val="20"/>
          <w:lang w:val="en-US"/>
        </w:rPr>
        <w:t>GINV</w:t>
      </w:r>
      <w:r w:rsidR="00B85636" w:rsidRPr="005B7CAC">
        <w:rPr>
          <w:rFonts w:ascii="Times New Roman" w:hAnsi="Times New Roman"/>
          <w:i/>
          <w:iCs/>
          <w:sz w:val="24"/>
          <w:szCs w:val="20"/>
          <w:lang w:val="en-US"/>
        </w:rPr>
        <w:t>s</w:t>
      </w:r>
      <w:r w:rsidR="00A115AA" w:rsidRPr="005B7CAC">
        <w:rPr>
          <w:rFonts w:ascii="Times New Roman" w:hAnsi="Times New Roman"/>
          <w:sz w:val="24"/>
          <w:szCs w:val="20"/>
          <w:lang w:val="en-US"/>
        </w:rPr>
        <w:t xml:space="preserve"> serve as an effective environmental strategy to reduce </w:t>
      </w:r>
      <w:r w:rsidR="00A115AA" w:rsidRPr="005B7CAC">
        <w:rPr>
          <w:rFonts w:ascii="Times New Roman" w:hAnsi="Times New Roman"/>
          <w:i/>
          <w:iCs/>
          <w:sz w:val="24"/>
          <w:szCs w:val="20"/>
          <w:lang w:val="en-US"/>
        </w:rPr>
        <w:t>FD</w:t>
      </w:r>
      <w:r w:rsidR="00A115AA" w:rsidRPr="005B7CAC">
        <w:rPr>
          <w:rFonts w:ascii="Times New Roman" w:hAnsi="Times New Roman"/>
          <w:sz w:val="24"/>
          <w:szCs w:val="20"/>
          <w:lang w:val="en-US"/>
        </w:rPr>
        <w:t xml:space="preserve"> risks through a reduction in waste levels</w:t>
      </w:r>
      <w:r w:rsidR="00021644" w:rsidRPr="005B7CAC">
        <w:rPr>
          <w:rFonts w:ascii="Times New Roman" w:hAnsi="Times New Roman"/>
          <w:sz w:val="24"/>
          <w:szCs w:val="20"/>
          <w:lang w:val="en-US"/>
        </w:rPr>
        <w:t xml:space="preserve">. </w:t>
      </w:r>
      <w:r w:rsidR="003B152F" w:rsidRPr="005B7CAC">
        <w:rPr>
          <w:rFonts w:ascii="Times New Roman" w:hAnsi="Times New Roman"/>
          <w:bCs/>
          <w:iCs/>
          <w:sz w:val="24"/>
          <w:szCs w:val="20"/>
          <w:lang w:val="en-US"/>
        </w:rPr>
        <w:t xml:space="preserve"> </w:t>
      </w:r>
      <w:r w:rsidR="00B35A43" w:rsidRPr="005B7CAC">
        <w:rPr>
          <w:rFonts w:ascii="Times New Roman" w:hAnsi="Times New Roman"/>
          <w:bCs/>
          <w:iCs/>
          <w:sz w:val="24"/>
          <w:szCs w:val="20"/>
          <w:lang w:val="en-US"/>
        </w:rPr>
        <w:t xml:space="preserve"> </w:t>
      </w:r>
      <w:r w:rsidR="003461BE" w:rsidRPr="005B7CAC">
        <w:rPr>
          <w:rFonts w:ascii="Times New Roman" w:hAnsi="Times New Roman"/>
          <w:bCs/>
          <w:iCs/>
          <w:sz w:val="24"/>
          <w:szCs w:val="20"/>
          <w:lang w:val="en-US"/>
        </w:rPr>
        <w:t xml:space="preserve"> </w:t>
      </w:r>
    </w:p>
    <w:p w14:paraId="0DB54F27" w14:textId="6A1EB970" w:rsidR="00F82344" w:rsidRPr="005B7CAC" w:rsidRDefault="003461BE" w:rsidP="003D5418">
      <w:pPr>
        <w:widowControl w:val="0"/>
        <w:autoSpaceDE w:val="0"/>
        <w:autoSpaceDN w:val="0"/>
        <w:adjustRightInd w:val="0"/>
        <w:spacing w:after="240" w:line="360" w:lineRule="auto"/>
        <w:jc w:val="both"/>
        <w:rPr>
          <w:rFonts w:ascii="Times New Roman" w:hAnsi="Times New Roman"/>
          <w:bCs/>
          <w:iCs/>
          <w:sz w:val="24"/>
          <w:szCs w:val="20"/>
          <w:lang w:val="en-US"/>
        </w:rPr>
      </w:pPr>
      <w:r w:rsidRPr="005B7CAC">
        <w:rPr>
          <w:rFonts w:ascii="Times New Roman" w:hAnsi="Times New Roman"/>
          <w:bCs/>
          <w:iCs/>
          <w:sz w:val="24"/>
          <w:szCs w:val="20"/>
          <w:lang w:val="en-US"/>
        </w:rPr>
        <w:t xml:space="preserve">Finally, the interaction term </w:t>
      </w:r>
      <w:r w:rsidRPr="005B7CAC">
        <w:rPr>
          <w:rFonts w:ascii="Times New Roman" w:hAnsi="Times New Roman"/>
          <w:bCs/>
          <w:i/>
          <w:sz w:val="24"/>
          <w:szCs w:val="20"/>
          <w:lang w:val="en-US"/>
        </w:rPr>
        <w:t>WREC*</w:t>
      </w:r>
      <w:r w:rsidR="001A1CB2" w:rsidRPr="005B7CAC">
        <w:rPr>
          <w:rFonts w:ascii="Times New Roman" w:hAnsi="Times New Roman"/>
          <w:bCs/>
          <w:i/>
          <w:sz w:val="24"/>
          <w:szCs w:val="20"/>
          <w:lang w:val="en-US"/>
        </w:rPr>
        <w:t>GINV</w:t>
      </w:r>
      <w:r w:rsidR="00B85636" w:rsidRPr="005B7CAC">
        <w:rPr>
          <w:rFonts w:ascii="Times New Roman" w:hAnsi="Times New Roman"/>
          <w:bCs/>
          <w:i/>
          <w:sz w:val="24"/>
          <w:szCs w:val="20"/>
          <w:lang w:val="en-US"/>
        </w:rPr>
        <w:t>s</w:t>
      </w:r>
      <w:r w:rsidRPr="005B7CAC">
        <w:rPr>
          <w:rFonts w:ascii="Times New Roman" w:hAnsi="Times New Roman"/>
          <w:bCs/>
          <w:iCs/>
          <w:sz w:val="24"/>
          <w:szCs w:val="20"/>
          <w:lang w:val="en-US"/>
        </w:rPr>
        <w:t xml:space="preserve"> is negative and significant with </w:t>
      </w:r>
      <w:r w:rsidRPr="005B7CAC">
        <w:rPr>
          <w:rFonts w:ascii="Times New Roman" w:hAnsi="Times New Roman"/>
          <w:bCs/>
          <w:i/>
          <w:sz w:val="24"/>
          <w:szCs w:val="20"/>
          <w:lang w:val="en-US"/>
        </w:rPr>
        <w:t>Z_UK</w:t>
      </w:r>
      <w:r w:rsidR="00745A19" w:rsidRPr="005B7CAC">
        <w:rPr>
          <w:rFonts w:ascii="Times New Roman" w:hAnsi="Times New Roman"/>
          <w:bCs/>
          <w:i/>
          <w:sz w:val="24"/>
          <w:szCs w:val="20"/>
          <w:lang w:val="en-US"/>
        </w:rPr>
        <w:t xml:space="preserve"> </w:t>
      </w:r>
      <w:r w:rsidR="00745A19" w:rsidRPr="005B7CAC">
        <w:rPr>
          <w:rFonts w:ascii="Times New Roman" w:hAnsi="Times New Roman"/>
          <w:bCs/>
          <w:iCs/>
          <w:sz w:val="24"/>
          <w:szCs w:val="20"/>
          <w:lang w:val="en-US"/>
        </w:rPr>
        <w:t>(</w:t>
      </w:r>
      <w:r w:rsidR="00745A19" w:rsidRPr="005B7CAC">
        <w:rPr>
          <w:rFonts w:ascii="Times New Roman" w:hAnsi="Times New Roman"/>
          <w:bCs/>
          <w:i/>
          <w:sz w:val="24"/>
          <w:szCs w:val="20"/>
          <w:lang w:val="en-US"/>
        </w:rPr>
        <w:t>p</w:t>
      </w:r>
      <w:r w:rsidR="00745A19" w:rsidRPr="005B7CAC">
        <w:rPr>
          <w:rFonts w:ascii="Times New Roman" w:hAnsi="Times New Roman"/>
          <w:bCs/>
          <w:iCs/>
          <w:sz w:val="24"/>
          <w:szCs w:val="20"/>
          <w:lang w:val="en-US"/>
        </w:rPr>
        <w:t xml:space="preserve"> &lt; 0.01)</w:t>
      </w:r>
      <w:r w:rsidR="00A85791" w:rsidRPr="005B7CAC">
        <w:rPr>
          <w:rFonts w:ascii="Times New Roman" w:hAnsi="Times New Roman"/>
          <w:bCs/>
          <w:iCs/>
          <w:sz w:val="24"/>
          <w:szCs w:val="20"/>
          <w:lang w:val="en-US"/>
        </w:rPr>
        <w:t xml:space="preserve"> and </w:t>
      </w:r>
      <w:r w:rsidR="00A85791" w:rsidRPr="005B7CAC">
        <w:rPr>
          <w:rFonts w:ascii="Times New Roman" w:hAnsi="Times New Roman"/>
          <w:bCs/>
          <w:i/>
          <w:sz w:val="24"/>
          <w:szCs w:val="20"/>
          <w:lang w:val="en-US"/>
        </w:rPr>
        <w:t xml:space="preserve">Z_ALT </w:t>
      </w:r>
      <w:r w:rsidR="00A85791" w:rsidRPr="005B7CAC">
        <w:rPr>
          <w:rFonts w:ascii="Times New Roman" w:hAnsi="Times New Roman"/>
          <w:bCs/>
          <w:iCs/>
          <w:sz w:val="24"/>
          <w:szCs w:val="20"/>
          <w:lang w:val="en-US"/>
        </w:rPr>
        <w:t>(</w:t>
      </w:r>
      <w:r w:rsidR="00A85791" w:rsidRPr="005B7CAC">
        <w:rPr>
          <w:rFonts w:ascii="Times New Roman" w:hAnsi="Times New Roman"/>
          <w:bCs/>
          <w:i/>
          <w:sz w:val="24"/>
          <w:szCs w:val="20"/>
          <w:lang w:val="en-US"/>
        </w:rPr>
        <w:t>p</w:t>
      </w:r>
      <w:r w:rsidR="00A85791" w:rsidRPr="005B7CAC">
        <w:rPr>
          <w:rFonts w:ascii="Times New Roman" w:hAnsi="Times New Roman"/>
          <w:bCs/>
          <w:iCs/>
          <w:sz w:val="24"/>
          <w:szCs w:val="20"/>
          <w:lang w:val="en-US"/>
        </w:rPr>
        <w:t xml:space="preserve"> &lt; 0.01), </w:t>
      </w:r>
      <w:r w:rsidR="006F53B8" w:rsidRPr="005B7CAC">
        <w:rPr>
          <w:rFonts w:ascii="Times New Roman" w:hAnsi="Times New Roman"/>
          <w:bCs/>
          <w:iCs/>
          <w:sz w:val="24"/>
          <w:szCs w:val="20"/>
          <w:lang w:val="en-US"/>
        </w:rPr>
        <w:t xml:space="preserve">indicating that the positive impact of waste recycling on Z_UK is reduced when green </w:t>
      </w:r>
      <w:r w:rsidR="007C65B0" w:rsidRPr="005B7CAC">
        <w:rPr>
          <w:rFonts w:ascii="Times New Roman" w:hAnsi="Times New Roman"/>
          <w:bCs/>
          <w:iCs/>
          <w:sz w:val="24"/>
          <w:szCs w:val="20"/>
          <w:lang w:val="en-US"/>
        </w:rPr>
        <w:t xml:space="preserve">initiatives are </w:t>
      </w:r>
      <w:r w:rsidR="008054C9" w:rsidRPr="005B7CAC">
        <w:rPr>
          <w:rFonts w:ascii="Times New Roman" w:hAnsi="Times New Roman"/>
          <w:bCs/>
          <w:iCs/>
          <w:sz w:val="24"/>
          <w:szCs w:val="20"/>
          <w:lang w:val="en-US"/>
        </w:rPr>
        <w:t>introduced.</w:t>
      </w:r>
      <w:r w:rsidR="002C3535" w:rsidRPr="005B7CAC">
        <w:rPr>
          <w:rFonts w:ascii="Times New Roman" w:hAnsi="Times New Roman"/>
          <w:bCs/>
          <w:iCs/>
          <w:sz w:val="24"/>
          <w:szCs w:val="20"/>
          <w:lang w:val="en-US"/>
        </w:rPr>
        <w:t xml:space="preserve"> As displayed in Figures 3 and 4, </w:t>
      </w:r>
      <w:r w:rsidR="002C3535" w:rsidRPr="005B7CAC">
        <w:rPr>
          <w:rFonts w:ascii="Times New Roman" w:hAnsi="Times New Roman"/>
          <w:sz w:val="24"/>
          <w:szCs w:val="24"/>
          <w:lang w:val="en-US"/>
        </w:rPr>
        <w:t xml:space="preserve">the </w:t>
      </w:r>
      <w:r w:rsidR="00C656DB" w:rsidRPr="005B7CAC">
        <w:rPr>
          <w:rFonts w:ascii="Times New Roman" w:hAnsi="Times New Roman"/>
          <w:sz w:val="24"/>
          <w:szCs w:val="24"/>
          <w:lang w:val="en-US"/>
        </w:rPr>
        <w:t xml:space="preserve">upward (for lower </w:t>
      </w:r>
      <w:r w:rsidR="00C656DB" w:rsidRPr="005B7CAC">
        <w:rPr>
          <w:rFonts w:ascii="Times New Roman" w:hAnsi="Times New Roman"/>
          <w:i/>
          <w:iCs/>
          <w:sz w:val="24"/>
          <w:szCs w:val="24"/>
          <w:lang w:val="en-US"/>
        </w:rPr>
        <w:t>GINVs</w:t>
      </w:r>
      <w:r w:rsidR="00C656DB" w:rsidRPr="005B7CAC">
        <w:rPr>
          <w:rFonts w:ascii="Times New Roman" w:hAnsi="Times New Roman"/>
          <w:sz w:val="24"/>
          <w:szCs w:val="24"/>
          <w:lang w:val="en-US"/>
        </w:rPr>
        <w:t xml:space="preserve">) and downward </w:t>
      </w:r>
      <w:r w:rsidR="002C3535" w:rsidRPr="005B7CAC">
        <w:rPr>
          <w:rFonts w:ascii="Times New Roman" w:hAnsi="Times New Roman"/>
          <w:sz w:val="24"/>
          <w:szCs w:val="24"/>
          <w:lang w:val="en-US"/>
        </w:rPr>
        <w:t>slop</w:t>
      </w:r>
      <w:r w:rsidR="00C656DB" w:rsidRPr="005B7CAC">
        <w:rPr>
          <w:rFonts w:ascii="Times New Roman" w:hAnsi="Times New Roman"/>
          <w:sz w:val="24"/>
          <w:szCs w:val="24"/>
          <w:lang w:val="en-US"/>
        </w:rPr>
        <w:t xml:space="preserve">ing (for higher </w:t>
      </w:r>
      <w:r w:rsidR="00C656DB" w:rsidRPr="005B7CAC">
        <w:rPr>
          <w:rFonts w:ascii="Times New Roman" w:hAnsi="Times New Roman"/>
          <w:i/>
          <w:iCs/>
          <w:sz w:val="24"/>
          <w:szCs w:val="24"/>
          <w:lang w:val="en-US"/>
        </w:rPr>
        <w:t>GINVs</w:t>
      </w:r>
      <w:r w:rsidR="00C656DB" w:rsidRPr="005B7CAC">
        <w:rPr>
          <w:rFonts w:ascii="Times New Roman" w:hAnsi="Times New Roman"/>
          <w:sz w:val="24"/>
          <w:szCs w:val="24"/>
          <w:lang w:val="en-US"/>
        </w:rPr>
        <w:t xml:space="preserve">) </w:t>
      </w:r>
      <w:r w:rsidR="002C3535" w:rsidRPr="005B7CAC">
        <w:rPr>
          <w:rFonts w:ascii="Times New Roman" w:hAnsi="Times New Roman"/>
          <w:sz w:val="24"/>
          <w:szCs w:val="24"/>
          <w:lang w:val="en-US"/>
        </w:rPr>
        <w:t xml:space="preserve">lines </w:t>
      </w:r>
      <w:r w:rsidR="00C656DB" w:rsidRPr="005B7CAC">
        <w:rPr>
          <w:rFonts w:ascii="Times New Roman" w:hAnsi="Times New Roman"/>
          <w:sz w:val="24"/>
          <w:szCs w:val="24"/>
          <w:lang w:val="en-US"/>
        </w:rPr>
        <w:t xml:space="preserve">verify </w:t>
      </w:r>
      <w:r w:rsidR="002C3535" w:rsidRPr="005B7CAC">
        <w:rPr>
          <w:rFonts w:ascii="Times New Roman" w:hAnsi="Times New Roman"/>
          <w:sz w:val="24"/>
          <w:szCs w:val="24"/>
          <w:lang w:val="en-US"/>
        </w:rPr>
        <w:t xml:space="preserve">the moderating effect of </w:t>
      </w:r>
      <w:r w:rsidR="002C3535" w:rsidRPr="005B7CAC">
        <w:rPr>
          <w:rFonts w:ascii="Times New Roman" w:hAnsi="Times New Roman"/>
          <w:i/>
          <w:iCs/>
          <w:sz w:val="24"/>
          <w:szCs w:val="24"/>
          <w:lang w:val="en-US"/>
        </w:rPr>
        <w:t xml:space="preserve">GINVs </w:t>
      </w:r>
      <w:r w:rsidR="002C3535" w:rsidRPr="005B7CAC">
        <w:rPr>
          <w:rFonts w:ascii="Times New Roman" w:hAnsi="Times New Roman"/>
          <w:sz w:val="24"/>
          <w:szCs w:val="24"/>
          <w:lang w:val="en-US"/>
        </w:rPr>
        <w:t xml:space="preserve">on the relationship between </w:t>
      </w:r>
      <w:r w:rsidR="002C3535" w:rsidRPr="005B7CAC">
        <w:rPr>
          <w:rFonts w:ascii="Times New Roman" w:hAnsi="Times New Roman"/>
          <w:i/>
          <w:iCs/>
          <w:sz w:val="24"/>
          <w:szCs w:val="24"/>
          <w:lang w:val="en-US"/>
        </w:rPr>
        <w:t>WREC</w:t>
      </w:r>
      <w:r w:rsidR="002C3535" w:rsidRPr="005B7CAC">
        <w:rPr>
          <w:rFonts w:ascii="Times New Roman" w:hAnsi="Times New Roman"/>
          <w:sz w:val="24"/>
          <w:szCs w:val="24"/>
          <w:lang w:val="en-US"/>
        </w:rPr>
        <w:t xml:space="preserve"> and </w:t>
      </w:r>
      <w:r w:rsidR="002C3535" w:rsidRPr="005B7CAC">
        <w:rPr>
          <w:rFonts w:ascii="Times New Roman" w:hAnsi="Times New Roman"/>
          <w:i/>
          <w:iCs/>
          <w:sz w:val="24"/>
          <w:szCs w:val="24"/>
          <w:lang w:val="en-US"/>
        </w:rPr>
        <w:t>FD</w:t>
      </w:r>
      <w:r w:rsidR="002C3535" w:rsidRPr="005B7CAC">
        <w:rPr>
          <w:rFonts w:ascii="Times New Roman" w:hAnsi="Times New Roman"/>
          <w:sz w:val="24"/>
          <w:szCs w:val="24"/>
          <w:lang w:val="en-US"/>
        </w:rPr>
        <w:t xml:space="preserve"> risks. More specifically, </w:t>
      </w:r>
      <w:r w:rsidR="008B765C" w:rsidRPr="005B7CAC">
        <w:rPr>
          <w:rFonts w:ascii="Times New Roman" w:hAnsi="Times New Roman"/>
          <w:bCs/>
          <w:iCs/>
          <w:sz w:val="24"/>
          <w:szCs w:val="20"/>
          <w:lang w:val="en-US"/>
        </w:rPr>
        <w:t xml:space="preserve">while both waste recycling and green </w:t>
      </w:r>
      <w:r w:rsidR="007C65B0" w:rsidRPr="005B7CAC">
        <w:rPr>
          <w:rFonts w:ascii="Times New Roman" w:hAnsi="Times New Roman"/>
          <w:bCs/>
          <w:iCs/>
          <w:sz w:val="24"/>
          <w:szCs w:val="20"/>
          <w:lang w:val="en-US"/>
        </w:rPr>
        <w:t>initiatives</w:t>
      </w:r>
      <w:r w:rsidR="008B765C" w:rsidRPr="005B7CAC">
        <w:rPr>
          <w:rFonts w:ascii="Times New Roman" w:hAnsi="Times New Roman"/>
          <w:bCs/>
          <w:iCs/>
          <w:sz w:val="24"/>
          <w:szCs w:val="20"/>
          <w:lang w:val="en-US"/>
        </w:rPr>
        <w:t xml:space="preserve"> reduce </w:t>
      </w:r>
      <w:r w:rsidR="008B765C" w:rsidRPr="005B7CAC">
        <w:rPr>
          <w:rFonts w:ascii="Times New Roman" w:hAnsi="Times New Roman"/>
          <w:bCs/>
          <w:i/>
          <w:sz w:val="24"/>
          <w:szCs w:val="20"/>
          <w:lang w:val="en-US"/>
        </w:rPr>
        <w:t>FD</w:t>
      </w:r>
      <w:r w:rsidR="008B765C" w:rsidRPr="005B7CAC">
        <w:rPr>
          <w:rFonts w:ascii="Times New Roman" w:hAnsi="Times New Roman"/>
          <w:bCs/>
          <w:iCs/>
          <w:sz w:val="24"/>
          <w:szCs w:val="20"/>
          <w:lang w:val="en-US"/>
        </w:rPr>
        <w:t xml:space="preserve"> levels, the effect of waste recycling on </w:t>
      </w:r>
      <w:r w:rsidR="008B765C" w:rsidRPr="005B7CAC">
        <w:rPr>
          <w:rFonts w:ascii="Times New Roman" w:hAnsi="Times New Roman"/>
          <w:bCs/>
          <w:i/>
          <w:sz w:val="24"/>
          <w:szCs w:val="20"/>
          <w:lang w:val="en-US"/>
        </w:rPr>
        <w:t>FD</w:t>
      </w:r>
      <w:r w:rsidR="008B765C" w:rsidRPr="005B7CAC">
        <w:rPr>
          <w:rFonts w:ascii="Times New Roman" w:hAnsi="Times New Roman"/>
          <w:bCs/>
          <w:iCs/>
          <w:sz w:val="24"/>
          <w:szCs w:val="20"/>
          <w:lang w:val="en-US"/>
        </w:rPr>
        <w:t xml:space="preserve"> is less pronounced when proactive green </w:t>
      </w:r>
      <w:r w:rsidR="007C65B0" w:rsidRPr="005B7CAC">
        <w:rPr>
          <w:rFonts w:ascii="Times New Roman" w:hAnsi="Times New Roman"/>
          <w:bCs/>
          <w:iCs/>
          <w:sz w:val="24"/>
          <w:szCs w:val="20"/>
          <w:lang w:val="en-US"/>
        </w:rPr>
        <w:t>initiatives</w:t>
      </w:r>
      <w:r w:rsidR="008B765C" w:rsidRPr="005B7CAC">
        <w:rPr>
          <w:rFonts w:ascii="Times New Roman" w:hAnsi="Times New Roman"/>
          <w:bCs/>
          <w:iCs/>
          <w:sz w:val="24"/>
          <w:szCs w:val="20"/>
          <w:lang w:val="en-US"/>
        </w:rPr>
        <w:t xml:space="preserve"> </w:t>
      </w:r>
      <w:r w:rsidR="007C65B0" w:rsidRPr="005B7CAC">
        <w:rPr>
          <w:rFonts w:ascii="Times New Roman" w:hAnsi="Times New Roman"/>
          <w:bCs/>
          <w:iCs/>
          <w:sz w:val="24"/>
          <w:szCs w:val="20"/>
          <w:lang w:val="en-US"/>
        </w:rPr>
        <w:t>are</w:t>
      </w:r>
      <w:r w:rsidR="008B765C" w:rsidRPr="005B7CAC">
        <w:rPr>
          <w:rFonts w:ascii="Times New Roman" w:hAnsi="Times New Roman"/>
          <w:bCs/>
          <w:iCs/>
          <w:sz w:val="24"/>
          <w:szCs w:val="20"/>
          <w:lang w:val="en-US"/>
        </w:rPr>
        <w:t xml:space="preserve"> </w:t>
      </w:r>
      <w:r w:rsidR="00A85791" w:rsidRPr="005B7CAC">
        <w:rPr>
          <w:rFonts w:ascii="Times New Roman" w:hAnsi="Times New Roman"/>
          <w:bCs/>
          <w:iCs/>
          <w:sz w:val="24"/>
          <w:szCs w:val="20"/>
          <w:lang w:val="en-US"/>
        </w:rPr>
        <w:t>adopted</w:t>
      </w:r>
      <w:r w:rsidR="008B765C" w:rsidRPr="005B7CAC">
        <w:rPr>
          <w:rFonts w:ascii="Times New Roman" w:hAnsi="Times New Roman"/>
          <w:bCs/>
          <w:iCs/>
          <w:sz w:val="24"/>
          <w:szCs w:val="20"/>
          <w:lang w:val="en-US"/>
        </w:rPr>
        <w:t xml:space="preserve">. This </w:t>
      </w:r>
      <w:r w:rsidR="00461F6F" w:rsidRPr="005B7CAC">
        <w:rPr>
          <w:rFonts w:ascii="Times New Roman" w:hAnsi="Times New Roman"/>
          <w:bCs/>
          <w:iCs/>
          <w:sz w:val="24"/>
          <w:szCs w:val="20"/>
          <w:lang w:val="en-US"/>
        </w:rPr>
        <w:t xml:space="preserve">evidence </w:t>
      </w:r>
      <w:r w:rsidR="008B765C" w:rsidRPr="005B7CAC">
        <w:rPr>
          <w:rFonts w:ascii="Times New Roman" w:hAnsi="Times New Roman"/>
          <w:bCs/>
          <w:iCs/>
          <w:sz w:val="24"/>
          <w:szCs w:val="20"/>
          <w:lang w:val="en-US"/>
        </w:rPr>
        <w:t>indicates that</w:t>
      </w:r>
      <w:r w:rsidR="00CD1167" w:rsidRPr="005B7CAC">
        <w:rPr>
          <w:rFonts w:ascii="Times New Roman" w:hAnsi="Times New Roman"/>
          <w:bCs/>
          <w:iCs/>
          <w:sz w:val="24"/>
          <w:szCs w:val="20"/>
          <w:lang w:val="en-US"/>
        </w:rPr>
        <w:t xml:space="preserve"> both waste recycling and green </w:t>
      </w:r>
      <w:r w:rsidR="007C65B0" w:rsidRPr="005B7CAC">
        <w:rPr>
          <w:rFonts w:ascii="Times New Roman" w:hAnsi="Times New Roman"/>
          <w:bCs/>
          <w:iCs/>
          <w:sz w:val="24"/>
          <w:szCs w:val="20"/>
          <w:lang w:val="en-US"/>
        </w:rPr>
        <w:t xml:space="preserve">initiatives </w:t>
      </w:r>
      <w:r w:rsidR="00CD1167" w:rsidRPr="005B7CAC">
        <w:rPr>
          <w:rFonts w:ascii="Times New Roman" w:hAnsi="Times New Roman"/>
          <w:bCs/>
          <w:iCs/>
          <w:sz w:val="24"/>
          <w:szCs w:val="20"/>
          <w:lang w:val="en-US"/>
        </w:rPr>
        <w:t>serve</w:t>
      </w:r>
      <w:r w:rsidR="002D4735" w:rsidRPr="005B7CAC">
        <w:rPr>
          <w:rFonts w:ascii="Times New Roman" w:hAnsi="Times New Roman"/>
          <w:bCs/>
          <w:iCs/>
          <w:sz w:val="24"/>
          <w:szCs w:val="20"/>
          <w:lang w:val="en-US"/>
        </w:rPr>
        <w:t xml:space="preserve"> </w:t>
      </w:r>
      <w:r w:rsidR="00CD1167" w:rsidRPr="005B7CAC">
        <w:rPr>
          <w:rFonts w:ascii="Times New Roman" w:hAnsi="Times New Roman"/>
          <w:bCs/>
          <w:iCs/>
          <w:sz w:val="24"/>
          <w:szCs w:val="20"/>
          <w:lang w:val="en-US"/>
        </w:rPr>
        <w:t>as substitutes</w:t>
      </w:r>
      <w:r w:rsidR="00054E8C" w:rsidRPr="005B7CAC">
        <w:rPr>
          <w:rFonts w:ascii="Times New Roman" w:hAnsi="Times New Roman"/>
          <w:bCs/>
          <w:iCs/>
          <w:sz w:val="24"/>
          <w:szCs w:val="20"/>
          <w:lang w:val="en-US"/>
        </w:rPr>
        <w:t xml:space="preserve"> and </w:t>
      </w:r>
      <w:r w:rsidR="00461F6F" w:rsidRPr="005B7CAC">
        <w:rPr>
          <w:rFonts w:ascii="Times New Roman" w:hAnsi="Times New Roman"/>
          <w:bCs/>
          <w:iCs/>
          <w:sz w:val="24"/>
          <w:szCs w:val="20"/>
          <w:lang w:val="en-US"/>
        </w:rPr>
        <w:t xml:space="preserve">supports the viewpoint that </w:t>
      </w:r>
      <w:r w:rsidR="00D55FDB" w:rsidRPr="005B7CAC">
        <w:rPr>
          <w:rFonts w:ascii="Times New Roman" w:hAnsi="Times New Roman"/>
          <w:bCs/>
          <w:iCs/>
          <w:sz w:val="24"/>
          <w:szCs w:val="20"/>
          <w:lang w:val="en-US"/>
        </w:rPr>
        <w:t xml:space="preserve">certain </w:t>
      </w:r>
      <w:r w:rsidR="00461F6F" w:rsidRPr="005B7CAC">
        <w:rPr>
          <w:rFonts w:ascii="Times New Roman" w:hAnsi="Times New Roman"/>
          <w:bCs/>
          <w:iCs/>
          <w:sz w:val="24"/>
          <w:szCs w:val="20"/>
          <w:lang w:val="en-US"/>
        </w:rPr>
        <w:t>corporate effort</w:t>
      </w:r>
      <w:r w:rsidR="00054E8C" w:rsidRPr="005B7CAC">
        <w:rPr>
          <w:rFonts w:ascii="Times New Roman" w:hAnsi="Times New Roman"/>
          <w:bCs/>
          <w:iCs/>
          <w:sz w:val="24"/>
          <w:szCs w:val="20"/>
          <w:lang w:val="en-US"/>
        </w:rPr>
        <w:t>s</w:t>
      </w:r>
      <w:r w:rsidR="00461F6F" w:rsidRPr="005B7CAC">
        <w:rPr>
          <w:rFonts w:ascii="Times New Roman" w:hAnsi="Times New Roman"/>
          <w:bCs/>
          <w:iCs/>
          <w:sz w:val="24"/>
          <w:szCs w:val="20"/>
          <w:lang w:val="en-US"/>
        </w:rPr>
        <w:t>/practice</w:t>
      </w:r>
      <w:r w:rsidR="00054E8C" w:rsidRPr="005B7CAC">
        <w:rPr>
          <w:rFonts w:ascii="Times New Roman" w:hAnsi="Times New Roman"/>
          <w:bCs/>
          <w:iCs/>
          <w:sz w:val="24"/>
          <w:szCs w:val="20"/>
          <w:lang w:val="en-US"/>
        </w:rPr>
        <w:t>s</w:t>
      </w:r>
      <w:r w:rsidR="00461F6F" w:rsidRPr="005B7CAC">
        <w:rPr>
          <w:rFonts w:ascii="Times New Roman" w:hAnsi="Times New Roman"/>
          <w:bCs/>
          <w:iCs/>
          <w:sz w:val="24"/>
          <w:szCs w:val="20"/>
          <w:lang w:val="en-US"/>
        </w:rPr>
        <w:t xml:space="preserve"> become</w:t>
      </w:r>
      <w:r w:rsidR="00054E8C" w:rsidRPr="005B7CAC">
        <w:rPr>
          <w:rFonts w:ascii="Times New Roman" w:hAnsi="Times New Roman"/>
          <w:bCs/>
          <w:iCs/>
          <w:sz w:val="24"/>
          <w:szCs w:val="20"/>
          <w:lang w:val="en-US"/>
        </w:rPr>
        <w:t xml:space="preserve"> </w:t>
      </w:r>
      <w:r w:rsidR="00461F6F" w:rsidRPr="005B7CAC">
        <w:rPr>
          <w:rFonts w:ascii="Times New Roman" w:hAnsi="Times New Roman"/>
          <w:bCs/>
          <w:iCs/>
          <w:sz w:val="24"/>
          <w:szCs w:val="20"/>
          <w:lang w:val="en-US"/>
        </w:rPr>
        <w:t xml:space="preserve">more effective when </w:t>
      </w:r>
      <w:r w:rsidR="00CF5358" w:rsidRPr="005B7CAC">
        <w:rPr>
          <w:rFonts w:ascii="Times New Roman" w:hAnsi="Times New Roman"/>
          <w:bCs/>
          <w:iCs/>
          <w:sz w:val="24"/>
          <w:szCs w:val="20"/>
          <w:lang w:val="en-US"/>
        </w:rPr>
        <w:t>others</w:t>
      </w:r>
      <w:r w:rsidR="00461F6F" w:rsidRPr="005B7CAC">
        <w:rPr>
          <w:rFonts w:ascii="Times New Roman" w:hAnsi="Times New Roman"/>
          <w:bCs/>
          <w:iCs/>
          <w:sz w:val="24"/>
          <w:szCs w:val="20"/>
          <w:lang w:val="en-US"/>
        </w:rPr>
        <w:t xml:space="preserve"> fail to improve organizational performance </w:t>
      </w:r>
      <w:r w:rsidR="00832141" w:rsidRPr="005B7CAC">
        <w:rPr>
          <w:rFonts w:ascii="Times New Roman" w:hAnsi="Times New Roman"/>
          <w:bCs/>
          <w:iCs/>
          <w:sz w:val="24"/>
          <w:szCs w:val="20"/>
          <w:lang w:val="en-US"/>
        </w:rPr>
        <w:fldChar w:fldCharType="begin" w:fldLock="1"/>
      </w:r>
      <w:r w:rsidR="00832141" w:rsidRPr="005B7CAC">
        <w:rPr>
          <w:rFonts w:ascii="Times New Roman" w:hAnsi="Times New Roman"/>
          <w:bCs/>
          <w:iCs/>
          <w:sz w:val="24"/>
          <w:szCs w:val="20"/>
          <w:lang w:val="en-US"/>
        </w:rPr>
        <w:instrText>ADDIN CSL_CITATION {"citationItems":[{"id":"ITEM-1","itemData":{"DOI":"10.1111/1467-8551.12586","author":[{"dropping-particle":"","family":"Hussain","given":"Nazim","non-dropping-particle":"","parse-names":false,"suffix":""},{"dropping-particle":"","family":"García-Sánchez","given":"Isabel María","non-dropping-particle":"","parse-names":false,"suffix":""},{"dropping-particle":"","family":"Khan","given":"Sana Akbar","non-dropping-particle":"","parse-names":false,"suffix":""},{"dropping-particle":"","family":"Khan","given":"Zaheer","non-dropping-particle":"","parse-names":false,"suffix":""},{"dropping-particle":"","family":"Martínez-Ferrero","given":"Jennifer","non-dropping-particle":"","parse-names":false,"suffix":""}],"container-title":"British Journal of Management","id":"ITEM-1","issued":{"date-parts":[["2021"]]},"title":"Connecting the Dots : Do Financial Analysts Help Corporate Boards Improve Corporate Social Responsibility ?","type":"article-journal"},"uris":["http://www.mendeley.com/documents/?uuid=e5e9ad44-3c18-447a-a044-19d384776851"]}],"mendeley":{"formattedCitation":"(Hussain &lt;i&gt;et al.&lt;/i&gt;, 2021)","plainTextFormattedCitation":"(Hussain et al., 2021)","previouslyFormattedCitation":"(Hussain &lt;i&gt;et al.&lt;/i&gt;, 2021)"},"properties":{"noteIndex":0},"schema":"https://github.com/citation-style-language/schema/raw/master/csl-citation.json"}</w:instrText>
      </w:r>
      <w:r w:rsidR="00832141" w:rsidRPr="005B7CAC">
        <w:rPr>
          <w:rFonts w:ascii="Times New Roman" w:hAnsi="Times New Roman"/>
          <w:bCs/>
          <w:iCs/>
          <w:sz w:val="24"/>
          <w:szCs w:val="20"/>
          <w:lang w:val="en-US"/>
        </w:rPr>
        <w:fldChar w:fldCharType="separate"/>
      </w:r>
      <w:r w:rsidR="00461F6F" w:rsidRPr="005B7CAC">
        <w:rPr>
          <w:rFonts w:ascii="Times New Roman" w:hAnsi="Times New Roman"/>
          <w:bCs/>
          <w:iCs/>
          <w:noProof/>
          <w:sz w:val="24"/>
          <w:szCs w:val="20"/>
          <w:lang w:val="en-US"/>
        </w:rPr>
        <w:t xml:space="preserve">(Hussain </w:t>
      </w:r>
      <w:r w:rsidR="00461F6F" w:rsidRPr="005B7CAC">
        <w:rPr>
          <w:rFonts w:ascii="Times New Roman" w:hAnsi="Times New Roman"/>
          <w:bCs/>
          <w:i/>
          <w:iCs/>
          <w:noProof/>
          <w:sz w:val="24"/>
          <w:szCs w:val="20"/>
          <w:lang w:val="en-US"/>
        </w:rPr>
        <w:t>et al.</w:t>
      </w:r>
      <w:r w:rsidR="00461F6F" w:rsidRPr="005B7CAC">
        <w:rPr>
          <w:rFonts w:ascii="Times New Roman" w:hAnsi="Times New Roman"/>
          <w:bCs/>
          <w:iCs/>
          <w:noProof/>
          <w:sz w:val="24"/>
          <w:szCs w:val="20"/>
          <w:lang w:val="en-US"/>
        </w:rPr>
        <w:t>, 2021)</w:t>
      </w:r>
      <w:r w:rsidR="00832141" w:rsidRPr="005B7CAC">
        <w:rPr>
          <w:rFonts w:ascii="Times New Roman" w:hAnsi="Times New Roman"/>
          <w:bCs/>
          <w:iCs/>
          <w:sz w:val="24"/>
          <w:szCs w:val="20"/>
          <w:lang w:val="en-US"/>
        </w:rPr>
        <w:fldChar w:fldCharType="end"/>
      </w:r>
      <w:r w:rsidR="00461F6F" w:rsidRPr="005B7CAC">
        <w:rPr>
          <w:rFonts w:ascii="Times New Roman" w:hAnsi="Times New Roman"/>
          <w:bCs/>
          <w:iCs/>
          <w:sz w:val="24"/>
          <w:szCs w:val="20"/>
          <w:lang w:val="en-US"/>
        </w:rPr>
        <w:t>.</w:t>
      </w:r>
      <w:r w:rsidR="002D4735" w:rsidRPr="005B7CAC">
        <w:rPr>
          <w:rFonts w:ascii="Times New Roman" w:hAnsi="Times New Roman"/>
          <w:bCs/>
          <w:iCs/>
          <w:sz w:val="24"/>
          <w:szCs w:val="20"/>
          <w:lang w:val="en-US"/>
        </w:rPr>
        <w:t xml:space="preserve"> This could be attributable to resource allocation </w:t>
      </w:r>
      <w:r w:rsidR="00F912B5" w:rsidRPr="005B7CAC">
        <w:rPr>
          <w:rFonts w:ascii="Times New Roman" w:hAnsi="Times New Roman"/>
          <w:bCs/>
          <w:iCs/>
          <w:sz w:val="24"/>
          <w:szCs w:val="20"/>
          <w:lang w:val="en-US"/>
        </w:rPr>
        <w:t>complexities</w:t>
      </w:r>
      <w:r w:rsidR="002D4735" w:rsidRPr="005B7CAC">
        <w:rPr>
          <w:rFonts w:ascii="Times New Roman" w:hAnsi="Times New Roman"/>
          <w:bCs/>
          <w:iCs/>
          <w:sz w:val="24"/>
          <w:szCs w:val="20"/>
          <w:lang w:val="en-US"/>
        </w:rPr>
        <w:t xml:space="preserve">, conflicting </w:t>
      </w:r>
      <w:r w:rsidR="00BA0892" w:rsidRPr="005B7CAC">
        <w:rPr>
          <w:rFonts w:ascii="Times New Roman" w:hAnsi="Times New Roman"/>
          <w:bCs/>
          <w:iCs/>
          <w:sz w:val="24"/>
          <w:szCs w:val="20"/>
          <w:lang w:val="en-US"/>
        </w:rPr>
        <w:t>sustainability-related</w:t>
      </w:r>
      <w:r w:rsidR="00FF0236" w:rsidRPr="005B7CAC">
        <w:rPr>
          <w:rFonts w:ascii="Times New Roman" w:hAnsi="Times New Roman"/>
          <w:bCs/>
          <w:iCs/>
          <w:sz w:val="24"/>
          <w:szCs w:val="20"/>
          <w:lang w:val="en-US"/>
        </w:rPr>
        <w:t xml:space="preserve"> </w:t>
      </w:r>
      <w:r w:rsidR="002D4735" w:rsidRPr="005B7CAC">
        <w:rPr>
          <w:rFonts w:ascii="Times New Roman" w:hAnsi="Times New Roman"/>
          <w:bCs/>
          <w:iCs/>
          <w:sz w:val="24"/>
          <w:szCs w:val="20"/>
          <w:lang w:val="en-US"/>
        </w:rPr>
        <w:t xml:space="preserve">priorities, and/or </w:t>
      </w:r>
      <w:r w:rsidR="002D4735" w:rsidRPr="005B7CAC">
        <w:rPr>
          <w:rFonts w:ascii="Times New Roman" w:hAnsi="Times New Roman"/>
          <w:bCs/>
          <w:iCs/>
          <w:sz w:val="24"/>
          <w:szCs w:val="20"/>
          <w:lang w:val="en-US"/>
        </w:rPr>
        <w:lastRenderedPageBreak/>
        <w:t>increased</w:t>
      </w:r>
      <w:r w:rsidR="00BA0892" w:rsidRPr="005B7CAC">
        <w:rPr>
          <w:rFonts w:ascii="Times New Roman" w:hAnsi="Times New Roman"/>
          <w:bCs/>
          <w:iCs/>
          <w:sz w:val="24"/>
          <w:szCs w:val="20"/>
          <w:lang w:val="en-US"/>
        </w:rPr>
        <w:t xml:space="preserve"> </w:t>
      </w:r>
      <w:r w:rsidR="002D4735" w:rsidRPr="005B7CAC">
        <w:rPr>
          <w:rFonts w:ascii="Times New Roman" w:hAnsi="Times New Roman"/>
          <w:bCs/>
          <w:iCs/>
          <w:sz w:val="24"/>
          <w:szCs w:val="20"/>
          <w:lang w:val="en-US"/>
        </w:rPr>
        <w:t xml:space="preserve">costs </w:t>
      </w:r>
      <w:r w:rsidR="00BA0892" w:rsidRPr="005B7CAC">
        <w:rPr>
          <w:rFonts w:ascii="Times New Roman" w:hAnsi="Times New Roman"/>
          <w:bCs/>
          <w:iCs/>
          <w:sz w:val="24"/>
          <w:szCs w:val="20"/>
          <w:lang w:val="en-US"/>
        </w:rPr>
        <w:t>related to</w:t>
      </w:r>
      <w:r w:rsidR="002D4735" w:rsidRPr="005B7CAC">
        <w:rPr>
          <w:rFonts w:ascii="Times New Roman" w:hAnsi="Times New Roman"/>
          <w:bCs/>
          <w:iCs/>
          <w:sz w:val="24"/>
          <w:szCs w:val="20"/>
          <w:lang w:val="en-US"/>
        </w:rPr>
        <w:t xml:space="preserve"> implementing both</w:t>
      </w:r>
      <w:r w:rsidR="00BA0892" w:rsidRPr="005B7CAC">
        <w:rPr>
          <w:rFonts w:ascii="Times New Roman" w:hAnsi="Times New Roman"/>
          <w:bCs/>
          <w:iCs/>
          <w:sz w:val="24"/>
          <w:szCs w:val="20"/>
          <w:lang w:val="en-US"/>
        </w:rPr>
        <w:t xml:space="preserve"> recycling practices and green initiatives </w:t>
      </w:r>
      <w:r w:rsidR="002D4735" w:rsidRPr="005B7CAC">
        <w:rPr>
          <w:rFonts w:ascii="Times New Roman" w:hAnsi="Times New Roman"/>
          <w:bCs/>
          <w:iCs/>
          <w:sz w:val="24"/>
          <w:szCs w:val="20"/>
          <w:lang w:val="en-US"/>
        </w:rPr>
        <w:t xml:space="preserve">simultaneously. </w:t>
      </w:r>
      <w:r w:rsidR="005675B1" w:rsidRPr="005B7CAC">
        <w:rPr>
          <w:rFonts w:ascii="Times New Roman" w:hAnsi="Times New Roman"/>
          <w:bCs/>
          <w:iCs/>
          <w:sz w:val="24"/>
          <w:szCs w:val="20"/>
          <w:lang w:val="en-US"/>
        </w:rPr>
        <w:t xml:space="preserve">Overall, the results suggest that </w:t>
      </w:r>
      <w:r w:rsidR="00A656F1" w:rsidRPr="005B7CAC">
        <w:rPr>
          <w:rFonts w:ascii="Times New Roman" w:hAnsi="Times New Roman"/>
          <w:bCs/>
          <w:iCs/>
          <w:sz w:val="24"/>
          <w:szCs w:val="20"/>
          <w:lang w:val="en-US"/>
        </w:rPr>
        <w:t xml:space="preserve">although both </w:t>
      </w:r>
      <w:r w:rsidR="00E22A47" w:rsidRPr="005B7CAC">
        <w:rPr>
          <w:rFonts w:ascii="Times New Roman" w:hAnsi="Times New Roman"/>
          <w:bCs/>
          <w:iCs/>
          <w:sz w:val="24"/>
          <w:szCs w:val="20"/>
          <w:lang w:val="en-US"/>
        </w:rPr>
        <w:t xml:space="preserve">operational recycling and strategic green </w:t>
      </w:r>
      <w:r w:rsidR="00A656F1" w:rsidRPr="005B7CAC">
        <w:rPr>
          <w:rFonts w:ascii="Times New Roman" w:hAnsi="Times New Roman"/>
          <w:bCs/>
          <w:iCs/>
          <w:sz w:val="24"/>
          <w:szCs w:val="20"/>
          <w:lang w:val="en-US"/>
        </w:rPr>
        <w:t xml:space="preserve">initiatives </w:t>
      </w:r>
      <w:r w:rsidR="00E22A47" w:rsidRPr="005B7CAC">
        <w:rPr>
          <w:rFonts w:ascii="Times New Roman" w:hAnsi="Times New Roman"/>
          <w:bCs/>
          <w:iCs/>
          <w:sz w:val="24"/>
          <w:szCs w:val="20"/>
          <w:lang w:val="en-US"/>
        </w:rPr>
        <w:t xml:space="preserve">are equally important in mitigating financial risks, </w:t>
      </w:r>
      <w:r w:rsidR="005675B1" w:rsidRPr="005B7CAC">
        <w:rPr>
          <w:rFonts w:ascii="Times New Roman" w:hAnsi="Times New Roman"/>
          <w:bCs/>
          <w:iCs/>
          <w:sz w:val="24"/>
          <w:szCs w:val="20"/>
          <w:lang w:val="en-US"/>
        </w:rPr>
        <w:t xml:space="preserve">firms need to carefully balance </w:t>
      </w:r>
      <w:r w:rsidR="00A656F1" w:rsidRPr="005B7CAC">
        <w:rPr>
          <w:rFonts w:ascii="Times New Roman" w:hAnsi="Times New Roman"/>
          <w:bCs/>
          <w:iCs/>
          <w:sz w:val="24"/>
          <w:szCs w:val="20"/>
          <w:lang w:val="en-US"/>
        </w:rPr>
        <w:t>them</w:t>
      </w:r>
      <w:r w:rsidR="005675B1" w:rsidRPr="005B7CAC">
        <w:rPr>
          <w:rFonts w:ascii="Times New Roman" w:hAnsi="Times New Roman"/>
          <w:bCs/>
          <w:iCs/>
          <w:sz w:val="24"/>
          <w:szCs w:val="20"/>
          <w:lang w:val="en-US"/>
        </w:rPr>
        <w:t xml:space="preserve"> to achieve optimal financial sustainability.</w:t>
      </w:r>
      <w:r w:rsidR="00FB14F3" w:rsidRPr="005B7CAC">
        <w:rPr>
          <w:rFonts w:ascii="Times New Roman" w:hAnsi="Times New Roman"/>
          <w:bCs/>
          <w:iCs/>
          <w:sz w:val="24"/>
          <w:szCs w:val="20"/>
          <w:lang w:val="en-US"/>
        </w:rPr>
        <w:t xml:space="preserve"> </w:t>
      </w:r>
      <w:r w:rsidR="00C874F7" w:rsidRPr="005B7CAC">
        <w:rPr>
          <w:rFonts w:ascii="Times New Roman" w:hAnsi="Times New Roman"/>
          <w:bCs/>
          <w:iCs/>
          <w:sz w:val="24"/>
          <w:szCs w:val="20"/>
          <w:lang w:val="en-US"/>
        </w:rPr>
        <w:t>As for the control variables, in line with past research</w:t>
      </w:r>
      <w:r w:rsidR="001558FE" w:rsidRPr="005B7CAC">
        <w:rPr>
          <w:rFonts w:ascii="Times New Roman" w:hAnsi="Times New Roman"/>
          <w:bCs/>
          <w:iCs/>
          <w:sz w:val="24"/>
          <w:szCs w:val="20"/>
          <w:lang w:val="en-US"/>
        </w:rPr>
        <w:t xml:space="preserve"> </w:t>
      </w:r>
      <w:r w:rsidR="00E24E2D" w:rsidRPr="005B7CAC">
        <w:rPr>
          <w:rFonts w:ascii="Times New Roman" w:hAnsi="Times New Roman"/>
          <w:bCs/>
          <w:iCs/>
          <w:sz w:val="24"/>
          <w:szCs w:val="20"/>
          <w:lang w:val="en-US"/>
        </w:rPr>
        <w:fldChar w:fldCharType="begin" w:fldLock="1"/>
      </w:r>
      <w:r w:rsidR="00E24E2D" w:rsidRPr="005B7CAC">
        <w:rPr>
          <w:rFonts w:ascii="Times New Roman" w:hAnsi="Times New Roman"/>
          <w:bCs/>
          <w:iCs/>
          <w:sz w:val="24"/>
          <w:szCs w:val="20"/>
          <w:lang w:val="en-US"/>
        </w:rPr>
        <w:instrText>ADDIN CSL_CITATION {"citationItems":[{"id":"ITEM-1","itemData":{"DOI":"10.1016/j.econmod.2020.05.012","ISSN":"02649993","abstract":"This paper examines how corporate social responsibility (CSR) affects the level of financial distress risk (FDR). Using a sample of 1201 US-listed firms during 1991–2012, our results indicate that firms with higher CSR levels have lower FDR, suggesting that a better CSR performance makes firms more creditworthy and have better access to financing, which is rewarded with less financial defaults. This finding is robust to using alternative proxies of FDR, to controlling for potential endogeneity, and is mainly driven by the community, diversity, employee relations, and environmental dimensions of CSR. Moreover, this relationship is more prevalent in firms with strong governance mechanisms and high product market competition. It is also more exacerbated for less distressed firms and during non-crisis periods. Overall, our findings suggest that the adoption of CSR practices comes with less distress and default risks, likely leading to a more attractive corporate environment, better financial stability and more crisis-resilient economies.","author":[{"dropping-particle":"","family":"Boubaker","given":"Sabri","non-dropping-particle":"","parse-names":false,"suffix":""},{"dropping-particle":"","family":"Cellier","given":"Alexis","non-dropping-particle":"","parse-names":false,"suffix":""},{"dropping-particle":"","family":"Manita","given":"Riadh","non-dropping-particle":"","parse-names":false,"suffix":""},{"dropping-particle":"","family":"Saeed","given":"Asif","non-dropping-particle":"","parse-names":false,"suffix":""}],"container-title":"Economic Modelling","id":"ITEM-1","issued":{"date-parts":[["2020"]]},"page":"835-851","title":"Does corporate social responsibility reduce financial distress risk?","type":"article-journal","volume":"91"},"uris":["http://www.mendeley.com/documents/?uuid=70fa69c4-6f8c-4161-8285-efdbb2b9c72e"]},{"id":"ITEM-2","itemData":{"DOI":"10.1002/bse.2229","ISSN":"10990836","abstract":"Abstract This study investigates the effect of environmental performance that is driven by good environmental policies, regulations, and management on firm's financial distress and, consequently, ascertains the extent to which top management teams' (TMTs') characteristics can moderate the environmental performance–financial distress nexus in China using 749 firms over the 2009–2014 period (i.e., generating over 3,000 indi- vidual observations). Our findings are twofold. First, our results indicate that increased environmental performance that is driven by good environmental policies tends to strategically reduce the extent of firm financial distress. Second, this nexus is moder- ated by TMT gender diversity, foreign exposure, and political connection. We inter- pret our findings within neo‐institutional, upper echelons, and risk management theoretical perspectives. The findings are robust to the use of alternative measures of financial distress, estimation techniques, and endogeneity problems.","author":[{"dropping-particle":"","family":"Shahab","given":"Yasir","non-dropping-particle":"","parse-names":false,"suffix":""},{"dropping-particle":"","family":"Ntim","given":"Collins G.","non-dropping-particle":"","parse-names":false,"suffix":""},{"dropping-particle":"","family":"Chengang","given":"Ye","non-dropping-particle":"","parse-names":false,"suffix":""},{"dropping-particle":"","family":"Ullah","given":"Farid","non-dropping-particle":"","parse-names":false,"suffix":""},{"dropping-particle":"","family":"Fosu","given":"Samuel","non-dropping-particle":"","parse-names":false,"suffix":""}],"container-title":"Business Strategy and the Environment","id":"ITEM-2","issue":"8","issued":{"date-parts":[["2018"]]},"page":"1635-1652","title":"Environmental policy, environmental performance, and financial distress in China: Do top management team characteristics matter?","type":"article-journal","volume":"27"},"uris":["http://www.mendeley.com/documents/?uuid=85485e83-878d-35b2-95f0-fd3d227658d2"]},{"id":"ITEM-3","itemData":{"DOI":"10.1111/auar.12366","ISSN":"18352561","abstract":"This study examines the association between corporate environmental performance and financial distress. Using a sample of Australian firms, we find that environmental performance is negatively related to the financial distress probability perceived by the market. In addition, the negative association between environmental performance and the financial distress probability is more pronounced for firms with a higher level of risk. The findings provide important empirical evidence regarding the implications of environmental performance on firms’ risk management.","author":[{"dropping-particle":"","family":"Jia","given":"Jing","non-dropping-particle":"","parse-names":false,"suffix":""},{"dropping-particle":"","family":"Li","given":"Zhongtian","non-dropping-particle":"","parse-names":false,"suffix":""}],"container-title":"Australian Accounting Review","id":"ITEM-3","issue":"2","issued":{"date-parts":[["2022"]]},"page":"188-200","title":"Corporate Environmental Performance and Financial Distress: Evidence from Australia","type":"article-journal","volume":"32"},"uris":["http://www.mendeley.com/documents/?uuid=e29c5adf-e7ff-3dee-9c25-48e25598f3e7"]},{"id":"ITEM-4","itemData":{"DOI":"10.1108/MD-01-2022-0007","ISSN":"00251747","abstract":"Purpose: This paper empirically investigates the impact of board diversity in terms of demographic and cognitive dimensions on financial distress likelihood in an emerging Chinese market to explore whether the Chief Executive Officers' (CEOs) power moderates the relationship between board diversity and the probability of financial distress. Design/methodology/approach: To test the hypothesized relationships, demographic diversity through gender, age and nationality, and cognitive diversity through education, expertise and tenure, are taken as independent variables to investigate their impact on the probability of financial distress measured by the Altman China Z score. Data is collected for 13,740 firm-year observations from 2009 to 2018. This study employs panel data regression under fixed effect assumptions. Further, to control the possible endogeneity issue, this study uses a two-step System Generalized Methods of Moments (GMM) model as a robust check. Findings: The results reveal that board diversity is positively associated with financial distress Z score, suggesting that diverse boards are helpful in reducing the likelihood of financial distress. Moreover, CEO power positively moderates this relationship. It means that board diversity, in the presence of powerful CEOs, is more effective in reducing financial distress likelihood by controlling the wrong financial decisions taken by top executives to reap personal benefits. Further, the robustness model confirms the relationship between board diversity and the probability of financial distress. Originality/value: To the best of researchers' knowledge, this is one of the earliest studies to investigate board diversity by constructing demographic and cognitive board diversity indexes as a determinant of financial distress likelihood in China. Further, researchers found no study in the literature using CEO power as a contextual variable on the relationship between board diversity and financial distress.","author":[{"dropping-particle":"","family":"Ali","given":"Shoukat","non-dropping-particle":"","parse-names":false,"suffix":""},{"dropping-particle":"","family":"Rehman","given":"Ramiz ur","non-dropping-particle":"","parse-names":false,"suffix":""},{"dropping-particle":"","family":"Aslam","given":"Shoaib","non-dropping-particle":"","parse-names":false,"suffix":""},{"dropping-particle":"","family":"Khan","given":"Ismail","non-dropping-particle":"","parse-names":false,"suffix":""},{"dropping-particle":"","family":"Murtaza","given":"Ghulam","non-dropping-particle":"","parse-names":false,"suffix":""}],"container-title":"Management Decision","id":"ITEM-4","issue":"6","issued":{"date-parts":[["2023"]]},"page":"1798-1815","title":"Does board diversity reduce the likelihood of financial distress in the presence of a powerful Chinese CEO?","type":"article-journal","volume":"61"},"uris":["http://www.mendeley.com/documents/?uuid=d9923ffc-a816-3624-8481-5c3b776e9834"]}],"mendeley":{"formattedCitation":"(Ali &lt;i&gt;et al.&lt;/i&gt;, 2023; Boubaker &lt;i&gt;et al.&lt;/i&gt;, 2020; Jia and Li, 2022; Shahab &lt;i&gt;et al.&lt;/i&gt;, 2018)","plainTextFormattedCitation":"(Ali et al., 2023; Boubaker et al., 2020; Jia and Li, 2022; Shahab et al., 2018)","previouslyFormattedCitation":"(Ali &lt;i&gt;et al.&lt;/i&gt;, 2023; Boubaker &lt;i&gt;et al.&lt;/i&gt;, 2020; Jia and Li, 2022; Shahab &lt;i&gt;et al.&lt;/i&gt;, 2018)"},"properties":{"noteIndex":0},"schema":"https://github.com/citation-style-language/schema/raw/master/csl-citation.json"}</w:instrText>
      </w:r>
      <w:r w:rsidR="00E24E2D" w:rsidRPr="005B7CAC">
        <w:rPr>
          <w:rFonts w:ascii="Times New Roman" w:hAnsi="Times New Roman"/>
          <w:bCs/>
          <w:iCs/>
          <w:sz w:val="24"/>
          <w:szCs w:val="20"/>
          <w:lang w:val="en-US"/>
        </w:rPr>
        <w:fldChar w:fldCharType="separate"/>
      </w:r>
      <w:r w:rsidR="00E24E2D" w:rsidRPr="005B7CAC">
        <w:rPr>
          <w:rFonts w:ascii="Times New Roman" w:hAnsi="Times New Roman"/>
          <w:bCs/>
          <w:iCs/>
          <w:noProof/>
          <w:sz w:val="24"/>
          <w:szCs w:val="20"/>
          <w:lang w:val="en-US"/>
        </w:rPr>
        <w:t xml:space="preserve">(Ali </w:t>
      </w:r>
      <w:r w:rsidR="00E24E2D" w:rsidRPr="005B7CAC">
        <w:rPr>
          <w:rFonts w:ascii="Times New Roman" w:hAnsi="Times New Roman"/>
          <w:bCs/>
          <w:i/>
          <w:iCs/>
          <w:noProof/>
          <w:sz w:val="24"/>
          <w:szCs w:val="20"/>
          <w:lang w:val="en-US"/>
        </w:rPr>
        <w:t>et al.</w:t>
      </w:r>
      <w:r w:rsidR="00E24E2D" w:rsidRPr="005B7CAC">
        <w:rPr>
          <w:rFonts w:ascii="Times New Roman" w:hAnsi="Times New Roman"/>
          <w:bCs/>
          <w:iCs/>
          <w:noProof/>
          <w:sz w:val="24"/>
          <w:szCs w:val="20"/>
          <w:lang w:val="en-US"/>
        </w:rPr>
        <w:t xml:space="preserve">, 2023; Boubaker </w:t>
      </w:r>
      <w:r w:rsidR="00E24E2D" w:rsidRPr="005B7CAC">
        <w:rPr>
          <w:rFonts w:ascii="Times New Roman" w:hAnsi="Times New Roman"/>
          <w:bCs/>
          <w:i/>
          <w:iCs/>
          <w:noProof/>
          <w:sz w:val="24"/>
          <w:szCs w:val="20"/>
          <w:lang w:val="en-US"/>
        </w:rPr>
        <w:t>et al.</w:t>
      </w:r>
      <w:r w:rsidR="00E24E2D" w:rsidRPr="005B7CAC">
        <w:rPr>
          <w:rFonts w:ascii="Times New Roman" w:hAnsi="Times New Roman"/>
          <w:bCs/>
          <w:iCs/>
          <w:noProof/>
          <w:sz w:val="24"/>
          <w:szCs w:val="20"/>
          <w:lang w:val="en-US"/>
        </w:rPr>
        <w:t xml:space="preserve">, 2020; Jia and Li, 2022; Shahab </w:t>
      </w:r>
      <w:r w:rsidR="00E24E2D" w:rsidRPr="005B7CAC">
        <w:rPr>
          <w:rFonts w:ascii="Times New Roman" w:hAnsi="Times New Roman"/>
          <w:bCs/>
          <w:i/>
          <w:iCs/>
          <w:noProof/>
          <w:sz w:val="24"/>
          <w:szCs w:val="20"/>
          <w:lang w:val="en-US"/>
        </w:rPr>
        <w:t>et al.</w:t>
      </w:r>
      <w:r w:rsidR="00E24E2D" w:rsidRPr="005B7CAC">
        <w:rPr>
          <w:rFonts w:ascii="Times New Roman" w:hAnsi="Times New Roman"/>
          <w:bCs/>
          <w:iCs/>
          <w:noProof/>
          <w:sz w:val="24"/>
          <w:szCs w:val="20"/>
          <w:lang w:val="en-US"/>
        </w:rPr>
        <w:t>, 2018)</w:t>
      </w:r>
      <w:r w:rsidR="00E24E2D" w:rsidRPr="005B7CAC">
        <w:rPr>
          <w:rFonts w:ascii="Times New Roman" w:hAnsi="Times New Roman"/>
          <w:bCs/>
          <w:iCs/>
          <w:sz w:val="24"/>
          <w:szCs w:val="20"/>
          <w:lang w:val="en-US"/>
        </w:rPr>
        <w:fldChar w:fldCharType="end"/>
      </w:r>
      <w:r w:rsidR="00C874F7" w:rsidRPr="005B7CAC">
        <w:rPr>
          <w:rFonts w:ascii="Times New Roman" w:hAnsi="Times New Roman"/>
          <w:bCs/>
          <w:iCs/>
          <w:sz w:val="24"/>
          <w:szCs w:val="20"/>
          <w:lang w:val="en-US"/>
        </w:rPr>
        <w:t xml:space="preserve">, </w:t>
      </w:r>
      <w:r w:rsidR="00CA6200" w:rsidRPr="005B7CAC">
        <w:rPr>
          <w:rFonts w:ascii="Times New Roman" w:hAnsi="Times New Roman"/>
          <w:bCs/>
          <w:iCs/>
          <w:sz w:val="24"/>
          <w:szCs w:val="20"/>
          <w:lang w:val="en-US"/>
        </w:rPr>
        <w:t xml:space="preserve">board size, </w:t>
      </w:r>
      <w:r w:rsidR="00E225AB" w:rsidRPr="005B7CAC">
        <w:rPr>
          <w:rFonts w:ascii="Times New Roman" w:hAnsi="Times New Roman"/>
          <w:bCs/>
          <w:iCs/>
          <w:sz w:val="24"/>
          <w:szCs w:val="20"/>
          <w:lang w:val="en-US"/>
        </w:rPr>
        <w:t xml:space="preserve">firm size, leverage, and capital intensity show a </w:t>
      </w:r>
      <w:r w:rsidR="00775E85" w:rsidRPr="005B7CAC">
        <w:rPr>
          <w:rFonts w:ascii="Times New Roman" w:hAnsi="Times New Roman"/>
          <w:bCs/>
          <w:iCs/>
          <w:sz w:val="24"/>
          <w:szCs w:val="20"/>
          <w:lang w:val="en-US"/>
        </w:rPr>
        <w:t>negative</w:t>
      </w:r>
      <w:r w:rsidR="00E225AB" w:rsidRPr="005B7CAC">
        <w:rPr>
          <w:rFonts w:ascii="Times New Roman" w:hAnsi="Times New Roman"/>
          <w:bCs/>
          <w:iCs/>
          <w:sz w:val="24"/>
          <w:szCs w:val="20"/>
          <w:lang w:val="en-US"/>
        </w:rPr>
        <w:t xml:space="preserve"> association with the </w:t>
      </w:r>
      <w:r w:rsidR="00E225AB" w:rsidRPr="005B7CAC">
        <w:rPr>
          <w:rFonts w:ascii="Times New Roman" w:hAnsi="Times New Roman"/>
          <w:bCs/>
          <w:i/>
          <w:sz w:val="24"/>
          <w:szCs w:val="20"/>
          <w:lang w:val="en-US"/>
        </w:rPr>
        <w:t>Z_UK</w:t>
      </w:r>
      <w:r w:rsidR="00E225AB" w:rsidRPr="005B7CAC">
        <w:rPr>
          <w:rFonts w:ascii="Times New Roman" w:hAnsi="Times New Roman"/>
          <w:bCs/>
          <w:iCs/>
          <w:sz w:val="24"/>
          <w:szCs w:val="20"/>
          <w:lang w:val="en-US"/>
        </w:rPr>
        <w:t xml:space="preserve"> </w:t>
      </w:r>
      <w:r w:rsidR="00775E85" w:rsidRPr="005B7CAC">
        <w:rPr>
          <w:rFonts w:ascii="Times New Roman" w:hAnsi="Times New Roman"/>
          <w:bCs/>
          <w:iCs/>
          <w:sz w:val="24"/>
          <w:szCs w:val="20"/>
          <w:lang w:val="en-US"/>
        </w:rPr>
        <w:t xml:space="preserve">and </w:t>
      </w:r>
      <w:r w:rsidR="00775E85" w:rsidRPr="005B7CAC">
        <w:rPr>
          <w:rFonts w:ascii="Times New Roman" w:hAnsi="Times New Roman"/>
          <w:bCs/>
          <w:i/>
          <w:sz w:val="24"/>
          <w:szCs w:val="20"/>
          <w:lang w:val="en-US"/>
        </w:rPr>
        <w:t>Z_ALT</w:t>
      </w:r>
      <w:r w:rsidR="00775E85" w:rsidRPr="005B7CAC">
        <w:rPr>
          <w:rFonts w:ascii="Times New Roman" w:hAnsi="Times New Roman"/>
          <w:bCs/>
          <w:iCs/>
          <w:sz w:val="24"/>
          <w:szCs w:val="20"/>
          <w:lang w:val="en-US"/>
        </w:rPr>
        <w:t xml:space="preserve"> </w:t>
      </w:r>
      <w:r w:rsidR="00E225AB" w:rsidRPr="005B7CAC">
        <w:rPr>
          <w:rFonts w:ascii="Times New Roman" w:hAnsi="Times New Roman"/>
          <w:bCs/>
          <w:iCs/>
          <w:sz w:val="24"/>
          <w:szCs w:val="20"/>
          <w:lang w:val="en-US"/>
        </w:rPr>
        <w:t>score</w:t>
      </w:r>
      <w:r w:rsidR="00775E85" w:rsidRPr="005B7CAC">
        <w:rPr>
          <w:rFonts w:ascii="Times New Roman" w:hAnsi="Times New Roman"/>
          <w:bCs/>
          <w:iCs/>
          <w:sz w:val="24"/>
          <w:szCs w:val="20"/>
          <w:lang w:val="en-US"/>
        </w:rPr>
        <w:t>s</w:t>
      </w:r>
      <w:r w:rsidR="00E225AB" w:rsidRPr="005B7CAC">
        <w:rPr>
          <w:rFonts w:ascii="Times New Roman" w:hAnsi="Times New Roman"/>
          <w:bCs/>
          <w:iCs/>
          <w:sz w:val="24"/>
          <w:szCs w:val="20"/>
          <w:lang w:val="en-US"/>
        </w:rPr>
        <w:t>, while</w:t>
      </w:r>
      <w:r w:rsidR="009959AE" w:rsidRPr="005B7CAC">
        <w:rPr>
          <w:rFonts w:ascii="Times New Roman" w:hAnsi="Times New Roman"/>
          <w:bCs/>
          <w:iCs/>
          <w:sz w:val="24"/>
          <w:szCs w:val="20"/>
          <w:lang w:val="en-US"/>
        </w:rPr>
        <w:t xml:space="preserve"> </w:t>
      </w:r>
      <w:r w:rsidR="00CA6200" w:rsidRPr="005B7CAC">
        <w:rPr>
          <w:rFonts w:ascii="Times New Roman" w:hAnsi="Times New Roman"/>
          <w:bCs/>
          <w:iCs/>
          <w:sz w:val="24"/>
          <w:szCs w:val="20"/>
          <w:lang w:val="en-US"/>
        </w:rPr>
        <w:t>gender diversity, firm age, profitability,</w:t>
      </w:r>
      <w:r w:rsidR="00E225AB" w:rsidRPr="005B7CAC">
        <w:rPr>
          <w:rFonts w:ascii="Times New Roman" w:hAnsi="Times New Roman"/>
          <w:bCs/>
          <w:iCs/>
          <w:sz w:val="24"/>
          <w:szCs w:val="20"/>
          <w:lang w:val="en-US"/>
        </w:rPr>
        <w:t xml:space="preserve"> and</w:t>
      </w:r>
      <w:r w:rsidR="00CA6200" w:rsidRPr="005B7CAC">
        <w:rPr>
          <w:rFonts w:ascii="Times New Roman" w:hAnsi="Times New Roman"/>
          <w:bCs/>
          <w:iCs/>
          <w:sz w:val="24"/>
          <w:szCs w:val="20"/>
          <w:lang w:val="en-US"/>
        </w:rPr>
        <w:t xml:space="preserve"> slack</w:t>
      </w:r>
      <w:r w:rsidR="00E225AB" w:rsidRPr="005B7CAC">
        <w:rPr>
          <w:rFonts w:ascii="Times New Roman" w:hAnsi="Times New Roman"/>
          <w:bCs/>
          <w:iCs/>
          <w:sz w:val="24"/>
          <w:szCs w:val="20"/>
          <w:lang w:val="en-US"/>
        </w:rPr>
        <w:t xml:space="preserve"> are </w:t>
      </w:r>
      <w:r w:rsidR="00DD7F2F" w:rsidRPr="005B7CAC">
        <w:rPr>
          <w:rFonts w:ascii="Times New Roman" w:hAnsi="Times New Roman"/>
          <w:bCs/>
          <w:iCs/>
          <w:sz w:val="24"/>
          <w:szCs w:val="20"/>
          <w:lang w:val="en-US"/>
        </w:rPr>
        <w:t>positively</w:t>
      </w:r>
      <w:r w:rsidR="0028594E" w:rsidRPr="005B7CAC">
        <w:rPr>
          <w:rFonts w:ascii="Times New Roman" w:hAnsi="Times New Roman"/>
          <w:bCs/>
          <w:iCs/>
          <w:sz w:val="24"/>
          <w:szCs w:val="20"/>
          <w:lang w:val="en-US"/>
        </w:rPr>
        <w:t xml:space="preserve"> </w:t>
      </w:r>
      <w:r w:rsidR="00E225AB" w:rsidRPr="005B7CAC">
        <w:rPr>
          <w:rFonts w:ascii="Times New Roman" w:hAnsi="Times New Roman"/>
          <w:bCs/>
          <w:iCs/>
          <w:sz w:val="24"/>
          <w:szCs w:val="20"/>
          <w:lang w:val="en-US"/>
        </w:rPr>
        <w:t>related</w:t>
      </w:r>
      <w:r w:rsidR="0028594E" w:rsidRPr="005B7CAC">
        <w:rPr>
          <w:rFonts w:ascii="Times New Roman" w:hAnsi="Times New Roman"/>
          <w:bCs/>
          <w:iCs/>
          <w:sz w:val="24"/>
          <w:szCs w:val="20"/>
          <w:lang w:val="en-US"/>
        </w:rPr>
        <w:t xml:space="preserve"> </w:t>
      </w:r>
      <w:r w:rsidR="00E225AB" w:rsidRPr="005B7CAC">
        <w:rPr>
          <w:rFonts w:ascii="Times New Roman" w:hAnsi="Times New Roman"/>
          <w:bCs/>
          <w:iCs/>
          <w:sz w:val="24"/>
          <w:szCs w:val="20"/>
          <w:lang w:val="en-US"/>
        </w:rPr>
        <w:t>to the score</w:t>
      </w:r>
      <w:r w:rsidR="0028594E" w:rsidRPr="005B7CAC">
        <w:rPr>
          <w:rFonts w:ascii="Times New Roman" w:hAnsi="Times New Roman"/>
          <w:bCs/>
          <w:iCs/>
          <w:sz w:val="24"/>
          <w:szCs w:val="20"/>
          <w:lang w:val="en-US"/>
        </w:rPr>
        <w:t>s</w:t>
      </w:r>
      <w:r w:rsidR="00E225AB" w:rsidRPr="005B7CAC">
        <w:rPr>
          <w:rFonts w:ascii="Times New Roman" w:hAnsi="Times New Roman"/>
          <w:bCs/>
          <w:iCs/>
          <w:sz w:val="24"/>
          <w:szCs w:val="20"/>
          <w:lang w:val="en-US"/>
        </w:rPr>
        <w:t xml:space="preserve">.  </w:t>
      </w:r>
      <w:r w:rsidR="005961CE" w:rsidRPr="005B7CAC">
        <w:rPr>
          <w:rFonts w:ascii="Times New Roman" w:hAnsi="Times New Roman"/>
          <w:bCs/>
          <w:iCs/>
          <w:sz w:val="24"/>
          <w:szCs w:val="20"/>
          <w:lang w:val="en-US"/>
        </w:rPr>
        <w:t xml:space="preserve"> </w:t>
      </w:r>
      <w:r w:rsidR="00CA6200" w:rsidRPr="005B7CAC">
        <w:rPr>
          <w:rFonts w:ascii="Times New Roman" w:hAnsi="Times New Roman"/>
          <w:bCs/>
          <w:iCs/>
          <w:sz w:val="24"/>
          <w:szCs w:val="20"/>
          <w:lang w:val="en-US"/>
        </w:rPr>
        <w:t xml:space="preserve"> </w:t>
      </w:r>
      <w:r w:rsidR="00C874F7" w:rsidRPr="005B7CAC">
        <w:rPr>
          <w:rFonts w:ascii="Times New Roman" w:hAnsi="Times New Roman"/>
          <w:bCs/>
          <w:iCs/>
          <w:sz w:val="24"/>
          <w:szCs w:val="20"/>
          <w:lang w:val="en-US"/>
        </w:rPr>
        <w:t xml:space="preserve"> </w:t>
      </w:r>
      <w:r w:rsidR="00F82344" w:rsidRPr="005B7CAC">
        <w:rPr>
          <w:rFonts w:ascii="Times New Roman" w:hAnsi="Times New Roman"/>
          <w:bCs/>
          <w:iCs/>
          <w:sz w:val="24"/>
          <w:szCs w:val="20"/>
          <w:lang w:val="en-US"/>
        </w:rPr>
        <w:t xml:space="preserve"> </w:t>
      </w:r>
    </w:p>
    <w:p w14:paraId="3251B7B1" w14:textId="77777777" w:rsidR="009C3118" w:rsidRPr="005B7CAC" w:rsidRDefault="009C3118" w:rsidP="003D5418">
      <w:pPr>
        <w:widowControl w:val="0"/>
        <w:autoSpaceDE w:val="0"/>
        <w:autoSpaceDN w:val="0"/>
        <w:adjustRightInd w:val="0"/>
        <w:spacing w:after="240" w:line="360" w:lineRule="auto"/>
        <w:jc w:val="both"/>
        <w:rPr>
          <w:rFonts w:ascii="Times New Roman" w:hAnsi="Times New Roman"/>
          <w:bCs/>
          <w:iCs/>
          <w:sz w:val="24"/>
          <w:szCs w:val="20"/>
          <w:lang w:val="en-US"/>
        </w:rPr>
      </w:pPr>
    </w:p>
    <w:p w14:paraId="73ECABC6" w14:textId="65547ECD" w:rsidR="00EF22B8" w:rsidRPr="005B7CAC" w:rsidRDefault="00FB14F3" w:rsidP="003D5418">
      <w:pPr>
        <w:widowControl w:val="0"/>
        <w:autoSpaceDE w:val="0"/>
        <w:autoSpaceDN w:val="0"/>
        <w:adjustRightInd w:val="0"/>
        <w:spacing w:after="240" w:line="360" w:lineRule="auto"/>
        <w:jc w:val="both"/>
        <w:rPr>
          <w:rFonts w:ascii="Times New Roman" w:hAnsi="Times New Roman"/>
          <w:bCs/>
          <w:i/>
          <w:sz w:val="24"/>
          <w:szCs w:val="20"/>
          <w:lang w:val="en-US"/>
        </w:rPr>
      </w:pPr>
      <w:r w:rsidRPr="005B7CAC">
        <w:rPr>
          <w:rFonts w:ascii="Times New Roman" w:hAnsi="Times New Roman"/>
          <w:bCs/>
          <w:i/>
          <w:sz w:val="24"/>
          <w:szCs w:val="20"/>
          <w:lang w:val="en-US"/>
        </w:rPr>
        <w:t xml:space="preserve">4.3 </w:t>
      </w:r>
      <w:r w:rsidR="00EF22B8" w:rsidRPr="005B7CAC">
        <w:rPr>
          <w:rFonts w:ascii="Times New Roman" w:hAnsi="Times New Roman"/>
          <w:bCs/>
          <w:i/>
          <w:sz w:val="24"/>
          <w:szCs w:val="20"/>
          <w:lang w:val="en-US"/>
        </w:rPr>
        <w:t>Further analysis</w:t>
      </w:r>
    </w:p>
    <w:p w14:paraId="2D57431C" w14:textId="33756FE0" w:rsidR="009C3118" w:rsidRPr="005B7CAC" w:rsidRDefault="00EF22B8" w:rsidP="003D5418">
      <w:pPr>
        <w:widowControl w:val="0"/>
        <w:autoSpaceDE w:val="0"/>
        <w:autoSpaceDN w:val="0"/>
        <w:adjustRightInd w:val="0"/>
        <w:spacing w:after="240" w:line="360" w:lineRule="auto"/>
        <w:jc w:val="both"/>
        <w:rPr>
          <w:rFonts w:ascii="Times New Roman" w:hAnsi="Times New Roman"/>
          <w:bCs/>
          <w:iCs/>
          <w:sz w:val="24"/>
          <w:szCs w:val="20"/>
          <w:lang w:val="en-US"/>
        </w:rPr>
      </w:pPr>
      <w:r w:rsidRPr="005B7CAC">
        <w:rPr>
          <w:rFonts w:ascii="Times New Roman" w:hAnsi="Times New Roman"/>
          <w:bCs/>
          <w:iCs/>
          <w:sz w:val="24"/>
          <w:szCs w:val="20"/>
          <w:lang w:val="en-US"/>
        </w:rPr>
        <w:t>To verify th</w:t>
      </w:r>
      <w:r w:rsidR="00CE2903">
        <w:rPr>
          <w:rFonts w:ascii="Times New Roman" w:hAnsi="Times New Roman"/>
          <w:bCs/>
          <w:iCs/>
          <w:sz w:val="24"/>
          <w:szCs w:val="20"/>
          <w:lang w:val="en-US"/>
        </w:rPr>
        <w:t>e</w:t>
      </w:r>
      <w:r w:rsidRPr="005B7CAC">
        <w:rPr>
          <w:rFonts w:ascii="Times New Roman" w:hAnsi="Times New Roman"/>
          <w:bCs/>
          <w:iCs/>
          <w:sz w:val="24"/>
          <w:szCs w:val="20"/>
          <w:lang w:val="en-US"/>
        </w:rPr>
        <w:t xml:space="preserve"> </w:t>
      </w:r>
      <w:r w:rsidR="003F6AFD" w:rsidRPr="005B7CAC">
        <w:rPr>
          <w:rFonts w:ascii="Times New Roman" w:hAnsi="Times New Roman"/>
          <w:bCs/>
          <w:iCs/>
          <w:sz w:val="24"/>
          <w:szCs w:val="20"/>
          <w:lang w:val="en-US"/>
        </w:rPr>
        <w:t>substituti</w:t>
      </w:r>
      <w:r w:rsidR="005B3FD8" w:rsidRPr="005B7CAC">
        <w:rPr>
          <w:rFonts w:ascii="Times New Roman" w:hAnsi="Times New Roman"/>
          <w:bCs/>
          <w:iCs/>
          <w:sz w:val="24"/>
          <w:szCs w:val="20"/>
          <w:lang w:val="en-US"/>
        </w:rPr>
        <w:t>on</w:t>
      </w:r>
      <w:r w:rsidR="003F6AFD" w:rsidRPr="005B7CAC">
        <w:rPr>
          <w:rFonts w:ascii="Times New Roman" w:hAnsi="Times New Roman"/>
          <w:bCs/>
          <w:iCs/>
          <w:sz w:val="24"/>
          <w:szCs w:val="20"/>
          <w:lang w:val="en-US"/>
        </w:rPr>
        <w:t xml:space="preserve"> effect</w:t>
      </w:r>
      <w:r w:rsidR="008D3638" w:rsidRPr="005B7CAC">
        <w:rPr>
          <w:rFonts w:ascii="Times New Roman" w:hAnsi="Times New Roman"/>
          <w:bCs/>
          <w:iCs/>
          <w:sz w:val="24"/>
          <w:szCs w:val="20"/>
          <w:lang w:val="en-US"/>
        </w:rPr>
        <w:t>s</w:t>
      </w:r>
      <w:r w:rsidR="003F6AFD" w:rsidRPr="005B7CAC">
        <w:rPr>
          <w:rFonts w:ascii="Times New Roman" w:hAnsi="Times New Roman"/>
          <w:bCs/>
          <w:iCs/>
          <w:sz w:val="24"/>
          <w:szCs w:val="20"/>
          <w:lang w:val="en-US"/>
        </w:rPr>
        <w:t xml:space="preserve"> of </w:t>
      </w:r>
      <w:r w:rsidR="008D3638" w:rsidRPr="005B7CAC">
        <w:rPr>
          <w:rFonts w:ascii="Times New Roman" w:hAnsi="Times New Roman"/>
          <w:bCs/>
          <w:iCs/>
          <w:sz w:val="24"/>
          <w:szCs w:val="20"/>
          <w:lang w:val="en-US"/>
        </w:rPr>
        <w:t xml:space="preserve">recycling practices and green initiatives, </w:t>
      </w:r>
      <w:r w:rsidRPr="005B7CAC">
        <w:rPr>
          <w:rFonts w:ascii="Times New Roman" w:hAnsi="Times New Roman"/>
          <w:bCs/>
          <w:iCs/>
          <w:sz w:val="24"/>
          <w:szCs w:val="20"/>
          <w:lang w:val="en-US"/>
        </w:rPr>
        <w:t xml:space="preserve">we </w:t>
      </w:r>
      <w:r w:rsidR="0047548F" w:rsidRPr="005B7CAC">
        <w:rPr>
          <w:rFonts w:ascii="Times New Roman" w:hAnsi="Times New Roman"/>
          <w:bCs/>
          <w:iCs/>
          <w:sz w:val="24"/>
          <w:szCs w:val="20"/>
          <w:lang w:val="en-US"/>
        </w:rPr>
        <w:t xml:space="preserve">further examine whether the relationship between </w:t>
      </w:r>
      <w:r w:rsidR="002D4735" w:rsidRPr="005B7CAC">
        <w:rPr>
          <w:rFonts w:ascii="Times New Roman" w:hAnsi="Times New Roman"/>
          <w:bCs/>
          <w:iCs/>
          <w:sz w:val="24"/>
          <w:szCs w:val="20"/>
          <w:lang w:val="en-US"/>
        </w:rPr>
        <w:t>waste generation</w:t>
      </w:r>
      <w:r w:rsidR="0047548F" w:rsidRPr="005B7CAC">
        <w:rPr>
          <w:rFonts w:ascii="Times New Roman" w:hAnsi="Times New Roman"/>
          <w:bCs/>
          <w:iCs/>
          <w:sz w:val="24"/>
          <w:szCs w:val="20"/>
          <w:lang w:val="en-US"/>
        </w:rPr>
        <w:t xml:space="preserve"> an</w:t>
      </w:r>
      <w:r w:rsidR="002D4735" w:rsidRPr="005B7CAC">
        <w:rPr>
          <w:rFonts w:ascii="Times New Roman" w:hAnsi="Times New Roman"/>
          <w:bCs/>
          <w:iCs/>
          <w:sz w:val="24"/>
          <w:szCs w:val="20"/>
          <w:lang w:val="en-US"/>
        </w:rPr>
        <w:t>d</w:t>
      </w:r>
      <w:r w:rsidR="0047548F" w:rsidRPr="005B7CAC">
        <w:rPr>
          <w:rFonts w:ascii="Times New Roman" w:hAnsi="Times New Roman"/>
          <w:bCs/>
          <w:iCs/>
          <w:sz w:val="24"/>
          <w:szCs w:val="20"/>
          <w:lang w:val="en-US"/>
        </w:rPr>
        <w:t xml:space="preserve"> </w:t>
      </w:r>
      <w:r w:rsidR="0047548F" w:rsidRPr="005B7CAC">
        <w:rPr>
          <w:rFonts w:ascii="Times New Roman" w:hAnsi="Times New Roman"/>
          <w:bCs/>
          <w:i/>
          <w:sz w:val="24"/>
          <w:szCs w:val="20"/>
          <w:lang w:val="en-US"/>
        </w:rPr>
        <w:t>FD</w:t>
      </w:r>
      <w:r w:rsidR="0047548F" w:rsidRPr="005B7CAC">
        <w:rPr>
          <w:rFonts w:ascii="Times New Roman" w:hAnsi="Times New Roman"/>
          <w:bCs/>
          <w:iCs/>
          <w:sz w:val="24"/>
          <w:szCs w:val="20"/>
          <w:lang w:val="en-US"/>
        </w:rPr>
        <w:t xml:space="preserve"> is also contingent </w:t>
      </w:r>
      <w:r w:rsidR="002D4735" w:rsidRPr="005B7CAC">
        <w:rPr>
          <w:rFonts w:ascii="Times New Roman" w:hAnsi="Times New Roman"/>
          <w:bCs/>
          <w:iCs/>
          <w:sz w:val="24"/>
          <w:szCs w:val="20"/>
          <w:lang w:val="en-US"/>
        </w:rPr>
        <w:t xml:space="preserve">on </w:t>
      </w:r>
      <w:r w:rsidR="0047548F" w:rsidRPr="005B7CAC">
        <w:rPr>
          <w:rFonts w:ascii="Times New Roman" w:hAnsi="Times New Roman"/>
          <w:bCs/>
          <w:iCs/>
          <w:sz w:val="24"/>
          <w:szCs w:val="20"/>
          <w:lang w:val="en-US"/>
        </w:rPr>
        <w:t>waste recycling. Hence, we</w:t>
      </w:r>
      <w:r w:rsidRPr="005B7CAC">
        <w:rPr>
          <w:rFonts w:ascii="Times New Roman" w:hAnsi="Times New Roman"/>
          <w:bCs/>
          <w:iCs/>
          <w:sz w:val="24"/>
          <w:szCs w:val="20"/>
          <w:lang w:val="en-US"/>
        </w:rPr>
        <w:t xml:space="preserve"> </w:t>
      </w:r>
      <w:r w:rsidR="0047548F" w:rsidRPr="005B7CAC">
        <w:rPr>
          <w:rFonts w:ascii="Times New Roman" w:hAnsi="Times New Roman"/>
          <w:bCs/>
          <w:iCs/>
          <w:sz w:val="24"/>
          <w:szCs w:val="20"/>
          <w:lang w:val="en-US"/>
        </w:rPr>
        <w:t>estimate the effect</w:t>
      </w:r>
      <w:r w:rsidR="002729DE" w:rsidRPr="005B7CAC">
        <w:rPr>
          <w:rFonts w:ascii="Times New Roman" w:hAnsi="Times New Roman"/>
          <w:bCs/>
          <w:iCs/>
          <w:sz w:val="24"/>
          <w:szCs w:val="20"/>
          <w:lang w:val="en-US"/>
        </w:rPr>
        <w:t xml:space="preserve"> </w:t>
      </w:r>
      <w:r w:rsidR="00D365E8" w:rsidRPr="005B7CAC">
        <w:rPr>
          <w:rFonts w:ascii="Times New Roman" w:hAnsi="Times New Roman"/>
          <w:bCs/>
          <w:iCs/>
          <w:sz w:val="24"/>
          <w:szCs w:val="20"/>
          <w:lang w:val="en-US"/>
        </w:rPr>
        <w:t xml:space="preserve">of </w:t>
      </w:r>
      <w:r w:rsidR="002729DE" w:rsidRPr="005B7CAC">
        <w:rPr>
          <w:rFonts w:ascii="Times New Roman" w:hAnsi="Times New Roman"/>
          <w:bCs/>
          <w:iCs/>
          <w:sz w:val="24"/>
          <w:szCs w:val="20"/>
          <w:lang w:val="en-US"/>
        </w:rPr>
        <w:t xml:space="preserve">the interaction between </w:t>
      </w:r>
      <w:r w:rsidR="008D3638" w:rsidRPr="005B7CAC">
        <w:rPr>
          <w:rFonts w:ascii="Times New Roman" w:hAnsi="Times New Roman"/>
          <w:bCs/>
          <w:i/>
          <w:sz w:val="24"/>
          <w:szCs w:val="20"/>
          <w:lang w:val="en-US"/>
        </w:rPr>
        <w:t>WAST</w:t>
      </w:r>
      <w:r w:rsidR="002729DE" w:rsidRPr="005B7CAC">
        <w:rPr>
          <w:rFonts w:ascii="Times New Roman" w:hAnsi="Times New Roman"/>
          <w:bCs/>
          <w:iCs/>
          <w:sz w:val="24"/>
          <w:szCs w:val="20"/>
          <w:lang w:val="en-US"/>
        </w:rPr>
        <w:t xml:space="preserve"> and </w:t>
      </w:r>
      <w:r w:rsidR="0047548F" w:rsidRPr="005B7CAC">
        <w:rPr>
          <w:rFonts w:ascii="Times New Roman" w:hAnsi="Times New Roman"/>
          <w:bCs/>
          <w:i/>
          <w:sz w:val="24"/>
          <w:szCs w:val="20"/>
          <w:lang w:val="en-US"/>
        </w:rPr>
        <w:t>W</w:t>
      </w:r>
      <w:r w:rsidRPr="005B7CAC">
        <w:rPr>
          <w:rFonts w:ascii="Times New Roman" w:hAnsi="Times New Roman"/>
          <w:bCs/>
          <w:i/>
          <w:sz w:val="24"/>
          <w:szCs w:val="20"/>
          <w:lang w:val="en-US"/>
        </w:rPr>
        <w:t>REC</w:t>
      </w:r>
      <w:r w:rsidR="002729DE" w:rsidRPr="005B7CAC">
        <w:rPr>
          <w:rFonts w:ascii="Times New Roman" w:hAnsi="Times New Roman"/>
          <w:bCs/>
          <w:iCs/>
          <w:sz w:val="24"/>
          <w:szCs w:val="20"/>
          <w:lang w:val="en-US"/>
        </w:rPr>
        <w:t xml:space="preserve"> </w:t>
      </w:r>
      <w:r w:rsidR="0047548F" w:rsidRPr="005B7CAC">
        <w:rPr>
          <w:rFonts w:ascii="Times New Roman" w:hAnsi="Times New Roman"/>
          <w:bCs/>
          <w:iCs/>
          <w:sz w:val="24"/>
          <w:szCs w:val="20"/>
          <w:lang w:val="en-US"/>
        </w:rPr>
        <w:t>(</w:t>
      </w:r>
      <w:r w:rsidR="0047548F" w:rsidRPr="005B7CAC">
        <w:rPr>
          <w:rFonts w:ascii="Times New Roman" w:hAnsi="Times New Roman"/>
          <w:bCs/>
          <w:i/>
          <w:sz w:val="24"/>
          <w:szCs w:val="20"/>
          <w:lang w:val="en-US"/>
        </w:rPr>
        <w:t>WAST</w:t>
      </w:r>
      <w:r w:rsidR="0047548F" w:rsidRPr="005B7CAC">
        <w:rPr>
          <w:rFonts w:ascii="Times New Roman" w:hAnsi="Times New Roman"/>
          <w:bCs/>
          <w:iCs/>
          <w:sz w:val="24"/>
          <w:szCs w:val="20"/>
          <w:lang w:val="en-US"/>
        </w:rPr>
        <w:t>*</w:t>
      </w:r>
      <w:r w:rsidR="0047548F" w:rsidRPr="005B7CAC">
        <w:rPr>
          <w:rFonts w:ascii="Times New Roman" w:hAnsi="Times New Roman"/>
          <w:bCs/>
          <w:i/>
          <w:sz w:val="24"/>
          <w:szCs w:val="20"/>
          <w:lang w:val="en-US"/>
        </w:rPr>
        <w:t>WREC</w:t>
      </w:r>
      <w:r w:rsidR="0047548F" w:rsidRPr="005B7CAC">
        <w:rPr>
          <w:rFonts w:ascii="Times New Roman" w:hAnsi="Times New Roman"/>
          <w:bCs/>
          <w:iCs/>
          <w:sz w:val="24"/>
          <w:szCs w:val="20"/>
          <w:lang w:val="en-US"/>
        </w:rPr>
        <w:t xml:space="preserve">) on </w:t>
      </w:r>
      <w:r w:rsidR="0047548F" w:rsidRPr="005B7CAC">
        <w:rPr>
          <w:rFonts w:ascii="Times New Roman" w:hAnsi="Times New Roman"/>
          <w:bCs/>
          <w:i/>
          <w:sz w:val="24"/>
          <w:szCs w:val="20"/>
          <w:lang w:val="en-US"/>
        </w:rPr>
        <w:t>F</w:t>
      </w:r>
      <w:r w:rsidR="008D3638" w:rsidRPr="005B7CAC">
        <w:rPr>
          <w:rFonts w:ascii="Times New Roman" w:hAnsi="Times New Roman"/>
          <w:bCs/>
          <w:i/>
          <w:sz w:val="24"/>
          <w:szCs w:val="20"/>
          <w:lang w:val="en-US"/>
        </w:rPr>
        <w:t>D</w:t>
      </w:r>
      <w:r w:rsidR="002729DE" w:rsidRPr="005B7CAC">
        <w:rPr>
          <w:rFonts w:ascii="Times New Roman" w:hAnsi="Times New Roman"/>
          <w:bCs/>
          <w:iCs/>
          <w:sz w:val="24"/>
          <w:szCs w:val="20"/>
          <w:lang w:val="en-US"/>
        </w:rPr>
        <w:t xml:space="preserve">. </w:t>
      </w:r>
      <w:r w:rsidR="0047548F" w:rsidRPr="005B7CAC">
        <w:rPr>
          <w:rFonts w:ascii="Times New Roman" w:hAnsi="Times New Roman"/>
          <w:bCs/>
          <w:iCs/>
          <w:sz w:val="24"/>
          <w:szCs w:val="20"/>
          <w:lang w:val="en-US"/>
        </w:rPr>
        <w:t xml:space="preserve">The results </w:t>
      </w:r>
      <w:r w:rsidR="002729DE" w:rsidRPr="005B7CAC">
        <w:rPr>
          <w:rFonts w:ascii="Times New Roman" w:hAnsi="Times New Roman"/>
          <w:bCs/>
          <w:iCs/>
          <w:sz w:val="24"/>
          <w:szCs w:val="20"/>
          <w:lang w:val="en-US"/>
        </w:rPr>
        <w:t xml:space="preserve">in Table 6 </w:t>
      </w:r>
      <w:r w:rsidR="0047548F" w:rsidRPr="005B7CAC">
        <w:rPr>
          <w:rFonts w:ascii="Times New Roman" w:hAnsi="Times New Roman"/>
          <w:bCs/>
          <w:iCs/>
          <w:sz w:val="24"/>
          <w:szCs w:val="20"/>
          <w:lang w:val="en-US"/>
        </w:rPr>
        <w:t xml:space="preserve">show that </w:t>
      </w:r>
      <w:r w:rsidR="0047548F" w:rsidRPr="005B7CAC">
        <w:rPr>
          <w:rFonts w:ascii="Times New Roman" w:hAnsi="Times New Roman"/>
          <w:bCs/>
          <w:i/>
          <w:sz w:val="24"/>
          <w:szCs w:val="20"/>
          <w:lang w:val="en-US"/>
        </w:rPr>
        <w:t>WAST</w:t>
      </w:r>
      <w:r w:rsidR="0047548F" w:rsidRPr="005B7CAC">
        <w:rPr>
          <w:rFonts w:ascii="Times New Roman" w:hAnsi="Times New Roman"/>
          <w:bCs/>
          <w:iCs/>
          <w:sz w:val="24"/>
          <w:szCs w:val="20"/>
          <w:lang w:val="en-US"/>
        </w:rPr>
        <w:t>*</w:t>
      </w:r>
      <w:r w:rsidR="0047548F" w:rsidRPr="005B7CAC">
        <w:rPr>
          <w:rFonts w:ascii="Times New Roman" w:hAnsi="Times New Roman"/>
          <w:bCs/>
          <w:i/>
          <w:sz w:val="24"/>
          <w:szCs w:val="20"/>
          <w:lang w:val="en-US"/>
        </w:rPr>
        <w:t>WREC</w:t>
      </w:r>
      <w:r w:rsidR="0047548F" w:rsidRPr="005B7CAC">
        <w:rPr>
          <w:rFonts w:ascii="Times New Roman" w:hAnsi="Times New Roman"/>
          <w:bCs/>
          <w:iCs/>
          <w:sz w:val="24"/>
          <w:szCs w:val="20"/>
          <w:lang w:val="en-US"/>
        </w:rPr>
        <w:t xml:space="preserve"> is </w:t>
      </w:r>
      <w:r w:rsidR="00D365E8" w:rsidRPr="005B7CAC">
        <w:rPr>
          <w:rFonts w:ascii="Times New Roman" w:hAnsi="Times New Roman"/>
          <w:bCs/>
          <w:iCs/>
          <w:sz w:val="24"/>
          <w:szCs w:val="20"/>
          <w:lang w:val="en-US"/>
        </w:rPr>
        <w:t xml:space="preserve">positively </w:t>
      </w:r>
      <w:r w:rsidR="0047548F" w:rsidRPr="005B7CAC">
        <w:rPr>
          <w:rFonts w:ascii="Times New Roman" w:hAnsi="Times New Roman"/>
          <w:bCs/>
          <w:iCs/>
          <w:sz w:val="24"/>
          <w:szCs w:val="20"/>
          <w:lang w:val="en-US"/>
        </w:rPr>
        <w:t xml:space="preserve">associated with </w:t>
      </w:r>
      <w:r w:rsidR="0047548F" w:rsidRPr="005B7CAC">
        <w:rPr>
          <w:rFonts w:ascii="Times New Roman" w:hAnsi="Times New Roman"/>
          <w:bCs/>
          <w:i/>
          <w:sz w:val="24"/>
          <w:szCs w:val="20"/>
          <w:lang w:val="en-US"/>
        </w:rPr>
        <w:t>Z_UK</w:t>
      </w:r>
      <w:r w:rsidR="0047548F" w:rsidRPr="005B7CAC">
        <w:rPr>
          <w:rFonts w:ascii="Times New Roman" w:hAnsi="Times New Roman"/>
          <w:bCs/>
          <w:iCs/>
          <w:sz w:val="24"/>
          <w:szCs w:val="20"/>
          <w:lang w:val="en-US"/>
        </w:rPr>
        <w:t xml:space="preserve"> (</w:t>
      </w:r>
      <w:r w:rsidR="0047548F" w:rsidRPr="005B7CAC">
        <w:rPr>
          <w:rFonts w:ascii="Times New Roman" w:hAnsi="Times New Roman"/>
          <w:bCs/>
          <w:i/>
          <w:sz w:val="24"/>
          <w:szCs w:val="20"/>
          <w:lang w:val="en-US"/>
        </w:rPr>
        <w:t>p</w:t>
      </w:r>
      <w:r w:rsidR="0047548F" w:rsidRPr="005B7CAC">
        <w:rPr>
          <w:rFonts w:ascii="Times New Roman" w:hAnsi="Times New Roman"/>
          <w:bCs/>
          <w:iCs/>
          <w:sz w:val="24"/>
          <w:szCs w:val="20"/>
          <w:lang w:val="en-US"/>
        </w:rPr>
        <w:t xml:space="preserve"> &lt; 0.05) and </w:t>
      </w:r>
      <w:r w:rsidR="0047548F" w:rsidRPr="005B7CAC">
        <w:rPr>
          <w:rFonts w:ascii="Times New Roman" w:hAnsi="Times New Roman"/>
          <w:bCs/>
          <w:i/>
          <w:sz w:val="24"/>
          <w:szCs w:val="20"/>
          <w:lang w:val="en-US"/>
        </w:rPr>
        <w:t>Z_ALT</w:t>
      </w:r>
      <w:r w:rsidR="00343715" w:rsidRPr="005B7CAC">
        <w:rPr>
          <w:rFonts w:ascii="Times New Roman" w:hAnsi="Times New Roman"/>
          <w:bCs/>
          <w:iCs/>
          <w:sz w:val="24"/>
          <w:szCs w:val="20"/>
          <w:lang w:val="en-US"/>
        </w:rPr>
        <w:t xml:space="preserve"> </w:t>
      </w:r>
      <w:r w:rsidR="0047548F" w:rsidRPr="005B7CAC">
        <w:rPr>
          <w:rFonts w:ascii="Times New Roman" w:hAnsi="Times New Roman"/>
          <w:bCs/>
          <w:iCs/>
          <w:sz w:val="24"/>
          <w:szCs w:val="20"/>
          <w:lang w:val="en-US"/>
        </w:rPr>
        <w:t>(</w:t>
      </w:r>
      <w:r w:rsidR="0047548F" w:rsidRPr="005B7CAC">
        <w:rPr>
          <w:rFonts w:ascii="Times New Roman" w:hAnsi="Times New Roman"/>
          <w:bCs/>
          <w:i/>
          <w:sz w:val="24"/>
          <w:szCs w:val="20"/>
          <w:lang w:val="en-US"/>
        </w:rPr>
        <w:t>p</w:t>
      </w:r>
      <w:r w:rsidR="0047548F" w:rsidRPr="005B7CAC">
        <w:rPr>
          <w:rFonts w:ascii="Times New Roman" w:hAnsi="Times New Roman"/>
          <w:bCs/>
          <w:iCs/>
          <w:sz w:val="24"/>
          <w:szCs w:val="20"/>
          <w:lang w:val="en-US"/>
        </w:rPr>
        <w:t xml:space="preserve"> &lt; 0.01), implying that</w:t>
      </w:r>
      <w:r w:rsidR="00B04939" w:rsidRPr="005B7CAC">
        <w:rPr>
          <w:rFonts w:ascii="Times New Roman" w:hAnsi="Times New Roman"/>
          <w:bCs/>
          <w:iCs/>
          <w:sz w:val="24"/>
          <w:szCs w:val="20"/>
          <w:lang w:val="en-US"/>
        </w:rPr>
        <w:t xml:space="preserve"> </w:t>
      </w:r>
      <w:r w:rsidR="005675B1" w:rsidRPr="005B7CAC">
        <w:rPr>
          <w:rFonts w:ascii="Times New Roman" w:hAnsi="Times New Roman"/>
          <w:bCs/>
          <w:iCs/>
          <w:sz w:val="24"/>
          <w:szCs w:val="20"/>
          <w:lang w:val="en-US"/>
        </w:rPr>
        <w:t xml:space="preserve">waste recycling reduces the </w:t>
      </w:r>
      <w:r w:rsidR="00B04939" w:rsidRPr="005B7CAC">
        <w:rPr>
          <w:rFonts w:ascii="Times New Roman" w:hAnsi="Times New Roman"/>
          <w:bCs/>
          <w:iCs/>
          <w:sz w:val="24"/>
          <w:szCs w:val="20"/>
          <w:lang w:val="en-US"/>
        </w:rPr>
        <w:t xml:space="preserve">negative impact of </w:t>
      </w:r>
      <w:r w:rsidR="005675B1" w:rsidRPr="005B7CAC">
        <w:rPr>
          <w:rFonts w:ascii="Times New Roman" w:hAnsi="Times New Roman"/>
          <w:bCs/>
          <w:iCs/>
          <w:sz w:val="24"/>
          <w:szCs w:val="20"/>
          <w:lang w:val="en-US"/>
        </w:rPr>
        <w:t xml:space="preserve">waste generation on financial stability. In other words, </w:t>
      </w:r>
      <w:r w:rsidR="00E8122A" w:rsidRPr="005B7CAC">
        <w:rPr>
          <w:rFonts w:ascii="Times New Roman" w:hAnsi="Times New Roman"/>
          <w:bCs/>
          <w:iCs/>
          <w:sz w:val="24"/>
          <w:szCs w:val="20"/>
          <w:lang w:val="en-US"/>
        </w:rPr>
        <w:t xml:space="preserve">when a firm engages in waste recycling, it can substantially reduce generated waste levels </w:t>
      </w:r>
      <w:r w:rsidR="005675B1" w:rsidRPr="005B7CAC">
        <w:rPr>
          <w:rFonts w:ascii="Times New Roman" w:hAnsi="Times New Roman"/>
          <w:bCs/>
          <w:iCs/>
          <w:sz w:val="24"/>
          <w:szCs w:val="20"/>
          <w:lang w:val="en-US"/>
        </w:rPr>
        <w:t>and</w:t>
      </w:r>
      <w:r w:rsidR="00FF444B">
        <w:rPr>
          <w:rFonts w:ascii="Times New Roman" w:hAnsi="Times New Roman"/>
          <w:bCs/>
          <w:iCs/>
          <w:sz w:val="24"/>
          <w:szCs w:val="20"/>
          <w:lang w:val="en-US"/>
        </w:rPr>
        <w:t>,</w:t>
      </w:r>
      <w:r w:rsidR="005675B1" w:rsidRPr="005B7CAC">
        <w:rPr>
          <w:rFonts w:ascii="Times New Roman" w:hAnsi="Times New Roman"/>
          <w:bCs/>
          <w:iCs/>
          <w:sz w:val="24"/>
          <w:szCs w:val="20"/>
          <w:lang w:val="en-US"/>
        </w:rPr>
        <w:t xml:space="preserve"> therefore</w:t>
      </w:r>
      <w:r w:rsidR="00FF444B">
        <w:rPr>
          <w:rFonts w:ascii="Times New Roman" w:hAnsi="Times New Roman"/>
          <w:bCs/>
          <w:iCs/>
          <w:sz w:val="24"/>
          <w:szCs w:val="20"/>
          <w:lang w:val="en-US"/>
        </w:rPr>
        <w:t>,</w:t>
      </w:r>
      <w:r w:rsidR="005675B1" w:rsidRPr="005B7CAC">
        <w:rPr>
          <w:rFonts w:ascii="Times New Roman" w:hAnsi="Times New Roman"/>
          <w:bCs/>
          <w:iCs/>
          <w:sz w:val="24"/>
          <w:szCs w:val="20"/>
          <w:lang w:val="en-US"/>
        </w:rPr>
        <w:t xml:space="preserve"> lower </w:t>
      </w:r>
      <w:r w:rsidR="005675B1" w:rsidRPr="005B7CAC">
        <w:rPr>
          <w:rFonts w:ascii="Times New Roman" w:hAnsi="Times New Roman"/>
          <w:bCs/>
          <w:i/>
          <w:sz w:val="24"/>
          <w:szCs w:val="20"/>
          <w:lang w:val="en-US"/>
        </w:rPr>
        <w:t>FD</w:t>
      </w:r>
      <w:r w:rsidR="005675B1" w:rsidRPr="005B7CAC">
        <w:rPr>
          <w:rFonts w:ascii="Times New Roman" w:hAnsi="Times New Roman"/>
          <w:bCs/>
          <w:iCs/>
          <w:sz w:val="24"/>
          <w:szCs w:val="20"/>
          <w:lang w:val="en-US"/>
        </w:rPr>
        <w:t xml:space="preserve"> risks.</w:t>
      </w:r>
      <w:r w:rsidR="00E8122A" w:rsidRPr="005B7CAC">
        <w:rPr>
          <w:rFonts w:ascii="Times New Roman" w:hAnsi="Times New Roman"/>
          <w:bCs/>
          <w:iCs/>
          <w:sz w:val="24"/>
          <w:szCs w:val="20"/>
          <w:lang w:val="en-US"/>
        </w:rPr>
        <w:t xml:space="preserve"> Overall, this</w:t>
      </w:r>
      <w:r w:rsidR="008D3638" w:rsidRPr="005B7CAC">
        <w:rPr>
          <w:rFonts w:ascii="Times New Roman" w:hAnsi="Times New Roman"/>
          <w:bCs/>
          <w:iCs/>
          <w:sz w:val="24"/>
          <w:szCs w:val="20"/>
          <w:lang w:val="en-US"/>
        </w:rPr>
        <w:t xml:space="preserve"> </w:t>
      </w:r>
      <w:r w:rsidR="00D55FDB" w:rsidRPr="005B7CAC">
        <w:rPr>
          <w:rFonts w:ascii="Times New Roman" w:hAnsi="Times New Roman"/>
          <w:bCs/>
          <w:iCs/>
          <w:sz w:val="24"/>
          <w:szCs w:val="20"/>
          <w:lang w:val="en-US"/>
        </w:rPr>
        <w:t>finding</w:t>
      </w:r>
      <w:r w:rsidR="008D3638" w:rsidRPr="005B7CAC">
        <w:rPr>
          <w:rFonts w:ascii="Times New Roman" w:hAnsi="Times New Roman"/>
          <w:bCs/>
          <w:iCs/>
          <w:sz w:val="24"/>
          <w:szCs w:val="20"/>
          <w:lang w:val="en-US"/>
        </w:rPr>
        <w:t xml:space="preserve"> suggests</w:t>
      </w:r>
      <w:r w:rsidR="00D55FDB" w:rsidRPr="005B7CAC">
        <w:rPr>
          <w:rFonts w:ascii="Times New Roman" w:hAnsi="Times New Roman"/>
          <w:bCs/>
          <w:iCs/>
          <w:sz w:val="24"/>
          <w:szCs w:val="20"/>
          <w:lang w:val="en-US"/>
        </w:rPr>
        <w:t xml:space="preserve"> that sustainable environmental practices, such as waste recycling</w:t>
      </w:r>
      <w:r w:rsidR="00417E29">
        <w:rPr>
          <w:rFonts w:ascii="Times New Roman" w:hAnsi="Times New Roman"/>
          <w:bCs/>
          <w:iCs/>
          <w:sz w:val="24"/>
          <w:szCs w:val="20"/>
          <w:lang w:val="en-US"/>
        </w:rPr>
        <w:t>,</w:t>
      </w:r>
      <w:r w:rsidR="008D3638" w:rsidRPr="005B7CAC">
        <w:rPr>
          <w:rFonts w:ascii="Times New Roman" w:hAnsi="Times New Roman"/>
          <w:bCs/>
          <w:iCs/>
          <w:sz w:val="24"/>
          <w:szCs w:val="20"/>
          <w:lang w:val="en-US"/>
        </w:rPr>
        <w:t xml:space="preserve"> are vital to reducing waste levels and increasing financial sustainability.  </w:t>
      </w:r>
      <w:r w:rsidR="00D55FDB" w:rsidRPr="005B7CAC">
        <w:rPr>
          <w:rFonts w:ascii="Times New Roman" w:hAnsi="Times New Roman"/>
          <w:bCs/>
          <w:iCs/>
          <w:sz w:val="24"/>
          <w:szCs w:val="20"/>
          <w:lang w:val="en-US"/>
        </w:rPr>
        <w:t xml:space="preserve">   </w:t>
      </w:r>
    </w:p>
    <w:p w14:paraId="7FAA40D0" w14:textId="0400CA23" w:rsidR="00C708B7" w:rsidRPr="005B7CAC" w:rsidRDefault="00E8122A" w:rsidP="003D5418">
      <w:pPr>
        <w:widowControl w:val="0"/>
        <w:autoSpaceDE w:val="0"/>
        <w:autoSpaceDN w:val="0"/>
        <w:adjustRightInd w:val="0"/>
        <w:spacing w:after="240" w:line="360" w:lineRule="auto"/>
        <w:jc w:val="both"/>
        <w:rPr>
          <w:rFonts w:ascii="Times New Roman" w:hAnsi="Times New Roman"/>
          <w:bCs/>
          <w:iCs/>
          <w:sz w:val="24"/>
          <w:szCs w:val="20"/>
          <w:lang w:val="en-US"/>
        </w:rPr>
      </w:pPr>
      <w:r w:rsidRPr="005B7CAC">
        <w:rPr>
          <w:rFonts w:ascii="Times New Roman" w:hAnsi="Times New Roman"/>
          <w:bCs/>
          <w:iCs/>
          <w:sz w:val="24"/>
          <w:szCs w:val="20"/>
          <w:lang w:val="en-US"/>
        </w:rPr>
        <w:t xml:space="preserve"> </w:t>
      </w:r>
      <w:r w:rsidR="005675B1" w:rsidRPr="005B7CAC">
        <w:rPr>
          <w:rFonts w:ascii="Times New Roman" w:hAnsi="Times New Roman"/>
          <w:bCs/>
          <w:iCs/>
          <w:sz w:val="24"/>
          <w:szCs w:val="20"/>
          <w:lang w:val="en-US"/>
        </w:rPr>
        <w:t xml:space="preserve">  </w:t>
      </w:r>
      <w:r w:rsidR="0047548F" w:rsidRPr="005B7CAC">
        <w:rPr>
          <w:rFonts w:ascii="Times New Roman" w:hAnsi="Times New Roman"/>
          <w:bCs/>
          <w:iCs/>
          <w:sz w:val="24"/>
          <w:szCs w:val="20"/>
          <w:lang w:val="en-US"/>
        </w:rPr>
        <w:t xml:space="preserve"> </w:t>
      </w:r>
    </w:p>
    <w:p w14:paraId="41856DDD" w14:textId="670F230A" w:rsidR="00BD6BF3" w:rsidRPr="005B7CAC" w:rsidRDefault="00BD6BF3" w:rsidP="003D5418">
      <w:pPr>
        <w:widowControl w:val="0"/>
        <w:autoSpaceDE w:val="0"/>
        <w:autoSpaceDN w:val="0"/>
        <w:adjustRightInd w:val="0"/>
        <w:spacing w:after="240" w:line="360" w:lineRule="auto"/>
        <w:rPr>
          <w:rFonts w:ascii="Times New Roman" w:hAnsi="Times New Roman"/>
          <w:bCs/>
          <w:i/>
          <w:sz w:val="24"/>
          <w:szCs w:val="20"/>
          <w:lang w:val="en-US"/>
        </w:rPr>
      </w:pPr>
      <w:r w:rsidRPr="005B7CAC">
        <w:rPr>
          <w:rFonts w:ascii="Times New Roman" w:hAnsi="Times New Roman"/>
          <w:bCs/>
          <w:i/>
          <w:sz w:val="24"/>
          <w:szCs w:val="20"/>
          <w:lang w:val="en-US"/>
        </w:rPr>
        <w:t>4.</w:t>
      </w:r>
      <w:r w:rsidR="00FB14F3" w:rsidRPr="005B7CAC">
        <w:rPr>
          <w:rFonts w:ascii="Times New Roman" w:hAnsi="Times New Roman"/>
          <w:bCs/>
          <w:i/>
          <w:sz w:val="24"/>
          <w:szCs w:val="20"/>
          <w:lang w:val="en-US"/>
        </w:rPr>
        <w:t>4</w:t>
      </w:r>
      <w:r w:rsidRPr="005B7CAC">
        <w:rPr>
          <w:rFonts w:ascii="Times New Roman" w:hAnsi="Times New Roman"/>
          <w:bCs/>
          <w:i/>
          <w:sz w:val="24"/>
          <w:szCs w:val="20"/>
          <w:lang w:val="en-US"/>
        </w:rPr>
        <w:t xml:space="preserve"> Robustness checks</w:t>
      </w:r>
    </w:p>
    <w:p w14:paraId="79269565" w14:textId="2E81C1B1" w:rsidR="003A2E4E" w:rsidRPr="005B7CAC" w:rsidRDefault="00A8064C" w:rsidP="003D5418">
      <w:pPr>
        <w:widowControl w:val="0"/>
        <w:autoSpaceDE w:val="0"/>
        <w:autoSpaceDN w:val="0"/>
        <w:adjustRightInd w:val="0"/>
        <w:spacing w:after="240" w:line="360" w:lineRule="auto"/>
        <w:jc w:val="both"/>
        <w:rPr>
          <w:rFonts w:ascii="Times New Roman" w:hAnsi="Times New Roman"/>
          <w:bCs/>
          <w:iCs/>
          <w:sz w:val="24"/>
          <w:szCs w:val="20"/>
          <w:lang w:val="en-US"/>
        </w:rPr>
      </w:pPr>
      <w:r w:rsidRPr="005B7CAC">
        <w:rPr>
          <w:rFonts w:ascii="Times New Roman" w:hAnsi="Times New Roman"/>
          <w:bCs/>
          <w:iCs/>
          <w:sz w:val="24"/>
          <w:szCs w:val="20"/>
          <w:lang w:val="en-US"/>
        </w:rPr>
        <w:t xml:space="preserve">In this section, </w:t>
      </w:r>
      <w:r w:rsidR="003A2E4E" w:rsidRPr="005B7CAC">
        <w:rPr>
          <w:rFonts w:ascii="Times New Roman" w:hAnsi="Times New Roman"/>
          <w:bCs/>
          <w:iCs/>
          <w:sz w:val="24"/>
          <w:szCs w:val="20"/>
          <w:lang w:val="en-US"/>
        </w:rPr>
        <w:t>we</w:t>
      </w:r>
      <w:r w:rsidRPr="005B7CAC">
        <w:rPr>
          <w:rFonts w:ascii="Times New Roman" w:hAnsi="Times New Roman"/>
          <w:bCs/>
          <w:iCs/>
          <w:sz w:val="24"/>
          <w:szCs w:val="20"/>
          <w:lang w:val="en-US"/>
        </w:rPr>
        <w:t xml:space="preserve"> perform several robustness tests to</w:t>
      </w:r>
      <w:r w:rsidR="00E95A33" w:rsidRPr="005B7CAC">
        <w:rPr>
          <w:rFonts w:ascii="Times New Roman" w:hAnsi="Times New Roman"/>
          <w:bCs/>
          <w:iCs/>
          <w:sz w:val="24"/>
          <w:szCs w:val="20"/>
          <w:lang w:val="en-US"/>
        </w:rPr>
        <w:t xml:space="preserve"> assess the validity of the main results. First, </w:t>
      </w:r>
      <w:r w:rsidR="003A2E4E" w:rsidRPr="005B7CAC">
        <w:rPr>
          <w:rFonts w:ascii="Times New Roman" w:hAnsi="Times New Roman"/>
          <w:bCs/>
          <w:iCs/>
          <w:sz w:val="24"/>
          <w:szCs w:val="20"/>
          <w:lang w:val="en-US"/>
        </w:rPr>
        <w:t>we</w:t>
      </w:r>
      <w:r w:rsidR="00E95A33" w:rsidRPr="005B7CAC">
        <w:rPr>
          <w:rFonts w:ascii="Times New Roman" w:hAnsi="Times New Roman"/>
          <w:bCs/>
          <w:iCs/>
          <w:sz w:val="24"/>
          <w:szCs w:val="20"/>
          <w:lang w:val="en-US"/>
        </w:rPr>
        <w:t xml:space="preserve"> </w:t>
      </w:r>
      <w:r w:rsidR="00461F6F" w:rsidRPr="005B7CAC">
        <w:rPr>
          <w:rFonts w:ascii="Times New Roman" w:hAnsi="Times New Roman"/>
          <w:bCs/>
          <w:iCs/>
          <w:sz w:val="24"/>
          <w:szCs w:val="20"/>
          <w:lang w:val="en-US"/>
        </w:rPr>
        <w:t xml:space="preserve">use alternative measures for </w:t>
      </w:r>
      <w:r w:rsidR="00103418" w:rsidRPr="005B7CAC">
        <w:rPr>
          <w:rFonts w:ascii="Times New Roman" w:hAnsi="Times New Roman"/>
          <w:bCs/>
          <w:i/>
          <w:sz w:val="24"/>
          <w:szCs w:val="20"/>
          <w:lang w:val="en-US"/>
        </w:rPr>
        <w:t>FD</w:t>
      </w:r>
      <w:r w:rsidR="00103418" w:rsidRPr="005B7CAC">
        <w:rPr>
          <w:rFonts w:ascii="Times New Roman" w:hAnsi="Times New Roman"/>
          <w:bCs/>
          <w:iCs/>
          <w:sz w:val="24"/>
          <w:szCs w:val="20"/>
          <w:lang w:val="en-US"/>
        </w:rPr>
        <w:t xml:space="preserve"> and </w:t>
      </w:r>
      <w:r w:rsidR="00461F6F" w:rsidRPr="005B7CAC">
        <w:rPr>
          <w:rFonts w:ascii="Times New Roman" w:hAnsi="Times New Roman"/>
          <w:bCs/>
          <w:iCs/>
          <w:sz w:val="24"/>
          <w:szCs w:val="20"/>
          <w:lang w:val="en-US"/>
        </w:rPr>
        <w:t xml:space="preserve">waste </w:t>
      </w:r>
      <w:r w:rsidR="003A2E4E" w:rsidRPr="005B7CAC">
        <w:rPr>
          <w:rFonts w:ascii="Times New Roman" w:hAnsi="Times New Roman"/>
          <w:bCs/>
          <w:iCs/>
          <w:sz w:val="24"/>
          <w:szCs w:val="20"/>
          <w:lang w:val="en-US"/>
        </w:rPr>
        <w:t>generation</w:t>
      </w:r>
      <w:r w:rsidR="00461F6F" w:rsidRPr="005B7CAC">
        <w:rPr>
          <w:rFonts w:ascii="Times New Roman" w:hAnsi="Times New Roman"/>
          <w:bCs/>
          <w:iCs/>
          <w:sz w:val="24"/>
          <w:szCs w:val="20"/>
          <w:lang w:val="en-US"/>
        </w:rPr>
        <w:t xml:space="preserve"> and </w:t>
      </w:r>
      <w:r w:rsidR="00E95A33" w:rsidRPr="005B7CAC">
        <w:rPr>
          <w:rFonts w:ascii="Times New Roman" w:hAnsi="Times New Roman"/>
          <w:bCs/>
          <w:iCs/>
          <w:sz w:val="24"/>
          <w:szCs w:val="20"/>
          <w:lang w:val="en-US"/>
        </w:rPr>
        <w:t>re</w:t>
      </w:r>
      <w:r w:rsidR="00461F6F" w:rsidRPr="005B7CAC">
        <w:rPr>
          <w:rFonts w:ascii="Times New Roman" w:hAnsi="Times New Roman"/>
          <w:bCs/>
          <w:iCs/>
          <w:sz w:val="24"/>
          <w:szCs w:val="20"/>
          <w:lang w:val="en-US"/>
        </w:rPr>
        <w:t>-estimate the model.</w:t>
      </w:r>
      <w:r w:rsidR="00AE65E3" w:rsidRPr="005B7CAC">
        <w:rPr>
          <w:rFonts w:ascii="Times New Roman" w:hAnsi="Times New Roman"/>
          <w:bCs/>
          <w:iCs/>
          <w:sz w:val="24"/>
          <w:szCs w:val="20"/>
          <w:lang w:val="en-US"/>
        </w:rPr>
        <w:t xml:space="preserve"> </w:t>
      </w:r>
      <w:r w:rsidR="003A2E4E" w:rsidRPr="005B7CAC">
        <w:rPr>
          <w:rFonts w:ascii="Times New Roman" w:hAnsi="Times New Roman"/>
          <w:bCs/>
          <w:iCs/>
          <w:sz w:val="24"/>
          <w:szCs w:val="20"/>
          <w:lang w:val="en-US"/>
        </w:rPr>
        <w:t>In particular,</w:t>
      </w:r>
      <w:r w:rsidR="00165056" w:rsidRPr="005B7CAC">
        <w:rPr>
          <w:rFonts w:ascii="Times New Roman" w:hAnsi="Times New Roman"/>
          <w:bCs/>
          <w:iCs/>
          <w:sz w:val="24"/>
          <w:szCs w:val="20"/>
          <w:lang w:val="en-US"/>
        </w:rPr>
        <w:t xml:space="preserve"> f</w:t>
      </w:r>
      <w:r w:rsidR="00DD1D2D" w:rsidRPr="005B7CAC">
        <w:rPr>
          <w:rFonts w:ascii="Times New Roman" w:hAnsi="Times New Roman"/>
          <w:bCs/>
          <w:iCs/>
          <w:sz w:val="24"/>
          <w:szCs w:val="20"/>
          <w:lang w:val="en-US"/>
        </w:rPr>
        <w:t xml:space="preserve">ollowing </w:t>
      </w:r>
      <w:r w:rsidR="00DD1D2D" w:rsidRPr="005B7CAC">
        <w:rPr>
          <w:rFonts w:ascii="Times New Roman" w:hAnsi="Times New Roman"/>
          <w:bCs/>
          <w:iCs/>
          <w:sz w:val="24"/>
          <w:szCs w:val="20"/>
          <w:lang w:val="en-US"/>
        </w:rPr>
        <w:fldChar w:fldCharType="begin" w:fldLock="1"/>
      </w:r>
      <w:r w:rsidR="00111706" w:rsidRPr="005B7CAC">
        <w:rPr>
          <w:rFonts w:ascii="Times New Roman" w:hAnsi="Times New Roman"/>
          <w:bCs/>
          <w:iCs/>
          <w:sz w:val="24"/>
          <w:szCs w:val="20"/>
          <w:lang w:val="en-US"/>
        </w:rPr>
        <w:instrText>ADDIN CSL_CITATION {"citationItems":[{"id":"ITEM-1","itemData":{"DOI":"10.1080/01559982.2023.2169893","ISSN":"14676303","abstract":"We examine how corporate environmental performance relates to financial constraints in an environment likely to face high global pressure to address climate change. Using multivariate regressions and a large dataset of over 8,500 firm-years from 24 emerging market countries during 2003 to 2020, we find superior environmental performance (especially relating to carbon emissions) to be associated with significantly lower levels of financial constraints. This finding is robust to an alternative measure of financial constraint, different sample compositions, and to endogeneity concerns. Further analyses reveal that the reductions in financial constraints are significantly higher for firms: (i) in high carbon-emitting countries; (ii) in countries that adopted the 2015 Paris Climate Agreement early; and (iii) that cross-list onto foreign stock exchanges. Finally, we provide evidence to suggest that the environmental aspects of a firm’s CSR efforts mitigate its financial constraints more than can be attained by the other major CSR dimensions. Overall, the findings imply that stakeholders (capital providers) of emerging market firms prioritise environmental concerns and, therefore, reward environmentally responsible firms with cheaper and easier access to financing, especially when global environmental concerns are high.","author":[{"dropping-particle":"","family":"Agyei-Boapeah","given":"Henry","non-dropping-particle":"","parse-names":false,"suffix":""},{"dropping-particle":"","family":"Ciftci","given":"Neytullah","non-dropping-particle":"","parse-names":false,"suffix":""},{"dropping-particle":"","family":"Kalimilo Malagila","given":"John","non-dropping-particle":"","parse-names":false,"suffix":""},{"dropping-particle":"","family":"Brodmann","given":"Jennifer","non-dropping-particle":"","parse-names":false,"suffix":""},{"dropping-particle":"","family":"Fosu","given":"Samuel","non-dropping-particle":"","parse-names":false,"suffix":""}],"container-title":"Accounting Forum","id":"ITEM-1","issued":{"date-parts":[["2023"]]},"title":"Environmental performance and financial constraints in emerging markets","type":"article-journal"},"uris":["http://www.mendeley.com/documents/?uuid=9ce40414-8207-3936-bfcc-bd72773ed35c"]},{"id":"ITEM-2","itemData":{"DOI":"10.1108/ijaim-03-2023-0065","ISSN":"1834-7649","author":[{"dropping-particle":"","family":"Shelih","given":"Ragia","non-dropping-particle":"","parse-names":false,"suffix":""},{"dropping-particle":"","family":"Wang","given":"Li","non-dropping-particle":"","parse-names":false,"suffix":""}],"container-title":"International Journal of Accounting &amp; Information Management","id":"ITEM-2","issued":{"date-parts":[["2023"]]},"title":"The moderating effect of financial constraints on the relationship between stock price crash risk and managerial ability","type":"article-journal"},"uris":["http://www.mendeley.com/documents/?uuid=0f09ee5a-daa9-4f38-a29f-1e49ea411d66"]}],"mendeley":{"formattedCitation":"(Agyei-Boapeah &lt;i&gt;et al.&lt;/i&gt;, 2023; Shelih and Wang, 2023)","plainTextFormattedCitation":"(Agyei-Boapeah et al., 2023; Shelih and Wang, 2023)","previouslyFormattedCitation":"(Agyei-Boapeah &lt;i&gt;et al.&lt;/i&gt;, 2023; Shelih and Wang, 2023)"},"properties":{"noteIndex":0},"schema":"https://github.com/citation-style-language/schema/raw/master/csl-citation.json"}</w:instrText>
      </w:r>
      <w:r w:rsidR="00DD1D2D" w:rsidRPr="005B7CAC">
        <w:rPr>
          <w:rFonts w:ascii="Times New Roman" w:hAnsi="Times New Roman"/>
          <w:bCs/>
          <w:iCs/>
          <w:sz w:val="24"/>
          <w:szCs w:val="20"/>
          <w:lang w:val="en-US"/>
        </w:rPr>
        <w:fldChar w:fldCharType="separate"/>
      </w:r>
      <w:r w:rsidR="00EE1202" w:rsidRPr="005B7CAC">
        <w:rPr>
          <w:rFonts w:ascii="Times New Roman" w:hAnsi="Times New Roman"/>
          <w:bCs/>
          <w:iCs/>
          <w:noProof/>
          <w:sz w:val="24"/>
          <w:szCs w:val="20"/>
          <w:lang w:val="en-US"/>
        </w:rPr>
        <w:t xml:space="preserve">(Agyei-Boapeah </w:t>
      </w:r>
      <w:r w:rsidR="00EE1202" w:rsidRPr="005B7CAC">
        <w:rPr>
          <w:rFonts w:ascii="Times New Roman" w:hAnsi="Times New Roman"/>
          <w:bCs/>
          <w:i/>
          <w:iCs/>
          <w:noProof/>
          <w:sz w:val="24"/>
          <w:szCs w:val="20"/>
          <w:lang w:val="en-US"/>
        </w:rPr>
        <w:t>et al.</w:t>
      </w:r>
      <w:r w:rsidR="00EE1202" w:rsidRPr="005B7CAC">
        <w:rPr>
          <w:rFonts w:ascii="Times New Roman" w:hAnsi="Times New Roman"/>
          <w:bCs/>
          <w:iCs/>
          <w:noProof/>
          <w:sz w:val="24"/>
          <w:szCs w:val="20"/>
          <w:lang w:val="en-US"/>
        </w:rPr>
        <w:t>, 2023; Shelih and Wang, 2023)</w:t>
      </w:r>
      <w:r w:rsidR="00DD1D2D" w:rsidRPr="005B7CAC">
        <w:rPr>
          <w:rFonts w:ascii="Times New Roman" w:hAnsi="Times New Roman"/>
          <w:bCs/>
          <w:iCs/>
          <w:sz w:val="24"/>
          <w:szCs w:val="20"/>
          <w:lang w:val="en-US"/>
        </w:rPr>
        <w:fldChar w:fldCharType="end"/>
      </w:r>
      <w:r w:rsidR="00DD1D2D" w:rsidRPr="005B7CAC">
        <w:rPr>
          <w:rFonts w:ascii="Times New Roman" w:hAnsi="Times New Roman"/>
          <w:bCs/>
          <w:iCs/>
          <w:sz w:val="24"/>
          <w:szCs w:val="20"/>
          <w:lang w:val="en-US"/>
        </w:rPr>
        <w:t xml:space="preserve">, we </w:t>
      </w:r>
      <w:r w:rsidR="00D52549" w:rsidRPr="005B7CAC">
        <w:rPr>
          <w:rFonts w:ascii="Times New Roman" w:hAnsi="Times New Roman"/>
          <w:bCs/>
          <w:iCs/>
          <w:sz w:val="24"/>
          <w:szCs w:val="20"/>
          <w:lang w:val="en-US"/>
        </w:rPr>
        <w:t>employ</w:t>
      </w:r>
      <w:r w:rsidR="00DD1D2D" w:rsidRPr="005B7CAC">
        <w:rPr>
          <w:rFonts w:ascii="Times New Roman" w:hAnsi="Times New Roman"/>
          <w:bCs/>
          <w:iCs/>
          <w:sz w:val="24"/>
          <w:szCs w:val="20"/>
          <w:lang w:val="en-US"/>
        </w:rPr>
        <w:t xml:space="preserve"> the </w:t>
      </w:r>
      <w:r w:rsidR="00DD1D2D" w:rsidRPr="005B7CAC">
        <w:rPr>
          <w:rFonts w:ascii="Times New Roman" w:hAnsi="Times New Roman"/>
          <w:bCs/>
          <w:i/>
          <w:sz w:val="24"/>
          <w:szCs w:val="20"/>
          <w:lang w:val="en-US"/>
        </w:rPr>
        <w:t>KZ_IND</w:t>
      </w:r>
      <w:r w:rsidR="00DD1D2D" w:rsidRPr="005B7CAC">
        <w:rPr>
          <w:rFonts w:ascii="Times New Roman" w:hAnsi="Times New Roman"/>
          <w:bCs/>
          <w:iCs/>
          <w:sz w:val="24"/>
          <w:szCs w:val="20"/>
          <w:lang w:val="en-US"/>
        </w:rPr>
        <w:t xml:space="preserve"> index, proposed by </w:t>
      </w:r>
      <w:r w:rsidR="00DD1D2D" w:rsidRPr="005B7CAC">
        <w:rPr>
          <w:rFonts w:ascii="Times New Roman" w:hAnsi="Times New Roman"/>
          <w:bCs/>
          <w:iCs/>
          <w:sz w:val="24"/>
          <w:szCs w:val="20"/>
          <w:lang w:val="en-US"/>
        </w:rPr>
        <w:fldChar w:fldCharType="begin" w:fldLock="1"/>
      </w:r>
      <w:r w:rsidR="00BB4571" w:rsidRPr="005B7CAC">
        <w:rPr>
          <w:rFonts w:ascii="Times New Roman" w:hAnsi="Times New Roman"/>
          <w:bCs/>
          <w:iCs/>
          <w:sz w:val="24"/>
          <w:szCs w:val="20"/>
          <w:lang w:val="en-US"/>
        </w:rPr>
        <w:instrText>ADDIN CSL_CITATION {"citationItems":[{"id":"ITEM-1","itemData":{"DOI":"10.1162/003355397555163","ISSN":"00335533","abstract":"No. This paper investigates the relationship between financing constraints and investment-cash flow sensitivities by analyzing the firms identified by Fazzari, Hubbard, and Petersen as having unusually high investment-cash flow sensitivities. We find that firms that appear less financially constrained exhibit significantly greater sensitivities than firms that appear more financially constrained. We find this pattern for the entire sample period, subperiods, and individual years. These results (and simple theoretical arguments) suggest that higher sensitivities cannot be interpreted as evidence that firms are more financially constrained. These findings call into question the interpretation of most previous research that uses this methodology.","author":[{"dropping-particle":"","family":"Kaplan","given":"Steven N.","non-dropping-particle":"","parse-names":false,"suffix":""},{"dropping-particle":"","family":"Zingales","given":"Luigi","non-dropping-particle":"","parse-names":false,"suffix":""}],"container-title":"Quarterly Journal of Economics","id":"ITEM-1","issue":"1","issued":{"date-parts":[["1997"]]},"page":"169–215","title":"Do investment-cash flow sensitivities provide useful measures of financing constraints?","type":"article-journal","volume":"112"},"uris":["http://www.mendeley.com/documents/?uuid=2d509369-e75e-3b3f-8111-43b164588824"]}],"mendeley":{"formattedCitation":"(Kaplan and Zingales, 1997)","manualFormatting":"Kaplan and Zingales (1997)","plainTextFormattedCitation":"(Kaplan and Zingales, 1997)","previouslyFormattedCitation":"(Kaplan and Zingales, 1997)"},"properties":{"noteIndex":0},"schema":"https://github.com/citation-style-language/schema/raw/master/csl-citation.json"}</w:instrText>
      </w:r>
      <w:r w:rsidR="00DD1D2D" w:rsidRPr="005B7CAC">
        <w:rPr>
          <w:rFonts w:ascii="Times New Roman" w:hAnsi="Times New Roman"/>
          <w:bCs/>
          <w:iCs/>
          <w:sz w:val="24"/>
          <w:szCs w:val="20"/>
          <w:lang w:val="en-US"/>
        </w:rPr>
        <w:fldChar w:fldCharType="separate"/>
      </w:r>
      <w:r w:rsidR="00DD1D2D" w:rsidRPr="005B7CAC">
        <w:rPr>
          <w:rFonts w:ascii="Times New Roman" w:hAnsi="Times New Roman"/>
          <w:bCs/>
          <w:iCs/>
          <w:noProof/>
          <w:sz w:val="24"/>
          <w:szCs w:val="20"/>
          <w:lang w:val="en-US"/>
        </w:rPr>
        <w:t xml:space="preserve">Kaplan and </w:t>
      </w:r>
      <w:r w:rsidR="00BC71FE" w:rsidRPr="005B7CAC">
        <w:rPr>
          <w:rFonts w:ascii="Times New Roman" w:hAnsi="Times New Roman"/>
          <w:bCs/>
          <w:iCs/>
          <w:noProof/>
          <w:sz w:val="24"/>
          <w:szCs w:val="20"/>
          <w:lang w:val="en-US"/>
        </w:rPr>
        <w:t>Zingales (</w:t>
      </w:r>
      <w:r w:rsidR="00DD1D2D" w:rsidRPr="005B7CAC">
        <w:rPr>
          <w:rFonts w:ascii="Times New Roman" w:hAnsi="Times New Roman"/>
          <w:bCs/>
          <w:iCs/>
          <w:noProof/>
          <w:sz w:val="24"/>
          <w:szCs w:val="20"/>
          <w:lang w:val="en-US"/>
        </w:rPr>
        <w:t>1997)</w:t>
      </w:r>
      <w:r w:rsidR="00DD1D2D" w:rsidRPr="005B7CAC">
        <w:rPr>
          <w:rFonts w:ascii="Times New Roman" w:hAnsi="Times New Roman"/>
          <w:bCs/>
          <w:iCs/>
          <w:sz w:val="24"/>
          <w:szCs w:val="20"/>
          <w:lang w:val="en-US"/>
        </w:rPr>
        <w:fldChar w:fldCharType="end"/>
      </w:r>
      <w:r w:rsidR="00726937">
        <w:rPr>
          <w:rFonts w:ascii="Times New Roman" w:hAnsi="Times New Roman"/>
          <w:bCs/>
          <w:iCs/>
          <w:sz w:val="24"/>
          <w:szCs w:val="20"/>
          <w:lang w:val="en-US"/>
        </w:rPr>
        <w:t>,</w:t>
      </w:r>
      <w:r w:rsidR="00DD1D2D" w:rsidRPr="005B7CAC">
        <w:rPr>
          <w:rFonts w:ascii="Times New Roman" w:hAnsi="Times New Roman"/>
          <w:bCs/>
          <w:iCs/>
          <w:sz w:val="24"/>
          <w:szCs w:val="20"/>
          <w:lang w:val="en-US"/>
        </w:rPr>
        <w:t xml:space="preserve"> to assess </w:t>
      </w:r>
      <w:r w:rsidR="00DD1D2D" w:rsidRPr="005B7CAC">
        <w:rPr>
          <w:rFonts w:ascii="Times New Roman" w:hAnsi="Times New Roman"/>
          <w:bCs/>
          <w:i/>
          <w:sz w:val="24"/>
          <w:szCs w:val="20"/>
          <w:lang w:val="en-US"/>
        </w:rPr>
        <w:t>FD</w:t>
      </w:r>
      <w:r w:rsidR="00DD1D2D" w:rsidRPr="005B7CAC">
        <w:rPr>
          <w:rFonts w:ascii="Times New Roman" w:hAnsi="Times New Roman"/>
          <w:bCs/>
          <w:iCs/>
          <w:sz w:val="24"/>
          <w:szCs w:val="20"/>
          <w:lang w:val="en-US"/>
        </w:rPr>
        <w:t xml:space="preserve">. The </w:t>
      </w:r>
      <w:r w:rsidR="00DD1D2D" w:rsidRPr="005B7CAC">
        <w:rPr>
          <w:rFonts w:ascii="Times New Roman" w:hAnsi="Times New Roman"/>
          <w:bCs/>
          <w:i/>
          <w:sz w:val="24"/>
          <w:szCs w:val="20"/>
          <w:lang w:val="en-US"/>
        </w:rPr>
        <w:t>KZ_IND</w:t>
      </w:r>
      <w:r w:rsidR="00DD1D2D" w:rsidRPr="005B7CAC">
        <w:rPr>
          <w:rFonts w:ascii="Times New Roman" w:hAnsi="Times New Roman"/>
          <w:bCs/>
          <w:iCs/>
          <w:sz w:val="24"/>
          <w:szCs w:val="20"/>
          <w:lang w:val="en-US"/>
        </w:rPr>
        <w:t xml:space="preserve"> index is estimated as follows:</w:t>
      </w:r>
    </w:p>
    <w:p w14:paraId="63EE25E8" w14:textId="04394F75" w:rsidR="003A2E4E" w:rsidRPr="005B7CAC" w:rsidRDefault="001C7C76" w:rsidP="003D5418">
      <w:pPr>
        <w:widowControl w:val="0"/>
        <w:autoSpaceDE w:val="0"/>
        <w:autoSpaceDN w:val="0"/>
        <w:adjustRightInd w:val="0"/>
        <w:spacing w:after="0" w:line="360" w:lineRule="auto"/>
        <w:jc w:val="center"/>
        <w:rPr>
          <w:rFonts w:ascii="Times New Roman" w:hAnsi="Times New Roman"/>
          <w:bCs/>
          <w:i/>
          <w:sz w:val="24"/>
          <w:szCs w:val="20"/>
          <w:lang w:val="en-US"/>
        </w:rPr>
      </w:pPr>
      <w:r w:rsidRPr="005B7CAC">
        <w:rPr>
          <w:rFonts w:ascii="Times New Roman" w:hAnsi="Times New Roman"/>
          <w:bCs/>
          <w:i/>
          <w:sz w:val="24"/>
          <w:szCs w:val="20"/>
          <w:lang w:val="en-US"/>
        </w:rPr>
        <w:t>KZ_IND=</w:t>
      </w:r>
      <w:r w:rsidR="003A2E4E" w:rsidRPr="005B7CAC">
        <w:rPr>
          <w:rFonts w:ascii="Times New Roman" w:hAnsi="Times New Roman"/>
          <w:bCs/>
          <w:i/>
          <w:sz w:val="24"/>
          <w:szCs w:val="20"/>
          <w:lang w:val="en-US"/>
        </w:rPr>
        <w:t>-1.002*C</w:t>
      </w:r>
      <w:r w:rsidRPr="005B7CAC">
        <w:rPr>
          <w:rFonts w:ascii="Times New Roman" w:hAnsi="Times New Roman"/>
          <w:bCs/>
          <w:i/>
          <w:sz w:val="24"/>
          <w:szCs w:val="20"/>
          <w:lang w:val="en-US"/>
        </w:rPr>
        <w:t>F</w:t>
      </w:r>
      <w:r w:rsidR="003A2E4E" w:rsidRPr="005B7CAC">
        <w:rPr>
          <w:rFonts w:ascii="Times New Roman" w:hAnsi="Times New Roman"/>
          <w:bCs/>
          <w:i/>
          <w:sz w:val="24"/>
          <w:szCs w:val="20"/>
          <w:lang w:val="en-US"/>
        </w:rPr>
        <w:t>+0.283*M+3.139*</w:t>
      </w:r>
      <w:r w:rsidRPr="005B7CAC">
        <w:rPr>
          <w:rFonts w:ascii="Times New Roman" w:hAnsi="Times New Roman"/>
          <w:bCs/>
          <w:i/>
          <w:sz w:val="24"/>
          <w:szCs w:val="20"/>
          <w:lang w:val="en-US"/>
        </w:rPr>
        <w:t>T</w:t>
      </w:r>
      <w:r w:rsidR="003A2E4E" w:rsidRPr="005B7CAC">
        <w:rPr>
          <w:rFonts w:ascii="Times New Roman" w:hAnsi="Times New Roman"/>
          <w:bCs/>
          <w:i/>
          <w:sz w:val="24"/>
          <w:szCs w:val="20"/>
          <w:lang w:val="en-US"/>
        </w:rPr>
        <w:t>D-39.368*D</w:t>
      </w:r>
      <w:r w:rsidRPr="005B7CAC">
        <w:rPr>
          <w:rFonts w:ascii="Times New Roman" w:hAnsi="Times New Roman"/>
          <w:bCs/>
          <w:i/>
          <w:sz w:val="24"/>
          <w:szCs w:val="20"/>
          <w:lang w:val="en-US"/>
        </w:rPr>
        <w:t>IV</w:t>
      </w:r>
      <w:r w:rsidR="003A2E4E" w:rsidRPr="005B7CAC">
        <w:rPr>
          <w:rFonts w:ascii="Times New Roman" w:hAnsi="Times New Roman"/>
          <w:bCs/>
          <w:i/>
          <w:sz w:val="24"/>
          <w:szCs w:val="20"/>
          <w:lang w:val="en-US"/>
        </w:rPr>
        <w:t>-1.315*C</w:t>
      </w:r>
    </w:p>
    <w:p w14:paraId="7AD91F7F" w14:textId="78E0E974" w:rsidR="001C7C76" w:rsidRPr="005B7CAC" w:rsidRDefault="001C7C76" w:rsidP="003D5418">
      <w:pPr>
        <w:widowControl w:val="0"/>
        <w:autoSpaceDE w:val="0"/>
        <w:autoSpaceDN w:val="0"/>
        <w:adjustRightInd w:val="0"/>
        <w:spacing w:after="240" w:line="360" w:lineRule="auto"/>
        <w:jc w:val="right"/>
        <w:rPr>
          <w:rFonts w:ascii="Times New Roman" w:hAnsi="Times New Roman"/>
          <w:bCs/>
          <w:iCs/>
          <w:sz w:val="24"/>
          <w:szCs w:val="20"/>
          <w:lang w:val="en-US"/>
        </w:rPr>
      </w:pPr>
      <w:r w:rsidRPr="005B7CAC">
        <w:rPr>
          <w:rFonts w:ascii="Times New Roman" w:hAnsi="Times New Roman"/>
          <w:bCs/>
          <w:iCs/>
          <w:sz w:val="24"/>
          <w:szCs w:val="20"/>
          <w:lang w:val="en-US"/>
        </w:rPr>
        <w:t>(4)</w:t>
      </w:r>
    </w:p>
    <w:p w14:paraId="36D48C54" w14:textId="5A508218" w:rsidR="00A8064C" w:rsidRPr="005B7CAC" w:rsidRDefault="003A2E4E" w:rsidP="003D5418">
      <w:pPr>
        <w:widowControl w:val="0"/>
        <w:autoSpaceDE w:val="0"/>
        <w:autoSpaceDN w:val="0"/>
        <w:adjustRightInd w:val="0"/>
        <w:spacing w:after="240" w:line="360" w:lineRule="auto"/>
        <w:jc w:val="both"/>
        <w:rPr>
          <w:rFonts w:ascii="Times New Roman" w:hAnsi="Times New Roman"/>
          <w:iCs/>
          <w:sz w:val="24"/>
          <w:szCs w:val="24"/>
          <w:lang w:val="en-US"/>
        </w:rPr>
      </w:pPr>
      <w:r w:rsidRPr="005B7CAC">
        <w:rPr>
          <w:rFonts w:ascii="Times New Roman" w:hAnsi="Times New Roman"/>
          <w:iCs/>
          <w:sz w:val="24"/>
          <w:szCs w:val="24"/>
          <w:lang w:val="en-US"/>
        </w:rPr>
        <w:t xml:space="preserve">where, </w:t>
      </w:r>
      <w:r w:rsidRPr="005B7CAC">
        <w:rPr>
          <w:rFonts w:ascii="Times New Roman" w:hAnsi="Times New Roman"/>
          <w:i/>
          <w:sz w:val="24"/>
          <w:szCs w:val="24"/>
          <w:lang w:val="en-US"/>
        </w:rPr>
        <w:t>C</w:t>
      </w:r>
      <w:r w:rsidR="001C7C76" w:rsidRPr="005B7CAC">
        <w:rPr>
          <w:rFonts w:ascii="Times New Roman" w:hAnsi="Times New Roman"/>
          <w:i/>
          <w:sz w:val="24"/>
          <w:szCs w:val="24"/>
          <w:lang w:val="en-US"/>
        </w:rPr>
        <w:t>F</w:t>
      </w:r>
      <w:r w:rsidRPr="005B7CAC">
        <w:rPr>
          <w:rFonts w:ascii="Times New Roman" w:hAnsi="Times New Roman"/>
          <w:iCs/>
          <w:sz w:val="24"/>
          <w:szCs w:val="24"/>
          <w:lang w:val="en-US"/>
        </w:rPr>
        <w:t xml:space="preserve"> = cash flows from operating activities/total assets</w:t>
      </w:r>
      <w:r w:rsidR="001C7C76" w:rsidRPr="005B7CAC">
        <w:rPr>
          <w:rFonts w:ascii="Times New Roman" w:hAnsi="Times New Roman"/>
          <w:i/>
          <w:sz w:val="24"/>
          <w:szCs w:val="24"/>
          <w:vertAlign w:val="subscript"/>
          <w:lang w:val="en-US"/>
        </w:rPr>
        <w:t>t-1</w:t>
      </w:r>
      <w:r w:rsidR="001C7C76" w:rsidRPr="005B7CAC">
        <w:rPr>
          <w:rFonts w:ascii="Times New Roman" w:hAnsi="Times New Roman"/>
          <w:iCs/>
          <w:sz w:val="24"/>
          <w:szCs w:val="24"/>
          <w:lang w:val="en-US"/>
        </w:rPr>
        <w:t xml:space="preserve">, </w:t>
      </w:r>
      <w:r w:rsidR="001C7C76" w:rsidRPr="005B7CAC">
        <w:rPr>
          <w:rFonts w:ascii="Times New Roman" w:hAnsi="Times New Roman"/>
          <w:i/>
          <w:sz w:val="24"/>
          <w:szCs w:val="24"/>
          <w:lang w:val="en-US"/>
        </w:rPr>
        <w:t>M</w:t>
      </w:r>
      <w:r w:rsidR="001C7C76" w:rsidRPr="005B7CAC">
        <w:rPr>
          <w:rFonts w:ascii="Times New Roman" w:hAnsi="Times New Roman"/>
          <w:iCs/>
          <w:sz w:val="24"/>
          <w:szCs w:val="24"/>
          <w:lang w:val="en-US"/>
        </w:rPr>
        <w:t xml:space="preserve"> = market value/total assets</w:t>
      </w:r>
      <w:r w:rsidR="001C7C76" w:rsidRPr="005B7CAC">
        <w:rPr>
          <w:rFonts w:ascii="Times New Roman" w:hAnsi="Times New Roman"/>
          <w:i/>
          <w:sz w:val="24"/>
          <w:szCs w:val="24"/>
          <w:vertAlign w:val="subscript"/>
          <w:lang w:val="en-US"/>
        </w:rPr>
        <w:t>t-1</w:t>
      </w:r>
      <w:r w:rsidR="001C7C76" w:rsidRPr="005B7CAC">
        <w:rPr>
          <w:rFonts w:ascii="Times New Roman" w:hAnsi="Times New Roman"/>
          <w:iCs/>
          <w:sz w:val="24"/>
          <w:szCs w:val="24"/>
          <w:lang w:val="en-US"/>
        </w:rPr>
        <w:t xml:space="preserve">, </w:t>
      </w:r>
      <w:r w:rsidR="001C7C76" w:rsidRPr="005B7CAC">
        <w:rPr>
          <w:rFonts w:ascii="Times New Roman" w:hAnsi="Times New Roman"/>
          <w:i/>
          <w:sz w:val="24"/>
          <w:szCs w:val="24"/>
          <w:lang w:val="en-US"/>
        </w:rPr>
        <w:t>TD</w:t>
      </w:r>
      <w:r w:rsidRPr="005B7CAC">
        <w:rPr>
          <w:rFonts w:ascii="Times New Roman" w:hAnsi="Times New Roman"/>
          <w:iCs/>
          <w:sz w:val="24"/>
          <w:szCs w:val="24"/>
          <w:lang w:val="en-US"/>
        </w:rPr>
        <w:t xml:space="preserve"> = </w:t>
      </w:r>
      <w:r w:rsidR="001C7C76" w:rsidRPr="005B7CAC">
        <w:rPr>
          <w:rFonts w:ascii="Times New Roman" w:hAnsi="Times New Roman"/>
          <w:iCs/>
          <w:sz w:val="24"/>
          <w:szCs w:val="24"/>
          <w:lang w:val="en-US"/>
        </w:rPr>
        <w:t>total debt/total assets</w:t>
      </w:r>
      <w:r w:rsidR="001C7C76" w:rsidRPr="005B7CAC">
        <w:rPr>
          <w:rFonts w:ascii="Times New Roman" w:hAnsi="Times New Roman"/>
          <w:i/>
          <w:sz w:val="24"/>
          <w:szCs w:val="24"/>
          <w:vertAlign w:val="subscript"/>
          <w:lang w:val="en-US"/>
        </w:rPr>
        <w:t>t-1</w:t>
      </w:r>
      <w:r w:rsidR="001C7C76" w:rsidRPr="005B7CAC">
        <w:rPr>
          <w:rFonts w:ascii="Times New Roman" w:hAnsi="Times New Roman"/>
          <w:iCs/>
          <w:sz w:val="24"/>
          <w:szCs w:val="24"/>
          <w:lang w:val="en-US"/>
        </w:rPr>
        <w:t xml:space="preserve">, </w:t>
      </w:r>
      <w:r w:rsidR="001C7C76" w:rsidRPr="005B7CAC">
        <w:rPr>
          <w:rFonts w:ascii="Times New Roman" w:hAnsi="Times New Roman"/>
          <w:i/>
          <w:sz w:val="24"/>
          <w:szCs w:val="24"/>
          <w:lang w:val="en-US"/>
        </w:rPr>
        <w:t>DIV</w:t>
      </w:r>
      <w:r w:rsidR="001C7C76" w:rsidRPr="005B7CAC">
        <w:rPr>
          <w:rFonts w:ascii="Times New Roman" w:hAnsi="Times New Roman"/>
          <w:iCs/>
          <w:sz w:val="24"/>
          <w:szCs w:val="24"/>
          <w:lang w:val="en-US"/>
        </w:rPr>
        <w:t xml:space="preserve"> = dividends</w:t>
      </w:r>
      <w:r w:rsidRPr="005B7CAC">
        <w:rPr>
          <w:rFonts w:ascii="Times New Roman" w:hAnsi="Times New Roman"/>
          <w:iCs/>
          <w:sz w:val="24"/>
          <w:szCs w:val="24"/>
          <w:lang w:val="en-US"/>
        </w:rPr>
        <w:t>/</w:t>
      </w:r>
      <w:r w:rsidR="001C7C76" w:rsidRPr="005B7CAC">
        <w:rPr>
          <w:rFonts w:ascii="Times New Roman" w:hAnsi="Times New Roman"/>
          <w:iCs/>
          <w:sz w:val="24"/>
          <w:szCs w:val="24"/>
          <w:lang w:val="en-US"/>
        </w:rPr>
        <w:t>total assets</w:t>
      </w:r>
      <w:r w:rsidR="001C7C76" w:rsidRPr="005B7CAC">
        <w:rPr>
          <w:rFonts w:ascii="Times New Roman" w:hAnsi="Times New Roman"/>
          <w:i/>
          <w:sz w:val="24"/>
          <w:szCs w:val="24"/>
          <w:vertAlign w:val="subscript"/>
          <w:lang w:val="en-US"/>
        </w:rPr>
        <w:t>t-1</w:t>
      </w:r>
      <w:r w:rsidRPr="005B7CAC">
        <w:rPr>
          <w:rFonts w:ascii="Times New Roman" w:hAnsi="Times New Roman"/>
          <w:iCs/>
          <w:sz w:val="24"/>
          <w:szCs w:val="24"/>
          <w:lang w:val="en-US"/>
        </w:rPr>
        <w:t xml:space="preserve">, </w:t>
      </w:r>
      <w:r w:rsidR="001C7C76" w:rsidRPr="005B7CAC">
        <w:rPr>
          <w:rFonts w:ascii="Times New Roman" w:hAnsi="Times New Roman"/>
          <w:iCs/>
          <w:sz w:val="24"/>
          <w:szCs w:val="24"/>
          <w:lang w:val="en-US"/>
        </w:rPr>
        <w:t xml:space="preserve">and </w:t>
      </w:r>
      <w:r w:rsidR="001C7C76" w:rsidRPr="005B7CAC">
        <w:rPr>
          <w:rFonts w:ascii="Times New Roman" w:hAnsi="Times New Roman"/>
          <w:i/>
          <w:sz w:val="24"/>
          <w:szCs w:val="24"/>
          <w:lang w:val="en-US"/>
        </w:rPr>
        <w:t>C</w:t>
      </w:r>
      <w:r w:rsidRPr="005B7CAC">
        <w:rPr>
          <w:rFonts w:ascii="Times New Roman" w:hAnsi="Times New Roman"/>
          <w:iCs/>
          <w:sz w:val="24"/>
          <w:szCs w:val="24"/>
          <w:lang w:val="en-US"/>
        </w:rPr>
        <w:t xml:space="preserve"> = </w:t>
      </w:r>
      <w:r w:rsidR="001C7C76" w:rsidRPr="005B7CAC">
        <w:rPr>
          <w:rFonts w:ascii="Times New Roman" w:hAnsi="Times New Roman"/>
          <w:iCs/>
          <w:sz w:val="24"/>
          <w:szCs w:val="24"/>
          <w:lang w:val="en-US"/>
        </w:rPr>
        <w:t>Cash</w:t>
      </w:r>
      <w:r w:rsidRPr="005B7CAC">
        <w:rPr>
          <w:rFonts w:ascii="Times New Roman" w:hAnsi="Times New Roman"/>
          <w:iCs/>
          <w:sz w:val="24"/>
          <w:szCs w:val="24"/>
          <w:lang w:val="en-US"/>
        </w:rPr>
        <w:t>/</w:t>
      </w:r>
      <w:r w:rsidR="001C7C76" w:rsidRPr="005B7CAC">
        <w:rPr>
          <w:rFonts w:ascii="Times New Roman" w:hAnsi="Times New Roman"/>
          <w:iCs/>
          <w:sz w:val="24"/>
          <w:szCs w:val="24"/>
          <w:lang w:val="en-US"/>
        </w:rPr>
        <w:t>total assets</w:t>
      </w:r>
      <w:r w:rsidR="001C7C76" w:rsidRPr="005B7CAC">
        <w:rPr>
          <w:rFonts w:ascii="Times New Roman" w:hAnsi="Times New Roman"/>
          <w:i/>
          <w:sz w:val="24"/>
          <w:szCs w:val="24"/>
          <w:vertAlign w:val="subscript"/>
          <w:lang w:val="en-US"/>
        </w:rPr>
        <w:t>t-1</w:t>
      </w:r>
      <w:r w:rsidR="002132DF" w:rsidRPr="005B7CAC">
        <w:rPr>
          <w:rFonts w:ascii="Times New Roman" w:hAnsi="Times New Roman"/>
          <w:iCs/>
          <w:sz w:val="24"/>
          <w:szCs w:val="24"/>
          <w:lang w:val="en-US"/>
        </w:rPr>
        <w:t>.</w:t>
      </w:r>
      <w:r w:rsidR="00103418" w:rsidRPr="005B7CAC">
        <w:rPr>
          <w:rFonts w:ascii="Times New Roman" w:hAnsi="Times New Roman"/>
          <w:iCs/>
          <w:sz w:val="24"/>
          <w:szCs w:val="24"/>
          <w:lang w:val="en-US"/>
        </w:rPr>
        <w:t xml:space="preserve"> </w:t>
      </w:r>
      <w:r w:rsidR="002132DF" w:rsidRPr="005B7CAC">
        <w:rPr>
          <w:rFonts w:ascii="Times New Roman" w:hAnsi="Times New Roman"/>
          <w:iCs/>
          <w:sz w:val="24"/>
          <w:szCs w:val="24"/>
          <w:lang w:val="en-US"/>
        </w:rPr>
        <w:t xml:space="preserve">High </w:t>
      </w:r>
      <w:r w:rsidR="002132DF" w:rsidRPr="005B7CAC">
        <w:rPr>
          <w:rFonts w:ascii="Times New Roman" w:hAnsi="Times New Roman"/>
          <w:i/>
          <w:sz w:val="24"/>
          <w:szCs w:val="24"/>
          <w:lang w:val="en-US"/>
        </w:rPr>
        <w:t>KZ_IND</w:t>
      </w:r>
      <w:r w:rsidR="002132DF" w:rsidRPr="005B7CAC">
        <w:rPr>
          <w:rFonts w:ascii="Times New Roman" w:hAnsi="Times New Roman"/>
          <w:iCs/>
          <w:sz w:val="24"/>
          <w:szCs w:val="24"/>
          <w:lang w:val="en-US"/>
        </w:rPr>
        <w:t xml:space="preserve"> </w:t>
      </w:r>
      <w:r w:rsidR="002132DF" w:rsidRPr="005B7CAC">
        <w:rPr>
          <w:rFonts w:ascii="Times New Roman" w:hAnsi="Times New Roman"/>
          <w:iCs/>
          <w:sz w:val="24"/>
          <w:szCs w:val="24"/>
          <w:lang w:val="en-US"/>
        </w:rPr>
        <w:lastRenderedPageBreak/>
        <w:t xml:space="preserve">values indicate increased </w:t>
      </w:r>
      <w:r w:rsidR="002132DF" w:rsidRPr="005B7CAC">
        <w:rPr>
          <w:rFonts w:ascii="Times New Roman" w:hAnsi="Times New Roman"/>
          <w:i/>
          <w:sz w:val="24"/>
          <w:szCs w:val="24"/>
          <w:lang w:val="en-US"/>
        </w:rPr>
        <w:t>FD</w:t>
      </w:r>
      <w:r w:rsidR="002132DF" w:rsidRPr="005B7CAC">
        <w:rPr>
          <w:rFonts w:ascii="Times New Roman" w:hAnsi="Times New Roman"/>
          <w:iCs/>
          <w:sz w:val="24"/>
          <w:szCs w:val="24"/>
          <w:lang w:val="en-US"/>
        </w:rPr>
        <w:t xml:space="preserve"> levels</w:t>
      </w:r>
      <w:r w:rsidR="00103418" w:rsidRPr="005B7CAC">
        <w:rPr>
          <w:rFonts w:ascii="Times New Roman" w:hAnsi="Times New Roman"/>
          <w:iCs/>
          <w:sz w:val="24"/>
          <w:szCs w:val="24"/>
          <w:lang w:val="en-US"/>
        </w:rPr>
        <w:t>, and vice versa</w:t>
      </w:r>
      <w:r w:rsidR="002132DF" w:rsidRPr="005B7CAC">
        <w:rPr>
          <w:rFonts w:ascii="Times New Roman" w:hAnsi="Times New Roman"/>
          <w:iCs/>
          <w:sz w:val="24"/>
          <w:szCs w:val="24"/>
          <w:lang w:val="en-US"/>
        </w:rPr>
        <w:t>.</w:t>
      </w:r>
      <w:r w:rsidR="00103418" w:rsidRPr="005B7CAC">
        <w:rPr>
          <w:rStyle w:val="FootnoteReference"/>
          <w:rFonts w:ascii="Times New Roman" w:hAnsi="Times New Roman"/>
          <w:iCs/>
          <w:sz w:val="24"/>
          <w:szCs w:val="24"/>
          <w:lang w:val="en-US"/>
        </w:rPr>
        <w:footnoteReference w:id="6"/>
      </w:r>
      <w:r w:rsidR="002132DF" w:rsidRPr="005B7CAC">
        <w:rPr>
          <w:rFonts w:ascii="Times New Roman" w:hAnsi="Times New Roman"/>
          <w:iCs/>
          <w:sz w:val="24"/>
          <w:szCs w:val="24"/>
          <w:lang w:val="en-US"/>
        </w:rPr>
        <w:t xml:space="preserve"> </w:t>
      </w:r>
      <w:r w:rsidR="00103418" w:rsidRPr="005B7CAC">
        <w:rPr>
          <w:rFonts w:ascii="Times New Roman" w:hAnsi="Times New Roman"/>
          <w:iCs/>
          <w:sz w:val="24"/>
          <w:szCs w:val="24"/>
          <w:lang w:val="en-US"/>
        </w:rPr>
        <w:t>F</w:t>
      </w:r>
      <w:r w:rsidR="00103418" w:rsidRPr="005B7CAC">
        <w:rPr>
          <w:rFonts w:ascii="Times New Roman" w:hAnsi="Times New Roman"/>
          <w:bCs/>
          <w:iCs/>
          <w:sz w:val="24"/>
          <w:szCs w:val="20"/>
          <w:lang w:val="en-US"/>
        </w:rPr>
        <w:t xml:space="preserve">ollowing </w:t>
      </w:r>
      <w:r w:rsidR="00103418" w:rsidRPr="005B7CAC">
        <w:rPr>
          <w:rFonts w:ascii="Times New Roman" w:hAnsi="Times New Roman"/>
          <w:bCs/>
          <w:iCs/>
          <w:sz w:val="24"/>
          <w:szCs w:val="20"/>
          <w:lang w:val="en-US"/>
        </w:rPr>
        <w:fldChar w:fldCharType="begin" w:fldLock="1"/>
      </w:r>
      <w:r w:rsidR="0050174D" w:rsidRPr="005B7CAC">
        <w:rPr>
          <w:rFonts w:ascii="Times New Roman" w:hAnsi="Times New Roman"/>
          <w:bCs/>
          <w:iCs/>
          <w:sz w:val="24"/>
          <w:szCs w:val="20"/>
          <w:lang w:val="en-US"/>
        </w:rPr>
        <w:instrText>ADDIN CSL_CITATION {"citationItems":[{"id":"ITEM-1","itemData":{"DOI":"10.1016/J.BAR.2022.101097","ISSN":"0890-8389","author":[{"dropping-particle":"","family":"Gull","given":"Ammar Ali","non-dropping-particle":"","parse-names":false,"suffix":""},{"dropping-particle":"","family":"Atif","given":"Muhammad","non-dropping-particle":"","parse-names":false,"suffix":""},{"dropping-particle":"","family":"Hussain","given":"Nazim","non-dropping-particle":"","parse-names":false,"suffix":""}],"container-title":"The British Accounting Review","id":"ITEM-1","issue":"1","issued":{"date-parts":[["2022","4","19"]]},"page":"101097","title":"Board gender composition and waste management: Cross-country evidence","type":"article-journal","volume":"55"},"uris":["http://www.mendeley.com/documents/?uuid=998cc938-d7d9-3a14-90d5-d3f26977d6e8"]}],"mendeley":{"formattedCitation":"(Gull, Atif and Hussain, 2022)","manualFormatting":"Gull et al. (2022b)","plainTextFormattedCitation":"(Gull, Atif and Hussain, 2022)","previouslyFormattedCitation":"(Gull, Atif and Hussain, 2022)"},"properties":{"noteIndex":0},"schema":"https://github.com/citation-style-language/schema/raw/master/csl-citation.json"}</w:instrText>
      </w:r>
      <w:r w:rsidR="00103418" w:rsidRPr="005B7CAC">
        <w:rPr>
          <w:rFonts w:ascii="Times New Roman" w:hAnsi="Times New Roman"/>
          <w:bCs/>
          <w:iCs/>
          <w:sz w:val="24"/>
          <w:szCs w:val="20"/>
          <w:lang w:val="en-US"/>
        </w:rPr>
        <w:fldChar w:fldCharType="separate"/>
      </w:r>
      <w:r w:rsidR="00103418" w:rsidRPr="005B7CAC">
        <w:rPr>
          <w:rFonts w:ascii="Times New Roman" w:hAnsi="Times New Roman"/>
          <w:bCs/>
          <w:iCs/>
          <w:noProof/>
          <w:sz w:val="24"/>
          <w:szCs w:val="20"/>
          <w:lang w:val="en-US"/>
        </w:rPr>
        <w:t xml:space="preserve">Gull </w:t>
      </w:r>
      <w:r w:rsidR="00103418" w:rsidRPr="005B7CAC">
        <w:rPr>
          <w:rFonts w:ascii="Times New Roman" w:hAnsi="Times New Roman"/>
          <w:bCs/>
          <w:i/>
          <w:iCs/>
          <w:noProof/>
          <w:sz w:val="24"/>
          <w:szCs w:val="20"/>
          <w:lang w:val="en-US"/>
        </w:rPr>
        <w:t>et al.</w:t>
      </w:r>
      <w:r w:rsidR="00BC71FE" w:rsidRPr="005B7CAC">
        <w:rPr>
          <w:rFonts w:ascii="Times New Roman" w:hAnsi="Times New Roman"/>
          <w:bCs/>
          <w:iCs/>
          <w:noProof/>
          <w:sz w:val="24"/>
          <w:szCs w:val="20"/>
          <w:lang w:val="en-US"/>
        </w:rPr>
        <w:t xml:space="preserve"> (</w:t>
      </w:r>
      <w:r w:rsidR="00103418" w:rsidRPr="005B7CAC">
        <w:rPr>
          <w:rFonts w:ascii="Times New Roman" w:hAnsi="Times New Roman"/>
          <w:bCs/>
          <w:iCs/>
          <w:noProof/>
          <w:sz w:val="24"/>
          <w:szCs w:val="20"/>
          <w:lang w:val="en-US"/>
        </w:rPr>
        <w:t>2022</w:t>
      </w:r>
      <w:r w:rsidR="00A46CE2" w:rsidRPr="005B7CAC">
        <w:rPr>
          <w:rFonts w:ascii="Times New Roman" w:hAnsi="Times New Roman"/>
          <w:bCs/>
          <w:iCs/>
          <w:noProof/>
          <w:sz w:val="24"/>
          <w:szCs w:val="20"/>
          <w:lang w:val="en-US"/>
        </w:rPr>
        <w:t>b</w:t>
      </w:r>
      <w:r w:rsidR="00103418" w:rsidRPr="005B7CAC">
        <w:rPr>
          <w:rFonts w:ascii="Times New Roman" w:hAnsi="Times New Roman"/>
          <w:bCs/>
          <w:iCs/>
          <w:noProof/>
          <w:sz w:val="24"/>
          <w:szCs w:val="20"/>
          <w:lang w:val="en-US"/>
        </w:rPr>
        <w:t>)</w:t>
      </w:r>
      <w:r w:rsidR="00103418" w:rsidRPr="005B7CAC">
        <w:rPr>
          <w:rFonts w:ascii="Times New Roman" w:hAnsi="Times New Roman"/>
          <w:bCs/>
          <w:iCs/>
          <w:sz w:val="24"/>
          <w:szCs w:val="20"/>
          <w:lang w:val="en-US"/>
        </w:rPr>
        <w:fldChar w:fldCharType="end"/>
      </w:r>
      <w:r w:rsidR="00103418" w:rsidRPr="005B7CAC">
        <w:rPr>
          <w:rFonts w:ascii="Times New Roman" w:hAnsi="Times New Roman"/>
          <w:bCs/>
          <w:iCs/>
          <w:sz w:val="24"/>
          <w:szCs w:val="20"/>
          <w:lang w:val="en-US"/>
        </w:rPr>
        <w:t xml:space="preserve">, we then measure waste generation as the ratio of the total amount of waste to total sales </w:t>
      </w:r>
      <w:r w:rsidR="00103418" w:rsidRPr="005B7CAC">
        <w:rPr>
          <w:rFonts w:ascii="Times New Roman" w:hAnsi="Times New Roman"/>
          <w:bCs/>
          <w:i/>
          <w:sz w:val="24"/>
          <w:szCs w:val="20"/>
          <w:lang w:val="en-US"/>
        </w:rPr>
        <w:t>(WSAL)</w:t>
      </w:r>
      <w:r w:rsidR="00103418" w:rsidRPr="005B7CAC">
        <w:rPr>
          <w:rFonts w:ascii="Times New Roman" w:hAnsi="Times New Roman"/>
          <w:bCs/>
          <w:iCs/>
          <w:sz w:val="24"/>
          <w:szCs w:val="20"/>
          <w:lang w:val="en-US"/>
        </w:rPr>
        <w:t xml:space="preserve">. </w:t>
      </w:r>
      <w:r w:rsidR="00AE65E3" w:rsidRPr="005B7CAC">
        <w:rPr>
          <w:rFonts w:ascii="Times New Roman" w:hAnsi="Times New Roman"/>
          <w:iCs/>
          <w:sz w:val="24"/>
          <w:szCs w:val="24"/>
          <w:lang w:val="en-US"/>
        </w:rPr>
        <w:t xml:space="preserve">Table </w:t>
      </w:r>
      <w:r w:rsidR="00B6619E" w:rsidRPr="005B7CAC">
        <w:rPr>
          <w:rFonts w:ascii="Times New Roman" w:hAnsi="Times New Roman"/>
          <w:iCs/>
          <w:sz w:val="24"/>
          <w:szCs w:val="24"/>
          <w:lang w:val="en-US"/>
        </w:rPr>
        <w:t>7</w:t>
      </w:r>
      <w:r w:rsidR="00AE65E3" w:rsidRPr="005B7CAC">
        <w:rPr>
          <w:rFonts w:ascii="Times New Roman" w:hAnsi="Times New Roman"/>
          <w:iCs/>
          <w:sz w:val="24"/>
          <w:szCs w:val="24"/>
          <w:lang w:val="en-US"/>
        </w:rPr>
        <w:t xml:space="preserve"> present</w:t>
      </w:r>
      <w:r w:rsidR="00930B17" w:rsidRPr="005B7CAC">
        <w:rPr>
          <w:rFonts w:ascii="Times New Roman" w:hAnsi="Times New Roman"/>
          <w:iCs/>
          <w:sz w:val="24"/>
          <w:szCs w:val="24"/>
          <w:lang w:val="en-US"/>
        </w:rPr>
        <w:t>s</w:t>
      </w:r>
      <w:r w:rsidR="00AE65E3" w:rsidRPr="005B7CAC">
        <w:rPr>
          <w:rFonts w:ascii="Times New Roman" w:hAnsi="Times New Roman"/>
          <w:iCs/>
          <w:sz w:val="24"/>
          <w:szCs w:val="24"/>
          <w:lang w:val="en-US"/>
        </w:rPr>
        <w:t xml:space="preserve"> the regression results using</w:t>
      </w:r>
      <w:r w:rsidR="001142FB" w:rsidRPr="005B7CAC">
        <w:rPr>
          <w:rFonts w:ascii="Times New Roman" w:hAnsi="Times New Roman"/>
          <w:iCs/>
          <w:sz w:val="24"/>
          <w:szCs w:val="24"/>
          <w:lang w:val="en-US"/>
        </w:rPr>
        <w:t xml:space="preserve"> the</w:t>
      </w:r>
      <w:r w:rsidR="00AE65E3" w:rsidRPr="005B7CAC">
        <w:rPr>
          <w:rFonts w:ascii="Times New Roman" w:hAnsi="Times New Roman"/>
          <w:iCs/>
          <w:sz w:val="24"/>
          <w:szCs w:val="24"/>
          <w:lang w:val="en-US"/>
        </w:rPr>
        <w:t xml:space="preserve"> </w:t>
      </w:r>
      <w:r w:rsidR="00103418" w:rsidRPr="005B7CAC">
        <w:rPr>
          <w:rFonts w:ascii="Times New Roman" w:hAnsi="Times New Roman"/>
          <w:i/>
          <w:sz w:val="24"/>
          <w:szCs w:val="24"/>
          <w:lang w:val="en-US"/>
        </w:rPr>
        <w:t xml:space="preserve">KZ_IND </w:t>
      </w:r>
      <w:r w:rsidR="00103418" w:rsidRPr="005B7CAC">
        <w:rPr>
          <w:rFonts w:ascii="Times New Roman" w:hAnsi="Times New Roman"/>
          <w:iCs/>
          <w:sz w:val="24"/>
          <w:szCs w:val="24"/>
          <w:lang w:val="en-US"/>
        </w:rPr>
        <w:t xml:space="preserve">(Panel A) and </w:t>
      </w:r>
      <w:r w:rsidR="00AE65E3" w:rsidRPr="005B7CAC">
        <w:rPr>
          <w:rFonts w:ascii="Times New Roman" w:hAnsi="Times New Roman"/>
          <w:i/>
          <w:sz w:val="24"/>
          <w:szCs w:val="24"/>
          <w:lang w:val="en-US"/>
        </w:rPr>
        <w:t>WSAL</w:t>
      </w:r>
      <w:r w:rsidR="00930B17" w:rsidRPr="005B7CAC">
        <w:rPr>
          <w:rFonts w:ascii="Times New Roman" w:hAnsi="Times New Roman"/>
          <w:i/>
          <w:sz w:val="24"/>
          <w:szCs w:val="24"/>
          <w:lang w:val="en-US"/>
        </w:rPr>
        <w:t xml:space="preserve"> </w:t>
      </w:r>
      <w:r w:rsidR="00930B17" w:rsidRPr="005B7CAC">
        <w:rPr>
          <w:rFonts w:ascii="Times New Roman" w:hAnsi="Times New Roman"/>
          <w:iCs/>
          <w:sz w:val="24"/>
          <w:szCs w:val="24"/>
          <w:lang w:val="en-US"/>
        </w:rPr>
        <w:t xml:space="preserve">(Panel </w:t>
      </w:r>
      <w:r w:rsidR="00103418" w:rsidRPr="005B7CAC">
        <w:rPr>
          <w:rFonts w:ascii="Times New Roman" w:hAnsi="Times New Roman"/>
          <w:iCs/>
          <w:sz w:val="24"/>
          <w:szCs w:val="24"/>
          <w:lang w:val="en-US"/>
        </w:rPr>
        <w:t>B</w:t>
      </w:r>
      <w:r w:rsidR="00930B17" w:rsidRPr="005B7CAC">
        <w:rPr>
          <w:rFonts w:ascii="Times New Roman" w:hAnsi="Times New Roman"/>
          <w:iCs/>
          <w:sz w:val="24"/>
          <w:szCs w:val="24"/>
          <w:lang w:val="en-US"/>
        </w:rPr>
        <w:t xml:space="preserve">) </w:t>
      </w:r>
      <w:r w:rsidR="00103418" w:rsidRPr="005B7CAC">
        <w:rPr>
          <w:rFonts w:ascii="Times New Roman" w:hAnsi="Times New Roman"/>
          <w:iCs/>
          <w:sz w:val="24"/>
          <w:szCs w:val="24"/>
          <w:lang w:val="en-US"/>
        </w:rPr>
        <w:t>v</w:t>
      </w:r>
      <w:r w:rsidR="00930B17" w:rsidRPr="005B7CAC">
        <w:rPr>
          <w:rFonts w:ascii="Times New Roman" w:hAnsi="Times New Roman"/>
          <w:iCs/>
          <w:sz w:val="24"/>
          <w:szCs w:val="24"/>
          <w:lang w:val="en-US"/>
        </w:rPr>
        <w:t>ariables</w:t>
      </w:r>
      <w:r w:rsidR="00AE65E3" w:rsidRPr="005B7CAC">
        <w:rPr>
          <w:rFonts w:ascii="Times New Roman" w:hAnsi="Times New Roman"/>
          <w:iCs/>
          <w:sz w:val="24"/>
          <w:szCs w:val="24"/>
          <w:lang w:val="en-US"/>
        </w:rPr>
        <w:t>.</w:t>
      </w:r>
      <w:r w:rsidR="00930B17" w:rsidRPr="005B7CAC">
        <w:rPr>
          <w:rFonts w:ascii="Times New Roman" w:hAnsi="Times New Roman"/>
          <w:iCs/>
          <w:sz w:val="24"/>
          <w:szCs w:val="24"/>
          <w:lang w:val="en-US"/>
        </w:rPr>
        <w:t xml:space="preserve"> The results are qualitatively similar to those reported in Table </w:t>
      </w:r>
      <w:r w:rsidR="00637677" w:rsidRPr="005B7CAC">
        <w:rPr>
          <w:rFonts w:ascii="Times New Roman" w:hAnsi="Times New Roman"/>
          <w:iCs/>
          <w:sz w:val="24"/>
          <w:szCs w:val="24"/>
          <w:lang w:val="en-US"/>
        </w:rPr>
        <w:t>4</w:t>
      </w:r>
      <w:r w:rsidR="00930B17" w:rsidRPr="005B7CAC">
        <w:rPr>
          <w:rFonts w:ascii="Times New Roman" w:hAnsi="Times New Roman"/>
          <w:iCs/>
          <w:sz w:val="24"/>
          <w:szCs w:val="24"/>
          <w:lang w:val="en-US"/>
        </w:rPr>
        <w:t>, verifying the robustness of the original findings.</w:t>
      </w:r>
      <w:r w:rsidR="00DB0A16" w:rsidRPr="005B7CAC">
        <w:rPr>
          <w:rFonts w:ascii="Times New Roman" w:hAnsi="Times New Roman"/>
          <w:iCs/>
          <w:sz w:val="24"/>
          <w:szCs w:val="24"/>
          <w:lang w:val="en-US"/>
        </w:rPr>
        <w:t xml:space="preserve"> We also estimate the industry-adjusted </w:t>
      </w:r>
      <w:r w:rsidR="00DB0A16" w:rsidRPr="005B7CAC">
        <w:rPr>
          <w:rFonts w:ascii="Times New Roman" w:hAnsi="Times New Roman"/>
          <w:i/>
          <w:sz w:val="24"/>
          <w:szCs w:val="24"/>
          <w:lang w:val="en-US"/>
        </w:rPr>
        <w:t>GINVs</w:t>
      </w:r>
      <w:r w:rsidR="00DB0A16" w:rsidRPr="005B7CAC">
        <w:rPr>
          <w:rFonts w:ascii="Times New Roman" w:hAnsi="Times New Roman"/>
          <w:iCs/>
          <w:sz w:val="24"/>
          <w:szCs w:val="24"/>
          <w:lang w:val="en-US"/>
        </w:rPr>
        <w:t xml:space="preserve"> score as an alternative measure</w:t>
      </w:r>
      <w:r w:rsidR="002A75C5">
        <w:rPr>
          <w:rFonts w:ascii="Times New Roman" w:hAnsi="Times New Roman"/>
          <w:iCs/>
          <w:sz w:val="24"/>
          <w:szCs w:val="24"/>
          <w:lang w:val="en-US"/>
        </w:rPr>
        <w:t>,</w:t>
      </w:r>
      <w:r w:rsidR="006404DF" w:rsidRPr="005B7CAC">
        <w:rPr>
          <w:rFonts w:ascii="Times New Roman" w:hAnsi="Times New Roman"/>
          <w:iCs/>
          <w:sz w:val="24"/>
          <w:szCs w:val="24"/>
          <w:lang w:val="en-US"/>
        </w:rPr>
        <w:t xml:space="preserve"> and t</w:t>
      </w:r>
      <w:r w:rsidR="005B1463" w:rsidRPr="005B7CAC">
        <w:rPr>
          <w:rFonts w:ascii="Times New Roman" w:hAnsi="Times New Roman"/>
          <w:iCs/>
          <w:sz w:val="24"/>
          <w:szCs w:val="24"/>
          <w:lang w:val="en-US"/>
        </w:rPr>
        <w:t>he un-tabulated results support the</w:t>
      </w:r>
      <w:r w:rsidR="00595F31" w:rsidRPr="005B7CAC">
        <w:rPr>
          <w:rFonts w:ascii="Times New Roman" w:hAnsi="Times New Roman"/>
          <w:iCs/>
          <w:sz w:val="24"/>
          <w:szCs w:val="24"/>
          <w:lang w:val="en-US"/>
        </w:rPr>
        <w:t xml:space="preserve"> original findings.</w:t>
      </w:r>
    </w:p>
    <w:p w14:paraId="77668546" w14:textId="77777777" w:rsidR="009C3118" w:rsidRPr="005B7CAC" w:rsidRDefault="00930B17" w:rsidP="003D5418">
      <w:pPr>
        <w:widowControl w:val="0"/>
        <w:autoSpaceDE w:val="0"/>
        <w:autoSpaceDN w:val="0"/>
        <w:adjustRightInd w:val="0"/>
        <w:spacing w:after="240" w:line="360" w:lineRule="auto"/>
        <w:jc w:val="both"/>
        <w:rPr>
          <w:rFonts w:ascii="Times New Roman" w:hAnsi="Times New Roman"/>
          <w:bCs/>
          <w:iCs/>
          <w:sz w:val="24"/>
          <w:szCs w:val="24"/>
          <w:lang w:val="en-US"/>
        </w:rPr>
      </w:pPr>
      <w:r w:rsidRPr="005B7CAC">
        <w:rPr>
          <w:rFonts w:ascii="Times New Roman" w:hAnsi="Times New Roman"/>
          <w:iCs/>
          <w:sz w:val="24"/>
          <w:szCs w:val="24"/>
          <w:lang w:val="en-US"/>
        </w:rPr>
        <w:t xml:space="preserve">Second, </w:t>
      </w:r>
      <w:r w:rsidR="007D5BAA" w:rsidRPr="005B7CAC">
        <w:rPr>
          <w:rFonts w:ascii="Times New Roman" w:hAnsi="Times New Roman"/>
          <w:iCs/>
          <w:sz w:val="24"/>
          <w:szCs w:val="24"/>
          <w:lang w:val="en-US"/>
        </w:rPr>
        <w:t xml:space="preserve">we apply </w:t>
      </w:r>
      <w:r w:rsidRPr="005B7CAC">
        <w:rPr>
          <w:rFonts w:ascii="Times New Roman" w:hAnsi="Times New Roman"/>
          <w:iCs/>
          <w:sz w:val="24"/>
          <w:szCs w:val="24"/>
          <w:lang w:val="en-US"/>
        </w:rPr>
        <w:t>a two-stage least squares (</w:t>
      </w:r>
      <w:r w:rsidRPr="005B7CAC">
        <w:rPr>
          <w:rFonts w:ascii="Times New Roman" w:hAnsi="Times New Roman"/>
          <w:i/>
          <w:sz w:val="24"/>
          <w:szCs w:val="24"/>
          <w:lang w:val="en-US"/>
        </w:rPr>
        <w:t>2SLS</w:t>
      </w:r>
      <w:r w:rsidRPr="005B7CAC">
        <w:rPr>
          <w:rFonts w:ascii="Times New Roman" w:hAnsi="Times New Roman"/>
          <w:iCs/>
          <w:sz w:val="24"/>
          <w:szCs w:val="24"/>
          <w:lang w:val="en-US"/>
        </w:rPr>
        <w:t xml:space="preserve">) </w:t>
      </w:r>
      <w:r w:rsidR="007D5BAA" w:rsidRPr="005B7CAC">
        <w:rPr>
          <w:rFonts w:ascii="Times New Roman" w:hAnsi="Times New Roman"/>
          <w:iCs/>
          <w:sz w:val="24"/>
          <w:szCs w:val="24"/>
          <w:lang w:val="en-US"/>
        </w:rPr>
        <w:t>analysis</w:t>
      </w:r>
      <w:r w:rsidRPr="005B7CAC">
        <w:rPr>
          <w:rFonts w:ascii="Times New Roman" w:hAnsi="Times New Roman"/>
          <w:iCs/>
          <w:sz w:val="24"/>
          <w:szCs w:val="24"/>
          <w:lang w:val="en-US"/>
        </w:rPr>
        <w:t xml:space="preserve"> to</w:t>
      </w:r>
      <w:r w:rsidR="00D26B3F" w:rsidRPr="005B7CAC">
        <w:rPr>
          <w:rFonts w:ascii="Times New Roman" w:hAnsi="Times New Roman"/>
          <w:iCs/>
          <w:sz w:val="24"/>
          <w:szCs w:val="24"/>
          <w:lang w:val="en-US"/>
        </w:rPr>
        <w:t xml:space="preserve"> address endogeneity relat</w:t>
      </w:r>
      <w:r w:rsidR="00832141" w:rsidRPr="005B7CAC">
        <w:rPr>
          <w:rFonts w:ascii="Times New Roman" w:hAnsi="Times New Roman"/>
          <w:iCs/>
          <w:sz w:val="24"/>
          <w:szCs w:val="24"/>
          <w:lang w:val="en-US"/>
        </w:rPr>
        <w:t xml:space="preserve">ed </w:t>
      </w:r>
      <w:r w:rsidR="00D26B3F" w:rsidRPr="005B7CAC">
        <w:rPr>
          <w:rFonts w:ascii="Times New Roman" w:hAnsi="Times New Roman"/>
          <w:iCs/>
          <w:sz w:val="24"/>
          <w:szCs w:val="24"/>
          <w:lang w:val="en-US"/>
        </w:rPr>
        <w:t>to omitted variable bias</w:t>
      </w:r>
      <w:r w:rsidRPr="005B7CAC">
        <w:rPr>
          <w:rFonts w:ascii="Times New Roman" w:hAnsi="Times New Roman"/>
          <w:iCs/>
          <w:sz w:val="24"/>
          <w:szCs w:val="24"/>
          <w:lang w:val="en-US"/>
        </w:rPr>
        <w:t xml:space="preserve">. </w:t>
      </w:r>
      <w:r w:rsidR="00B37BA9" w:rsidRPr="005B7CAC">
        <w:rPr>
          <w:rFonts w:ascii="Times New Roman" w:hAnsi="Times New Roman"/>
          <w:iCs/>
          <w:sz w:val="24"/>
          <w:szCs w:val="24"/>
          <w:lang w:val="en-US"/>
        </w:rPr>
        <w:t xml:space="preserve">Following past research </w:t>
      </w:r>
      <w:r w:rsidR="00482F98" w:rsidRPr="005B7CAC">
        <w:rPr>
          <w:rFonts w:ascii="Times New Roman" w:hAnsi="Times New Roman"/>
          <w:iCs/>
          <w:sz w:val="24"/>
          <w:szCs w:val="24"/>
          <w:lang w:val="en-US"/>
        </w:rPr>
        <w:fldChar w:fldCharType="begin" w:fldLock="1"/>
      </w:r>
      <w:r w:rsidR="002347D5" w:rsidRPr="005B7CAC">
        <w:rPr>
          <w:rFonts w:ascii="Times New Roman" w:hAnsi="Times New Roman"/>
          <w:iCs/>
          <w:sz w:val="24"/>
          <w:szCs w:val="24"/>
          <w:lang w:val="en-US"/>
        </w:rPr>
        <w:instrText>ADDIN CSL_CITATION {"citationItems":[{"id":"ITEM-1","itemData":{"DOI":"10.1111/1467-8551.12517","ISSN":"14678551","abstract":"We explore how a code, soft quota and a proposal for supranational law for board gender diversity affects women directors’ human capital characteristics and corporate outcomes with an unbalanced panel of 116 non-financial firms and 1,321 firm-year observations from 2003 to 2016 in Spain. Consistent with resource dependence theory, after a non-punitive law is passed, boards seek to appoint more female directors who possess human capital attributes that will reduce uncertainty and bring necessary resources to firms. Compared with their pre-law counterparts, the new female directors tend to have more human capital in terms of executive experience in non-listed firms, and some non-executive backgrounds, education and international experience; however, these new women directors generally possess less human capital than their male counterparts. Upper echelons theory suggests that board directors can meaningfully impact corporate outcomes. Overall, our results contradict upper echelons predictions about the impact of a regulation-driven increase of women directors on corporate outcomes. Indeed, we find a lack of impact of the increase in women's presence on boards on corporate outcomes. Regarding policy, our findings substantially differ from those reported for countries with ‘hard law’ board gender quotas.","author":[{"dropping-particle":"","family":"Martínez-García","given":"Irma","non-dropping-particle":"","parse-names":false,"suffix":""},{"dropping-particle":"","family":"Terjesen","given":"Siri","non-dropping-particle":"","parse-names":false,"suffix":""},{"dropping-particle":"","family":"Gómez-Ansón","given":"Silvia","non-dropping-particle":"","parse-names":false,"suffix":""}],"container-title":"British Journal of Management","id":"ITEM-1","issue":"2","issued":{"date-parts":[["2022"]]},"page":"753-783","title":"Board Gender Diversity Codes, Quotas and Threats of Supranational Legislation: Impact on Director Characteristics and Corporate Outcomes","type":"article-journal","volume":"33"},"uris":["http://www.mendeley.com/documents/?uuid=0a71edd8-5f70-3c24-90a8-2bb6becf2a22"]},{"id":"ITEM-2","itemData":{"DOI":"10.1111/1467-8551.12715","author":[{"dropping-particle":"","family":"Orazalin","given":"Nurlan","non-dropping-particle":"","parse-names":false,"suffix":""},{"dropping-particle":"","family":"Ntim","given":"Collins","non-dropping-particle":"","parse-names":false,"suffix":""},{"dropping-particle":"","family":"Malagila","given":"John","non-dropping-particle":"","parse-names":false,"suffix":""}],"container-title":"British Journal of Management","id":"ITEM-2","issue":"1","issued":{"date-parts":[["2024"]]},"page":"295-320","title":"Board sustainability committees, climate change initiatives, carbon performance, and market value","type":"article-journal","volume":"35"},"uris":["http://www.mendeley.com/documents/?uuid=a619d5c5-bf37-445d-9069-2df2648f2b82"]}],"mendeley":{"formattedCitation":"(Martínez-García &lt;i&gt;et al.&lt;/i&gt;, 2022; Orazalin &lt;i&gt;et al.&lt;/i&gt;, 2024)","plainTextFormattedCitation":"(Martínez-García et al., 2022; Orazalin et al., 2024)","previouslyFormattedCitation":"(Martínez-García &lt;i&gt;et al.&lt;/i&gt;, 2022; Orazalin &lt;i&gt;et al.&lt;/i&gt;, 2024)"},"properties":{"noteIndex":0},"schema":"https://github.com/citation-style-language/schema/raw/master/csl-citation.json"}</w:instrText>
      </w:r>
      <w:r w:rsidR="00482F98" w:rsidRPr="005B7CAC">
        <w:rPr>
          <w:rFonts w:ascii="Times New Roman" w:hAnsi="Times New Roman"/>
          <w:iCs/>
          <w:sz w:val="24"/>
          <w:szCs w:val="24"/>
          <w:lang w:val="en-US"/>
        </w:rPr>
        <w:fldChar w:fldCharType="separate"/>
      </w:r>
      <w:r w:rsidR="00BB4571" w:rsidRPr="005B7CAC">
        <w:rPr>
          <w:rFonts w:ascii="Times New Roman" w:hAnsi="Times New Roman"/>
          <w:iCs/>
          <w:noProof/>
          <w:sz w:val="24"/>
          <w:szCs w:val="24"/>
          <w:lang w:val="en-US"/>
        </w:rPr>
        <w:t xml:space="preserve">(Martínez-García </w:t>
      </w:r>
      <w:r w:rsidR="00BB4571" w:rsidRPr="005B7CAC">
        <w:rPr>
          <w:rFonts w:ascii="Times New Roman" w:hAnsi="Times New Roman"/>
          <w:i/>
          <w:iCs/>
          <w:noProof/>
          <w:sz w:val="24"/>
          <w:szCs w:val="24"/>
          <w:lang w:val="en-US"/>
        </w:rPr>
        <w:t>et al.</w:t>
      </w:r>
      <w:r w:rsidR="00BB4571" w:rsidRPr="005B7CAC">
        <w:rPr>
          <w:rFonts w:ascii="Times New Roman" w:hAnsi="Times New Roman"/>
          <w:iCs/>
          <w:noProof/>
          <w:sz w:val="24"/>
          <w:szCs w:val="24"/>
          <w:lang w:val="en-US"/>
        </w:rPr>
        <w:t xml:space="preserve">, 2022; Orazalin </w:t>
      </w:r>
      <w:r w:rsidR="00BB4571" w:rsidRPr="005B7CAC">
        <w:rPr>
          <w:rFonts w:ascii="Times New Roman" w:hAnsi="Times New Roman"/>
          <w:i/>
          <w:iCs/>
          <w:noProof/>
          <w:sz w:val="24"/>
          <w:szCs w:val="24"/>
          <w:lang w:val="en-US"/>
        </w:rPr>
        <w:t>et al.</w:t>
      </w:r>
      <w:r w:rsidR="00BB4571" w:rsidRPr="005B7CAC">
        <w:rPr>
          <w:rFonts w:ascii="Times New Roman" w:hAnsi="Times New Roman"/>
          <w:iCs/>
          <w:noProof/>
          <w:sz w:val="24"/>
          <w:szCs w:val="24"/>
          <w:lang w:val="en-US"/>
        </w:rPr>
        <w:t>, 2024)</w:t>
      </w:r>
      <w:r w:rsidR="00482F98" w:rsidRPr="005B7CAC">
        <w:rPr>
          <w:rFonts w:ascii="Times New Roman" w:hAnsi="Times New Roman"/>
          <w:iCs/>
          <w:sz w:val="24"/>
          <w:szCs w:val="24"/>
          <w:lang w:val="en-US"/>
        </w:rPr>
        <w:fldChar w:fldCharType="end"/>
      </w:r>
      <w:r w:rsidR="00B37BA9" w:rsidRPr="005B7CAC">
        <w:rPr>
          <w:rFonts w:ascii="Times New Roman" w:hAnsi="Times New Roman"/>
          <w:iCs/>
          <w:sz w:val="24"/>
          <w:szCs w:val="24"/>
          <w:lang w:val="en-US"/>
        </w:rPr>
        <w:t xml:space="preserve">, </w:t>
      </w:r>
      <w:r w:rsidR="002132DF" w:rsidRPr="005B7CAC">
        <w:rPr>
          <w:rFonts w:ascii="Times New Roman" w:hAnsi="Times New Roman"/>
          <w:iCs/>
          <w:sz w:val="24"/>
          <w:szCs w:val="24"/>
          <w:lang w:val="en-US"/>
        </w:rPr>
        <w:t xml:space="preserve">we adopt </w:t>
      </w:r>
      <w:r w:rsidR="00263366" w:rsidRPr="005B7CAC">
        <w:rPr>
          <w:rFonts w:ascii="Times New Roman" w:hAnsi="Times New Roman"/>
          <w:iCs/>
          <w:sz w:val="24"/>
          <w:szCs w:val="24"/>
          <w:lang w:val="en-US"/>
        </w:rPr>
        <w:t xml:space="preserve">the </w:t>
      </w:r>
      <w:r w:rsidR="00AD2D6F" w:rsidRPr="005B7CAC">
        <w:rPr>
          <w:rFonts w:ascii="Times New Roman" w:hAnsi="Times New Roman"/>
          <w:iCs/>
          <w:sz w:val="24"/>
          <w:szCs w:val="24"/>
          <w:lang w:val="en-US"/>
        </w:rPr>
        <w:t xml:space="preserve">industry mean </w:t>
      </w:r>
      <w:r w:rsidR="007D5BAA" w:rsidRPr="005B7CAC">
        <w:rPr>
          <w:rFonts w:ascii="Times New Roman" w:hAnsi="Times New Roman"/>
          <w:iCs/>
          <w:sz w:val="24"/>
          <w:szCs w:val="24"/>
          <w:lang w:val="en-US"/>
        </w:rPr>
        <w:t>(</w:t>
      </w:r>
      <w:r w:rsidR="007D5BAA" w:rsidRPr="005B7CAC">
        <w:rPr>
          <w:rFonts w:ascii="Times New Roman" w:hAnsi="Times New Roman"/>
          <w:i/>
          <w:sz w:val="24"/>
          <w:szCs w:val="24"/>
          <w:lang w:val="en-US"/>
        </w:rPr>
        <w:t>WAST_IND</w:t>
      </w:r>
      <w:r w:rsidR="007D5BAA" w:rsidRPr="005B7CAC">
        <w:rPr>
          <w:rFonts w:ascii="Times New Roman" w:hAnsi="Times New Roman"/>
          <w:iCs/>
          <w:sz w:val="24"/>
          <w:szCs w:val="24"/>
          <w:lang w:val="en-US"/>
        </w:rPr>
        <w:t xml:space="preserve"> and </w:t>
      </w:r>
      <w:r w:rsidR="007D5BAA" w:rsidRPr="005B7CAC">
        <w:rPr>
          <w:rFonts w:ascii="Times New Roman" w:hAnsi="Times New Roman"/>
          <w:i/>
          <w:sz w:val="24"/>
          <w:szCs w:val="24"/>
          <w:lang w:val="en-US"/>
        </w:rPr>
        <w:t>WREC_IND</w:t>
      </w:r>
      <w:r w:rsidR="007D5BAA" w:rsidRPr="005B7CAC">
        <w:rPr>
          <w:rFonts w:ascii="Times New Roman" w:hAnsi="Times New Roman"/>
          <w:iCs/>
          <w:sz w:val="24"/>
          <w:szCs w:val="24"/>
          <w:lang w:val="en-US"/>
        </w:rPr>
        <w:t xml:space="preserve">) </w:t>
      </w:r>
      <w:r w:rsidR="00B37BA9" w:rsidRPr="005B7CAC">
        <w:rPr>
          <w:rFonts w:ascii="Times New Roman" w:hAnsi="Times New Roman"/>
          <w:iCs/>
          <w:sz w:val="24"/>
          <w:szCs w:val="24"/>
          <w:lang w:val="en-US"/>
        </w:rPr>
        <w:t xml:space="preserve">and lagged </w:t>
      </w:r>
      <w:r w:rsidR="007D5BAA" w:rsidRPr="005B7CAC">
        <w:rPr>
          <w:rFonts w:ascii="Times New Roman" w:hAnsi="Times New Roman"/>
          <w:iCs/>
          <w:sz w:val="24"/>
          <w:szCs w:val="24"/>
          <w:lang w:val="en-US"/>
        </w:rPr>
        <w:t>(</w:t>
      </w:r>
      <w:r w:rsidR="007D5BAA" w:rsidRPr="005B7CAC">
        <w:rPr>
          <w:rFonts w:ascii="Times New Roman" w:hAnsi="Times New Roman"/>
          <w:i/>
          <w:sz w:val="24"/>
          <w:szCs w:val="24"/>
          <w:lang w:val="en-US"/>
        </w:rPr>
        <w:t>WAST_LGD</w:t>
      </w:r>
      <w:r w:rsidR="007D5BAA" w:rsidRPr="005B7CAC">
        <w:rPr>
          <w:rFonts w:ascii="Times New Roman" w:hAnsi="Times New Roman"/>
          <w:iCs/>
          <w:sz w:val="24"/>
          <w:szCs w:val="24"/>
          <w:lang w:val="en-US"/>
        </w:rPr>
        <w:t xml:space="preserve"> and </w:t>
      </w:r>
      <w:r w:rsidR="007D5BAA" w:rsidRPr="005B7CAC">
        <w:rPr>
          <w:rFonts w:ascii="Times New Roman" w:hAnsi="Times New Roman"/>
          <w:i/>
          <w:sz w:val="24"/>
          <w:szCs w:val="24"/>
          <w:lang w:val="en-US"/>
        </w:rPr>
        <w:t>WREC_LGD</w:t>
      </w:r>
      <w:r w:rsidR="007D5BAA" w:rsidRPr="005B7CAC">
        <w:rPr>
          <w:rFonts w:ascii="Times New Roman" w:hAnsi="Times New Roman"/>
          <w:iCs/>
          <w:sz w:val="24"/>
          <w:szCs w:val="24"/>
          <w:lang w:val="en-US"/>
        </w:rPr>
        <w:t xml:space="preserve">) </w:t>
      </w:r>
      <w:r w:rsidR="00B37BA9" w:rsidRPr="005B7CAC">
        <w:rPr>
          <w:rFonts w:ascii="Times New Roman" w:hAnsi="Times New Roman"/>
          <w:iCs/>
          <w:sz w:val="24"/>
          <w:szCs w:val="24"/>
          <w:lang w:val="en-US"/>
        </w:rPr>
        <w:t xml:space="preserve">values of </w:t>
      </w:r>
      <w:r w:rsidR="007D5BAA" w:rsidRPr="005B7CAC">
        <w:rPr>
          <w:rFonts w:ascii="Times New Roman" w:hAnsi="Times New Roman"/>
          <w:i/>
          <w:sz w:val="24"/>
          <w:szCs w:val="24"/>
          <w:lang w:val="en-US"/>
        </w:rPr>
        <w:t>WAST</w:t>
      </w:r>
      <w:r w:rsidR="007D5BAA" w:rsidRPr="005B7CAC">
        <w:rPr>
          <w:rFonts w:ascii="Times New Roman" w:hAnsi="Times New Roman"/>
          <w:iCs/>
          <w:sz w:val="24"/>
          <w:szCs w:val="24"/>
          <w:lang w:val="en-US"/>
        </w:rPr>
        <w:t xml:space="preserve"> and </w:t>
      </w:r>
      <w:r w:rsidR="007D5BAA" w:rsidRPr="005B7CAC">
        <w:rPr>
          <w:rFonts w:ascii="Times New Roman" w:hAnsi="Times New Roman"/>
          <w:i/>
          <w:sz w:val="24"/>
          <w:szCs w:val="24"/>
          <w:lang w:val="en-US"/>
        </w:rPr>
        <w:t>WREC</w:t>
      </w:r>
      <w:r w:rsidR="007D5BAA" w:rsidRPr="005B7CAC">
        <w:rPr>
          <w:rFonts w:ascii="Times New Roman" w:hAnsi="Times New Roman"/>
          <w:iCs/>
          <w:sz w:val="24"/>
          <w:szCs w:val="24"/>
          <w:lang w:val="en-US"/>
        </w:rPr>
        <w:t xml:space="preserve"> </w:t>
      </w:r>
      <w:r w:rsidR="00B37BA9" w:rsidRPr="005B7CAC">
        <w:rPr>
          <w:rFonts w:ascii="Times New Roman" w:hAnsi="Times New Roman"/>
          <w:bCs/>
          <w:iCs/>
          <w:sz w:val="24"/>
          <w:szCs w:val="24"/>
          <w:lang w:val="en-US"/>
        </w:rPr>
        <w:t xml:space="preserve">as instrumental variables. </w:t>
      </w:r>
      <w:r w:rsidR="007D5BAA" w:rsidRPr="005B7CAC">
        <w:rPr>
          <w:rFonts w:ascii="Times New Roman" w:hAnsi="Times New Roman"/>
          <w:bCs/>
          <w:iCs/>
          <w:sz w:val="24"/>
          <w:szCs w:val="24"/>
          <w:lang w:val="en-US"/>
        </w:rPr>
        <w:t xml:space="preserve">These instruments are more likely to influence </w:t>
      </w:r>
      <w:r w:rsidR="007D5BAA" w:rsidRPr="005B7CAC">
        <w:rPr>
          <w:rFonts w:ascii="Times New Roman" w:hAnsi="Times New Roman"/>
          <w:i/>
          <w:sz w:val="24"/>
          <w:szCs w:val="24"/>
          <w:lang w:val="en-US"/>
        </w:rPr>
        <w:t>WAST</w:t>
      </w:r>
      <w:r w:rsidR="007D5BAA" w:rsidRPr="005B7CAC">
        <w:rPr>
          <w:rFonts w:ascii="Times New Roman" w:hAnsi="Times New Roman"/>
          <w:iCs/>
          <w:sz w:val="24"/>
          <w:szCs w:val="24"/>
          <w:lang w:val="en-US"/>
        </w:rPr>
        <w:t xml:space="preserve"> and </w:t>
      </w:r>
      <w:r w:rsidR="007D5BAA" w:rsidRPr="005B7CAC">
        <w:rPr>
          <w:rFonts w:ascii="Times New Roman" w:hAnsi="Times New Roman"/>
          <w:i/>
          <w:sz w:val="24"/>
          <w:szCs w:val="24"/>
          <w:lang w:val="en-US"/>
        </w:rPr>
        <w:t>WREC</w:t>
      </w:r>
      <w:r w:rsidR="007D5BAA" w:rsidRPr="005B7CAC">
        <w:rPr>
          <w:rFonts w:ascii="Times New Roman" w:hAnsi="Times New Roman"/>
          <w:iCs/>
          <w:sz w:val="24"/>
          <w:szCs w:val="24"/>
          <w:lang w:val="en-US"/>
        </w:rPr>
        <w:t xml:space="preserve"> but are less likely to affect </w:t>
      </w:r>
      <w:r w:rsidR="007D5BAA" w:rsidRPr="005B7CAC">
        <w:rPr>
          <w:rFonts w:ascii="Times New Roman" w:hAnsi="Times New Roman"/>
          <w:i/>
          <w:sz w:val="24"/>
          <w:szCs w:val="24"/>
          <w:lang w:val="en-US"/>
        </w:rPr>
        <w:t>FD</w:t>
      </w:r>
      <w:r w:rsidR="00AB021E" w:rsidRPr="005B7CAC">
        <w:rPr>
          <w:rFonts w:ascii="Times New Roman" w:hAnsi="Times New Roman"/>
          <w:i/>
          <w:sz w:val="24"/>
          <w:szCs w:val="24"/>
          <w:lang w:val="en-US"/>
        </w:rPr>
        <w:t xml:space="preserve"> </w:t>
      </w:r>
      <w:r w:rsidR="00AB021E" w:rsidRPr="005B7CAC">
        <w:rPr>
          <w:rFonts w:ascii="Times New Roman" w:hAnsi="Times New Roman"/>
          <w:i/>
          <w:sz w:val="24"/>
          <w:szCs w:val="24"/>
          <w:lang w:val="en-US"/>
        </w:rPr>
        <w:fldChar w:fldCharType="begin" w:fldLock="1"/>
      </w:r>
      <w:r w:rsidR="002347D5" w:rsidRPr="005B7CAC">
        <w:rPr>
          <w:rFonts w:ascii="Times New Roman" w:hAnsi="Times New Roman"/>
          <w:i/>
          <w:sz w:val="24"/>
          <w:szCs w:val="24"/>
          <w:lang w:val="en-US"/>
        </w:rPr>
        <w:instrText>ADDIN CSL_CITATION {"citationItems":[{"id":"ITEM-1","itemData":{"DOI":"10.1111/1467-8551.12715","author":[{"dropping-particle":"","family":"Orazalin","given":"Nurlan","non-dropping-particle":"","parse-names":false,"suffix":""},{"dropping-particle":"","family":"Ntim","given":"Collins","non-dropping-particle":"","parse-names":false,"suffix":""},{"dropping-particle":"","family":"Malagila","given":"John","non-dropping-particle":"","parse-names":false,"suffix":""}],"container-title":"British Journal of Management","id":"ITEM-1","issue":"1","issued":{"date-parts":[["2024"]]},"page":"295-320","title":"Board sustainability committees, climate change initiatives, carbon performance, and market value","type":"article-journal","volume":"35"},"uris":["http://www.mendeley.com/documents/?uuid=a619d5c5-bf37-445d-9069-2df2648f2b82"]}],"mendeley":{"formattedCitation":"(Orazalin &lt;i&gt;et al.&lt;/i&gt;, 2024)","plainTextFormattedCitation":"(Orazalin et al., 2024)","previouslyFormattedCitation":"(Orazalin &lt;i&gt;et al.&lt;/i&gt;, 2024)"},"properties":{"noteIndex":0},"schema":"https://github.com/citation-style-language/schema/raw/master/csl-citation.json"}</w:instrText>
      </w:r>
      <w:r w:rsidR="00AB021E" w:rsidRPr="005B7CAC">
        <w:rPr>
          <w:rFonts w:ascii="Times New Roman" w:hAnsi="Times New Roman"/>
          <w:i/>
          <w:sz w:val="24"/>
          <w:szCs w:val="24"/>
          <w:lang w:val="en-US"/>
        </w:rPr>
        <w:fldChar w:fldCharType="separate"/>
      </w:r>
      <w:r w:rsidR="00BB4571" w:rsidRPr="005B7CAC">
        <w:rPr>
          <w:rFonts w:ascii="Times New Roman" w:hAnsi="Times New Roman"/>
          <w:noProof/>
          <w:sz w:val="24"/>
          <w:szCs w:val="24"/>
          <w:lang w:val="en-US"/>
        </w:rPr>
        <w:t xml:space="preserve">(Orazalin </w:t>
      </w:r>
      <w:r w:rsidR="00BB4571" w:rsidRPr="005B7CAC">
        <w:rPr>
          <w:rFonts w:ascii="Times New Roman" w:hAnsi="Times New Roman"/>
          <w:i/>
          <w:noProof/>
          <w:sz w:val="24"/>
          <w:szCs w:val="24"/>
          <w:lang w:val="en-US"/>
        </w:rPr>
        <w:t>et al.</w:t>
      </w:r>
      <w:r w:rsidR="00BB4571" w:rsidRPr="005B7CAC">
        <w:rPr>
          <w:rFonts w:ascii="Times New Roman" w:hAnsi="Times New Roman"/>
          <w:noProof/>
          <w:sz w:val="24"/>
          <w:szCs w:val="24"/>
          <w:lang w:val="en-US"/>
        </w:rPr>
        <w:t>, 2024)</w:t>
      </w:r>
      <w:r w:rsidR="00AB021E" w:rsidRPr="005B7CAC">
        <w:rPr>
          <w:rFonts w:ascii="Times New Roman" w:hAnsi="Times New Roman"/>
          <w:i/>
          <w:sz w:val="24"/>
          <w:szCs w:val="24"/>
          <w:lang w:val="en-US"/>
        </w:rPr>
        <w:fldChar w:fldCharType="end"/>
      </w:r>
      <w:r w:rsidR="007D5BAA" w:rsidRPr="005B7CAC">
        <w:rPr>
          <w:rFonts w:ascii="Times New Roman" w:hAnsi="Times New Roman"/>
          <w:iCs/>
          <w:sz w:val="24"/>
          <w:szCs w:val="24"/>
          <w:lang w:val="en-US"/>
        </w:rPr>
        <w:t>.</w:t>
      </w:r>
      <w:r w:rsidR="00AB021E" w:rsidRPr="005B7CAC">
        <w:rPr>
          <w:rFonts w:ascii="Times New Roman" w:hAnsi="Times New Roman"/>
          <w:iCs/>
          <w:sz w:val="24"/>
          <w:szCs w:val="24"/>
          <w:lang w:val="en-US"/>
        </w:rPr>
        <w:t xml:space="preserve"> </w:t>
      </w:r>
      <w:r w:rsidR="00D619C0" w:rsidRPr="005B7CAC">
        <w:rPr>
          <w:rFonts w:ascii="Times New Roman" w:hAnsi="Times New Roman"/>
          <w:bCs/>
          <w:iCs/>
          <w:sz w:val="24"/>
          <w:szCs w:val="24"/>
          <w:lang w:val="en-US"/>
        </w:rPr>
        <w:t xml:space="preserve">Table </w:t>
      </w:r>
      <w:r w:rsidR="00263366" w:rsidRPr="005B7CAC">
        <w:rPr>
          <w:rFonts w:ascii="Times New Roman" w:hAnsi="Times New Roman"/>
          <w:bCs/>
          <w:iCs/>
          <w:sz w:val="24"/>
          <w:szCs w:val="24"/>
          <w:lang w:val="en-US"/>
        </w:rPr>
        <w:t>8</w:t>
      </w:r>
      <w:r w:rsidR="00D619C0" w:rsidRPr="005B7CAC">
        <w:rPr>
          <w:rFonts w:ascii="Times New Roman" w:hAnsi="Times New Roman"/>
          <w:bCs/>
          <w:iCs/>
          <w:sz w:val="24"/>
          <w:szCs w:val="24"/>
          <w:lang w:val="en-US"/>
        </w:rPr>
        <w:t xml:space="preserve"> </w:t>
      </w:r>
      <w:r w:rsidR="00DC7403" w:rsidRPr="005B7CAC">
        <w:rPr>
          <w:rFonts w:ascii="Times New Roman" w:hAnsi="Times New Roman"/>
          <w:bCs/>
          <w:iCs/>
          <w:sz w:val="24"/>
          <w:szCs w:val="24"/>
          <w:lang w:val="en-US"/>
        </w:rPr>
        <w:t>shows</w:t>
      </w:r>
      <w:r w:rsidR="00B6619E" w:rsidRPr="005B7CAC">
        <w:rPr>
          <w:rFonts w:ascii="Times New Roman" w:hAnsi="Times New Roman"/>
          <w:bCs/>
          <w:iCs/>
          <w:sz w:val="24"/>
          <w:szCs w:val="24"/>
          <w:lang w:val="en-US"/>
        </w:rPr>
        <w:t xml:space="preserve"> </w:t>
      </w:r>
      <w:r w:rsidR="00007605" w:rsidRPr="005B7CAC">
        <w:rPr>
          <w:rFonts w:ascii="Times New Roman" w:hAnsi="Times New Roman"/>
          <w:bCs/>
          <w:iCs/>
          <w:sz w:val="24"/>
          <w:szCs w:val="24"/>
          <w:lang w:val="en-US"/>
        </w:rPr>
        <w:t>that the</w:t>
      </w:r>
      <w:r w:rsidR="00CD5905" w:rsidRPr="005B7CAC">
        <w:rPr>
          <w:rFonts w:ascii="Times New Roman" w:hAnsi="Times New Roman"/>
          <w:bCs/>
          <w:iCs/>
          <w:sz w:val="24"/>
          <w:szCs w:val="24"/>
          <w:lang w:val="en-US"/>
        </w:rPr>
        <w:t xml:space="preserve"> </w:t>
      </w:r>
      <w:r w:rsidR="00007605" w:rsidRPr="005B7CAC">
        <w:rPr>
          <w:rFonts w:ascii="Times New Roman" w:hAnsi="Times New Roman"/>
          <w:bCs/>
          <w:iCs/>
          <w:sz w:val="24"/>
          <w:szCs w:val="24"/>
          <w:lang w:val="en-US"/>
        </w:rPr>
        <w:t>primary findings are robust to omitted variable bias.</w:t>
      </w:r>
      <w:r w:rsidR="00827CB7" w:rsidRPr="005B7CAC">
        <w:rPr>
          <w:rFonts w:ascii="Times New Roman" w:hAnsi="Times New Roman"/>
          <w:bCs/>
          <w:iCs/>
          <w:sz w:val="24"/>
          <w:szCs w:val="24"/>
          <w:lang w:val="en-US"/>
        </w:rPr>
        <w:t xml:space="preserve"> </w:t>
      </w:r>
      <w:r w:rsidR="001142FB" w:rsidRPr="005B7CAC">
        <w:rPr>
          <w:rFonts w:ascii="Times New Roman" w:hAnsi="Times New Roman"/>
          <w:bCs/>
          <w:iCs/>
          <w:sz w:val="24"/>
          <w:szCs w:val="24"/>
          <w:lang w:val="en-US"/>
        </w:rPr>
        <w:t>Third</w:t>
      </w:r>
      <w:r w:rsidR="00482F98" w:rsidRPr="005B7CAC">
        <w:rPr>
          <w:rFonts w:ascii="Times New Roman" w:hAnsi="Times New Roman"/>
          <w:bCs/>
          <w:iCs/>
          <w:sz w:val="24"/>
          <w:szCs w:val="24"/>
          <w:lang w:val="en-US"/>
        </w:rPr>
        <w:t xml:space="preserve">, </w:t>
      </w:r>
      <w:r w:rsidR="001142FB" w:rsidRPr="005B7CAC">
        <w:rPr>
          <w:rFonts w:ascii="Times New Roman" w:hAnsi="Times New Roman"/>
          <w:bCs/>
          <w:iCs/>
          <w:sz w:val="24"/>
          <w:szCs w:val="24"/>
          <w:lang w:val="en-US"/>
        </w:rPr>
        <w:t xml:space="preserve">we </w:t>
      </w:r>
      <w:r w:rsidR="00482F98" w:rsidRPr="005B7CAC">
        <w:rPr>
          <w:rFonts w:ascii="Times New Roman" w:hAnsi="Times New Roman"/>
          <w:bCs/>
          <w:iCs/>
          <w:sz w:val="24"/>
          <w:szCs w:val="24"/>
          <w:lang w:val="en-US"/>
        </w:rPr>
        <w:t>employ</w:t>
      </w:r>
      <w:r w:rsidR="001142FB" w:rsidRPr="005B7CAC">
        <w:rPr>
          <w:rFonts w:ascii="Times New Roman" w:hAnsi="Times New Roman"/>
          <w:bCs/>
          <w:iCs/>
          <w:sz w:val="24"/>
          <w:szCs w:val="24"/>
          <w:lang w:val="en-US"/>
        </w:rPr>
        <w:t xml:space="preserve"> </w:t>
      </w:r>
      <w:r w:rsidR="00482F98" w:rsidRPr="005B7CAC">
        <w:rPr>
          <w:rFonts w:ascii="Times New Roman" w:hAnsi="Times New Roman"/>
          <w:bCs/>
          <w:iCs/>
          <w:sz w:val="24"/>
          <w:szCs w:val="24"/>
          <w:lang w:val="en-US"/>
        </w:rPr>
        <w:t xml:space="preserve">the Heckman model </w:t>
      </w:r>
      <w:r w:rsidR="00C31A75" w:rsidRPr="005B7CAC">
        <w:rPr>
          <w:rFonts w:ascii="Times New Roman" w:hAnsi="Times New Roman"/>
          <w:bCs/>
          <w:iCs/>
          <w:sz w:val="24"/>
          <w:szCs w:val="24"/>
          <w:lang w:val="en-US"/>
        </w:rPr>
        <w:fldChar w:fldCharType="begin" w:fldLock="1"/>
      </w:r>
      <w:r w:rsidR="00C31A75" w:rsidRPr="005B7CAC">
        <w:rPr>
          <w:rFonts w:ascii="Times New Roman" w:hAnsi="Times New Roman"/>
          <w:bCs/>
          <w:iCs/>
          <w:sz w:val="24"/>
          <w:szCs w:val="24"/>
          <w:lang w:val="en-US"/>
        </w:rPr>
        <w:instrText>ADDIN CSL_CITATION {"citationItems":[{"id":"ITEM-1","itemData":{"abstract":"This paper discusses the bias that results from using nonrandomly selected samples to estimate behavioral relationships as an ordinary specification error or \"omitted variables\" bias. A simple consistent two stage estimator is considered that enables analysts to utilize simple regression methods to estimate behavioral functions by least squares methods. The asymptotic distribution of the estimator is derived.","author":[{"dropping-particle":"","family":"Heckman","given":"James J.","non-dropping-particle":"","parse-names":false,"suffix":""}],"container-title":"Econometrica","id":"ITEM-1","issue":"1","issued":{"date-parts":[["1979"]]},"page":"153-161","title":"Sample selection bias as a specification Error","type":"article-journal","volume":"47"},"uris":["http://www.mendeley.com/documents/?uuid=4f6d29bf-40bf-3960-980c-45f67ae4036a"]}],"mendeley":{"formattedCitation":"(Heckman, 1979)","plainTextFormattedCitation":"(Heckman, 1979)","previouslyFormattedCitation":"(Heckman, 1979)"},"properties":{"noteIndex":0},"schema":"https://github.com/citation-style-language/schema/raw/master/csl-citation.json"}</w:instrText>
      </w:r>
      <w:r w:rsidR="00C31A75" w:rsidRPr="005B7CAC">
        <w:rPr>
          <w:rFonts w:ascii="Times New Roman" w:hAnsi="Times New Roman"/>
          <w:bCs/>
          <w:iCs/>
          <w:sz w:val="24"/>
          <w:szCs w:val="24"/>
          <w:lang w:val="en-US"/>
        </w:rPr>
        <w:fldChar w:fldCharType="separate"/>
      </w:r>
      <w:r w:rsidR="00482F98" w:rsidRPr="005B7CAC">
        <w:rPr>
          <w:rFonts w:ascii="Times New Roman" w:hAnsi="Times New Roman"/>
          <w:bCs/>
          <w:iCs/>
          <w:noProof/>
          <w:sz w:val="24"/>
          <w:szCs w:val="24"/>
          <w:lang w:val="en-US"/>
        </w:rPr>
        <w:t>(Heckman, 1979)</w:t>
      </w:r>
      <w:r w:rsidR="00C31A75" w:rsidRPr="005B7CAC">
        <w:rPr>
          <w:rFonts w:ascii="Times New Roman" w:hAnsi="Times New Roman"/>
          <w:bCs/>
          <w:iCs/>
          <w:sz w:val="24"/>
          <w:szCs w:val="24"/>
          <w:lang w:val="en-US"/>
        </w:rPr>
        <w:fldChar w:fldCharType="end"/>
      </w:r>
      <w:r w:rsidR="00482F98" w:rsidRPr="005B7CAC">
        <w:rPr>
          <w:rFonts w:ascii="Times New Roman" w:hAnsi="Times New Roman"/>
          <w:bCs/>
          <w:iCs/>
          <w:sz w:val="24"/>
          <w:szCs w:val="24"/>
          <w:lang w:val="en-US"/>
        </w:rPr>
        <w:t xml:space="preserve"> to address sample selection bias.</w:t>
      </w:r>
      <w:r w:rsidR="00263366" w:rsidRPr="005B7CAC">
        <w:rPr>
          <w:rFonts w:ascii="Times New Roman" w:hAnsi="Times New Roman"/>
          <w:bCs/>
          <w:iCs/>
          <w:sz w:val="24"/>
          <w:szCs w:val="24"/>
          <w:lang w:val="en-US"/>
        </w:rPr>
        <w:t xml:space="preserve"> Consistent with past research </w:t>
      </w:r>
      <w:r w:rsidR="00263366" w:rsidRPr="005B7CAC">
        <w:rPr>
          <w:rFonts w:ascii="Times New Roman" w:hAnsi="Times New Roman"/>
          <w:bCs/>
          <w:iCs/>
          <w:sz w:val="24"/>
          <w:szCs w:val="24"/>
          <w:lang w:val="en-US"/>
        </w:rPr>
        <w:fldChar w:fldCharType="begin" w:fldLock="1"/>
      </w:r>
      <w:r w:rsidR="002347D5" w:rsidRPr="005B7CAC">
        <w:rPr>
          <w:rFonts w:ascii="Times New Roman" w:hAnsi="Times New Roman"/>
          <w:bCs/>
          <w:iCs/>
          <w:sz w:val="24"/>
          <w:szCs w:val="24"/>
          <w:lang w:val="en-US"/>
        </w:rPr>
        <w:instrText>ADDIN CSL_CITATION {"citationItems":[{"id":"ITEM-1","itemData":{"DOI":"10.1111/1467-8551.12715","author":[{"dropping-particle":"","family":"Orazalin","given":"Nurlan","non-dropping-particle":"","parse-names":false,"suffix":""},{"dropping-particle":"","family":"Ntim","given":"Collins","non-dropping-particle":"","parse-names":false,"suffix":""},{"dropping-particle":"","family":"Malagila","given":"John","non-dropping-particle":"","parse-names":false,"suffix":""}],"container-title":"British Journal of Management","id":"ITEM-1","issue":"1","issued":{"date-parts":[["2024"]]},"page":"295-320","title":"Board sustainability committees, climate change initiatives, carbon performance, and market value","type":"article-journal","volume":"35"},"uris":["http://www.mendeley.com/documents/?uuid=a619d5c5-bf37-445d-9069-2df2648f2b82"]}],"mendeley":{"formattedCitation":"(Orazalin &lt;i&gt;et al.&lt;/i&gt;, 2024)","plainTextFormattedCitation":"(Orazalin et al., 2024)","previouslyFormattedCitation":"(Orazalin &lt;i&gt;et al.&lt;/i&gt;, 2024)"},"properties":{"noteIndex":0},"schema":"https://github.com/citation-style-language/schema/raw/master/csl-citation.json"}</w:instrText>
      </w:r>
      <w:r w:rsidR="00263366" w:rsidRPr="005B7CAC">
        <w:rPr>
          <w:rFonts w:ascii="Times New Roman" w:hAnsi="Times New Roman"/>
          <w:bCs/>
          <w:iCs/>
          <w:sz w:val="24"/>
          <w:szCs w:val="24"/>
          <w:lang w:val="en-US"/>
        </w:rPr>
        <w:fldChar w:fldCharType="separate"/>
      </w:r>
      <w:r w:rsidR="00BB4571" w:rsidRPr="005B7CAC">
        <w:rPr>
          <w:rFonts w:ascii="Times New Roman" w:hAnsi="Times New Roman"/>
          <w:bCs/>
          <w:iCs/>
          <w:noProof/>
          <w:sz w:val="24"/>
          <w:szCs w:val="24"/>
          <w:lang w:val="en-US"/>
        </w:rPr>
        <w:t xml:space="preserve">(Orazalin </w:t>
      </w:r>
      <w:r w:rsidR="00BB4571" w:rsidRPr="005B7CAC">
        <w:rPr>
          <w:rFonts w:ascii="Times New Roman" w:hAnsi="Times New Roman"/>
          <w:bCs/>
          <w:i/>
          <w:iCs/>
          <w:noProof/>
          <w:sz w:val="24"/>
          <w:szCs w:val="24"/>
          <w:lang w:val="en-US"/>
        </w:rPr>
        <w:t>et al.</w:t>
      </w:r>
      <w:r w:rsidR="00BB4571" w:rsidRPr="005B7CAC">
        <w:rPr>
          <w:rFonts w:ascii="Times New Roman" w:hAnsi="Times New Roman"/>
          <w:bCs/>
          <w:iCs/>
          <w:noProof/>
          <w:sz w:val="24"/>
          <w:szCs w:val="24"/>
          <w:lang w:val="en-US"/>
        </w:rPr>
        <w:t>, 2024)</w:t>
      </w:r>
      <w:r w:rsidR="00263366" w:rsidRPr="005B7CAC">
        <w:rPr>
          <w:rFonts w:ascii="Times New Roman" w:hAnsi="Times New Roman"/>
          <w:bCs/>
          <w:iCs/>
          <w:sz w:val="24"/>
          <w:szCs w:val="24"/>
          <w:lang w:val="en-US"/>
        </w:rPr>
        <w:fldChar w:fldCharType="end"/>
      </w:r>
      <w:r w:rsidR="00263366" w:rsidRPr="005B7CAC">
        <w:rPr>
          <w:rFonts w:ascii="Times New Roman" w:hAnsi="Times New Roman"/>
          <w:bCs/>
          <w:iCs/>
          <w:sz w:val="24"/>
          <w:szCs w:val="24"/>
          <w:lang w:val="en-US"/>
        </w:rPr>
        <w:t xml:space="preserve">, we employ the industry mean values of </w:t>
      </w:r>
      <w:r w:rsidR="00263366" w:rsidRPr="005B7CAC">
        <w:rPr>
          <w:rFonts w:ascii="Times New Roman" w:hAnsi="Times New Roman"/>
          <w:bCs/>
          <w:i/>
          <w:sz w:val="24"/>
          <w:szCs w:val="24"/>
          <w:lang w:val="en-US"/>
        </w:rPr>
        <w:t>WAST</w:t>
      </w:r>
      <w:r w:rsidR="00263366" w:rsidRPr="005B7CAC">
        <w:rPr>
          <w:rFonts w:ascii="Times New Roman" w:hAnsi="Times New Roman"/>
          <w:bCs/>
          <w:iCs/>
          <w:sz w:val="24"/>
          <w:szCs w:val="24"/>
          <w:lang w:val="en-US"/>
        </w:rPr>
        <w:t xml:space="preserve"> (</w:t>
      </w:r>
      <w:r w:rsidR="00263366" w:rsidRPr="005B7CAC">
        <w:rPr>
          <w:rFonts w:ascii="Times New Roman" w:hAnsi="Times New Roman"/>
          <w:bCs/>
          <w:i/>
          <w:sz w:val="24"/>
          <w:szCs w:val="24"/>
          <w:lang w:val="en-US"/>
        </w:rPr>
        <w:t>WAST_IND</w:t>
      </w:r>
      <w:r w:rsidR="00263366" w:rsidRPr="005B7CAC">
        <w:rPr>
          <w:rFonts w:ascii="Times New Roman" w:hAnsi="Times New Roman"/>
          <w:bCs/>
          <w:iCs/>
          <w:sz w:val="24"/>
          <w:szCs w:val="24"/>
          <w:lang w:val="en-US"/>
        </w:rPr>
        <w:t xml:space="preserve">) and </w:t>
      </w:r>
      <w:r w:rsidR="00263366" w:rsidRPr="005B7CAC">
        <w:rPr>
          <w:rFonts w:ascii="Times New Roman" w:hAnsi="Times New Roman"/>
          <w:bCs/>
          <w:i/>
          <w:sz w:val="24"/>
          <w:szCs w:val="24"/>
          <w:lang w:val="en-US"/>
        </w:rPr>
        <w:t>WREC</w:t>
      </w:r>
      <w:r w:rsidR="00263366" w:rsidRPr="005B7CAC">
        <w:rPr>
          <w:rFonts w:ascii="Times New Roman" w:hAnsi="Times New Roman"/>
          <w:bCs/>
          <w:iCs/>
          <w:sz w:val="24"/>
          <w:szCs w:val="24"/>
          <w:lang w:val="en-US"/>
        </w:rPr>
        <w:t xml:space="preserve"> (</w:t>
      </w:r>
      <w:r w:rsidR="00263366" w:rsidRPr="005B7CAC">
        <w:rPr>
          <w:rFonts w:ascii="Times New Roman" w:hAnsi="Times New Roman"/>
          <w:bCs/>
          <w:i/>
          <w:sz w:val="24"/>
          <w:szCs w:val="24"/>
          <w:lang w:val="en-US"/>
        </w:rPr>
        <w:t>WREC_IND</w:t>
      </w:r>
      <w:r w:rsidR="00263366" w:rsidRPr="005B7CAC">
        <w:rPr>
          <w:rFonts w:ascii="Times New Roman" w:hAnsi="Times New Roman"/>
          <w:bCs/>
          <w:iCs/>
          <w:sz w:val="24"/>
          <w:szCs w:val="24"/>
          <w:lang w:val="en-US"/>
        </w:rPr>
        <w:t>) as exclusion restrictions.</w:t>
      </w:r>
      <w:r w:rsidR="00AB021E" w:rsidRPr="005B7CAC">
        <w:rPr>
          <w:rFonts w:ascii="Times New Roman" w:hAnsi="Times New Roman"/>
          <w:bCs/>
          <w:iCs/>
          <w:sz w:val="24"/>
          <w:szCs w:val="24"/>
          <w:lang w:val="en-US"/>
        </w:rPr>
        <w:t xml:space="preserve"> </w:t>
      </w:r>
      <w:r w:rsidR="00263366" w:rsidRPr="005B7CAC">
        <w:rPr>
          <w:rFonts w:ascii="Times New Roman" w:hAnsi="Times New Roman"/>
          <w:bCs/>
          <w:iCs/>
          <w:sz w:val="24"/>
          <w:szCs w:val="24"/>
          <w:lang w:val="en-US"/>
        </w:rPr>
        <w:t>Table 9 demonstrate</w:t>
      </w:r>
      <w:r w:rsidR="00AB021E" w:rsidRPr="005B7CAC">
        <w:rPr>
          <w:rFonts w:ascii="Times New Roman" w:hAnsi="Times New Roman"/>
          <w:bCs/>
          <w:iCs/>
          <w:sz w:val="24"/>
          <w:szCs w:val="24"/>
          <w:lang w:val="en-US"/>
        </w:rPr>
        <w:t>s</w:t>
      </w:r>
      <w:r w:rsidR="00263366" w:rsidRPr="005B7CAC">
        <w:rPr>
          <w:rFonts w:ascii="Times New Roman" w:hAnsi="Times New Roman"/>
          <w:bCs/>
          <w:iCs/>
          <w:sz w:val="24"/>
          <w:szCs w:val="24"/>
          <w:lang w:val="en-US"/>
        </w:rPr>
        <w:t xml:space="preserve"> that </w:t>
      </w:r>
      <w:r w:rsidR="00B6619E" w:rsidRPr="005B7CAC">
        <w:rPr>
          <w:rFonts w:ascii="Times New Roman" w:hAnsi="Times New Roman"/>
          <w:bCs/>
          <w:iCs/>
          <w:sz w:val="24"/>
          <w:szCs w:val="24"/>
          <w:lang w:val="en-US"/>
        </w:rPr>
        <w:t>the main findings are</w:t>
      </w:r>
      <w:r w:rsidR="00263366" w:rsidRPr="005B7CAC">
        <w:rPr>
          <w:rFonts w:ascii="Times New Roman" w:hAnsi="Times New Roman"/>
          <w:bCs/>
          <w:iCs/>
          <w:sz w:val="24"/>
          <w:szCs w:val="24"/>
          <w:lang w:val="en-US"/>
        </w:rPr>
        <w:t xml:space="preserve"> robust to sample selection bias.</w:t>
      </w:r>
      <w:r w:rsidR="00C744DB" w:rsidRPr="005B7CAC">
        <w:rPr>
          <w:rFonts w:ascii="Times New Roman" w:hAnsi="Times New Roman"/>
          <w:bCs/>
          <w:iCs/>
          <w:sz w:val="24"/>
          <w:szCs w:val="24"/>
          <w:lang w:val="en-US"/>
        </w:rPr>
        <w:t xml:space="preserve"> </w:t>
      </w:r>
    </w:p>
    <w:p w14:paraId="58AB3D9D" w14:textId="23FDDD2D" w:rsidR="00263366" w:rsidRPr="005B7CAC" w:rsidRDefault="002142E0" w:rsidP="003D5418">
      <w:pPr>
        <w:widowControl w:val="0"/>
        <w:autoSpaceDE w:val="0"/>
        <w:autoSpaceDN w:val="0"/>
        <w:adjustRightInd w:val="0"/>
        <w:spacing w:after="240" w:line="360" w:lineRule="auto"/>
        <w:jc w:val="both"/>
        <w:rPr>
          <w:rFonts w:ascii="Times New Roman" w:hAnsi="Times New Roman"/>
          <w:bCs/>
          <w:iCs/>
          <w:sz w:val="24"/>
          <w:szCs w:val="24"/>
          <w:lang w:val="en-US"/>
        </w:rPr>
      </w:pPr>
      <w:r w:rsidRPr="005B7CAC">
        <w:rPr>
          <w:rFonts w:ascii="Times New Roman" w:hAnsi="Times New Roman"/>
          <w:bCs/>
          <w:iCs/>
          <w:sz w:val="24"/>
          <w:szCs w:val="24"/>
          <w:lang w:val="en-US"/>
        </w:rPr>
        <w:t>Fourth, to</w:t>
      </w:r>
      <w:r w:rsidR="00CA208A" w:rsidRPr="005B7CAC">
        <w:rPr>
          <w:rFonts w:ascii="Times New Roman" w:hAnsi="Times New Roman"/>
          <w:bCs/>
          <w:iCs/>
          <w:sz w:val="24"/>
          <w:szCs w:val="24"/>
          <w:lang w:val="en-US"/>
        </w:rPr>
        <w:t xml:space="preserve"> verify the robustness of our main results, we perform an additional moderation analysis, introducing a dummy variable </w:t>
      </w:r>
      <w:r w:rsidR="00F459D1" w:rsidRPr="005B7CAC">
        <w:rPr>
          <w:rFonts w:ascii="Times New Roman" w:hAnsi="Times New Roman"/>
          <w:bCs/>
          <w:iCs/>
          <w:sz w:val="24"/>
          <w:szCs w:val="24"/>
          <w:lang w:val="en-US"/>
        </w:rPr>
        <w:t xml:space="preserve">for </w:t>
      </w:r>
      <w:r w:rsidR="00CA208A" w:rsidRPr="005B7CAC">
        <w:rPr>
          <w:rFonts w:ascii="Times New Roman" w:hAnsi="Times New Roman"/>
          <w:bCs/>
          <w:i/>
          <w:sz w:val="24"/>
          <w:szCs w:val="24"/>
          <w:lang w:val="en-US"/>
        </w:rPr>
        <w:t>GINVs</w:t>
      </w:r>
      <w:r w:rsidR="00CA208A" w:rsidRPr="005B7CAC">
        <w:rPr>
          <w:rFonts w:ascii="Times New Roman" w:hAnsi="Times New Roman"/>
          <w:bCs/>
          <w:iCs/>
          <w:sz w:val="24"/>
          <w:szCs w:val="24"/>
          <w:lang w:val="en-US"/>
        </w:rPr>
        <w:t xml:space="preserve"> as a moderator. Specifically, we estimate th</w:t>
      </w:r>
      <w:r w:rsidR="009D7E9E" w:rsidRPr="005B7CAC">
        <w:rPr>
          <w:rFonts w:ascii="Times New Roman" w:hAnsi="Times New Roman"/>
          <w:bCs/>
          <w:iCs/>
          <w:sz w:val="24"/>
          <w:szCs w:val="24"/>
          <w:lang w:val="en-US"/>
        </w:rPr>
        <w:t xml:space="preserve">e average industry-adjusted </w:t>
      </w:r>
      <w:r w:rsidR="009D7E9E" w:rsidRPr="005B7CAC">
        <w:rPr>
          <w:rFonts w:ascii="Times New Roman" w:hAnsi="Times New Roman"/>
          <w:bCs/>
          <w:i/>
          <w:sz w:val="24"/>
          <w:szCs w:val="24"/>
          <w:lang w:val="en-US"/>
        </w:rPr>
        <w:t>GINVs</w:t>
      </w:r>
      <w:r w:rsidR="009D7E9E" w:rsidRPr="005B7CAC">
        <w:rPr>
          <w:rFonts w:ascii="Times New Roman" w:hAnsi="Times New Roman"/>
          <w:bCs/>
          <w:iCs/>
          <w:sz w:val="24"/>
          <w:szCs w:val="24"/>
          <w:lang w:val="en-US"/>
        </w:rPr>
        <w:t xml:space="preserve"> score for each firm. We then </w:t>
      </w:r>
      <w:r w:rsidR="00F459D1" w:rsidRPr="005B7CAC">
        <w:rPr>
          <w:rFonts w:ascii="Times New Roman" w:hAnsi="Times New Roman"/>
          <w:bCs/>
          <w:iCs/>
          <w:sz w:val="24"/>
          <w:szCs w:val="24"/>
          <w:lang w:val="en-US"/>
        </w:rPr>
        <w:t>create a dummy variable (</w:t>
      </w:r>
      <w:proofErr w:type="spellStart"/>
      <w:r w:rsidR="00F459D1" w:rsidRPr="005B7CAC">
        <w:rPr>
          <w:rFonts w:ascii="Times New Roman" w:hAnsi="Times New Roman"/>
          <w:i/>
          <w:iCs/>
          <w:sz w:val="24"/>
          <w:szCs w:val="24"/>
          <w:lang w:val="en-US"/>
        </w:rPr>
        <w:t>GINVs_D</w:t>
      </w:r>
      <w:proofErr w:type="spellEnd"/>
      <w:r w:rsidR="00F459D1" w:rsidRPr="005B7CAC">
        <w:rPr>
          <w:rFonts w:ascii="Times New Roman" w:hAnsi="Times New Roman"/>
          <w:i/>
          <w:iCs/>
          <w:sz w:val="24"/>
          <w:szCs w:val="24"/>
          <w:lang w:val="en-US"/>
        </w:rPr>
        <w:t xml:space="preserve">) </w:t>
      </w:r>
      <w:r w:rsidR="00F459D1" w:rsidRPr="005B7CAC">
        <w:rPr>
          <w:rFonts w:ascii="Times New Roman" w:hAnsi="Times New Roman"/>
          <w:sz w:val="24"/>
          <w:szCs w:val="24"/>
          <w:lang w:val="en-US"/>
        </w:rPr>
        <w:t xml:space="preserve">coded one if the </w:t>
      </w:r>
      <w:r w:rsidR="00F459D1" w:rsidRPr="005B7CAC">
        <w:rPr>
          <w:rFonts w:ascii="Times New Roman" w:hAnsi="Times New Roman"/>
          <w:i/>
          <w:iCs/>
          <w:sz w:val="24"/>
          <w:szCs w:val="24"/>
          <w:lang w:val="en-US"/>
        </w:rPr>
        <w:t>GINVs</w:t>
      </w:r>
      <w:r w:rsidR="00F459D1" w:rsidRPr="005B7CAC">
        <w:rPr>
          <w:rFonts w:ascii="Times New Roman" w:hAnsi="Times New Roman"/>
          <w:sz w:val="24"/>
          <w:szCs w:val="24"/>
          <w:lang w:val="en-US"/>
        </w:rPr>
        <w:t xml:space="preserve"> </w:t>
      </w:r>
      <w:r w:rsidR="009D7E9E" w:rsidRPr="005B7CAC">
        <w:rPr>
          <w:rFonts w:ascii="Times New Roman" w:hAnsi="Times New Roman"/>
          <w:sz w:val="24"/>
          <w:szCs w:val="24"/>
          <w:lang w:val="en-US"/>
        </w:rPr>
        <w:t xml:space="preserve">score </w:t>
      </w:r>
      <w:r w:rsidR="00602688" w:rsidRPr="005B7CAC">
        <w:rPr>
          <w:rFonts w:ascii="Times New Roman" w:hAnsi="Times New Roman"/>
          <w:sz w:val="24"/>
          <w:szCs w:val="24"/>
          <w:lang w:val="en-US"/>
        </w:rPr>
        <w:t xml:space="preserve">exceeds </w:t>
      </w:r>
      <w:r w:rsidR="00F459D1" w:rsidRPr="005B7CAC">
        <w:rPr>
          <w:rFonts w:ascii="Times New Roman" w:hAnsi="Times New Roman"/>
          <w:sz w:val="24"/>
          <w:szCs w:val="24"/>
          <w:lang w:val="en-US"/>
        </w:rPr>
        <w:t xml:space="preserve">the sample median, and zero otherwise. Table 10 reports the </w:t>
      </w:r>
      <w:r w:rsidR="009D7E9E" w:rsidRPr="005B7CAC">
        <w:rPr>
          <w:rFonts w:ascii="Times New Roman" w:hAnsi="Times New Roman"/>
          <w:sz w:val="24"/>
          <w:szCs w:val="24"/>
          <w:lang w:val="en-US"/>
        </w:rPr>
        <w:t>results</w:t>
      </w:r>
      <w:r w:rsidR="00F459D1" w:rsidRPr="005B7CAC">
        <w:rPr>
          <w:rFonts w:ascii="Times New Roman" w:hAnsi="Times New Roman"/>
          <w:sz w:val="24"/>
          <w:szCs w:val="24"/>
          <w:lang w:val="en-US"/>
        </w:rPr>
        <w:t xml:space="preserve">, showing the </w:t>
      </w:r>
      <w:r w:rsidR="00827CB7" w:rsidRPr="005B7CAC">
        <w:rPr>
          <w:rFonts w:ascii="Times New Roman" w:hAnsi="Times New Roman"/>
          <w:sz w:val="24"/>
          <w:szCs w:val="24"/>
          <w:lang w:val="en-US"/>
        </w:rPr>
        <w:t xml:space="preserve">moderating effects of the </w:t>
      </w:r>
      <w:proofErr w:type="spellStart"/>
      <w:r w:rsidR="00827CB7" w:rsidRPr="005B7CAC">
        <w:rPr>
          <w:rFonts w:ascii="Times New Roman" w:hAnsi="Times New Roman"/>
          <w:i/>
          <w:iCs/>
          <w:sz w:val="24"/>
          <w:szCs w:val="24"/>
          <w:lang w:val="en-US"/>
        </w:rPr>
        <w:t>GINVs_D</w:t>
      </w:r>
      <w:proofErr w:type="spellEnd"/>
      <w:r w:rsidR="00827CB7" w:rsidRPr="005B7CAC">
        <w:rPr>
          <w:rFonts w:ascii="Times New Roman" w:hAnsi="Times New Roman"/>
          <w:sz w:val="24"/>
          <w:szCs w:val="24"/>
          <w:lang w:val="en-US"/>
        </w:rPr>
        <w:t xml:space="preserve"> variable. The coefficients of </w:t>
      </w:r>
      <w:r w:rsidR="00827CB7" w:rsidRPr="005B7CAC">
        <w:rPr>
          <w:rFonts w:ascii="Times New Roman" w:hAnsi="Times New Roman"/>
          <w:bCs/>
          <w:i/>
          <w:sz w:val="24"/>
          <w:szCs w:val="20"/>
          <w:lang w:val="en-US"/>
        </w:rPr>
        <w:t>WAST*</w:t>
      </w:r>
      <w:proofErr w:type="spellStart"/>
      <w:r w:rsidR="00827CB7" w:rsidRPr="005B7CAC">
        <w:rPr>
          <w:rFonts w:ascii="Times New Roman" w:hAnsi="Times New Roman"/>
          <w:bCs/>
          <w:i/>
          <w:sz w:val="24"/>
          <w:szCs w:val="20"/>
          <w:lang w:val="en-US"/>
        </w:rPr>
        <w:t>GINVs_D</w:t>
      </w:r>
      <w:proofErr w:type="spellEnd"/>
      <w:r w:rsidR="00827CB7" w:rsidRPr="005B7CAC">
        <w:rPr>
          <w:rFonts w:ascii="Times New Roman" w:hAnsi="Times New Roman"/>
          <w:bCs/>
          <w:iCs/>
          <w:sz w:val="24"/>
          <w:szCs w:val="20"/>
          <w:lang w:val="en-US"/>
        </w:rPr>
        <w:t xml:space="preserve"> are positive </w:t>
      </w:r>
      <w:r w:rsidR="00A23134" w:rsidRPr="005B7CAC">
        <w:rPr>
          <w:rFonts w:ascii="Times New Roman" w:hAnsi="Times New Roman"/>
          <w:bCs/>
          <w:iCs/>
          <w:sz w:val="24"/>
          <w:szCs w:val="20"/>
          <w:lang w:val="en-US"/>
        </w:rPr>
        <w:t>whereas</w:t>
      </w:r>
      <w:r w:rsidR="00827CB7" w:rsidRPr="005B7CAC">
        <w:rPr>
          <w:rFonts w:ascii="Times New Roman" w:hAnsi="Times New Roman"/>
          <w:bCs/>
          <w:iCs/>
          <w:sz w:val="24"/>
          <w:szCs w:val="20"/>
          <w:lang w:val="en-US"/>
        </w:rPr>
        <w:t xml:space="preserve"> the coefficients of </w:t>
      </w:r>
      <w:r w:rsidR="00827CB7" w:rsidRPr="005B7CAC">
        <w:rPr>
          <w:rFonts w:ascii="Times New Roman" w:hAnsi="Times New Roman"/>
          <w:bCs/>
          <w:i/>
          <w:sz w:val="24"/>
          <w:szCs w:val="20"/>
          <w:lang w:val="en-US"/>
        </w:rPr>
        <w:t>W</w:t>
      </w:r>
      <w:r w:rsidR="009D7E9E" w:rsidRPr="005B7CAC">
        <w:rPr>
          <w:rFonts w:ascii="Times New Roman" w:hAnsi="Times New Roman"/>
          <w:bCs/>
          <w:i/>
          <w:sz w:val="24"/>
          <w:szCs w:val="20"/>
          <w:lang w:val="en-US"/>
        </w:rPr>
        <w:t>REC</w:t>
      </w:r>
      <w:r w:rsidR="00827CB7" w:rsidRPr="005B7CAC">
        <w:rPr>
          <w:rFonts w:ascii="Times New Roman" w:hAnsi="Times New Roman"/>
          <w:bCs/>
          <w:i/>
          <w:sz w:val="24"/>
          <w:szCs w:val="20"/>
          <w:lang w:val="en-US"/>
        </w:rPr>
        <w:t>*</w:t>
      </w:r>
      <w:proofErr w:type="spellStart"/>
      <w:r w:rsidR="00827CB7" w:rsidRPr="005B7CAC">
        <w:rPr>
          <w:rFonts w:ascii="Times New Roman" w:hAnsi="Times New Roman"/>
          <w:bCs/>
          <w:i/>
          <w:sz w:val="24"/>
          <w:szCs w:val="20"/>
          <w:lang w:val="en-US"/>
        </w:rPr>
        <w:t>GINVs_</w:t>
      </w:r>
      <w:r w:rsidR="00827CB7" w:rsidRPr="005B7CAC">
        <w:rPr>
          <w:rFonts w:ascii="Times New Roman" w:hAnsi="Times New Roman"/>
          <w:bCs/>
          <w:iCs/>
          <w:sz w:val="24"/>
          <w:szCs w:val="20"/>
          <w:lang w:val="en-US"/>
        </w:rPr>
        <w:t>D</w:t>
      </w:r>
      <w:proofErr w:type="spellEnd"/>
      <w:r w:rsidR="00827CB7" w:rsidRPr="005B7CAC">
        <w:rPr>
          <w:rFonts w:ascii="Times New Roman" w:hAnsi="Times New Roman"/>
          <w:bCs/>
          <w:iCs/>
          <w:sz w:val="24"/>
          <w:szCs w:val="20"/>
          <w:lang w:val="en-US"/>
        </w:rPr>
        <w:t xml:space="preserve"> are negative, thus supporting</w:t>
      </w:r>
      <w:r w:rsidR="00B37AF8" w:rsidRPr="005B7CAC">
        <w:rPr>
          <w:rFonts w:ascii="Times New Roman" w:hAnsi="Times New Roman"/>
          <w:bCs/>
          <w:iCs/>
          <w:sz w:val="24"/>
          <w:szCs w:val="20"/>
          <w:lang w:val="en-US"/>
        </w:rPr>
        <w:t xml:space="preserve"> our main conclusions</w:t>
      </w:r>
      <w:r w:rsidR="00827CB7" w:rsidRPr="005B7CAC">
        <w:rPr>
          <w:rFonts w:ascii="Times New Roman" w:hAnsi="Times New Roman"/>
          <w:bCs/>
          <w:iCs/>
          <w:sz w:val="24"/>
          <w:szCs w:val="20"/>
          <w:lang w:val="en-US"/>
        </w:rPr>
        <w:t xml:space="preserve">. </w:t>
      </w:r>
      <w:r w:rsidR="00AB021E" w:rsidRPr="005B7CAC">
        <w:rPr>
          <w:rFonts w:ascii="Times New Roman" w:hAnsi="Times New Roman"/>
          <w:bCs/>
          <w:iCs/>
          <w:sz w:val="24"/>
          <w:szCs w:val="24"/>
          <w:lang w:val="en-US"/>
        </w:rPr>
        <w:t>Finally, we</w:t>
      </w:r>
      <w:r w:rsidR="005D5807" w:rsidRPr="005B7CAC">
        <w:rPr>
          <w:rFonts w:ascii="Times New Roman" w:hAnsi="Times New Roman"/>
          <w:bCs/>
          <w:iCs/>
          <w:sz w:val="24"/>
          <w:szCs w:val="24"/>
          <w:lang w:val="en-US"/>
        </w:rPr>
        <w:t xml:space="preserve"> employ</w:t>
      </w:r>
      <w:r w:rsidR="00BE1E5A" w:rsidRPr="005B7CAC">
        <w:rPr>
          <w:rFonts w:ascii="Times New Roman" w:hAnsi="Times New Roman"/>
          <w:bCs/>
          <w:iCs/>
          <w:sz w:val="24"/>
          <w:szCs w:val="24"/>
          <w:lang w:val="en-US"/>
        </w:rPr>
        <w:t xml:space="preserve"> the first and second lag values of the </w:t>
      </w:r>
      <w:r w:rsidR="00BE1E5A" w:rsidRPr="005B7CAC">
        <w:rPr>
          <w:rFonts w:ascii="Times New Roman" w:hAnsi="Times New Roman"/>
          <w:bCs/>
          <w:i/>
          <w:sz w:val="24"/>
          <w:szCs w:val="24"/>
          <w:lang w:val="en-US"/>
        </w:rPr>
        <w:t xml:space="preserve">WAST, WREC, </w:t>
      </w:r>
      <w:r w:rsidR="001A1CB2" w:rsidRPr="005B7CAC">
        <w:rPr>
          <w:rFonts w:ascii="Times New Roman" w:hAnsi="Times New Roman"/>
          <w:bCs/>
          <w:i/>
          <w:sz w:val="24"/>
          <w:szCs w:val="24"/>
          <w:lang w:val="en-US"/>
        </w:rPr>
        <w:t>GINV</w:t>
      </w:r>
      <w:r w:rsidR="00801D47" w:rsidRPr="005B7CAC">
        <w:rPr>
          <w:rFonts w:ascii="Times New Roman" w:hAnsi="Times New Roman"/>
          <w:bCs/>
          <w:i/>
          <w:sz w:val="24"/>
          <w:szCs w:val="24"/>
          <w:lang w:val="en-US"/>
        </w:rPr>
        <w:t>s</w:t>
      </w:r>
      <w:r w:rsidR="00BE1E5A" w:rsidRPr="005B7CAC">
        <w:rPr>
          <w:rFonts w:ascii="Times New Roman" w:hAnsi="Times New Roman"/>
          <w:bCs/>
          <w:iCs/>
          <w:sz w:val="24"/>
          <w:szCs w:val="24"/>
          <w:lang w:val="en-US"/>
        </w:rPr>
        <w:t xml:space="preserve">, and control variables to address possible </w:t>
      </w:r>
      <w:r w:rsidR="00BE1E5A" w:rsidRPr="005B7CAC">
        <w:rPr>
          <w:rFonts w:ascii="Times New Roman" w:hAnsi="Times New Roman"/>
          <w:iCs/>
          <w:sz w:val="24"/>
          <w:szCs w:val="24"/>
          <w:lang w:val="en-US"/>
        </w:rPr>
        <w:t xml:space="preserve">endogeneity associated with </w:t>
      </w:r>
      <w:r w:rsidR="00BE1E5A" w:rsidRPr="005B7CAC">
        <w:rPr>
          <w:rFonts w:ascii="Times New Roman" w:hAnsi="Times New Roman"/>
          <w:bCs/>
          <w:iCs/>
          <w:sz w:val="24"/>
          <w:szCs w:val="24"/>
          <w:lang w:val="en-US"/>
        </w:rPr>
        <w:t xml:space="preserve">causality. </w:t>
      </w:r>
      <w:r w:rsidR="00B6619E" w:rsidRPr="005B7CAC">
        <w:rPr>
          <w:rFonts w:ascii="Times New Roman" w:hAnsi="Times New Roman"/>
          <w:bCs/>
          <w:iCs/>
          <w:sz w:val="24"/>
          <w:szCs w:val="24"/>
          <w:lang w:val="en-US"/>
        </w:rPr>
        <w:t xml:space="preserve">Appendix 2 shows that the results from this analysis are compatible with the main findings. </w:t>
      </w:r>
    </w:p>
    <w:p w14:paraId="2F861992" w14:textId="77777777" w:rsidR="00A23134" w:rsidRPr="005B7CAC" w:rsidRDefault="00A23134" w:rsidP="003D5418">
      <w:pPr>
        <w:widowControl w:val="0"/>
        <w:autoSpaceDE w:val="0"/>
        <w:autoSpaceDN w:val="0"/>
        <w:adjustRightInd w:val="0"/>
        <w:spacing w:after="240" w:line="360" w:lineRule="auto"/>
        <w:jc w:val="both"/>
        <w:rPr>
          <w:rFonts w:ascii="Times New Roman" w:hAnsi="Times New Roman"/>
          <w:bCs/>
          <w:iCs/>
          <w:sz w:val="24"/>
          <w:szCs w:val="24"/>
          <w:lang w:val="en-US"/>
        </w:rPr>
      </w:pPr>
    </w:p>
    <w:p w14:paraId="760CD234" w14:textId="77777777" w:rsidR="00BD6BF3" w:rsidRPr="005B7CAC" w:rsidRDefault="00BD6BF3" w:rsidP="003D5418">
      <w:pPr>
        <w:widowControl w:val="0"/>
        <w:autoSpaceDE w:val="0"/>
        <w:autoSpaceDN w:val="0"/>
        <w:adjustRightInd w:val="0"/>
        <w:spacing w:after="240" w:line="360" w:lineRule="auto"/>
        <w:rPr>
          <w:rFonts w:ascii="Times New Roman" w:hAnsi="Times New Roman"/>
          <w:b/>
          <w:iCs/>
          <w:sz w:val="24"/>
          <w:szCs w:val="20"/>
          <w:lang w:val="en-US"/>
        </w:rPr>
      </w:pPr>
      <w:r w:rsidRPr="005B7CAC">
        <w:rPr>
          <w:rFonts w:ascii="Times New Roman" w:hAnsi="Times New Roman"/>
          <w:b/>
          <w:iCs/>
          <w:sz w:val="24"/>
          <w:szCs w:val="20"/>
          <w:lang w:val="en-US"/>
        </w:rPr>
        <w:t>5. Conclusion</w:t>
      </w:r>
    </w:p>
    <w:p w14:paraId="64E9159E" w14:textId="38B227D2" w:rsidR="00147759" w:rsidRPr="005B7CAC" w:rsidRDefault="00871F91" w:rsidP="003D5418">
      <w:pPr>
        <w:widowControl w:val="0"/>
        <w:autoSpaceDE w:val="0"/>
        <w:autoSpaceDN w:val="0"/>
        <w:adjustRightInd w:val="0"/>
        <w:spacing w:after="240" w:line="360" w:lineRule="auto"/>
        <w:jc w:val="both"/>
        <w:rPr>
          <w:rFonts w:ascii="Times New Roman" w:hAnsi="Times New Roman"/>
          <w:iCs/>
          <w:sz w:val="24"/>
          <w:szCs w:val="20"/>
          <w:lang w:val="en-US"/>
        </w:rPr>
      </w:pPr>
      <w:r w:rsidRPr="005B7CAC">
        <w:rPr>
          <w:rFonts w:ascii="Times New Roman" w:hAnsi="Times New Roman"/>
          <w:iCs/>
          <w:sz w:val="24"/>
          <w:szCs w:val="20"/>
          <w:lang w:val="en-US"/>
        </w:rPr>
        <w:t xml:space="preserve">This study empirically investigates the </w:t>
      </w:r>
      <w:r w:rsidR="005D5807" w:rsidRPr="005B7CAC">
        <w:rPr>
          <w:rFonts w:ascii="Times New Roman" w:hAnsi="Times New Roman"/>
          <w:iCs/>
          <w:sz w:val="24"/>
          <w:szCs w:val="20"/>
          <w:lang w:val="en-US"/>
        </w:rPr>
        <w:t>link</w:t>
      </w:r>
      <w:r w:rsidRPr="005B7CAC">
        <w:rPr>
          <w:rFonts w:ascii="Times New Roman" w:hAnsi="Times New Roman"/>
          <w:iCs/>
          <w:sz w:val="24"/>
          <w:szCs w:val="20"/>
          <w:lang w:val="en-US"/>
        </w:rPr>
        <w:t xml:space="preserve"> between waste management and financial distress and tests whe</w:t>
      </w:r>
      <w:r w:rsidR="000D3AF5" w:rsidRPr="005B7CAC">
        <w:rPr>
          <w:rFonts w:ascii="Times New Roman" w:hAnsi="Times New Roman"/>
          <w:iCs/>
          <w:sz w:val="24"/>
          <w:szCs w:val="20"/>
          <w:lang w:val="en-US"/>
        </w:rPr>
        <w:t xml:space="preserve">ther green </w:t>
      </w:r>
      <w:r w:rsidR="005A2804" w:rsidRPr="005B7CAC">
        <w:rPr>
          <w:rFonts w:ascii="Times New Roman" w:hAnsi="Times New Roman"/>
          <w:iCs/>
          <w:sz w:val="24"/>
          <w:szCs w:val="20"/>
          <w:lang w:val="en-US"/>
        </w:rPr>
        <w:t>initiatives</w:t>
      </w:r>
      <w:r w:rsidR="000D3AF5" w:rsidRPr="005B7CAC">
        <w:rPr>
          <w:rFonts w:ascii="Times New Roman" w:hAnsi="Times New Roman"/>
          <w:iCs/>
          <w:sz w:val="24"/>
          <w:szCs w:val="20"/>
          <w:lang w:val="en-US"/>
        </w:rPr>
        <w:t xml:space="preserve"> moderate</w:t>
      </w:r>
      <w:r w:rsidRPr="005B7CAC">
        <w:rPr>
          <w:rFonts w:ascii="Times New Roman" w:hAnsi="Times New Roman"/>
          <w:iCs/>
          <w:sz w:val="24"/>
          <w:szCs w:val="20"/>
          <w:lang w:val="en-US"/>
        </w:rPr>
        <w:t xml:space="preserve"> the given link in the UK context. </w:t>
      </w:r>
      <w:r w:rsidR="00494FA7" w:rsidRPr="005B7CAC">
        <w:rPr>
          <w:rFonts w:ascii="Times New Roman" w:hAnsi="Times New Roman"/>
          <w:iCs/>
          <w:sz w:val="24"/>
          <w:szCs w:val="20"/>
          <w:lang w:val="en-US"/>
        </w:rPr>
        <w:t xml:space="preserve">We focus on the UK because </w:t>
      </w:r>
      <w:r w:rsidR="00494FA7" w:rsidRPr="005B7CAC">
        <w:rPr>
          <w:rFonts w:ascii="Times New Roman" w:hAnsi="Times New Roman"/>
          <w:iCs/>
          <w:sz w:val="24"/>
          <w:szCs w:val="20"/>
          <w:lang w:val="en-US"/>
        </w:rPr>
        <w:lastRenderedPageBreak/>
        <w:t xml:space="preserve">it is one of the heavily regulated environments with short- and long-term cost and financial implications for corporations. </w:t>
      </w:r>
      <w:r w:rsidRPr="005B7CAC">
        <w:rPr>
          <w:rFonts w:ascii="Times New Roman" w:hAnsi="Times New Roman"/>
          <w:iCs/>
          <w:sz w:val="24"/>
          <w:szCs w:val="20"/>
          <w:lang w:val="en-US"/>
        </w:rPr>
        <w:t xml:space="preserve">The results </w:t>
      </w:r>
      <w:r w:rsidR="000D3AF5" w:rsidRPr="005B7CAC">
        <w:rPr>
          <w:rFonts w:ascii="Times New Roman" w:hAnsi="Times New Roman"/>
          <w:iCs/>
          <w:sz w:val="24"/>
          <w:szCs w:val="20"/>
          <w:lang w:val="en-US"/>
        </w:rPr>
        <w:t xml:space="preserve">reveal </w:t>
      </w:r>
      <w:r w:rsidR="00B35A43" w:rsidRPr="005B7CAC">
        <w:rPr>
          <w:rFonts w:ascii="Times New Roman" w:hAnsi="Times New Roman"/>
          <w:iCs/>
          <w:sz w:val="24"/>
          <w:szCs w:val="20"/>
          <w:lang w:val="en-US"/>
        </w:rPr>
        <w:t>that financial distress likelihood decreases substantially</w:t>
      </w:r>
      <w:r w:rsidR="003E6125">
        <w:rPr>
          <w:rFonts w:ascii="Times New Roman" w:hAnsi="Times New Roman"/>
          <w:iCs/>
          <w:sz w:val="24"/>
          <w:szCs w:val="20"/>
          <w:lang w:val="en-US"/>
        </w:rPr>
        <w:t xml:space="preserve"> </w:t>
      </w:r>
      <w:r w:rsidR="00B35A43" w:rsidRPr="005B7CAC">
        <w:rPr>
          <w:rFonts w:ascii="Times New Roman" w:hAnsi="Times New Roman"/>
          <w:iCs/>
          <w:sz w:val="24"/>
          <w:szCs w:val="20"/>
          <w:lang w:val="en-US"/>
        </w:rPr>
        <w:t xml:space="preserve">when waste generation declines and waste recycling increases, </w:t>
      </w:r>
      <w:r w:rsidR="0072616D" w:rsidRPr="005B7CAC">
        <w:rPr>
          <w:rFonts w:ascii="Times New Roman" w:hAnsi="Times New Roman"/>
          <w:iCs/>
          <w:sz w:val="24"/>
          <w:szCs w:val="20"/>
          <w:lang w:val="en-US"/>
        </w:rPr>
        <w:t>suggesting that firms with better waste performance and management practices have lower levels of financial distress.</w:t>
      </w:r>
      <w:r w:rsidR="004E06B8" w:rsidRPr="005B7CAC">
        <w:rPr>
          <w:rFonts w:ascii="Times New Roman" w:hAnsi="Times New Roman"/>
          <w:iCs/>
          <w:sz w:val="24"/>
          <w:szCs w:val="20"/>
          <w:lang w:val="en-US"/>
        </w:rPr>
        <w:t xml:space="preserve"> Further, the moderation analysis demonstrates </w:t>
      </w:r>
      <w:r w:rsidR="004D35C7" w:rsidRPr="005B7CAC">
        <w:rPr>
          <w:rFonts w:ascii="Times New Roman" w:hAnsi="Times New Roman"/>
          <w:iCs/>
          <w:sz w:val="24"/>
          <w:szCs w:val="20"/>
          <w:lang w:val="en-US"/>
        </w:rPr>
        <w:t>that</w:t>
      </w:r>
      <w:r w:rsidR="00B35A43" w:rsidRPr="005B7CAC">
        <w:rPr>
          <w:rFonts w:ascii="Times New Roman" w:hAnsi="Times New Roman"/>
          <w:iCs/>
          <w:sz w:val="24"/>
          <w:szCs w:val="20"/>
          <w:lang w:val="en-US"/>
        </w:rPr>
        <w:t xml:space="preserve"> </w:t>
      </w:r>
      <w:r w:rsidR="005A2804" w:rsidRPr="005B7CAC">
        <w:rPr>
          <w:rFonts w:ascii="Times New Roman" w:hAnsi="Times New Roman"/>
          <w:iCs/>
          <w:sz w:val="24"/>
          <w:szCs w:val="20"/>
          <w:lang w:val="en-US"/>
        </w:rPr>
        <w:t>increased</w:t>
      </w:r>
      <w:r w:rsidR="00B35A43" w:rsidRPr="005B7CAC">
        <w:rPr>
          <w:rFonts w:ascii="Times New Roman" w:hAnsi="Times New Roman"/>
          <w:iCs/>
          <w:sz w:val="24"/>
          <w:szCs w:val="20"/>
          <w:lang w:val="en-US"/>
        </w:rPr>
        <w:t xml:space="preserve"> </w:t>
      </w:r>
      <w:r w:rsidR="004D35C7" w:rsidRPr="005B7CAC">
        <w:rPr>
          <w:rFonts w:ascii="Times New Roman" w:hAnsi="Times New Roman"/>
          <w:iCs/>
          <w:sz w:val="24"/>
          <w:szCs w:val="20"/>
          <w:lang w:val="en-US"/>
        </w:rPr>
        <w:t xml:space="preserve">green </w:t>
      </w:r>
      <w:r w:rsidR="005A2804" w:rsidRPr="005B7CAC">
        <w:rPr>
          <w:rFonts w:ascii="Times New Roman" w:hAnsi="Times New Roman"/>
          <w:iCs/>
          <w:sz w:val="24"/>
          <w:szCs w:val="20"/>
          <w:lang w:val="en-US"/>
        </w:rPr>
        <w:t>initiatives</w:t>
      </w:r>
      <w:r w:rsidR="00B35A43" w:rsidRPr="005B7CAC">
        <w:rPr>
          <w:rFonts w:ascii="Times New Roman" w:hAnsi="Times New Roman"/>
          <w:iCs/>
          <w:sz w:val="24"/>
          <w:szCs w:val="20"/>
          <w:lang w:val="en-US"/>
        </w:rPr>
        <w:t xml:space="preserve"> weaken the adverse financial effects of waste generation, thus demonstrating </w:t>
      </w:r>
      <w:r w:rsidR="005004DC" w:rsidRPr="005B7CAC">
        <w:rPr>
          <w:rFonts w:ascii="Times New Roman" w:hAnsi="Times New Roman"/>
          <w:iCs/>
          <w:sz w:val="24"/>
          <w:szCs w:val="20"/>
          <w:lang w:val="en-US"/>
        </w:rPr>
        <w:t xml:space="preserve">their </w:t>
      </w:r>
      <w:r w:rsidR="00B35A43" w:rsidRPr="005B7CAC">
        <w:rPr>
          <w:rFonts w:ascii="Times New Roman" w:hAnsi="Times New Roman"/>
          <w:iCs/>
          <w:sz w:val="24"/>
          <w:szCs w:val="20"/>
          <w:lang w:val="en-US"/>
        </w:rPr>
        <w:t>importance in enhancing environmental and financial sustainability.</w:t>
      </w:r>
      <w:r w:rsidR="00EF46D5" w:rsidRPr="005B7CAC">
        <w:rPr>
          <w:rFonts w:ascii="Times New Roman" w:hAnsi="Times New Roman"/>
          <w:iCs/>
          <w:sz w:val="24"/>
          <w:szCs w:val="20"/>
          <w:lang w:val="en-US"/>
        </w:rPr>
        <w:t xml:space="preserve"> T</w:t>
      </w:r>
      <w:r w:rsidR="004E06B8" w:rsidRPr="005B7CAC">
        <w:rPr>
          <w:rFonts w:ascii="Times New Roman" w:hAnsi="Times New Roman"/>
          <w:iCs/>
          <w:sz w:val="24"/>
          <w:szCs w:val="20"/>
          <w:lang w:val="en-US"/>
        </w:rPr>
        <w:t xml:space="preserve">he results also </w:t>
      </w:r>
      <w:r w:rsidR="005D5807" w:rsidRPr="005B7CAC">
        <w:rPr>
          <w:rFonts w:ascii="Times New Roman" w:hAnsi="Times New Roman"/>
          <w:iCs/>
          <w:sz w:val="24"/>
          <w:szCs w:val="20"/>
          <w:lang w:val="en-US"/>
        </w:rPr>
        <w:t>specify</w:t>
      </w:r>
      <w:r w:rsidR="004E06B8" w:rsidRPr="005B7CAC">
        <w:rPr>
          <w:rFonts w:ascii="Times New Roman" w:hAnsi="Times New Roman"/>
          <w:iCs/>
          <w:sz w:val="24"/>
          <w:szCs w:val="20"/>
          <w:lang w:val="en-US"/>
        </w:rPr>
        <w:t xml:space="preserve"> that </w:t>
      </w:r>
      <w:r w:rsidR="004E06B8" w:rsidRPr="005B7CAC">
        <w:rPr>
          <w:rFonts w:ascii="Times New Roman" w:hAnsi="Times New Roman"/>
          <w:bCs/>
          <w:iCs/>
          <w:sz w:val="24"/>
          <w:szCs w:val="20"/>
          <w:lang w:val="en-US"/>
        </w:rPr>
        <w:t xml:space="preserve">while both waste recycling and green </w:t>
      </w:r>
      <w:r w:rsidR="005A2804" w:rsidRPr="005B7CAC">
        <w:rPr>
          <w:rFonts w:ascii="Times New Roman" w:hAnsi="Times New Roman"/>
          <w:bCs/>
          <w:iCs/>
          <w:sz w:val="24"/>
          <w:szCs w:val="20"/>
          <w:lang w:val="en-US"/>
        </w:rPr>
        <w:t xml:space="preserve">initiatives </w:t>
      </w:r>
      <w:r w:rsidR="004E06B8" w:rsidRPr="005B7CAC">
        <w:rPr>
          <w:rFonts w:ascii="Times New Roman" w:hAnsi="Times New Roman"/>
          <w:bCs/>
          <w:iCs/>
          <w:sz w:val="24"/>
          <w:szCs w:val="20"/>
          <w:lang w:val="en-US"/>
        </w:rPr>
        <w:t xml:space="preserve">reduce </w:t>
      </w:r>
      <w:r w:rsidR="002D563F" w:rsidRPr="005B7CAC">
        <w:rPr>
          <w:rFonts w:ascii="Times New Roman" w:hAnsi="Times New Roman"/>
          <w:bCs/>
          <w:iCs/>
          <w:sz w:val="24"/>
          <w:szCs w:val="20"/>
          <w:lang w:val="en-US"/>
        </w:rPr>
        <w:t>financial distress</w:t>
      </w:r>
      <w:r w:rsidR="004E06B8" w:rsidRPr="005B7CAC">
        <w:rPr>
          <w:rFonts w:ascii="Times New Roman" w:hAnsi="Times New Roman"/>
          <w:bCs/>
          <w:iCs/>
          <w:sz w:val="24"/>
          <w:szCs w:val="20"/>
          <w:lang w:val="en-US"/>
        </w:rPr>
        <w:t xml:space="preserve">, </w:t>
      </w:r>
      <w:r w:rsidR="007B1FE1" w:rsidRPr="005B7CAC">
        <w:rPr>
          <w:rFonts w:ascii="Times New Roman" w:hAnsi="Times New Roman"/>
          <w:bCs/>
          <w:iCs/>
          <w:sz w:val="24"/>
          <w:szCs w:val="20"/>
          <w:lang w:val="en-US"/>
        </w:rPr>
        <w:t xml:space="preserve">the impact of </w:t>
      </w:r>
      <w:r w:rsidR="002D563F" w:rsidRPr="005B7CAC">
        <w:rPr>
          <w:rFonts w:ascii="Times New Roman" w:hAnsi="Times New Roman"/>
          <w:bCs/>
          <w:iCs/>
          <w:sz w:val="24"/>
          <w:szCs w:val="20"/>
          <w:lang w:val="en-US"/>
        </w:rPr>
        <w:t>waste recycling on</w:t>
      </w:r>
      <w:r w:rsidR="007B1FE1" w:rsidRPr="005B7CAC">
        <w:rPr>
          <w:rFonts w:ascii="Times New Roman" w:hAnsi="Times New Roman"/>
          <w:bCs/>
          <w:iCs/>
          <w:sz w:val="24"/>
          <w:szCs w:val="20"/>
          <w:lang w:val="en-US"/>
        </w:rPr>
        <w:t xml:space="preserve"> </w:t>
      </w:r>
      <w:r w:rsidR="002D563F" w:rsidRPr="005B7CAC">
        <w:rPr>
          <w:rFonts w:ascii="Times New Roman" w:hAnsi="Times New Roman"/>
          <w:bCs/>
          <w:iCs/>
          <w:sz w:val="24"/>
          <w:szCs w:val="20"/>
          <w:lang w:val="en-US"/>
        </w:rPr>
        <w:t>financial distress</w:t>
      </w:r>
      <w:r w:rsidR="007B1FE1" w:rsidRPr="005B7CAC">
        <w:rPr>
          <w:rFonts w:ascii="Times New Roman" w:hAnsi="Times New Roman"/>
          <w:bCs/>
          <w:iCs/>
          <w:sz w:val="24"/>
          <w:szCs w:val="20"/>
          <w:lang w:val="en-US"/>
        </w:rPr>
        <w:t xml:space="preserve"> is reduced when green</w:t>
      </w:r>
      <w:r w:rsidR="005A2804" w:rsidRPr="005B7CAC">
        <w:rPr>
          <w:rFonts w:ascii="Times New Roman" w:hAnsi="Times New Roman"/>
          <w:bCs/>
          <w:iCs/>
          <w:sz w:val="24"/>
          <w:szCs w:val="20"/>
          <w:lang w:val="en-US"/>
        </w:rPr>
        <w:t xml:space="preserve"> initiatives</w:t>
      </w:r>
      <w:r w:rsidR="007B1FE1" w:rsidRPr="005B7CAC">
        <w:rPr>
          <w:rFonts w:ascii="Times New Roman" w:hAnsi="Times New Roman"/>
          <w:bCs/>
          <w:iCs/>
          <w:sz w:val="24"/>
          <w:szCs w:val="20"/>
          <w:lang w:val="en-US"/>
        </w:rPr>
        <w:t xml:space="preserve"> </w:t>
      </w:r>
      <w:r w:rsidR="005A2804" w:rsidRPr="005B7CAC">
        <w:rPr>
          <w:rFonts w:ascii="Times New Roman" w:hAnsi="Times New Roman"/>
          <w:bCs/>
          <w:iCs/>
          <w:sz w:val="24"/>
          <w:szCs w:val="20"/>
          <w:lang w:val="en-US"/>
        </w:rPr>
        <w:t>are</w:t>
      </w:r>
      <w:r w:rsidR="007B1FE1" w:rsidRPr="005B7CAC">
        <w:rPr>
          <w:rFonts w:ascii="Times New Roman" w:hAnsi="Times New Roman"/>
          <w:bCs/>
          <w:iCs/>
          <w:sz w:val="24"/>
          <w:szCs w:val="20"/>
          <w:lang w:val="en-US"/>
        </w:rPr>
        <w:t xml:space="preserve"> introduced, suggesting that both climate mitigation efforts </w:t>
      </w:r>
      <w:r w:rsidR="008D3638" w:rsidRPr="005B7CAC">
        <w:rPr>
          <w:rFonts w:ascii="Times New Roman" w:hAnsi="Times New Roman"/>
          <w:bCs/>
          <w:iCs/>
          <w:sz w:val="24"/>
          <w:szCs w:val="20"/>
          <w:lang w:val="en-US"/>
        </w:rPr>
        <w:t xml:space="preserve">have </w:t>
      </w:r>
      <w:r w:rsidR="004E06B8" w:rsidRPr="005B7CAC">
        <w:rPr>
          <w:rFonts w:ascii="Times New Roman" w:hAnsi="Times New Roman"/>
          <w:bCs/>
          <w:iCs/>
          <w:sz w:val="24"/>
          <w:szCs w:val="20"/>
          <w:lang w:val="en-US"/>
        </w:rPr>
        <w:t xml:space="preserve">a substitutive effect on financial sustainability. </w:t>
      </w:r>
      <w:r w:rsidRPr="005B7CAC">
        <w:rPr>
          <w:rFonts w:ascii="Times New Roman" w:hAnsi="Times New Roman"/>
          <w:iCs/>
          <w:sz w:val="24"/>
          <w:szCs w:val="20"/>
          <w:lang w:val="en-US"/>
        </w:rPr>
        <w:t xml:space="preserve">The findings are robust to using alternative measures and employing </w:t>
      </w:r>
      <w:r w:rsidR="0072616D" w:rsidRPr="005B7CAC">
        <w:rPr>
          <w:rFonts w:ascii="Times New Roman" w:hAnsi="Times New Roman"/>
          <w:iCs/>
          <w:sz w:val="24"/>
          <w:szCs w:val="20"/>
          <w:lang w:val="en-US"/>
        </w:rPr>
        <w:t xml:space="preserve">the </w:t>
      </w:r>
      <w:r w:rsidRPr="005B7CAC">
        <w:rPr>
          <w:rFonts w:ascii="Times New Roman" w:hAnsi="Times New Roman"/>
          <w:iCs/>
          <w:sz w:val="24"/>
          <w:szCs w:val="20"/>
          <w:lang w:val="en-US"/>
        </w:rPr>
        <w:t>2SLS and Heckman</w:t>
      </w:r>
      <w:r w:rsidR="0072616D" w:rsidRPr="005B7CAC">
        <w:rPr>
          <w:rFonts w:ascii="Times New Roman" w:hAnsi="Times New Roman"/>
          <w:iCs/>
          <w:sz w:val="24"/>
          <w:szCs w:val="20"/>
          <w:lang w:val="en-US"/>
        </w:rPr>
        <w:t xml:space="preserve"> estimations</w:t>
      </w:r>
      <w:r w:rsidR="00C43933" w:rsidRPr="005B7CAC">
        <w:rPr>
          <w:rFonts w:ascii="Times New Roman" w:hAnsi="Times New Roman"/>
          <w:iCs/>
          <w:sz w:val="24"/>
          <w:szCs w:val="20"/>
          <w:lang w:val="en-US"/>
        </w:rPr>
        <w:t xml:space="preserve"> to control for potential endogeneity</w:t>
      </w:r>
      <w:r w:rsidR="0072616D" w:rsidRPr="005B7CAC">
        <w:rPr>
          <w:rFonts w:ascii="Times New Roman" w:hAnsi="Times New Roman"/>
          <w:iCs/>
          <w:sz w:val="24"/>
          <w:szCs w:val="20"/>
          <w:lang w:val="en-US"/>
        </w:rPr>
        <w:t xml:space="preserve">.  </w:t>
      </w:r>
    </w:p>
    <w:p w14:paraId="5CEF2AA2" w14:textId="73435B60" w:rsidR="00385FFE" w:rsidRPr="005B7CAC" w:rsidRDefault="008E5E5C" w:rsidP="003D5418">
      <w:pPr>
        <w:widowControl w:val="0"/>
        <w:autoSpaceDE w:val="0"/>
        <w:autoSpaceDN w:val="0"/>
        <w:adjustRightInd w:val="0"/>
        <w:spacing w:after="240" w:line="360" w:lineRule="auto"/>
        <w:jc w:val="both"/>
        <w:rPr>
          <w:rFonts w:ascii="Times New Roman" w:hAnsi="Times New Roman"/>
          <w:iCs/>
          <w:sz w:val="24"/>
          <w:szCs w:val="20"/>
          <w:lang w:val="en-US"/>
        </w:rPr>
      </w:pPr>
      <w:r w:rsidRPr="005B7CAC">
        <w:rPr>
          <w:rFonts w:ascii="Times New Roman" w:hAnsi="Times New Roman"/>
          <w:iCs/>
          <w:sz w:val="24"/>
          <w:szCs w:val="20"/>
          <w:lang w:val="en-US"/>
        </w:rPr>
        <w:t xml:space="preserve">The findings of this work have </w:t>
      </w:r>
      <w:r w:rsidR="00A02F3B" w:rsidRPr="005B7CAC">
        <w:rPr>
          <w:rFonts w:ascii="Times New Roman" w:hAnsi="Times New Roman"/>
          <w:iCs/>
          <w:sz w:val="24"/>
          <w:szCs w:val="20"/>
          <w:lang w:val="en-US"/>
        </w:rPr>
        <w:t xml:space="preserve">several </w:t>
      </w:r>
      <w:r w:rsidRPr="005B7CAC">
        <w:rPr>
          <w:rFonts w:ascii="Times New Roman" w:hAnsi="Times New Roman"/>
          <w:iCs/>
          <w:sz w:val="24"/>
          <w:szCs w:val="20"/>
          <w:lang w:val="en-US"/>
        </w:rPr>
        <w:t>important implications for organizational stakeholders</w:t>
      </w:r>
      <w:r w:rsidR="00D75141" w:rsidRPr="005B7CAC">
        <w:rPr>
          <w:rFonts w:ascii="Times New Roman" w:hAnsi="Times New Roman"/>
          <w:iCs/>
          <w:sz w:val="24"/>
          <w:szCs w:val="20"/>
          <w:lang w:val="en-US"/>
        </w:rPr>
        <w:t xml:space="preserve"> to promote green initiatives and enhance sustainability performance</w:t>
      </w:r>
      <w:r w:rsidRPr="005B7CAC">
        <w:rPr>
          <w:rFonts w:ascii="Times New Roman" w:hAnsi="Times New Roman"/>
          <w:iCs/>
          <w:sz w:val="24"/>
          <w:szCs w:val="20"/>
          <w:lang w:val="en-US"/>
        </w:rPr>
        <w:t>.</w:t>
      </w:r>
      <w:r w:rsidR="00D75141" w:rsidRPr="005B7CAC">
        <w:rPr>
          <w:rFonts w:ascii="Times New Roman" w:hAnsi="Times New Roman"/>
          <w:iCs/>
          <w:sz w:val="24"/>
          <w:szCs w:val="20"/>
          <w:lang w:val="en-US"/>
        </w:rPr>
        <w:t xml:space="preserve"> C</w:t>
      </w:r>
      <w:r w:rsidR="000A2435" w:rsidRPr="005B7CAC">
        <w:rPr>
          <w:rFonts w:ascii="Times New Roman" w:hAnsi="Times New Roman"/>
          <w:iCs/>
          <w:sz w:val="24"/>
          <w:szCs w:val="20"/>
          <w:lang w:val="en-US"/>
        </w:rPr>
        <w:t>orporate executives and board members</w:t>
      </w:r>
      <w:r w:rsidR="00D75141" w:rsidRPr="005B7CAC">
        <w:rPr>
          <w:rFonts w:ascii="Times New Roman" w:hAnsi="Times New Roman"/>
          <w:iCs/>
          <w:sz w:val="24"/>
          <w:szCs w:val="20"/>
          <w:lang w:val="en-US"/>
        </w:rPr>
        <w:t xml:space="preserve"> are encouraged to tackle climate risks</w:t>
      </w:r>
      <w:r w:rsidR="00D05495">
        <w:rPr>
          <w:rFonts w:ascii="Times New Roman" w:hAnsi="Times New Roman"/>
          <w:iCs/>
          <w:sz w:val="24"/>
          <w:szCs w:val="20"/>
          <w:lang w:val="en-US"/>
        </w:rPr>
        <w:t>/</w:t>
      </w:r>
      <w:r w:rsidR="00D75141" w:rsidRPr="005B7CAC">
        <w:rPr>
          <w:rFonts w:ascii="Times New Roman" w:hAnsi="Times New Roman"/>
          <w:iCs/>
          <w:sz w:val="24"/>
          <w:szCs w:val="20"/>
          <w:lang w:val="en-US"/>
        </w:rPr>
        <w:t xml:space="preserve">threats by </w:t>
      </w:r>
      <w:r w:rsidR="00D05495">
        <w:rPr>
          <w:rFonts w:ascii="Times New Roman" w:hAnsi="Times New Roman"/>
          <w:iCs/>
          <w:sz w:val="24"/>
          <w:szCs w:val="20"/>
          <w:lang w:val="en-US"/>
        </w:rPr>
        <w:t xml:space="preserve">implementing </w:t>
      </w:r>
      <w:r w:rsidR="00D75141" w:rsidRPr="005B7CAC">
        <w:rPr>
          <w:rFonts w:ascii="Times New Roman" w:hAnsi="Times New Roman"/>
          <w:iCs/>
          <w:sz w:val="24"/>
          <w:szCs w:val="20"/>
          <w:lang w:val="en-US"/>
        </w:rPr>
        <w:t xml:space="preserve">effective </w:t>
      </w:r>
      <w:r w:rsidR="00D75141" w:rsidRPr="005B7CAC">
        <w:rPr>
          <w:rFonts w:ascii="Times New Roman" w:hAnsi="Times New Roman"/>
          <w:i/>
          <w:sz w:val="24"/>
          <w:szCs w:val="20"/>
          <w:lang w:val="en-US"/>
        </w:rPr>
        <w:t>WM</w:t>
      </w:r>
      <w:r w:rsidR="00D75141" w:rsidRPr="005B7CAC">
        <w:rPr>
          <w:rFonts w:ascii="Times New Roman" w:hAnsi="Times New Roman"/>
          <w:iCs/>
          <w:sz w:val="24"/>
          <w:szCs w:val="20"/>
          <w:lang w:val="en-US"/>
        </w:rPr>
        <w:t xml:space="preserve"> practices and introducing proactive green innovations, which </w:t>
      </w:r>
      <w:r w:rsidR="004A6773">
        <w:rPr>
          <w:rFonts w:ascii="Times New Roman" w:hAnsi="Times New Roman"/>
          <w:iCs/>
          <w:sz w:val="24"/>
          <w:szCs w:val="20"/>
          <w:lang w:val="en-US"/>
        </w:rPr>
        <w:t xml:space="preserve">may </w:t>
      </w:r>
      <w:r w:rsidR="00877F63" w:rsidRPr="005B7CAC">
        <w:rPr>
          <w:rFonts w:ascii="Times New Roman" w:hAnsi="Times New Roman"/>
          <w:iCs/>
          <w:sz w:val="24"/>
          <w:szCs w:val="20"/>
          <w:lang w:val="en-US"/>
        </w:rPr>
        <w:t>improve</w:t>
      </w:r>
      <w:r w:rsidR="004A6773">
        <w:rPr>
          <w:rFonts w:ascii="Times New Roman" w:hAnsi="Times New Roman"/>
          <w:iCs/>
          <w:sz w:val="24"/>
          <w:szCs w:val="20"/>
          <w:lang w:val="en-US"/>
        </w:rPr>
        <w:t xml:space="preserve"> </w:t>
      </w:r>
      <w:r w:rsidR="00877F63" w:rsidRPr="005B7CAC">
        <w:rPr>
          <w:rFonts w:ascii="Times New Roman" w:hAnsi="Times New Roman"/>
          <w:iCs/>
          <w:sz w:val="24"/>
          <w:szCs w:val="20"/>
          <w:lang w:val="en-US"/>
        </w:rPr>
        <w:t xml:space="preserve">financial </w:t>
      </w:r>
      <w:r w:rsidR="004A6773">
        <w:rPr>
          <w:rFonts w:ascii="Times New Roman" w:hAnsi="Times New Roman"/>
          <w:iCs/>
          <w:sz w:val="24"/>
          <w:szCs w:val="20"/>
          <w:lang w:val="en-US"/>
        </w:rPr>
        <w:t>sustainability</w:t>
      </w:r>
      <w:r w:rsidR="00877F63" w:rsidRPr="005B7CAC">
        <w:rPr>
          <w:rFonts w:ascii="Times New Roman" w:hAnsi="Times New Roman"/>
          <w:iCs/>
          <w:sz w:val="24"/>
          <w:szCs w:val="20"/>
          <w:lang w:val="en-US"/>
        </w:rPr>
        <w:t>.</w:t>
      </w:r>
      <w:r w:rsidR="004A6773">
        <w:rPr>
          <w:rFonts w:ascii="Times New Roman" w:hAnsi="Times New Roman"/>
          <w:iCs/>
          <w:sz w:val="24"/>
          <w:szCs w:val="20"/>
          <w:lang w:val="en-US"/>
        </w:rPr>
        <w:t xml:space="preserve"> </w:t>
      </w:r>
      <w:r w:rsidR="00877F63" w:rsidRPr="005B7CAC">
        <w:rPr>
          <w:rFonts w:ascii="Times New Roman" w:hAnsi="Times New Roman"/>
          <w:iCs/>
          <w:sz w:val="24"/>
          <w:szCs w:val="20"/>
          <w:lang w:val="en-US"/>
        </w:rPr>
        <w:t>They also need</w:t>
      </w:r>
      <w:r w:rsidR="000A2435" w:rsidRPr="005B7CAC">
        <w:rPr>
          <w:rFonts w:ascii="Times New Roman" w:hAnsi="Times New Roman"/>
          <w:iCs/>
          <w:sz w:val="24"/>
          <w:szCs w:val="20"/>
          <w:lang w:val="en-US"/>
        </w:rPr>
        <w:t xml:space="preserve"> to carefully balance their green </w:t>
      </w:r>
      <w:r w:rsidR="005A2804" w:rsidRPr="005B7CAC">
        <w:rPr>
          <w:rFonts w:ascii="Times New Roman" w:hAnsi="Times New Roman"/>
          <w:iCs/>
          <w:sz w:val="24"/>
          <w:szCs w:val="20"/>
          <w:lang w:val="en-US"/>
        </w:rPr>
        <w:t>transformation</w:t>
      </w:r>
      <w:r w:rsidR="000A2435" w:rsidRPr="005B7CAC">
        <w:rPr>
          <w:rFonts w:ascii="Times New Roman" w:hAnsi="Times New Roman"/>
          <w:iCs/>
          <w:sz w:val="24"/>
          <w:szCs w:val="20"/>
          <w:lang w:val="en-US"/>
        </w:rPr>
        <w:t xml:space="preserve"> initiatives with their waste recycling efforts to achieve optimal financial sustainability.</w:t>
      </w:r>
      <w:r w:rsidR="00877F63" w:rsidRPr="005B7CAC">
        <w:rPr>
          <w:rFonts w:ascii="Times New Roman" w:hAnsi="Times New Roman"/>
          <w:iCs/>
          <w:sz w:val="24"/>
          <w:szCs w:val="20"/>
          <w:lang w:val="en-US"/>
        </w:rPr>
        <w:t xml:space="preserve"> Further, whe</w:t>
      </w:r>
      <w:r w:rsidR="00027FE4" w:rsidRPr="005B7CAC">
        <w:rPr>
          <w:rFonts w:ascii="Times New Roman" w:hAnsi="Times New Roman"/>
          <w:iCs/>
          <w:sz w:val="24"/>
          <w:szCs w:val="20"/>
          <w:lang w:val="en-US"/>
        </w:rPr>
        <w:t>n creating</w:t>
      </w:r>
      <w:r w:rsidR="00F466E4" w:rsidRPr="005B7CAC">
        <w:rPr>
          <w:rFonts w:ascii="Times New Roman" w:hAnsi="Times New Roman"/>
          <w:iCs/>
          <w:sz w:val="24"/>
          <w:szCs w:val="20"/>
          <w:lang w:val="en-US"/>
        </w:rPr>
        <w:t xml:space="preserve"> a diversified and effective investment portfolio, global investors should carefully assess climate </w:t>
      </w:r>
      <w:r w:rsidR="00F716B6" w:rsidRPr="005B7CAC">
        <w:rPr>
          <w:rFonts w:ascii="Times New Roman" w:hAnsi="Times New Roman"/>
          <w:iCs/>
          <w:sz w:val="24"/>
          <w:szCs w:val="20"/>
          <w:lang w:val="en-US"/>
        </w:rPr>
        <w:t xml:space="preserve">change </w:t>
      </w:r>
      <w:r w:rsidR="00F466E4" w:rsidRPr="005B7CAC">
        <w:rPr>
          <w:rFonts w:ascii="Times New Roman" w:hAnsi="Times New Roman"/>
          <w:iCs/>
          <w:sz w:val="24"/>
          <w:szCs w:val="20"/>
          <w:lang w:val="en-US"/>
        </w:rPr>
        <w:t xml:space="preserve">issues and select firms with effective </w:t>
      </w:r>
      <w:r w:rsidR="00F466E4" w:rsidRPr="005B7CAC">
        <w:rPr>
          <w:rFonts w:ascii="Times New Roman" w:hAnsi="Times New Roman"/>
          <w:i/>
          <w:iCs/>
          <w:sz w:val="24"/>
          <w:szCs w:val="20"/>
          <w:lang w:val="en-US"/>
        </w:rPr>
        <w:t>WM</w:t>
      </w:r>
      <w:r w:rsidR="00F466E4" w:rsidRPr="005B7CAC">
        <w:rPr>
          <w:rFonts w:ascii="Times New Roman" w:hAnsi="Times New Roman"/>
          <w:iCs/>
          <w:sz w:val="24"/>
          <w:szCs w:val="20"/>
          <w:lang w:val="en-US"/>
        </w:rPr>
        <w:t xml:space="preserve"> </w:t>
      </w:r>
      <w:r w:rsidR="00F716B6" w:rsidRPr="005B7CAC">
        <w:rPr>
          <w:rFonts w:ascii="Times New Roman" w:hAnsi="Times New Roman"/>
          <w:iCs/>
          <w:sz w:val="24"/>
          <w:szCs w:val="20"/>
          <w:lang w:val="en-US"/>
        </w:rPr>
        <w:t>practices</w:t>
      </w:r>
      <w:r w:rsidR="00F466E4" w:rsidRPr="005B7CAC">
        <w:rPr>
          <w:rFonts w:ascii="Times New Roman" w:hAnsi="Times New Roman"/>
          <w:iCs/>
          <w:sz w:val="24"/>
          <w:szCs w:val="20"/>
          <w:lang w:val="en-US"/>
        </w:rPr>
        <w:t xml:space="preserve">/policies, innovative </w:t>
      </w:r>
      <w:r w:rsidR="00F716B6" w:rsidRPr="005B7CAC">
        <w:rPr>
          <w:rFonts w:ascii="Times New Roman" w:hAnsi="Times New Roman"/>
          <w:iCs/>
          <w:sz w:val="24"/>
          <w:szCs w:val="20"/>
          <w:lang w:val="en-US"/>
        </w:rPr>
        <w:t xml:space="preserve">environmental technologies, and eco-designed products/services. </w:t>
      </w:r>
      <w:r w:rsidR="00C63110" w:rsidRPr="005B7CAC">
        <w:rPr>
          <w:rFonts w:ascii="Times New Roman" w:hAnsi="Times New Roman"/>
          <w:iCs/>
          <w:sz w:val="24"/>
          <w:szCs w:val="20"/>
          <w:lang w:val="en-US"/>
        </w:rPr>
        <w:t xml:space="preserve">To ensure effective management and allocation of portfolio assets, it is </w:t>
      </w:r>
      <w:r w:rsidR="007F7766" w:rsidRPr="005B7CAC">
        <w:rPr>
          <w:rFonts w:ascii="Times New Roman" w:hAnsi="Times New Roman"/>
          <w:iCs/>
          <w:sz w:val="24"/>
          <w:szCs w:val="20"/>
          <w:lang w:val="en-US"/>
        </w:rPr>
        <w:t xml:space="preserve">also </w:t>
      </w:r>
      <w:r w:rsidR="00C63110" w:rsidRPr="005B7CAC">
        <w:rPr>
          <w:rFonts w:ascii="Times New Roman" w:hAnsi="Times New Roman"/>
          <w:iCs/>
          <w:sz w:val="24"/>
          <w:szCs w:val="20"/>
          <w:lang w:val="en-US"/>
        </w:rPr>
        <w:t xml:space="preserve">important to consider the fact that firm financial risks can be reduced by proactive </w:t>
      </w:r>
      <w:r w:rsidR="00F716B6" w:rsidRPr="005B7CAC">
        <w:rPr>
          <w:rFonts w:ascii="Times New Roman" w:hAnsi="Times New Roman"/>
          <w:iCs/>
          <w:sz w:val="24"/>
          <w:szCs w:val="20"/>
          <w:lang w:val="en-US"/>
        </w:rPr>
        <w:t>green initiatives</w:t>
      </w:r>
      <w:r w:rsidR="00C63110" w:rsidRPr="005B7CAC">
        <w:rPr>
          <w:rFonts w:ascii="Times New Roman" w:hAnsi="Times New Roman"/>
          <w:iCs/>
          <w:sz w:val="24"/>
          <w:szCs w:val="20"/>
          <w:lang w:val="en-US"/>
        </w:rPr>
        <w:t>/strategies</w:t>
      </w:r>
      <w:r w:rsidR="00A165C4" w:rsidRPr="005B7CAC">
        <w:rPr>
          <w:rFonts w:ascii="Times New Roman" w:hAnsi="Times New Roman"/>
          <w:iCs/>
          <w:sz w:val="24"/>
          <w:szCs w:val="20"/>
          <w:lang w:val="en-US"/>
        </w:rPr>
        <w:t xml:space="preserve">, reduced waste generation, and improved waste recycling. </w:t>
      </w:r>
      <w:r w:rsidR="00877F63" w:rsidRPr="005B7CAC">
        <w:rPr>
          <w:rFonts w:ascii="Times New Roman" w:hAnsi="Times New Roman"/>
          <w:iCs/>
          <w:sz w:val="24"/>
          <w:szCs w:val="20"/>
          <w:lang w:val="en-US"/>
        </w:rPr>
        <w:t>The findings also suggest that</w:t>
      </w:r>
      <w:r w:rsidR="007F7766" w:rsidRPr="005B7CAC">
        <w:rPr>
          <w:rFonts w:ascii="Times New Roman" w:hAnsi="Times New Roman"/>
          <w:iCs/>
          <w:sz w:val="24"/>
          <w:szCs w:val="20"/>
          <w:lang w:val="en-US"/>
        </w:rPr>
        <w:t xml:space="preserve"> </w:t>
      </w:r>
      <w:r w:rsidR="00385FFE" w:rsidRPr="005B7CAC">
        <w:rPr>
          <w:rFonts w:ascii="Times New Roman" w:hAnsi="Times New Roman"/>
          <w:iCs/>
          <w:sz w:val="24"/>
          <w:szCs w:val="20"/>
          <w:lang w:val="en-US"/>
        </w:rPr>
        <w:t xml:space="preserve">regulators and </w:t>
      </w:r>
      <w:r w:rsidR="007F7766" w:rsidRPr="005B7CAC">
        <w:rPr>
          <w:rFonts w:ascii="Times New Roman" w:hAnsi="Times New Roman"/>
          <w:iCs/>
          <w:sz w:val="24"/>
          <w:szCs w:val="20"/>
          <w:lang w:val="en-US"/>
        </w:rPr>
        <w:t xml:space="preserve">policymakers </w:t>
      </w:r>
      <w:r w:rsidR="00385FFE" w:rsidRPr="005B7CAC">
        <w:rPr>
          <w:rFonts w:ascii="Times New Roman" w:hAnsi="Times New Roman"/>
          <w:iCs/>
          <w:sz w:val="24"/>
          <w:szCs w:val="20"/>
          <w:lang w:val="en-US"/>
        </w:rPr>
        <w:t xml:space="preserve">concerned about global ecological issues need to develop and introduce enforceable policies with specific targets for waste levels, green </w:t>
      </w:r>
      <w:r w:rsidR="005A2804" w:rsidRPr="005B7CAC">
        <w:rPr>
          <w:rFonts w:ascii="Times New Roman" w:hAnsi="Times New Roman"/>
          <w:iCs/>
          <w:sz w:val="24"/>
          <w:szCs w:val="20"/>
          <w:lang w:val="en-US"/>
        </w:rPr>
        <w:t>initiatives</w:t>
      </w:r>
      <w:r w:rsidR="00385FFE" w:rsidRPr="005B7CAC">
        <w:rPr>
          <w:rFonts w:ascii="Times New Roman" w:hAnsi="Times New Roman"/>
          <w:iCs/>
          <w:sz w:val="24"/>
          <w:szCs w:val="20"/>
          <w:lang w:val="en-US"/>
        </w:rPr>
        <w:t>, and proactive environmental practices/strategies that aim to</w:t>
      </w:r>
      <w:r w:rsidR="00F07108" w:rsidRPr="005B7CAC">
        <w:rPr>
          <w:rFonts w:ascii="Times New Roman" w:hAnsi="Times New Roman"/>
          <w:iCs/>
          <w:sz w:val="24"/>
          <w:szCs w:val="20"/>
          <w:lang w:val="en-US"/>
        </w:rPr>
        <w:t xml:space="preserve"> mitigate climate issues and promote sustainable development.</w:t>
      </w:r>
      <w:r w:rsidR="00385FFE" w:rsidRPr="005B7CAC">
        <w:rPr>
          <w:rFonts w:ascii="Times New Roman" w:hAnsi="Times New Roman"/>
          <w:iCs/>
          <w:sz w:val="24"/>
          <w:szCs w:val="20"/>
          <w:lang w:val="en-US"/>
        </w:rPr>
        <w:t xml:space="preserve"> </w:t>
      </w:r>
    </w:p>
    <w:p w14:paraId="5E4379B1" w14:textId="45FB67A8" w:rsidR="00871F91" w:rsidRPr="005B7CAC" w:rsidRDefault="00A02F3B" w:rsidP="003D5418">
      <w:pPr>
        <w:widowControl w:val="0"/>
        <w:autoSpaceDE w:val="0"/>
        <w:autoSpaceDN w:val="0"/>
        <w:adjustRightInd w:val="0"/>
        <w:spacing w:after="240" w:line="360" w:lineRule="auto"/>
        <w:jc w:val="both"/>
        <w:rPr>
          <w:rFonts w:ascii="Times New Roman" w:hAnsi="Times New Roman"/>
          <w:iCs/>
          <w:sz w:val="24"/>
          <w:szCs w:val="20"/>
          <w:lang w:val="en-US"/>
        </w:rPr>
      </w:pPr>
      <w:r w:rsidRPr="005B7CAC">
        <w:rPr>
          <w:rFonts w:ascii="Times New Roman" w:hAnsi="Times New Roman"/>
          <w:iCs/>
          <w:sz w:val="24"/>
          <w:szCs w:val="20"/>
          <w:lang w:val="en-US"/>
        </w:rPr>
        <w:t>Our</w:t>
      </w:r>
      <w:r w:rsidR="00147759" w:rsidRPr="005B7CAC">
        <w:rPr>
          <w:rFonts w:ascii="Times New Roman" w:hAnsi="Times New Roman"/>
          <w:iCs/>
          <w:sz w:val="24"/>
          <w:szCs w:val="20"/>
          <w:lang w:val="en-US"/>
        </w:rPr>
        <w:t xml:space="preserve"> work is sub</w:t>
      </w:r>
      <w:r w:rsidR="00DF1E6E" w:rsidRPr="005B7CAC">
        <w:rPr>
          <w:rFonts w:ascii="Times New Roman" w:hAnsi="Times New Roman"/>
          <w:iCs/>
          <w:sz w:val="24"/>
          <w:szCs w:val="20"/>
          <w:lang w:val="en-US"/>
        </w:rPr>
        <w:t>ject to several limitations. First, since it focuses on</w:t>
      </w:r>
      <w:r w:rsidR="004F12F5" w:rsidRPr="005B7CAC">
        <w:rPr>
          <w:rFonts w:ascii="Times New Roman" w:hAnsi="Times New Roman"/>
          <w:iCs/>
          <w:sz w:val="24"/>
          <w:szCs w:val="20"/>
          <w:lang w:val="en-US"/>
        </w:rPr>
        <w:t xml:space="preserve"> single-country data, </w:t>
      </w:r>
      <w:r w:rsidR="00DF1E6E" w:rsidRPr="005B7CAC">
        <w:rPr>
          <w:rFonts w:ascii="Times New Roman" w:hAnsi="Times New Roman"/>
          <w:iCs/>
          <w:sz w:val="24"/>
          <w:szCs w:val="20"/>
          <w:lang w:val="en-US"/>
        </w:rPr>
        <w:t xml:space="preserve">its results and conclusions </w:t>
      </w:r>
      <w:r w:rsidR="004F12F5" w:rsidRPr="005B7CAC">
        <w:rPr>
          <w:rFonts w:ascii="Times New Roman" w:hAnsi="Times New Roman"/>
          <w:iCs/>
          <w:sz w:val="24"/>
          <w:szCs w:val="20"/>
          <w:lang w:val="en-US"/>
        </w:rPr>
        <w:t>should be interpreted cautiously</w:t>
      </w:r>
      <w:r w:rsidR="00DF1E6E" w:rsidRPr="005B7CAC">
        <w:rPr>
          <w:rFonts w:ascii="Times New Roman" w:hAnsi="Times New Roman"/>
          <w:iCs/>
          <w:sz w:val="24"/>
          <w:szCs w:val="20"/>
          <w:lang w:val="en-US"/>
        </w:rPr>
        <w:t>, especially in the context of developing economies.</w:t>
      </w:r>
      <w:r w:rsidR="004F12F5" w:rsidRPr="005B7CAC">
        <w:rPr>
          <w:rFonts w:ascii="Times New Roman" w:hAnsi="Times New Roman"/>
          <w:iCs/>
          <w:sz w:val="24"/>
          <w:szCs w:val="20"/>
          <w:lang w:val="en-US"/>
        </w:rPr>
        <w:t xml:space="preserve"> Future studies, therefore, could extend this work by inves</w:t>
      </w:r>
      <w:r w:rsidR="00A80843" w:rsidRPr="005B7CAC">
        <w:rPr>
          <w:rFonts w:ascii="Times New Roman" w:hAnsi="Times New Roman"/>
          <w:iCs/>
          <w:sz w:val="24"/>
          <w:szCs w:val="20"/>
          <w:lang w:val="en-US"/>
        </w:rPr>
        <w:t>tigating an international dataset</w:t>
      </w:r>
      <w:r w:rsidR="004F12F5" w:rsidRPr="005B7CAC">
        <w:rPr>
          <w:rFonts w:ascii="Times New Roman" w:hAnsi="Times New Roman"/>
          <w:iCs/>
          <w:sz w:val="24"/>
          <w:szCs w:val="20"/>
          <w:lang w:val="en-US"/>
        </w:rPr>
        <w:t xml:space="preserve"> with different financial and environmental regulatory contexts. Second, the</w:t>
      </w:r>
      <w:r w:rsidR="005D5807" w:rsidRPr="005B7CAC">
        <w:rPr>
          <w:rFonts w:ascii="Times New Roman" w:hAnsi="Times New Roman"/>
          <w:iCs/>
          <w:sz w:val="24"/>
          <w:szCs w:val="20"/>
          <w:lang w:val="en-US"/>
        </w:rPr>
        <w:t xml:space="preserve"> sample </w:t>
      </w:r>
      <w:r w:rsidR="00CB58EA" w:rsidRPr="005B7CAC">
        <w:rPr>
          <w:rFonts w:ascii="Times New Roman" w:hAnsi="Times New Roman"/>
          <w:iCs/>
          <w:sz w:val="24"/>
          <w:szCs w:val="20"/>
          <w:lang w:val="en-US"/>
        </w:rPr>
        <w:t xml:space="preserve">includes </w:t>
      </w:r>
      <w:r w:rsidR="00A80843" w:rsidRPr="005B7CAC">
        <w:rPr>
          <w:rFonts w:ascii="Times New Roman" w:hAnsi="Times New Roman"/>
          <w:iCs/>
          <w:sz w:val="24"/>
          <w:szCs w:val="20"/>
          <w:lang w:val="en-US"/>
        </w:rPr>
        <w:t>publicly</w:t>
      </w:r>
      <w:r w:rsidR="00497ADE" w:rsidRPr="005B7CAC">
        <w:rPr>
          <w:rFonts w:ascii="Times New Roman" w:hAnsi="Times New Roman"/>
          <w:iCs/>
          <w:sz w:val="24"/>
          <w:szCs w:val="20"/>
          <w:lang w:val="en-US"/>
        </w:rPr>
        <w:t xml:space="preserve"> listed </w:t>
      </w:r>
      <w:r w:rsidR="00A80843" w:rsidRPr="005B7CAC">
        <w:rPr>
          <w:rFonts w:ascii="Times New Roman" w:hAnsi="Times New Roman"/>
          <w:iCs/>
          <w:sz w:val="24"/>
          <w:szCs w:val="20"/>
          <w:lang w:val="en-US"/>
        </w:rPr>
        <w:t>firms</w:t>
      </w:r>
      <w:r w:rsidR="00497ADE" w:rsidRPr="005B7CAC">
        <w:rPr>
          <w:rFonts w:ascii="Times New Roman" w:hAnsi="Times New Roman"/>
          <w:iCs/>
          <w:sz w:val="24"/>
          <w:szCs w:val="20"/>
          <w:lang w:val="en-US"/>
        </w:rPr>
        <w:t xml:space="preserve">, </w:t>
      </w:r>
      <w:r w:rsidR="00CB58EA" w:rsidRPr="005B7CAC">
        <w:rPr>
          <w:rFonts w:ascii="Times New Roman" w:hAnsi="Times New Roman"/>
          <w:iCs/>
          <w:sz w:val="24"/>
          <w:szCs w:val="20"/>
          <w:lang w:val="en-US"/>
        </w:rPr>
        <w:t xml:space="preserve">making </w:t>
      </w:r>
      <w:r w:rsidR="00497ADE" w:rsidRPr="005B7CAC">
        <w:rPr>
          <w:rFonts w:ascii="Times New Roman" w:hAnsi="Times New Roman"/>
          <w:iCs/>
          <w:sz w:val="24"/>
          <w:szCs w:val="20"/>
          <w:lang w:val="en-US"/>
        </w:rPr>
        <w:t>its</w:t>
      </w:r>
      <w:r w:rsidR="00CB58EA" w:rsidRPr="005B7CAC">
        <w:rPr>
          <w:rFonts w:ascii="Times New Roman" w:hAnsi="Times New Roman"/>
          <w:iCs/>
          <w:sz w:val="24"/>
          <w:szCs w:val="20"/>
          <w:lang w:val="en-US"/>
        </w:rPr>
        <w:t xml:space="preserve"> findings less </w:t>
      </w:r>
      <w:r w:rsidR="00497ADE" w:rsidRPr="005B7CAC">
        <w:rPr>
          <w:rFonts w:ascii="Times New Roman" w:hAnsi="Times New Roman"/>
          <w:iCs/>
          <w:sz w:val="24"/>
          <w:szCs w:val="20"/>
          <w:lang w:val="en-US"/>
        </w:rPr>
        <w:t xml:space="preserve">generalizable to </w:t>
      </w:r>
      <w:r w:rsidR="00EE669A">
        <w:rPr>
          <w:rFonts w:ascii="Times New Roman" w:hAnsi="Times New Roman"/>
          <w:iCs/>
          <w:sz w:val="24"/>
          <w:szCs w:val="20"/>
          <w:lang w:val="en-US"/>
        </w:rPr>
        <w:t>small firms</w:t>
      </w:r>
      <w:r w:rsidR="00A80843" w:rsidRPr="005B7CAC">
        <w:rPr>
          <w:rFonts w:ascii="Times New Roman" w:hAnsi="Times New Roman"/>
          <w:iCs/>
          <w:sz w:val="24"/>
          <w:szCs w:val="20"/>
          <w:lang w:val="en-US"/>
        </w:rPr>
        <w:t>.</w:t>
      </w:r>
      <w:r w:rsidR="00497ADE" w:rsidRPr="005B7CAC">
        <w:rPr>
          <w:rFonts w:ascii="Times New Roman" w:hAnsi="Times New Roman"/>
          <w:iCs/>
          <w:sz w:val="24"/>
          <w:szCs w:val="20"/>
          <w:lang w:val="en-US"/>
        </w:rPr>
        <w:t xml:space="preserve"> Hence</w:t>
      </w:r>
      <w:r w:rsidR="00CB58EA" w:rsidRPr="005B7CAC">
        <w:rPr>
          <w:rFonts w:ascii="Times New Roman" w:hAnsi="Times New Roman"/>
          <w:iCs/>
          <w:sz w:val="24"/>
          <w:szCs w:val="20"/>
          <w:lang w:val="en-US"/>
        </w:rPr>
        <w:t xml:space="preserve">, future </w:t>
      </w:r>
      <w:r w:rsidR="005D5807" w:rsidRPr="005B7CAC">
        <w:rPr>
          <w:rFonts w:ascii="Times New Roman" w:hAnsi="Times New Roman"/>
          <w:iCs/>
          <w:sz w:val="24"/>
          <w:szCs w:val="20"/>
          <w:lang w:val="en-US"/>
        </w:rPr>
        <w:t>investigations</w:t>
      </w:r>
      <w:r w:rsidR="00CB58EA" w:rsidRPr="005B7CAC">
        <w:rPr>
          <w:rFonts w:ascii="Times New Roman" w:hAnsi="Times New Roman"/>
          <w:iCs/>
          <w:sz w:val="24"/>
          <w:szCs w:val="20"/>
          <w:lang w:val="en-US"/>
        </w:rPr>
        <w:t xml:space="preserve"> could r</w:t>
      </w:r>
      <w:r w:rsidR="005D5807" w:rsidRPr="005B7CAC">
        <w:rPr>
          <w:rFonts w:ascii="Times New Roman" w:hAnsi="Times New Roman"/>
          <w:iCs/>
          <w:sz w:val="24"/>
          <w:szCs w:val="20"/>
          <w:lang w:val="en-US"/>
        </w:rPr>
        <w:t>eplicate this work</w:t>
      </w:r>
      <w:r w:rsidR="00CB58EA" w:rsidRPr="005B7CAC">
        <w:rPr>
          <w:rFonts w:ascii="Times New Roman" w:hAnsi="Times New Roman"/>
          <w:iCs/>
          <w:sz w:val="24"/>
          <w:szCs w:val="20"/>
          <w:lang w:val="en-US"/>
        </w:rPr>
        <w:t xml:space="preserve"> by emp</w:t>
      </w:r>
      <w:r w:rsidR="005D5807" w:rsidRPr="005B7CAC">
        <w:rPr>
          <w:rFonts w:ascii="Times New Roman" w:hAnsi="Times New Roman"/>
          <w:iCs/>
          <w:sz w:val="24"/>
          <w:szCs w:val="20"/>
          <w:lang w:val="en-US"/>
        </w:rPr>
        <w:t>loying a sample of smaller business entities</w:t>
      </w:r>
      <w:r w:rsidR="00CB58EA" w:rsidRPr="005B7CAC">
        <w:rPr>
          <w:rFonts w:ascii="Times New Roman" w:hAnsi="Times New Roman"/>
          <w:iCs/>
          <w:sz w:val="24"/>
          <w:szCs w:val="20"/>
          <w:lang w:val="en-US"/>
        </w:rPr>
        <w:t xml:space="preserve">. Finally, like other empirical </w:t>
      </w:r>
      <w:r w:rsidR="00CB58EA" w:rsidRPr="005B7CAC">
        <w:rPr>
          <w:rFonts w:ascii="Times New Roman" w:hAnsi="Times New Roman"/>
          <w:iCs/>
          <w:sz w:val="24"/>
          <w:szCs w:val="20"/>
          <w:lang w:val="en-US"/>
        </w:rPr>
        <w:lastRenderedPageBreak/>
        <w:t xml:space="preserve">investigations with archival data, the proxies </w:t>
      </w:r>
      <w:r w:rsidR="005A2804" w:rsidRPr="005B7CAC">
        <w:rPr>
          <w:rFonts w:ascii="Times New Roman" w:hAnsi="Times New Roman"/>
          <w:iCs/>
          <w:sz w:val="24"/>
          <w:szCs w:val="20"/>
          <w:lang w:val="en-US"/>
        </w:rPr>
        <w:t xml:space="preserve">for </w:t>
      </w:r>
      <w:r w:rsidR="00CB58EA" w:rsidRPr="005B7CAC">
        <w:rPr>
          <w:rFonts w:ascii="Times New Roman" w:hAnsi="Times New Roman"/>
          <w:iCs/>
          <w:sz w:val="24"/>
          <w:szCs w:val="20"/>
          <w:lang w:val="en-US"/>
        </w:rPr>
        <w:t xml:space="preserve">waste, </w:t>
      </w:r>
      <w:r w:rsidR="005A2804" w:rsidRPr="005B7CAC">
        <w:rPr>
          <w:rFonts w:ascii="Times New Roman" w:hAnsi="Times New Roman"/>
          <w:iCs/>
          <w:sz w:val="24"/>
          <w:szCs w:val="20"/>
          <w:lang w:val="en-US"/>
        </w:rPr>
        <w:t>green initiatives</w:t>
      </w:r>
      <w:r w:rsidR="00CB58EA" w:rsidRPr="005B7CAC">
        <w:rPr>
          <w:rFonts w:ascii="Times New Roman" w:hAnsi="Times New Roman"/>
          <w:iCs/>
          <w:sz w:val="24"/>
          <w:szCs w:val="20"/>
          <w:lang w:val="en-US"/>
        </w:rPr>
        <w:t>, and financial distress may not reflect actual firm performance and practice</w:t>
      </w:r>
      <w:r w:rsidRPr="005B7CAC">
        <w:rPr>
          <w:rFonts w:ascii="Times New Roman" w:hAnsi="Times New Roman"/>
          <w:iCs/>
          <w:sz w:val="24"/>
          <w:szCs w:val="20"/>
          <w:lang w:val="en-US"/>
        </w:rPr>
        <w:t>s</w:t>
      </w:r>
      <w:r w:rsidR="00CB58EA" w:rsidRPr="005B7CAC">
        <w:rPr>
          <w:rFonts w:ascii="Times New Roman" w:hAnsi="Times New Roman"/>
          <w:iCs/>
          <w:sz w:val="24"/>
          <w:szCs w:val="20"/>
          <w:lang w:val="en-US"/>
        </w:rPr>
        <w:t>. Thus,</w:t>
      </w:r>
      <w:r w:rsidR="00824080" w:rsidRPr="005B7CAC">
        <w:rPr>
          <w:rFonts w:ascii="Times New Roman" w:hAnsi="Times New Roman"/>
          <w:iCs/>
          <w:sz w:val="24"/>
          <w:szCs w:val="20"/>
          <w:lang w:val="en-US"/>
        </w:rPr>
        <w:t xml:space="preserve"> future research</w:t>
      </w:r>
      <w:r w:rsidR="000D7C85" w:rsidRPr="005B7CAC">
        <w:rPr>
          <w:rFonts w:ascii="Times New Roman" w:hAnsi="Times New Roman"/>
          <w:iCs/>
          <w:sz w:val="24"/>
          <w:szCs w:val="20"/>
          <w:lang w:val="en-US"/>
        </w:rPr>
        <w:t xml:space="preserve"> could include </w:t>
      </w:r>
      <w:r w:rsidR="007F3797" w:rsidRPr="005B7CAC">
        <w:rPr>
          <w:rFonts w:ascii="Times New Roman" w:hAnsi="Times New Roman"/>
          <w:iCs/>
          <w:sz w:val="24"/>
          <w:szCs w:val="20"/>
          <w:lang w:val="en-US"/>
        </w:rPr>
        <w:t xml:space="preserve">case studies and </w:t>
      </w:r>
      <w:r w:rsidR="000D7C85" w:rsidRPr="005B7CAC">
        <w:rPr>
          <w:rFonts w:ascii="Times New Roman" w:hAnsi="Times New Roman"/>
          <w:iCs/>
          <w:sz w:val="24"/>
          <w:szCs w:val="20"/>
          <w:lang w:val="en-US"/>
        </w:rPr>
        <w:t xml:space="preserve">comprehensive interviews with key stakeholders to provide new insights. </w:t>
      </w:r>
    </w:p>
    <w:p w14:paraId="67EFB5F6" w14:textId="77777777" w:rsidR="003C50C5" w:rsidRPr="005B7CAC" w:rsidRDefault="003C50C5" w:rsidP="003D5418">
      <w:pPr>
        <w:widowControl w:val="0"/>
        <w:autoSpaceDE w:val="0"/>
        <w:autoSpaceDN w:val="0"/>
        <w:adjustRightInd w:val="0"/>
        <w:spacing w:after="240" w:line="360" w:lineRule="auto"/>
        <w:jc w:val="both"/>
        <w:rPr>
          <w:rFonts w:ascii="Times New Roman" w:hAnsi="Times New Roman"/>
          <w:iCs/>
          <w:sz w:val="24"/>
          <w:szCs w:val="20"/>
          <w:lang w:val="en-US"/>
        </w:rPr>
      </w:pPr>
    </w:p>
    <w:p w14:paraId="003AABDB" w14:textId="77777777" w:rsidR="003C50C5" w:rsidRPr="005B7CAC" w:rsidRDefault="003C50C5" w:rsidP="003D5418">
      <w:pPr>
        <w:widowControl w:val="0"/>
        <w:autoSpaceDE w:val="0"/>
        <w:autoSpaceDN w:val="0"/>
        <w:adjustRightInd w:val="0"/>
        <w:spacing w:after="240" w:line="360" w:lineRule="auto"/>
        <w:jc w:val="both"/>
        <w:rPr>
          <w:rFonts w:ascii="Times New Roman" w:hAnsi="Times New Roman"/>
          <w:iCs/>
          <w:sz w:val="24"/>
          <w:szCs w:val="20"/>
          <w:lang w:val="en-US"/>
        </w:rPr>
      </w:pPr>
    </w:p>
    <w:p w14:paraId="49354138" w14:textId="5B9AEA16" w:rsidR="00A32773" w:rsidRPr="005B7CAC" w:rsidRDefault="002900C2" w:rsidP="002900C2">
      <w:pPr>
        <w:widowControl w:val="0"/>
        <w:autoSpaceDE w:val="0"/>
        <w:autoSpaceDN w:val="0"/>
        <w:adjustRightInd w:val="0"/>
        <w:spacing w:after="240" w:line="360" w:lineRule="auto"/>
        <w:jc w:val="both"/>
        <w:rPr>
          <w:rFonts w:ascii="Times New Roman" w:hAnsi="Times New Roman"/>
          <w:iCs/>
          <w:sz w:val="24"/>
          <w:szCs w:val="20"/>
          <w:lang w:val="en-US"/>
        </w:rPr>
      </w:pPr>
      <w:r w:rsidRPr="005B7CAC">
        <w:rPr>
          <w:rFonts w:ascii="Times New Roman" w:hAnsi="Times New Roman"/>
          <w:b/>
          <w:bCs/>
          <w:iCs/>
          <w:sz w:val="24"/>
          <w:szCs w:val="20"/>
          <w:lang w:val="en-US"/>
        </w:rPr>
        <w:t>Acknowledgments</w:t>
      </w:r>
      <w:r w:rsidRPr="005B7CAC">
        <w:rPr>
          <w:rFonts w:ascii="Times New Roman" w:hAnsi="Times New Roman"/>
          <w:iCs/>
          <w:sz w:val="24"/>
          <w:szCs w:val="20"/>
          <w:lang w:val="en-US"/>
        </w:rPr>
        <w:br/>
        <w:t>This research was funded by the Science Committee of the Ministry of Science and Higher Education of the Republic of Kazakhstan (Grant No. AP23490230).</w:t>
      </w:r>
    </w:p>
    <w:p w14:paraId="4859EF15" w14:textId="77777777" w:rsidR="002900C2" w:rsidRPr="005B7CAC" w:rsidRDefault="002900C2" w:rsidP="002900C2">
      <w:pPr>
        <w:widowControl w:val="0"/>
        <w:autoSpaceDE w:val="0"/>
        <w:autoSpaceDN w:val="0"/>
        <w:adjustRightInd w:val="0"/>
        <w:spacing w:after="240" w:line="360" w:lineRule="auto"/>
        <w:jc w:val="both"/>
        <w:rPr>
          <w:rFonts w:ascii="Times New Roman" w:hAnsi="Times New Roman"/>
          <w:iCs/>
          <w:sz w:val="24"/>
          <w:szCs w:val="20"/>
          <w:lang w:val="en-US"/>
        </w:rPr>
      </w:pPr>
    </w:p>
    <w:p w14:paraId="7C7C6E5A" w14:textId="77777777" w:rsidR="001149C2" w:rsidRPr="005B7CAC" w:rsidRDefault="001149C2" w:rsidP="002900C2">
      <w:pPr>
        <w:widowControl w:val="0"/>
        <w:autoSpaceDE w:val="0"/>
        <w:autoSpaceDN w:val="0"/>
        <w:adjustRightInd w:val="0"/>
        <w:spacing w:after="240" w:line="360" w:lineRule="auto"/>
        <w:jc w:val="both"/>
        <w:rPr>
          <w:rFonts w:ascii="Times New Roman" w:hAnsi="Times New Roman"/>
          <w:iCs/>
          <w:sz w:val="24"/>
          <w:szCs w:val="20"/>
          <w:lang w:val="en-US"/>
        </w:rPr>
      </w:pPr>
    </w:p>
    <w:p w14:paraId="0D8685AB" w14:textId="77777777" w:rsidR="001149C2" w:rsidRPr="005B7CAC" w:rsidRDefault="001149C2" w:rsidP="002900C2">
      <w:pPr>
        <w:widowControl w:val="0"/>
        <w:autoSpaceDE w:val="0"/>
        <w:autoSpaceDN w:val="0"/>
        <w:adjustRightInd w:val="0"/>
        <w:spacing w:after="240" w:line="360" w:lineRule="auto"/>
        <w:jc w:val="both"/>
        <w:rPr>
          <w:rFonts w:ascii="Times New Roman" w:hAnsi="Times New Roman"/>
          <w:iCs/>
          <w:sz w:val="24"/>
          <w:szCs w:val="20"/>
          <w:lang w:val="en-US"/>
        </w:rPr>
      </w:pPr>
    </w:p>
    <w:p w14:paraId="54A11730" w14:textId="77777777" w:rsidR="001149C2" w:rsidRPr="005B7CAC" w:rsidRDefault="001149C2" w:rsidP="002900C2">
      <w:pPr>
        <w:widowControl w:val="0"/>
        <w:autoSpaceDE w:val="0"/>
        <w:autoSpaceDN w:val="0"/>
        <w:adjustRightInd w:val="0"/>
        <w:spacing w:after="240" w:line="360" w:lineRule="auto"/>
        <w:jc w:val="both"/>
        <w:rPr>
          <w:rFonts w:ascii="Times New Roman" w:hAnsi="Times New Roman"/>
          <w:iCs/>
          <w:sz w:val="24"/>
          <w:szCs w:val="20"/>
          <w:lang w:val="en-US"/>
        </w:rPr>
      </w:pPr>
    </w:p>
    <w:p w14:paraId="785FD675" w14:textId="77777777" w:rsidR="001149C2" w:rsidRPr="005B7CAC" w:rsidRDefault="001149C2" w:rsidP="002900C2">
      <w:pPr>
        <w:widowControl w:val="0"/>
        <w:autoSpaceDE w:val="0"/>
        <w:autoSpaceDN w:val="0"/>
        <w:adjustRightInd w:val="0"/>
        <w:spacing w:after="240" w:line="360" w:lineRule="auto"/>
        <w:jc w:val="both"/>
        <w:rPr>
          <w:rFonts w:ascii="Times New Roman" w:hAnsi="Times New Roman"/>
          <w:iCs/>
          <w:sz w:val="24"/>
          <w:szCs w:val="20"/>
          <w:lang w:val="en-US"/>
        </w:rPr>
      </w:pPr>
    </w:p>
    <w:p w14:paraId="6967B99F" w14:textId="77777777" w:rsidR="001149C2" w:rsidRPr="005B7CAC" w:rsidRDefault="001149C2" w:rsidP="002900C2">
      <w:pPr>
        <w:widowControl w:val="0"/>
        <w:autoSpaceDE w:val="0"/>
        <w:autoSpaceDN w:val="0"/>
        <w:adjustRightInd w:val="0"/>
        <w:spacing w:after="240" w:line="360" w:lineRule="auto"/>
        <w:jc w:val="both"/>
        <w:rPr>
          <w:rFonts w:ascii="Times New Roman" w:hAnsi="Times New Roman"/>
          <w:iCs/>
          <w:sz w:val="24"/>
          <w:szCs w:val="20"/>
          <w:lang w:val="en-US"/>
        </w:rPr>
      </w:pPr>
    </w:p>
    <w:p w14:paraId="4B292611" w14:textId="77777777" w:rsidR="001149C2" w:rsidRPr="005B7CAC" w:rsidRDefault="001149C2" w:rsidP="002900C2">
      <w:pPr>
        <w:widowControl w:val="0"/>
        <w:autoSpaceDE w:val="0"/>
        <w:autoSpaceDN w:val="0"/>
        <w:adjustRightInd w:val="0"/>
        <w:spacing w:after="240" w:line="360" w:lineRule="auto"/>
        <w:jc w:val="both"/>
        <w:rPr>
          <w:rFonts w:ascii="Times New Roman" w:hAnsi="Times New Roman"/>
          <w:iCs/>
          <w:sz w:val="24"/>
          <w:szCs w:val="20"/>
          <w:lang w:val="en-US"/>
        </w:rPr>
      </w:pPr>
    </w:p>
    <w:p w14:paraId="783762D6" w14:textId="77777777" w:rsidR="001149C2" w:rsidRPr="005B7CAC" w:rsidRDefault="001149C2" w:rsidP="002900C2">
      <w:pPr>
        <w:widowControl w:val="0"/>
        <w:autoSpaceDE w:val="0"/>
        <w:autoSpaceDN w:val="0"/>
        <w:adjustRightInd w:val="0"/>
        <w:spacing w:after="240" w:line="360" w:lineRule="auto"/>
        <w:jc w:val="both"/>
        <w:rPr>
          <w:rFonts w:ascii="Times New Roman" w:hAnsi="Times New Roman"/>
          <w:iCs/>
          <w:sz w:val="24"/>
          <w:szCs w:val="20"/>
          <w:lang w:val="en-US"/>
        </w:rPr>
      </w:pPr>
    </w:p>
    <w:p w14:paraId="0EAD22F2" w14:textId="77777777" w:rsidR="001149C2" w:rsidRPr="005B7CAC" w:rsidRDefault="001149C2" w:rsidP="002900C2">
      <w:pPr>
        <w:widowControl w:val="0"/>
        <w:autoSpaceDE w:val="0"/>
        <w:autoSpaceDN w:val="0"/>
        <w:adjustRightInd w:val="0"/>
        <w:spacing w:after="240" w:line="360" w:lineRule="auto"/>
        <w:jc w:val="both"/>
        <w:rPr>
          <w:rFonts w:ascii="Times New Roman" w:hAnsi="Times New Roman"/>
          <w:iCs/>
          <w:sz w:val="24"/>
          <w:szCs w:val="20"/>
          <w:lang w:val="en-US"/>
        </w:rPr>
      </w:pPr>
    </w:p>
    <w:p w14:paraId="761AC0B0" w14:textId="77777777" w:rsidR="001149C2" w:rsidRPr="005B7CAC" w:rsidRDefault="001149C2" w:rsidP="002900C2">
      <w:pPr>
        <w:widowControl w:val="0"/>
        <w:autoSpaceDE w:val="0"/>
        <w:autoSpaceDN w:val="0"/>
        <w:adjustRightInd w:val="0"/>
        <w:spacing w:after="240" w:line="360" w:lineRule="auto"/>
        <w:jc w:val="both"/>
        <w:rPr>
          <w:rFonts w:ascii="Times New Roman" w:hAnsi="Times New Roman"/>
          <w:iCs/>
          <w:sz w:val="24"/>
          <w:szCs w:val="20"/>
          <w:lang w:val="en-US"/>
        </w:rPr>
      </w:pPr>
    </w:p>
    <w:p w14:paraId="225A4056" w14:textId="77777777" w:rsidR="00E0664F" w:rsidRPr="005B7CAC" w:rsidRDefault="00E0664F" w:rsidP="002900C2">
      <w:pPr>
        <w:widowControl w:val="0"/>
        <w:autoSpaceDE w:val="0"/>
        <w:autoSpaceDN w:val="0"/>
        <w:adjustRightInd w:val="0"/>
        <w:spacing w:after="240" w:line="360" w:lineRule="auto"/>
        <w:jc w:val="both"/>
        <w:rPr>
          <w:rFonts w:ascii="Times New Roman" w:hAnsi="Times New Roman"/>
          <w:iCs/>
          <w:sz w:val="24"/>
          <w:szCs w:val="20"/>
          <w:lang w:val="en-US"/>
        </w:rPr>
      </w:pPr>
    </w:p>
    <w:p w14:paraId="09BD29B6" w14:textId="77777777" w:rsidR="001149C2" w:rsidRPr="005B7CAC" w:rsidRDefault="001149C2" w:rsidP="002900C2">
      <w:pPr>
        <w:widowControl w:val="0"/>
        <w:autoSpaceDE w:val="0"/>
        <w:autoSpaceDN w:val="0"/>
        <w:adjustRightInd w:val="0"/>
        <w:spacing w:after="240" w:line="360" w:lineRule="auto"/>
        <w:jc w:val="both"/>
        <w:rPr>
          <w:rFonts w:ascii="Times New Roman" w:hAnsi="Times New Roman"/>
          <w:iCs/>
          <w:sz w:val="24"/>
          <w:szCs w:val="20"/>
          <w:lang w:val="en-US"/>
        </w:rPr>
      </w:pPr>
    </w:p>
    <w:p w14:paraId="4A948876" w14:textId="77777777" w:rsidR="001149C2" w:rsidRPr="005B7CAC" w:rsidRDefault="001149C2" w:rsidP="002900C2">
      <w:pPr>
        <w:widowControl w:val="0"/>
        <w:autoSpaceDE w:val="0"/>
        <w:autoSpaceDN w:val="0"/>
        <w:adjustRightInd w:val="0"/>
        <w:spacing w:after="240" w:line="360" w:lineRule="auto"/>
        <w:jc w:val="both"/>
        <w:rPr>
          <w:rFonts w:ascii="Times New Roman" w:hAnsi="Times New Roman"/>
          <w:iCs/>
          <w:sz w:val="24"/>
          <w:szCs w:val="20"/>
          <w:lang w:val="en-US"/>
        </w:rPr>
      </w:pPr>
    </w:p>
    <w:p w14:paraId="2C1A2591" w14:textId="77777777" w:rsidR="001149C2" w:rsidRPr="005B7CAC" w:rsidRDefault="001149C2" w:rsidP="002900C2">
      <w:pPr>
        <w:widowControl w:val="0"/>
        <w:autoSpaceDE w:val="0"/>
        <w:autoSpaceDN w:val="0"/>
        <w:adjustRightInd w:val="0"/>
        <w:spacing w:after="240" w:line="360" w:lineRule="auto"/>
        <w:jc w:val="both"/>
        <w:rPr>
          <w:rFonts w:ascii="Times New Roman" w:hAnsi="Times New Roman"/>
          <w:iCs/>
          <w:sz w:val="24"/>
          <w:szCs w:val="20"/>
          <w:lang w:val="en-US"/>
        </w:rPr>
      </w:pPr>
    </w:p>
    <w:p w14:paraId="6E19B347" w14:textId="008A52CD" w:rsidR="00BD6BF3" w:rsidRPr="005B7CAC" w:rsidRDefault="00BD6BF3" w:rsidP="00CD4FCC">
      <w:pPr>
        <w:widowControl w:val="0"/>
        <w:autoSpaceDE w:val="0"/>
        <w:autoSpaceDN w:val="0"/>
        <w:adjustRightInd w:val="0"/>
        <w:spacing w:after="240" w:line="240" w:lineRule="auto"/>
        <w:rPr>
          <w:rFonts w:ascii="Times New Roman" w:hAnsi="Times New Roman"/>
          <w:b/>
          <w:iCs/>
          <w:sz w:val="24"/>
          <w:szCs w:val="20"/>
          <w:lang w:val="en-US"/>
        </w:rPr>
      </w:pPr>
      <w:r w:rsidRPr="005B7CAC">
        <w:rPr>
          <w:rFonts w:ascii="Times New Roman" w:hAnsi="Times New Roman"/>
          <w:b/>
          <w:iCs/>
          <w:sz w:val="24"/>
          <w:szCs w:val="20"/>
          <w:lang w:val="en-US"/>
        </w:rPr>
        <w:lastRenderedPageBreak/>
        <w:t>References</w:t>
      </w:r>
    </w:p>
    <w:p w14:paraId="19E5DDAE" w14:textId="02E759B9" w:rsidR="0050174D" w:rsidRPr="005B7CAC" w:rsidRDefault="00320CC9" w:rsidP="0050174D">
      <w:pPr>
        <w:widowControl w:val="0"/>
        <w:autoSpaceDE w:val="0"/>
        <w:autoSpaceDN w:val="0"/>
        <w:adjustRightInd w:val="0"/>
        <w:spacing w:after="240" w:line="240" w:lineRule="auto"/>
        <w:ind w:left="480" w:hanging="480"/>
        <w:rPr>
          <w:rFonts w:ascii="Times New Roman" w:hAnsi="Times New Roman"/>
          <w:noProof/>
          <w:sz w:val="24"/>
          <w:szCs w:val="24"/>
          <w:lang w:val="en-US"/>
        </w:rPr>
      </w:pPr>
      <w:r w:rsidRPr="005B7CAC">
        <w:rPr>
          <w:rFonts w:ascii="Times New Roman" w:hAnsi="Times New Roman"/>
          <w:b/>
          <w:iCs/>
          <w:sz w:val="24"/>
          <w:szCs w:val="20"/>
          <w:lang w:val="en-US"/>
        </w:rPr>
        <w:fldChar w:fldCharType="begin" w:fldLock="1"/>
      </w:r>
      <w:r w:rsidRPr="005B7CAC">
        <w:rPr>
          <w:rFonts w:ascii="Times New Roman" w:hAnsi="Times New Roman"/>
          <w:b/>
          <w:iCs/>
          <w:sz w:val="24"/>
          <w:szCs w:val="20"/>
          <w:lang w:val="en-US"/>
        </w:rPr>
        <w:instrText xml:space="preserve">ADDIN Mendeley Bibliography CSL_BIBLIOGRAPHY </w:instrText>
      </w:r>
      <w:r w:rsidRPr="005B7CAC">
        <w:rPr>
          <w:rFonts w:ascii="Times New Roman" w:hAnsi="Times New Roman"/>
          <w:b/>
          <w:iCs/>
          <w:sz w:val="24"/>
          <w:szCs w:val="20"/>
          <w:lang w:val="en-US"/>
        </w:rPr>
        <w:fldChar w:fldCharType="separate"/>
      </w:r>
      <w:r w:rsidR="0050174D" w:rsidRPr="005B7CAC">
        <w:rPr>
          <w:rFonts w:ascii="Times New Roman" w:hAnsi="Times New Roman"/>
          <w:noProof/>
          <w:sz w:val="24"/>
          <w:szCs w:val="24"/>
          <w:lang w:val="en-US"/>
        </w:rPr>
        <w:t xml:space="preserve">Agyei-Boapeah, H., Ciftci, N., Kalimilo Malagila, J., Brodmann, J. and Fosu, S. (2023), “Environmental performance and financial constraints in emerging markets”, </w:t>
      </w:r>
      <w:r w:rsidR="0050174D" w:rsidRPr="005B7CAC">
        <w:rPr>
          <w:rFonts w:ascii="Times New Roman" w:hAnsi="Times New Roman"/>
          <w:i/>
          <w:iCs/>
          <w:noProof/>
          <w:sz w:val="24"/>
          <w:szCs w:val="24"/>
          <w:lang w:val="en-US"/>
        </w:rPr>
        <w:t>Accounting Forum</w:t>
      </w:r>
      <w:r w:rsidR="0050174D" w:rsidRPr="005B7CAC">
        <w:rPr>
          <w:rFonts w:ascii="Times New Roman" w:hAnsi="Times New Roman"/>
          <w:noProof/>
          <w:sz w:val="24"/>
          <w:szCs w:val="24"/>
          <w:lang w:val="en-US"/>
        </w:rPr>
        <w:t>, doi: 10.1080/01559982.2023.2169893.</w:t>
      </w:r>
    </w:p>
    <w:p w14:paraId="22761A1B" w14:textId="77777777" w:rsidR="0050174D" w:rsidRPr="005B7CAC" w:rsidRDefault="0050174D" w:rsidP="0050174D">
      <w:pPr>
        <w:widowControl w:val="0"/>
        <w:autoSpaceDE w:val="0"/>
        <w:autoSpaceDN w:val="0"/>
        <w:adjustRightInd w:val="0"/>
        <w:spacing w:after="240" w:line="240" w:lineRule="auto"/>
        <w:ind w:left="480" w:hanging="480"/>
        <w:rPr>
          <w:rFonts w:ascii="Times New Roman" w:hAnsi="Times New Roman"/>
          <w:noProof/>
          <w:sz w:val="24"/>
          <w:szCs w:val="24"/>
          <w:lang w:val="en-US"/>
        </w:rPr>
      </w:pPr>
      <w:r w:rsidRPr="005B7CAC">
        <w:rPr>
          <w:rFonts w:ascii="Times New Roman" w:hAnsi="Times New Roman"/>
          <w:noProof/>
          <w:sz w:val="24"/>
          <w:szCs w:val="24"/>
          <w:lang w:val="en-US"/>
        </w:rPr>
        <w:t xml:space="preserve">Albitar, K., Borgi, H., Khan, M. and Zahra, A. (2023), “Business environmental innovation and CO2 emissions: The moderating role of environmental governance”, </w:t>
      </w:r>
      <w:r w:rsidRPr="005B7CAC">
        <w:rPr>
          <w:rFonts w:ascii="Times New Roman" w:hAnsi="Times New Roman"/>
          <w:i/>
          <w:iCs/>
          <w:noProof/>
          <w:sz w:val="24"/>
          <w:szCs w:val="24"/>
          <w:lang w:val="en-US"/>
        </w:rPr>
        <w:t>Business Strategy and the Environment</w:t>
      </w:r>
      <w:r w:rsidRPr="005B7CAC">
        <w:rPr>
          <w:rFonts w:ascii="Times New Roman" w:hAnsi="Times New Roman"/>
          <w:noProof/>
          <w:sz w:val="24"/>
          <w:szCs w:val="24"/>
          <w:lang w:val="en-US"/>
        </w:rPr>
        <w:t>, Vol. 32 No. 4, pp. 1996–2007, doi: 10.1002/bse.3232.</w:t>
      </w:r>
    </w:p>
    <w:p w14:paraId="27D432A3" w14:textId="77777777" w:rsidR="0050174D" w:rsidRPr="005B7CAC" w:rsidRDefault="0050174D" w:rsidP="0050174D">
      <w:pPr>
        <w:widowControl w:val="0"/>
        <w:autoSpaceDE w:val="0"/>
        <w:autoSpaceDN w:val="0"/>
        <w:adjustRightInd w:val="0"/>
        <w:spacing w:after="240" w:line="240" w:lineRule="auto"/>
        <w:ind w:left="480" w:hanging="480"/>
        <w:rPr>
          <w:rFonts w:ascii="Times New Roman" w:hAnsi="Times New Roman"/>
          <w:noProof/>
          <w:sz w:val="24"/>
          <w:szCs w:val="24"/>
          <w:lang w:val="en-US"/>
        </w:rPr>
      </w:pPr>
      <w:r w:rsidRPr="005B7CAC">
        <w:rPr>
          <w:rFonts w:ascii="Times New Roman" w:hAnsi="Times New Roman"/>
          <w:noProof/>
          <w:sz w:val="24"/>
          <w:szCs w:val="24"/>
          <w:lang w:val="en-US"/>
        </w:rPr>
        <w:t xml:space="preserve">Ali, S., Rehman, R. ur, Aslam, S., Khan, I. and Murtaza, G. (2023), “Does board diversity reduce the likelihood of financial distress in the presence of a powerful Chinese CEO?”, </w:t>
      </w:r>
      <w:r w:rsidRPr="005B7CAC">
        <w:rPr>
          <w:rFonts w:ascii="Times New Roman" w:hAnsi="Times New Roman"/>
          <w:i/>
          <w:iCs/>
          <w:noProof/>
          <w:sz w:val="24"/>
          <w:szCs w:val="24"/>
          <w:lang w:val="en-US"/>
        </w:rPr>
        <w:t>Management Decision</w:t>
      </w:r>
      <w:r w:rsidRPr="005B7CAC">
        <w:rPr>
          <w:rFonts w:ascii="Times New Roman" w:hAnsi="Times New Roman"/>
          <w:noProof/>
          <w:sz w:val="24"/>
          <w:szCs w:val="24"/>
          <w:lang w:val="en-US"/>
        </w:rPr>
        <w:t>, Vol. 61 No. 6, pp. 1798–1815, doi: 10.1108/MD-01-2022-0007.</w:t>
      </w:r>
    </w:p>
    <w:p w14:paraId="12A74CDE" w14:textId="77777777" w:rsidR="0050174D" w:rsidRPr="005B7CAC" w:rsidRDefault="0050174D" w:rsidP="0050174D">
      <w:pPr>
        <w:widowControl w:val="0"/>
        <w:autoSpaceDE w:val="0"/>
        <w:autoSpaceDN w:val="0"/>
        <w:adjustRightInd w:val="0"/>
        <w:spacing w:after="240" w:line="240" w:lineRule="auto"/>
        <w:ind w:left="480" w:hanging="480"/>
        <w:rPr>
          <w:rFonts w:ascii="Times New Roman" w:hAnsi="Times New Roman"/>
          <w:noProof/>
          <w:sz w:val="24"/>
          <w:szCs w:val="24"/>
          <w:lang w:val="en-US"/>
        </w:rPr>
      </w:pPr>
      <w:r w:rsidRPr="005B7CAC">
        <w:rPr>
          <w:rFonts w:ascii="Times New Roman" w:hAnsi="Times New Roman"/>
          <w:noProof/>
          <w:sz w:val="24"/>
          <w:szCs w:val="24"/>
          <w:lang w:val="en-US"/>
        </w:rPr>
        <w:t xml:space="preserve">Almamy, J., Aston, J. and Ngwa, L.N. (2016), “An evaluation of Altman’s Z-score using cash flow ratio to predict corporate failure amid the recent financial crisis: Evidence from the UK”, </w:t>
      </w:r>
      <w:r w:rsidRPr="005B7CAC">
        <w:rPr>
          <w:rFonts w:ascii="Times New Roman" w:hAnsi="Times New Roman"/>
          <w:i/>
          <w:iCs/>
          <w:noProof/>
          <w:sz w:val="24"/>
          <w:szCs w:val="24"/>
          <w:lang w:val="en-US"/>
        </w:rPr>
        <w:t>Journal of Corporate Finance</w:t>
      </w:r>
      <w:r w:rsidRPr="005B7CAC">
        <w:rPr>
          <w:rFonts w:ascii="Times New Roman" w:hAnsi="Times New Roman"/>
          <w:noProof/>
          <w:sz w:val="24"/>
          <w:szCs w:val="24"/>
          <w:lang w:val="en-US"/>
        </w:rPr>
        <w:t>, Vol. 36, pp. 278–285, doi: 10.1016/J.JCORPFIN.2015.12.009.</w:t>
      </w:r>
    </w:p>
    <w:p w14:paraId="373C9639" w14:textId="77777777" w:rsidR="0050174D" w:rsidRPr="005B7CAC" w:rsidRDefault="0050174D" w:rsidP="0050174D">
      <w:pPr>
        <w:widowControl w:val="0"/>
        <w:autoSpaceDE w:val="0"/>
        <w:autoSpaceDN w:val="0"/>
        <w:adjustRightInd w:val="0"/>
        <w:spacing w:after="240" w:line="240" w:lineRule="auto"/>
        <w:ind w:left="480" w:hanging="480"/>
        <w:rPr>
          <w:rFonts w:ascii="Times New Roman" w:hAnsi="Times New Roman"/>
          <w:noProof/>
          <w:sz w:val="24"/>
          <w:szCs w:val="24"/>
          <w:lang w:val="en-US"/>
        </w:rPr>
      </w:pPr>
      <w:r w:rsidRPr="005B7CAC">
        <w:rPr>
          <w:rFonts w:ascii="Times New Roman" w:hAnsi="Times New Roman"/>
          <w:noProof/>
          <w:sz w:val="24"/>
          <w:szCs w:val="24"/>
          <w:lang w:val="en-US"/>
        </w:rPr>
        <w:t xml:space="preserve">Altman, E.I. (1968), “Financial ratios, discriminant analysis and the prediction of corporate bankruptcy”, </w:t>
      </w:r>
      <w:r w:rsidRPr="005B7CAC">
        <w:rPr>
          <w:rFonts w:ascii="Times New Roman" w:hAnsi="Times New Roman"/>
          <w:i/>
          <w:iCs/>
          <w:noProof/>
          <w:sz w:val="24"/>
          <w:szCs w:val="24"/>
          <w:lang w:val="en-US"/>
        </w:rPr>
        <w:t>The Journal of Finance</w:t>
      </w:r>
      <w:r w:rsidRPr="005B7CAC">
        <w:rPr>
          <w:rFonts w:ascii="Times New Roman" w:hAnsi="Times New Roman"/>
          <w:noProof/>
          <w:sz w:val="24"/>
          <w:szCs w:val="24"/>
          <w:lang w:val="en-US"/>
        </w:rPr>
        <w:t>, Vol. 23 No. 4, pp. 589–609, doi: 10.1111/j.1540-6261.1968.tb00843.x.</w:t>
      </w:r>
    </w:p>
    <w:p w14:paraId="2A5BDDAD" w14:textId="77777777" w:rsidR="0050174D" w:rsidRPr="005B7CAC" w:rsidRDefault="0050174D" w:rsidP="0050174D">
      <w:pPr>
        <w:widowControl w:val="0"/>
        <w:autoSpaceDE w:val="0"/>
        <w:autoSpaceDN w:val="0"/>
        <w:adjustRightInd w:val="0"/>
        <w:spacing w:after="240" w:line="240" w:lineRule="auto"/>
        <w:ind w:left="480" w:hanging="480"/>
        <w:rPr>
          <w:rFonts w:ascii="Times New Roman" w:hAnsi="Times New Roman"/>
          <w:noProof/>
          <w:sz w:val="24"/>
          <w:szCs w:val="24"/>
          <w:lang w:val="en-US"/>
        </w:rPr>
      </w:pPr>
      <w:r w:rsidRPr="005B7CAC">
        <w:rPr>
          <w:rFonts w:ascii="Times New Roman" w:hAnsi="Times New Roman"/>
          <w:noProof/>
          <w:sz w:val="24"/>
          <w:szCs w:val="24"/>
          <w:lang w:val="en-US"/>
        </w:rPr>
        <w:t xml:space="preserve">Amores-Salvadó, J., Castro, G.M. De and Navas-López, J.E. (2014), “Green corporate image: moderating the connection between environmental product innovation and firm performance”, </w:t>
      </w:r>
      <w:r w:rsidRPr="005B7CAC">
        <w:rPr>
          <w:rFonts w:ascii="Times New Roman" w:hAnsi="Times New Roman"/>
          <w:i/>
          <w:iCs/>
          <w:noProof/>
          <w:sz w:val="24"/>
          <w:szCs w:val="24"/>
          <w:lang w:val="en-US"/>
        </w:rPr>
        <w:t>Journal of Cleaner Production</w:t>
      </w:r>
      <w:r w:rsidRPr="005B7CAC">
        <w:rPr>
          <w:rFonts w:ascii="Times New Roman" w:hAnsi="Times New Roman"/>
          <w:noProof/>
          <w:sz w:val="24"/>
          <w:szCs w:val="24"/>
          <w:lang w:val="en-US"/>
        </w:rPr>
        <w:t>, Vol. 83, pp. 356–365, doi: 10.1016/J.JCLEPRO.2014.07.059.</w:t>
      </w:r>
    </w:p>
    <w:p w14:paraId="21540EF1" w14:textId="77777777" w:rsidR="0050174D" w:rsidRPr="005B7CAC" w:rsidRDefault="0050174D" w:rsidP="0050174D">
      <w:pPr>
        <w:widowControl w:val="0"/>
        <w:autoSpaceDE w:val="0"/>
        <w:autoSpaceDN w:val="0"/>
        <w:adjustRightInd w:val="0"/>
        <w:spacing w:after="240" w:line="240" w:lineRule="auto"/>
        <w:ind w:left="480" w:hanging="480"/>
        <w:rPr>
          <w:rFonts w:ascii="Times New Roman" w:hAnsi="Times New Roman"/>
          <w:noProof/>
          <w:sz w:val="24"/>
          <w:szCs w:val="24"/>
          <w:lang w:val="en-US"/>
        </w:rPr>
      </w:pPr>
      <w:r w:rsidRPr="005B7CAC">
        <w:rPr>
          <w:rFonts w:ascii="Times New Roman" w:hAnsi="Times New Roman"/>
          <w:noProof/>
          <w:sz w:val="24"/>
          <w:szCs w:val="24"/>
          <w:lang w:val="en-US"/>
        </w:rPr>
        <w:t xml:space="preserve">Anton, S.G. (2024), “The impact of climate vulnerability on new firm formation”, </w:t>
      </w:r>
      <w:r w:rsidRPr="005B7CAC">
        <w:rPr>
          <w:rFonts w:ascii="Times New Roman" w:hAnsi="Times New Roman"/>
          <w:i/>
          <w:iCs/>
          <w:noProof/>
          <w:sz w:val="24"/>
          <w:szCs w:val="24"/>
          <w:lang w:val="en-US"/>
        </w:rPr>
        <w:t>Business Strategy &amp; Development</w:t>
      </w:r>
      <w:r w:rsidRPr="005B7CAC">
        <w:rPr>
          <w:rFonts w:ascii="Times New Roman" w:hAnsi="Times New Roman"/>
          <w:noProof/>
          <w:sz w:val="24"/>
          <w:szCs w:val="24"/>
          <w:lang w:val="en-US"/>
        </w:rPr>
        <w:t>, Vol. 7 No. 3, p. e406, doi: https://doi.org/10.1002/bsd2.406.</w:t>
      </w:r>
    </w:p>
    <w:p w14:paraId="30CDE5E7" w14:textId="77777777" w:rsidR="0050174D" w:rsidRPr="005B7CAC" w:rsidRDefault="0050174D" w:rsidP="0050174D">
      <w:pPr>
        <w:widowControl w:val="0"/>
        <w:autoSpaceDE w:val="0"/>
        <w:autoSpaceDN w:val="0"/>
        <w:adjustRightInd w:val="0"/>
        <w:spacing w:after="240" w:line="240" w:lineRule="auto"/>
        <w:ind w:left="480" w:hanging="480"/>
        <w:rPr>
          <w:rFonts w:ascii="Times New Roman" w:hAnsi="Times New Roman"/>
          <w:noProof/>
          <w:sz w:val="24"/>
          <w:szCs w:val="24"/>
          <w:lang w:val="en-US"/>
        </w:rPr>
      </w:pPr>
      <w:r w:rsidRPr="005B7CAC">
        <w:rPr>
          <w:rFonts w:ascii="Times New Roman" w:hAnsi="Times New Roman"/>
          <w:noProof/>
          <w:sz w:val="24"/>
          <w:szCs w:val="24"/>
          <w:lang w:val="en-US"/>
        </w:rPr>
        <w:t xml:space="preserve">Benjamin, S.J., Biswas, P.K., Wellalage, N.H. and Man, Y. (2023), “Environmental disclosure and its relation to waste performance”, </w:t>
      </w:r>
      <w:r w:rsidRPr="005B7CAC">
        <w:rPr>
          <w:rFonts w:ascii="Times New Roman" w:hAnsi="Times New Roman"/>
          <w:i/>
          <w:iCs/>
          <w:noProof/>
          <w:sz w:val="24"/>
          <w:szCs w:val="24"/>
          <w:lang w:val="en-US"/>
        </w:rPr>
        <w:t>Meditari Accountancy Research</w:t>
      </w:r>
      <w:r w:rsidRPr="005B7CAC">
        <w:rPr>
          <w:rFonts w:ascii="Times New Roman" w:hAnsi="Times New Roman"/>
          <w:noProof/>
          <w:sz w:val="24"/>
          <w:szCs w:val="24"/>
          <w:lang w:val="en-US"/>
        </w:rPr>
        <w:t>, Vol. 31 No. 6, pp. 1545–1577, doi: 10.1108/MEDAR-04-2021-1261.</w:t>
      </w:r>
    </w:p>
    <w:p w14:paraId="65F9AB27" w14:textId="77777777" w:rsidR="0050174D" w:rsidRPr="005B7CAC" w:rsidRDefault="0050174D" w:rsidP="0050174D">
      <w:pPr>
        <w:widowControl w:val="0"/>
        <w:autoSpaceDE w:val="0"/>
        <w:autoSpaceDN w:val="0"/>
        <w:adjustRightInd w:val="0"/>
        <w:spacing w:after="240" w:line="240" w:lineRule="auto"/>
        <w:ind w:left="480" w:hanging="480"/>
        <w:rPr>
          <w:rFonts w:ascii="Times New Roman" w:hAnsi="Times New Roman"/>
          <w:noProof/>
          <w:sz w:val="24"/>
          <w:szCs w:val="24"/>
          <w:lang w:val="en-US"/>
        </w:rPr>
      </w:pPr>
      <w:r w:rsidRPr="005B7CAC">
        <w:rPr>
          <w:rFonts w:ascii="Times New Roman" w:hAnsi="Times New Roman"/>
          <w:noProof/>
          <w:sz w:val="24"/>
          <w:szCs w:val="24"/>
          <w:lang w:val="en-US"/>
        </w:rPr>
        <w:t xml:space="preserve">Berman, S.L., Wicks, A.C., Kotha, S. and Jones, T.M. (1999), “Does stakeholder orientation matter? The relationship between stakeholder management models and firm financial performance”, </w:t>
      </w:r>
      <w:r w:rsidRPr="005B7CAC">
        <w:rPr>
          <w:rFonts w:ascii="Times New Roman" w:hAnsi="Times New Roman"/>
          <w:i/>
          <w:iCs/>
          <w:noProof/>
          <w:sz w:val="24"/>
          <w:szCs w:val="24"/>
          <w:lang w:val="en-US"/>
        </w:rPr>
        <w:t>Academy of Management Journal</w:t>
      </w:r>
      <w:r w:rsidRPr="005B7CAC">
        <w:rPr>
          <w:rFonts w:ascii="Times New Roman" w:hAnsi="Times New Roman"/>
          <w:noProof/>
          <w:sz w:val="24"/>
          <w:szCs w:val="24"/>
          <w:lang w:val="en-US"/>
        </w:rPr>
        <w:t>, Vol. 42 No. 5, pp. 488–506, doi: 10.2307/256972.</w:t>
      </w:r>
    </w:p>
    <w:p w14:paraId="3627E803" w14:textId="77777777" w:rsidR="0050174D" w:rsidRPr="005B7CAC" w:rsidRDefault="0050174D" w:rsidP="0050174D">
      <w:pPr>
        <w:widowControl w:val="0"/>
        <w:autoSpaceDE w:val="0"/>
        <w:autoSpaceDN w:val="0"/>
        <w:adjustRightInd w:val="0"/>
        <w:spacing w:after="240" w:line="240" w:lineRule="auto"/>
        <w:ind w:left="480" w:hanging="480"/>
        <w:rPr>
          <w:rFonts w:ascii="Times New Roman" w:hAnsi="Times New Roman"/>
          <w:noProof/>
          <w:sz w:val="24"/>
          <w:szCs w:val="24"/>
          <w:lang w:val="en-US"/>
        </w:rPr>
      </w:pPr>
      <w:r w:rsidRPr="005B7CAC">
        <w:rPr>
          <w:rFonts w:ascii="Times New Roman" w:hAnsi="Times New Roman"/>
          <w:noProof/>
          <w:sz w:val="24"/>
          <w:szCs w:val="24"/>
          <w:lang w:val="en-US"/>
        </w:rPr>
        <w:t xml:space="preserve">Boubaker, S., Cellier, A., Manita, R. and Saeed, A. (2020), “Does corporate social responsibility reduce financial distress risk?”, </w:t>
      </w:r>
      <w:r w:rsidRPr="005B7CAC">
        <w:rPr>
          <w:rFonts w:ascii="Times New Roman" w:hAnsi="Times New Roman"/>
          <w:i/>
          <w:iCs/>
          <w:noProof/>
          <w:sz w:val="24"/>
          <w:szCs w:val="24"/>
          <w:lang w:val="en-US"/>
        </w:rPr>
        <w:t>Economic Modelling</w:t>
      </w:r>
      <w:r w:rsidRPr="005B7CAC">
        <w:rPr>
          <w:rFonts w:ascii="Times New Roman" w:hAnsi="Times New Roman"/>
          <w:noProof/>
          <w:sz w:val="24"/>
          <w:szCs w:val="24"/>
          <w:lang w:val="en-US"/>
        </w:rPr>
        <w:t>, Vol. 91, pp. 835–851, doi: 10.1016/j.econmod.2020.05.012.</w:t>
      </w:r>
    </w:p>
    <w:p w14:paraId="33FC83B2" w14:textId="77777777" w:rsidR="0050174D" w:rsidRPr="005B7CAC" w:rsidRDefault="0050174D" w:rsidP="0050174D">
      <w:pPr>
        <w:widowControl w:val="0"/>
        <w:autoSpaceDE w:val="0"/>
        <w:autoSpaceDN w:val="0"/>
        <w:adjustRightInd w:val="0"/>
        <w:spacing w:after="240" w:line="240" w:lineRule="auto"/>
        <w:ind w:left="480" w:hanging="480"/>
        <w:rPr>
          <w:rFonts w:ascii="Times New Roman" w:hAnsi="Times New Roman"/>
          <w:noProof/>
          <w:sz w:val="24"/>
          <w:szCs w:val="24"/>
          <w:lang w:val="en-US"/>
        </w:rPr>
      </w:pPr>
      <w:r w:rsidRPr="005B7CAC">
        <w:rPr>
          <w:rFonts w:ascii="Times New Roman" w:hAnsi="Times New Roman"/>
          <w:noProof/>
          <w:sz w:val="24"/>
          <w:szCs w:val="24"/>
          <w:lang w:val="en-US"/>
        </w:rPr>
        <w:t xml:space="preserve">Das, S., Lee, S.H., Kumar, P., Kim, K.H., Lee, S.S. and Bhattacharya, S.S. (2019), “Solid waste management: Scope and the challenge of sustainability”, </w:t>
      </w:r>
      <w:r w:rsidRPr="005B7CAC">
        <w:rPr>
          <w:rFonts w:ascii="Times New Roman" w:hAnsi="Times New Roman"/>
          <w:i/>
          <w:iCs/>
          <w:noProof/>
          <w:sz w:val="24"/>
          <w:szCs w:val="24"/>
          <w:lang w:val="en-US"/>
        </w:rPr>
        <w:t>Journal of Cleaner Production</w:t>
      </w:r>
      <w:r w:rsidRPr="005B7CAC">
        <w:rPr>
          <w:rFonts w:ascii="Times New Roman" w:hAnsi="Times New Roman"/>
          <w:noProof/>
          <w:sz w:val="24"/>
          <w:szCs w:val="24"/>
          <w:lang w:val="en-US"/>
        </w:rPr>
        <w:t>, Vol. 228, pp. 658–678, doi: 10.1016/J.JCLEPRO.2019.04.323.</w:t>
      </w:r>
    </w:p>
    <w:p w14:paraId="79551DE0" w14:textId="77777777" w:rsidR="0050174D" w:rsidRPr="005B7CAC" w:rsidRDefault="0050174D" w:rsidP="0050174D">
      <w:pPr>
        <w:widowControl w:val="0"/>
        <w:autoSpaceDE w:val="0"/>
        <w:autoSpaceDN w:val="0"/>
        <w:adjustRightInd w:val="0"/>
        <w:spacing w:after="240" w:line="240" w:lineRule="auto"/>
        <w:ind w:left="480" w:hanging="480"/>
        <w:rPr>
          <w:rFonts w:ascii="Times New Roman" w:hAnsi="Times New Roman"/>
          <w:noProof/>
          <w:sz w:val="24"/>
          <w:szCs w:val="24"/>
          <w:lang w:val="en-US"/>
        </w:rPr>
      </w:pPr>
      <w:r w:rsidRPr="005B7CAC">
        <w:rPr>
          <w:rFonts w:ascii="Times New Roman" w:hAnsi="Times New Roman"/>
          <w:noProof/>
          <w:sz w:val="24"/>
          <w:szCs w:val="24"/>
          <w:lang w:val="en-US"/>
        </w:rPr>
        <w:t xml:space="preserve">Deb, B.C., Rahman, M.M. and Rahman, M.S. (2023), “The impact of environmental management accounting on environmental and financial performance: empirical evidence from Bangladesh”, </w:t>
      </w:r>
      <w:r w:rsidRPr="005B7CAC">
        <w:rPr>
          <w:rFonts w:ascii="Times New Roman" w:hAnsi="Times New Roman"/>
          <w:i/>
          <w:iCs/>
          <w:noProof/>
          <w:sz w:val="24"/>
          <w:szCs w:val="24"/>
          <w:lang w:val="en-US"/>
        </w:rPr>
        <w:t>Journal of Accounting and Organizational Change</w:t>
      </w:r>
      <w:r w:rsidRPr="005B7CAC">
        <w:rPr>
          <w:rFonts w:ascii="Times New Roman" w:hAnsi="Times New Roman"/>
          <w:noProof/>
          <w:sz w:val="24"/>
          <w:szCs w:val="24"/>
          <w:lang w:val="en-US"/>
        </w:rPr>
        <w:t>, Vol. 19 No. 3, pp. 420–446, doi: 10.1108/JAOC-11-2021-0157.</w:t>
      </w:r>
    </w:p>
    <w:p w14:paraId="51680EE3" w14:textId="77777777" w:rsidR="0050174D" w:rsidRPr="005B7CAC" w:rsidRDefault="0050174D" w:rsidP="0050174D">
      <w:pPr>
        <w:widowControl w:val="0"/>
        <w:autoSpaceDE w:val="0"/>
        <w:autoSpaceDN w:val="0"/>
        <w:adjustRightInd w:val="0"/>
        <w:spacing w:after="240" w:line="240" w:lineRule="auto"/>
        <w:ind w:left="480" w:hanging="480"/>
        <w:rPr>
          <w:rFonts w:ascii="Times New Roman" w:hAnsi="Times New Roman"/>
          <w:noProof/>
          <w:sz w:val="24"/>
          <w:szCs w:val="24"/>
          <w:lang w:val="en-US"/>
        </w:rPr>
      </w:pPr>
      <w:r w:rsidRPr="005B7CAC">
        <w:rPr>
          <w:rFonts w:ascii="Times New Roman" w:hAnsi="Times New Roman"/>
          <w:noProof/>
          <w:sz w:val="24"/>
          <w:szCs w:val="24"/>
          <w:lang w:val="en-US"/>
        </w:rPr>
        <w:lastRenderedPageBreak/>
        <w:t xml:space="preserve">Donaldson, T. and Preston, L.E. (1995), “The Stakeholder Theory of the Corporation: Concepts, Evidence, and Implications”, </w:t>
      </w:r>
      <w:r w:rsidRPr="005B7CAC">
        <w:rPr>
          <w:rFonts w:ascii="Times New Roman" w:hAnsi="Times New Roman"/>
          <w:i/>
          <w:iCs/>
          <w:noProof/>
          <w:sz w:val="24"/>
          <w:szCs w:val="24"/>
          <w:lang w:val="en-US"/>
        </w:rPr>
        <w:t>Academy of Management Review</w:t>
      </w:r>
      <w:r w:rsidRPr="005B7CAC">
        <w:rPr>
          <w:rFonts w:ascii="Times New Roman" w:hAnsi="Times New Roman"/>
          <w:noProof/>
          <w:sz w:val="24"/>
          <w:szCs w:val="24"/>
          <w:lang w:val="en-US"/>
        </w:rPr>
        <w:t>, Vol. 20 No. 1, pp. 65–91, doi: 10.5465/amr.1995.9503271992.</w:t>
      </w:r>
    </w:p>
    <w:p w14:paraId="201005B1" w14:textId="77777777" w:rsidR="0050174D" w:rsidRPr="005B7CAC" w:rsidRDefault="0050174D" w:rsidP="0050174D">
      <w:pPr>
        <w:widowControl w:val="0"/>
        <w:autoSpaceDE w:val="0"/>
        <w:autoSpaceDN w:val="0"/>
        <w:adjustRightInd w:val="0"/>
        <w:spacing w:after="240" w:line="240" w:lineRule="auto"/>
        <w:ind w:left="480" w:hanging="480"/>
        <w:rPr>
          <w:rFonts w:ascii="Times New Roman" w:hAnsi="Times New Roman"/>
          <w:noProof/>
          <w:sz w:val="24"/>
          <w:szCs w:val="24"/>
          <w:lang w:val="en-US"/>
        </w:rPr>
      </w:pPr>
      <w:r w:rsidRPr="005B7CAC">
        <w:rPr>
          <w:rFonts w:ascii="Times New Roman" w:hAnsi="Times New Roman"/>
          <w:noProof/>
          <w:sz w:val="24"/>
          <w:szCs w:val="24"/>
          <w:lang w:val="en-US"/>
        </w:rPr>
        <w:t xml:space="preserve">Farza, K., Ftiti, Z., Hlioui, Z., Louhichi, W. and Omri, A. (2021), “Does it pay to go green? The environmental innovation effect on corporate financial performance”, </w:t>
      </w:r>
      <w:r w:rsidRPr="005B7CAC">
        <w:rPr>
          <w:rFonts w:ascii="Times New Roman" w:hAnsi="Times New Roman"/>
          <w:i/>
          <w:iCs/>
          <w:noProof/>
          <w:sz w:val="24"/>
          <w:szCs w:val="24"/>
          <w:lang w:val="en-US"/>
        </w:rPr>
        <w:t>Journal of Environmental Management</w:t>
      </w:r>
      <w:r w:rsidRPr="005B7CAC">
        <w:rPr>
          <w:rFonts w:ascii="Times New Roman" w:hAnsi="Times New Roman"/>
          <w:noProof/>
          <w:sz w:val="24"/>
          <w:szCs w:val="24"/>
          <w:lang w:val="en-US"/>
        </w:rPr>
        <w:t>, Vol. 300, p. 113695, doi: 10.1016/J.JENVMAN.2021.113695.</w:t>
      </w:r>
    </w:p>
    <w:p w14:paraId="21B70802" w14:textId="77777777" w:rsidR="0050174D" w:rsidRPr="005B7CAC" w:rsidRDefault="0050174D" w:rsidP="0050174D">
      <w:pPr>
        <w:widowControl w:val="0"/>
        <w:autoSpaceDE w:val="0"/>
        <w:autoSpaceDN w:val="0"/>
        <w:adjustRightInd w:val="0"/>
        <w:spacing w:after="240" w:line="240" w:lineRule="auto"/>
        <w:ind w:left="480" w:hanging="480"/>
        <w:rPr>
          <w:rFonts w:ascii="Times New Roman" w:hAnsi="Times New Roman"/>
          <w:noProof/>
          <w:sz w:val="24"/>
          <w:szCs w:val="24"/>
          <w:lang w:val="en-US"/>
        </w:rPr>
      </w:pPr>
      <w:r w:rsidRPr="005B7CAC">
        <w:rPr>
          <w:rFonts w:ascii="Times New Roman" w:hAnsi="Times New Roman"/>
          <w:noProof/>
          <w:sz w:val="24"/>
          <w:szCs w:val="24"/>
          <w:lang w:val="en-US"/>
        </w:rPr>
        <w:t xml:space="preserve">Freeman, R.E. (1984), </w:t>
      </w:r>
      <w:r w:rsidRPr="005B7CAC">
        <w:rPr>
          <w:rFonts w:ascii="Times New Roman" w:hAnsi="Times New Roman"/>
          <w:i/>
          <w:iCs/>
          <w:noProof/>
          <w:sz w:val="24"/>
          <w:szCs w:val="24"/>
          <w:lang w:val="en-US"/>
        </w:rPr>
        <w:t>Strategic Management: A Stakeholder Approach</w:t>
      </w:r>
      <w:r w:rsidRPr="005B7CAC">
        <w:rPr>
          <w:rFonts w:ascii="Times New Roman" w:hAnsi="Times New Roman"/>
          <w:noProof/>
          <w:sz w:val="24"/>
          <w:szCs w:val="24"/>
          <w:lang w:val="en-US"/>
        </w:rPr>
        <w:t xml:space="preserve">, </w:t>
      </w:r>
      <w:r w:rsidRPr="005B7CAC">
        <w:rPr>
          <w:rFonts w:ascii="Times New Roman" w:hAnsi="Times New Roman"/>
          <w:i/>
          <w:iCs/>
          <w:noProof/>
          <w:sz w:val="24"/>
          <w:szCs w:val="24"/>
          <w:lang w:val="en-US"/>
        </w:rPr>
        <w:t>Pitman Series in Business and Public Policy</w:t>
      </w:r>
      <w:r w:rsidRPr="005B7CAC">
        <w:rPr>
          <w:rFonts w:ascii="Times New Roman" w:hAnsi="Times New Roman"/>
          <w:noProof/>
          <w:sz w:val="24"/>
          <w:szCs w:val="24"/>
          <w:lang w:val="en-US"/>
        </w:rPr>
        <w:t>.</w:t>
      </w:r>
    </w:p>
    <w:p w14:paraId="05BAEAC1" w14:textId="77777777" w:rsidR="0050174D" w:rsidRPr="005B7CAC" w:rsidRDefault="0050174D" w:rsidP="0050174D">
      <w:pPr>
        <w:widowControl w:val="0"/>
        <w:autoSpaceDE w:val="0"/>
        <w:autoSpaceDN w:val="0"/>
        <w:adjustRightInd w:val="0"/>
        <w:spacing w:after="240" w:line="240" w:lineRule="auto"/>
        <w:ind w:left="480" w:hanging="480"/>
        <w:rPr>
          <w:rFonts w:ascii="Times New Roman" w:hAnsi="Times New Roman"/>
          <w:noProof/>
          <w:sz w:val="24"/>
          <w:szCs w:val="24"/>
          <w:lang w:val="en-US"/>
        </w:rPr>
      </w:pPr>
      <w:r w:rsidRPr="005B7CAC">
        <w:rPr>
          <w:rFonts w:ascii="Times New Roman" w:hAnsi="Times New Roman"/>
          <w:noProof/>
          <w:sz w:val="24"/>
          <w:szCs w:val="24"/>
          <w:lang w:val="en-US"/>
        </w:rPr>
        <w:t xml:space="preserve">Gerged, A.M., Yao, S. and Albitar, K. (2023), “Board composition, ownership structure and financial distress: insights from UK FTSE 350”, </w:t>
      </w:r>
      <w:r w:rsidRPr="005B7CAC">
        <w:rPr>
          <w:rFonts w:ascii="Times New Roman" w:hAnsi="Times New Roman"/>
          <w:i/>
          <w:iCs/>
          <w:noProof/>
          <w:sz w:val="24"/>
          <w:szCs w:val="24"/>
          <w:lang w:val="en-US"/>
        </w:rPr>
        <w:t>Corporate Governance: The International Journal of Business in Society</w:t>
      </w:r>
      <w:r w:rsidRPr="005B7CAC">
        <w:rPr>
          <w:rFonts w:ascii="Times New Roman" w:hAnsi="Times New Roman"/>
          <w:noProof/>
          <w:sz w:val="24"/>
          <w:szCs w:val="24"/>
          <w:lang w:val="en-US"/>
        </w:rPr>
        <w:t>, Vol. 23 No. 3, pp. 628–649, doi: 10.1108/CG-02-2022-0069.</w:t>
      </w:r>
    </w:p>
    <w:p w14:paraId="6ECCA02A" w14:textId="71234A8D" w:rsidR="0050174D" w:rsidRPr="005B7CAC" w:rsidRDefault="0050174D" w:rsidP="0050174D">
      <w:pPr>
        <w:widowControl w:val="0"/>
        <w:autoSpaceDE w:val="0"/>
        <w:autoSpaceDN w:val="0"/>
        <w:adjustRightInd w:val="0"/>
        <w:spacing w:after="240" w:line="240" w:lineRule="auto"/>
        <w:ind w:left="480" w:hanging="480"/>
        <w:rPr>
          <w:rFonts w:ascii="Times New Roman" w:hAnsi="Times New Roman"/>
          <w:noProof/>
          <w:sz w:val="24"/>
          <w:szCs w:val="24"/>
          <w:lang w:val="en-US"/>
        </w:rPr>
      </w:pPr>
      <w:r w:rsidRPr="005B7CAC">
        <w:rPr>
          <w:rFonts w:ascii="Times New Roman" w:hAnsi="Times New Roman"/>
          <w:noProof/>
          <w:sz w:val="24"/>
          <w:szCs w:val="24"/>
          <w:lang w:val="en-US"/>
        </w:rPr>
        <w:t>Gull, A.A., Atif, M., Ahsan, T. and Derouiche, I. (2022</w:t>
      </w:r>
      <w:r w:rsidR="002B28AA" w:rsidRPr="005B7CAC">
        <w:rPr>
          <w:rFonts w:ascii="Times New Roman" w:hAnsi="Times New Roman"/>
          <w:noProof/>
          <w:sz w:val="24"/>
          <w:szCs w:val="24"/>
          <w:lang w:val="en-US"/>
        </w:rPr>
        <w:t>a</w:t>
      </w:r>
      <w:r w:rsidRPr="005B7CAC">
        <w:rPr>
          <w:rFonts w:ascii="Times New Roman" w:hAnsi="Times New Roman"/>
          <w:noProof/>
          <w:sz w:val="24"/>
          <w:szCs w:val="24"/>
          <w:lang w:val="en-US"/>
        </w:rPr>
        <w:t xml:space="preserve">), “Does waste management affect firm performance? International evidence”, </w:t>
      </w:r>
      <w:r w:rsidRPr="005B7CAC">
        <w:rPr>
          <w:rFonts w:ascii="Times New Roman" w:hAnsi="Times New Roman"/>
          <w:i/>
          <w:iCs/>
          <w:noProof/>
          <w:sz w:val="24"/>
          <w:szCs w:val="24"/>
          <w:lang w:val="en-US"/>
        </w:rPr>
        <w:t>Economic Modelling</w:t>
      </w:r>
      <w:r w:rsidRPr="005B7CAC">
        <w:rPr>
          <w:rFonts w:ascii="Times New Roman" w:hAnsi="Times New Roman"/>
          <w:noProof/>
          <w:sz w:val="24"/>
          <w:szCs w:val="24"/>
          <w:lang w:val="en-US"/>
        </w:rPr>
        <w:t>, Vol. 114, p. 105932, doi: 10.1016/J.ECONMOD.2022.105932.</w:t>
      </w:r>
    </w:p>
    <w:p w14:paraId="3B2951FC" w14:textId="71EFEE84" w:rsidR="0050174D" w:rsidRPr="005B7CAC" w:rsidRDefault="0050174D" w:rsidP="0050174D">
      <w:pPr>
        <w:widowControl w:val="0"/>
        <w:autoSpaceDE w:val="0"/>
        <w:autoSpaceDN w:val="0"/>
        <w:adjustRightInd w:val="0"/>
        <w:spacing w:after="240" w:line="240" w:lineRule="auto"/>
        <w:ind w:left="480" w:hanging="480"/>
        <w:rPr>
          <w:rFonts w:ascii="Times New Roman" w:hAnsi="Times New Roman"/>
          <w:noProof/>
          <w:sz w:val="24"/>
          <w:szCs w:val="24"/>
          <w:lang w:val="en-US"/>
        </w:rPr>
      </w:pPr>
      <w:r w:rsidRPr="005B7CAC">
        <w:rPr>
          <w:rFonts w:ascii="Times New Roman" w:hAnsi="Times New Roman"/>
          <w:noProof/>
          <w:sz w:val="24"/>
          <w:szCs w:val="24"/>
          <w:lang w:val="en-US"/>
        </w:rPr>
        <w:t>Gull, A.A., Atif, M. and Hussain, N. (2022</w:t>
      </w:r>
      <w:r w:rsidR="002B28AA" w:rsidRPr="005B7CAC">
        <w:rPr>
          <w:rFonts w:ascii="Times New Roman" w:hAnsi="Times New Roman"/>
          <w:noProof/>
          <w:sz w:val="24"/>
          <w:szCs w:val="24"/>
          <w:lang w:val="en-US"/>
        </w:rPr>
        <w:t>b</w:t>
      </w:r>
      <w:r w:rsidRPr="005B7CAC">
        <w:rPr>
          <w:rFonts w:ascii="Times New Roman" w:hAnsi="Times New Roman"/>
          <w:noProof/>
          <w:sz w:val="24"/>
          <w:szCs w:val="24"/>
          <w:lang w:val="en-US"/>
        </w:rPr>
        <w:t xml:space="preserve">), “Board gender composition and waste management: Cross-country evidence”, </w:t>
      </w:r>
      <w:r w:rsidRPr="005B7CAC">
        <w:rPr>
          <w:rFonts w:ascii="Times New Roman" w:hAnsi="Times New Roman"/>
          <w:i/>
          <w:iCs/>
          <w:noProof/>
          <w:sz w:val="24"/>
          <w:szCs w:val="24"/>
          <w:lang w:val="en-US"/>
        </w:rPr>
        <w:t>The British Accounting Review</w:t>
      </w:r>
      <w:r w:rsidRPr="005B7CAC">
        <w:rPr>
          <w:rFonts w:ascii="Times New Roman" w:hAnsi="Times New Roman"/>
          <w:noProof/>
          <w:sz w:val="24"/>
          <w:szCs w:val="24"/>
          <w:lang w:val="en-US"/>
        </w:rPr>
        <w:t>, Vol. 55 No. 1, p. 101097, doi: 10.1016/J.BAR.2022.101097.</w:t>
      </w:r>
    </w:p>
    <w:p w14:paraId="3B3B0B96" w14:textId="77777777" w:rsidR="0050174D" w:rsidRPr="005B7CAC" w:rsidRDefault="0050174D" w:rsidP="0050174D">
      <w:pPr>
        <w:widowControl w:val="0"/>
        <w:autoSpaceDE w:val="0"/>
        <w:autoSpaceDN w:val="0"/>
        <w:adjustRightInd w:val="0"/>
        <w:spacing w:after="240" w:line="240" w:lineRule="auto"/>
        <w:ind w:left="480" w:hanging="480"/>
        <w:rPr>
          <w:rFonts w:ascii="Times New Roman" w:hAnsi="Times New Roman"/>
          <w:noProof/>
          <w:sz w:val="24"/>
          <w:szCs w:val="24"/>
          <w:lang w:val="en-US"/>
        </w:rPr>
      </w:pPr>
      <w:r w:rsidRPr="005B7CAC">
        <w:rPr>
          <w:rFonts w:ascii="Times New Roman" w:hAnsi="Times New Roman"/>
          <w:noProof/>
          <w:sz w:val="24"/>
          <w:szCs w:val="24"/>
          <w:lang w:val="en-US"/>
        </w:rPr>
        <w:t xml:space="preserve">Gull, A.A., Luong, H. and Nadeem, M. (2024), “Board co-option and corporate environmental orientation: New insights from the waste management perspective”, </w:t>
      </w:r>
      <w:r w:rsidRPr="005B7CAC">
        <w:rPr>
          <w:rFonts w:ascii="Times New Roman" w:hAnsi="Times New Roman"/>
          <w:i/>
          <w:iCs/>
          <w:noProof/>
          <w:sz w:val="24"/>
          <w:szCs w:val="24"/>
          <w:lang w:val="en-US"/>
        </w:rPr>
        <w:t>Corporate Governance: An International Review</w:t>
      </w:r>
      <w:r w:rsidRPr="005B7CAC">
        <w:rPr>
          <w:rFonts w:ascii="Times New Roman" w:hAnsi="Times New Roman"/>
          <w:noProof/>
          <w:sz w:val="24"/>
          <w:szCs w:val="24"/>
          <w:lang w:val="en-US"/>
        </w:rPr>
        <w:t>, Vol. 32 No. 5, pp. 758–785, doi: 10.1111/corg.12567.</w:t>
      </w:r>
    </w:p>
    <w:p w14:paraId="63384791" w14:textId="77777777" w:rsidR="0050174D" w:rsidRPr="005B7CAC" w:rsidRDefault="0050174D" w:rsidP="0050174D">
      <w:pPr>
        <w:widowControl w:val="0"/>
        <w:autoSpaceDE w:val="0"/>
        <w:autoSpaceDN w:val="0"/>
        <w:adjustRightInd w:val="0"/>
        <w:spacing w:after="240" w:line="240" w:lineRule="auto"/>
        <w:ind w:left="480" w:hanging="480"/>
        <w:rPr>
          <w:rFonts w:ascii="Times New Roman" w:hAnsi="Times New Roman"/>
          <w:noProof/>
          <w:sz w:val="24"/>
          <w:szCs w:val="24"/>
          <w:lang w:val="en-US"/>
        </w:rPr>
      </w:pPr>
      <w:r w:rsidRPr="005B7CAC">
        <w:rPr>
          <w:rFonts w:ascii="Times New Roman" w:hAnsi="Times New Roman"/>
          <w:noProof/>
          <w:sz w:val="24"/>
          <w:szCs w:val="24"/>
          <w:lang w:val="en-US"/>
        </w:rPr>
        <w:t xml:space="preserve">Ha, N.M., Nguyen, P.A., Luan, N.V. and Tam, N.M. (2024), “Impact of green innovation on environmental performance and financial performance”, </w:t>
      </w:r>
      <w:r w:rsidRPr="005B7CAC">
        <w:rPr>
          <w:rFonts w:ascii="Times New Roman" w:hAnsi="Times New Roman"/>
          <w:i/>
          <w:iCs/>
          <w:noProof/>
          <w:sz w:val="24"/>
          <w:szCs w:val="24"/>
          <w:lang w:val="en-US"/>
        </w:rPr>
        <w:t>Environment, Development and Sustainability</w:t>
      </w:r>
      <w:r w:rsidRPr="005B7CAC">
        <w:rPr>
          <w:rFonts w:ascii="Times New Roman" w:hAnsi="Times New Roman"/>
          <w:noProof/>
          <w:sz w:val="24"/>
          <w:szCs w:val="24"/>
          <w:lang w:val="en-US"/>
        </w:rPr>
        <w:t>, Vol. 26 No. 7, pp. 17083–17104, doi: 10.1007/s10668-023-03328-4.</w:t>
      </w:r>
    </w:p>
    <w:p w14:paraId="011E69DC" w14:textId="77777777" w:rsidR="0050174D" w:rsidRPr="005B7CAC" w:rsidRDefault="0050174D" w:rsidP="0050174D">
      <w:pPr>
        <w:widowControl w:val="0"/>
        <w:autoSpaceDE w:val="0"/>
        <w:autoSpaceDN w:val="0"/>
        <w:adjustRightInd w:val="0"/>
        <w:spacing w:after="240" w:line="240" w:lineRule="auto"/>
        <w:ind w:left="480" w:hanging="480"/>
        <w:rPr>
          <w:rFonts w:ascii="Times New Roman" w:hAnsi="Times New Roman"/>
          <w:noProof/>
          <w:sz w:val="24"/>
          <w:szCs w:val="24"/>
          <w:lang w:val="en-US"/>
        </w:rPr>
      </w:pPr>
      <w:r w:rsidRPr="005B7CAC">
        <w:rPr>
          <w:rFonts w:ascii="Times New Roman" w:hAnsi="Times New Roman"/>
          <w:noProof/>
          <w:sz w:val="24"/>
          <w:szCs w:val="24"/>
          <w:lang w:val="en-US"/>
        </w:rPr>
        <w:t xml:space="preserve">Heckman, J.J. (1979), “Sample selection bias as a specification Error”, </w:t>
      </w:r>
      <w:r w:rsidRPr="005B7CAC">
        <w:rPr>
          <w:rFonts w:ascii="Times New Roman" w:hAnsi="Times New Roman"/>
          <w:i/>
          <w:iCs/>
          <w:noProof/>
          <w:sz w:val="24"/>
          <w:szCs w:val="24"/>
          <w:lang w:val="en-US"/>
        </w:rPr>
        <w:t>Econometrica</w:t>
      </w:r>
      <w:r w:rsidRPr="005B7CAC">
        <w:rPr>
          <w:rFonts w:ascii="Times New Roman" w:hAnsi="Times New Roman"/>
          <w:noProof/>
          <w:sz w:val="24"/>
          <w:szCs w:val="24"/>
          <w:lang w:val="en-US"/>
        </w:rPr>
        <w:t>, Vol. 47 No. 1, pp. 153–161.</w:t>
      </w:r>
    </w:p>
    <w:p w14:paraId="06CFCAC8" w14:textId="77777777" w:rsidR="0050174D" w:rsidRPr="005B7CAC" w:rsidRDefault="0050174D" w:rsidP="0050174D">
      <w:pPr>
        <w:widowControl w:val="0"/>
        <w:autoSpaceDE w:val="0"/>
        <w:autoSpaceDN w:val="0"/>
        <w:adjustRightInd w:val="0"/>
        <w:spacing w:after="240" w:line="240" w:lineRule="auto"/>
        <w:ind w:left="480" w:hanging="480"/>
        <w:rPr>
          <w:rFonts w:ascii="Times New Roman" w:hAnsi="Times New Roman"/>
          <w:noProof/>
          <w:sz w:val="24"/>
          <w:szCs w:val="24"/>
          <w:lang w:val="en-US"/>
        </w:rPr>
      </w:pPr>
      <w:r w:rsidRPr="005B7CAC">
        <w:rPr>
          <w:rFonts w:ascii="Times New Roman" w:hAnsi="Times New Roman"/>
          <w:noProof/>
          <w:sz w:val="24"/>
          <w:szCs w:val="24"/>
          <w:lang w:val="en-US"/>
        </w:rPr>
        <w:t xml:space="preserve">Hsu, F.J. and Chen, Y.C. (2015), “Is a firm’s financial risk associated with corporate social responsibility?”, </w:t>
      </w:r>
      <w:r w:rsidRPr="005B7CAC">
        <w:rPr>
          <w:rFonts w:ascii="Times New Roman" w:hAnsi="Times New Roman"/>
          <w:i/>
          <w:iCs/>
          <w:noProof/>
          <w:sz w:val="24"/>
          <w:szCs w:val="24"/>
          <w:lang w:val="en-US"/>
        </w:rPr>
        <w:t>Management Decision</w:t>
      </w:r>
      <w:r w:rsidRPr="005B7CAC">
        <w:rPr>
          <w:rFonts w:ascii="Times New Roman" w:hAnsi="Times New Roman"/>
          <w:noProof/>
          <w:sz w:val="24"/>
          <w:szCs w:val="24"/>
          <w:lang w:val="en-US"/>
        </w:rPr>
        <w:t>, Vol. 53 No. 9, pp. 2175–2199, doi: 10.1108/MD-02-2015-0047.</w:t>
      </w:r>
    </w:p>
    <w:p w14:paraId="6CA3146D" w14:textId="77777777" w:rsidR="0050174D" w:rsidRPr="005B7CAC" w:rsidRDefault="0050174D" w:rsidP="0050174D">
      <w:pPr>
        <w:widowControl w:val="0"/>
        <w:autoSpaceDE w:val="0"/>
        <w:autoSpaceDN w:val="0"/>
        <w:adjustRightInd w:val="0"/>
        <w:spacing w:after="240" w:line="240" w:lineRule="auto"/>
        <w:ind w:left="480" w:hanging="480"/>
        <w:rPr>
          <w:rFonts w:ascii="Times New Roman" w:hAnsi="Times New Roman"/>
          <w:noProof/>
          <w:sz w:val="24"/>
          <w:szCs w:val="24"/>
          <w:lang w:val="en-US"/>
        </w:rPr>
      </w:pPr>
      <w:r w:rsidRPr="005B7CAC">
        <w:rPr>
          <w:rFonts w:ascii="Times New Roman" w:hAnsi="Times New Roman"/>
          <w:noProof/>
          <w:sz w:val="24"/>
          <w:szCs w:val="24"/>
          <w:lang w:val="en-US"/>
        </w:rPr>
        <w:t xml:space="preserve">Hussain, N., García-Sánchez, I.M., Khan, S.A., Khan, Z. and Martínez-Ferrero, J. (2021), “Connecting the Dots : Do Financial Analysts Help Corporate Boards Improve Corporate Social Responsibility ?”, </w:t>
      </w:r>
      <w:r w:rsidRPr="005B7CAC">
        <w:rPr>
          <w:rFonts w:ascii="Times New Roman" w:hAnsi="Times New Roman"/>
          <w:i/>
          <w:iCs/>
          <w:noProof/>
          <w:sz w:val="24"/>
          <w:szCs w:val="24"/>
          <w:lang w:val="en-US"/>
        </w:rPr>
        <w:t>British Journal of Management</w:t>
      </w:r>
      <w:r w:rsidRPr="005B7CAC">
        <w:rPr>
          <w:rFonts w:ascii="Times New Roman" w:hAnsi="Times New Roman"/>
          <w:noProof/>
          <w:sz w:val="24"/>
          <w:szCs w:val="24"/>
          <w:lang w:val="en-US"/>
        </w:rPr>
        <w:t>, doi: 10.1111/1467-8551.12586.</w:t>
      </w:r>
    </w:p>
    <w:p w14:paraId="475380A9" w14:textId="77777777" w:rsidR="0050174D" w:rsidRPr="005B7CAC" w:rsidRDefault="0050174D" w:rsidP="0050174D">
      <w:pPr>
        <w:widowControl w:val="0"/>
        <w:autoSpaceDE w:val="0"/>
        <w:autoSpaceDN w:val="0"/>
        <w:adjustRightInd w:val="0"/>
        <w:spacing w:after="240" w:line="240" w:lineRule="auto"/>
        <w:ind w:left="480" w:hanging="480"/>
        <w:rPr>
          <w:rFonts w:ascii="Times New Roman" w:hAnsi="Times New Roman"/>
          <w:noProof/>
          <w:sz w:val="24"/>
          <w:szCs w:val="24"/>
          <w:lang w:val="en-US"/>
        </w:rPr>
      </w:pPr>
      <w:r w:rsidRPr="005B7CAC">
        <w:rPr>
          <w:rFonts w:ascii="Times New Roman" w:hAnsi="Times New Roman"/>
          <w:noProof/>
          <w:sz w:val="24"/>
          <w:szCs w:val="24"/>
          <w:lang w:val="en-US"/>
        </w:rPr>
        <w:t xml:space="preserve">Issa, A. (2023), “Do emissions reduction initiatives improve financial performance? Empirical analysis of moderating factors”, </w:t>
      </w:r>
      <w:r w:rsidRPr="005B7CAC">
        <w:rPr>
          <w:rFonts w:ascii="Times New Roman" w:hAnsi="Times New Roman"/>
          <w:i/>
          <w:iCs/>
          <w:noProof/>
          <w:sz w:val="24"/>
          <w:szCs w:val="24"/>
          <w:lang w:val="en-US"/>
        </w:rPr>
        <w:t>International Journal of Accounting and Information Management</w:t>
      </w:r>
      <w:r w:rsidRPr="005B7CAC">
        <w:rPr>
          <w:rFonts w:ascii="Times New Roman" w:hAnsi="Times New Roman"/>
          <w:noProof/>
          <w:sz w:val="24"/>
          <w:szCs w:val="24"/>
          <w:lang w:val="en-US"/>
        </w:rPr>
        <w:t>, doi: 10.1108/IJAIM-04-2023-0107.</w:t>
      </w:r>
    </w:p>
    <w:p w14:paraId="697BBA92" w14:textId="77777777" w:rsidR="0050174D" w:rsidRPr="005B7CAC" w:rsidRDefault="0050174D" w:rsidP="0050174D">
      <w:pPr>
        <w:widowControl w:val="0"/>
        <w:autoSpaceDE w:val="0"/>
        <w:autoSpaceDN w:val="0"/>
        <w:adjustRightInd w:val="0"/>
        <w:spacing w:after="240" w:line="240" w:lineRule="auto"/>
        <w:ind w:left="480" w:hanging="480"/>
        <w:rPr>
          <w:rFonts w:ascii="Times New Roman" w:hAnsi="Times New Roman"/>
          <w:noProof/>
          <w:sz w:val="24"/>
          <w:szCs w:val="24"/>
          <w:lang w:val="en-US"/>
        </w:rPr>
      </w:pPr>
      <w:r w:rsidRPr="005B7CAC">
        <w:rPr>
          <w:rFonts w:ascii="Times New Roman" w:hAnsi="Times New Roman"/>
          <w:noProof/>
          <w:sz w:val="24"/>
          <w:szCs w:val="24"/>
          <w:lang w:val="en-US"/>
        </w:rPr>
        <w:t xml:space="preserve">Jia, J. and Li, Z. (2022), “Corporate Environmental Performance and Financial Distress: Evidence from Australia”, </w:t>
      </w:r>
      <w:r w:rsidRPr="005B7CAC">
        <w:rPr>
          <w:rFonts w:ascii="Times New Roman" w:hAnsi="Times New Roman"/>
          <w:i/>
          <w:iCs/>
          <w:noProof/>
          <w:sz w:val="24"/>
          <w:szCs w:val="24"/>
          <w:lang w:val="en-US"/>
        </w:rPr>
        <w:t>Australian Accounting Review</w:t>
      </w:r>
      <w:r w:rsidRPr="005B7CAC">
        <w:rPr>
          <w:rFonts w:ascii="Times New Roman" w:hAnsi="Times New Roman"/>
          <w:noProof/>
          <w:sz w:val="24"/>
          <w:szCs w:val="24"/>
          <w:lang w:val="en-US"/>
        </w:rPr>
        <w:t>, Vol. 32 No. 2, pp. 188–200, doi: 10.1111/auar.12366.</w:t>
      </w:r>
    </w:p>
    <w:p w14:paraId="4AB15173" w14:textId="77777777" w:rsidR="0050174D" w:rsidRPr="005B7CAC" w:rsidRDefault="0050174D" w:rsidP="0050174D">
      <w:pPr>
        <w:widowControl w:val="0"/>
        <w:autoSpaceDE w:val="0"/>
        <w:autoSpaceDN w:val="0"/>
        <w:adjustRightInd w:val="0"/>
        <w:spacing w:after="240" w:line="240" w:lineRule="auto"/>
        <w:ind w:left="480" w:hanging="480"/>
        <w:rPr>
          <w:rFonts w:ascii="Times New Roman" w:hAnsi="Times New Roman"/>
          <w:noProof/>
          <w:sz w:val="24"/>
          <w:szCs w:val="24"/>
          <w:lang w:val="en-US"/>
        </w:rPr>
      </w:pPr>
      <w:r w:rsidRPr="005B7CAC">
        <w:rPr>
          <w:rFonts w:ascii="Times New Roman" w:hAnsi="Times New Roman"/>
          <w:noProof/>
          <w:sz w:val="24"/>
          <w:szCs w:val="24"/>
          <w:lang w:val="en-US"/>
        </w:rPr>
        <w:lastRenderedPageBreak/>
        <w:t xml:space="preserve">Kaplan, S.N. and Zingales, L. (1997), “Do investment-cash flow sensitivities provide useful measures of financing constraints?”, </w:t>
      </w:r>
      <w:r w:rsidRPr="005B7CAC">
        <w:rPr>
          <w:rFonts w:ascii="Times New Roman" w:hAnsi="Times New Roman"/>
          <w:i/>
          <w:iCs/>
          <w:noProof/>
          <w:sz w:val="24"/>
          <w:szCs w:val="24"/>
          <w:lang w:val="en-US"/>
        </w:rPr>
        <w:t>Quarterly Journal of Economics</w:t>
      </w:r>
      <w:r w:rsidRPr="005B7CAC">
        <w:rPr>
          <w:rFonts w:ascii="Times New Roman" w:hAnsi="Times New Roman"/>
          <w:noProof/>
          <w:sz w:val="24"/>
          <w:szCs w:val="24"/>
          <w:lang w:val="en-US"/>
        </w:rPr>
        <w:t>, Vol. 112 No. 1, pp. 169–215, doi: 10.1162/003355397555163.</w:t>
      </w:r>
    </w:p>
    <w:p w14:paraId="0F8E7D86" w14:textId="77777777" w:rsidR="0050174D" w:rsidRPr="005B7CAC" w:rsidRDefault="0050174D" w:rsidP="0050174D">
      <w:pPr>
        <w:widowControl w:val="0"/>
        <w:autoSpaceDE w:val="0"/>
        <w:autoSpaceDN w:val="0"/>
        <w:adjustRightInd w:val="0"/>
        <w:spacing w:after="240" w:line="240" w:lineRule="auto"/>
        <w:ind w:left="480" w:hanging="480"/>
        <w:rPr>
          <w:rFonts w:ascii="Times New Roman" w:hAnsi="Times New Roman"/>
          <w:noProof/>
          <w:sz w:val="24"/>
          <w:szCs w:val="24"/>
          <w:lang w:val="en-US"/>
        </w:rPr>
      </w:pPr>
      <w:r w:rsidRPr="005B7CAC">
        <w:rPr>
          <w:rFonts w:ascii="Times New Roman" w:hAnsi="Times New Roman"/>
          <w:noProof/>
          <w:sz w:val="24"/>
          <w:szCs w:val="24"/>
          <w:lang w:val="en-US"/>
        </w:rPr>
        <w:t xml:space="preserve">Konadu, R., Ahinful, G.S., Boakye, D.J. and Elbardan, H. (2022), “Board gender diversity, environmental innovation and corporate carbon emissions”, </w:t>
      </w:r>
      <w:r w:rsidRPr="005B7CAC">
        <w:rPr>
          <w:rFonts w:ascii="Times New Roman" w:hAnsi="Times New Roman"/>
          <w:i/>
          <w:iCs/>
          <w:noProof/>
          <w:sz w:val="24"/>
          <w:szCs w:val="24"/>
          <w:lang w:val="en-US"/>
        </w:rPr>
        <w:t>Technological Forecasting and Social Change</w:t>
      </w:r>
      <w:r w:rsidRPr="005B7CAC">
        <w:rPr>
          <w:rFonts w:ascii="Times New Roman" w:hAnsi="Times New Roman"/>
          <w:noProof/>
          <w:sz w:val="24"/>
          <w:szCs w:val="24"/>
          <w:lang w:val="en-US"/>
        </w:rPr>
        <w:t>, Vol. 174, p. 121279.</w:t>
      </w:r>
    </w:p>
    <w:p w14:paraId="687241DD" w14:textId="77777777" w:rsidR="0050174D" w:rsidRPr="005B7CAC" w:rsidRDefault="0050174D" w:rsidP="0050174D">
      <w:pPr>
        <w:widowControl w:val="0"/>
        <w:autoSpaceDE w:val="0"/>
        <w:autoSpaceDN w:val="0"/>
        <w:adjustRightInd w:val="0"/>
        <w:spacing w:after="240" w:line="240" w:lineRule="auto"/>
        <w:ind w:left="480" w:hanging="480"/>
        <w:rPr>
          <w:rFonts w:ascii="Times New Roman" w:hAnsi="Times New Roman"/>
          <w:noProof/>
          <w:sz w:val="24"/>
          <w:szCs w:val="24"/>
          <w:lang w:val="en-US"/>
        </w:rPr>
      </w:pPr>
      <w:r w:rsidRPr="005B7CAC">
        <w:rPr>
          <w:rFonts w:ascii="Times New Roman" w:hAnsi="Times New Roman"/>
          <w:noProof/>
          <w:sz w:val="24"/>
          <w:szCs w:val="24"/>
          <w:lang w:val="en-US"/>
        </w:rPr>
        <w:t xml:space="preserve">Mahran, K. and Elamer, A.A. (2024), “Shaping ESG commitment through organizational psychological capital: The role of CEO power”, </w:t>
      </w:r>
      <w:r w:rsidRPr="005B7CAC">
        <w:rPr>
          <w:rFonts w:ascii="Times New Roman" w:hAnsi="Times New Roman"/>
          <w:i/>
          <w:iCs/>
          <w:noProof/>
          <w:sz w:val="24"/>
          <w:szCs w:val="24"/>
          <w:lang w:val="en-US"/>
        </w:rPr>
        <w:t>Business Strategy and the Environment</w:t>
      </w:r>
      <w:r w:rsidRPr="005B7CAC">
        <w:rPr>
          <w:rFonts w:ascii="Times New Roman" w:hAnsi="Times New Roman"/>
          <w:noProof/>
          <w:sz w:val="24"/>
          <w:szCs w:val="24"/>
          <w:lang w:val="en-US"/>
        </w:rPr>
        <w:t>, John Wiley &amp; Sons, Ltd, pp. 1–18, doi: https://doi.org/10.1002/bse.4007.</w:t>
      </w:r>
    </w:p>
    <w:p w14:paraId="0255A05E" w14:textId="77777777" w:rsidR="0050174D" w:rsidRPr="005B7CAC" w:rsidRDefault="0050174D" w:rsidP="0050174D">
      <w:pPr>
        <w:widowControl w:val="0"/>
        <w:autoSpaceDE w:val="0"/>
        <w:autoSpaceDN w:val="0"/>
        <w:adjustRightInd w:val="0"/>
        <w:spacing w:after="240" w:line="240" w:lineRule="auto"/>
        <w:ind w:left="480" w:hanging="480"/>
        <w:rPr>
          <w:rFonts w:ascii="Times New Roman" w:hAnsi="Times New Roman"/>
          <w:noProof/>
          <w:sz w:val="24"/>
          <w:szCs w:val="24"/>
          <w:lang w:val="en-US"/>
        </w:rPr>
      </w:pPr>
      <w:r w:rsidRPr="005B7CAC">
        <w:rPr>
          <w:rFonts w:ascii="Times New Roman" w:hAnsi="Times New Roman"/>
          <w:noProof/>
          <w:sz w:val="24"/>
          <w:szCs w:val="24"/>
          <w:lang w:val="en-US"/>
        </w:rPr>
        <w:t xml:space="preserve">Martínez-García, I., Terjesen, S. and Gómez-Ansón, S. (2022), “Board Gender Diversity Codes, Quotas and Threats of Supranational Legislation: Impact on Director Characteristics and Corporate Outcomes”, </w:t>
      </w:r>
      <w:r w:rsidRPr="005B7CAC">
        <w:rPr>
          <w:rFonts w:ascii="Times New Roman" w:hAnsi="Times New Roman"/>
          <w:i/>
          <w:iCs/>
          <w:noProof/>
          <w:sz w:val="24"/>
          <w:szCs w:val="24"/>
          <w:lang w:val="en-US"/>
        </w:rPr>
        <w:t>British Journal of Management</w:t>
      </w:r>
      <w:r w:rsidRPr="005B7CAC">
        <w:rPr>
          <w:rFonts w:ascii="Times New Roman" w:hAnsi="Times New Roman"/>
          <w:noProof/>
          <w:sz w:val="24"/>
          <w:szCs w:val="24"/>
          <w:lang w:val="en-US"/>
        </w:rPr>
        <w:t>, Vol. 33 No. 2, pp. 753–783, doi: 10.1111/1467-8551.12517.</w:t>
      </w:r>
    </w:p>
    <w:p w14:paraId="29F5EAE6" w14:textId="77777777" w:rsidR="0050174D" w:rsidRPr="005B7CAC" w:rsidRDefault="0050174D" w:rsidP="0050174D">
      <w:pPr>
        <w:widowControl w:val="0"/>
        <w:autoSpaceDE w:val="0"/>
        <w:autoSpaceDN w:val="0"/>
        <w:adjustRightInd w:val="0"/>
        <w:spacing w:after="240" w:line="240" w:lineRule="auto"/>
        <w:ind w:left="480" w:hanging="480"/>
        <w:rPr>
          <w:rFonts w:ascii="Times New Roman" w:hAnsi="Times New Roman"/>
          <w:noProof/>
          <w:sz w:val="24"/>
          <w:szCs w:val="24"/>
          <w:lang w:val="en-US"/>
        </w:rPr>
      </w:pPr>
      <w:r w:rsidRPr="005B7CAC">
        <w:rPr>
          <w:rFonts w:ascii="Times New Roman" w:hAnsi="Times New Roman"/>
          <w:noProof/>
          <w:sz w:val="24"/>
          <w:szCs w:val="24"/>
          <w:lang w:val="en-US"/>
        </w:rPr>
        <w:t xml:space="preserve">Molina-Azorín, J.F., Tarí, J.J., Claver-Cortés, E. and López-Gamero, M.D. (2009), “Quality management, environmental management and firm performance: A review of empirical studies and issues of integration”, </w:t>
      </w:r>
      <w:r w:rsidRPr="005B7CAC">
        <w:rPr>
          <w:rFonts w:ascii="Times New Roman" w:hAnsi="Times New Roman"/>
          <w:i/>
          <w:iCs/>
          <w:noProof/>
          <w:sz w:val="24"/>
          <w:szCs w:val="24"/>
          <w:lang w:val="en-US"/>
        </w:rPr>
        <w:t>International Journal of Management Reviews</w:t>
      </w:r>
      <w:r w:rsidRPr="005B7CAC">
        <w:rPr>
          <w:rFonts w:ascii="Times New Roman" w:hAnsi="Times New Roman"/>
          <w:noProof/>
          <w:sz w:val="24"/>
          <w:szCs w:val="24"/>
          <w:lang w:val="en-US"/>
        </w:rPr>
        <w:t>, doi: 10.1111/j.1468-2370.2008.00238.x.</w:t>
      </w:r>
    </w:p>
    <w:p w14:paraId="5A414E99" w14:textId="77777777" w:rsidR="0050174D" w:rsidRPr="005B7CAC" w:rsidRDefault="0050174D" w:rsidP="0050174D">
      <w:pPr>
        <w:widowControl w:val="0"/>
        <w:autoSpaceDE w:val="0"/>
        <w:autoSpaceDN w:val="0"/>
        <w:adjustRightInd w:val="0"/>
        <w:spacing w:after="240" w:line="240" w:lineRule="auto"/>
        <w:ind w:left="480" w:hanging="480"/>
        <w:rPr>
          <w:rFonts w:ascii="Times New Roman" w:hAnsi="Times New Roman"/>
          <w:noProof/>
          <w:sz w:val="24"/>
          <w:szCs w:val="24"/>
          <w:lang w:val="en-US"/>
        </w:rPr>
      </w:pPr>
      <w:r w:rsidRPr="005B7CAC">
        <w:rPr>
          <w:rFonts w:ascii="Times New Roman" w:hAnsi="Times New Roman"/>
          <w:noProof/>
          <w:sz w:val="24"/>
          <w:szCs w:val="24"/>
          <w:lang w:val="en-US"/>
        </w:rPr>
        <w:t xml:space="preserve">Nadeem, M., Bahadar, S., Gull, A.A. and Iqbal, U. (2020), “Are women eco-friendly? Board gender diversity and environmental innovation”, </w:t>
      </w:r>
      <w:r w:rsidRPr="005B7CAC">
        <w:rPr>
          <w:rFonts w:ascii="Times New Roman" w:hAnsi="Times New Roman"/>
          <w:i/>
          <w:iCs/>
          <w:noProof/>
          <w:sz w:val="24"/>
          <w:szCs w:val="24"/>
          <w:lang w:val="en-US"/>
        </w:rPr>
        <w:t>Business Strategy and the Environment</w:t>
      </w:r>
      <w:r w:rsidRPr="005B7CAC">
        <w:rPr>
          <w:rFonts w:ascii="Times New Roman" w:hAnsi="Times New Roman"/>
          <w:noProof/>
          <w:sz w:val="24"/>
          <w:szCs w:val="24"/>
          <w:lang w:val="en-US"/>
        </w:rPr>
        <w:t>, Vol. 29 No. 8, pp. 3146–3161, doi: 10.1002/bse.2563.</w:t>
      </w:r>
    </w:p>
    <w:p w14:paraId="16713AA5" w14:textId="77777777" w:rsidR="0050174D" w:rsidRPr="005B7CAC" w:rsidRDefault="0050174D" w:rsidP="0050174D">
      <w:pPr>
        <w:widowControl w:val="0"/>
        <w:autoSpaceDE w:val="0"/>
        <w:autoSpaceDN w:val="0"/>
        <w:adjustRightInd w:val="0"/>
        <w:spacing w:after="240" w:line="240" w:lineRule="auto"/>
        <w:ind w:left="480" w:hanging="480"/>
        <w:rPr>
          <w:rFonts w:ascii="Times New Roman" w:hAnsi="Times New Roman"/>
          <w:noProof/>
          <w:sz w:val="24"/>
          <w:szCs w:val="24"/>
          <w:lang w:val="en-US"/>
        </w:rPr>
      </w:pPr>
      <w:r w:rsidRPr="005B7CAC">
        <w:rPr>
          <w:rFonts w:ascii="Times New Roman" w:hAnsi="Times New Roman"/>
          <w:noProof/>
          <w:sz w:val="24"/>
          <w:szCs w:val="24"/>
          <w:lang w:val="en-US"/>
        </w:rPr>
        <w:t xml:space="preserve">Orazalin, N., Kuzey, C., Uyar, A. and Karaman, A.S. (2023), “Does CSR contribute to the financial sector’s financial stability? The moderating role of a sustainability committee”, </w:t>
      </w:r>
      <w:r w:rsidRPr="005B7CAC">
        <w:rPr>
          <w:rFonts w:ascii="Times New Roman" w:hAnsi="Times New Roman"/>
          <w:i/>
          <w:iCs/>
          <w:noProof/>
          <w:sz w:val="24"/>
          <w:szCs w:val="24"/>
          <w:lang w:val="en-US"/>
        </w:rPr>
        <w:t>Journal of Applied Accounting Research</w:t>
      </w:r>
      <w:r w:rsidRPr="005B7CAC">
        <w:rPr>
          <w:rFonts w:ascii="Times New Roman" w:hAnsi="Times New Roman"/>
          <w:noProof/>
          <w:sz w:val="24"/>
          <w:szCs w:val="24"/>
          <w:lang w:val="en-US"/>
        </w:rPr>
        <w:t>, doi: 10.1108/JAAR-12-2022-0329.</w:t>
      </w:r>
    </w:p>
    <w:p w14:paraId="10E39779" w14:textId="77777777" w:rsidR="0050174D" w:rsidRPr="005B7CAC" w:rsidRDefault="0050174D" w:rsidP="0050174D">
      <w:pPr>
        <w:widowControl w:val="0"/>
        <w:autoSpaceDE w:val="0"/>
        <w:autoSpaceDN w:val="0"/>
        <w:adjustRightInd w:val="0"/>
        <w:spacing w:after="240" w:line="240" w:lineRule="auto"/>
        <w:ind w:left="480" w:hanging="480"/>
        <w:rPr>
          <w:rFonts w:ascii="Times New Roman" w:hAnsi="Times New Roman"/>
          <w:noProof/>
          <w:sz w:val="24"/>
          <w:szCs w:val="24"/>
          <w:lang w:val="en-US"/>
        </w:rPr>
      </w:pPr>
      <w:r w:rsidRPr="005B7CAC">
        <w:rPr>
          <w:rFonts w:ascii="Times New Roman" w:hAnsi="Times New Roman"/>
          <w:noProof/>
          <w:sz w:val="24"/>
          <w:szCs w:val="24"/>
          <w:lang w:val="en-US"/>
        </w:rPr>
        <w:t xml:space="preserve">Orazalin, N., Ntim, C. and Malagila, J. (2024), “Board sustainability committees, climate change initiatives, carbon performance, and market value”, </w:t>
      </w:r>
      <w:r w:rsidRPr="005B7CAC">
        <w:rPr>
          <w:rFonts w:ascii="Times New Roman" w:hAnsi="Times New Roman"/>
          <w:i/>
          <w:iCs/>
          <w:noProof/>
          <w:sz w:val="24"/>
          <w:szCs w:val="24"/>
          <w:lang w:val="en-US"/>
        </w:rPr>
        <w:t>British Journal of Management</w:t>
      </w:r>
      <w:r w:rsidRPr="005B7CAC">
        <w:rPr>
          <w:rFonts w:ascii="Times New Roman" w:hAnsi="Times New Roman"/>
          <w:noProof/>
          <w:sz w:val="24"/>
          <w:szCs w:val="24"/>
          <w:lang w:val="en-US"/>
        </w:rPr>
        <w:t>, Vol. 35 No. 1, pp. 295–320, doi: 10.1111/1467-8551.12715.</w:t>
      </w:r>
    </w:p>
    <w:p w14:paraId="0636B408" w14:textId="77777777" w:rsidR="0050174D" w:rsidRPr="005B7CAC" w:rsidRDefault="0050174D" w:rsidP="0050174D">
      <w:pPr>
        <w:widowControl w:val="0"/>
        <w:autoSpaceDE w:val="0"/>
        <w:autoSpaceDN w:val="0"/>
        <w:adjustRightInd w:val="0"/>
        <w:spacing w:after="240" w:line="240" w:lineRule="auto"/>
        <w:ind w:left="480" w:hanging="480"/>
        <w:rPr>
          <w:rFonts w:ascii="Times New Roman" w:hAnsi="Times New Roman"/>
          <w:noProof/>
          <w:sz w:val="24"/>
          <w:szCs w:val="24"/>
          <w:lang w:val="en-US"/>
        </w:rPr>
      </w:pPr>
      <w:r w:rsidRPr="005B7CAC">
        <w:rPr>
          <w:rFonts w:ascii="Times New Roman" w:hAnsi="Times New Roman"/>
          <w:noProof/>
          <w:sz w:val="24"/>
          <w:szCs w:val="24"/>
          <w:lang w:val="en-US"/>
        </w:rPr>
        <w:t xml:space="preserve">Radu, C. and Francoeur, C. (2017), “Does Innovation Drive Environmental Disclosure? A New Insight into Sustainable Development”, </w:t>
      </w:r>
      <w:r w:rsidRPr="005B7CAC">
        <w:rPr>
          <w:rFonts w:ascii="Times New Roman" w:hAnsi="Times New Roman"/>
          <w:i/>
          <w:iCs/>
          <w:noProof/>
          <w:sz w:val="24"/>
          <w:szCs w:val="24"/>
          <w:lang w:val="en-US"/>
        </w:rPr>
        <w:t>Business Strategy and the Environment</w:t>
      </w:r>
      <w:r w:rsidRPr="005B7CAC">
        <w:rPr>
          <w:rFonts w:ascii="Times New Roman" w:hAnsi="Times New Roman"/>
          <w:noProof/>
          <w:sz w:val="24"/>
          <w:szCs w:val="24"/>
          <w:lang w:val="en-US"/>
        </w:rPr>
        <w:t>, Vol. 26 No. 7, pp. 893–911, doi: 10.1002/bse.1950.</w:t>
      </w:r>
    </w:p>
    <w:p w14:paraId="7BA55DC9" w14:textId="77777777" w:rsidR="0050174D" w:rsidRPr="005B7CAC" w:rsidRDefault="0050174D" w:rsidP="0050174D">
      <w:pPr>
        <w:widowControl w:val="0"/>
        <w:autoSpaceDE w:val="0"/>
        <w:autoSpaceDN w:val="0"/>
        <w:adjustRightInd w:val="0"/>
        <w:spacing w:after="240" w:line="240" w:lineRule="auto"/>
        <w:ind w:left="480" w:hanging="480"/>
        <w:rPr>
          <w:rFonts w:ascii="Times New Roman" w:hAnsi="Times New Roman"/>
          <w:noProof/>
          <w:sz w:val="24"/>
          <w:szCs w:val="24"/>
          <w:lang w:val="en-US"/>
        </w:rPr>
      </w:pPr>
      <w:r w:rsidRPr="005B7CAC">
        <w:rPr>
          <w:rFonts w:ascii="Times New Roman" w:hAnsi="Times New Roman"/>
          <w:noProof/>
          <w:sz w:val="24"/>
          <w:szCs w:val="24"/>
          <w:lang w:val="en-US"/>
        </w:rPr>
        <w:t xml:space="preserve">Rahman, M.J., Zhu, H. and Chen, S. (2023), “Does CSR reduce financial distress? Moderating effect of firm characteristics, auditor characteristics, and covid-19”, </w:t>
      </w:r>
      <w:r w:rsidRPr="005B7CAC">
        <w:rPr>
          <w:rFonts w:ascii="Times New Roman" w:hAnsi="Times New Roman"/>
          <w:i/>
          <w:iCs/>
          <w:noProof/>
          <w:sz w:val="24"/>
          <w:szCs w:val="24"/>
          <w:lang w:val="en-US"/>
        </w:rPr>
        <w:t>International Journal of Accounting and Information Management</w:t>
      </w:r>
      <w:r w:rsidRPr="005B7CAC">
        <w:rPr>
          <w:rFonts w:ascii="Times New Roman" w:hAnsi="Times New Roman"/>
          <w:noProof/>
          <w:sz w:val="24"/>
          <w:szCs w:val="24"/>
          <w:lang w:val="en-US"/>
        </w:rPr>
        <w:t>, Vol. 31 No. 5, pp. 756–784, doi: 10.1108/IJAIM-04-2023-0081.</w:t>
      </w:r>
    </w:p>
    <w:p w14:paraId="120BE1C8" w14:textId="77777777" w:rsidR="0050174D" w:rsidRPr="005B7CAC" w:rsidRDefault="0050174D" w:rsidP="0050174D">
      <w:pPr>
        <w:widowControl w:val="0"/>
        <w:autoSpaceDE w:val="0"/>
        <w:autoSpaceDN w:val="0"/>
        <w:adjustRightInd w:val="0"/>
        <w:spacing w:after="240" w:line="240" w:lineRule="auto"/>
        <w:ind w:left="480" w:hanging="480"/>
        <w:rPr>
          <w:rFonts w:ascii="Times New Roman" w:hAnsi="Times New Roman"/>
          <w:noProof/>
          <w:sz w:val="24"/>
          <w:szCs w:val="24"/>
          <w:lang w:val="en-US"/>
        </w:rPr>
      </w:pPr>
      <w:r w:rsidRPr="005B7CAC">
        <w:rPr>
          <w:rFonts w:ascii="Times New Roman" w:hAnsi="Times New Roman"/>
          <w:noProof/>
          <w:sz w:val="24"/>
          <w:szCs w:val="24"/>
          <w:lang w:val="en-US"/>
        </w:rPr>
        <w:t xml:space="preserve">Shahab, Y., Gull, A.A., Rind, A.A., Alias Sarang, A.A. and Ahsan, T. (2022), “Do corporate governance mechanisms curb the anti-environmental behavior of firms worldwide? An illustration through waste management”, </w:t>
      </w:r>
      <w:r w:rsidRPr="005B7CAC">
        <w:rPr>
          <w:rFonts w:ascii="Times New Roman" w:hAnsi="Times New Roman"/>
          <w:i/>
          <w:iCs/>
          <w:noProof/>
          <w:sz w:val="24"/>
          <w:szCs w:val="24"/>
          <w:lang w:val="en-US"/>
        </w:rPr>
        <w:t>Journal of Environmental Management</w:t>
      </w:r>
      <w:r w:rsidRPr="005B7CAC">
        <w:rPr>
          <w:rFonts w:ascii="Times New Roman" w:hAnsi="Times New Roman"/>
          <w:noProof/>
          <w:sz w:val="24"/>
          <w:szCs w:val="24"/>
          <w:lang w:val="en-US"/>
        </w:rPr>
        <w:t>, Vol. 310, p. 114707, doi: 10.1016/J.JENVMAN.2022.114707.</w:t>
      </w:r>
    </w:p>
    <w:p w14:paraId="6CE16F93" w14:textId="77777777" w:rsidR="0050174D" w:rsidRPr="005B7CAC" w:rsidRDefault="0050174D" w:rsidP="0050174D">
      <w:pPr>
        <w:widowControl w:val="0"/>
        <w:autoSpaceDE w:val="0"/>
        <w:autoSpaceDN w:val="0"/>
        <w:adjustRightInd w:val="0"/>
        <w:spacing w:after="240" w:line="240" w:lineRule="auto"/>
        <w:ind w:left="480" w:hanging="480"/>
        <w:rPr>
          <w:rFonts w:ascii="Times New Roman" w:hAnsi="Times New Roman"/>
          <w:noProof/>
          <w:sz w:val="24"/>
          <w:szCs w:val="24"/>
          <w:lang w:val="en-US"/>
        </w:rPr>
      </w:pPr>
      <w:r w:rsidRPr="005B7CAC">
        <w:rPr>
          <w:rFonts w:ascii="Times New Roman" w:hAnsi="Times New Roman"/>
          <w:noProof/>
          <w:sz w:val="24"/>
          <w:szCs w:val="24"/>
          <w:lang w:val="en-US"/>
        </w:rPr>
        <w:t xml:space="preserve">Shahab, Y., Ntim, C.G., Chengang, Y., Ullah, F. and Fosu, S. (2018), “Environmental policy, environmental performance, and financial distress in China: Do top management team </w:t>
      </w:r>
      <w:r w:rsidRPr="005B7CAC">
        <w:rPr>
          <w:rFonts w:ascii="Times New Roman" w:hAnsi="Times New Roman"/>
          <w:noProof/>
          <w:sz w:val="24"/>
          <w:szCs w:val="24"/>
          <w:lang w:val="en-US"/>
        </w:rPr>
        <w:lastRenderedPageBreak/>
        <w:t xml:space="preserve">characteristics matter?”, </w:t>
      </w:r>
      <w:r w:rsidRPr="005B7CAC">
        <w:rPr>
          <w:rFonts w:ascii="Times New Roman" w:hAnsi="Times New Roman"/>
          <w:i/>
          <w:iCs/>
          <w:noProof/>
          <w:sz w:val="24"/>
          <w:szCs w:val="24"/>
          <w:lang w:val="en-US"/>
        </w:rPr>
        <w:t>Business Strategy and the Environment</w:t>
      </w:r>
      <w:r w:rsidRPr="005B7CAC">
        <w:rPr>
          <w:rFonts w:ascii="Times New Roman" w:hAnsi="Times New Roman"/>
          <w:noProof/>
          <w:sz w:val="24"/>
          <w:szCs w:val="24"/>
          <w:lang w:val="en-US"/>
        </w:rPr>
        <w:t>, Vol. 27 No. 8, pp. 1635–1652, doi: 10.1002/bse.2229.</w:t>
      </w:r>
    </w:p>
    <w:p w14:paraId="1F8243E7" w14:textId="77777777" w:rsidR="0050174D" w:rsidRPr="005B7CAC" w:rsidRDefault="0050174D" w:rsidP="0050174D">
      <w:pPr>
        <w:widowControl w:val="0"/>
        <w:autoSpaceDE w:val="0"/>
        <w:autoSpaceDN w:val="0"/>
        <w:adjustRightInd w:val="0"/>
        <w:spacing w:after="240" w:line="240" w:lineRule="auto"/>
        <w:ind w:left="480" w:hanging="480"/>
        <w:rPr>
          <w:rFonts w:ascii="Times New Roman" w:hAnsi="Times New Roman"/>
          <w:noProof/>
          <w:sz w:val="24"/>
          <w:szCs w:val="24"/>
          <w:lang w:val="en-US"/>
        </w:rPr>
      </w:pPr>
      <w:r w:rsidRPr="005B7CAC">
        <w:rPr>
          <w:rFonts w:ascii="Times New Roman" w:hAnsi="Times New Roman"/>
          <w:noProof/>
          <w:sz w:val="24"/>
          <w:szCs w:val="24"/>
          <w:lang w:val="en-US"/>
        </w:rPr>
        <w:t xml:space="preserve">Shelih, R. and Wang, L. (2023), “The moderating effect of financial constraints on the relationship between stock price crash risk and managerial ability”, </w:t>
      </w:r>
      <w:r w:rsidRPr="005B7CAC">
        <w:rPr>
          <w:rFonts w:ascii="Times New Roman" w:hAnsi="Times New Roman"/>
          <w:i/>
          <w:iCs/>
          <w:noProof/>
          <w:sz w:val="24"/>
          <w:szCs w:val="24"/>
          <w:lang w:val="en-US"/>
        </w:rPr>
        <w:t>International Journal of Accounting &amp; Information Management</w:t>
      </w:r>
      <w:r w:rsidRPr="005B7CAC">
        <w:rPr>
          <w:rFonts w:ascii="Times New Roman" w:hAnsi="Times New Roman"/>
          <w:noProof/>
          <w:sz w:val="24"/>
          <w:szCs w:val="24"/>
          <w:lang w:val="en-US"/>
        </w:rPr>
        <w:t>, doi: 10.1108/ijaim-03-2023-0065.</w:t>
      </w:r>
    </w:p>
    <w:p w14:paraId="6373C52A" w14:textId="77777777" w:rsidR="0050174D" w:rsidRPr="005B7CAC" w:rsidRDefault="0050174D" w:rsidP="0050174D">
      <w:pPr>
        <w:widowControl w:val="0"/>
        <w:autoSpaceDE w:val="0"/>
        <w:autoSpaceDN w:val="0"/>
        <w:adjustRightInd w:val="0"/>
        <w:spacing w:after="240" w:line="240" w:lineRule="auto"/>
        <w:ind w:left="480" w:hanging="480"/>
        <w:rPr>
          <w:rFonts w:ascii="Times New Roman" w:hAnsi="Times New Roman"/>
          <w:noProof/>
          <w:sz w:val="24"/>
          <w:szCs w:val="24"/>
          <w:lang w:val="en-US"/>
        </w:rPr>
      </w:pPr>
      <w:r w:rsidRPr="005B7CAC">
        <w:rPr>
          <w:rFonts w:ascii="Times New Roman" w:hAnsi="Times New Roman"/>
          <w:noProof/>
          <w:sz w:val="24"/>
          <w:szCs w:val="24"/>
          <w:lang w:val="en-US"/>
        </w:rPr>
        <w:t xml:space="preserve">Simionescu, L.N., Gherghina,  Ștefan C., Sheikha, Z. and Tawil, H. (2020), “Does water, waste, and energy consumption influence firm performance? Panel data evidence from S &amp;P 500 information technology sector”, </w:t>
      </w:r>
      <w:r w:rsidRPr="005B7CAC">
        <w:rPr>
          <w:rFonts w:ascii="Times New Roman" w:hAnsi="Times New Roman"/>
          <w:i/>
          <w:iCs/>
          <w:noProof/>
          <w:sz w:val="24"/>
          <w:szCs w:val="24"/>
          <w:lang w:val="en-US"/>
        </w:rPr>
        <w:t>International Journal of Environmental Research and Public Health</w:t>
      </w:r>
      <w:r w:rsidRPr="005B7CAC">
        <w:rPr>
          <w:rFonts w:ascii="Times New Roman" w:hAnsi="Times New Roman"/>
          <w:noProof/>
          <w:sz w:val="24"/>
          <w:szCs w:val="24"/>
          <w:lang w:val="en-US"/>
        </w:rPr>
        <w:t>, Vol. 17 No. 14, p. 5206, doi: 10.3390/ijerph17145206.</w:t>
      </w:r>
    </w:p>
    <w:p w14:paraId="6B5FCAB3" w14:textId="77777777" w:rsidR="0050174D" w:rsidRPr="005B7CAC" w:rsidRDefault="0050174D" w:rsidP="0050174D">
      <w:pPr>
        <w:widowControl w:val="0"/>
        <w:autoSpaceDE w:val="0"/>
        <w:autoSpaceDN w:val="0"/>
        <w:adjustRightInd w:val="0"/>
        <w:spacing w:after="240" w:line="240" w:lineRule="auto"/>
        <w:ind w:left="480" w:hanging="480"/>
        <w:rPr>
          <w:rFonts w:ascii="Times New Roman" w:hAnsi="Times New Roman"/>
          <w:noProof/>
          <w:sz w:val="24"/>
          <w:szCs w:val="24"/>
          <w:lang w:val="en-US"/>
        </w:rPr>
      </w:pPr>
      <w:r w:rsidRPr="005B7CAC">
        <w:rPr>
          <w:rFonts w:ascii="Times New Roman" w:hAnsi="Times New Roman"/>
          <w:noProof/>
          <w:sz w:val="24"/>
          <w:szCs w:val="24"/>
          <w:lang w:val="en-US"/>
        </w:rPr>
        <w:t xml:space="preserve">Uyar, A., Al-Shaer, H., Kuzey, C. and Karaman, A.S. (2023), “Do foreign directors reinforce better waste management? The moderating role of eco-innovation”, </w:t>
      </w:r>
      <w:r w:rsidRPr="005B7CAC">
        <w:rPr>
          <w:rFonts w:ascii="Times New Roman" w:hAnsi="Times New Roman"/>
          <w:i/>
          <w:iCs/>
          <w:noProof/>
          <w:sz w:val="24"/>
          <w:szCs w:val="24"/>
          <w:lang w:val="en-US"/>
        </w:rPr>
        <w:t>Business Strategy and the Environment</w:t>
      </w:r>
      <w:r w:rsidRPr="005B7CAC">
        <w:rPr>
          <w:rFonts w:ascii="Times New Roman" w:hAnsi="Times New Roman"/>
          <w:noProof/>
          <w:sz w:val="24"/>
          <w:szCs w:val="24"/>
          <w:lang w:val="en-US"/>
        </w:rPr>
        <w:t>, pp. 1–26, doi: 10.1002/bse.3589.</w:t>
      </w:r>
    </w:p>
    <w:p w14:paraId="54F02B30" w14:textId="77777777" w:rsidR="0050174D" w:rsidRPr="005B7CAC" w:rsidRDefault="0050174D" w:rsidP="0050174D">
      <w:pPr>
        <w:widowControl w:val="0"/>
        <w:autoSpaceDE w:val="0"/>
        <w:autoSpaceDN w:val="0"/>
        <w:adjustRightInd w:val="0"/>
        <w:spacing w:after="240" w:line="240" w:lineRule="auto"/>
        <w:ind w:left="480" w:hanging="480"/>
        <w:rPr>
          <w:rFonts w:ascii="Times New Roman" w:hAnsi="Times New Roman"/>
          <w:noProof/>
          <w:sz w:val="24"/>
          <w:lang w:val="en-US"/>
        </w:rPr>
      </w:pPr>
      <w:r w:rsidRPr="005B7CAC">
        <w:rPr>
          <w:rFonts w:ascii="Times New Roman" w:hAnsi="Times New Roman"/>
          <w:noProof/>
          <w:sz w:val="24"/>
          <w:szCs w:val="24"/>
          <w:lang w:val="en-US"/>
        </w:rPr>
        <w:t xml:space="preserve">Wijaya, S.V., Tarigan, Z.J.H. and Siagian, H. (2023), “The role of top management commitment, employee empowerment and total quality management in production waste management and enhancing firm performance”, </w:t>
      </w:r>
      <w:r w:rsidRPr="005B7CAC">
        <w:rPr>
          <w:rFonts w:ascii="Times New Roman" w:hAnsi="Times New Roman"/>
          <w:i/>
          <w:iCs/>
          <w:noProof/>
          <w:sz w:val="24"/>
          <w:szCs w:val="24"/>
          <w:lang w:val="en-US"/>
        </w:rPr>
        <w:t>Uncertain Supply Chain Management</w:t>
      </w:r>
      <w:r w:rsidRPr="005B7CAC">
        <w:rPr>
          <w:rFonts w:ascii="Times New Roman" w:hAnsi="Times New Roman"/>
          <w:noProof/>
          <w:sz w:val="24"/>
          <w:szCs w:val="24"/>
          <w:lang w:val="en-US"/>
        </w:rPr>
        <w:t>, Vol. 11 No. 3, pp. 1369–1382, doi: 10.5267/j.uscm.2023.3.011.</w:t>
      </w:r>
    </w:p>
    <w:p w14:paraId="2A20FE5E" w14:textId="44DC920D" w:rsidR="001D65D4" w:rsidRPr="005B7CAC" w:rsidRDefault="00320CC9" w:rsidP="0009010E">
      <w:pPr>
        <w:rPr>
          <w:lang w:val="en-US"/>
        </w:rPr>
      </w:pPr>
      <w:r w:rsidRPr="005B7CAC">
        <w:rPr>
          <w:lang w:val="en-US"/>
        </w:rPr>
        <w:fldChar w:fldCharType="end"/>
      </w:r>
    </w:p>
    <w:p w14:paraId="084716B3" w14:textId="77777777" w:rsidR="007F3F6C" w:rsidRPr="005B7CAC" w:rsidRDefault="007F3F6C" w:rsidP="007F3F6C">
      <w:pPr>
        <w:rPr>
          <w:lang w:val="en-US" w:eastAsia="en-US"/>
        </w:rPr>
      </w:pPr>
    </w:p>
    <w:p w14:paraId="3B3A5CDD" w14:textId="77777777" w:rsidR="007F3F6C" w:rsidRPr="005B7CAC" w:rsidRDefault="007F3F6C" w:rsidP="007F3F6C">
      <w:pPr>
        <w:rPr>
          <w:lang w:val="en-US" w:eastAsia="en-US"/>
        </w:rPr>
      </w:pPr>
    </w:p>
    <w:p w14:paraId="1BF490F0" w14:textId="77777777" w:rsidR="00832680" w:rsidRPr="005B7CAC" w:rsidRDefault="00832680" w:rsidP="007F3F6C">
      <w:pPr>
        <w:rPr>
          <w:lang w:val="en-US" w:eastAsia="en-US"/>
        </w:rPr>
      </w:pPr>
    </w:p>
    <w:p w14:paraId="29985893" w14:textId="77777777" w:rsidR="00832680" w:rsidRPr="005B7CAC" w:rsidRDefault="00832680" w:rsidP="007F3F6C">
      <w:pPr>
        <w:rPr>
          <w:lang w:val="en-US" w:eastAsia="en-US"/>
        </w:rPr>
      </w:pPr>
    </w:p>
    <w:p w14:paraId="6A223AB5" w14:textId="77777777" w:rsidR="00832680" w:rsidRPr="005B7CAC" w:rsidRDefault="00832680" w:rsidP="007F3F6C">
      <w:pPr>
        <w:rPr>
          <w:lang w:val="en-US" w:eastAsia="en-US"/>
        </w:rPr>
      </w:pPr>
    </w:p>
    <w:p w14:paraId="4A0558B9" w14:textId="77777777" w:rsidR="00832680" w:rsidRPr="005B7CAC" w:rsidRDefault="00832680" w:rsidP="007F3F6C">
      <w:pPr>
        <w:rPr>
          <w:lang w:val="en-US" w:eastAsia="en-US"/>
        </w:rPr>
      </w:pPr>
    </w:p>
    <w:p w14:paraId="375AB670" w14:textId="77777777" w:rsidR="00832680" w:rsidRPr="005B7CAC" w:rsidRDefault="00832680" w:rsidP="007F3F6C">
      <w:pPr>
        <w:rPr>
          <w:lang w:val="en-US" w:eastAsia="en-US"/>
        </w:rPr>
      </w:pPr>
    </w:p>
    <w:p w14:paraId="10B64D2E" w14:textId="77777777" w:rsidR="00832680" w:rsidRPr="005B7CAC" w:rsidRDefault="00832680" w:rsidP="007F3F6C">
      <w:pPr>
        <w:rPr>
          <w:lang w:val="en-US" w:eastAsia="en-US"/>
        </w:rPr>
      </w:pPr>
    </w:p>
    <w:p w14:paraId="0275D359" w14:textId="77777777" w:rsidR="00832680" w:rsidRPr="005B7CAC" w:rsidRDefault="00832680" w:rsidP="007F3F6C">
      <w:pPr>
        <w:rPr>
          <w:lang w:val="en-US" w:eastAsia="en-US"/>
        </w:rPr>
      </w:pPr>
    </w:p>
    <w:p w14:paraId="6923E927" w14:textId="77777777" w:rsidR="006F2239" w:rsidRPr="005B7CAC" w:rsidRDefault="006F2239" w:rsidP="007F3F6C">
      <w:pPr>
        <w:rPr>
          <w:lang w:val="en-US" w:eastAsia="en-US"/>
        </w:rPr>
      </w:pPr>
    </w:p>
    <w:p w14:paraId="518751EE" w14:textId="77777777" w:rsidR="00BD492F" w:rsidRPr="005B7CAC" w:rsidRDefault="00BD492F" w:rsidP="007F3F6C">
      <w:pPr>
        <w:rPr>
          <w:lang w:val="en-US" w:eastAsia="en-US"/>
        </w:rPr>
      </w:pPr>
    </w:p>
    <w:p w14:paraId="06CF3A7F" w14:textId="77777777" w:rsidR="00BD492F" w:rsidRPr="005B7CAC" w:rsidRDefault="00BD492F" w:rsidP="007F3F6C">
      <w:pPr>
        <w:rPr>
          <w:lang w:val="en-US" w:eastAsia="en-US"/>
        </w:rPr>
      </w:pPr>
    </w:p>
    <w:p w14:paraId="245FD581" w14:textId="77777777" w:rsidR="006F2239" w:rsidRPr="005B7CAC" w:rsidRDefault="006F2239" w:rsidP="007F3F6C">
      <w:pPr>
        <w:rPr>
          <w:lang w:val="en-US" w:eastAsia="en-US"/>
        </w:rPr>
      </w:pPr>
    </w:p>
    <w:p w14:paraId="2760BC79" w14:textId="77777777" w:rsidR="00832680" w:rsidRPr="005B7CAC" w:rsidRDefault="00832680" w:rsidP="007F3F6C">
      <w:pPr>
        <w:rPr>
          <w:lang w:val="en-US" w:eastAsia="en-US"/>
        </w:rPr>
      </w:pPr>
    </w:p>
    <w:p w14:paraId="7DE67422" w14:textId="77777777" w:rsidR="0009010E" w:rsidRPr="005B7CAC" w:rsidRDefault="0009010E" w:rsidP="007F3F6C">
      <w:pPr>
        <w:rPr>
          <w:lang w:val="en-US" w:eastAsia="en-US"/>
        </w:rPr>
      </w:pPr>
    </w:p>
    <w:p w14:paraId="25B68E14" w14:textId="77777777" w:rsidR="00832680" w:rsidRPr="005B7CAC" w:rsidRDefault="00832680" w:rsidP="007F3F6C">
      <w:pPr>
        <w:rPr>
          <w:lang w:val="en-US" w:eastAsia="en-US"/>
        </w:rPr>
      </w:pPr>
    </w:p>
    <w:p w14:paraId="1F1D3184" w14:textId="77777777" w:rsidR="00832680" w:rsidRPr="005B7CAC" w:rsidRDefault="00832680" w:rsidP="007F3F6C">
      <w:pPr>
        <w:rPr>
          <w:lang w:val="en-US" w:eastAsia="en-US"/>
        </w:rPr>
      </w:pPr>
    </w:p>
    <w:p w14:paraId="24526913" w14:textId="7FC1F60C" w:rsidR="007F3F6C" w:rsidRPr="005B7CAC" w:rsidRDefault="007F3F6C" w:rsidP="00346AC0">
      <w:pPr>
        <w:widowControl w:val="0"/>
        <w:autoSpaceDE w:val="0"/>
        <w:autoSpaceDN w:val="0"/>
        <w:adjustRightInd w:val="0"/>
        <w:spacing w:after="240" w:line="240" w:lineRule="auto"/>
        <w:rPr>
          <w:rFonts w:ascii="Times New Roman" w:hAnsi="Times New Roman"/>
          <w:b/>
          <w:iCs/>
          <w:sz w:val="24"/>
          <w:szCs w:val="20"/>
          <w:lang w:val="en-US"/>
        </w:rPr>
      </w:pPr>
      <w:r w:rsidRPr="005B7CAC">
        <w:rPr>
          <w:rFonts w:ascii="Times New Roman" w:hAnsi="Times New Roman"/>
          <w:b/>
          <w:iCs/>
          <w:sz w:val="24"/>
          <w:szCs w:val="20"/>
          <w:lang w:val="en-US"/>
        </w:rPr>
        <w:lastRenderedPageBreak/>
        <w:t>Figures</w:t>
      </w:r>
    </w:p>
    <w:p w14:paraId="754C1F2B" w14:textId="0454BA99" w:rsidR="007F3F6C" w:rsidRPr="005B7CAC" w:rsidRDefault="007F3F6C" w:rsidP="00346AC0">
      <w:pPr>
        <w:widowControl w:val="0"/>
        <w:autoSpaceDE w:val="0"/>
        <w:autoSpaceDN w:val="0"/>
        <w:adjustRightInd w:val="0"/>
        <w:spacing w:after="240" w:line="240" w:lineRule="auto"/>
        <w:rPr>
          <w:rFonts w:ascii="Times New Roman" w:hAnsi="Times New Roman"/>
          <w:b/>
          <w:iCs/>
          <w:sz w:val="24"/>
          <w:szCs w:val="20"/>
          <w:lang w:val="en-US"/>
        </w:rPr>
      </w:pPr>
      <w:r w:rsidRPr="005B7CAC">
        <w:rPr>
          <w:b/>
          <w:iCs/>
          <w:noProof/>
          <w:sz w:val="24"/>
          <w:szCs w:val="20"/>
        </w:rPr>
        <w:drawing>
          <wp:inline distT="0" distB="0" distL="0" distR="0" wp14:anchorId="41872A5E" wp14:editId="64CF7B13">
            <wp:extent cx="6152515" cy="3689985"/>
            <wp:effectExtent l="0" t="0" r="635" b="5715"/>
            <wp:docPr id="923880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2515" cy="3689985"/>
                    </a:xfrm>
                    <a:prstGeom prst="rect">
                      <a:avLst/>
                    </a:prstGeom>
                    <a:noFill/>
                    <a:ln>
                      <a:noFill/>
                    </a:ln>
                  </pic:spPr>
                </pic:pic>
              </a:graphicData>
            </a:graphic>
          </wp:inline>
        </w:drawing>
      </w:r>
    </w:p>
    <w:p w14:paraId="4BACA890" w14:textId="77777777" w:rsidR="007F3F6C" w:rsidRPr="005B7CAC" w:rsidRDefault="007F3F6C" w:rsidP="007F3F6C">
      <w:pPr>
        <w:widowControl w:val="0"/>
        <w:autoSpaceDE w:val="0"/>
        <w:autoSpaceDN w:val="0"/>
        <w:adjustRightInd w:val="0"/>
        <w:spacing w:after="0" w:line="240" w:lineRule="auto"/>
        <w:rPr>
          <w:rFonts w:ascii="Times New Roman" w:hAnsi="Times New Roman"/>
          <w:iCs/>
          <w:sz w:val="24"/>
          <w:szCs w:val="20"/>
          <w:lang w:val="en-US"/>
        </w:rPr>
      </w:pPr>
      <w:r w:rsidRPr="005B7CAC">
        <w:rPr>
          <w:rFonts w:ascii="Times New Roman" w:hAnsi="Times New Roman"/>
          <w:b/>
          <w:iCs/>
          <w:sz w:val="24"/>
          <w:szCs w:val="20"/>
          <w:lang w:val="en-US"/>
        </w:rPr>
        <w:t xml:space="preserve">Figures 1-4. </w:t>
      </w:r>
      <w:r w:rsidRPr="005B7CAC">
        <w:rPr>
          <w:rFonts w:ascii="Times New Roman" w:hAnsi="Times New Roman"/>
          <w:bCs/>
          <w:iCs/>
          <w:sz w:val="24"/>
          <w:szCs w:val="20"/>
          <w:lang w:val="en-US"/>
        </w:rPr>
        <w:t>Moderating effects of</w:t>
      </w:r>
      <w:r w:rsidRPr="005B7CAC">
        <w:rPr>
          <w:rFonts w:ascii="Times New Roman" w:hAnsi="Times New Roman"/>
          <w:iCs/>
          <w:sz w:val="24"/>
          <w:szCs w:val="20"/>
          <w:lang w:val="en-US"/>
        </w:rPr>
        <w:t xml:space="preserve"> green initiatives </w:t>
      </w:r>
    </w:p>
    <w:p w14:paraId="39CB7088" w14:textId="77777777" w:rsidR="007F3F6C" w:rsidRPr="005B7CAC" w:rsidRDefault="007F3F6C" w:rsidP="007F3F6C">
      <w:pPr>
        <w:widowControl w:val="0"/>
        <w:autoSpaceDE w:val="0"/>
        <w:autoSpaceDN w:val="0"/>
        <w:adjustRightInd w:val="0"/>
        <w:spacing w:after="0" w:line="240" w:lineRule="auto"/>
        <w:jc w:val="both"/>
        <w:rPr>
          <w:rFonts w:ascii="Times New Roman" w:hAnsi="Times New Roman"/>
          <w:lang w:val="en-US"/>
        </w:rPr>
      </w:pPr>
      <w:r w:rsidRPr="005B7CAC">
        <w:rPr>
          <w:rFonts w:ascii="Times New Roman" w:hAnsi="Times New Roman"/>
          <w:b/>
          <w:lang w:val="en-US"/>
        </w:rPr>
        <w:t>Source:</w:t>
      </w:r>
      <w:r w:rsidRPr="005B7CAC">
        <w:rPr>
          <w:rFonts w:ascii="Times New Roman" w:hAnsi="Times New Roman"/>
          <w:lang w:val="en-US"/>
        </w:rPr>
        <w:t xml:space="preserve"> Figures prepared by the authors.</w:t>
      </w:r>
    </w:p>
    <w:p w14:paraId="4D9A2924" w14:textId="77777777" w:rsidR="001D65D4" w:rsidRPr="005B7CAC" w:rsidRDefault="001D65D4" w:rsidP="00346AC0">
      <w:pPr>
        <w:widowControl w:val="0"/>
        <w:autoSpaceDE w:val="0"/>
        <w:autoSpaceDN w:val="0"/>
        <w:adjustRightInd w:val="0"/>
        <w:spacing w:after="240" w:line="240" w:lineRule="auto"/>
        <w:rPr>
          <w:rFonts w:ascii="Times New Roman" w:hAnsi="Times New Roman"/>
          <w:b/>
          <w:iCs/>
          <w:sz w:val="24"/>
          <w:szCs w:val="20"/>
          <w:lang w:val="en-US"/>
        </w:rPr>
      </w:pPr>
    </w:p>
    <w:p w14:paraId="7B0EC325" w14:textId="77777777" w:rsidR="001D65D4" w:rsidRPr="005B7CAC" w:rsidRDefault="001D65D4" w:rsidP="00346AC0">
      <w:pPr>
        <w:widowControl w:val="0"/>
        <w:autoSpaceDE w:val="0"/>
        <w:autoSpaceDN w:val="0"/>
        <w:adjustRightInd w:val="0"/>
        <w:spacing w:after="240" w:line="240" w:lineRule="auto"/>
        <w:rPr>
          <w:rFonts w:ascii="Times New Roman" w:hAnsi="Times New Roman"/>
          <w:b/>
          <w:iCs/>
          <w:sz w:val="24"/>
          <w:szCs w:val="20"/>
          <w:lang w:val="en-US"/>
        </w:rPr>
      </w:pPr>
    </w:p>
    <w:p w14:paraId="5DC3BCC3" w14:textId="77777777" w:rsidR="007F3F6C" w:rsidRPr="005B7CAC" w:rsidRDefault="007F3F6C" w:rsidP="00346AC0">
      <w:pPr>
        <w:widowControl w:val="0"/>
        <w:autoSpaceDE w:val="0"/>
        <w:autoSpaceDN w:val="0"/>
        <w:adjustRightInd w:val="0"/>
        <w:spacing w:after="240" w:line="240" w:lineRule="auto"/>
        <w:rPr>
          <w:rFonts w:ascii="Times New Roman" w:hAnsi="Times New Roman"/>
          <w:b/>
          <w:iCs/>
          <w:sz w:val="24"/>
          <w:szCs w:val="20"/>
          <w:lang w:val="en-US"/>
        </w:rPr>
      </w:pPr>
    </w:p>
    <w:p w14:paraId="1C8A8B67" w14:textId="77777777" w:rsidR="007F3F6C" w:rsidRPr="005B7CAC" w:rsidRDefault="007F3F6C" w:rsidP="00346AC0">
      <w:pPr>
        <w:widowControl w:val="0"/>
        <w:autoSpaceDE w:val="0"/>
        <w:autoSpaceDN w:val="0"/>
        <w:adjustRightInd w:val="0"/>
        <w:spacing w:after="240" w:line="240" w:lineRule="auto"/>
        <w:rPr>
          <w:rFonts w:ascii="Times New Roman" w:hAnsi="Times New Roman"/>
          <w:b/>
          <w:iCs/>
          <w:sz w:val="24"/>
          <w:szCs w:val="20"/>
          <w:lang w:val="en-US"/>
        </w:rPr>
      </w:pPr>
    </w:p>
    <w:p w14:paraId="0A40C431" w14:textId="77777777" w:rsidR="007F3F6C" w:rsidRPr="005B7CAC" w:rsidRDefault="007F3F6C" w:rsidP="00346AC0">
      <w:pPr>
        <w:widowControl w:val="0"/>
        <w:autoSpaceDE w:val="0"/>
        <w:autoSpaceDN w:val="0"/>
        <w:adjustRightInd w:val="0"/>
        <w:spacing w:after="240" w:line="240" w:lineRule="auto"/>
        <w:rPr>
          <w:rFonts w:ascii="Times New Roman" w:hAnsi="Times New Roman"/>
          <w:b/>
          <w:iCs/>
          <w:sz w:val="24"/>
          <w:szCs w:val="20"/>
          <w:lang w:val="en-US"/>
        </w:rPr>
      </w:pPr>
    </w:p>
    <w:p w14:paraId="048F5878" w14:textId="77777777" w:rsidR="007F3F6C" w:rsidRPr="005B7CAC" w:rsidRDefault="007F3F6C" w:rsidP="00346AC0">
      <w:pPr>
        <w:widowControl w:val="0"/>
        <w:autoSpaceDE w:val="0"/>
        <w:autoSpaceDN w:val="0"/>
        <w:adjustRightInd w:val="0"/>
        <w:spacing w:after="240" w:line="240" w:lineRule="auto"/>
        <w:rPr>
          <w:rFonts w:ascii="Times New Roman" w:hAnsi="Times New Roman"/>
          <w:b/>
          <w:iCs/>
          <w:sz w:val="24"/>
          <w:szCs w:val="20"/>
          <w:lang w:val="en-US"/>
        </w:rPr>
      </w:pPr>
    </w:p>
    <w:p w14:paraId="13A7AFBB" w14:textId="77777777" w:rsidR="007F3F6C" w:rsidRPr="005B7CAC" w:rsidRDefault="007F3F6C" w:rsidP="00346AC0">
      <w:pPr>
        <w:widowControl w:val="0"/>
        <w:autoSpaceDE w:val="0"/>
        <w:autoSpaceDN w:val="0"/>
        <w:adjustRightInd w:val="0"/>
        <w:spacing w:after="240" w:line="240" w:lineRule="auto"/>
        <w:rPr>
          <w:rFonts w:ascii="Times New Roman" w:hAnsi="Times New Roman"/>
          <w:b/>
          <w:iCs/>
          <w:sz w:val="24"/>
          <w:szCs w:val="20"/>
          <w:lang w:val="en-US"/>
        </w:rPr>
      </w:pPr>
    </w:p>
    <w:p w14:paraId="52A04E24" w14:textId="77777777" w:rsidR="007F3F6C" w:rsidRPr="005B7CAC" w:rsidRDefault="007F3F6C" w:rsidP="00346AC0">
      <w:pPr>
        <w:widowControl w:val="0"/>
        <w:autoSpaceDE w:val="0"/>
        <w:autoSpaceDN w:val="0"/>
        <w:adjustRightInd w:val="0"/>
        <w:spacing w:after="240" w:line="240" w:lineRule="auto"/>
        <w:rPr>
          <w:rFonts w:ascii="Times New Roman" w:hAnsi="Times New Roman"/>
          <w:b/>
          <w:iCs/>
          <w:sz w:val="24"/>
          <w:szCs w:val="20"/>
          <w:lang w:val="en-US"/>
        </w:rPr>
      </w:pPr>
    </w:p>
    <w:p w14:paraId="1177CD0C" w14:textId="77777777" w:rsidR="007F3F6C" w:rsidRPr="005B7CAC" w:rsidRDefault="007F3F6C" w:rsidP="00346AC0">
      <w:pPr>
        <w:widowControl w:val="0"/>
        <w:autoSpaceDE w:val="0"/>
        <w:autoSpaceDN w:val="0"/>
        <w:adjustRightInd w:val="0"/>
        <w:spacing w:after="240" w:line="240" w:lineRule="auto"/>
        <w:rPr>
          <w:rFonts w:ascii="Times New Roman" w:hAnsi="Times New Roman"/>
          <w:b/>
          <w:iCs/>
          <w:sz w:val="24"/>
          <w:szCs w:val="20"/>
          <w:lang w:val="en-US"/>
        </w:rPr>
      </w:pPr>
    </w:p>
    <w:p w14:paraId="32A87BEF" w14:textId="77777777" w:rsidR="007F3F6C" w:rsidRPr="005B7CAC" w:rsidRDefault="007F3F6C" w:rsidP="00346AC0">
      <w:pPr>
        <w:widowControl w:val="0"/>
        <w:autoSpaceDE w:val="0"/>
        <w:autoSpaceDN w:val="0"/>
        <w:adjustRightInd w:val="0"/>
        <w:spacing w:after="240" w:line="240" w:lineRule="auto"/>
        <w:rPr>
          <w:rFonts w:ascii="Times New Roman" w:hAnsi="Times New Roman"/>
          <w:b/>
          <w:iCs/>
          <w:sz w:val="24"/>
          <w:szCs w:val="20"/>
          <w:lang w:val="en-US"/>
        </w:rPr>
      </w:pPr>
    </w:p>
    <w:p w14:paraId="1FCF06F9" w14:textId="77777777" w:rsidR="007F3F6C" w:rsidRPr="005B7CAC" w:rsidRDefault="007F3F6C" w:rsidP="00346AC0">
      <w:pPr>
        <w:widowControl w:val="0"/>
        <w:autoSpaceDE w:val="0"/>
        <w:autoSpaceDN w:val="0"/>
        <w:adjustRightInd w:val="0"/>
        <w:spacing w:after="240" w:line="240" w:lineRule="auto"/>
        <w:rPr>
          <w:rFonts w:ascii="Times New Roman" w:hAnsi="Times New Roman"/>
          <w:b/>
          <w:iCs/>
          <w:sz w:val="24"/>
          <w:szCs w:val="20"/>
          <w:lang w:val="en-US"/>
        </w:rPr>
      </w:pPr>
    </w:p>
    <w:p w14:paraId="6852F2F9" w14:textId="77777777" w:rsidR="001D65D4" w:rsidRPr="005B7CAC" w:rsidRDefault="001D65D4" w:rsidP="00346AC0">
      <w:pPr>
        <w:widowControl w:val="0"/>
        <w:autoSpaceDE w:val="0"/>
        <w:autoSpaceDN w:val="0"/>
        <w:adjustRightInd w:val="0"/>
        <w:spacing w:after="240" w:line="240" w:lineRule="auto"/>
        <w:rPr>
          <w:rFonts w:ascii="Times New Roman" w:hAnsi="Times New Roman"/>
          <w:b/>
          <w:iCs/>
          <w:sz w:val="24"/>
          <w:szCs w:val="20"/>
          <w:lang w:val="en-US"/>
        </w:rPr>
      </w:pPr>
    </w:p>
    <w:p w14:paraId="59C85CF2" w14:textId="2FF4C2E2" w:rsidR="00544971" w:rsidRPr="005B7CAC" w:rsidRDefault="00544971" w:rsidP="00346AC0">
      <w:pPr>
        <w:widowControl w:val="0"/>
        <w:autoSpaceDE w:val="0"/>
        <w:autoSpaceDN w:val="0"/>
        <w:adjustRightInd w:val="0"/>
        <w:spacing w:after="240" w:line="240" w:lineRule="auto"/>
        <w:rPr>
          <w:rFonts w:ascii="Times New Roman" w:hAnsi="Times New Roman"/>
          <w:b/>
          <w:iCs/>
          <w:sz w:val="24"/>
          <w:szCs w:val="20"/>
          <w:lang w:val="en-US"/>
        </w:rPr>
      </w:pPr>
      <w:r w:rsidRPr="005B7CAC">
        <w:rPr>
          <w:rFonts w:ascii="Times New Roman" w:hAnsi="Times New Roman"/>
          <w:b/>
          <w:iCs/>
          <w:sz w:val="24"/>
          <w:szCs w:val="20"/>
          <w:lang w:val="en-US"/>
        </w:rPr>
        <w:lastRenderedPageBreak/>
        <w:t xml:space="preserve">Table 1. </w:t>
      </w:r>
      <w:r w:rsidRPr="005B7CAC">
        <w:rPr>
          <w:rFonts w:ascii="Times New Roman" w:hAnsi="Times New Roman"/>
          <w:iCs/>
          <w:sz w:val="24"/>
          <w:szCs w:val="20"/>
          <w:lang w:val="en-US"/>
        </w:rPr>
        <w:t>Variable definitions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4"/>
        <w:gridCol w:w="1054"/>
        <w:gridCol w:w="6061"/>
      </w:tblGrid>
      <w:tr w:rsidR="005B7CAC" w:rsidRPr="005B7CAC" w14:paraId="3FA454C7" w14:textId="77777777" w:rsidTr="00AB7D55">
        <w:tc>
          <w:tcPr>
            <w:tcW w:w="1328" w:type="pct"/>
            <w:tcBorders>
              <w:top w:val="single" w:sz="12" w:space="0" w:color="auto"/>
              <w:bottom w:val="single" w:sz="8" w:space="0" w:color="auto"/>
            </w:tcBorders>
          </w:tcPr>
          <w:p w14:paraId="76A289E6" w14:textId="77777777" w:rsidR="00544971" w:rsidRPr="005B7CAC" w:rsidRDefault="00544971" w:rsidP="00AB7D55">
            <w:pPr>
              <w:widowControl w:val="0"/>
              <w:autoSpaceDE w:val="0"/>
              <w:autoSpaceDN w:val="0"/>
              <w:adjustRightInd w:val="0"/>
              <w:spacing w:after="240"/>
              <w:rPr>
                <w:rFonts w:ascii="Times New Roman" w:hAnsi="Times New Roman"/>
                <w:b/>
                <w:iCs/>
                <w:sz w:val="24"/>
                <w:szCs w:val="24"/>
                <w:lang w:val="en-US"/>
              </w:rPr>
            </w:pPr>
            <w:r w:rsidRPr="005B7CAC">
              <w:rPr>
                <w:rFonts w:ascii="Times New Roman" w:hAnsi="Times New Roman"/>
                <w:b/>
                <w:iCs/>
                <w:sz w:val="24"/>
                <w:szCs w:val="24"/>
                <w:lang w:val="en-US"/>
              </w:rPr>
              <w:t>Variables</w:t>
            </w:r>
          </w:p>
        </w:tc>
        <w:tc>
          <w:tcPr>
            <w:tcW w:w="544" w:type="pct"/>
            <w:tcBorders>
              <w:top w:val="single" w:sz="12" w:space="0" w:color="auto"/>
              <w:bottom w:val="single" w:sz="8" w:space="0" w:color="auto"/>
            </w:tcBorders>
          </w:tcPr>
          <w:p w14:paraId="54914287" w14:textId="77777777" w:rsidR="00544971" w:rsidRPr="005B7CAC" w:rsidRDefault="00544971" w:rsidP="00544971">
            <w:pPr>
              <w:widowControl w:val="0"/>
              <w:autoSpaceDE w:val="0"/>
              <w:autoSpaceDN w:val="0"/>
              <w:adjustRightInd w:val="0"/>
              <w:spacing w:after="240"/>
              <w:jc w:val="center"/>
              <w:rPr>
                <w:rFonts w:ascii="Times New Roman" w:hAnsi="Times New Roman"/>
                <w:b/>
                <w:iCs/>
                <w:sz w:val="24"/>
                <w:szCs w:val="24"/>
                <w:lang w:val="en-US"/>
              </w:rPr>
            </w:pPr>
            <w:r w:rsidRPr="005B7CAC">
              <w:rPr>
                <w:rFonts w:ascii="Times New Roman" w:hAnsi="Times New Roman"/>
                <w:b/>
                <w:iCs/>
                <w:sz w:val="24"/>
                <w:szCs w:val="24"/>
                <w:lang w:val="en-US"/>
              </w:rPr>
              <w:t>Symbol</w:t>
            </w:r>
          </w:p>
        </w:tc>
        <w:tc>
          <w:tcPr>
            <w:tcW w:w="3127" w:type="pct"/>
            <w:tcBorders>
              <w:top w:val="single" w:sz="12" w:space="0" w:color="auto"/>
              <w:bottom w:val="single" w:sz="8" w:space="0" w:color="auto"/>
            </w:tcBorders>
          </w:tcPr>
          <w:p w14:paraId="63B20630" w14:textId="77777777" w:rsidR="00544971" w:rsidRPr="005B7CAC" w:rsidRDefault="00544971" w:rsidP="00544971">
            <w:pPr>
              <w:widowControl w:val="0"/>
              <w:autoSpaceDE w:val="0"/>
              <w:autoSpaceDN w:val="0"/>
              <w:adjustRightInd w:val="0"/>
              <w:spacing w:after="240"/>
              <w:jc w:val="center"/>
              <w:rPr>
                <w:rFonts w:ascii="Times New Roman" w:hAnsi="Times New Roman"/>
                <w:b/>
                <w:iCs/>
                <w:sz w:val="24"/>
                <w:szCs w:val="24"/>
                <w:lang w:val="en-US"/>
              </w:rPr>
            </w:pPr>
            <w:r w:rsidRPr="005B7CAC">
              <w:rPr>
                <w:rFonts w:ascii="Times New Roman" w:hAnsi="Times New Roman"/>
                <w:b/>
                <w:iCs/>
                <w:sz w:val="24"/>
                <w:szCs w:val="24"/>
                <w:lang w:val="en-US"/>
              </w:rPr>
              <w:t>Measurements</w:t>
            </w:r>
          </w:p>
        </w:tc>
      </w:tr>
      <w:tr w:rsidR="005B7CAC" w:rsidRPr="00DE13CA" w14:paraId="22510A67" w14:textId="77777777" w:rsidTr="00AB7D55">
        <w:tc>
          <w:tcPr>
            <w:tcW w:w="1328" w:type="pct"/>
            <w:tcBorders>
              <w:top w:val="single" w:sz="8" w:space="0" w:color="auto"/>
            </w:tcBorders>
          </w:tcPr>
          <w:p w14:paraId="1E551B01" w14:textId="77777777" w:rsidR="00544971" w:rsidRPr="005B7CAC" w:rsidRDefault="00544971" w:rsidP="00CD4FCC">
            <w:pPr>
              <w:widowControl w:val="0"/>
              <w:autoSpaceDE w:val="0"/>
              <w:autoSpaceDN w:val="0"/>
              <w:adjustRightInd w:val="0"/>
              <w:spacing w:after="240"/>
              <w:rPr>
                <w:rFonts w:ascii="Times New Roman" w:hAnsi="Times New Roman"/>
                <w:iCs/>
                <w:sz w:val="24"/>
                <w:szCs w:val="24"/>
                <w:lang w:val="en-US"/>
              </w:rPr>
            </w:pPr>
            <w:r w:rsidRPr="005B7CAC">
              <w:rPr>
                <w:rFonts w:ascii="Times New Roman" w:hAnsi="Times New Roman"/>
                <w:iCs/>
                <w:sz w:val="24"/>
                <w:szCs w:val="24"/>
                <w:lang w:val="en-US"/>
              </w:rPr>
              <w:t>Financial distress</w:t>
            </w:r>
          </w:p>
        </w:tc>
        <w:tc>
          <w:tcPr>
            <w:tcW w:w="544" w:type="pct"/>
            <w:tcBorders>
              <w:top w:val="single" w:sz="8" w:space="0" w:color="auto"/>
            </w:tcBorders>
          </w:tcPr>
          <w:p w14:paraId="41F9BE7E" w14:textId="77777777" w:rsidR="00544971" w:rsidRPr="005B7CAC" w:rsidRDefault="00CA6200" w:rsidP="008176FB">
            <w:pPr>
              <w:widowControl w:val="0"/>
              <w:autoSpaceDE w:val="0"/>
              <w:autoSpaceDN w:val="0"/>
              <w:adjustRightInd w:val="0"/>
              <w:spacing w:after="240"/>
              <w:jc w:val="center"/>
              <w:rPr>
                <w:rFonts w:ascii="Times New Roman" w:hAnsi="Times New Roman"/>
                <w:iCs/>
                <w:sz w:val="24"/>
                <w:szCs w:val="24"/>
                <w:lang w:val="en-US"/>
              </w:rPr>
            </w:pPr>
            <w:r w:rsidRPr="005B7CAC">
              <w:rPr>
                <w:rFonts w:ascii="Times New Roman" w:hAnsi="Times New Roman"/>
                <w:iCs/>
                <w:sz w:val="24"/>
                <w:szCs w:val="24"/>
                <w:lang w:val="en-US"/>
              </w:rPr>
              <w:t>FD</w:t>
            </w:r>
          </w:p>
        </w:tc>
        <w:tc>
          <w:tcPr>
            <w:tcW w:w="3127" w:type="pct"/>
            <w:tcBorders>
              <w:top w:val="single" w:sz="8" w:space="0" w:color="auto"/>
            </w:tcBorders>
          </w:tcPr>
          <w:p w14:paraId="250DCC67" w14:textId="421EBA4C" w:rsidR="00245EAA" w:rsidRPr="005B7CAC" w:rsidRDefault="006B2FCD" w:rsidP="00BC436A">
            <w:pPr>
              <w:widowControl w:val="0"/>
              <w:autoSpaceDE w:val="0"/>
              <w:autoSpaceDN w:val="0"/>
              <w:adjustRightInd w:val="0"/>
              <w:spacing w:after="120"/>
              <w:jc w:val="both"/>
              <w:rPr>
                <w:rFonts w:ascii="Times New Roman" w:hAnsi="Times New Roman"/>
                <w:iCs/>
                <w:sz w:val="24"/>
                <w:szCs w:val="24"/>
                <w:lang w:val="en-US"/>
              </w:rPr>
            </w:pPr>
            <w:r w:rsidRPr="005B7CAC">
              <w:rPr>
                <w:rFonts w:ascii="Times New Roman" w:hAnsi="Times New Roman"/>
                <w:iCs/>
                <w:sz w:val="24"/>
                <w:szCs w:val="24"/>
                <w:lang w:val="en-US"/>
              </w:rPr>
              <w:fldChar w:fldCharType="begin" w:fldLock="1"/>
            </w:r>
            <w:r w:rsidR="007D5BAA" w:rsidRPr="005B7CAC">
              <w:rPr>
                <w:rFonts w:ascii="Times New Roman" w:hAnsi="Times New Roman"/>
                <w:iCs/>
                <w:sz w:val="24"/>
                <w:szCs w:val="24"/>
                <w:lang w:val="en-US"/>
              </w:rPr>
              <w:instrText>ADDIN CSL_CITATION {"citationItems":[{"id":"ITEM-1","itemData":{"DOI":"10.1016/J.JCORPFIN.2015.12.009","ISSN":"0929-1199","abstract":"This paper investigates the extension of the Z-score model in predicting the health of UK companies; using discriminant analysis, and performance ratios to test which ratios are statistically significant in predicting the health of UK companies from 2000 to 2013. The purpose of this study is to contribute towards Altman's (1968) original Z-score model by adding a new variable. We found that, cash flow when combined with the original Z-score variable is highly significant in predicting the health of UK companies. A J-UK model was developed to test the health of UK companies. When compared to the Z-score model, the predictive power of the model was 82.9%, which is consistent with Taffler's (1982) UK model. Furthermore, to test the predictive power of the model before, during and after the financial crisis period; results show that J-UK model had higher accuracy to predict the health of UK companies than the Z-score UK model. Thus, the extension of Altman's Z score model leads to better results and assists users such as researchers, managers, regulators and other practitioners to manage their risk profile more effectively.","author":[{"dropping-particle":"","family":"Almamy","given":"Jeehan","non-dropping-particle":"","parse-names":false,"suffix":""},{"dropping-particle":"","family":"Aston","given":"John","non-dropping-particle":"","parse-names":false,"suffix":""},{"dropping-particle":"","family":"Ngwa","given":"Leonard N.","non-dropping-particle":"","parse-names":false,"suffix":""}],"container-title":"Journal of Corporate Finance","id":"ITEM-1","issued":{"date-parts":[["2016","2","1"]]},"page":"278-285","title":"An evaluation of Altman's Z-score using cash flow ratio to predict corporate failure amid the recent financial crisis: Evidence from the UK","type":"article-journal","volume":"36"},"uris":["http://www.mendeley.com/documents/?uuid=d7b13bd1-fd61-37cf-a3f8-6726314893c9"]}],"mendeley":{"formattedCitation":"(Almamy &lt;i&gt;et al.&lt;/i&gt;, 2016)","manualFormatting":"Almamy et al. (2016)","plainTextFormattedCitation":"(Almamy et al., 2016)","previouslyFormattedCitation":"(Almamy &lt;i&gt;et al.&lt;/i&gt;, 2016)"},"properties":{"noteIndex":0},"schema":"https://github.com/citation-style-language/schema/raw/master/csl-citation.json"}</w:instrText>
            </w:r>
            <w:r w:rsidRPr="005B7CAC">
              <w:rPr>
                <w:rFonts w:ascii="Times New Roman" w:hAnsi="Times New Roman"/>
                <w:iCs/>
                <w:sz w:val="24"/>
                <w:szCs w:val="24"/>
                <w:lang w:val="en-US"/>
              </w:rPr>
              <w:fldChar w:fldCharType="separate"/>
            </w:r>
            <w:r w:rsidRPr="005B7CAC">
              <w:rPr>
                <w:rFonts w:ascii="Times New Roman" w:hAnsi="Times New Roman"/>
                <w:iCs/>
                <w:noProof/>
                <w:sz w:val="24"/>
                <w:szCs w:val="24"/>
                <w:lang w:val="en-US"/>
              </w:rPr>
              <w:t xml:space="preserve">Almamy </w:t>
            </w:r>
            <w:r w:rsidRPr="005B7CAC">
              <w:rPr>
                <w:rFonts w:ascii="Times New Roman" w:hAnsi="Times New Roman"/>
                <w:i/>
                <w:iCs/>
                <w:noProof/>
                <w:sz w:val="24"/>
                <w:szCs w:val="24"/>
                <w:lang w:val="en-US"/>
              </w:rPr>
              <w:t xml:space="preserve">et al. </w:t>
            </w:r>
            <w:r w:rsidRPr="005B7CAC">
              <w:rPr>
                <w:rFonts w:ascii="Times New Roman" w:hAnsi="Times New Roman"/>
                <w:noProof/>
                <w:sz w:val="24"/>
                <w:szCs w:val="24"/>
                <w:lang w:val="en-US"/>
              </w:rPr>
              <w:t>(</w:t>
            </w:r>
            <w:r w:rsidRPr="005B7CAC">
              <w:rPr>
                <w:rFonts w:ascii="Times New Roman" w:hAnsi="Times New Roman"/>
                <w:iCs/>
                <w:noProof/>
                <w:sz w:val="24"/>
                <w:szCs w:val="24"/>
                <w:lang w:val="en-US"/>
              </w:rPr>
              <w:t>2016)</w:t>
            </w:r>
            <w:r w:rsidRPr="005B7CAC">
              <w:rPr>
                <w:rFonts w:ascii="Times New Roman" w:hAnsi="Times New Roman"/>
                <w:iCs/>
                <w:sz w:val="24"/>
                <w:szCs w:val="24"/>
                <w:lang w:val="en-US"/>
              </w:rPr>
              <w:fldChar w:fldCharType="end"/>
            </w:r>
            <w:r w:rsidRPr="005B7CAC">
              <w:rPr>
                <w:rFonts w:ascii="Times New Roman" w:hAnsi="Times New Roman"/>
                <w:iCs/>
                <w:sz w:val="24"/>
                <w:szCs w:val="24"/>
                <w:lang w:val="en-US"/>
              </w:rPr>
              <w:t xml:space="preserve">’s </w:t>
            </w:r>
            <w:r w:rsidR="00245EAA" w:rsidRPr="005B7CAC">
              <w:rPr>
                <w:rFonts w:ascii="Times New Roman" w:hAnsi="Times New Roman"/>
                <w:iCs/>
                <w:sz w:val="24"/>
                <w:szCs w:val="24"/>
                <w:lang w:val="en-US"/>
              </w:rPr>
              <w:t>Z_UK</w:t>
            </w:r>
            <w:r w:rsidRPr="005B7CAC">
              <w:rPr>
                <w:rFonts w:ascii="Times New Roman" w:hAnsi="Times New Roman"/>
                <w:iCs/>
                <w:sz w:val="24"/>
                <w:szCs w:val="24"/>
                <w:lang w:val="en-US"/>
              </w:rPr>
              <w:t xml:space="preserve"> score: </w:t>
            </w:r>
            <w:r w:rsidR="00245EAA" w:rsidRPr="005B7CAC">
              <w:rPr>
                <w:rFonts w:ascii="Times New Roman" w:hAnsi="Times New Roman"/>
                <w:iCs/>
                <w:sz w:val="24"/>
                <w:szCs w:val="24"/>
                <w:lang w:val="en-US"/>
              </w:rPr>
              <w:t>1.484*Working capital/Total assets+0.043*Retained earnings/Total</w:t>
            </w:r>
            <w:r w:rsidR="00B57080" w:rsidRPr="005B7CAC">
              <w:rPr>
                <w:rFonts w:ascii="Times New Roman" w:hAnsi="Times New Roman"/>
                <w:iCs/>
                <w:sz w:val="24"/>
                <w:szCs w:val="24"/>
                <w:lang w:val="en-US"/>
              </w:rPr>
              <w:t xml:space="preserve"> </w:t>
            </w:r>
            <w:r w:rsidR="00245EAA" w:rsidRPr="005B7CAC">
              <w:rPr>
                <w:rFonts w:ascii="Times New Roman" w:hAnsi="Times New Roman"/>
                <w:iCs/>
                <w:sz w:val="24"/>
                <w:szCs w:val="24"/>
                <w:lang w:val="en-US"/>
              </w:rPr>
              <w:t>assets+0.390*E</w:t>
            </w:r>
            <w:r w:rsidR="00B57080" w:rsidRPr="005B7CAC">
              <w:rPr>
                <w:rFonts w:ascii="Times New Roman" w:hAnsi="Times New Roman"/>
                <w:iCs/>
                <w:sz w:val="24"/>
                <w:szCs w:val="24"/>
                <w:lang w:val="en-US"/>
              </w:rPr>
              <w:t>arnings before interest and taxation</w:t>
            </w:r>
            <w:r w:rsidR="00245EAA" w:rsidRPr="005B7CAC">
              <w:rPr>
                <w:rFonts w:ascii="Times New Roman" w:hAnsi="Times New Roman"/>
                <w:iCs/>
                <w:sz w:val="24"/>
                <w:szCs w:val="24"/>
                <w:lang w:val="en-US"/>
              </w:rPr>
              <w:t>/Total assets+0.004*Market value of equity/Total liabilities</w:t>
            </w:r>
            <w:r w:rsidR="00B57080" w:rsidRPr="005B7CAC">
              <w:rPr>
                <w:rFonts w:ascii="Times New Roman" w:hAnsi="Times New Roman"/>
                <w:iCs/>
                <w:sz w:val="24"/>
                <w:szCs w:val="24"/>
                <w:lang w:val="en-US"/>
              </w:rPr>
              <w:t xml:space="preserve"> </w:t>
            </w:r>
            <w:r w:rsidR="00245EAA" w:rsidRPr="005B7CAC">
              <w:rPr>
                <w:rFonts w:ascii="Times New Roman" w:hAnsi="Times New Roman"/>
                <w:iCs/>
                <w:sz w:val="24"/>
                <w:szCs w:val="24"/>
                <w:lang w:val="en-US"/>
              </w:rPr>
              <w:t>+</w:t>
            </w:r>
            <w:r w:rsidR="00B57080" w:rsidRPr="005B7CAC">
              <w:rPr>
                <w:rFonts w:ascii="Times New Roman" w:hAnsi="Times New Roman"/>
                <w:iCs/>
                <w:sz w:val="24"/>
                <w:szCs w:val="24"/>
                <w:lang w:val="en-US"/>
              </w:rPr>
              <w:t xml:space="preserve"> </w:t>
            </w:r>
            <w:r w:rsidR="00245EAA" w:rsidRPr="005B7CAC">
              <w:rPr>
                <w:rFonts w:ascii="Times New Roman" w:hAnsi="Times New Roman"/>
                <w:iCs/>
                <w:sz w:val="24"/>
                <w:szCs w:val="24"/>
                <w:lang w:val="en-US"/>
              </w:rPr>
              <w:t>0.424*Revenue/Total</w:t>
            </w:r>
            <w:r w:rsidR="00B57080" w:rsidRPr="005B7CAC">
              <w:rPr>
                <w:rFonts w:ascii="Times New Roman" w:hAnsi="Times New Roman"/>
                <w:iCs/>
                <w:sz w:val="24"/>
                <w:szCs w:val="24"/>
                <w:lang w:val="en-US"/>
              </w:rPr>
              <w:t xml:space="preserve"> a</w:t>
            </w:r>
            <w:r w:rsidR="00245EAA" w:rsidRPr="005B7CAC">
              <w:rPr>
                <w:rFonts w:ascii="Times New Roman" w:hAnsi="Times New Roman"/>
                <w:iCs/>
                <w:sz w:val="24"/>
                <w:szCs w:val="24"/>
                <w:lang w:val="en-US"/>
              </w:rPr>
              <w:t>ssets + 0.750*C</w:t>
            </w:r>
            <w:r w:rsidR="00B57080" w:rsidRPr="005B7CAC">
              <w:rPr>
                <w:rFonts w:ascii="Times New Roman" w:hAnsi="Times New Roman"/>
                <w:iCs/>
                <w:sz w:val="24"/>
                <w:szCs w:val="24"/>
                <w:lang w:val="en-US"/>
              </w:rPr>
              <w:t>ash flows from operating activities</w:t>
            </w:r>
            <w:r w:rsidR="00245EAA" w:rsidRPr="005B7CAC">
              <w:rPr>
                <w:rFonts w:ascii="Times New Roman" w:hAnsi="Times New Roman"/>
                <w:iCs/>
                <w:sz w:val="24"/>
                <w:szCs w:val="24"/>
                <w:lang w:val="en-US"/>
              </w:rPr>
              <w:t>/Total</w:t>
            </w:r>
            <w:r w:rsidR="00B57080" w:rsidRPr="005B7CAC">
              <w:rPr>
                <w:rFonts w:ascii="Times New Roman" w:hAnsi="Times New Roman"/>
                <w:iCs/>
                <w:sz w:val="24"/>
                <w:szCs w:val="24"/>
                <w:lang w:val="en-US"/>
              </w:rPr>
              <w:t xml:space="preserve"> a</w:t>
            </w:r>
            <w:r w:rsidR="00245EAA" w:rsidRPr="005B7CAC">
              <w:rPr>
                <w:rFonts w:ascii="Times New Roman" w:hAnsi="Times New Roman"/>
                <w:iCs/>
                <w:sz w:val="24"/>
                <w:szCs w:val="24"/>
                <w:lang w:val="en-US"/>
              </w:rPr>
              <w:t>ssets</w:t>
            </w:r>
            <w:r w:rsidR="00B57080" w:rsidRPr="005B7CAC">
              <w:rPr>
                <w:rFonts w:ascii="Times New Roman" w:hAnsi="Times New Roman"/>
                <w:iCs/>
                <w:sz w:val="24"/>
                <w:szCs w:val="24"/>
                <w:lang w:val="en-US"/>
              </w:rPr>
              <w:t xml:space="preserve">, </w:t>
            </w:r>
            <w:r w:rsidR="002D1103" w:rsidRPr="005B7CAC">
              <w:rPr>
                <w:rFonts w:ascii="Times New Roman" w:hAnsi="Times New Roman"/>
                <w:iCs/>
                <w:sz w:val="24"/>
                <w:szCs w:val="24"/>
                <w:lang w:val="en-US"/>
              </w:rPr>
              <w:t xml:space="preserve">developed </w:t>
            </w:r>
            <w:r w:rsidRPr="005B7CAC">
              <w:rPr>
                <w:rFonts w:ascii="Times New Roman" w:hAnsi="Times New Roman"/>
                <w:iCs/>
                <w:sz w:val="24"/>
                <w:szCs w:val="24"/>
                <w:lang w:val="en-US"/>
              </w:rPr>
              <w:t xml:space="preserve">exclusively for the </w:t>
            </w:r>
            <w:r w:rsidR="002D1103" w:rsidRPr="005B7CAC">
              <w:rPr>
                <w:rFonts w:ascii="Times New Roman" w:hAnsi="Times New Roman"/>
                <w:iCs/>
                <w:sz w:val="24"/>
                <w:szCs w:val="24"/>
                <w:lang w:val="en-US"/>
              </w:rPr>
              <w:t xml:space="preserve">UK </w:t>
            </w:r>
            <w:r w:rsidRPr="005B7CAC">
              <w:rPr>
                <w:rFonts w:ascii="Times New Roman" w:hAnsi="Times New Roman"/>
                <w:iCs/>
                <w:sz w:val="24"/>
                <w:szCs w:val="24"/>
                <w:lang w:val="en-US"/>
              </w:rPr>
              <w:t>market</w:t>
            </w:r>
            <w:r w:rsidR="002D1103" w:rsidRPr="005B7CAC">
              <w:rPr>
                <w:rFonts w:ascii="Times New Roman" w:hAnsi="Times New Roman"/>
                <w:iCs/>
                <w:sz w:val="24"/>
                <w:szCs w:val="24"/>
                <w:lang w:val="en-US"/>
              </w:rPr>
              <w:t>.</w:t>
            </w:r>
          </w:p>
          <w:p w14:paraId="2FD2D90D" w14:textId="33EB419A" w:rsidR="006B2FCD" w:rsidRPr="005B7CAC" w:rsidRDefault="006B2FCD" w:rsidP="00BC436A">
            <w:pPr>
              <w:widowControl w:val="0"/>
              <w:autoSpaceDE w:val="0"/>
              <w:autoSpaceDN w:val="0"/>
              <w:adjustRightInd w:val="0"/>
              <w:jc w:val="both"/>
              <w:rPr>
                <w:rFonts w:ascii="Times New Roman" w:hAnsi="Times New Roman"/>
                <w:iCs/>
                <w:sz w:val="24"/>
                <w:szCs w:val="24"/>
                <w:lang w:val="en-US"/>
              </w:rPr>
            </w:pPr>
            <w:r w:rsidRPr="005B7CAC">
              <w:rPr>
                <w:rFonts w:ascii="Times New Roman" w:hAnsi="Times New Roman"/>
                <w:iCs/>
                <w:sz w:val="24"/>
                <w:szCs w:val="24"/>
                <w:lang w:val="en-US"/>
              </w:rPr>
              <w:fldChar w:fldCharType="begin" w:fldLock="1"/>
            </w:r>
            <w:r w:rsidR="007D5BAA" w:rsidRPr="005B7CAC">
              <w:rPr>
                <w:rFonts w:ascii="Times New Roman" w:hAnsi="Times New Roman"/>
                <w:iCs/>
                <w:sz w:val="24"/>
                <w:szCs w:val="24"/>
                <w:lang w:val="en-US"/>
              </w:rPr>
              <w:instrText>ADDIN CSL_CITATION {"citationItems":[{"id":"ITEM-1","itemData":{"DOI":"10.1111/j.1540-6261.1968.tb00843.x","ISSN":"15406261","author":[{"dropping-particle":"","family":"Altman","given":"Edward I.","non-dropping-particle":"","parse-names":false,"suffix":""}],"container-title":"The Journal of Finance","id":"ITEM-1","issue":"4","issued":{"date-parts":[["1968"]]},"page":"589-609","title":"Financial ratios, discriminant analysis and the prediction of corporate bankruptcy","type":"article-journal","volume":"23"},"uris":["http://www.mendeley.com/documents/?uuid=ce79f24a-c38b-3c56-9de2-8472a67ebc96"]}],"mendeley":{"formattedCitation":"(Altman, 1968)","manualFormatting":"Altman (1968)","plainTextFormattedCitation":"(Altman, 1968)","previouslyFormattedCitation":"(Altman, 1968)"},"properties":{"noteIndex":0},"schema":"https://github.com/citation-style-language/schema/raw/master/csl-citation.json"}</w:instrText>
            </w:r>
            <w:r w:rsidRPr="005B7CAC">
              <w:rPr>
                <w:rFonts w:ascii="Times New Roman" w:hAnsi="Times New Roman"/>
                <w:iCs/>
                <w:sz w:val="24"/>
                <w:szCs w:val="24"/>
                <w:lang w:val="en-US"/>
              </w:rPr>
              <w:fldChar w:fldCharType="separate"/>
            </w:r>
            <w:r w:rsidRPr="005B7CAC">
              <w:rPr>
                <w:rFonts w:ascii="Times New Roman" w:hAnsi="Times New Roman"/>
                <w:iCs/>
                <w:noProof/>
                <w:sz w:val="24"/>
                <w:szCs w:val="24"/>
                <w:lang w:val="en-US"/>
              </w:rPr>
              <w:t>Altman (1968)</w:t>
            </w:r>
            <w:r w:rsidRPr="005B7CAC">
              <w:rPr>
                <w:rFonts w:ascii="Times New Roman" w:hAnsi="Times New Roman"/>
                <w:iCs/>
                <w:sz w:val="24"/>
                <w:szCs w:val="24"/>
                <w:lang w:val="en-US"/>
              </w:rPr>
              <w:fldChar w:fldCharType="end"/>
            </w:r>
            <w:r w:rsidRPr="005B7CAC">
              <w:rPr>
                <w:rFonts w:ascii="Times New Roman" w:hAnsi="Times New Roman"/>
                <w:iCs/>
                <w:sz w:val="24"/>
                <w:szCs w:val="24"/>
                <w:lang w:val="en-US"/>
              </w:rPr>
              <w:t>’s Z_ALT score: 1.2*Working capital/Total assets+1.4*Retained earnings/total assets+3.3*Earnings before interest and taxation/total assets+0.6*Market value of equity/total liabilities+0.999*Revenue/total assets.</w:t>
            </w:r>
          </w:p>
          <w:p w14:paraId="1D676316" w14:textId="12655FF4" w:rsidR="00A5776B" w:rsidRPr="005B7CAC" w:rsidRDefault="00A5776B" w:rsidP="006B2FCD">
            <w:pPr>
              <w:widowControl w:val="0"/>
              <w:autoSpaceDE w:val="0"/>
              <w:autoSpaceDN w:val="0"/>
              <w:adjustRightInd w:val="0"/>
              <w:rPr>
                <w:rFonts w:ascii="Times New Roman" w:hAnsi="Times New Roman"/>
                <w:iCs/>
                <w:sz w:val="24"/>
                <w:szCs w:val="24"/>
                <w:lang w:val="en-US"/>
              </w:rPr>
            </w:pPr>
          </w:p>
        </w:tc>
      </w:tr>
      <w:tr w:rsidR="005B7CAC" w:rsidRPr="00DE13CA" w14:paraId="65B796D1" w14:textId="77777777" w:rsidTr="00AB7D55">
        <w:tc>
          <w:tcPr>
            <w:tcW w:w="1328" w:type="pct"/>
          </w:tcPr>
          <w:p w14:paraId="1A08C8DE" w14:textId="77777777" w:rsidR="00544971" w:rsidRPr="005B7CAC" w:rsidRDefault="00544971" w:rsidP="00BC436A">
            <w:pPr>
              <w:widowControl w:val="0"/>
              <w:autoSpaceDE w:val="0"/>
              <w:autoSpaceDN w:val="0"/>
              <w:adjustRightInd w:val="0"/>
              <w:rPr>
                <w:rFonts w:ascii="Times New Roman" w:hAnsi="Times New Roman"/>
                <w:iCs/>
                <w:sz w:val="24"/>
                <w:szCs w:val="24"/>
                <w:lang w:val="en-US"/>
              </w:rPr>
            </w:pPr>
            <w:r w:rsidRPr="005B7CAC">
              <w:rPr>
                <w:rFonts w:ascii="Times New Roman" w:hAnsi="Times New Roman"/>
                <w:iCs/>
                <w:sz w:val="24"/>
                <w:szCs w:val="24"/>
                <w:lang w:val="en-US"/>
              </w:rPr>
              <w:t>Waste generation</w:t>
            </w:r>
          </w:p>
        </w:tc>
        <w:tc>
          <w:tcPr>
            <w:tcW w:w="544" w:type="pct"/>
          </w:tcPr>
          <w:p w14:paraId="5E0EB002" w14:textId="77777777" w:rsidR="00544971" w:rsidRPr="005B7CAC" w:rsidRDefault="00544971" w:rsidP="008176FB">
            <w:pPr>
              <w:widowControl w:val="0"/>
              <w:autoSpaceDE w:val="0"/>
              <w:autoSpaceDN w:val="0"/>
              <w:adjustRightInd w:val="0"/>
              <w:spacing w:after="120"/>
              <w:jc w:val="center"/>
              <w:rPr>
                <w:rFonts w:ascii="Times New Roman" w:hAnsi="Times New Roman"/>
                <w:iCs/>
                <w:sz w:val="24"/>
                <w:szCs w:val="24"/>
                <w:lang w:val="en-US"/>
              </w:rPr>
            </w:pPr>
            <w:r w:rsidRPr="005B7CAC">
              <w:rPr>
                <w:rFonts w:ascii="Times New Roman" w:hAnsi="Times New Roman"/>
                <w:iCs/>
                <w:sz w:val="24"/>
                <w:szCs w:val="24"/>
                <w:lang w:val="en-US"/>
              </w:rPr>
              <w:t>WAST</w:t>
            </w:r>
          </w:p>
        </w:tc>
        <w:tc>
          <w:tcPr>
            <w:tcW w:w="3127" w:type="pct"/>
          </w:tcPr>
          <w:p w14:paraId="748321E0" w14:textId="2EC81CAB" w:rsidR="00544971" w:rsidRPr="005B7CAC" w:rsidRDefault="00F6677B" w:rsidP="00BC436A">
            <w:pPr>
              <w:widowControl w:val="0"/>
              <w:autoSpaceDE w:val="0"/>
              <w:autoSpaceDN w:val="0"/>
              <w:adjustRightInd w:val="0"/>
              <w:rPr>
                <w:rFonts w:ascii="Times New Roman" w:hAnsi="Times New Roman"/>
                <w:iCs/>
                <w:sz w:val="24"/>
                <w:szCs w:val="24"/>
                <w:lang w:val="en-US"/>
              </w:rPr>
            </w:pPr>
            <w:r w:rsidRPr="005B7CAC">
              <w:rPr>
                <w:rFonts w:ascii="Times New Roman" w:hAnsi="Times New Roman"/>
                <w:iCs/>
                <w:sz w:val="24"/>
                <w:szCs w:val="24"/>
                <w:lang w:val="en-US"/>
              </w:rPr>
              <w:t xml:space="preserve">The ratio of the total waste </w:t>
            </w:r>
            <w:r w:rsidR="00216028" w:rsidRPr="005B7CAC">
              <w:rPr>
                <w:rFonts w:ascii="Times New Roman" w:hAnsi="Times New Roman"/>
                <w:iCs/>
                <w:sz w:val="24"/>
                <w:szCs w:val="24"/>
                <w:lang w:val="en-US"/>
              </w:rPr>
              <w:t xml:space="preserve">generated </w:t>
            </w:r>
            <w:r w:rsidRPr="005B7CAC">
              <w:rPr>
                <w:rFonts w:ascii="Times New Roman" w:hAnsi="Times New Roman"/>
                <w:iCs/>
                <w:sz w:val="24"/>
                <w:szCs w:val="24"/>
                <w:lang w:val="en-US"/>
              </w:rPr>
              <w:t>to total assets</w:t>
            </w:r>
            <w:r w:rsidR="00A9142B" w:rsidRPr="005B7CAC">
              <w:rPr>
                <w:rFonts w:ascii="Times New Roman" w:hAnsi="Times New Roman"/>
                <w:iCs/>
                <w:sz w:val="24"/>
                <w:szCs w:val="24"/>
                <w:lang w:val="en-US"/>
              </w:rPr>
              <w:t>.</w:t>
            </w:r>
          </w:p>
        </w:tc>
      </w:tr>
      <w:tr w:rsidR="005B7CAC" w:rsidRPr="00DE13CA" w14:paraId="5E761C51" w14:textId="77777777" w:rsidTr="00AB7D55">
        <w:tc>
          <w:tcPr>
            <w:tcW w:w="1328" w:type="pct"/>
          </w:tcPr>
          <w:p w14:paraId="4F21C749" w14:textId="77777777" w:rsidR="00544971" w:rsidRPr="005B7CAC" w:rsidRDefault="00544971" w:rsidP="00CD4FCC">
            <w:pPr>
              <w:widowControl w:val="0"/>
              <w:autoSpaceDE w:val="0"/>
              <w:autoSpaceDN w:val="0"/>
              <w:adjustRightInd w:val="0"/>
              <w:spacing w:after="240"/>
              <w:rPr>
                <w:rFonts w:ascii="Times New Roman" w:hAnsi="Times New Roman"/>
                <w:iCs/>
                <w:sz w:val="24"/>
                <w:szCs w:val="24"/>
                <w:lang w:val="en-US"/>
              </w:rPr>
            </w:pPr>
            <w:r w:rsidRPr="005B7CAC">
              <w:rPr>
                <w:rFonts w:ascii="Times New Roman" w:hAnsi="Times New Roman"/>
                <w:iCs/>
                <w:sz w:val="24"/>
                <w:szCs w:val="24"/>
                <w:lang w:val="en-US"/>
              </w:rPr>
              <w:t>Waste recycling</w:t>
            </w:r>
          </w:p>
        </w:tc>
        <w:tc>
          <w:tcPr>
            <w:tcW w:w="544" w:type="pct"/>
          </w:tcPr>
          <w:p w14:paraId="5DE722EB" w14:textId="77777777" w:rsidR="00544971" w:rsidRPr="005B7CAC" w:rsidRDefault="008176FB" w:rsidP="008176FB">
            <w:pPr>
              <w:widowControl w:val="0"/>
              <w:autoSpaceDE w:val="0"/>
              <w:autoSpaceDN w:val="0"/>
              <w:adjustRightInd w:val="0"/>
              <w:spacing w:after="240"/>
              <w:jc w:val="center"/>
              <w:rPr>
                <w:rFonts w:ascii="Times New Roman" w:hAnsi="Times New Roman"/>
                <w:iCs/>
                <w:sz w:val="24"/>
                <w:szCs w:val="24"/>
                <w:lang w:val="en-US"/>
              </w:rPr>
            </w:pPr>
            <w:r w:rsidRPr="005B7CAC">
              <w:rPr>
                <w:rFonts w:ascii="Times New Roman" w:hAnsi="Times New Roman"/>
                <w:iCs/>
                <w:sz w:val="24"/>
                <w:szCs w:val="24"/>
                <w:lang w:val="en-US"/>
              </w:rPr>
              <w:t>WREC</w:t>
            </w:r>
          </w:p>
        </w:tc>
        <w:tc>
          <w:tcPr>
            <w:tcW w:w="3127" w:type="pct"/>
          </w:tcPr>
          <w:p w14:paraId="073384B1" w14:textId="4CD47BFC" w:rsidR="00544971" w:rsidRPr="005B7CAC" w:rsidRDefault="00F6677B" w:rsidP="00BC436A">
            <w:pPr>
              <w:widowControl w:val="0"/>
              <w:autoSpaceDE w:val="0"/>
              <w:autoSpaceDN w:val="0"/>
              <w:adjustRightInd w:val="0"/>
              <w:rPr>
                <w:rFonts w:ascii="Times New Roman" w:hAnsi="Times New Roman"/>
                <w:iCs/>
                <w:sz w:val="24"/>
                <w:szCs w:val="24"/>
                <w:lang w:val="en-US"/>
              </w:rPr>
            </w:pPr>
            <w:r w:rsidRPr="005B7CAC">
              <w:rPr>
                <w:rFonts w:ascii="Times New Roman" w:hAnsi="Times New Roman"/>
                <w:iCs/>
                <w:sz w:val="24"/>
                <w:szCs w:val="24"/>
                <w:lang w:val="en-US"/>
              </w:rPr>
              <w:t>The ratio of</w:t>
            </w:r>
            <w:r w:rsidR="00216028" w:rsidRPr="005B7CAC">
              <w:rPr>
                <w:rFonts w:ascii="Times New Roman" w:hAnsi="Times New Roman"/>
                <w:iCs/>
                <w:sz w:val="24"/>
                <w:szCs w:val="24"/>
                <w:lang w:val="en-US"/>
              </w:rPr>
              <w:t xml:space="preserve"> waste recycled to total waste</w:t>
            </w:r>
            <w:r w:rsidR="00A9142B" w:rsidRPr="005B7CAC">
              <w:rPr>
                <w:rFonts w:ascii="Times New Roman" w:hAnsi="Times New Roman"/>
                <w:iCs/>
                <w:sz w:val="24"/>
                <w:szCs w:val="24"/>
                <w:lang w:val="en-US"/>
              </w:rPr>
              <w:t>.</w:t>
            </w:r>
            <w:r w:rsidRPr="005B7CAC">
              <w:rPr>
                <w:rFonts w:ascii="Times New Roman" w:hAnsi="Times New Roman"/>
                <w:iCs/>
                <w:sz w:val="24"/>
                <w:szCs w:val="24"/>
                <w:lang w:val="en-US"/>
              </w:rPr>
              <w:t xml:space="preserve"> </w:t>
            </w:r>
          </w:p>
        </w:tc>
      </w:tr>
      <w:tr w:rsidR="005B7CAC" w:rsidRPr="005B7CAC" w14:paraId="0736BA44" w14:textId="77777777" w:rsidTr="00AB7D55">
        <w:tc>
          <w:tcPr>
            <w:tcW w:w="1328" w:type="pct"/>
          </w:tcPr>
          <w:p w14:paraId="74293B18" w14:textId="172BC8E6" w:rsidR="00544971" w:rsidRPr="005B7CAC" w:rsidRDefault="00544971" w:rsidP="00CD4FCC">
            <w:pPr>
              <w:widowControl w:val="0"/>
              <w:autoSpaceDE w:val="0"/>
              <w:autoSpaceDN w:val="0"/>
              <w:adjustRightInd w:val="0"/>
              <w:spacing w:after="240"/>
              <w:rPr>
                <w:rFonts w:ascii="Times New Roman" w:hAnsi="Times New Roman"/>
                <w:iCs/>
                <w:sz w:val="24"/>
                <w:szCs w:val="24"/>
                <w:lang w:val="en-US"/>
              </w:rPr>
            </w:pPr>
            <w:r w:rsidRPr="005B7CAC">
              <w:rPr>
                <w:rFonts w:ascii="Times New Roman" w:hAnsi="Times New Roman"/>
                <w:iCs/>
                <w:sz w:val="24"/>
                <w:szCs w:val="24"/>
                <w:lang w:val="en-US"/>
              </w:rPr>
              <w:t>Green in</w:t>
            </w:r>
            <w:r w:rsidR="00801D47" w:rsidRPr="005B7CAC">
              <w:rPr>
                <w:rFonts w:ascii="Times New Roman" w:hAnsi="Times New Roman"/>
                <w:iCs/>
                <w:sz w:val="24"/>
                <w:szCs w:val="24"/>
                <w:lang w:val="en-US"/>
              </w:rPr>
              <w:t>itiatives</w:t>
            </w:r>
          </w:p>
        </w:tc>
        <w:tc>
          <w:tcPr>
            <w:tcW w:w="544" w:type="pct"/>
          </w:tcPr>
          <w:p w14:paraId="6CCD0898" w14:textId="44AA4FB0" w:rsidR="00544971" w:rsidRPr="005B7CAC" w:rsidRDefault="001A1CB2" w:rsidP="008176FB">
            <w:pPr>
              <w:widowControl w:val="0"/>
              <w:autoSpaceDE w:val="0"/>
              <w:autoSpaceDN w:val="0"/>
              <w:adjustRightInd w:val="0"/>
              <w:spacing w:after="240"/>
              <w:jc w:val="center"/>
              <w:rPr>
                <w:rFonts w:ascii="Times New Roman" w:hAnsi="Times New Roman"/>
                <w:iCs/>
                <w:sz w:val="24"/>
                <w:szCs w:val="24"/>
                <w:lang w:val="en-US"/>
              </w:rPr>
            </w:pPr>
            <w:r w:rsidRPr="005B7CAC">
              <w:rPr>
                <w:rFonts w:ascii="Times New Roman" w:hAnsi="Times New Roman"/>
                <w:iCs/>
                <w:sz w:val="24"/>
                <w:szCs w:val="24"/>
                <w:lang w:val="en-US"/>
              </w:rPr>
              <w:t>GINV</w:t>
            </w:r>
            <w:r w:rsidR="00801D47" w:rsidRPr="005B7CAC">
              <w:rPr>
                <w:rFonts w:ascii="Times New Roman" w:hAnsi="Times New Roman"/>
                <w:iCs/>
                <w:sz w:val="24"/>
                <w:szCs w:val="24"/>
                <w:lang w:val="en-US"/>
              </w:rPr>
              <w:t>s</w:t>
            </w:r>
          </w:p>
        </w:tc>
        <w:tc>
          <w:tcPr>
            <w:tcW w:w="3127" w:type="pct"/>
          </w:tcPr>
          <w:p w14:paraId="3764BD8A" w14:textId="77777777" w:rsidR="00544971" w:rsidRPr="005B7CAC" w:rsidRDefault="00F17594" w:rsidP="00BC436A">
            <w:pPr>
              <w:widowControl w:val="0"/>
              <w:autoSpaceDE w:val="0"/>
              <w:autoSpaceDN w:val="0"/>
              <w:adjustRightInd w:val="0"/>
              <w:jc w:val="both"/>
              <w:rPr>
                <w:rFonts w:ascii="Times New Roman" w:hAnsi="Times New Roman"/>
                <w:iCs/>
                <w:sz w:val="24"/>
                <w:szCs w:val="24"/>
                <w:lang w:val="en-US"/>
              </w:rPr>
            </w:pPr>
            <w:r w:rsidRPr="005B7CAC">
              <w:rPr>
                <w:rFonts w:ascii="Times New Roman" w:hAnsi="Times New Roman"/>
                <w:bCs/>
                <w:iCs/>
                <w:sz w:val="24"/>
                <w:szCs w:val="20"/>
                <w:lang w:val="en-US"/>
              </w:rPr>
              <w:t>The score is based on 21 environmental indicators, which reflect a firm’s initiatives/strategies to protect ecosystems, reduce, reuse, phase out or substitute emissions and/or toxic chemicals, and promote efficient use of natural resources by designing green products/services, adopting new environmental technologies, implementing renewable energy systems, and introducing environmentally sustainable activities/practices. It therefore r</w:t>
            </w:r>
            <w:r w:rsidR="00740691" w:rsidRPr="005B7CAC">
              <w:rPr>
                <w:rFonts w:ascii="Times New Roman" w:hAnsi="Times New Roman"/>
                <w:iCs/>
                <w:sz w:val="24"/>
                <w:szCs w:val="24"/>
                <w:lang w:val="en-US"/>
              </w:rPr>
              <w:t>ang</w:t>
            </w:r>
            <w:r w:rsidRPr="005B7CAC">
              <w:rPr>
                <w:rFonts w:ascii="Times New Roman" w:hAnsi="Times New Roman"/>
                <w:iCs/>
                <w:sz w:val="24"/>
                <w:szCs w:val="24"/>
                <w:lang w:val="en-US"/>
              </w:rPr>
              <w:t>es</w:t>
            </w:r>
            <w:r w:rsidR="00740691" w:rsidRPr="005B7CAC">
              <w:rPr>
                <w:rFonts w:ascii="Times New Roman" w:hAnsi="Times New Roman"/>
                <w:iCs/>
                <w:sz w:val="24"/>
                <w:szCs w:val="24"/>
                <w:lang w:val="en-US"/>
              </w:rPr>
              <w:t xml:space="preserve"> from 0</w:t>
            </w:r>
            <w:r w:rsidRPr="005B7CAC">
              <w:rPr>
                <w:rFonts w:ascii="Times New Roman" w:hAnsi="Times New Roman"/>
                <w:iCs/>
                <w:sz w:val="24"/>
                <w:szCs w:val="24"/>
                <w:lang w:val="en-US"/>
              </w:rPr>
              <w:t xml:space="preserve"> t</w:t>
            </w:r>
            <w:r w:rsidR="00740691" w:rsidRPr="005B7CAC">
              <w:rPr>
                <w:rFonts w:ascii="Times New Roman" w:hAnsi="Times New Roman"/>
                <w:iCs/>
                <w:sz w:val="24"/>
                <w:szCs w:val="24"/>
                <w:lang w:val="en-US"/>
              </w:rPr>
              <w:t xml:space="preserve">o </w:t>
            </w:r>
            <w:r w:rsidRPr="005B7CAC">
              <w:rPr>
                <w:rFonts w:ascii="Times New Roman" w:hAnsi="Times New Roman"/>
                <w:iCs/>
                <w:sz w:val="24"/>
                <w:szCs w:val="24"/>
                <w:lang w:val="en-US"/>
              </w:rPr>
              <w:t>21</w:t>
            </w:r>
            <w:r w:rsidR="00740691" w:rsidRPr="005B7CAC">
              <w:rPr>
                <w:rFonts w:ascii="Times New Roman" w:hAnsi="Times New Roman"/>
                <w:iCs/>
                <w:sz w:val="24"/>
                <w:szCs w:val="24"/>
                <w:lang w:val="en-US"/>
              </w:rPr>
              <w:t>.</w:t>
            </w:r>
          </w:p>
          <w:p w14:paraId="10CF993F" w14:textId="2E108E62" w:rsidR="00A9142B" w:rsidRPr="005B7CAC" w:rsidRDefault="00A9142B" w:rsidP="00BC436A">
            <w:pPr>
              <w:widowControl w:val="0"/>
              <w:autoSpaceDE w:val="0"/>
              <w:autoSpaceDN w:val="0"/>
              <w:adjustRightInd w:val="0"/>
              <w:jc w:val="both"/>
              <w:rPr>
                <w:rFonts w:ascii="Times New Roman" w:hAnsi="Times New Roman"/>
                <w:iCs/>
                <w:sz w:val="24"/>
                <w:szCs w:val="24"/>
                <w:lang w:val="en-US"/>
              </w:rPr>
            </w:pPr>
          </w:p>
        </w:tc>
      </w:tr>
      <w:tr w:rsidR="005B7CAC" w:rsidRPr="00DE13CA" w14:paraId="6A40270D" w14:textId="77777777" w:rsidTr="00AB7D55">
        <w:tc>
          <w:tcPr>
            <w:tcW w:w="1328" w:type="pct"/>
          </w:tcPr>
          <w:p w14:paraId="599474E7" w14:textId="77777777" w:rsidR="00544971" w:rsidRPr="005B7CAC" w:rsidRDefault="00544971" w:rsidP="00CD4FCC">
            <w:pPr>
              <w:widowControl w:val="0"/>
              <w:autoSpaceDE w:val="0"/>
              <w:autoSpaceDN w:val="0"/>
              <w:adjustRightInd w:val="0"/>
              <w:spacing w:after="240"/>
              <w:rPr>
                <w:rFonts w:ascii="Times New Roman" w:hAnsi="Times New Roman"/>
                <w:iCs/>
                <w:sz w:val="24"/>
                <w:szCs w:val="24"/>
                <w:lang w:val="en-US"/>
              </w:rPr>
            </w:pPr>
            <w:r w:rsidRPr="005B7CAC">
              <w:rPr>
                <w:rFonts w:ascii="Times New Roman" w:hAnsi="Times New Roman"/>
                <w:iCs/>
                <w:sz w:val="24"/>
                <w:szCs w:val="24"/>
                <w:lang w:val="en-US"/>
              </w:rPr>
              <w:t>Board size</w:t>
            </w:r>
          </w:p>
        </w:tc>
        <w:tc>
          <w:tcPr>
            <w:tcW w:w="544" w:type="pct"/>
          </w:tcPr>
          <w:p w14:paraId="2F55B695" w14:textId="44343E64" w:rsidR="00544971" w:rsidRPr="005B7CAC" w:rsidRDefault="00E3099C" w:rsidP="008176FB">
            <w:pPr>
              <w:widowControl w:val="0"/>
              <w:autoSpaceDE w:val="0"/>
              <w:autoSpaceDN w:val="0"/>
              <w:adjustRightInd w:val="0"/>
              <w:spacing w:after="240"/>
              <w:jc w:val="center"/>
              <w:rPr>
                <w:rFonts w:ascii="Times New Roman" w:hAnsi="Times New Roman"/>
                <w:iCs/>
                <w:sz w:val="24"/>
                <w:szCs w:val="24"/>
                <w:lang w:val="en-US"/>
              </w:rPr>
            </w:pPr>
            <w:r w:rsidRPr="005B7CAC">
              <w:rPr>
                <w:rFonts w:ascii="Times New Roman" w:hAnsi="Times New Roman"/>
                <w:iCs/>
                <w:sz w:val="24"/>
                <w:szCs w:val="24"/>
                <w:lang w:val="en-US"/>
              </w:rPr>
              <w:t>BS</w:t>
            </w:r>
            <w:r w:rsidR="001C4F95" w:rsidRPr="005B7CAC">
              <w:rPr>
                <w:rFonts w:ascii="Times New Roman" w:hAnsi="Times New Roman"/>
                <w:iCs/>
                <w:sz w:val="24"/>
                <w:szCs w:val="24"/>
                <w:lang w:val="en-US"/>
              </w:rPr>
              <w:t>I</w:t>
            </w:r>
            <w:r w:rsidRPr="005B7CAC">
              <w:rPr>
                <w:rFonts w:ascii="Times New Roman" w:hAnsi="Times New Roman"/>
                <w:iCs/>
                <w:sz w:val="24"/>
                <w:szCs w:val="24"/>
                <w:lang w:val="en-US"/>
              </w:rPr>
              <w:t>ZE</w:t>
            </w:r>
          </w:p>
        </w:tc>
        <w:tc>
          <w:tcPr>
            <w:tcW w:w="3127" w:type="pct"/>
          </w:tcPr>
          <w:p w14:paraId="064A44DB" w14:textId="14032B4E" w:rsidR="00544971" w:rsidRPr="005B7CAC" w:rsidRDefault="0057579A" w:rsidP="00CD4FCC">
            <w:pPr>
              <w:widowControl w:val="0"/>
              <w:autoSpaceDE w:val="0"/>
              <w:autoSpaceDN w:val="0"/>
              <w:adjustRightInd w:val="0"/>
              <w:spacing w:after="240"/>
              <w:rPr>
                <w:rFonts w:ascii="Times New Roman" w:hAnsi="Times New Roman"/>
                <w:iCs/>
                <w:sz w:val="24"/>
                <w:szCs w:val="24"/>
                <w:lang w:val="en-US"/>
              </w:rPr>
            </w:pPr>
            <w:r w:rsidRPr="005B7CAC">
              <w:rPr>
                <w:rFonts w:ascii="Times New Roman" w:hAnsi="Times New Roman"/>
                <w:iCs/>
                <w:sz w:val="24"/>
                <w:szCs w:val="24"/>
                <w:lang w:val="en-US"/>
              </w:rPr>
              <w:t>The</w:t>
            </w:r>
            <w:r w:rsidR="007F3AFC" w:rsidRPr="005B7CAC">
              <w:rPr>
                <w:rFonts w:ascii="Times New Roman" w:hAnsi="Times New Roman"/>
                <w:iCs/>
                <w:sz w:val="24"/>
                <w:szCs w:val="24"/>
                <w:lang w:val="en-US"/>
              </w:rPr>
              <w:t xml:space="preserve"> </w:t>
            </w:r>
            <w:r w:rsidR="00BD164E" w:rsidRPr="005B7CAC">
              <w:rPr>
                <w:rFonts w:ascii="Times New Roman" w:hAnsi="Times New Roman"/>
                <w:iCs/>
                <w:sz w:val="24"/>
                <w:szCs w:val="24"/>
                <w:lang w:val="en-US"/>
              </w:rPr>
              <w:t xml:space="preserve">total </w:t>
            </w:r>
            <w:r w:rsidRPr="005B7CAC">
              <w:rPr>
                <w:rFonts w:ascii="Times New Roman" w:hAnsi="Times New Roman"/>
                <w:iCs/>
                <w:sz w:val="24"/>
                <w:szCs w:val="24"/>
                <w:lang w:val="en-US"/>
              </w:rPr>
              <w:t>number of board directors</w:t>
            </w:r>
            <w:r w:rsidR="00A9142B" w:rsidRPr="005B7CAC">
              <w:rPr>
                <w:rFonts w:ascii="Times New Roman" w:hAnsi="Times New Roman"/>
                <w:iCs/>
                <w:sz w:val="24"/>
                <w:szCs w:val="24"/>
                <w:lang w:val="en-US"/>
              </w:rPr>
              <w:t>.</w:t>
            </w:r>
          </w:p>
        </w:tc>
      </w:tr>
      <w:tr w:rsidR="005B7CAC" w:rsidRPr="00DE13CA" w14:paraId="7C8B957C" w14:textId="77777777" w:rsidTr="00AB7D55">
        <w:tc>
          <w:tcPr>
            <w:tcW w:w="1328" w:type="pct"/>
          </w:tcPr>
          <w:p w14:paraId="3A26FEFB" w14:textId="77777777" w:rsidR="00544971" w:rsidRPr="005B7CAC" w:rsidRDefault="00544971" w:rsidP="00CD4FCC">
            <w:pPr>
              <w:widowControl w:val="0"/>
              <w:autoSpaceDE w:val="0"/>
              <w:autoSpaceDN w:val="0"/>
              <w:adjustRightInd w:val="0"/>
              <w:spacing w:after="240"/>
              <w:rPr>
                <w:rFonts w:ascii="Times New Roman" w:hAnsi="Times New Roman"/>
                <w:iCs/>
                <w:sz w:val="24"/>
                <w:szCs w:val="24"/>
                <w:lang w:val="en-US"/>
              </w:rPr>
            </w:pPr>
            <w:r w:rsidRPr="005B7CAC">
              <w:rPr>
                <w:rFonts w:ascii="Times New Roman" w:hAnsi="Times New Roman"/>
                <w:iCs/>
                <w:sz w:val="24"/>
                <w:szCs w:val="24"/>
                <w:lang w:val="en-US"/>
              </w:rPr>
              <w:t xml:space="preserve">Board gender diversity </w:t>
            </w:r>
          </w:p>
        </w:tc>
        <w:tc>
          <w:tcPr>
            <w:tcW w:w="544" w:type="pct"/>
          </w:tcPr>
          <w:p w14:paraId="0510B42F" w14:textId="1F6AA7F7" w:rsidR="00544971" w:rsidRPr="005B7CAC" w:rsidRDefault="00E3099C" w:rsidP="008176FB">
            <w:pPr>
              <w:widowControl w:val="0"/>
              <w:autoSpaceDE w:val="0"/>
              <w:autoSpaceDN w:val="0"/>
              <w:adjustRightInd w:val="0"/>
              <w:spacing w:after="240"/>
              <w:jc w:val="center"/>
              <w:rPr>
                <w:rFonts w:ascii="Times New Roman" w:hAnsi="Times New Roman"/>
                <w:iCs/>
                <w:sz w:val="24"/>
                <w:szCs w:val="24"/>
                <w:lang w:val="en-US"/>
              </w:rPr>
            </w:pPr>
            <w:r w:rsidRPr="005B7CAC">
              <w:rPr>
                <w:rFonts w:ascii="Times New Roman" w:hAnsi="Times New Roman"/>
                <w:iCs/>
                <w:sz w:val="24"/>
                <w:szCs w:val="24"/>
                <w:lang w:val="en-US"/>
              </w:rPr>
              <w:t>BGD</w:t>
            </w:r>
            <w:r w:rsidR="00205FF2" w:rsidRPr="005B7CAC">
              <w:rPr>
                <w:rFonts w:ascii="Times New Roman" w:hAnsi="Times New Roman"/>
                <w:iCs/>
                <w:sz w:val="24"/>
                <w:szCs w:val="24"/>
                <w:lang w:val="en-US"/>
              </w:rPr>
              <w:t>I</w:t>
            </w:r>
            <w:r w:rsidRPr="005B7CAC">
              <w:rPr>
                <w:rFonts w:ascii="Times New Roman" w:hAnsi="Times New Roman"/>
                <w:iCs/>
                <w:sz w:val="24"/>
                <w:szCs w:val="24"/>
                <w:lang w:val="en-US"/>
              </w:rPr>
              <w:t>V</w:t>
            </w:r>
          </w:p>
        </w:tc>
        <w:tc>
          <w:tcPr>
            <w:tcW w:w="3127" w:type="pct"/>
          </w:tcPr>
          <w:p w14:paraId="6CDD301C" w14:textId="778FB6B3" w:rsidR="00544971" w:rsidRPr="005B7CAC" w:rsidRDefault="0057579A" w:rsidP="00CD4FCC">
            <w:pPr>
              <w:widowControl w:val="0"/>
              <w:autoSpaceDE w:val="0"/>
              <w:autoSpaceDN w:val="0"/>
              <w:adjustRightInd w:val="0"/>
              <w:spacing w:after="240"/>
              <w:rPr>
                <w:rFonts w:ascii="Times New Roman" w:hAnsi="Times New Roman"/>
                <w:iCs/>
                <w:sz w:val="24"/>
                <w:szCs w:val="24"/>
                <w:lang w:val="en-US"/>
              </w:rPr>
            </w:pPr>
            <w:r w:rsidRPr="005B7CAC">
              <w:rPr>
                <w:rFonts w:ascii="Times New Roman" w:hAnsi="Times New Roman"/>
                <w:iCs/>
                <w:sz w:val="24"/>
                <w:szCs w:val="24"/>
                <w:lang w:val="en-US"/>
              </w:rPr>
              <w:t xml:space="preserve">The </w:t>
            </w:r>
            <w:r w:rsidR="00EE6725" w:rsidRPr="005B7CAC">
              <w:rPr>
                <w:rFonts w:ascii="Times New Roman" w:hAnsi="Times New Roman"/>
                <w:iCs/>
                <w:sz w:val="24"/>
                <w:szCs w:val="24"/>
                <w:lang w:val="en-US"/>
              </w:rPr>
              <w:t>proportion</w:t>
            </w:r>
            <w:r w:rsidRPr="005B7CAC">
              <w:rPr>
                <w:rFonts w:ascii="Times New Roman" w:hAnsi="Times New Roman"/>
                <w:iCs/>
                <w:sz w:val="24"/>
                <w:szCs w:val="24"/>
                <w:lang w:val="en-US"/>
              </w:rPr>
              <w:t xml:space="preserve"> of female</w:t>
            </w:r>
            <w:r w:rsidR="00BD164E" w:rsidRPr="005B7CAC">
              <w:rPr>
                <w:rFonts w:ascii="Times New Roman" w:hAnsi="Times New Roman"/>
                <w:iCs/>
                <w:sz w:val="24"/>
                <w:szCs w:val="24"/>
                <w:lang w:val="en-US"/>
              </w:rPr>
              <w:t xml:space="preserve"> </w:t>
            </w:r>
            <w:r w:rsidRPr="005B7CAC">
              <w:rPr>
                <w:rFonts w:ascii="Times New Roman" w:hAnsi="Times New Roman"/>
                <w:iCs/>
                <w:sz w:val="24"/>
                <w:szCs w:val="24"/>
                <w:lang w:val="en-US"/>
              </w:rPr>
              <w:t xml:space="preserve">directors </w:t>
            </w:r>
            <w:r w:rsidR="00EE6725" w:rsidRPr="005B7CAC">
              <w:rPr>
                <w:rFonts w:ascii="Times New Roman" w:hAnsi="Times New Roman"/>
                <w:iCs/>
                <w:sz w:val="24"/>
                <w:szCs w:val="24"/>
                <w:lang w:val="en-US"/>
              </w:rPr>
              <w:t>on boards</w:t>
            </w:r>
            <w:r w:rsidR="00A9142B" w:rsidRPr="005B7CAC">
              <w:rPr>
                <w:rFonts w:ascii="Times New Roman" w:hAnsi="Times New Roman"/>
                <w:iCs/>
                <w:sz w:val="24"/>
                <w:szCs w:val="24"/>
                <w:lang w:val="en-US"/>
              </w:rPr>
              <w:t>.</w:t>
            </w:r>
          </w:p>
        </w:tc>
      </w:tr>
      <w:tr w:rsidR="005B7CAC" w:rsidRPr="00DE13CA" w14:paraId="762A85B2" w14:textId="77777777" w:rsidTr="00AB7D55">
        <w:tc>
          <w:tcPr>
            <w:tcW w:w="1328" w:type="pct"/>
          </w:tcPr>
          <w:p w14:paraId="11F2A4DE" w14:textId="77777777" w:rsidR="00544971" w:rsidRPr="005B7CAC" w:rsidRDefault="00544971" w:rsidP="00CD4FCC">
            <w:pPr>
              <w:widowControl w:val="0"/>
              <w:autoSpaceDE w:val="0"/>
              <w:autoSpaceDN w:val="0"/>
              <w:adjustRightInd w:val="0"/>
              <w:spacing w:after="240"/>
              <w:rPr>
                <w:rFonts w:ascii="Times New Roman" w:hAnsi="Times New Roman"/>
                <w:iCs/>
                <w:sz w:val="24"/>
                <w:szCs w:val="24"/>
                <w:lang w:val="en-US"/>
              </w:rPr>
            </w:pPr>
            <w:r w:rsidRPr="005B7CAC">
              <w:rPr>
                <w:rFonts w:ascii="Times New Roman" w:hAnsi="Times New Roman"/>
                <w:iCs/>
                <w:sz w:val="24"/>
                <w:szCs w:val="24"/>
                <w:lang w:val="en-US"/>
              </w:rPr>
              <w:t>Board independence</w:t>
            </w:r>
          </w:p>
        </w:tc>
        <w:tc>
          <w:tcPr>
            <w:tcW w:w="544" w:type="pct"/>
          </w:tcPr>
          <w:p w14:paraId="24ABA501" w14:textId="59BA7922" w:rsidR="00544971" w:rsidRPr="005B7CAC" w:rsidRDefault="00E3099C" w:rsidP="008176FB">
            <w:pPr>
              <w:widowControl w:val="0"/>
              <w:autoSpaceDE w:val="0"/>
              <w:autoSpaceDN w:val="0"/>
              <w:adjustRightInd w:val="0"/>
              <w:spacing w:after="240"/>
              <w:jc w:val="center"/>
              <w:rPr>
                <w:rFonts w:ascii="Times New Roman" w:hAnsi="Times New Roman"/>
                <w:iCs/>
                <w:sz w:val="24"/>
                <w:szCs w:val="24"/>
                <w:lang w:val="en-US"/>
              </w:rPr>
            </w:pPr>
            <w:r w:rsidRPr="005B7CAC">
              <w:rPr>
                <w:rFonts w:ascii="Times New Roman" w:hAnsi="Times New Roman"/>
                <w:iCs/>
                <w:sz w:val="24"/>
                <w:szCs w:val="24"/>
                <w:lang w:val="en-US"/>
              </w:rPr>
              <w:t>BIND</w:t>
            </w:r>
            <w:r w:rsidR="00205FF2" w:rsidRPr="005B7CAC">
              <w:rPr>
                <w:rFonts w:ascii="Times New Roman" w:hAnsi="Times New Roman"/>
                <w:iCs/>
                <w:sz w:val="24"/>
                <w:szCs w:val="24"/>
                <w:lang w:val="en-US"/>
              </w:rPr>
              <w:t>R</w:t>
            </w:r>
          </w:p>
        </w:tc>
        <w:tc>
          <w:tcPr>
            <w:tcW w:w="3127" w:type="pct"/>
          </w:tcPr>
          <w:p w14:paraId="67E5CE5C" w14:textId="5F60FAAB" w:rsidR="00544971" w:rsidRPr="005B7CAC" w:rsidRDefault="0057579A" w:rsidP="00CD4FCC">
            <w:pPr>
              <w:widowControl w:val="0"/>
              <w:autoSpaceDE w:val="0"/>
              <w:autoSpaceDN w:val="0"/>
              <w:adjustRightInd w:val="0"/>
              <w:spacing w:after="240"/>
              <w:rPr>
                <w:rFonts w:ascii="Times New Roman" w:hAnsi="Times New Roman"/>
                <w:iCs/>
                <w:sz w:val="24"/>
                <w:szCs w:val="24"/>
                <w:lang w:val="en-US"/>
              </w:rPr>
            </w:pPr>
            <w:r w:rsidRPr="005B7CAC">
              <w:rPr>
                <w:rFonts w:ascii="Times New Roman" w:hAnsi="Times New Roman"/>
                <w:iCs/>
                <w:sz w:val="24"/>
                <w:szCs w:val="24"/>
                <w:lang w:val="en-US"/>
              </w:rPr>
              <w:t xml:space="preserve">The proportion of independent directors </w:t>
            </w:r>
            <w:r w:rsidR="00EE6725" w:rsidRPr="005B7CAC">
              <w:rPr>
                <w:rFonts w:ascii="Times New Roman" w:hAnsi="Times New Roman"/>
                <w:iCs/>
                <w:sz w:val="24"/>
                <w:szCs w:val="24"/>
                <w:lang w:val="en-US"/>
              </w:rPr>
              <w:t>on boards</w:t>
            </w:r>
            <w:r w:rsidR="00A9142B" w:rsidRPr="005B7CAC">
              <w:rPr>
                <w:rFonts w:ascii="Times New Roman" w:hAnsi="Times New Roman"/>
                <w:iCs/>
                <w:sz w:val="24"/>
                <w:szCs w:val="24"/>
                <w:lang w:val="en-US"/>
              </w:rPr>
              <w:t>.</w:t>
            </w:r>
          </w:p>
        </w:tc>
      </w:tr>
      <w:tr w:rsidR="005B7CAC" w:rsidRPr="00DE13CA" w14:paraId="0DF6EAA7" w14:textId="77777777" w:rsidTr="00AB7D55">
        <w:tc>
          <w:tcPr>
            <w:tcW w:w="1328" w:type="pct"/>
          </w:tcPr>
          <w:p w14:paraId="5857FB8B" w14:textId="77777777" w:rsidR="00544971" w:rsidRPr="005B7CAC" w:rsidRDefault="00544971" w:rsidP="00CD4FCC">
            <w:pPr>
              <w:widowControl w:val="0"/>
              <w:autoSpaceDE w:val="0"/>
              <w:autoSpaceDN w:val="0"/>
              <w:adjustRightInd w:val="0"/>
              <w:spacing w:after="240"/>
              <w:rPr>
                <w:rFonts w:ascii="Times New Roman" w:hAnsi="Times New Roman"/>
                <w:iCs/>
                <w:sz w:val="24"/>
                <w:szCs w:val="24"/>
                <w:lang w:val="en-US"/>
              </w:rPr>
            </w:pPr>
            <w:r w:rsidRPr="005B7CAC">
              <w:rPr>
                <w:rFonts w:ascii="Times New Roman" w:hAnsi="Times New Roman"/>
                <w:iCs/>
                <w:sz w:val="24"/>
                <w:szCs w:val="24"/>
                <w:lang w:val="en-US"/>
              </w:rPr>
              <w:t>Firm age</w:t>
            </w:r>
          </w:p>
        </w:tc>
        <w:tc>
          <w:tcPr>
            <w:tcW w:w="544" w:type="pct"/>
          </w:tcPr>
          <w:p w14:paraId="4259E354" w14:textId="77777777" w:rsidR="00544971" w:rsidRPr="005B7CAC" w:rsidRDefault="00544971" w:rsidP="008176FB">
            <w:pPr>
              <w:widowControl w:val="0"/>
              <w:autoSpaceDE w:val="0"/>
              <w:autoSpaceDN w:val="0"/>
              <w:adjustRightInd w:val="0"/>
              <w:spacing w:after="240"/>
              <w:jc w:val="center"/>
              <w:rPr>
                <w:rFonts w:ascii="Times New Roman" w:hAnsi="Times New Roman"/>
                <w:iCs/>
                <w:sz w:val="24"/>
                <w:szCs w:val="24"/>
                <w:lang w:val="en-US"/>
              </w:rPr>
            </w:pPr>
            <w:r w:rsidRPr="005B7CAC">
              <w:rPr>
                <w:rFonts w:ascii="Times New Roman" w:hAnsi="Times New Roman"/>
                <w:iCs/>
                <w:sz w:val="24"/>
                <w:szCs w:val="24"/>
                <w:lang w:val="en-US"/>
              </w:rPr>
              <w:t>FAGE</w:t>
            </w:r>
          </w:p>
        </w:tc>
        <w:tc>
          <w:tcPr>
            <w:tcW w:w="3127" w:type="pct"/>
          </w:tcPr>
          <w:p w14:paraId="0D72F392" w14:textId="0741FB52" w:rsidR="00544971" w:rsidRPr="005B7CAC" w:rsidRDefault="00F6677B" w:rsidP="00CD4FCC">
            <w:pPr>
              <w:widowControl w:val="0"/>
              <w:autoSpaceDE w:val="0"/>
              <w:autoSpaceDN w:val="0"/>
              <w:adjustRightInd w:val="0"/>
              <w:spacing w:after="240"/>
              <w:rPr>
                <w:rFonts w:ascii="Times New Roman" w:hAnsi="Times New Roman"/>
                <w:iCs/>
                <w:sz w:val="24"/>
                <w:szCs w:val="24"/>
                <w:lang w:val="en-US"/>
              </w:rPr>
            </w:pPr>
            <w:r w:rsidRPr="005B7CAC">
              <w:rPr>
                <w:rFonts w:ascii="Times New Roman" w:hAnsi="Times New Roman"/>
                <w:iCs/>
                <w:sz w:val="24"/>
                <w:szCs w:val="24"/>
                <w:lang w:val="en-US"/>
              </w:rPr>
              <w:t>The number of years</w:t>
            </w:r>
            <w:r w:rsidR="00A9142B" w:rsidRPr="005B7CAC">
              <w:rPr>
                <w:rFonts w:ascii="Times New Roman" w:hAnsi="Times New Roman"/>
                <w:iCs/>
                <w:sz w:val="24"/>
                <w:szCs w:val="24"/>
                <w:lang w:val="en-US"/>
              </w:rPr>
              <w:t xml:space="preserve"> the firm has been listed in </w:t>
            </w:r>
            <w:r w:rsidR="006C6465">
              <w:rPr>
                <w:rFonts w:ascii="Times New Roman" w:hAnsi="Times New Roman"/>
                <w:iCs/>
                <w:sz w:val="24"/>
                <w:szCs w:val="24"/>
                <w:lang w:val="en-US"/>
              </w:rPr>
              <w:t>LSEG</w:t>
            </w:r>
            <w:r w:rsidR="00A9142B" w:rsidRPr="005B7CAC">
              <w:rPr>
                <w:rFonts w:ascii="Times New Roman" w:hAnsi="Times New Roman"/>
                <w:iCs/>
                <w:sz w:val="24"/>
                <w:szCs w:val="24"/>
                <w:lang w:val="en-US"/>
              </w:rPr>
              <w:t xml:space="preserve">. </w:t>
            </w:r>
            <w:r w:rsidRPr="005B7CAC">
              <w:rPr>
                <w:rFonts w:ascii="Times New Roman" w:hAnsi="Times New Roman"/>
                <w:iCs/>
                <w:sz w:val="24"/>
                <w:szCs w:val="24"/>
                <w:lang w:val="en-US"/>
              </w:rPr>
              <w:t xml:space="preserve"> </w:t>
            </w:r>
          </w:p>
        </w:tc>
      </w:tr>
      <w:tr w:rsidR="005B7CAC" w:rsidRPr="00DE13CA" w14:paraId="26999227" w14:textId="77777777" w:rsidTr="00AB7D55">
        <w:tc>
          <w:tcPr>
            <w:tcW w:w="1328" w:type="pct"/>
          </w:tcPr>
          <w:p w14:paraId="5494CE80" w14:textId="77777777" w:rsidR="00544971" w:rsidRPr="005B7CAC" w:rsidRDefault="00544971" w:rsidP="00CD4FCC">
            <w:pPr>
              <w:widowControl w:val="0"/>
              <w:autoSpaceDE w:val="0"/>
              <w:autoSpaceDN w:val="0"/>
              <w:adjustRightInd w:val="0"/>
              <w:spacing w:after="240"/>
              <w:rPr>
                <w:rFonts w:ascii="Times New Roman" w:hAnsi="Times New Roman"/>
                <w:iCs/>
                <w:sz w:val="24"/>
                <w:szCs w:val="24"/>
                <w:lang w:val="en-US"/>
              </w:rPr>
            </w:pPr>
            <w:r w:rsidRPr="005B7CAC">
              <w:rPr>
                <w:rFonts w:ascii="Times New Roman" w:hAnsi="Times New Roman"/>
                <w:iCs/>
                <w:sz w:val="24"/>
                <w:szCs w:val="24"/>
                <w:lang w:val="en-US"/>
              </w:rPr>
              <w:t>Firm size</w:t>
            </w:r>
          </w:p>
        </w:tc>
        <w:tc>
          <w:tcPr>
            <w:tcW w:w="544" w:type="pct"/>
          </w:tcPr>
          <w:p w14:paraId="6BC2E96D" w14:textId="77777777" w:rsidR="00544971" w:rsidRPr="005B7CAC" w:rsidRDefault="00544971" w:rsidP="008176FB">
            <w:pPr>
              <w:widowControl w:val="0"/>
              <w:autoSpaceDE w:val="0"/>
              <w:autoSpaceDN w:val="0"/>
              <w:adjustRightInd w:val="0"/>
              <w:spacing w:after="240"/>
              <w:jc w:val="center"/>
              <w:rPr>
                <w:rFonts w:ascii="Times New Roman" w:hAnsi="Times New Roman"/>
                <w:iCs/>
                <w:sz w:val="24"/>
                <w:szCs w:val="24"/>
                <w:lang w:val="en-US"/>
              </w:rPr>
            </w:pPr>
            <w:r w:rsidRPr="005B7CAC">
              <w:rPr>
                <w:rFonts w:ascii="Times New Roman" w:hAnsi="Times New Roman"/>
                <w:iCs/>
                <w:sz w:val="24"/>
                <w:szCs w:val="24"/>
                <w:lang w:val="en-US"/>
              </w:rPr>
              <w:t>SIZE</w:t>
            </w:r>
          </w:p>
        </w:tc>
        <w:tc>
          <w:tcPr>
            <w:tcW w:w="3127" w:type="pct"/>
          </w:tcPr>
          <w:p w14:paraId="2F81EE23" w14:textId="3E58C4C4" w:rsidR="00544971" w:rsidRPr="005B7CAC" w:rsidRDefault="00544971" w:rsidP="00CD4FCC">
            <w:pPr>
              <w:widowControl w:val="0"/>
              <w:autoSpaceDE w:val="0"/>
              <w:autoSpaceDN w:val="0"/>
              <w:adjustRightInd w:val="0"/>
              <w:spacing w:after="240"/>
              <w:rPr>
                <w:rFonts w:ascii="Times New Roman" w:hAnsi="Times New Roman"/>
                <w:iCs/>
                <w:sz w:val="24"/>
                <w:szCs w:val="24"/>
                <w:lang w:val="en-US"/>
              </w:rPr>
            </w:pPr>
            <w:r w:rsidRPr="005B7CAC">
              <w:rPr>
                <w:rFonts w:ascii="Times New Roman" w:hAnsi="Times New Roman"/>
                <w:iCs/>
                <w:sz w:val="24"/>
                <w:szCs w:val="24"/>
                <w:lang w:val="en-US"/>
              </w:rPr>
              <w:t>The natural log of total assets</w:t>
            </w:r>
            <w:r w:rsidR="00A9142B" w:rsidRPr="005B7CAC">
              <w:rPr>
                <w:rFonts w:ascii="Times New Roman" w:hAnsi="Times New Roman"/>
                <w:iCs/>
                <w:sz w:val="24"/>
                <w:szCs w:val="24"/>
                <w:lang w:val="en-US"/>
              </w:rPr>
              <w:t>.</w:t>
            </w:r>
          </w:p>
        </w:tc>
      </w:tr>
      <w:tr w:rsidR="005B7CAC" w:rsidRPr="005B7CAC" w14:paraId="12F81437" w14:textId="77777777" w:rsidTr="00AB7D55">
        <w:tc>
          <w:tcPr>
            <w:tcW w:w="1328" w:type="pct"/>
          </w:tcPr>
          <w:p w14:paraId="6C88A90C" w14:textId="77777777" w:rsidR="00544971" w:rsidRPr="005B7CAC" w:rsidRDefault="00544971" w:rsidP="00CD4FCC">
            <w:pPr>
              <w:widowControl w:val="0"/>
              <w:autoSpaceDE w:val="0"/>
              <w:autoSpaceDN w:val="0"/>
              <w:adjustRightInd w:val="0"/>
              <w:spacing w:after="240"/>
              <w:rPr>
                <w:rFonts w:ascii="Times New Roman" w:hAnsi="Times New Roman"/>
                <w:iCs/>
                <w:sz w:val="24"/>
                <w:szCs w:val="24"/>
                <w:lang w:val="en-US"/>
              </w:rPr>
            </w:pPr>
            <w:r w:rsidRPr="005B7CAC">
              <w:rPr>
                <w:rFonts w:ascii="Times New Roman" w:hAnsi="Times New Roman"/>
                <w:iCs/>
                <w:sz w:val="24"/>
                <w:szCs w:val="24"/>
                <w:lang w:val="en-US"/>
              </w:rPr>
              <w:t>Profitability</w:t>
            </w:r>
          </w:p>
        </w:tc>
        <w:tc>
          <w:tcPr>
            <w:tcW w:w="544" w:type="pct"/>
          </w:tcPr>
          <w:p w14:paraId="51CA2B1E" w14:textId="77777777" w:rsidR="00544971" w:rsidRPr="005B7CAC" w:rsidRDefault="00544971" w:rsidP="008176FB">
            <w:pPr>
              <w:widowControl w:val="0"/>
              <w:autoSpaceDE w:val="0"/>
              <w:autoSpaceDN w:val="0"/>
              <w:adjustRightInd w:val="0"/>
              <w:spacing w:after="240"/>
              <w:jc w:val="center"/>
              <w:rPr>
                <w:rFonts w:ascii="Times New Roman" w:hAnsi="Times New Roman"/>
                <w:iCs/>
                <w:sz w:val="24"/>
                <w:szCs w:val="24"/>
                <w:lang w:val="en-US"/>
              </w:rPr>
            </w:pPr>
            <w:r w:rsidRPr="005B7CAC">
              <w:rPr>
                <w:rFonts w:ascii="Times New Roman" w:hAnsi="Times New Roman"/>
                <w:iCs/>
                <w:sz w:val="24"/>
                <w:szCs w:val="24"/>
                <w:lang w:val="en-US"/>
              </w:rPr>
              <w:t>PROF</w:t>
            </w:r>
          </w:p>
        </w:tc>
        <w:tc>
          <w:tcPr>
            <w:tcW w:w="3127" w:type="pct"/>
          </w:tcPr>
          <w:p w14:paraId="53E4FE2E" w14:textId="67F66A11" w:rsidR="00544971" w:rsidRPr="005B7CAC" w:rsidRDefault="00544971" w:rsidP="00CD4FCC">
            <w:pPr>
              <w:widowControl w:val="0"/>
              <w:autoSpaceDE w:val="0"/>
              <w:autoSpaceDN w:val="0"/>
              <w:adjustRightInd w:val="0"/>
              <w:spacing w:after="240"/>
              <w:rPr>
                <w:rFonts w:ascii="Times New Roman" w:hAnsi="Times New Roman"/>
                <w:iCs/>
                <w:sz w:val="24"/>
                <w:szCs w:val="24"/>
                <w:lang w:val="en-US"/>
              </w:rPr>
            </w:pPr>
            <w:r w:rsidRPr="005B7CAC">
              <w:rPr>
                <w:rFonts w:ascii="Times New Roman" w:hAnsi="Times New Roman"/>
                <w:iCs/>
                <w:sz w:val="24"/>
                <w:szCs w:val="24"/>
                <w:lang w:val="en-US"/>
              </w:rPr>
              <w:t>Net income</w:t>
            </w:r>
            <w:r w:rsidR="00BF35AD" w:rsidRPr="005B7CAC">
              <w:rPr>
                <w:rFonts w:ascii="Times New Roman" w:hAnsi="Times New Roman"/>
                <w:iCs/>
                <w:sz w:val="24"/>
                <w:szCs w:val="24"/>
                <w:lang w:val="en-US"/>
              </w:rPr>
              <w:t>/</w:t>
            </w:r>
            <w:r w:rsidRPr="005B7CAC">
              <w:rPr>
                <w:rFonts w:ascii="Times New Roman" w:hAnsi="Times New Roman"/>
                <w:iCs/>
                <w:sz w:val="24"/>
                <w:szCs w:val="24"/>
                <w:lang w:val="en-US"/>
              </w:rPr>
              <w:t>total revenue</w:t>
            </w:r>
            <w:r w:rsidR="00A9142B" w:rsidRPr="005B7CAC">
              <w:rPr>
                <w:rFonts w:ascii="Times New Roman" w:hAnsi="Times New Roman"/>
                <w:iCs/>
                <w:sz w:val="24"/>
                <w:szCs w:val="24"/>
                <w:lang w:val="en-US"/>
              </w:rPr>
              <w:t>.</w:t>
            </w:r>
          </w:p>
        </w:tc>
      </w:tr>
      <w:tr w:rsidR="005B7CAC" w:rsidRPr="005B7CAC" w14:paraId="601494EE" w14:textId="77777777" w:rsidTr="00AB7D55">
        <w:tc>
          <w:tcPr>
            <w:tcW w:w="1328" w:type="pct"/>
          </w:tcPr>
          <w:p w14:paraId="522C2BDD" w14:textId="77777777" w:rsidR="00544971" w:rsidRPr="005B7CAC" w:rsidRDefault="00544971" w:rsidP="00CD4FCC">
            <w:pPr>
              <w:widowControl w:val="0"/>
              <w:autoSpaceDE w:val="0"/>
              <w:autoSpaceDN w:val="0"/>
              <w:adjustRightInd w:val="0"/>
              <w:spacing w:after="240"/>
              <w:rPr>
                <w:rFonts w:ascii="Times New Roman" w:hAnsi="Times New Roman"/>
                <w:iCs/>
                <w:sz w:val="24"/>
                <w:szCs w:val="24"/>
                <w:lang w:val="en-US"/>
              </w:rPr>
            </w:pPr>
            <w:r w:rsidRPr="005B7CAC">
              <w:rPr>
                <w:rFonts w:ascii="Times New Roman" w:hAnsi="Times New Roman"/>
                <w:iCs/>
                <w:sz w:val="24"/>
                <w:szCs w:val="24"/>
                <w:lang w:val="en-US"/>
              </w:rPr>
              <w:t>Leverage</w:t>
            </w:r>
          </w:p>
        </w:tc>
        <w:tc>
          <w:tcPr>
            <w:tcW w:w="544" w:type="pct"/>
          </w:tcPr>
          <w:p w14:paraId="039BABBC" w14:textId="77777777" w:rsidR="00544971" w:rsidRPr="005B7CAC" w:rsidRDefault="00544971" w:rsidP="008176FB">
            <w:pPr>
              <w:widowControl w:val="0"/>
              <w:autoSpaceDE w:val="0"/>
              <w:autoSpaceDN w:val="0"/>
              <w:adjustRightInd w:val="0"/>
              <w:spacing w:after="240"/>
              <w:jc w:val="center"/>
              <w:rPr>
                <w:rFonts w:ascii="Times New Roman" w:hAnsi="Times New Roman"/>
                <w:iCs/>
                <w:sz w:val="24"/>
                <w:szCs w:val="24"/>
                <w:lang w:val="en-US"/>
              </w:rPr>
            </w:pPr>
            <w:r w:rsidRPr="005B7CAC">
              <w:rPr>
                <w:rFonts w:ascii="Times New Roman" w:hAnsi="Times New Roman"/>
                <w:iCs/>
                <w:sz w:val="24"/>
                <w:szCs w:val="24"/>
                <w:lang w:val="en-US"/>
              </w:rPr>
              <w:t>LVRG</w:t>
            </w:r>
          </w:p>
        </w:tc>
        <w:tc>
          <w:tcPr>
            <w:tcW w:w="3127" w:type="pct"/>
          </w:tcPr>
          <w:p w14:paraId="0617F4BC" w14:textId="743E87D0" w:rsidR="00544971" w:rsidRPr="005B7CAC" w:rsidRDefault="00544971" w:rsidP="00CD4FCC">
            <w:pPr>
              <w:widowControl w:val="0"/>
              <w:autoSpaceDE w:val="0"/>
              <w:autoSpaceDN w:val="0"/>
              <w:adjustRightInd w:val="0"/>
              <w:spacing w:after="240"/>
              <w:rPr>
                <w:rFonts w:ascii="Times New Roman" w:hAnsi="Times New Roman"/>
                <w:iCs/>
                <w:sz w:val="24"/>
                <w:szCs w:val="24"/>
                <w:lang w:val="en-US"/>
              </w:rPr>
            </w:pPr>
            <w:r w:rsidRPr="005B7CAC">
              <w:rPr>
                <w:rFonts w:ascii="Times New Roman" w:hAnsi="Times New Roman"/>
                <w:iCs/>
                <w:sz w:val="24"/>
                <w:szCs w:val="24"/>
                <w:lang w:val="en-US"/>
              </w:rPr>
              <w:t>Total liabilities</w:t>
            </w:r>
            <w:r w:rsidR="00BF35AD" w:rsidRPr="005B7CAC">
              <w:rPr>
                <w:rFonts w:ascii="Times New Roman" w:hAnsi="Times New Roman"/>
                <w:iCs/>
                <w:sz w:val="24"/>
                <w:szCs w:val="24"/>
                <w:lang w:val="en-US"/>
              </w:rPr>
              <w:t>/</w:t>
            </w:r>
            <w:r w:rsidRPr="005B7CAC">
              <w:rPr>
                <w:rFonts w:ascii="Times New Roman" w:hAnsi="Times New Roman"/>
                <w:iCs/>
                <w:sz w:val="24"/>
                <w:szCs w:val="24"/>
                <w:lang w:val="en-US"/>
              </w:rPr>
              <w:t>total assets</w:t>
            </w:r>
            <w:r w:rsidR="00BF35AD" w:rsidRPr="005B7CAC">
              <w:rPr>
                <w:rFonts w:ascii="Times New Roman" w:hAnsi="Times New Roman"/>
                <w:iCs/>
                <w:sz w:val="24"/>
                <w:szCs w:val="24"/>
                <w:lang w:val="en-US"/>
              </w:rPr>
              <w:t>*100</w:t>
            </w:r>
            <w:r w:rsidR="00A9142B" w:rsidRPr="005B7CAC">
              <w:rPr>
                <w:rFonts w:ascii="Times New Roman" w:hAnsi="Times New Roman"/>
                <w:iCs/>
                <w:sz w:val="24"/>
                <w:szCs w:val="24"/>
                <w:lang w:val="en-US"/>
              </w:rPr>
              <w:t>.</w:t>
            </w:r>
          </w:p>
        </w:tc>
      </w:tr>
      <w:tr w:rsidR="005B7CAC" w:rsidRPr="00DE13CA" w14:paraId="2BB934D9" w14:textId="77777777" w:rsidTr="00AB7D55">
        <w:tc>
          <w:tcPr>
            <w:tcW w:w="1328" w:type="pct"/>
          </w:tcPr>
          <w:p w14:paraId="10A256FD" w14:textId="77777777" w:rsidR="00544971" w:rsidRPr="005B7CAC" w:rsidRDefault="00544971" w:rsidP="00CD4FCC">
            <w:pPr>
              <w:widowControl w:val="0"/>
              <w:autoSpaceDE w:val="0"/>
              <w:autoSpaceDN w:val="0"/>
              <w:adjustRightInd w:val="0"/>
              <w:spacing w:after="240"/>
              <w:rPr>
                <w:rFonts w:ascii="Times New Roman" w:hAnsi="Times New Roman"/>
                <w:iCs/>
                <w:sz w:val="24"/>
                <w:szCs w:val="24"/>
                <w:lang w:val="en-US"/>
              </w:rPr>
            </w:pPr>
            <w:r w:rsidRPr="005B7CAC">
              <w:rPr>
                <w:rFonts w:ascii="Times New Roman" w:hAnsi="Times New Roman"/>
                <w:iCs/>
                <w:sz w:val="24"/>
                <w:szCs w:val="24"/>
                <w:lang w:val="en-US"/>
              </w:rPr>
              <w:t>Slack</w:t>
            </w:r>
          </w:p>
        </w:tc>
        <w:tc>
          <w:tcPr>
            <w:tcW w:w="544" w:type="pct"/>
          </w:tcPr>
          <w:p w14:paraId="3EEFEA4C" w14:textId="77777777" w:rsidR="00544971" w:rsidRPr="005B7CAC" w:rsidRDefault="00544971" w:rsidP="008176FB">
            <w:pPr>
              <w:widowControl w:val="0"/>
              <w:autoSpaceDE w:val="0"/>
              <w:autoSpaceDN w:val="0"/>
              <w:adjustRightInd w:val="0"/>
              <w:spacing w:after="240"/>
              <w:jc w:val="center"/>
              <w:rPr>
                <w:rFonts w:ascii="Times New Roman" w:hAnsi="Times New Roman"/>
                <w:iCs/>
                <w:sz w:val="24"/>
                <w:szCs w:val="24"/>
                <w:lang w:val="en-US"/>
              </w:rPr>
            </w:pPr>
            <w:r w:rsidRPr="005B7CAC">
              <w:rPr>
                <w:rFonts w:ascii="Times New Roman" w:hAnsi="Times New Roman"/>
                <w:iCs/>
                <w:sz w:val="24"/>
                <w:szCs w:val="24"/>
                <w:lang w:val="en-US"/>
              </w:rPr>
              <w:t>SLCK</w:t>
            </w:r>
          </w:p>
        </w:tc>
        <w:tc>
          <w:tcPr>
            <w:tcW w:w="3127" w:type="pct"/>
          </w:tcPr>
          <w:p w14:paraId="14FC3CE7" w14:textId="1DED3F29" w:rsidR="00544971" w:rsidRPr="005B7CAC" w:rsidRDefault="00F6677B" w:rsidP="00CD4FCC">
            <w:pPr>
              <w:widowControl w:val="0"/>
              <w:autoSpaceDE w:val="0"/>
              <w:autoSpaceDN w:val="0"/>
              <w:adjustRightInd w:val="0"/>
              <w:spacing w:after="240"/>
              <w:rPr>
                <w:rFonts w:ascii="Times New Roman" w:hAnsi="Times New Roman"/>
                <w:iCs/>
                <w:sz w:val="24"/>
                <w:szCs w:val="24"/>
                <w:lang w:val="en-US"/>
              </w:rPr>
            </w:pPr>
            <w:r w:rsidRPr="005B7CAC">
              <w:rPr>
                <w:rFonts w:ascii="Times New Roman" w:hAnsi="Times New Roman"/>
                <w:iCs/>
                <w:sz w:val="24"/>
                <w:szCs w:val="24"/>
                <w:lang w:val="en-US"/>
              </w:rPr>
              <w:t>The ratio of c</w:t>
            </w:r>
            <w:r w:rsidR="00544971" w:rsidRPr="005B7CAC">
              <w:rPr>
                <w:rFonts w:ascii="Times New Roman" w:hAnsi="Times New Roman"/>
                <w:iCs/>
                <w:sz w:val="24"/>
                <w:szCs w:val="24"/>
                <w:lang w:val="en-US"/>
              </w:rPr>
              <w:t xml:space="preserve">ash </w:t>
            </w:r>
            <w:r w:rsidRPr="005B7CAC">
              <w:rPr>
                <w:rFonts w:ascii="Times New Roman" w:hAnsi="Times New Roman"/>
                <w:iCs/>
                <w:sz w:val="24"/>
                <w:szCs w:val="24"/>
                <w:lang w:val="en-US"/>
              </w:rPr>
              <w:t>and cash equivalents to t</w:t>
            </w:r>
            <w:r w:rsidR="00544971" w:rsidRPr="005B7CAC">
              <w:rPr>
                <w:rFonts w:ascii="Times New Roman" w:hAnsi="Times New Roman"/>
                <w:iCs/>
                <w:sz w:val="24"/>
                <w:szCs w:val="24"/>
                <w:lang w:val="en-US"/>
              </w:rPr>
              <w:t>otal assets</w:t>
            </w:r>
            <w:r w:rsidR="00A9142B" w:rsidRPr="005B7CAC">
              <w:rPr>
                <w:rFonts w:ascii="Times New Roman" w:hAnsi="Times New Roman"/>
                <w:iCs/>
                <w:sz w:val="24"/>
                <w:szCs w:val="24"/>
                <w:lang w:val="en-US"/>
              </w:rPr>
              <w:t>.</w:t>
            </w:r>
          </w:p>
        </w:tc>
      </w:tr>
      <w:tr w:rsidR="005B7CAC" w:rsidRPr="00DE13CA" w14:paraId="3F160364" w14:textId="77777777" w:rsidTr="00AB7D55">
        <w:tc>
          <w:tcPr>
            <w:tcW w:w="1328" w:type="pct"/>
            <w:tcBorders>
              <w:bottom w:val="single" w:sz="12" w:space="0" w:color="auto"/>
            </w:tcBorders>
          </w:tcPr>
          <w:p w14:paraId="7B2D34E2" w14:textId="77777777" w:rsidR="00544971" w:rsidRPr="005B7CAC" w:rsidRDefault="00544971" w:rsidP="00CD4FCC">
            <w:pPr>
              <w:widowControl w:val="0"/>
              <w:autoSpaceDE w:val="0"/>
              <w:autoSpaceDN w:val="0"/>
              <w:adjustRightInd w:val="0"/>
              <w:spacing w:after="240"/>
              <w:rPr>
                <w:rFonts w:ascii="Times New Roman" w:hAnsi="Times New Roman"/>
                <w:iCs/>
                <w:sz w:val="24"/>
                <w:szCs w:val="24"/>
                <w:lang w:val="en-US"/>
              </w:rPr>
            </w:pPr>
            <w:r w:rsidRPr="005B7CAC">
              <w:rPr>
                <w:rFonts w:ascii="Times New Roman" w:hAnsi="Times New Roman"/>
                <w:iCs/>
                <w:sz w:val="24"/>
                <w:szCs w:val="24"/>
                <w:lang w:val="en-US"/>
              </w:rPr>
              <w:t>Capital intensity</w:t>
            </w:r>
          </w:p>
        </w:tc>
        <w:tc>
          <w:tcPr>
            <w:tcW w:w="544" w:type="pct"/>
            <w:tcBorders>
              <w:bottom w:val="single" w:sz="12" w:space="0" w:color="auto"/>
            </w:tcBorders>
          </w:tcPr>
          <w:p w14:paraId="1052A9F5" w14:textId="77777777" w:rsidR="00544971" w:rsidRPr="005B7CAC" w:rsidRDefault="00544971" w:rsidP="008176FB">
            <w:pPr>
              <w:widowControl w:val="0"/>
              <w:autoSpaceDE w:val="0"/>
              <w:autoSpaceDN w:val="0"/>
              <w:adjustRightInd w:val="0"/>
              <w:spacing w:after="240"/>
              <w:jc w:val="center"/>
              <w:rPr>
                <w:rFonts w:ascii="Times New Roman" w:hAnsi="Times New Roman"/>
                <w:iCs/>
                <w:sz w:val="24"/>
                <w:szCs w:val="24"/>
                <w:lang w:val="en-US"/>
              </w:rPr>
            </w:pPr>
            <w:r w:rsidRPr="005B7CAC">
              <w:rPr>
                <w:rFonts w:ascii="Times New Roman" w:hAnsi="Times New Roman"/>
                <w:iCs/>
                <w:sz w:val="24"/>
                <w:szCs w:val="24"/>
                <w:lang w:val="en-US"/>
              </w:rPr>
              <w:t>CPIN</w:t>
            </w:r>
          </w:p>
        </w:tc>
        <w:tc>
          <w:tcPr>
            <w:tcW w:w="3127" w:type="pct"/>
            <w:tcBorders>
              <w:bottom w:val="single" w:sz="12" w:space="0" w:color="auto"/>
            </w:tcBorders>
          </w:tcPr>
          <w:p w14:paraId="4E4EC630" w14:textId="319CC077" w:rsidR="00544971" w:rsidRPr="005B7CAC" w:rsidRDefault="00F6677B" w:rsidP="00356E21">
            <w:pPr>
              <w:widowControl w:val="0"/>
              <w:autoSpaceDE w:val="0"/>
              <w:autoSpaceDN w:val="0"/>
              <w:adjustRightInd w:val="0"/>
              <w:rPr>
                <w:rFonts w:ascii="Times New Roman" w:hAnsi="Times New Roman"/>
                <w:iCs/>
                <w:sz w:val="24"/>
                <w:szCs w:val="24"/>
                <w:lang w:val="en-US"/>
              </w:rPr>
            </w:pPr>
            <w:r w:rsidRPr="005B7CAC">
              <w:rPr>
                <w:rFonts w:ascii="Times New Roman" w:hAnsi="Times New Roman"/>
                <w:iCs/>
                <w:sz w:val="24"/>
                <w:szCs w:val="24"/>
                <w:lang w:val="en-US"/>
              </w:rPr>
              <w:t>The ratio of f</w:t>
            </w:r>
            <w:r w:rsidR="00544971" w:rsidRPr="005B7CAC">
              <w:rPr>
                <w:rFonts w:ascii="Times New Roman" w:hAnsi="Times New Roman"/>
                <w:iCs/>
                <w:sz w:val="24"/>
                <w:szCs w:val="24"/>
                <w:lang w:val="en-US"/>
              </w:rPr>
              <w:t>ixed assets</w:t>
            </w:r>
            <w:r w:rsidRPr="005B7CAC">
              <w:rPr>
                <w:rFonts w:ascii="Times New Roman" w:hAnsi="Times New Roman"/>
                <w:iCs/>
                <w:sz w:val="24"/>
                <w:szCs w:val="24"/>
                <w:lang w:val="en-US"/>
              </w:rPr>
              <w:t xml:space="preserve"> to </w:t>
            </w:r>
            <w:r w:rsidR="00544971" w:rsidRPr="005B7CAC">
              <w:rPr>
                <w:rFonts w:ascii="Times New Roman" w:hAnsi="Times New Roman"/>
                <w:iCs/>
                <w:sz w:val="24"/>
                <w:szCs w:val="24"/>
                <w:lang w:val="en-US"/>
              </w:rPr>
              <w:t>total assets</w:t>
            </w:r>
            <w:r w:rsidR="00A9142B" w:rsidRPr="005B7CAC">
              <w:rPr>
                <w:rFonts w:ascii="Times New Roman" w:hAnsi="Times New Roman"/>
                <w:iCs/>
                <w:sz w:val="24"/>
                <w:szCs w:val="24"/>
                <w:lang w:val="en-US"/>
              </w:rPr>
              <w:t>.</w:t>
            </w:r>
          </w:p>
        </w:tc>
      </w:tr>
    </w:tbl>
    <w:p w14:paraId="4A8CF901" w14:textId="77777777" w:rsidR="00544971" w:rsidRPr="005B7CAC" w:rsidRDefault="00C33D48" w:rsidP="00356E21">
      <w:pPr>
        <w:widowControl w:val="0"/>
        <w:autoSpaceDE w:val="0"/>
        <w:autoSpaceDN w:val="0"/>
        <w:adjustRightInd w:val="0"/>
        <w:spacing w:after="0" w:line="240" w:lineRule="auto"/>
        <w:rPr>
          <w:rFonts w:ascii="Times New Roman" w:hAnsi="Times New Roman"/>
          <w:iCs/>
          <w:lang w:val="en-US"/>
        </w:rPr>
      </w:pPr>
      <w:r w:rsidRPr="005B7CAC">
        <w:rPr>
          <w:rFonts w:ascii="Times New Roman" w:hAnsi="Times New Roman"/>
          <w:b/>
          <w:iCs/>
          <w:lang w:val="en-US"/>
        </w:rPr>
        <w:t>Note</w:t>
      </w:r>
      <w:r w:rsidR="006174DF" w:rsidRPr="005B7CAC">
        <w:rPr>
          <w:rFonts w:ascii="Times New Roman" w:hAnsi="Times New Roman"/>
          <w:b/>
          <w:iCs/>
          <w:lang w:val="en-US"/>
        </w:rPr>
        <w:t>(</w:t>
      </w:r>
      <w:r w:rsidRPr="005B7CAC">
        <w:rPr>
          <w:rFonts w:ascii="Times New Roman" w:hAnsi="Times New Roman"/>
          <w:b/>
          <w:iCs/>
          <w:lang w:val="en-US"/>
        </w:rPr>
        <w:t>s</w:t>
      </w:r>
      <w:r w:rsidR="006174DF" w:rsidRPr="005B7CAC">
        <w:rPr>
          <w:rFonts w:ascii="Times New Roman" w:hAnsi="Times New Roman"/>
          <w:b/>
          <w:iCs/>
          <w:lang w:val="en-US"/>
        </w:rPr>
        <w:t>):</w:t>
      </w:r>
      <w:r w:rsidR="006174DF" w:rsidRPr="005B7CAC">
        <w:rPr>
          <w:rFonts w:ascii="Times New Roman" w:hAnsi="Times New Roman"/>
          <w:iCs/>
          <w:lang w:val="en-US"/>
        </w:rPr>
        <w:t xml:space="preserve"> T</w:t>
      </w:r>
      <w:r w:rsidR="005803B3" w:rsidRPr="005B7CAC">
        <w:rPr>
          <w:rFonts w:ascii="Times New Roman" w:hAnsi="Times New Roman"/>
          <w:iCs/>
          <w:lang w:val="en-US"/>
        </w:rPr>
        <w:t>his table presents the study variables.</w:t>
      </w:r>
    </w:p>
    <w:p w14:paraId="1D3987DD" w14:textId="77777777" w:rsidR="006174DF" w:rsidRPr="005B7CAC" w:rsidRDefault="006174DF" w:rsidP="006174DF">
      <w:pPr>
        <w:widowControl w:val="0"/>
        <w:autoSpaceDE w:val="0"/>
        <w:autoSpaceDN w:val="0"/>
        <w:adjustRightInd w:val="0"/>
        <w:spacing w:after="0" w:line="240" w:lineRule="auto"/>
        <w:jc w:val="both"/>
        <w:rPr>
          <w:rFonts w:ascii="Times New Roman" w:hAnsi="Times New Roman"/>
          <w:lang w:val="en-US"/>
        </w:rPr>
      </w:pPr>
      <w:r w:rsidRPr="005B7CAC">
        <w:rPr>
          <w:rFonts w:ascii="Times New Roman" w:hAnsi="Times New Roman"/>
          <w:b/>
          <w:lang w:val="en-US"/>
        </w:rPr>
        <w:t>Source:</w:t>
      </w:r>
      <w:r w:rsidRPr="005B7CAC">
        <w:rPr>
          <w:rFonts w:ascii="Times New Roman" w:hAnsi="Times New Roman"/>
          <w:lang w:val="en-US"/>
        </w:rPr>
        <w:t xml:space="preserve"> Table prepared by the authors.</w:t>
      </w:r>
    </w:p>
    <w:p w14:paraId="431DDD5C" w14:textId="77777777" w:rsidR="00544971" w:rsidRPr="005B7CAC" w:rsidRDefault="00544971" w:rsidP="00CD4FCC">
      <w:pPr>
        <w:widowControl w:val="0"/>
        <w:autoSpaceDE w:val="0"/>
        <w:autoSpaceDN w:val="0"/>
        <w:adjustRightInd w:val="0"/>
        <w:spacing w:after="240" w:line="240" w:lineRule="auto"/>
        <w:rPr>
          <w:rFonts w:ascii="Times New Roman" w:hAnsi="Times New Roman"/>
          <w:b/>
          <w:iCs/>
          <w:sz w:val="24"/>
          <w:szCs w:val="20"/>
          <w:lang w:val="en-US"/>
        </w:rPr>
      </w:pPr>
    </w:p>
    <w:p w14:paraId="3E2F946D" w14:textId="77777777" w:rsidR="00604D96" w:rsidRPr="005B7CAC" w:rsidRDefault="00604D96" w:rsidP="00604D96">
      <w:pPr>
        <w:widowControl w:val="0"/>
        <w:autoSpaceDE w:val="0"/>
        <w:autoSpaceDN w:val="0"/>
        <w:adjustRightInd w:val="0"/>
        <w:spacing w:after="120" w:line="240" w:lineRule="auto"/>
        <w:rPr>
          <w:rFonts w:ascii="Times New Roman" w:hAnsi="Times New Roman"/>
          <w:sz w:val="24"/>
          <w:szCs w:val="24"/>
          <w:lang w:val="en-US"/>
        </w:rPr>
      </w:pPr>
      <w:r w:rsidRPr="005B7CAC">
        <w:rPr>
          <w:rFonts w:ascii="Times New Roman" w:hAnsi="Times New Roman"/>
          <w:b/>
          <w:bCs/>
          <w:sz w:val="24"/>
          <w:szCs w:val="24"/>
          <w:lang w:val="en-US"/>
        </w:rPr>
        <w:lastRenderedPageBreak/>
        <w:t xml:space="preserve">Table 2. </w:t>
      </w:r>
      <w:r w:rsidRPr="005B7CAC">
        <w:rPr>
          <w:rFonts w:ascii="Times New Roman" w:hAnsi="Times New Roman"/>
          <w:bCs/>
          <w:sz w:val="24"/>
          <w:szCs w:val="24"/>
          <w:lang w:val="en-US"/>
        </w:rPr>
        <w:t>Descriptive Statistics</w:t>
      </w:r>
      <w:r w:rsidRPr="005B7CAC">
        <w:rPr>
          <w:rFonts w:ascii="Times New Roman" w:hAnsi="Times New Roman"/>
          <w:b/>
          <w:bCs/>
          <w:sz w:val="24"/>
          <w:szCs w:val="24"/>
          <w:lang w:val="en-US"/>
        </w:rPr>
        <w:t xml:space="preserve"> </w:t>
      </w:r>
    </w:p>
    <w:tbl>
      <w:tblPr>
        <w:tblW w:w="5000" w:type="pct"/>
        <w:tblLook w:val="0000" w:firstRow="0" w:lastRow="0" w:firstColumn="0" w:lastColumn="0" w:noHBand="0" w:noVBand="0"/>
      </w:tblPr>
      <w:tblGrid>
        <w:gridCol w:w="2729"/>
        <w:gridCol w:w="870"/>
        <w:gridCol w:w="1523"/>
        <w:gridCol w:w="1523"/>
        <w:gridCol w:w="1523"/>
        <w:gridCol w:w="1521"/>
      </w:tblGrid>
      <w:tr w:rsidR="005B7CAC" w:rsidRPr="005B7CAC" w14:paraId="3BB238EE" w14:textId="77777777" w:rsidTr="00A70918">
        <w:tc>
          <w:tcPr>
            <w:tcW w:w="1408" w:type="pct"/>
            <w:tcBorders>
              <w:top w:val="single" w:sz="12" w:space="0" w:color="auto"/>
              <w:left w:val="nil"/>
              <w:bottom w:val="single" w:sz="8" w:space="0" w:color="auto"/>
              <w:right w:val="nil"/>
            </w:tcBorders>
          </w:tcPr>
          <w:p w14:paraId="6041C974" w14:textId="77777777" w:rsidR="007124D6" w:rsidRPr="005B7CAC" w:rsidRDefault="007124D6" w:rsidP="00C90660">
            <w:pPr>
              <w:widowControl w:val="0"/>
              <w:autoSpaceDE w:val="0"/>
              <w:autoSpaceDN w:val="0"/>
              <w:adjustRightInd w:val="0"/>
              <w:spacing w:after="0" w:line="240" w:lineRule="auto"/>
              <w:rPr>
                <w:rFonts w:ascii="Times New Roman" w:hAnsi="Times New Roman"/>
                <w:b/>
                <w:bCs/>
                <w:sz w:val="24"/>
                <w:szCs w:val="24"/>
              </w:rPr>
            </w:pPr>
            <w:r w:rsidRPr="005B7CAC">
              <w:rPr>
                <w:rFonts w:ascii="Times New Roman" w:hAnsi="Times New Roman"/>
                <w:b/>
                <w:bCs/>
                <w:sz w:val="24"/>
                <w:szCs w:val="24"/>
              </w:rPr>
              <w:t>Variable</w:t>
            </w:r>
          </w:p>
        </w:tc>
        <w:tc>
          <w:tcPr>
            <w:tcW w:w="449" w:type="pct"/>
            <w:tcBorders>
              <w:top w:val="single" w:sz="12" w:space="0" w:color="auto"/>
              <w:left w:val="nil"/>
              <w:bottom w:val="single" w:sz="8" w:space="0" w:color="auto"/>
              <w:right w:val="nil"/>
            </w:tcBorders>
          </w:tcPr>
          <w:p w14:paraId="56DA622C" w14:textId="5038EF73" w:rsidR="007124D6" w:rsidRPr="005B7CAC" w:rsidRDefault="007124D6" w:rsidP="00C90660">
            <w:pPr>
              <w:widowControl w:val="0"/>
              <w:autoSpaceDE w:val="0"/>
              <w:autoSpaceDN w:val="0"/>
              <w:adjustRightInd w:val="0"/>
              <w:spacing w:after="0" w:line="240" w:lineRule="auto"/>
              <w:jc w:val="right"/>
              <w:rPr>
                <w:rFonts w:ascii="Times New Roman" w:hAnsi="Times New Roman"/>
                <w:b/>
                <w:bCs/>
                <w:sz w:val="24"/>
                <w:szCs w:val="24"/>
                <w:lang w:val="en-US"/>
              </w:rPr>
            </w:pPr>
            <w:r w:rsidRPr="005B7CAC">
              <w:rPr>
                <w:rFonts w:ascii="Times New Roman" w:hAnsi="Times New Roman"/>
                <w:b/>
                <w:bCs/>
                <w:sz w:val="24"/>
                <w:szCs w:val="24"/>
              </w:rPr>
              <w:t xml:space="preserve"> Obs</w:t>
            </w:r>
            <w:r w:rsidR="0048226E" w:rsidRPr="005B7CAC">
              <w:rPr>
                <w:rFonts w:ascii="Times New Roman" w:hAnsi="Times New Roman"/>
                <w:b/>
                <w:bCs/>
                <w:sz w:val="24"/>
                <w:szCs w:val="24"/>
                <w:lang w:val="en-US"/>
              </w:rPr>
              <w:t>.</w:t>
            </w:r>
          </w:p>
        </w:tc>
        <w:tc>
          <w:tcPr>
            <w:tcW w:w="786" w:type="pct"/>
            <w:tcBorders>
              <w:top w:val="single" w:sz="12" w:space="0" w:color="auto"/>
              <w:left w:val="nil"/>
              <w:bottom w:val="single" w:sz="8" w:space="0" w:color="auto"/>
              <w:right w:val="nil"/>
            </w:tcBorders>
          </w:tcPr>
          <w:p w14:paraId="12F51591"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b/>
                <w:bCs/>
                <w:sz w:val="24"/>
                <w:szCs w:val="24"/>
              </w:rPr>
            </w:pPr>
            <w:r w:rsidRPr="005B7CAC">
              <w:rPr>
                <w:rFonts w:ascii="Times New Roman" w:hAnsi="Times New Roman"/>
                <w:b/>
                <w:bCs/>
                <w:sz w:val="24"/>
                <w:szCs w:val="24"/>
              </w:rPr>
              <w:t xml:space="preserve"> Mean</w:t>
            </w:r>
          </w:p>
        </w:tc>
        <w:tc>
          <w:tcPr>
            <w:tcW w:w="786" w:type="pct"/>
            <w:tcBorders>
              <w:top w:val="single" w:sz="12" w:space="0" w:color="auto"/>
              <w:left w:val="nil"/>
              <w:bottom w:val="single" w:sz="8" w:space="0" w:color="auto"/>
              <w:right w:val="nil"/>
            </w:tcBorders>
          </w:tcPr>
          <w:p w14:paraId="5F491E83"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b/>
                <w:bCs/>
                <w:sz w:val="24"/>
                <w:szCs w:val="24"/>
              </w:rPr>
            </w:pPr>
            <w:r w:rsidRPr="005B7CAC">
              <w:rPr>
                <w:rFonts w:ascii="Times New Roman" w:hAnsi="Times New Roman"/>
                <w:b/>
                <w:bCs/>
                <w:sz w:val="24"/>
                <w:szCs w:val="24"/>
              </w:rPr>
              <w:t xml:space="preserve"> Std. Dev.</w:t>
            </w:r>
          </w:p>
        </w:tc>
        <w:tc>
          <w:tcPr>
            <w:tcW w:w="786" w:type="pct"/>
            <w:tcBorders>
              <w:top w:val="single" w:sz="12" w:space="0" w:color="auto"/>
              <w:left w:val="nil"/>
              <w:bottom w:val="single" w:sz="8" w:space="0" w:color="auto"/>
              <w:right w:val="nil"/>
            </w:tcBorders>
          </w:tcPr>
          <w:p w14:paraId="13246255" w14:textId="3346EA57" w:rsidR="007124D6" w:rsidRPr="005B7CAC" w:rsidRDefault="007124D6" w:rsidP="00C90660">
            <w:pPr>
              <w:widowControl w:val="0"/>
              <w:autoSpaceDE w:val="0"/>
              <w:autoSpaceDN w:val="0"/>
              <w:adjustRightInd w:val="0"/>
              <w:spacing w:after="0" w:line="240" w:lineRule="auto"/>
              <w:jc w:val="right"/>
              <w:rPr>
                <w:rFonts w:ascii="Times New Roman" w:hAnsi="Times New Roman"/>
                <w:b/>
                <w:bCs/>
                <w:sz w:val="24"/>
                <w:szCs w:val="24"/>
                <w:lang w:val="en-US"/>
              </w:rPr>
            </w:pPr>
            <w:r w:rsidRPr="005B7CAC">
              <w:rPr>
                <w:rFonts w:ascii="Times New Roman" w:hAnsi="Times New Roman"/>
                <w:b/>
                <w:bCs/>
                <w:sz w:val="24"/>
                <w:szCs w:val="24"/>
              </w:rPr>
              <w:t xml:space="preserve"> Min</w:t>
            </w:r>
            <w:r w:rsidR="0048226E" w:rsidRPr="005B7CAC">
              <w:rPr>
                <w:rFonts w:ascii="Times New Roman" w:hAnsi="Times New Roman"/>
                <w:b/>
                <w:bCs/>
                <w:sz w:val="24"/>
                <w:szCs w:val="24"/>
                <w:lang w:val="en-US"/>
              </w:rPr>
              <w:t>.</w:t>
            </w:r>
          </w:p>
        </w:tc>
        <w:tc>
          <w:tcPr>
            <w:tcW w:w="785" w:type="pct"/>
            <w:tcBorders>
              <w:top w:val="single" w:sz="12" w:space="0" w:color="auto"/>
              <w:left w:val="nil"/>
              <w:bottom w:val="single" w:sz="8" w:space="0" w:color="auto"/>
              <w:right w:val="nil"/>
            </w:tcBorders>
          </w:tcPr>
          <w:p w14:paraId="75DD0914" w14:textId="4298E419" w:rsidR="007124D6" w:rsidRPr="005B7CAC" w:rsidRDefault="007124D6" w:rsidP="00C90660">
            <w:pPr>
              <w:widowControl w:val="0"/>
              <w:autoSpaceDE w:val="0"/>
              <w:autoSpaceDN w:val="0"/>
              <w:adjustRightInd w:val="0"/>
              <w:spacing w:after="0" w:line="240" w:lineRule="auto"/>
              <w:jc w:val="right"/>
              <w:rPr>
                <w:rFonts w:ascii="Times New Roman" w:hAnsi="Times New Roman"/>
                <w:b/>
                <w:bCs/>
                <w:sz w:val="24"/>
                <w:szCs w:val="24"/>
                <w:lang w:val="en-US"/>
              </w:rPr>
            </w:pPr>
            <w:r w:rsidRPr="005B7CAC">
              <w:rPr>
                <w:rFonts w:ascii="Times New Roman" w:hAnsi="Times New Roman"/>
                <w:b/>
                <w:bCs/>
                <w:sz w:val="24"/>
                <w:szCs w:val="24"/>
              </w:rPr>
              <w:t xml:space="preserve"> Max</w:t>
            </w:r>
            <w:r w:rsidR="0048226E" w:rsidRPr="005B7CAC">
              <w:rPr>
                <w:rFonts w:ascii="Times New Roman" w:hAnsi="Times New Roman"/>
                <w:b/>
                <w:bCs/>
                <w:sz w:val="24"/>
                <w:szCs w:val="24"/>
                <w:lang w:val="en-US"/>
              </w:rPr>
              <w:t>.</w:t>
            </w:r>
          </w:p>
        </w:tc>
      </w:tr>
      <w:tr w:rsidR="005B7CAC" w:rsidRPr="005B7CAC" w14:paraId="0A578D40" w14:textId="77777777" w:rsidTr="00A70918">
        <w:tc>
          <w:tcPr>
            <w:tcW w:w="1408" w:type="pct"/>
            <w:tcBorders>
              <w:top w:val="single" w:sz="8" w:space="0" w:color="auto"/>
              <w:left w:val="nil"/>
              <w:bottom w:val="nil"/>
              <w:right w:val="nil"/>
            </w:tcBorders>
          </w:tcPr>
          <w:p w14:paraId="3F3ED542" w14:textId="29FDDA99" w:rsidR="007124D6" w:rsidRPr="005B7CAC" w:rsidRDefault="007124D6"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 xml:space="preserve"> Z</w:t>
            </w:r>
            <w:r w:rsidRPr="005B7CAC">
              <w:rPr>
                <w:rFonts w:ascii="Times New Roman" w:hAnsi="Times New Roman"/>
                <w:sz w:val="24"/>
                <w:szCs w:val="24"/>
                <w:lang w:val="en-US"/>
              </w:rPr>
              <w:t>_</w:t>
            </w:r>
            <w:r w:rsidRPr="005B7CAC">
              <w:rPr>
                <w:rFonts w:ascii="Times New Roman" w:hAnsi="Times New Roman"/>
                <w:sz w:val="24"/>
                <w:szCs w:val="24"/>
              </w:rPr>
              <w:t>UK</w:t>
            </w:r>
          </w:p>
        </w:tc>
        <w:tc>
          <w:tcPr>
            <w:tcW w:w="449" w:type="pct"/>
            <w:tcBorders>
              <w:top w:val="single" w:sz="8" w:space="0" w:color="auto"/>
              <w:left w:val="nil"/>
              <w:bottom w:val="nil"/>
              <w:right w:val="nil"/>
            </w:tcBorders>
          </w:tcPr>
          <w:p w14:paraId="688813CD"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1667</w:t>
            </w:r>
          </w:p>
        </w:tc>
        <w:tc>
          <w:tcPr>
            <w:tcW w:w="786" w:type="pct"/>
            <w:tcBorders>
              <w:top w:val="single" w:sz="8" w:space="0" w:color="auto"/>
              <w:left w:val="nil"/>
              <w:bottom w:val="nil"/>
              <w:right w:val="nil"/>
            </w:tcBorders>
          </w:tcPr>
          <w:p w14:paraId="476C7C9C"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0.61</w:t>
            </w:r>
          </w:p>
        </w:tc>
        <w:tc>
          <w:tcPr>
            <w:tcW w:w="786" w:type="pct"/>
            <w:tcBorders>
              <w:top w:val="single" w:sz="8" w:space="0" w:color="auto"/>
              <w:left w:val="nil"/>
              <w:bottom w:val="nil"/>
              <w:right w:val="nil"/>
            </w:tcBorders>
          </w:tcPr>
          <w:p w14:paraId="27F53E0C"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0.42</w:t>
            </w:r>
          </w:p>
        </w:tc>
        <w:tc>
          <w:tcPr>
            <w:tcW w:w="786" w:type="pct"/>
            <w:tcBorders>
              <w:top w:val="single" w:sz="8" w:space="0" w:color="auto"/>
              <w:left w:val="nil"/>
              <w:bottom w:val="nil"/>
              <w:right w:val="nil"/>
            </w:tcBorders>
          </w:tcPr>
          <w:p w14:paraId="065A0FE1"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-0.90</w:t>
            </w:r>
          </w:p>
        </w:tc>
        <w:tc>
          <w:tcPr>
            <w:tcW w:w="785" w:type="pct"/>
            <w:tcBorders>
              <w:top w:val="single" w:sz="8" w:space="0" w:color="auto"/>
              <w:left w:val="nil"/>
              <w:bottom w:val="nil"/>
              <w:right w:val="nil"/>
            </w:tcBorders>
          </w:tcPr>
          <w:p w14:paraId="481FE316"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2.97</w:t>
            </w:r>
          </w:p>
        </w:tc>
      </w:tr>
      <w:tr w:rsidR="005B7CAC" w:rsidRPr="005B7CAC" w14:paraId="474F059D" w14:textId="77777777" w:rsidTr="00A70918">
        <w:tc>
          <w:tcPr>
            <w:tcW w:w="1408" w:type="pct"/>
            <w:tcBorders>
              <w:top w:val="nil"/>
              <w:left w:val="nil"/>
              <w:bottom w:val="nil"/>
              <w:right w:val="nil"/>
            </w:tcBorders>
          </w:tcPr>
          <w:p w14:paraId="5BD283F3" w14:textId="64BE7E1D" w:rsidR="007124D6" w:rsidRPr="005B7CAC" w:rsidRDefault="007124D6" w:rsidP="00C90660">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rPr>
              <w:t xml:space="preserve"> Z</w:t>
            </w:r>
            <w:r w:rsidRPr="005B7CAC">
              <w:rPr>
                <w:rFonts w:ascii="Times New Roman" w:hAnsi="Times New Roman"/>
                <w:sz w:val="24"/>
                <w:szCs w:val="24"/>
                <w:lang w:val="en-US"/>
              </w:rPr>
              <w:t>_ALT</w:t>
            </w:r>
          </w:p>
        </w:tc>
        <w:tc>
          <w:tcPr>
            <w:tcW w:w="449" w:type="pct"/>
            <w:tcBorders>
              <w:top w:val="nil"/>
              <w:left w:val="nil"/>
              <w:bottom w:val="nil"/>
              <w:right w:val="nil"/>
            </w:tcBorders>
          </w:tcPr>
          <w:p w14:paraId="361CE7DB"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1667</w:t>
            </w:r>
          </w:p>
        </w:tc>
        <w:tc>
          <w:tcPr>
            <w:tcW w:w="786" w:type="pct"/>
            <w:tcBorders>
              <w:top w:val="nil"/>
              <w:left w:val="nil"/>
              <w:bottom w:val="nil"/>
              <w:right w:val="nil"/>
            </w:tcBorders>
          </w:tcPr>
          <w:p w14:paraId="0DF78997"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1.61</w:t>
            </w:r>
          </w:p>
        </w:tc>
        <w:tc>
          <w:tcPr>
            <w:tcW w:w="786" w:type="pct"/>
            <w:tcBorders>
              <w:top w:val="nil"/>
              <w:left w:val="nil"/>
              <w:bottom w:val="nil"/>
              <w:right w:val="nil"/>
            </w:tcBorders>
          </w:tcPr>
          <w:p w14:paraId="6C660ED7"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0.93</w:t>
            </w:r>
          </w:p>
        </w:tc>
        <w:tc>
          <w:tcPr>
            <w:tcW w:w="786" w:type="pct"/>
            <w:tcBorders>
              <w:top w:val="nil"/>
              <w:left w:val="nil"/>
              <w:bottom w:val="nil"/>
              <w:right w:val="nil"/>
            </w:tcBorders>
          </w:tcPr>
          <w:p w14:paraId="225435A9"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-0.77</w:t>
            </w:r>
          </w:p>
        </w:tc>
        <w:tc>
          <w:tcPr>
            <w:tcW w:w="785" w:type="pct"/>
            <w:tcBorders>
              <w:top w:val="nil"/>
              <w:left w:val="nil"/>
              <w:bottom w:val="nil"/>
              <w:right w:val="nil"/>
            </w:tcBorders>
          </w:tcPr>
          <w:p w14:paraId="139B4912"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4.19</w:t>
            </w:r>
          </w:p>
        </w:tc>
      </w:tr>
      <w:tr w:rsidR="005B7CAC" w:rsidRPr="005B7CAC" w14:paraId="4DF8CCB6" w14:textId="77777777" w:rsidTr="00A70918">
        <w:tc>
          <w:tcPr>
            <w:tcW w:w="1408" w:type="pct"/>
            <w:tcBorders>
              <w:top w:val="nil"/>
              <w:left w:val="nil"/>
              <w:bottom w:val="nil"/>
              <w:right w:val="nil"/>
            </w:tcBorders>
          </w:tcPr>
          <w:p w14:paraId="3D973C37" w14:textId="13084BD4" w:rsidR="007124D6" w:rsidRPr="005B7CAC" w:rsidRDefault="007124D6" w:rsidP="00C90660">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rPr>
              <w:t xml:space="preserve"> W</w:t>
            </w:r>
            <w:r w:rsidRPr="005B7CAC">
              <w:rPr>
                <w:rFonts w:ascii="Times New Roman" w:hAnsi="Times New Roman"/>
                <w:sz w:val="24"/>
                <w:szCs w:val="24"/>
                <w:lang w:val="en-US"/>
              </w:rPr>
              <w:t>AST</w:t>
            </w:r>
          </w:p>
        </w:tc>
        <w:tc>
          <w:tcPr>
            <w:tcW w:w="449" w:type="pct"/>
            <w:tcBorders>
              <w:top w:val="nil"/>
              <w:left w:val="nil"/>
              <w:bottom w:val="nil"/>
              <w:right w:val="nil"/>
            </w:tcBorders>
          </w:tcPr>
          <w:p w14:paraId="6DEDDE33"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1667</w:t>
            </w:r>
          </w:p>
        </w:tc>
        <w:tc>
          <w:tcPr>
            <w:tcW w:w="786" w:type="pct"/>
            <w:tcBorders>
              <w:top w:val="nil"/>
              <w:left w:val="nil"/>
              <w:bottom w:val="nil"/>
              <w:right w:val="nil"/>
            </w:tcBorders>
          </w:tcPr>
          <w:p w14:paraId="59722AA9"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1.06</w:t>
            </w:r>
          </w:p>
        </w:tc>
        <w:tc>
          <w:tcPr>
            <w:tcW w:w="786" w:type="pct"/>
            <w:tcBorders>
              <w:top w:val="nil"/>
              <w:left w:val="nil"/>
              <w:bottom w:val="nil"/>
              <w:right w:val="nil"/>
            </w:tcBorders>
          </w:tcPr>
          <w:p w14:paraId="0BDB7109"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5.34</w:t>
            </w:r>
          </w:p>
        </w:tc>
        <w:tc>
          <w:tcPr>
            <w:tcW w:w="786" w:type="pct"/>
            <w:tcBorders>
              <w:top w:val="nil"/>
              <w:left w:val="nil"/>
              <w:bottom w:val="nil"/>
              <w:right w:val="nil"/>
            </w:tcBorders>
          </w:tcPr>
          <w:p w14:paraId="7C8C1F5D"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0.00</w:t>
            </w:r>
          </w:p>
        </w:tc>
        <w:tc>
          <w:tcPr>
            <w:tcW w:w="785" w:type="pct"/>
            <w:tcBorders>
              <w:top w:val="nil"/>
              <w:left w:val="nil"/>
              <w:bottom w:val="nil"/>
              <w:right w:val="nil"/>
            </w:tcBorders>
          </w:tcPr>
          <w:p w14:paraId="269C1C5C"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42.32</w:t>
            </w:r>
          </w:p>
        </w:tc>
      </w:tr>
      <w:tr w:rsidR="005B7CAC" w:rsidRPr="005B7CAC" w14:paraId="6BB9E384" w14:textId="77777777" w:rsidTr="00A70918">
        <w:tc>
          <w:tcPr>
            <w:tcW w:w="1408" w:type="pct"/>
            <w:tcBorders>
              <w:top w:val="nil"/>
              <w:left w:val="nil"/>
              <w:bottom w:val="nil"/>
              <w:right w:val="nil"/>
            </w:tcBorders>
          </w:tcPr>
          <w:p w14:paraId="5CD25368" w14:textId="13CBF3AE" w:rsidR="007124D6" w:rsidRPr="005B7CAC" w:rsidRDefault="007124D6" w:rsidP="00C90660">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rPr>
              <w:t xml:space="preserve"> W</w:t>
            </w:r>
            <w:r w:rsidRPr="005B7CAC">
              <w:rPr>
                <w:rFonts w:ascii="Times New Roman" w:hAnsi="Times New Roman"/>
                <w:sz w:val="24"/>
                <w:szCs w:val="24"/>
                <w:lang w:val="en-US"/>
              </w:rPr>
              <w:t>REC</w:t>
            </w:r>
          </w:p>
        </w:tc>
        <w:tc>
          <w:tcPr>
            <w:tcW w:w="449" w:type="pct"/>
            <w:tcBorders>
              <w:top w:val="nil"/>
              <w:left w:val="nil"/>
              <w:bottom w:val="nil"/>
              <w:right w:val="nil"/>
            </w:tcBorders>
          </w:tcPr>
          <w:p w14:paraId="0BD6AF33"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1302</w:t>
            </w:r>
          </w:p>
        </w:tc>
        <w:tc>
          <w:tcPr>
            <w:tcW w:w="786" w:type="pct"/>
            <w:tcBorders>
              <w:top w:val="nil"/>
              <w:left w:val="nil"/>
              <w:bottom w:val="nil"/>
              <w:right w:val="nil"/>
            </w:tcBorders>
          </w:tcPr>
          <w:p w14:paraId="460BF904"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62.45</w:t>
            </w:r>
          </w:p>
        </w:tc>
        <w:tc>
          <w:tcPr>
            <w:tcW w:w="786" w:type="pct"/>
            <w:tcBorders>
              <w:top w:val="nil"/>
              <w:left w:val="nil"/>
              <w:bottom w:val="nil"/>
              <w:right w:val="nil"/>
            </w:tcBorders>
          </w:tcPr>
          <w:p w14:paraId="545CDEDA"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28.19</w:t>
            </w:r>
          </w:p>
        </w:tc>
        <w:tc>
          <w:tcPr>
            <w:tcW w:w="786" w:type="pct"/>
            <w:tcBorders>
              <w:top w:val="nil"/>
              <w:left w:val="nil"/>
              <w:bottom w:val="nil"/>
              <w:right w:val="nil"/>
            </w:tcBorders>
          </w:tcPr>
          <w:p w14:paraId="09DE2737"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0.00</w:t>
            </w:r>
          </w:p>
        </w:tc>
        <w:tc>
          <w:tcPr>
            <w:tcW w:w="785" w:type="pct"/>
            <w:tcBorders>
              <w:top w:val="nil"/>
              <w:left w:val="nil"/>
              <w:bottom w:val="nil"/>
              <w:right w:val="nil"/>
            </w:tcBorders>
          </w:tcPr>
          <w:p w14:paraId="2A93308A"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100.00</w:t>
            </w:r>
          </w:p>
        </w:tc>
      </w:tr>
      <w:tr w:rsidR="005B7CAC" w:rsidRPr="005B7CAC" w14:paraId="2DE636BB" w14:textId="77777777" w:rsidTr="00A70918">
        <w:tc>
          <w:tcPr>
            <w:tcW w:w="1408" w:type="pct"/>
            <w:tcBorders>
              <w:top w:val="nil"/>
              <w:left w:val="nil"/>
              <w:bottom w:val="nil"/>
              <w:right w:val="nil"/>
            </w:tcBorders>
          </w:tcPr>
          <w:p w14:paraId="555A206F" w14:textId="316CECDA" w:rsidR="007124D6" w:rsidRPr="005B7CAC" w:rsidRDefault="007124D6" w:rsidP="00C90660">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rPr>
              <w:t xml:space="preserve"> G</w:t>
            </w:r>
            <w:r w:rsidRPr="005B7CAC">
              <w:rPr>
                <w:rFonts w:ascii="Times New Roman" w:hAnsi="Times New Roman"/>
                <w:sz w:val="24"/>
                <w:szCs w:val="24"/>
                <w:lang w:val="en-US"/>
              </w:rPr>
              <w:t>INVs</w:t>
            </w:r>
          </w:p>
        </w:tc>
        <w:tc>
          <w:tcPr>
            <w:tcW w:w="449" w:type="pct"/>
            <w:tcBorders>
              <w:top w:val="nil"/>
              <w:left w:val="nil"/>
              <w:bottom w:val="nil"/>
              <w:right w:val="nil"/>
            </w:tcBorders>
          </w:tcPr>
          <w:p w14:paraId="7D9B284C"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1667</w:t>
            </w:r>
          </w:p>
        </w:tc>
        <w:tc>
          <w:tcPr>
            <w:tcW w:w="786" w:type="pct"/>
            <w:tcBorders>
              <w:top w:val="nil"/>
              <w:left w:val="nil"/>
              <w:bottom w:val="nil"/>
              <w:right w:val="nil"/>
            </w:tcBorders>
          </w:tcPr>
          <w:p w14:paraId="4465F3FB"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9.68</w:t>
            </w:r>
          </w:p>
        </w:tc>
        <w:tc>
          <w:tcPr>
            <w:tcW w:w="786" w:type="pct"/>
            <w:tcBorders>
              <w:top w:val="nil"/>
              <w:left w:val="nil"/>
              <w:bottom w:val="nil"/>
              <w:right w:val="nil"/>
            </w:tcBorders>
          </w:tcPr>
          <w:p w14:paraId="164DAE24"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3.58</w:t>
            </w:r>
          </w:p>
        </w:tc>
        <w:tc>
          <w:tcPr>
            <w:tcW w:w="786" w:type="pct"/>
            <w:tcBorders>
              <w:top w:val="nil"/>
              <w:left w:val="nil"/>
              <w:bottom w:val="nil"/>
              <w:right w:val="nil"/>
            </w:tcBorders>
          </w:tcPr>
          <w:p w14:paraId="3D1E5945"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0.00</w:t>
            </w:r>
          </w:p>
        </w:tc>
        <w:tc>
          <w:tcPr>
            <w:tcW w:w="785" w:type="pct"/>
            <w:tcBorders>
              <w:top w:val="nil"/>
              <w:left w:val="nil"/>
              <w:bottom w:val="nil"/>
              <w:right w:val="nil"/>
            </w:tcBorders>
          </w:tcPr>
          <w:p w14:paraId="50537CC3"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19.00</w:t>
            </w:r>
          </w:p>
        </w:tc>
      </w:tr>
      <w:tr w:rsidR="005B7CAC" w:rsidRPr="005B7CAC" w14:paraId="0234C69C" w14:textId="77777777" w:rsidTr="00A70918">
        <w:tc>
          <w:tcPr>
            <w:tcW w:w="1408" w:type="pct"/>
            <w:tcBorders>
              <w:top w:val="nil"/>
              <w:left w:val="nil"/>
              <w:bottom w:val="nil"/>
              <w:right w:val="nil"/>
            </w:tcBorders>
          </w:tcPr>
          <w:p w14:paraId="73CE815E" w14:textId="77777777" w:rsidR="007124D6" w:rsidRPr="005B7CAC" w:rsidRDefault="007124D6"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 xml:space="preserve"> BSIZE</w:t>
            </w:r>
          </w:p>
        </w:tc>
        <w:tc>
          <w:tcPr>
            <w:tcW w:w="449" w:type="pct"/>
            <w:tcBorders>
              <w:top w:val="nil"/>
              <w:left w:val="nil"/>
              <w:bottom w:val="nil"/>
              <w:right w:val="nil"/>
            </w:tcBorders>
          </w:tcPr>
          <w:p w14:paraId="5445E065"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1667</w:t>
            </w:r>
          </w:p>
        </w:tc>
        <w:tc>
          <w:tcPr>
            <w:tcW w:w="786" w:type="pct"/>
            <w:tcBorders>
              <w:top w:val="nil"/>
              <w:left w:val="nil"/>
              <w:bottom w:val="nil"/>
              <w:right w:val="nil"/>
            </w:tcBorders>
          </w:tcPr>
          <w:p w14:paraId="17BE563D"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9.73</w:t>
            </w:r>
          </w:p>
        </w:tc>
        <w:tc>
          <w:tcPr>
            <w:tcW w:w="786" w:type="pct"/>
            <w:tcBorders>
              <w:top w:val="nil"/>
              <w:left w:val="nil"/>
              <w:bottom w:val="nil"/>
              <w:right w:val="nil"/>
            </w:tcBorders>
          </w:tcPr>
          <w:p w14:paraId="7BFF29F0"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2.36</w:t>
            </w:r>
          </w:p>
        </w:tc>
        <w:tc>
          <w:tcPr>
            <w:tcW w:w="786" w:type="pct"/>
            <w:tcBorders>
              <w:top w:val="nil"/>
              <w:left w:val="nil"/>
              <w:bottom w:val="nil"/>
              <w:right w:val="nil"/>
            </w:tcBorders>
          </w:tcPr>
          <w:p w14:paraId="06F8DCD8"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3.00</w:t>
            </w:r>
          </w:p>
        </w:tc>
        <w:tc>
          <w:tcPr>
            <w:tcW w:w="785" w:type="pct"/>
            <w:tcBorders>
              <w:top w:val="nil"/>
              <w:left w:val="nil"/>
              <w:bottom w:val="nil"/>
              <w:right w:val="nil"/>
            </w:tcBorders>
          </w:tcPr>
          <w:p w14:paraId="143CF94D"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18.00</w:t>
            </w:r>
          </w:p>
        </w:tc>
      </w:tr>
      <w:tr w:rsidR="005B7CAC" w:rsidRPr="005B7CAC" w14:paraId="30789233" w14:textId="77777777" w:rsidTr="00A70918">
        <w:tc>
          <w:tcPr>
            <w:tcW w:w="1408" w:type="pct"/>
            <w:tcBorders>
              <w:top w:val="nil"/>
              <w:left w:val="nil"/>
              <w:bottom w:val="nil"/>
              <w:right w:val="nil"/>
            </w:tcBorders>
          </w:tcPr>
          <w:p w14:paraId="3DB3F4A9" w14:textId="77777777" w:rsidR="007124D6" w:rsidRPr="005B7CAC" w:rsidRDefault="007124D6"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 xml:space="preserve"> BGDIV</w:t>
            </w:r>
          </w:p>
        </w:tc>
        <w:tc>
          <w:tcPr>
            <w:tcW w:w="449" w:type="pct"/>
            <w:tcBorders>
              <w:top w:val="nil"/>
              <w:left w:val="nil"/>
              <w:bottom w:val="nil"/>
              <w:right w:val="nil"/>
            </w:tcBorders>
          </w:tcPr>
          <w:p w14:paraId="3BBDD4C2"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1667</w:t>
            </w:r>
          </w:p>
        </w:tc>
        <w:tc>
          <w:tcPr>
            <w:tcW w:w="786" w:type="pct"/>
            <w:tcBorders>
              <w:top w:val="nil"/>
              <w:left w:val="nil"/>
              <w:bottom w:val="nil"/>
              <w:right w:val="nil"/>
            </w:tcBorders>
          </w:tcPr>
          <w:p w14:paraId="7C97ED64"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20.30</w:t>
            </w:r>
          </w:p>
        </w:tc>
        <w:tc>
          <w:tcPr>
            <w:tcW w:w="786" w:type="pct"/>
            <w:tcBorders>
              <w:top w:val="nil"/>
              <w:left w:val="nil"/>
              <w:bottom w:val="nil"/>
              <w:right w:val="nil"/>
            </w:tcBorders>
          </w:tcPr>
          <w:p w14:paraId="6B7B0A24"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13.40</w:t>
            </w:r>
          </w:p>
        </w:tc>
        <w:tc>
          <w:tcPr>
            <w:tcW w:w="786" w:type="pct"/>
            <w:tcBorders>
              <w:top w:val="nil"/>
              <w:left w:val="nil"/>
              <w:bottom w:val="nil"/>
              <w:right w:val="nil"/>
            </w:tcBorders>
          </w:tcPr>
          <w:p w14:paraId="6A40E7CF"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0.00</w:t>
            </w:r>
          </w:p>
        </w:tc>
        <w:tc>
          <w:tcPr>
            <w:tcW w:w="785" w:type="pct"/>
            <w:tcBorders>
              <w:top w:val="nil"/>
              <w:left w:val="nil"/>
              <w:bottom w:val="nil"/>
              <w:right w:val="nil"/>
            </w:tcBorders>
          </w:tcPr>
          <w:p w14:paraId="5709DD38"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66.67</w:t>
            </w:r>
          </w:p>
        </w:tc>
      </w:tr>
      <w:tr w:rsidR="005B7CAC" w:rsidRPr="005B7CAC" w14:paraId="2F9DCB0D" w14:textId="77777777" w:rsidTr="00A70918">
        <w:tc>
          <w:tcPr>
            <w:tcW w:w="1408" w:type="pct"/>
            <w:tcBorders>
              <w:top w:val="nil"/>
              <w:left w:val="nil"/>
              <w:bottom w:val="nil"/>
              <w:right w:val="nil"/>
            </w:tcBorders>
          </w:tcPr>
          <w:p w14:paraId="1C8D74BD" w14:textId="77777777" w:rsidR="007124D6" w:rsidRPr="005B7CAC" w:rsidRDefault="007124D6"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 xml:space="preserve"> BINDR</w:t>
            </w:r>
          </w:p>
        </w:tc>
        <w:tc>
          <w:tcPr>
            <w:tcW w:w="449" w:type="pct"/>
            <w:tcBorders>
              <w:top w:val="nil"/>
              <w:left w:val="nil"/>
              <w:bottom w:val="nil"/>
              <w:right w:val="nil"/>
            </w:tcBorders>
          </w:tcPr>
          <w:p w14:paraId="79C431B3"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1667</w:t>
            </w:r>
          </w:p>
        </w:tc>
        <w:tc>
          <w:tcPr>
            <w:tcW w:w="786" w:type="pct"/>
            <w:tcBorders>
              <w:top w:val="nil"/>
              <w:left w:val="nil"/>
              <w:bottom w:val="nil"/>
              <w:right w:val="nil"/>
            </w:tcBorders>
          </w:tcPr>
          <w:p w14:paraId="76B3A552"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61.63</w:t>
            </w:r>
          </w:p>
        </w:tc>
        <w:tc>
          <w:tcPr>
            <w:tcW w:w="786" w:type="pct"/>
            <w:tcBorders>
              <w:top w:val="nil"/>
              <w:left w:val="nil"/>
              <w:bottom w:val="nil"/>
              <w:right w:val="nil"/>
            </w:tcBorders>
          </w:tcPr>
          <w:p w14:paraId="64DA4062"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13.56</w:t>
            </w:r>
          </w:p>
        </w:tc>
        <w:tc>
          <w:tcPr>
            <w:tcW w:w="786" w:type="pct"/>
            <w:tcBorders>
              <w:top w:val="nil"/>
              <w:left w:val="nil"/>
              <w:bottom w:val="nil"/>
              <w:right w:val="nil"/>
            </w:tcBorders>
          </w:tcPr>
          <w:p w14:paraId="23E4EAB6"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12.50</w:t>
            </w:r>
          </w:p>
        </w:tc>
        <w:tc>
          <w:tcPr>
            <w:tcW w:w="785" w:type="pct"/>
            <w:tcBorders>
              <w:top w:val="nil"/>
              <w:left w:val="nil"/>
              <w:bottom w:val="nil"/>
              <w:right w:val="nil"/>
            </w:tcBorders>
          </w:tcPr>
          <w:p w14:paraId="200D0C4E"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93.75</w:t>
            </w:r>
          </w:p>
        </w:tc>
      </w:tr>
      <w:tr w:rsidR="005B7CAC" w:rsidRPr="005B7CAC" w14:paraId="29DA0C57" w14:textId="77777777" w:rsidTr="00A70918">
        <w:tc>
          <w:tcPr>
            <w:tcW w:w="1408" w:type="pct"/>
            <w:tcBorders>
              <w:top w:val="nil"/>
              <w:left w:val="nil"/>
              <w:bottom w:val="nil"/>
              <w:right w:val="nil"/>
            </w:tcBorders>
          </w:tcPr>
          <w:p w14:paraId="53838CD6" w14:textId="77777777" w:rsidR="007124D6" w:rsidRPr="005B7CAC" w:rsidRDefault="007124D6"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 xml:space="preserve"> FAGE</w:t>
            </w:r>
          </w:p>
        </w:tc>
        <w:tc>
          <w:tcPr>
            <w:tcW w:w="449" w:type="pct"/>
            <w:tcBorders>
              <w:top w:val="nil"/>
              <w:left w:val="nil"/>
              <w:bottom w:val="nil"/>
              <w:right w:val="nil"/>
            </w:tcBorders>
          </w:tcPr>
          <w:p w14:paraId="78BEC2C8"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1667</w:t>
            </w:r>
          </w:p>
        </w:tc>
        <w:tc>
          <w:tcPr>
            <w:tcW w:w="786" w:type="pct"/>
            <w:tcBorders>
              <w:top w:val="nil"/>
              <w:left w:val="nil"/>
              <w:bottom w:val="nil"/>
              <w:right w:val="nil"/>
            </w:tcBorders>
          </w:tcPr>
          <w:p w14:paraId="49437914"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38.05</w:t>
            </w:r>
          </w:p>
        </w:tc>
        <w:tc>
          <w:tcPr>
            <w:tcW w:w="786" w:type="pct"/>
            <w:tcBorders>
              <w:top w:val="nil"/>
              <w:left w:val="nil"/>
              <w:bottom w:val="nil"/>
              <w:right w:val="nil"/>
            </w:tcBorders>
          </w:tcPr>
          <w:p w14:paraId="3C88C903"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17.57</w:t>
            </w:r>
          </w:p>
        </w:tc>
        <w:tc>
          <w:tcPr>
            <w:tcW w:w="786" w:type="pct"/>
            <w:tcBorders>
              <w:top w:val="nil"/>
              <w:left w:val="nil"/>
              <w:bottom w:val="nil"/>
              <w:right w:val="nil"/>
            </w:tcBorders>
          </w:tcPr>
          <w:p w14:paraId="66943C46"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2.00</w:t>
            </w:r>
          </w:p>
        </w:tc>
        <w:tc>
          <w:tcPr>
            <w:tcW w:w="785" w:type="pct"/>
            <w:tcBorders>
              <w:top w:val="nil"/>
              <w:left w:val="nil"/>
              <w:bottom w:val="nil"/>
              <w:right w:val="nil"/>
            </w:tcBorders>
          </w:tcPr>
          <w:p w14:paraId="5FD92E82"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57.00</w:t>
            </w:r>
          </w:p>
        </w:tc>
      </w:tr>
      <w:tr w:rsidR="005B7CAC" w:rsidRPr="005B7CAC" w14:paraId="4FCAB05D" w14:textId="77777777" w:rsidTr="00A70918">
        <w:tc>
          <w:tcPr>
            <w:tcW w:w="1408" w:type="pct"/>
            <w:tcBorders>
              <w:top w:val="nil"/>
              <w:left w:val="nil"/>
              <w:bottom w:val="nil"/>
              <w:right w:val="nil"/>
            </w:tcBorders>
          </w:tcPr>
          <w:p w14:paraId="2D183AA7" w14:textId="77777777" w:rsidR="007124D6" w:rsidRPr="005B7CAC" w:rsidRDefault="007124D6"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 xml:space="preserve"> SIZE</w:t>
            </w:r>
          </w:p>
        </w:tc>
        <w:tc>
          <w:tcPr>
            <w:tcW w:w="449" w:type="pct"/>
            <w:tcBorders>
              <w:top w:val="nil"/>
              <w:left w:val="nil"/>
              <w:bottom w:val="nil"/>
              <w:right w:val="nil"/>
            </w:tcBorders>
          </w:tcPr>
          <w:p w14:paraId="158ED25E"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1667</w:t>
            </w:r>
          </w:p>
        </w:tc>
        <w:tc>
          <w:tcPr>
            <w:tcW w:w="786" w:type="pct"/>
            <w:tcBorders>
              <w:top w:val="nil"/>
              <w:left w:val="nil"/>
              <w:bottom w:val="nil"/>
              <w:right w:val="nil"/>
            </w:tcBorders>
          </w:tcPr>
          <w:p w14:paraId="23290E62"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15.72</w:t>
            </w:r>
          </w:p>
        </w:tc>
        <w:tc>
          <w:tcPr>
            <w:tcW w:w="786" w:type="pct"/>
            <w:tcBorders>
              <w:top w:val="nil"/>
              <w:left w:val="nil"/>
              <w:bottom w:val="nil"/>
              <w:right w:val="nil"/>
            </w:tcBorders>
          </w:tcPr>
          <w:p w14:paraId="79197BD9"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1.52</w:t>
            </w:r>
          </w:p>
        </w:tc>
        <w:tc>
          <w:tcPr>
            <w:tcW w:w="786" w:type="pct"/>
            <w:tcBorders>
              <w:top w:val="nil"/>
              <w:left w:val="nil"/>
              <w:bottom w:val="nil"/>
              <w:right w:val="nil"/>
            </w:tcBorders>
          </w:tcPr>
          <w:p w14:paraId="61B12127"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12.06</w:t>
            </w:r>
          </w:p>
        </w:tc>
        <w:tc>
          <w:tcPr>
            <w:tcW w:w="785" w:type="pct"/>
            <w:tcBorders>
              <w:top w:val="nil"/>
              <w:left w:val="nil"/>
              <w:bottom w:val="nil"/>
              <w:right w:val="nil"/>
            </w:tcBorders>
          </w:tcPr>
          <w:p w14:paraId="6351AF9B"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19.86</w:t>
            </w:r>
          </w:p>
        </w:tc>
      </w:tr>
      <w:tr w:rsidR="005B7CAC" w:rsidRPr="005B7CAC" w14:paraId="28ACB311" w14:textId="77777777" w:rsidTr="00A70918">
        <w:tc>
          <w:tcPr>
            <w:tcW w:w="1408" w:type="pct"/>
            <w:tcBorders>
              <w:top w:val="nil"/>
              <w:left w:val="nil"/>
              <w:bottom w:val="nil"/>
              <w:right w:val="nil"/>
            </w:tcBorders>
          </w:tcPr>
          <w:p w14:paraId="2DDCBE92" w14:textId="77777777" w:rsidR="007124D6" w:rsidRPr="005B7CAC" w:rsidRDefault="007124D6"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 xml:space="preserve"> PROF</w:t>
            </w:r>
          </w:p>
        </w:tc>
        <w:tc>
          <w:tcPr>
            <w:tcW w:w="449" w:type="pct"/>
            <w:tcBorders>
              <w:top w:val="nil"/>
              <w:left w:val="nil"/>
              <w:bottom w:val="nil"/>
              <w:right w:val="nil"/>
            </w:tcBorders>
          </w:tcPr>
          <w:p w14:paraId="0887B844"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1667</w:t>
            </w:r>
          </w:p>
        </w:tc>
        <w:tc>
          <w:tcPr>
            <w:tcW w:w="786" w:type="pct"/>
            <w:tcBorders>
              <w:top w:val="nil"/>
              <w:left w:val="nil"/>
              <w:bottom w:val="nil"/>
              <w:right w:val="nil"/>
            </w:tcBorders>
          </w:tcPr>
          <w:p w14:paraId="59B4B848"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0.07</w:t>
            </w:r>
          </w:p>
        </w:tc>
        <w:tc>
          <w:tcPr>
            <w:tcW w:w="786" w:type="pct"/>
            <w:tcBorders>
              <w:top w:val="nil"/>
              <w:left w:val="nil"/>
              <w:bottom w:val="nil"/>
              <w:right w:val="nil"/>
            </w:tcBorders>
          </w:tcPr>
          <w:p w14:paraId="050E891D"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0.38</w:t>
            </w:r>
          </w:p>
        </w:tc>
        <w:tc>
          <w:tcPr>
            <w:tcW w:w="786" w:type="pct"/>
            <w:tcBorders>
              <w:top w:val="nil"/>
              <w:left w:val="nil"/>
              <w:bottom w:val="nil"/>
              <w:right w:val="nil"/>
            </w:tcBorders>
          </w:tcPr>
          <w:p w14:paraId="19AEC0AE"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-2.17</w:t>
            </w:r>
          </w:p>
        </w:tc>
        <w:tc>
          <w:tcPr>
            <w:tcW w:w="785" w:type="pct"/>
            <w:tcBorders>
              <w:top w:val="nil"/>
              <w:left w:val="nil"/>
              <w:bottom w:val="nil"/>
              <w:right w:val="nil"/>
            </w:tcBorders>
          </w:tcPr>
          <w:p w14:paraId="60228DF4"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0.87</w:t>
            </w:r>
          </w:p>
        </w:tc>
      </w:tr>
      <w:tr w:rsidR="005B7CAC" w:rsidRPr="005B7CAC" w14:paraId="63C90B93" w14:textId="77777777" w:rsidTr="00A70918">
        <w:tc>
          <w:tcPr>
            <w:tcW w:w="1408" w:type="pct"/>
            <w:tcBorders>
              <w:top w:val="nil"/>
              <w:left w:val="nil"/>
              <w:bottom w:val="nil"/>
              <w:right w:val="nil"/>
            </w:tcBorders>
          </w:tcPr>
          <w:p w14:paraId="045E5C76" w14:textId="77777777" w:rsidR="007124D6" w:rsidRPr="005B7CAC" w:rsidRDefault="007124D6"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 xml:space="preserve"> LVRG</w:t>
            </w:r>
          </w:p>
        </w:tc>
        <w:tc>
          <w:tcPr>
            <w:tcW w:w="449" w:type="pct"/>
            <w:tcBorders>
              <w:top w:val="nil"/>
              <w:left w:val="nil"/>
              <w:bottom w:val="nil"/>
              <w:right w:val="nil"/>
            </w:tcBorders>
          </w:tcPr>
          <w:p w14:paraId="330DC0B5"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1667</w:t>
            </w:r>
          </w:p>
        </w:tc>
        <w:tc>
          <w:tcPr>
            <w:tcW w:w="786" w:type="pct"/>
            <w:tcBorders>
              <w:top w:val="nil"/>
              <w:left w:val="nil"/>
              <w:bottom w:val="nil"/>
              <w:right w:val="nil"/>
            </w:tcBorders>
          </w:tcPr>
          <w:p w14:paraId="31A6AF2E"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27.13</w:t>
            </w:r>
          </w:p>
        </w:tc>
        <w:tc>
          <w:tcPr>
            <w:tcW w:w="786" w:type="pct"/>
            <w:tcBorders>
              <w:top w:val="nil"/>
              <w:left w:val="nil"/>
              <w:bottom w:val="nil"/>
              <w:right w:val="nil"/>
            </w:tcBorders>
          </w:tcPr>
          <w:p w14:paraId="629B3FDD"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16.11</w:t>
            </w:r>
          </w:p>
        </w:tc>
        <w:tc>
          <w:tcPr>
            <w:tcW w:w="786" w:type="pct"/>
            <w:tcBorders>
              <w:top w:val="nil"/>
              <w:left w:val="nil"/>
              <w:bottom w:val="nil"/>
              <w:right w:val="nil"/>
            </w:tcBorders>
          </w:tcPr>
          <w:p w14:paraId="78EDFE6A"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0.00</w:t>
            </w:r>
          </w:p>
        </w:tc>
        <w:tc>
          <w:tcPr>
            <w:tcW w:w="785" w:type="pct"/>
            <w:tcBorders>
              <w:top w:val="nil"/>
              <w:left w:val="nil"/>
              <w:bottom w:val="nil"/>
              <w:right w:val="nil"/>
            </w:tcBorders>
          </w:tcPr>
          <w:p w14:paraId="5D460F62"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68.15</w:t>
            </w:r>
          </w:p>
        </w:tc>
      </w:tr>
      <w:tr w:rsidR="005B7CAC" w:rsidRPr="005B7CAC" w14:paraId="1B323425" w14:textId="77777777" w:rsidTr="00A70918">
        <w:tc>
          <w:tcPr>
            <w:tcW w:w="1408" w:type="pct"/>
            <w:tcBorders>
              <w:top w:val="nil"/>
              <w:left w:val="nil"/>
              <w:right w:val="nil"/>
            </w:tcBorders>
          </w:tcPr>
          <w:p w14:paraId="32CDF29A" w14:textId="77777777" w:rsidR="007124D6" w:rsidRPr="005B7CAC" w:rsidRDefault="007124D6"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 xml:space="preserve"> SLCK</w:t>
            </w:r>
          </w:p>
        </w:tc>
        <w:tc>
          <w:tcPr>
            <w:tcW w:w="449" w:type="pct"/>
            <w:tcBorders>
              <w:top w:val="nil"/>
              <w:left w:val="nil"/>
              <w:right w:val="nil"/>
            </w:tcBorders>
          </w:tcPr>
          <w:p w14:paraId="21E0BC83"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1667</w:t>
            </w:r>
          </w:p>
        </w:tc>
        <w:tc>
          <w:tcPr>
            <w:tcW w:w="786" w:type="pct"/>
            <w:tcBorders>
              <w:top w:val="nil"/>
              <w:left w:val="nil"/>
              <w:right w:val="nil"/>
            </w:tcBorders>
          </w:tcPr>
          <w:p w14:paraId="45ACBAC4"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0.09</w:t>
            </w:r>
          </w:p>
        </w:tc>
        <w:tc>
          <w:tcPr>
            <w:tcW w:w="786" w:type="pct"/>
            <w:tcBorders>
              <w:top w:val="nil"/>
              <w:left w:val="nil"/>
              <w:right w:val="nil"/>
            </w:tcBorders>
          </w:tcPr>
          <w:p w14:paraId="0E85CE7E"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0.07</w:t>
            </w:r>
          </w:p>
        </w:tc>
        <w:tc>
          <w:tcPr>
            <w:tcW w:w="786" w:type="pct"/>
            <w:tcBorders>
              <w:top w:val="nil"/>
              <w:left w:val="nil"/>
              <w:right w:val="nil"/>
            </w:tcBorders>
          </w:tcPr>
          <w:p w14:paraId="3E4F70B8"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0.00</w:t>
            </w:r>
          </w:p>
        </w:tc>
        <w:tc>
          <w:tcPr>
            <w:tcW w:w="785" w:type="pct"/>
            <w:tcBorders>
              <w:top w:val="nil"/>
              <w:left w:val="nil"/>
              <w:right w:val="nil"/>
            </w:tcBorders>
          </w:tcPr>
          <w:p w14:paraId="08A41E7C"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0.61</w:t>
            </w:r>
          </w:p>
        </w:tc>
      </w:tr>
      <w:tr w:rsidR="005B7CAC" w:rsidRPr="005B7CAC" w14:paraId="480101A1" w14:textId="77777777" w:rsidTr="00A70918">
        <w:tc>
          <w:tcPr>
            <w:tcW w:w="1408" w:type="pct"/>
            <w:tcBorders>
              <w:top w:val="nil"/>
              <w:left w:val="nil"/>
              <w:bottom w:val="single" w:sz="12" w:space="0" w:color="auto"/>
              <w:right w:val="nil"/>
            </w:tcBorders>
          </w:tcPr>
          <w:p w14:paraId="700732A6" w14:textId="77777777" w:rsidR="007124D6" w:rsidRPr="005B7CAC" w:rsidRDefault="007124D6"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 xml:space="preserve"> CPIN</w:t>
            </w:r>
          </w:p>
        </w:tc>
        <w:tc>
          <w:tcPr>
            <w:tcW w:w="449" w:type="pct"/>
            <w:tcBorders>
              <w:top w:val="nil"/>
              <w:left w:val="nil"/>
              <w:bottom w:val="single" w:sz="12" w:space="0" w:color="auto"/>
              <w:right w:val="nil"/>
            </w:tcBorders>
          </w:tcPr>
          <w:p w14:paraId="5F2F07E2"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1667</w:t>
            </w:r>
          </w:p>
        </w:tc>
        <w:tc>
          <w:tcPr>
            <w:tcW w:w="786" w:type="pct"/>
            <w:tcBorders>
              <w:top w:val="nil"/>
              <w:left w:val="nil"/>
              <w:bottom w:val="single" w:sz="12" w:space="0" w:color="auto"/>
              <w:right w:val="nil"/>
            </w:tcBorders>
          </w:tcPr>
          <w:p w14:paraId="2A4E536D"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0.36</w:t>
            </w:r>
          </w:p>
        </w:tc>
        <w:tc>
          <w:tcPr>
            <w:tcW w:w="786" w:type="pct"/>
            <w:tcBorders>
              <w:top w:val="nil"/>
              <w:left w:val="nil"/>
              <w:bottom w:val="single" w:sz="12" w:space="0" w:color="auto"/>
              <w:right w:val="nil"/>
            </w:tcBorders>
          </w:tcPr>
          <w:p w14:paraId="19E34CC6"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0.28</w:t>
            </w:r>
          </w:p>
        </w:tc>
        <w:tc>
          <w:tcPr>
            <w:tcW w:w="786" w:type="pct"/>
            <w:tcBorders>
              <w:top w:val="nil"/>
              <w:left w:val="nil"/>
              <w:bottom w:val="single" w:sz="12" w:space="0" w:color="auto"/>
              <w:right w:val="nil"/>
            </w:tcBorders>
          </w:tcPr>
          <w:p w14:paraId="4005090B"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0.00</w:t>
            </w:r>
          </w:p>
        </w:tc>
        <w:tc>
          <w:tcPr>
            <w:tcW w:w="785" w:type="pct"/>
            <w:tcBorders>
              <w:top w:val="nil"/>
              <w:left w:val="nil"/>
              <w:bottom w:val="single" w:sz="12" w:space="0" w:color="auto"/>
              <w:right w:val="nil"/>
            </w:tcBorders>
          </w:tcPr>
          <w:p w14:paraId="1C38BEEB" w14:textId="77777777" w:rsidR="007124D6" w:rsidRPr="005B7CAC" w:rsidRDefault="007124D6" w:rsidP="00C90660">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0.99</w:t>
            </w:r>
          </w:p>
        </w:tc>
      </w:tr>
    </w:tbl>
    <w:p w14:paraId="40F05D8D" w14:textId="0E188698" w:rsidR="007124D6" w:rsidRPr="005B7CAC" w:rsidRDefault="00A70918" w:rsidP="00A70918">
      <w:pPr>
        <w:spacing w:after="0"/>
        <w:rPr>
          <w:rFonts w:ascii="Times New Roman" w:hAnsi="Times New Roman"/>
          <w:szCs w:val="24"/>
          <w:lang w:val="en-US"/>
        </w:rPr>
      </w:pPr>
      <w:r w:rsidRPr="005B7CAC">
        <w:rPr>
          <w:rFonts w:ascii="Times New Roman" w:hAnsi="Times New Roman"/>
          <w:b/>
          <w:szCs w:val="24"/>
          <w:lang w:val="en-US"/>
        </w:rPr>
        <w:t>Note(s):</w:t>
      </w:r>
      <w:r w:rsidRPr="005B7CAC">
        <w:rPr>
          <w:rFonts w:ascii="Times New Roman" w:hAnsi="Times New Roman"/>
          <w:szCs w:val="24"/>
          <w:lang w:val="en-US"/>
        </w:rPr>
        <w:t xml:space="preserve"> This table reports the descriptive statistics. All the study variables are defined in Table 1.</w:t>
      </w:r>
    </w:p>
    <w:p w14:paraId="247859BA" w14:textId="77777777" w:rsidR="00A70918" w:rsidRPr="005B7CAC" w:rsidRDefault="00A70918" w:rsidP="00A70918">
      <w:pPr>
        <w:widowControl w:val="0"/>
        <w:autoSpaceDE w:val="0"/>
        <w:autoSpaceDN w:val="0"/>
        <w:adjustRightInd w:val="0"/>
        <w:spacing w:after="0" w:line="240" w:lineRule="auto"/>
        <w:jc w:val="both"/>
        <w:rPr>
          <w:rFonts w:ascii="Times New Roman" w:hAnsi="Times New Roman"/>
          <w:lang w:val="en-US"/>
        </w:rPr>
      </w:pPr>
      <w:r w:rsidRPr="005B7CAC">
        <w:rPr>
          <w:rFonts w:ascii="Times New Roman" w:hAnsi="Times New Roman"/>
          <w:b/>
          <w:lang w:val="en-US"/>
        </w:rPr>
        <w:t>Source:</w:t>
      </w:r>
      <w:r w:rsidRPr="005B7CAC">
        <w:rPr>
          <w:rFonts w:ascii="Times New Roman" w:hAnsi="Times New Roman"/>
          <w:lang w:val="en-US"/>
        </w:rPr>
        <w:t xml:space="preserve"> Table prepared by the authors.</w:t>
      </w:r>
    </w:p>
    <w:p w14:paraId="49ED0226" w14:textId="77777777" w:rsidR="00A70918" w:rsidRPr="005B7CAC" w:rsidRDefault="00A70918" w:rsidP="00604D96">
      <w:pPr>
        <w:rPr>
          <w:rFonts w:ascii="Times New Roman" w:hAnsi="Times New Roman"/>
          <w:sz w:val="24"/>
          <w:szCs w:val="24"/>
          <w:lang w:val="en-US"/>
        </w:rPr>
      </w:pPr>
    </w:p>
    <w:p w14:paraId="28838AAC" w14:textId="77777777" w:rsidR="00604D96" w:rsidRPr="005B7CAC" w:rsidRDefault="00604D96" w:rsidP="00CD4FCC">
      <w:pPr>
        <w:widowControl w:val="0"/>
        <w:autoSpaceDE w:val="0"/>
        <w:autoSpaceDN w:val="0"/>
        <w:adjustRightInd w:val="0"/>
        <w:spacing w:after="240" w:line="240" w:lineRule="auto"/>
        <w:rPr>
          <w:rFonts w:ascii="Times New Roman" w:hAnsi="Times New Roman"/>
          <w:b/>
          <w:iCs/>
          <w:sz w:val="24"/>
          <w:szCs w:val="20"/>
          <w:lang w:val="en-US"/>
        </w:rPr>
      </w:pPr>
    </w:p>
    <w:p w14:paraId="25ABEDB6" w14:textId="77777777" w:rsidR="00604D96" w:rsidRPr="005B7CAC" w:rsidRDefault="00604D96" w:rsidP="00CD4FCC">
      <w:pPr>
        <w:widowControl w:val="0"/>
        <w:autoSpaceDE w:val="0"/>
        <w:autoSpaceDN w:val="0"/>
        <w:adjustRightInd w:val="0"/>
        <w:spacing w:after="240" w:line="240" w:lineRule="auto"/>
        <w:rPr>
          <w:rFonts w:ascii="Times New Roman" w:hAnsi="Times New Roman"/>
          <w:b/>
          <w:iCs/>
          <w:sz w:val="24"/>
          <w:szCs w:val="20"/>
          <w:lang w:val="en-US"/>
        </w:rPr>
      </w:pPr>
    </w:p>
    <w:p w14:paraId="4FCB271F" w14:textId="77777777" w:rsidR="00604D96" w:rsidRPr="005B7CAC" w:rsidRDefault="00604D96" w:rsidP="00CD4FCC">
      <w:pPr>
        <w:widowControl w:val="0"/>
        <w:autoSpaceDE w:val="0"/>
        <w:autoSpaceDN w:val="0"/>
        <w:adjustRightInd w:val="0"/>
        <w:spacing w:after="240" w:line="240" w:lineRule="auto"/>
        <w:rPr>
          <w:rFonts w:ascii="Times New Roman" w:hAnsi="Times New Roman"/>
          <w:b/>
          <w:iCs/>
          <w:sz w:val="24"/>
          <w:szCs w:val="20"/>
          <w:lang w:val="en-US"/>
        </w:rPr>
      </w:pPr>
    </w:p>
    <w:p w14:paraId="3FA8BF75" w14:textId="77777777" w:rsidR="00604D96" w:rsidRPr="005B7CAC" w:rsidRDefault="00604D96" w:rsidP="00CD4FCC">
      <w:pPr>
        <w:widowControl w:val="0"/>
        <w:autoSpaceDE w:val="0"/>
        <w:autoSpaceDN w:val="0"/>
        <w:adjustRightInd w:val="0"/>
        <w:spacing w:after="240" w:line="240" w:lineRule="auto"/>
        <w:rPr>
          <w:rFonts w:ascii="Times New Roman" w:hAnsi="Times New Roman"/>
          <w:b/>
          <w:iCs/>
          <w:sz w:val="24"/>
          <w:szCs w:val="20"/>
          <w:lang w:val="en-US"/>
        </w:rPr>
      </w:pPr>
    </w:p>
    <w:p w14:paraId="47C5B442" w14:textId="77777777" w:rsidR="00604D96" w:rsidRPr="005B7CAC" w:rsidRDefault="00604D96" w:rsidP="00CD4FCC">
      <w:pPr>
        <w:widowControl w:val="0"/>
        <w:autoSpaceDE w:val="0"/>
        <w:autoSpaceDN w:val="0"/>
        <w:adjustRightInd w:val="0"/>
        <w:spacing w:after="240" w:line="240" w:lineRule="auto"/>
        <w:rPr>
          <w:rFonts w:ascii="Times New Roman" w:hAnsi="Times New Roman"/>
          <w:b/>
          <w:iCs/>
          <w:sz w:val="24"/>
          <w:szCs w:val="20"/>
          <w:lang w:val="en-US"/>
        </w:rPr>
      </w:pPr>
    </w:p>
    <w:p w14:paraId="06A13021" w14:textId="77777777" w:rsidR="00604D96" w:rsidRPr="005B7CAC" w:rsidRDefault="00604D96" w:rsidP="00CD4FCC">
      <w:pPr>
        <w:widowControl w:val="0"/>
        <w:autoSpaceDE w:val="0"/>
        <w:autoSpaceDN w:val="0"/>
        <w:adjustRightInd w:val="0"/>
        <w:spacing w:after="240" w:line="240" w:lineRule="auto"/>
        <w:rPr>
          <w:rFonts w:ascii="Times New Roman" w:hAnsi="Times New Roman"/>
          <w:b/>
          <w:iCs/>
          <w:sz w:val="24"/>
          <w:szCs w:val="20"/>
          <w:lang w:val="en-US"/>
        </w:rPr>
        <w:sectPr w:rsidR="00604D96" w:rsidRPr="005B7CAC" w:rsidSect="00933C04">
          <w:footerReference w:type="default" r:id="rId8"/>
          <w:pgSz w:w="12240" w:h="15840"/>
          <w:pgMar w:top="1134" w:right="850" w:bottom="1134" w:left="1701" w:header="720" w:footer="720" w:gutter="0"/>
          <w:cols w:space="720"/>
          <w:noEndnote/>
        </w:sectPr>
      </w:pPr>
    </w:p>
    <w:p w14:paraId="70C027E5" w14:textId="77777777" w:rsidR="00EB5C9B" w:rsidRPr="005B7CAC" w:rsidRDefault="007A08F8" w:rsidP="00604D96">
      <w:pPr>
        <w:widowControl w:val="0"/>
        <w:autoSpaceDE w:val="0"/>
        <w:autoSpaceDN w:val="0"/>
        <w:adjustRightInd w:val="0"/>
        <w:spacing w:after="120" w:line="240" w:lineRule="auto"/>
        <w:rPr>
          <w:rFonts w:ascii="Times New Roman" w:hAnsi="Times New Roman"/>
          <w:sz w:val="24"/>
          <w:szCs w:val="24"/>
          <w:lang w:val="en-US"/>
        </w:rPr>
      </w:pPr>
      <w:r w:rsidRPr="005B7CAC">
        <w:rPr>
          <w:rFonts w:ascii="Times New Roman" w:hAnsi="Times New Roman"/>
          <w:b/>
          <w:bCs/>
          <w:sz w:val="24"/>
          <w:szCs w:val="24"/>
          <w:lang w:val="en-US"/>
        </w:rPr>
        <w:lastRenderedPageBreak/>
        <w:t>Table 3</w:t>
      </w:r>
      <w:r w:rsidR="00EB5C9B" w:rsidRPr="005B7CAC">
        <w:rPr>
          <w:rFonts w:ascii="Times New Roman" w:hAnsi="Times New Roman"/>
          <w:b/>
          <w:bCs/>
          <w:sz w:val="24"/>
          <w:szCs w:val="24"/>
          <w:lang w:val="en-US"/>
        </w:rPr>
        <w:t xml:space="preserve">. </w:t>
      </w:r>
      <w:r w:rsidR="00604D96" w:rsidRPr="005B7CAC">
        <w:rPr>
          <w:rFonts w:ascii="Times New Roman" w:hAnsi="Times New Roman"/>
          <w:bCs/>
          <w:sz w:val="24"/>
          <w:szCs w:val="24"/>
          <w:lang w:val="en-US"/>
        </w:rPr>
        <w:t>C</w:t>
      </w:r>
      <w:r w:rsidR="00EB5C9B" w:rsidRPr="005B7CAC">
        <w:rPr>
          <w:rFonts w:ascii="Times New Roman" w:hAnsi="Times New Roman"/>
          <w:sz w:val="24"/>
          <w:szCs w:val="24"/>
          <w:lang w:val="en-US"/>
        </w:rPr>
        <w:t xml:space="preserve">orrelation matrix </w:t>
      </w:r>
    </w:p>
    <w:tbl>
      <w:tblPr>
        <w:tblW w:w="5000" w:type="pct"/>
        <w:tblLook w:val="0000" w:firstRow="0" w:lastRow="0" w:firstColumn="0" w:lastColumn="0" w:noHBand="0" w:noVBand="0"/>
      </w:tblPr>
      <w:tblGrid>
        <w:gridCol w:w="998"/>
        <w:gridCol w:w="914"/>
        <w:gridCol w:w="914"/>
        <w:gridCol w:w="915"/>
        <w:gridCol w:w="915"/>
        <w:gridCol w:w="915"/>
        <w:gridCol w:w="915"/>
        <w:gridCol w:w="915"/>
        <w:gridCol w:w="915"/>
        <w:gridCol w:w="915"/>
        <w:gridCol w:w="915"/>
        <w:gridCol w:w="915"/>
        <w:gridCol w:w="915"/>
        <w:gridCol w:w="915"/>
        <w:gridCol w:w="681"/>
      </w:tblGrid>
      <w:tr w:rsidR="005B7CAC" w:rsidRPr="005B7CAC" w14:paraId="3A8586AF" w14:textId="77777777" w:rsidTr="001938BC">
        <w:tc>
          <w:tcPr>
            <w:tcW w:w="368" w:type="pct"/>
            <w:tcBorders>
              <w:top w:val="single" w:sz="12" w:space="0" w:color="auto"/>
              <w:left w:val="nil"/>
              <w:bottom w:val="single" w:sz="8" w:space="0" w:color="auto"/>
              <w:right w:val="nil"/>
            </w:tcBorders>
          </w:tcPr>
          <w:p w14:paraId="344AC058" w14:textId="77777777" w:rsidR="001938BC" w:rsidRPr="005B7CAC" w:rsidRDefault="001938BC" w:rsidP="00C90660">
            <w:pPr>
              <w:widowControl w:val="0"/>
              <w:autoSpaceDE w:val="0"/>
              <w:autoSpaceDN w:val="0"/>
              <w:adjustRightInd w:val="0"/>
              <w:spacing w:after="0" w:line="240" w:lineRule="auto"/>
              <w:rPr>
                <w:rFonts w:ascii="Times New Roman" w:hAnsi="Times New Roman"/>
                <w:b/>
                <w:bCs/>
                <w:sz w:val="18"/>
                <w:szCs w:val="18"/>
              </w:rPr>
            </w:pPr>
            <w:r w:rsidRPr="005B7CAC">
              <w:rPr>
                <w:rFonts w:ascii="Times New Roman" w:hAnsi="Times New Roman"/>
                <w:b/>
                <w:bCs/>
                <w:sz w:val="18"/>
                <w:szCs w:val="18"/>
              </w:rPr>
              <w:t>Variables</w:t>
            </w:r>
          </w:p>
        </w:tc>
        <w:tc>
          <w:tcPr>
            <w:tcW w:w="337" w:type="pct"/>
            <w:tcBorders>
              <w:top w:val="single" w:sz="12" w:space="0" w:color="auto"/>
              <w:left w:val="nil"/>
              <w:bottom w:val="single" w:sz="8" w:space="0" w:color="auto"/>
              <w:right w:val="nil"/>
            </w:tcBorders>
          </w:tcPr>
          <w:p w14:paraId="32C1BA13" w14:textId="77777777" w:rsidR="001938BC" w:rsidRPr="005B7CAC" w:rsidRDefault="001938BC" w:rsidP="00C90660">
            <w:pPr>
              <w:widowControl w:val="0"/>
              <w:autoSpaceDE w:val="0"/>
              <w:autoSpaceDN w:val="0"/>
              <w:adjustRightInd w:val="0"/>
              <w:spacing w:after="0" w:line="240" w:lineRule="auto"/>
              <w:jc w:val="right"/>
              <w:rPr>
                <w:rFonts w:ascii="Times New Roman" w:hAnsi="Times New Roman"/>
                <w:b/>
                <w:bCs/>
                <w:sz w:val="18"/>
                <w:szCs w:val="18"/>
              </w:rPr>
            </w:pPr>
            <w:r w:rsidRPr="005B7CAC">
              <w:rPr>
                <w:rFonts w:ascii="Times New Roman" w:hAnsi="Times New Roman"/>
                <w:b/>
                <w:bCs/>
                <w:sz w:val="18"/>
                <w:szCs w:val="18"/>
              </w:rPr>
              <w:t>Z_UK</w:t>
            </w:r>
          </w:p>
        </w:tc>
        <w:tc>
          <w:tcPr>
            <w:tcW w:w="337" w:type="pct"/>
            <w:tcBorders>
              <w:top w:val="single" w:sz="12" w:space="0" w:color="auto"/>
              <w:left w:val="nil"/>
              <w:bottom w:val="single" w:sz="8" w:space="0" w:color="auto"/>
              <w:right w:val="nil"/>
            </w:tcBorders>
          </w:tcPr>
          <w:p w14:paraId="4D0C3707" w14:textId="77777777" w:rsidR="001938BC" w:rsidRPr="005B7CAC" w:rsidRDefault="001938BC" w:rsidP="00C90660">
            <w:pPr>
              <w:widowControl w:val="0"/>
              <w:autoSpaceDE w:val="0"/>
              <w:autoSpaceDN w:val="0"/>
              <w:adjustRightInd w:val="0"/>
              <w:spacing w:after="0" w:line="240" w:lineRule="auto"/>
              <w:jc w:val="right"/>
              <w:rPr>
                <w:rFonts w:ascii="Times New Roman" w:hAnsi="Times New Roman"/>
                <w:b/>
                <w:bCs/>
                <w:sz w:val="18"/>
                <w:szCs w:val="18"/>
              </w:rPr>
            </w:pPr>
            <w:r w:rsidRPr="005B7CAC">
              <w:rPr>
                <w:rFonts w:ascii="Times New Roman" w:hAnsi="Times New Roman"/>
                <w:b/>
                <w:bCs/>
                <w:sz w:val="18"/>
                <w:szCs w:val="18"/>
              </w:rPr>
              <w:t>Z_ALT</w:t>
            </w:r>
          </w:p>
        </w:tc>
        <w:tc>
          <w:tcPr>
            <w:tcW w:w="337" w:type="pct"/>
            <w:tcBorders>
              <w:top w:val="single" w:sz="12" w:space="0" w:color="auto"/>
              <w:left w:val="nil"/>
              <w:bottom w:val="single" w:sz="8" w:space="0" w:color="auto"/>
              <w:right w:val="nil"/>
            </w:tcBorders>
          </w:tcPr>
          <w:p w14:paraId="68A7F65C" w14:textId="77777777" w:rsidR="001938BC" w:rsidRPr="005B7CAC" w:rsidRDefault="001938BC" w:rsidP="00C90660">
            <w:pPr>
              <w:widowControl w:val="0"/>
              <w:autoSpaceDE w:val="0"/>
              <w:autoSpaceDN w:val="0"/>
              <w:adjustRightInd w:val="0"/>
              <w:spacing w:after="0" w:line="240" w:lineRule="auto"/>
              <w:jc w:val="right"/>
              <w:rPr>
                <w:rFonts w:ascii="Times New Roman" w:hAnsi="Times New Roman"/>
                <w:b/>
                <w:bCs/>
                <w:sz w:val="18"/>
                <w:szCs w:val="18"/>
              </w:rPr>
            </w:pPr>
            <w:r w:rsidRPr="005B7CAC">
              <w:rPr>
                <w:rFonts w:ascii="Times New Roman" w:hAnsi="Times New Roman"/>
                <w:b/>
                <w:bCs/>
                <w:sz w:val="18"/>
                <w:szCs w:val="18"/>
              </w:rPr>
              <w:t>WAST</w:t>
            </w:r>
          </w:p>
        </w:tc>
        <w:tc>
          <w:tcPr>
            <w:tcW w:w="337" w:type="pct"/>
            <w:tcBorders>
              <w:top w:val="single" w:sz="12" w:space="0" w:color="auto"/>
              <w:left w:val="nil"/>
              <w:bottom w:val="single" w:sz="8" w:space="0" w:color="auto"/>
              <w:right w:val="nil"/>
            </w:tcBorders>
          </w:tcPr>
          <w:p w14:paraId="0EA31A11" w14:textId="77777777" w:rsidR="001938BC" w:rsidRPr="005B7CAC" w:rsidRDefault="001938BC" w:rsidP="00C90660">
            <w:pPr>
              <w:widowControl w:val="0"/>
              <w:autoSpaceDE w:val="0"/>
              <w:autoSpaceDN w:val="0"/>
              <w:adjustRightInd w:val="0"/>
              <w:spacing w:after="0" w:line="240" w:lineRule="auto"/>
              <w:jc w:val="right"/>
              <w:rPr>
                <w:rFonts w:ascii="Times New Roman" w:hAnsi="Times New Roman"/>
                <w:b/>
                <w:bCs/>
                <w:sz w:val="18"/>
                <w:szCs w:val="18"/>
              </w:rPr>
            </w:pPr>
            <w:r w:rsidRPr="005B7CAC">
              <w:rPr>
                <w:rFonts w:ascii="Times New Roman" w:hAnsi="Times New Roman"/>
                <w:b/>
                <w:bCs/>
                <w:sz w:val="18"/>
                <w:szCs w:val="18"/>
              </w:rPr>
              <w:t>WREC</w:t>
            </w:r>
          </w:p>
        </w:tc>
        <w:tc>
          <w:tcPr>
            <w:tcW w:w="337" w:type="pct"/>
            <w:tcBorders>
              <w:top w:val="single" w:sz="12" w:space="0" w:color="auto"/>
              <w:left w:val="nil"/>
              <w:bottom w:val="single" w:sz="8" w:space="0" w:color="auto"/>
              <w:right w:val="nil"/>
            </w:tcBorders>
          </w:tcPr>
          <w:p w14:paraId="222BAE35" w14:textId="77777777" w:rsidR="001938BC" w:rsidRPr="005B7CAC" w:rsidRDefault="001938BC" w:rsidP="00C90660">
            <w:pPr>
              <w:widowControl w:val="0"/>
              <w:autoSpaceDE w:val="0"/>
              <w:autoSpaceDN w:val="0"/>
              <w:adjustRightInd w:val="0"/>
              <w:spacing w:after="0" w:line="240" w:lineRule="auto"/>
              <w:jc w:val="right"/>
              <w:rPr>
                <w:rFonts w:ascii="Times New Roman" w:hAnsi="Times New Roman"/>
                <w:b/>
                <w:bCs/>
                <w:sz w:val="18"/>
                <w:szCs w:val="18"/>
              </w:rPr>
            </w:pPr>
            <w:r w:rsidRPr="005B7CAC">
              <w:rPr>
                <w:rFonts w:ascii="Times New Roman" w:hAnsi="Times New Roman"/>
                <w:b/>
                <w:bCs/>
                <w:sz w:val="18"/>
                <w:szCs w:val="18"/>
              </w:rPr>
              <w:t>GINVs</w:t>
            </w:r>
          </w:p>
        </w:tc>
        <w:tc>
          <w:tcPr>
            <w:tcW w:w="337" w:type="pct"/>
            <w:tcBorders>
              <w:top w:val="single" w:sz="12" w:space="0" w:color="auto"/>
              <w:left w:val="nil"/>
              <w:bottom w:val="single" w:sz="8" w:space="0" w:color="auto"/>
              <w:right w:val="nil"/>
            </w:tcBorders>
          </w:tcPr>
          <w:p w14:paraId="00C6EB4B" w14:textId="77777777" w:rsidR="001938BC" w:rsidRPr="005B7CAC" w:rsidRDefault="001938BC" w:rsidP="00C90660">
            <w:pPr>
              <w:widowControl w:val="0"/>
              <w:autoSpaceDE w:val="0"/>
              <w:autoSpaceDN w:val="0"/>
              <w:adjustRightInd w:val="0"/>
              <w:spacing w:after="0" w:line="240" w:lineRule="auto"/>
              <w:jc w:val="right"/>
              <w:rPr>
                <w:rFonts w:ascii="Times New Roman" w:hAnsi="Times New Roman"/>
                <w:b/>
                <w:bCs/>
                <w:sz w:val="18"/>
                <w:szCs w:val="18"/>
              </w:rPr>
            </w:pPr>
            <w:r w:rsidRPr="005B7CAC">
              <w:rPr>
                <w:rFonts w:ascii="Times New Roman" w:hAnsi="Times New Roman"/>
                <w:b/>
                <w:bCs/>
                <w:sz w:val="18"/>
                <w:szCs w:val="18"/>
              </w:rPr>
              <w:t>BSIZE</w:t>
            </w:r>
          </w:p>
        </w:tc>
        <w:tc>
          <w:tcPr>
            <w:tcW w:w="337" w:type="pct"/>
            <w:tcBorders>
              <w:top w:val="single" w:sz="12" w:space="0" w:color="auto"/>
              <w:left w:val="nil"/>
              <w:bottom w:val="single" w:sz="8" w:space="0" w:color="auto"/>
              <w:right w:val="nil"/>
            </w:tcBorders>
          </w:tcPr>
          <w:p w14:paraId="6A3D4D06" w14:textId="77777777" w:rsidR="001938BC" w:rsidRPr="005B7CAC" w:rsidRDefault="001938BC" w:rsidP="00C90660">
            <w:pPr>
              <w:widowControl w:val="0"/>
              <w:autoSpaceDE w:val="0"/>
              <w:autoSpaceDN w:val="0"/>
              <w:adjustRightInd w:val="0"/>
              <w:spacing w:after="0" w:line="240" w:lineRule="auto"/>
              <w:jc w:val="right"/>
              <w:rPr>
                <w:rFonts w:ascii="Times New Roman" w:hAnsi="Times New Roman"/>
                <w:b/>
                <w:bCs/>
                <w:sz w:val="18"/>
                <w:szCs w:val="18"/>
              </w:rPr>
            </w:pPr>
            <w:r w:rsidRPr="005B7CAC">
              <w:rPr>
                <w:rFonts w:ascii="Times New Roman" w:hAnsi="Times New Roman"/>
                <w:b/>
                <w:bCs/>
                <w:sz w:val="18"/>
                <w:szCs w:val="18"/>
              </w:rPr>
              <w:t>BGDIV</w:t>
            </w:r>
          </w:p>
        </w:tc>
        <w:tc>
          <w:tcPr>
            <w:tcW w:w="337" w:type="pct"/>
            <w:tcBorders>
              <w:top w:val="single" w:sz="12" w:space="0" w:color="auto"/>
              <w:left w:val="nil"/>
              <w:bottom w:val="single" w:sz="8" w:space="0" w:color="auto"/>
              <w:right w:val="nil"/>
            </w:tcBorders>
          </w:tcPr>
          <w:p w14:paraId="4CC0C289" w14:textId="77777777" w:rsidR="001938BC" w:rsidRPr="005B7CAC" w:rsidRDefault="001938BC" w:rsidP="00C90660">
            <w:pPr>
              <w:widowControl w:val="0"/>
              <w:autoSpaceDE w:val="0"/>
              <w:autoSpaceDN w:val="0"/>
              <w:adjustRightInd w:val="0"/>
              <w:spacing w:after="0" w:line="240" w:lineRule="auto"/>
              <w:jc w:val="right"/>
              <w:rPr>
                <w:rFonts w:ascii="Times New Roman" w:hAnsi="Times New Roman"/>
                <w:b/>
                <w:bCs/>
                <w:sz w:val="18"/>
                <w:szCs w:val="18"/>
              </w:rPr>
            </w:pPr>
            <w:r w:rsidRPr="005B7CAC">
              <w:rPr>
                <w:rFonts w:ascii="Times New Roman" w:hAnsi="Times New Roman"/>
                <w:b/>
                <w:bCs/>
                <w:sz w:val="18"/>
                <w:szCs w:val="18"/>
              </w:rPr>
              <w:t>BINDR</w:t>
            </w:r>
          </w:p>
        </w:tc>
        <w:tc>
          <w:tcPr>
            <w:tcW w:w="337" w:type="pct"/>
            <w:tcBorders>
              <w:top w:val="single" w:sz="12" w:space="0" w:color="auto"/>
              <w:left w:val="nil"/>
              <w:bottom w:val="single" w:sz="8" w:space="0" w:color="auto"/>
              <w:right w:val="nil"/>
            </w:tcBorders>
          </w:tcPr>
          <w:p w14:paraId="19F3E188" w14:textId="5E508717" w:rsidR="001938BC" w:rsidRPr="005B7CAC" w:rsidRDefault="001938BC" w:rsidP="00C90660">
            <w:pPr>
              <w:widowControl w:val="0"/>
              <w:autoSpaceDE w:val="0"/>
              <w:autoSpaceDN w:val="0"/>
              <w:adjustRightInd w:val="0"/>
              <w:spacing w:after="0" w:line="240" w:lineRule="auto"/>
              <w:jc w:val="right"/>
              <w:rPr>
                <w:rFonts w:ascii="Times New Roman" w:hAnsi="Times New Roman"/>
                <w:b/>
                <w:bCs/>
                <w:sz w:val="18"/>
                <w:szCs w:val="18"/>
              </w:rPr>
            </w:pPr>
            <w:r w:rsidRPr="005B7CAC">
              <w:rPr>
                <w:rFonts w:ascii="Times New Roman" w:hAnsi="Times New Roman"/>
                <w:b/>
                <w:bCs/>
                <w:sz w:val="18"/>
                <w:szCs w:val="18"/>
              </w:rPr>
              <w:t>FAGE</w:t>
            </w:r>
          </w:p>
        </w:tc>
        <w:tc>
          <w:tcPr>
            <w:tcW w:w="337" w:type="pct"/>
            <w:tcBorders>
              <w:top w:val="single" w:sz="12" w:space="0" w:color="auto"/>
              <w:left w:val="nil"/>
              <w:bottom w:val="single" w:sz="8" w:space="0" w:color="auto"/>
              <w:right w:val="nil"/>
            </w:tcBorders>
          </w:tcPr>
          <w:p w14:paraId="3C1FD721" w14:textId="188B440A" w:rsidR="001938BC" w:rsidRPr="005B7CAC" w:rsidRDefault="001938BC" w:rsidP="00C90660">
            <w:pPr>
              <w:widowControl w:val="0"/>
              <w:autoSpaceDE w:val="0"/>
              <w:autoSpaceDN w:val="0"/>
              <w:adjustRightInd w:val="0"/>
              <w:spacing w:after="0" w:line="240" w:lineRule="auto"/>
              <w:jc w:val="right"/>
              <w:rPr>
                <w:rFonts w:ascii="Times New Roman" w:hAnsi="Times New Roman"/>
                <w:b/>
                <w:bCs/>
                <w:sz w:val="18"/>
                <w:szCs w:val="18"/>
              </w:rPr>
            </w:pPr>
            <w:r w:rsidRPr="005B7CAC">
              <w:rPr>
                <w:rFonts w:ascii="Times New Roman" w:hAnsi="Times New Roman"/>
                <w:b/>
                <w:bCs/>
                <w:sz w:val="18"/>
                <w:szCs w:val="18"/>
              </w:rPr>
              <w:t>SIZE</w:t>
            </w:r>
          </w:p>
        </w:tc>
        <w:tc>
          <w:tcPr>
            <w:tcW w:w="337" w:type="pct"/>
            <w:tcBorders>
              <w:top w:val="single" w:sz="12" w:space="0" w:color="auto"/>
              <w:left w:val="nil"/>
              <w:bottom w:val="single" w:sz="8" w:space="0" w:color="auto"/>
              <w:right w:val="nil"/>
            </w:tcBorders>
          </w:tcPr>
          <w:p w14:paraId="2C8CD3B9" w14:textId="61B8FC68" w:rsidR="001938BC" w:rsidRPr="005B7CAC" w:rsidRDefault="001938BC" w:rsidP="00C90660">
            <w:pPr>
              <w:widowControl w:val="0"/>
              <w:autoSpaceDE w:val="0"/>
              <w:autoSpaceDN w:val="0"/>
              <w:adjustRightInd w:val="0"/>
              <w:spacing w:after="0" w:line="240" w:lineRule="auto"/>
              <w:jc w:val="right"/>
              <w:rPr>
                <w:rFonts w:ascii="Times New Roman" w:hAnsi="Times New Roman"/>
                <w:b/>
                <w:bCs/>
                <w:sz w:val="18"/>
                <w:szCs w:val="18"/>
              </w:rPr>
            </w:pPr>
            <w:r w:rsidRPr="005B7CAC">
              <w:rPr>
                <w:rFonts w:ascii="Times New Roman" w:hAnsi="Times New Roman"/>
                <w:b/>
                <w:bCs/>
                <w:sz w:val="18"/>
                <w:szCs w:val="18"/>
              </w:rPr>
              <w:t>PROF</w:t>
            </w:r>
          </w:p>
        </w:tc>
        <w:tc>
          <w:tcPr>
            <w:tcW w:w="337" w:type="pct"/>
            <w:tcBorders>
              <w:top w:val="single" w:sz="12" w:space="0" w:color="auto"/>
              <w:left w:val="nil"/>
              <w:bottom w:val="single" w:sz="8" w:space="0" w:color="auto"/>
              <w:right w:val="nil"/>
            </w:tcBorders>
          </w:tcPr>
          <w:p w14:paraId="31A325AB" w14:textId="7DC6CE39" w:rsidR="001938BC" w:rsidRPr="005B7CAC" w:rsidRDefault="001938BC" w:rsidP="00C90660">
            <w:pPr>
              <w:widowControl w:val="0"/>
              <w:autoSpaceDE w:val="0"/>
              <w:autoSpaceDN w:val="0"/>
              <w:adjustRightInd w:val="0"/>
              <w:spacing w:after="0" w:line="240" w:lineRule="auto"/>
              <w:jc w:val="right"/>
              <w:rPr>
                <w:rFonts w:ascii="Times New Roman" w:hAnsi="Times New Roman"/>
                <w:b/>
                <w:bCs/>
                <w:sz w:val="18"/>
                <w:szCs w:val="18"/>
              </w:rPr>
            </w:pPr>
            <w:r w:rsidRPr="005B7CAC">
              <w:rPr>
                <w:rFonts w:ascii="Times New Roman" w:hAnsi="Times New Roman"/>
                <w:b/>
                <w:bCs/>
                <w:sz w:val="18"/>
                <w:szCs w:val="18"/>
              </w:rPr>
              <w:t>LVRG</w:t>
            </w:r>
          </w:p>
        </w:tc>
        <w:tc>
          <w:tcPr>
            <w:tcW w:w="337" w:type="pct"/>
            <w:tcBorders>
              <w:top w:val="single" w:sz="12" w:space="0" w:color="auto"/>
              <w:left w:val="nil"/>
              <w:bottom w:val="single" w:sz="8" w:space="0" w:color="auto"/>
              <w:right w:val="nil"/>
            </w:tcBorders>
          </w:tcPr>
          <w:p w14:paraId="5AE8D335" w14:textId="5CB56783" w:rsidR="001938BC" w:rsidRPr="005B7CAC" w:rsidRDefault="001938BC" w:rsidP="00C90660">
            <w:pPr>
              <w:widowControl w:val="0"/>
              <w:autoSpaceDE w:val="0"/>
              <w:autoSpaceDN w:val="0"/>
              <w:adjustRightInd w:val="0"/>
              <w:spacing w:after="0" w:line="240" w:lineRule="auto"/>
              <w:jc w:val="right"/>
              <w:rPr>
                <w:rFonts w:ascii="Times New Roman" w:hAnsi="Times New Roman"/>
                <w:b/>
                <w:bCs/>
                <w:sz w:val="18"/>
                <w:szCs w:val="18"/>
              </w:rPr>
            </w:pPr>
            <w:r w:rsidRPr="005B7CAC">
              <w:rPr>
                <w:rFonts w:ascii="Times New Roman" w:hAnsi="Times New Roman"/>
                <w:b/>
                <w:bCs/>
                <w:sz w:val="18"/>
                <w:szCs w:val="18"/>
              </w:rPr>
              <w:t>SLCK</w:t>
            </w:r>
          </w:p>
        </w:tc>
        <w:tc>
          <w:tcPr>
            <w:tcW w:w="251" w:type="pct"/>
            <w:tcBorders>
              <w:top w:val="single" w:sz="12" w:space="0" w:color="auto"/>
              <w:left w:val="nil"/>
              <w:bottom w:val="single" w:sz="8" w:space="0" w:color="auto"/>
              <w:right w:val="nil"/>
            </w:tcBorders>
          </w:tcPr>
          <w:p w14:paraId="30FB7A09" w14:textId="5AFDA09A" w:rsidR="001938BC" w:rsidRPr="005B7CAC" w:rsidRDefault="001938BC" w:rsidP="00C90660">
            <w:pPr>
              <w:widowControl w:val="0"/>
              <w:autoSpaceDE w:val="0"/>
              <w:autoSpaceDN w:val="0"/>
              <w:adjustRightInd w:val="0"/>
              <w:spacing w:after="0" w:line="240" w:lineRule="auto"/>
              <w:jc w:val="right"/>
              <w:rPr>
                <w:rFonts w:ascii="Times New Roman" w:hAnsi="Times New Roman"/>
                <w:b/>
                <w:bCs/>
                <w:sz w:val="18"/>
                <w:szCs w:val="18"/>
              </w:rPr>
            </w:pPr>
            <w:r w:rsidRPr="005B7CAC">
              <w:rPr>
                <w:rFonts w:ascii="Times New Roman" w:hAnsi="Times New Roman"/>
                <w:b/>
                <w:bCs/>
                <w:sz w:val="18"/>
                <w:szCs w:val="18"/>
              </w:rPr>
              <w:t>CPIN</w:t>
            </w:r>
          </w:p>
        </w:tc>
      </w:tr>
      <w:tr w:rsidR="005B7CAC" w:rsidRPr="005B7CAC" w14:paraId="0FE44325" w14:textId="77777777" w:rsidTr="001938BC">
        <w:tc>
          <w:tcPr>
            <w:tcW w:w="368" w:type="pct"/>
            <w:tcBorders>
              <w:top w:val="single" w:sz="8" w:space="0" w:color="auto"/>
              <w:left w:val="nil"/>
              <w:bottom w:val="nil"/>
              <w:right w:val="nil"/>
            </w:tcBorders>
          </w:tcPr>
          <w:p w14:paraId="2F8CB221" w14:textId="77777777" w:rsidR="001938BC" w:rsidRPr="005B7CAC" w:rsidRDefault="001938BC" w:rsidP="00C90660">
            <w:pPr>
              <w:widowControl w:val="0"/>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Z_UK</w:t>
            </w:r>
          </w:p>
        </w:tc>
        <w:tc>
          <w:tcPr>
            <w:tcW w:w="337" w:type="pct"/>
            <w:tcBorders>
              <w:top w:val="single" w:sz="8" w:space="0" w:color="auto"/>
              <w:left w:val="nil"/>
              <w:bottom w:val="nil"/>
              <w:right w:val="nil"/>
            </w:tcBorders>
          </w:tcPr>
          <w:p w14:paraId="439A6B90"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1.00</w:t>
            </w:r>
          </w:p>
        </w:tc>
        <w:tc>
          <w:tcPr>
            <w:tcW w:w="337" w:type="pct"/>
            <w:tcBorders>
              <w:top w:val="single" w:sz="8" w:space="0" w:color="auto"/>
              <w:left w:val="nil"/>
              <w:bottom w:val="nil"/>
              <w:right w:val="nil"/>
            </w:tcBorders>
          </w:tcPr>
          <w:p w14:paraId="161D4968" w14:textId="77777777" w:rsidR="001938BC" w:rsidRPr="005B7CAC" w:rsidRDefault="001938BC" w:rsidP="00C90660">
            <w:pPr>
              <w:widowControl w:val="0"/>
              <w:autoSpaceDE w:val="0"/>
              <w:autoSpaceDN w:val="0"/>
              <w:adjustRightInd w:val="0"/>
              <w:spacing w:after="0" w:line="240" w:lineRule="auto"/>
              <w:jc w:val="right"/>
              <w:rPr>
                <w:rFonts w:ascii="Times New Roman" w:hAnsi="Times New Roman"/>
                <w:sz w:val="18"/>
                <w:szCs w:val="18"/>
              </w:rPr>
            </w:pPr>
          </w:p>
        </w:tc>
        <w:tc>
          <w:tcPr>
            <w:tcW w:w="337" w:type="pct"/>
            <w:tcBorders>
              <w:top w:val="single" w:sz="8" w:space="0" w:color="auto"/>
              <w:left w:val="nil"/>
              <w:bottom w:val="nil"/>
              <w:right w:val="nil"/>
            </w:tcBorders>
          </w:tcPr>
          <w:p w14:paraId="7C95E94D" w14:textId="77777777" w:rsidR="001938BC" w:rsidRPr="005B7CAC" w:rsidRDefault="001938BC" w:rsidP="00C90660">
            <w:pPr>
              <w:widowControl w:val="0"/>
              <w:autoSpaceDE w:val="0"/>
              <w:autoSpaceDN w:val="0"/>
              <w:adjustRightInd w:val="0"/>
              <w:spacing w:after="0" w:line="240" w:lineRule="auto"/>
              <w:jc w:val="right"/>
              <w:rPr>
                <w:rFonts w:ascii="Times New Roman" w:hAnsi="Times New Roman"/>
                <w:sz w:val="18"/>
                <w:szCs w:val="18"/>
              </w:rPr>
            </w:pPr>
          </w:p>
        </w:tc>
        <w:tc>
          <w:tcPr>
            <w:tcW w:w="337" w:type="pct"/>
            <w:tcBorders>
              <w:top w:val="single" w:sz="8" w:space="0" w:color="auto"/>
              <w:left w:val="nil"/>
              <w:bottom w:val="nil"/>
              <w:right w:val="nil"/>
            </w:tcBorders>
          </w:tcPr>
          <w:p w14:paraId="1E243CF7" w14:textId="77777777" w:rsidR="001938BC" w:rsidRPr="005B7CAC" w:rsidRDefault="001938BC" w:rsidP="00C90660">
            <w:pPr>
              <w:widowControl w:val="0"/>
              <w:autoSpaceDE w:val="0"/>
              <w:autoSpaceDN w:val="0"/>
              <w:adjustRightInd w:val="0"/>
              <w:spacing w:after="0" w:line="240" w:lineRule="auto"/>
              <w:jc w:val="right"/>
              <w:rPr>
                <w:rFonts w:ascii="Times New Roman" w:hAnsi="Times New Roman"/>
                <w:sz w:val="18"/>
                <w:szCs w:val="18"/>
              </w:rPr>
            </w:pPr>
          </w:p>
        </w:tc>
        <w:tc>
          <w:tcPr>
            <w:tcW w:w="337" w:type="pct"/>
            <w:tcBorders>
              <w:top w:val="single" w:sz="8" w:space="0" w:color="auto"/>
              <w:left w:val="nil"/>
              <w:bottom w:val="nil"/>
              <w:right w:val="nil"/>
            </w:tcBorders>
          </w:tcPr>
          <w:p w14:paraId="6F438B4C" w14:textId="77777777" w:rsidR="001938BC" w:rsidRPr="005B7CAC" w:rsidRDefault="001938BC" w:rsidP="00C90660">
            <w:pPr>
              <w:widowControl w:val="0"/>
              <w:autoSpaceDE w:val="0"/>
              <w:autoSpaceDN w:val="0"/>
              <w:adjustRightInd w:val="0"/>
              <w:spacing w:after="0" w:line="240" w:lineRule="auto"/>
              <w:jc w:val="right"/>
              <w:rPr>
                <w:rFonts w:ascii="Times New Roman" w:hAnsi="Times New Roman"/>
                <w:sz w:val="18"/>
                <w:szCs w:val="18"/>
              </w:rPr>
            </w:pPr>
          </w:p>
        </w:tc>
        <w:tc>
          <w:tcPr>
            <w:tcW w:w="337" w:type="pct"/>
            <w:tcBorders>
              <w:top w:val="single" w:sz="8" w:space="0" w:color="auto"/>
              <w:left w:val="nil"/>
              <w:bottom w:val="nil"/>
              <w:right w:val="nil"/>
            </w:tcBorders>
          </w:tcPr>
          <w:p w14:paraId="0D43CBF6" w14:textId="77777777" w:rsidR="001938BC" w:rsidRPr="005B7CAC" w:rsidRDefault="001938BC" w:rsidP="00C90660">
            <w:pPr>
              <w:widowControl w:val="0"/>
              <w:autoSpaceDE w:val="0"/>
              <w:autoSpaceDN w:val="0"/>
              <w:adjustRightInd w:val="0"/>
              <w:spacing w:after="0" w:line="240" w:lineRule="auto"/>
              <w:jc w:val="right"/>
              <w:rPr>
                <w:rFonts w:ascii="Times New Roman" w:hAnsi="Times New Roman"/>
                <w:sz w:val="18"/>
                <w:szCs w:val="18"/>
              </w:rPr>
            </w:pPr>
          </w:p>
        </w:tc>
        <w:tc>
          <w:tcPr>
            <w:tcW w:w="337" w:type="pct"/>
            <w:tcBorders>
              <w:top w:val="single" w:sz="8" w:space="0" w:color="auto"/>
              <w:left w:val="nil"/>
              <w:bottom w:val="nil"/>
              <w:right w:val="nil"/>
            </w:tcBorders>
          </w:tcPr>
          <w:p w14:paraId="7CF45ED3" w14:textId="77777777" w:rsidR="001938BC" w:rsidRPr="005B7CAC" w:rsidRDefault="001938BC" w:rsidP="00C90660">
            <w:pPr>
              <w:widowControl w:val="0"/>
              <w:autoSpaceDE w:val="0"/>
              <w:autoSpaceDN w:val="0"/>
              <w:adjustRightInd w:val="0"/>
              <w:spacing w:after="0" w:line="240" w:lineRule="auto"/>
              <w:jc w:val="right"/>
              <w:rPr>
                <w:rFonts w:ascii="Times New Roman" w:hAnsi="Times New Roman"/>
                <w:sz w:val="18"/>
                <w:szCs w:val="18"/>
              </w:rPr>
            </w:pPr>
          </w:p>
        </w:tc>
        <w:tc>
          <w:tcPr>
            <w:tcW w:w="337" w:type="pct"/>
            <w:tcBorders>
              <w:top w:val="single" w:sz="8" w:space="0" w:color="auto"/>
              <w:left w:val="nil"/>
              <w:bottom w:val="nil"/>
              <w:right w:val="nil"/>
            </w:tcBorders>
          </w:tcPr>
          <w:p w14:paraId="45E6C947" w14:textId="77777777" w:rsidR="001938BC" w:rsidRPr="005B7CAC" w:rsidRDefault="001938BC" w:rsidP="00C90660">
            <w:pPr>
              <w:widowControl w:val="0"/>
              <w:autoSpaceDE w:val="0"/>
              <w:autoSpaceDN w:val="0"/>
              <w:adjustRightInd w:val="0"/>
              <w:spacing w:after="0" w:line="240" w:lineRule="auto"/>
              <w:jc w:val="right"/>
              <w:rPr>
                <w:rFonts w:ascii="Times New Roman" w:hAnsi="Times New Roman"/>
                <w:sz w:val="18"/>
                <w:szCs w:val="18"/>
              </w:rPr>
            </w:pPr>
          </w:p>
        </w:tc>
        <w:tc>
          <w:tcPr>
            <w:tcW w:w="337" w:type="pct"/>
            <w:tcBorders>
              <w:top w:val="single" w:sz="8" w:space="0" w:color="auto"/>
              <w:left w:val="nil"/>
              <w:bottom w:val="nil"/>
              <w:right w:val="nil"/>
            </w:tcBorders>
          </w:tcPr>
          <w:p w14:paraId="41C46FC0" w14:textId="77777777" w:rsidR="001938BC" w:rsidRPr="005B7CAC" w:rsidRDefault="001938BC" w:rsidP="00C90660">
            <w:pPr>
              <w:widowControl w:val="0"/>
              <w:autoSpaceDE w:val="0"/>
              <w:autoSpaceDN w:val="0"/>
              <w:adjustRightInd w:val="0"/>
              <w:spacing w:after="0" w:line="240" w:lineRule="auto"/>
              <w:jc w:val="right"/>
              <w:rPr>
                <w:rFonts w:ascii="Times New Roman" w:hAnsi="Times New Roman"/>
                <w:sz w:val="18"/>
                <w:szCs w:val="18"/>
              </w:rPr>
            </w:pPr>
          </w:p>
        </w:tc>
        <w:tc>
          <w:tcPr>
            <w:tcW w:w="337" w:type="pct"/>
            <w:tcBorders>
              <w:top w:val="single" w:sz="8" w:space="0" w:color="auto"/>
              <w:left w:val="nil"/>
              <w:bottom w:val="nil"/>
              <w:right w:val="nil"/>
            </w:tcBorders>
          </w:tcPr>
          <w:p w14:paraId="27FFF31E" w14:textId="77777777" w:rsidR="001938BC" w:rsidRPr="005B7CAC" w:rsidRDefault="001938BC" w:rsidP="00C90660">
            <w:pPr>
              <w:widowControl w:val="0"/>
              <w:autoSpaceDE w:val="0"/>
              <w:autoSpaceDN w:val="0"/>
              <w:adjustRightInd w:val="0"/>
              <w:spacing w:after="0" w:line="240" w:lineRule="auto"/>
              <w:jc w:val="right"/>
              <w:rPr>
                <w:rFonts w:ascii="Times New Roman" w:hAnsi="Times New Roman"/>
                <w:sz w:val="18"/>
                <w:szCs w:val="18"/>
              </w:rPr>
            </w:pPr>
          </w:p>
        </w:tc>
        <w:tc>
          <w:tcPr>
            <w:tcW w:w="337" w:type="pct"/>
            <w:tcBorders>
              <w:top w:val="single" w:sz="8" w:space="0" w:color="auto"/>
              <w:left w:val="nil"/>
              <w:bottom w:val="nil"/>
              <w:right w:val="nil"/>
            </w:tcBorders>
          </w:tcPr>
          <w:p w14:paraId="211E7BA0" w14:textId="77777777" w:rsidR="001938BC" w:rsidRPr="005B7CAC" w:rsidRDefault="001938BC" w:rsidP="00C90660">
            <w:pPr>
              <w:widowControl w:val="0"/>
              <w:autoSpaceDE w:val="0"/>
              <w:autoSpaceDN w:val="0"/>
              <w:adjustRightInd w:val="0"/>
              <w:spacing w:after="0" w:line="240" w:lineRule="auto"/>
              <w:jc w:val="right"/>
              <w:rPr>
                <w:rFonts w:ascii="Times New Roman" w:hAnsi="Times New Roman"/>
                <w:sz w:val="18"/>
                <w:szCs w:val="18"/>
              </w:rPr>
            </w:pPr>
          </w:p>
        </w:tc>
        <w:tc>
          <w:tcPr>
            <w:tcW w:w="337" w:type="pct"/>
            <w:tcBorders>
              <w:top w:val="single" w:sz="8" w:space="0" w:color="auto"/>
              <w:left w:val="nil"/>
              <w:bottom w:val="nil"/>
              <w:right w:val="nil"/>
            </w:tcBorders>
          </w:tcPr>
          <w:p w14:paraId="297965AB" w14:textId="77777777" w:rsidR="001938BC" w:rsidRPr="005B7CAC" w:rsidRDefault="001938BC" w:rsidP="00C90660">
            <w:pPr>
              <w:widowControl w:val="0"/>
              <w:autoSpaceDE w:val="0"/>
              <w:autoSpaceDN w:val="0"/>
              <w:adjustRightInd w:val="0"/>
              <w:spacing w:after="0" w:line="240" w:lineRule="auto"/>
              <w:jc w:val="right"/>
              <w:rPr>
                <w:rFonts w:ascii="Times New Roman" w:hAnsi="Times New Roman"/>
                <w:sz w:val="18"/>
                <w:szCs w:val="18"/>
              </w:rPr>
            </w:pPr>
          </w:p>
        </w:tc>
        <w:tc>
          <w:tcPr>
            <w:tcW w:w="337" w:type="pct"/>
            <w:tcBorders>
              <w:top w:val="single" w:sz="8" w:space="0" w:color="auto"/>
              <w:left w:val="nil"/>
              <w:bottom w:val="nil"/>
              <w:right w:val="nil"/>
            </w:tcBorders>
          </w:tcPr>
          <w:p w14:paraId="313E21F8" w14:textId="77777777" w:rsidR="001938BC" w:rsidRPr="005B7CAC" w:rsidRDefault="001938BC" w:rsidP="00C90660">
            <w:pPr>
              <w:widowControl w:val="0"/>
              <w:autoSpaceDE w:val="0"/>
              <w:autoSpaceDN w:val="0"/>
              <w:adjustRightInd w:val="0"/>
              <w:spacing w:after="0" w:line="240" w:lineRule="auto"/>
              <w:jc w:val="right"/>
              <w:rPr>
                <w:rFonts w:ascii="Times New Roman" w:hAnsi="Times New Roman"/>
                <w:sz w:val="18"/>
                <w:szCs w:val="18"/>
              </w:rPr>
            </w:pPr>
          </w:p>
        </w:tc>
        <w:tc>
          <w:tcPr>
            <w:tcW w:w="251" w:type="pct"/>
            <w:tcBorders>
              <w:top w:val="single" w:sz="8" w:space="0" w:color="auto"/>
              <w:left w:val="nil"/>
              <w:bottom w:val="nil"/>
              <w:right w:val="nil"/>
            </w:tcBorders>
          </w:tcPr>
          <w:p w14:paraId="37AA008F" w14:textId="77777777" w:rsidR="001938BC" w:rsidRPr="005B7CAC" w:rsidRDefault="001938BC" w:rsidP="00C90660">
            <w:pPr>
              <w:widowControl w:val="0"/>
              <w:autoSpaceDE w:val="0"/>
              <w:autoSpaceDN w:val="0"/>
              <w:adjustRightInd w:val="0"/>
              <w:spacing w:after="0" w:line="240" w:lineRule="auto"/>
              <w:jc w:val="right"/>
              <w:rPr>
                <w:rFonts w:ascii="Times New Roman" w:hAnsi="Times New Roman"/>
                <w:sz w:val="18"/>
                <w:szCs w:val="18"/>
              </w:rPr>
            </w:pPr>
          </w:p>
        </w:tc>
      </w:tr>
      <w:tr w:rsidR="005B7CAC" w:rsidRPr="005B7CAC" w14:paraId="6BBE9D92" w14:textId="77777777" w:rsidTr="001938BC">
        <w:tc>
          <w:tcPr>
            <w:tcW w:w="368" w:type="pct"/>
            <w:tcBorders>
              <w:top w:val="nil"/>
              <w:left w:val="nil"/>
              <w:bottom w:val="nil"/>
              <w:right w:val="nil"/>
            </w:tcBorders>
          </w:tcPr>
          <w:p w14:paraId="42F0AA13" w14:textId="77777777" w:rsidR="001938BC" w:rsidRPr="005B7CAC" w:rsidRDefault="001938BC" w:rsidP="00C90660">
            <w:pPr>
              <w:widowControl w:val="0"/>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Z_ALT</w:t>
            </w:r>
          </w:p>
        </w:tc>
        <w:tc>
          <w:tcPr>
            <w:tcW w:w="337" w:type="pct"/>
            <w:tcBorders>
              <w:top w:val="nil"/>
              <w:left w:val="nil"/>
              <w:bottom w:val="nil"/>
              <w:right w:val="nil"/>
            </w:tcBorders>
          </w:tcPr>
          <w:p w14:paraId="25B96742"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0.85***</w:t>
            </w:r>
          </w:p>
        </w:tc>
        <w:tc>
          <w:tcPr>
            <w:tcW w:w="337" w:type="pct"/>
            <w:tcBorders>
              <w:top w:val="nil"/>
              <w:left w:val="nil"/>
              <w:bottom w:val="nil"/>
              <w:right w:val="nil"/>
            </w:tcBorders>
          </w:tcPr>
          <w:p w14:paraId="54BB05F9"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1.00</w:t>
            </w:r>
          </w:p>
        </w:tc>
        <w:tc>
          <w:tcPr>
            <w:tcW w:w="337" w:type="pct"/>
            <w:tcBorders>
              <w:top w:val="nil"/>
              <w:left w:val="nil"/>
              <w:bottom w:val="nil"/>
              <w:right w:val="nil"/>
            </w:tcBorders>
          </w:tcPr>
          <w:p w14:paraId="25E107BC"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44F28ED0"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285DA166"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2B0585BF"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0DE8B300"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3327CCD6"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18E9EC4F"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611B5FE0"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7239F1A8"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33F8BFB4"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68DF3807"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251" w:type="pct"/>
            <w:tcBorders>
              <w:top w:val="nil"/>
              <w:left w:val="nil"/>
              <w:bottom w:val="nil"/>
              <w:right w:val="nil"/>
            </w:tcBorders>
          </w:tcPr>
          <w:p w14:paraId="56754400"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r>
      <w:tr w:rsidR="005B7CAC" w:rsidRPr="005B7CAC" w14:paraId="099D0C2C" w14:textId="77777777" w:rsidTr="001938BC">
        <w:tc>
          <w:tcPr>
            <w:tcW w:w="368" w:type="pct"/>
            <w:tcBorders>
              <w:top w:val="nil"/>
              <w:left w:val="nil"/>
              <w:bottom w:val="nil"/>
              <w:right w:val="nil"/>
            </w:tcBorders>
          </w:tcPr>
          <w:p w14:paraId="0AAFE79F" w14:textId="77777777" w:rsidR="001938BC" w:rsidRPr="005B7CAC" w:rsidRDefault="001938BC" w:rsidP="00C90660">
            <w:pPr>
              <w:widowControl w:val="0"/>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WAST</w:t>
            </w:r>
          </w:p>
        </w:tc>
        <w:tc>
          <w:tcPr>
            <w:tcW w:w="337" w:type="pct"/>
            <w:tcBorders>
              <w:top w:val="nil"/>
              <w:left w:val="nil"/>
              <w:bottom w:val="nil"/>
              <w:right w:val="nil"/>
            </w:tcBorders>
          </w:tcPr>
          <w:p w14:paraId="195582B9" w14:textId="0D469BFB"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lang w:val="en-US"/>
              </w:rPr>
            </w:pPr>
            <w:r w:rsidRPr="005B7CAC">
              <w:rPr>
                <w:rFonts w:ascii="Times New Roman" w:hAnsi="Times New Roman"/>
                <w:sz w:val="18"/>
                <w:szCs w:val="18"/>
              </w:rPr>
              <w:t>-0.0</w:t>
            </w:r>
            <w:r w:rsidRPr="005B7CAC">
              <w:rPr>
                <w:rFonts w:ascii="Times New Roman" w:hAnsi="Times New Roman"/>
                <w:sz w:val="18"/>
                <w:szCs w:val="18"/>
                <w:lang w:val="en-US"/>
              </w:rPr>
              <w:t>4</w:t>
            </w:r>
            <w:r w:rsidRPr="005B7CAC">
              <w:rPr>
                <w:rFonts w:ascii="Times New Roman" w:hAnsi="Times New Roman"/>
                <w:sz w:val="18"/>
                <w:szCs w:val="18"/>
              </w:rPr>
              <w:t>*</w:t>
            </w:r>
          </w:p>
        </w:tc>
        <w:tc>
          <w:tcPr>
            <w:tcW w:w="337" w:type="pct"/>
            <w:tcBorders>
              <w:top w:val="nil"/>
              <w:left w:val="nil"/>
              <w:bottom w:val="nil"/>
              <w:right w:val="nil"/>
            </w:tcBorders>
          </w:tcPr>
          <w:p w14:paraId="0084C362"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-0.15***</w:t>
            </w:r>
          </w:p>
        </w:tc>
        <w:tc>
          <w:tcPr>
            <w:tcW w:w="337" w:type="pct"/>
            <w:tcBorders>
              <w:top w:val="nil"/>
              <w:left w:val="nil"/>
              <w:bottom w:val="nil"/>
              <w:right w:val="nil"/>
            </w:tcBorders>
          </w:tcPr>
          <w:p w14:paraId="004847B8"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1.00</w:t>
            </w:r>
          </w:p>
        </w:tc>
        <w:tc>
          <w:tcPr>
            <w:tcW w:w="337" w:type="pct"/>
            <w:tcBorders>
              <w:top w:val="nil"/>
              <w:left w:val="nil"/>
              <w:bottom w:val="nil"/>
              <w:right w:val="nil"/>
            </w:tcBorders>
          </w:tcPr>
          <w:p w14:paraId="6FF40B66"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00663E2E"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6D6C2AEC"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69B79320"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4294105C"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45447C2D"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6F5CB39F"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5263BC78"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57421C09"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1E3A7A4F"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251" w:type="pct"/>
            <w:tcBorders>
              <w:top w:val="nil"/>
              <w:left w:val="nil"/>
              <w:bottom w:val="nil"/>
              <w:right w:val="nil"/>
            </w:tcBorders>
          </w:tcPr>
          <w:p w14:paraId="4472F7E6"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r>
      <w:tr w:rsidR="005B7CAC" w:rsidRPr="005B7CAC" w14:paraId="273D2BE8" w14:textId="77777777" w:rsidTr="001938BC">
        <w:tc>
          <w:tcPr>
            <w:tcW w:w="368" w:type="pct"/>
            <w:tcBorders>
              <w:top w:val="nil"/>
              <w:left w:val="nil"/>
              <w:bottom w:val="nil"/>
              <w:right w:val="nil"/>
            </w:tcBorders>
          </w:tcPr>
          <w:p w14:paraId="68E8B0C0" w14:textId="77777777" w:rsidR="001938BC" w:rsidRPr="005B7CAC" w:rsidRDefault="001938BC" w:rsidP="00C90660">
            <w:pPr>
              <w:widowControl w:val="0"/>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WREC</w:t>
            </w:r>
          </w:p>
        </w:tc>
        <w:tc>
          <w:tcPr>
            <w:tcW w:w="337" w:type="pct"/>
            <w:tcBorders>
              <w:top w:val="nil"/>
              <w:left w:val="nil"/>
              <w:bottom w:val="nil"/>
              <w:right w:val="nil"/>
            </w:tcBorders>
          </w:tcPr>
          <w:p w14:paraId="41D19B81"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0.13***</w:t>
            </w:r>
          </w:p>
        </w:tc>
        <w:tc>
          <w:tcPr>
            <w:tcW w:w="337" w:type="pct"/>
            <w:tcBorders>
              <w:top w:val="nil"/>
              <w:left w:val="nil"/>
              <w:bottom w:val="nil"/>
              <w:right w:val="nil"/>
            </w:tcBorders>
          </w:tcPr>
          <w:p w14:paraId="214770F7"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0.14***</w:t>
            </w:r>
          </w:p>
        </w:tc>
        <w:tc>
          <w:tcPr>
            <w:tcW w:w="337" w:type="pct"/>
            <w:tcBorders>
              <w:top w:val="nil"/>
              <w:left w:val="nil"/>
              <w:bottom w:val="nil"/>
              <w:right w:val="nil"/>
            </w:tcBorders>
          </w:tcPr>
          <w:p w14:paraId="4CC58A0C"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-0.29***</w:t>
            </w:r>
          </w:p>
        </w:tc>
        <w:tc>
          <w:tcPr>
            <w:tcW w:w="337" w:type="pct"/>
            <w:tcBorders>
              <w:top w:val="nil"/>
              <w:left w:val="nil"/>
              <w:bottom w:val="nil"/>
              <w:right w:val="nil"/>
            </w:tcBorders>
          </w:tcPr>
          <w:p w14:paraId="514DD1CA"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1.00</w:t>
            </w:r>
          </w:p>
        </w:tc>
        <w:tc>
          <w:tcPr>
            <w:tcW w:w="337" w:type="pct"/>
            <w:tcBorders>
              <w:top w:val="nil"/>
              <w:left w:val="nil"/>
              <w:bottom w:val="nil"/>
              <w:right w:val="nil"/>
            </w:tcBorders>
          </w:tcPr>
          <w:p w14:paraId="31760DA6"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18F655ED"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3D4B168D"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04ACF492"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7A2F343E"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7FF418FE"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526FCCD2"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26117A91"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0797E432"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251" w:type="pct"/>
            <w:tcBorders>
              <w:top w:val="nil"/>
              <w:left w:val="nil"/>
              <w:bottom w:val="nil"/>
              <w:right w:val="nil"/>
            </w:tcBorders>
          </w:tcPr>
          <w:p w14:paraId="691A0BA2"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r>
      <w:tr w:rsidR="005B7CAC" w:rsidRPr="005B7CAC" w14:paraId="0993F1D0" w14:textId="77777777" w:rsidTr="001938BC">
        <w:tc>
          <w:tcPr>
            <w:tcW w:w="368" w:type="pct"/>
            <w:tcBorders>
              <w:top w:val="nil"/>
              <w:left w:val="nil"/>
              <w:bottom w:val="nil"/>
              <w:right w:val="nil"/>
            </w:tcBorders>
          </w:tcPr>
          <w:p w14:paraId="70CA25E4" w14:textId="77777777" w:rsidR="001938BC" w:rsidRPr="005B7CAC" w:rsidRDefault="001938BC" w:rsidP="00C90660">
            <w:pPr>
              <w:widowControl w:val="0"/>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GINVs</w:t>
            </w:r>
          </w:p>
        </w:tc>
        <w:tc>
          <w:tcPr>
            <w:tcW w:w="337" w:type="pct"/>
            <w:tcBorders>
              <w:top w:val="nil"/>
              <w:left w:val="nil"/>
              <w:bottom w:val="nil"/>
              <w:right w:val="nil"/>
            </w:tcBorders>
          </w:tcPr>
          <w:p w14:paraId="161C8807"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-0.16***</w:t>
            </w:r>
          </w:p>
        </w:tc>
        <w:tc>
          <w:tcPr>
            <w:tcW w:w="337" w:type="pct"/>
            <w:tcBorders>
              <w:top w:val="nil"/>
              <w:left w:val="nil"/>
              <w:bottom w:val="nil"/>
              <w:right w:val="nil"/>
            </w:tcBorders>
          </w:tcPr>
          <w:p w14:paraId="5F9B331B"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-0.08***</w:t>
            </w:r>
          </w:p>
        </w:tc>
        <w:tc>
          <w:tcPr>
            <w:tcW w:w="337" w:type="pct"/>
            <w:tcBorders>
              <w:top w:val="nil"/>
              <w:left w:val="nil"/>
              <w:bottom w:val="nil"/>
              <w:right w:val="nil"/>
            </w:tcBorders>
          </w:tcPr>
          <w:p w14:paraId="60048659"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0.03</w:t>
            </w:r>
          </w:p>
        </w:tc>
        <w:tc>
          <w:tcPr>
            <w:tcW w:w="337" w:type="pct"/>
            <w:tcBorders>
              <w:top w:val="nil"/>
              <w:left w:val="nil"/>
              <w:bottom w:val="nil"/>
              <w:right w:val="nil"/>
            </w:tcBorders>
          </w:tcPr>
          <w:p w14:paraId="28A2E19F"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0.00</w:t>
            </w:r>
          </w:p>
        </w:tc>
        <w:tc>
          <w:tcPr>
            <w:tcW w:w="337" w:type="pct"/>
            <w:tcBorders>
              <w:top w:val="nil"/>
              <w:left w:val="nil"/>
              <w:bottom w:val="nil"/>
              <w:right w:val="nil"/>
            </w:tcBorders>
          </w:tcPr>
          <w:p w14:paraId="0BB649B6"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1.00</w:t>
            </w:r>
          </w:p>
        </w:tc>
        <w:tc>
          <w:tcPr>
            <w:tcW w:w="337" w:type="pct"/>
            <w:tcBorders>
              <w:top w:val="nil"/>
              <w:left w:val="nil"/>
              <w:bottom w:val="nil"/>
              <w:right w:val="nil"/>
            </w:tcBorders>
          </w:tcPr>
          <w:p w14:paraId="6B368064"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24E85BCA"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011617BF"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4799B92D"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6F61D56D"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1745B95A"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68E463D2"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1CD65CFD"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251" w:type="pct"/>
            <w:tcBorders>
              <w:top w:val="nil"/>
              <w:left w:val="nil"/>
              <w:bottom w:val="nil"/>
              <w:right w:val="nil"/>
            </w:tcBorders>
          </w:tcPr>
          <w:p w14:paraId="66BA0663"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r>
      <w:tr w:rsidR="005B7CAC" w:rsidRPr="005B7CAC" w14:paraId="219C701E" w14:textId="77777777" w:rsidTr="001938BC">
        <w:tc>
          <w:tcPr>
            <w:tcW w:w="368" w:type="pct"/>
            <w:tcBorders>
              <w:top w:val="nil"/>
              <w:left w:val="nil"/>
              <w:bottom w:val="nil"/>
              <w:right w:val="nil"/>
            </w:tcBorders>
          </w:tcPr>
          <w:p w14:paraId="0BB076FB" w14:textId="77777777" w:rsidR="001938BC" w:rsidRPr="005B7CAC" w:rsidRDefault="001938BC" w:rsidP="00C90660">
            <w:pPr>
              <w:widowControl w:val="0"/>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BSIZE</w:t>
            </w:r>
          </w:p>
        </w:tc>
        <w:tc>
          <w:tcPr>
            <w:tcW w:w="337" w:type="pct"/>
            <w:tcBorders>
              <w:top w:val="nil"/>
              <w:left w:val="nil"/>
              <w:bottom w:val="nil"/>
              <w:right w:val="nil"/>
            </w:tcBorders>
          </w:tcPr>
          <w:p w14:paraId="0BD13A6D"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-0.26***</w:t>
            </w:r>
          </w:p>
        </w:tc>
        <w:tc>
          <w:tcPr>
            <w:tcW w:w="337" w:type="pct"/>
            <w:tcBorders>
              <w:top w:val="nil"/>
              <w:left w:val="nil"/>
              <w:bottom w:val="nil"/>
              <w:right w:val="nil"/>
            </w:tcBorders>
          </w:tcPr>
          <w:p w14:paraId="74BB26C2"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-0.18***</w:t>
            </w:r>
          </w:p>
        </w:tc>
        <w:tc>
          <w:tcPr>
            <w:tcW w:w="337" w:type="pct"/>
            <w:tcBorders>
              <w:top w:val="nil"/>
              <w:left w:val="nil"/>
              <w:bottom w:val="nil"/>
              <w:right w:val="nil"/>
            </w:tcBorders>
          </w:tcPr>
          <w:p w14:paraId="4ACAE566"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-0.03</w:t>
            </w:r>
          </w:p>
        </w:tc>
        <w:tc>
          <w:tcPr>
            <w:tcW w:w="337" w:type="pct"/>
            <w:tcBorders>
              <w:top w:val="nil"/>
              <w:left w:val="nil"/>
              <w:bottom w:val="nil"/>
              <w:right w:val="nil"/>
            </w:tcBorders>
          </w:tcPr>
          <w:p w14:paraId="64CF5CE2"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-0.02</w:t>
            </w:r>
          </w:p>
        </w:tc>
        <w:tc>
          <w:tcPr>
            <w:tcW w:w="337" w:type="pct"/>
            <w:tcBorders>
              <w:top w:val="nil"/>
              <w:left w:val="nil"/>
              <w:bottom w:val="nil"/>
              <w:right w:val="nil"/>
            </w:tcBorders>
          </w:tcPr>
          <w:p w14:paraId="022B3A59"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0.24***</w:t>
            </w:r>
          </w:p>
        </w:tc>
        <w:tc>
          <w:tcPr>
            <w:tcW w:w="337" w:type="pct"/>
            <w:tcBorders>
              <w:top w:val="nil"/>
              <w:left w:val="nil"/>
              <w:bottom w:val="nil"/>
              <w:right w:val="nil"/>
            </w:tcBorders>
          </w:tcPr>
          <w:p w14:paraId="4F6A1F8E"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1.00</w:t>
            </w:r>
          </w:p>
        </w:tc>
        <w:tc>
          <w:tcPr>
            <w:tcW w:w="337" w:type="pct"/>
            <w:tcBorders>
              <w:top w:val="nil"/>
              <w:left w:val="nil"/>
              <w:bottom w:val="nil"/>
              <w:right w:val="nil"/>
            </w:tcBorders>
          </w:tcPr>
          <w:p w14:paraId="35495F68"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5ADDFAF0"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10F0A115"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7A605893"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5D32F736"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0742BD8B"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266E38B1"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251" w:type="pct"/>
            <w:tcBorders>
              <w:top w:val="nil"/>
              <w:left w:val="nil"/>
              <w:bottom w:val="nil"/>
              <w:right w:val="nil"/>
            </w:tcBorders>
          </w:tcPr>
          <w:p w14:paraId="6D81A4CE"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r>
      <w:tr w:rsidR="005B7CAC" w:rsidRPr="005B7CAC" w14:paraId="5F7107C4" w14:textId="77777777" w:rsidTr="001938BC">
        <w:tc>
          <w:tcPr>
            <w:tcW w:w="368" w:type="pct"/>
            <w:tcBorders>
              <w:top w:val="nil"/>
              <w:left w:val="nil"/>
              <w:bottom w:val="nil"/>
              <w:right w:val="nil"/>
            </w:tcBorders>
          </w:tcPr>
          <w:p w14:paraId="0985FD5A" w14:textId="77777777" w:rsidR="001938BC" w:rsidRPr="005B7CAC" w:rsidRDefault="001938BC" w:rsidP="00C90660">
            <w:pPr>
              <w:widowControl w:val="0"/>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BGDIV</w:t>
            </w:r>
          </w:p>
        </w:tc>
        <w:tc>
          <w:tcPr>
            <w:tcW w:w="337" w:type="pct"/>
            <w:tcBorders>
              <w:top w:val="nil"/>
              <w:left w:val="nil"/>
              <w:bottom w:val="nil"/>
              <w:right w:val="nil"/>
            </w:tcBorders>
          </w:tcPr>
          <w:p w14:paraId="74551FFD"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-0.06**</w:t>
            </w:r>
          </w:p>
        </w:tc>
        <w:tc>
          <w:tcPr>
            <w:tcW w:w="337" w:type="pct"/>
            <w:tcBorders>
              <w:top w:val="nil"/>
              <w:left w:val="nil"/>
              <w:bottom w:val="nil"/>
              <w:right w:val="nil"/>
            </w:tcBorders>
          </w:tcPr>
          <w:p w14:paraId="00B912E4"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-0.03</w:t>
            </w:r>
          </w:p>
        </w:tc>
        <w:tc>
          <w:tcPr>
            <w:tcW w:w="337" w:type="pct"/>
            <w:tcBorders>
              <w:top w:val="nil"/>
              <w:left w:val="nil"/>
              <w:bottom w:val="nil"/>
              <w:right w:val="nil"/>
            </w:tcBorders>
          </w:tcPr>
          <w:p w14:paraId="5716708B"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-0.12***</w:t>
            </w:r>
          </w:p>
        </w:tc>
        <w:tc>
          <w:tcPr>
            <w:tcW w:w="337" w:type="pct"/>
            <w:tcBorders>
              <w:top w:val="nil"/>
              <w:left w:val="nil"/>
              <w:bottom w:val="nil"/>
              <w:right w:val="nil"/>
            </w:tcBorders>
          </w:tcPr>
          <w:p w14:paraId="12E87BC9"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0.18***</w:t>
            </w:r>
          </w:p>
        </w:tc>
        <w:tc>
          <w:tcPr>
            <w:tcW w:w="337" w:type="pct"/>
            <w:tcBorders>
              <w:top w:val="nil"/>
              <w:left w:val="nil"/>
              <w:bottom w:val="nil"/>
              <w:right w:val="nil"/>
            </w:tcBorders>
          </w:tcPr>
          <w:p w14:paraId="7BE1938D"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0.29***</w:t>
            </w:r>
          </w:p>
        </w:tc>
        <w:tc>
          <w:tcPr>
            <w:tcW w:w="337" w:type="pct"/>
            <w:tcBorders>
              <w:top w:val="nil"/>
              <w:left w:val="nil"/>
              <w:bottom w:val="nil"/>
              <w:right w:val="nil"/>
            </w:tcBorders>
          </w:tcPr>
          <w:p w14:paraId="17E677A5"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0.02</w:t>
            </w:r>
          </w:p>
        </w:tc>
        <w:tc>
          <w:tcPr>
            <w:tcW w:w="337" w:type="pct"/>
            <w:tcBorders>
              <w:top w:val="nil"/>
              <w:left w:val="nil"/>
              <w:bottom w:val="nil"/>
              <w:right w:val="nil"/>
            </w:tcBorders>
          </w:tcPr>
          <w:p w14:paraId="7F88AC4F"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1.00</w:t>
            </w:r>
          </w:p>
        </w:tc>
        <w:tc>
          <w:tcPr>
            <w:tcW w:w="337" w:type="pct"/>
            <w:tcBorders>
              <w:top w:val="nil"/>
              <w:left w:val="nil"/>
              <w:bottom w:val="nil"/>
              <w:right w:val="nil"/>
            </w:tcBorders>
          </w:tcPr>
          <w:p w14:paraId="39475BD2"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019A4A5B"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172327FA"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3AC16E06"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29A6B71B"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7BCB5D92"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251" w:type="pct"/>
            <w:tcBorders>
              <w:top w:val="nil"/>
              <w:left w:val="nil"/>
              <w:bottom w:val="nil"/>
              <w:right w:val="nil"/>
            </w:tcBorders>
          </w:tcPr>
          <w:p w14:paraId="43D1B747"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r>
      <w:tr w:rsidR="005B7CAC" w:rsidRPr="005B7CAC" w14:paraId="17BA5DAE" w14:textId="77777777" w:rsidTr="001938BC">
        <w:tc>
          <w:tcPr>
            <w:tcW w:w="368" w:type="pct"/>
            <w:tcBorders>
              <w:top w:val="nil"/>
              <w:left w:val="nil"/>
              <w:bottom w:val="nil"/>
              <w:right w:val="nil"/>
            </w:tcBorders>
          </w:tcPr>
          <w:p w14:paraId="0E43D667" w14:textId="77777777" w:rsidR="001938BC" w:rsidRPr="005B7CAC" w:rsidRDefault="001938BC" w:rsidP="00C90660">
            <w:pPr>
              <w:widowControl w:val="0"/>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BINDR</w:t>
            </w:r>
          </w:p>
        </w:tc>
        <w:tc>
          <w:tcPr>
            <w:tcW w:w="337" w:type="pct"/>
            <w:tcBorders>
              <w:top w:val="nil"/>
              <w:left w:val="nil"/>
              <w:bottom w:val="nil"/>
              <w:right w:val="nil"/>
            </w:tcBorders>
          </w:tcPr>
          <w:p w14:paraId="5B84EBFB"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-0.13***</w:t>
            </w:r>
          </w:p>
        </w:tc>
        <w:tc>
          <w:tcPr>
            <w:tcW w:w="337" w:type="pct"/>
            <w:tcBorders>
              <w:top w:val="nil"/>
              <w:left w:val="nil"/>
              <w:bottom w:val="nil"/>
              <w:right w:val="nil"/>
            </w:tcBorders>
          </w:tcPr>
          <w:p w14:paraId="155DEFBA"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-0.07***</w:t>
            </w:r>
          </w:p>
        </w:tc>
        <w:tc>
          <w:tcPr>
            <w:tcW w:w="337" w:type="pct"/>
            <w:tcBorders>
              <w:top w:val="nil"/>
              <w:left w:val="nil"/>
              <w:bottom w:val="nil"/>
              <w:right w:val="nil"/>
            </w:tcBorders>
          </w:tcPr>
          <w:p w14:paraId="4FC2697E"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-0.03</w:t>
            </w:r>
          </w:p>
        </w:tc>
        <w:tc>
          <w:tcPr>
            <w:tcW w:w="337" w:type="pct"/>
            <w:tcBorders>
              <w:top w:val="nil"/>
              <w:left w:val="nil"/>
              <w:bottom w:val="nil"/>
              <w:right w:val="nil"/>
            </w:tcBorders>
          </w:tcPr>
          <w:p w14:paraId="7055E614"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-0.04</w:t>
            </w:r>
          </w:p>
        </w:tc>
        <w:tc>
          <w:tcPr>
            <w:tcW w:w="337" w:type="pct"/>
            <w:tcBorders>
              <w:top w:val="nil"/>
              <w:left w:val="nil"/>
              <w:bottom w:val="nil"/>
              <w:right w:val="nil"/>
            </w:tcBorders>
          </w:tcPr>
          <w:p w14:paraId="2A688F45"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0.30***</w:t>
            </w:r>
          </w:p>
        </w:tc>
        <w:tc>
          <w:tcPr>
            <w:tcW w:w="337" w:type="pct"/>
            <w:tcBorders>
              <w:top w:val="nil"/>
              <w:left w:val="nil"/>
              <w:bottom w:val="nil"/>
              <w:right w:val="nil"/>
            </w:tcBorders>
          </w:tcPr>
          <w:p w14:paraId="084D033E"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0.11***</w:t>
            </w:r>
          </w:p>
        </w:tc>
        <w:tc>
          <w:tcPr>
            <w:tcW w:w="337" w:type="pct"/>
            <w:tcBorders>
              <w:top w:val="nil"/>
              <w:left w:val="nil"/>
              <w:bottom w:val="nil"/>
              <w:right w:val="nil"/>
            </w:tcBorders>
          </w:tcPr>
          <w:p w14:paraId="0D820558"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0.37***</w:t>
            </w:r>
          </w:p>
        </w:tc>
        <w:tc>
          <w:tcPr>
            <w:tcW w:w="337" w:type="pct"/>
            <w:tcBorders>
              <w:top w:val="nil"/>
              <w:left w:val="nil"/>
              <w:bottom w:val="nil"/>
              <w:right w:val="nil"/>
            </w:tcBorders>
          </w:tcPr>
          <w:p w14:paraId="5013ADB3"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1.00</w:t>
            </w:r>
          </w:p>
        </w:tc>
        <w:tc>
          <w:tcPr>
            <w:tcW w:w="337" w:type="pct"/>
            <w:tcBorders>
              <w:top w:val="nil"/>
              <w:left w:val="nil"/>
              <w:bottom w:val="nil"/>
              <w:right w:val="nil"/>
            </w:tcBorders>
          </w:tcPr>
          <w:p w14:paraId="1DFB96BA"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57D22A39"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34AA9F94"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10B8C690"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1BA634F7"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251" w:type="pct"/>
            <w:tcBorders>
              <w:top w:val="nil"/>
              <w:left w:val="nil"/>
              <w:bottom w:val="nil"/>
              <w:right w:val="nil"/>
            </w:tcBorders>
          </w:tcPr>
          <w:p w14:paraId="524AB97A"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r>
      <w:tr w:rsidR="005B7CAC" w:rsidRPr="005B7CAC" w14:paraId="5CFF1D77" w14:textId="77777777" w:rsidTr="001938BC">
        <w:tc>
          <w:tcPr>
            <w:tcW w:w="368" w:type="pct"/>
            <w:tcBorders>
              <w:top w:val="nil"/>
              <w:left w:val="nil"/>
              <w:bottom w:val="nil"/>
              <w:right w:val="nil"/>
            </w:tcBorders>
          </w:tcPr>
          <w:p w14:paraId="63A8A650" w14:textId="77777777" w:rsidR="001938BC" w:rsidRPr="005B7CAC" w:rsidRDefault="001938BC" w:rsidP="00C90660">
            <w:pPr>
              <w:widowControl w:val="0"/>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FAGE</w:t>
            </w:r>
          </w:p>
        </w:tc>
        <w:tc>
          <w:tcPr>
            <w:tcW w:w="337" w:type="pct"/>
            <w:tcBorders>
              <w:top w:val="nil"/>
              <w:left w:val="nil"/>
              <w:bottom w:val="nil"/>
              <w:right w:val="nil"/>
            </w:tcBorders>
          </w:tcPr>
          <w:p w14:paraId="58013D8D"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0.13***</w:t>
            </w:r>
          </w:p>
        </w:tc>
        <w:tc>
          <w:tcPr>
            <w:tcW w:w="337" w:type="pct"/>
            <w:tcBorders>
              <w:top w:val="nil"/>
              <w:left w:val="nil"/>
              <w:bottom w:val="nil"/>
              <w:right w:val="nil"/>
            </w:tcBorders>
          </w:tcPr>
          <w:p w14:paraId="42A3390B"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0.22***</w:t>
            </w:r>
          </w:p>
        </w:tc>
        <w:tc>
          <w:tcPr>
            <w:tcW w:w="337" w:type="pct"/>
            <w:tcBorders>
              <w:top w:val="nil"/>
              <w:left w:val="nil"/>
              <w:bottom w:val="nil"/>
              <w:right w:val="nil"/>
            </w:tcBorders>
          </w:tcPr>
          <w:p w14:paraId="0AD02747"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-0.11***</w:t>
            </w:r>
          </w:p>
        </w:tc>
        <w:tc>
          <w:tcPr>
            <w:tcW w:w="337" w:type="pct"/>
            <w:tcBorders>
              <w:top w:val="nil"/>
              <w:left w:val="nil"/>
              <w:bottom w:val="nil"/>
              <w:right w:val="nil"/>
            </w:tcBorders>
          </w:tcPr>
          <w:p w14:paraId="6E7F7ED2"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0.15***</w:t>
            </w:r>
          </w:p>
        </w:tc>
        <w:tc>
          <w:tcPr>
            <w:tcW w:w="337" w:type="pct"/>
            <w:tcBorders>
              <w:top w:val="nil"/>
              <w:left w:val="nil"/>
              <w:bottom w:val="nil"/>
              <w:right w:val="nil"/>
            </w:tcBorders>
          </w:tcPr>
          <w:p w14:paraId="2C3128B0"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0.03</w:t>
            </w:r>
          </w:p>
        </w:tc>
        <w:tc>
          <w:tcPr>
            <w:tcW w:w="337" w:type="pct"/>
            <w:tcBorders>
              <w:top w:val="nil"/>
              <w:left w:val="nil"/>
              <w:bottom w:val="nil"/>
              <w:right w:val="nil"/>
            </w:tcBorders>
          </w:tcPr>
          <w:p w14:paraId="74F2BF14"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0.11***</w:t>
            </w:r>
          </w:p>
        </w:tc>
        <w:tc>
          <w:tcPr>
            <w:tcW w:w="337" w:type="pct"/>
            <w:tcBorders>
              <w:top w:val="nil"/>
              <w:left w:val="nil"/>
              <w:bottom w:val="nil"/>
              <w:right w:val="nil"/>
            </w:tcBorders>
          </w:tcPr>
          <w:p w14:paraId="1F99459F"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0.01</w:t>
            </w:r>
          </w:p>
        </w:tc>
        <w:tc>
          <w:tcPr>
            <w:tcW w:w="337" w:type="pct"/>
            <w:tcBorders>
              <w:top w:val="nil"/>
              <w:left w:val="nil"/>
              <w:bottom w:val="nil"/>
              <w:right w:val="nil"/>
            </w:tcBorders>
          </w:tcPr>
          <w:p w14:paraId="5610B934"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-0.03</w:t>
            </w:r>
          </w:p>
        </w:tc>
        <w:tc>
          <w:tcPr>
            <w:tcW w:w="337" w:type="pct"/>
            <w:tcBorders>
              <w:top w:val="nil"/>
              <w:left w:val="nil"/>
              <w:bottom w:val="nil"/>
              <w:right w:val="nil"/>
            </w:tcBorders>
          </w:tcPr>
          <w:p w14:paraId="5A9DF4ED"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1.00</w:t>
            </w:r>
          </w:p>
        </w:tc>
        <w:tc>
          <w:tcPr>
            <w:tcW w:w="337" w:type="pct"/>
            <w:tcBorders>
              <w:top w:val="nil"/>
              <w:left w:val="nil"/>
              <w:bottom w:val="nil"/>
              <w:right w:val="nil"/>
            </w:tcBorders>
          </w:tcPr>
          <w:p w14:paraId="78CA1DA8"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7CE0B601"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53B34DDB"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20BEB063"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251" w:type="pct"/>
            <w:tcBorders>
              <w:top w:val="nil"/>
              <w:left w:val="nil"/>
              <w:bottom w:val="nil"/>
              <w:right w:val="nil"/>
            </w:tcBorders>
          </w:tcPr>
          <w:p w14:paraId="4E819A09"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r>
      <w:tr w:rsidR="005B7CAC" w:rsidRPr="005B7CAC" w14:paraId="519F90FC" w14:textId="77777777" w:rsidTr="001938BC">
        <w:tc>
          <w:tcPr>
            <w:tcW w:w="368" w:type="pct"/>
            <w:tcBorders>
              <w:top w:val="nil"/>
              <w:left w:val="nil"/>
              <w:bottom w:val="nil"/>
              <w:right w:val="nil"/>
            </w:tcBorders>
          </w:tcPr>
          <w:p w14:paraId="421A4209" w14:textId="77777777" w:rsidR="001938BC" w:rsidRPr="005B7CAC" w:rsidRDefault="001938BC" w:rsidP="00C90660">
            <w:pPr>
              <w:widowControl w:val="0"/>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SIZE</w:t>
            </w:r>
          </w:p>
        </w:tc>
        <w:tc>
          <w:tcPr>
            <w:tcW w:w="337" w:type="pct"/>
            <w:tcBorders>
              <w:top w:val="nil"/>
              <w:left w:val="nil"/>
              <w:bottom w:val="nil"/>
              <w:right w:val="nil"/>
            </w:tcBorders>
          </w:tcPr>
          <w:p w14:paraId="04642B04"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-0.36***</w:t>
            </w:r>
          </w:p>
        </w:tc>
        <w:tc>
          <w:tcPr>
            <w:tcW w:w="337" w:type="pct"/>
            <w:tcBorders>
              <w:top w:val="nil"/>
              <w:left w:val="nil"/>
              <w:bottom w:val="nil"/>
              <w:right w:val="nil"/>
            </w:tcBorders>
          </w:tcPr>
          <w:p w14:paraId="11D2E078"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-0.23***</w:t>
            </w:r>
          </w:p>
        </w:tc>
        <w:tc>
          <w:tcPr>
            <w:tcW w:w="337" w:type="pct"/>
            <w:tcBorders>
              <w:top w:val="nil"/>
              <w:left w:val="nil"/>
              <w:bottom w:val="nil"/>
              <w:right w:val="nil"/>
            </w:tcBorders>
          </w:tcPr>
          <w:p w14:paraId="61FA0EEB"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-0.07***</w:t>
            </w:r>
          </w:p>
        </w:tc>
        <w:tc>
          <w:tcPr>
            <w:tcW w:w="337" w:type="pct"/>
            <w:tcBorders>
              <w:top w:val="nil"/>
              <w:left w:val="nil"/>
              <w:bottom w:val="nil"/>
              <w:right w:val="nil"/>
            </w:tcBorders>
          </w:tcPr>
          <w:p w14:paraId="511B3778"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-0.04</w:t>
            </w:r>
          </w:p>
        </w:tc>
        <w:tc>
          <w:tcPr>
            <w:tcW w:w="337" w:type="pct"/>
            <w:tcBorders>
              <w:top w:val="nil"/>
              <w:left w:val="nil"/>
              <w:bottom w:val="nil"/>
              <w:right w:val="nil"/>
            </w:tcBorders>
          </w:tcPr>
          <w:p w14:paraId="1C2BD83A"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0.52***</w:t>
            </w:r>
          </w:p>
        </w:tc>
        <w:tc>
          <w:tcPr>
            <w:tcW w:w="337" w:type="pct"/>
            <w:tcBorders>
              <w:top w:val="nil"/>
              <w:left w:val="nil"/>
              <w:bottom w:val="nil"/>
              <w:right w:val="nil"/>
            </w:tcBorders>
          </w:tcPr>
          <w:p w14:paraId="5912F68C"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0.62***</w:t>
            </w:r>
          </w:p>
        </w:tc>
        <w:tc>
          <w:tcPr>
            <w:tcW w:w="337" w:type="pct"/>
            <w:tcBorders>
              <w:top w:val="nil"/>
              <w:left w:val="nil"/>
              <w:bottom w:val="nil"/>
              <w:right w:val="nil"/>
            </w:tcBorders>
          </w:tcPr>
          <w:p w14:paraId="47892BA8"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0.15***</w:t>
            </w:r>
          </w:p>
        </w:tc>
        <w:tc>
          <w:tcPr>
            <w:tcW w:w="337" w:type="pct"/>
            <w:tcBorders>
              <w:top w:val="nil"/>
              <w:left w:val="nil"/>
              <w:bottom w:val="nil"/>
              <w:right w:val="nil"/>
            </w:tcBorders>
          </w:tcPr>
          <w:p w14:paraId="745C9ADA"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0.38***</w:t>
            </w:r>
          </w:p>
        </w:tc>
        <w:tc>
          <w:tcPr>
            <w:tcW w:w="337" w:type="pct"/>
            <w:tcBorders>
              <w:top w:val="nil"/>
              <w:left w:val="nil"/>
              <w:bottom w:val="nil"/>
              <w:right w:val="nil"/>
            </w:tcBorders>
          </w:tcPr>
          <w:p w14:paraId="1FADA0B2"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0.08***</w:t>
            </w:r>
          </w:p>
        </w:tc>
        <w:tc>
          <w:tcPr>
            <w:tcW w:w="337" w:type="pct"/>
            <w:tcBorders>
              <w:top w:val="nil"/>
              <w:left w:val="nil"/>
              <w:bottom w:val="nil"/>
              <w:right w:val="nil"/>
            </w:tcBorders>
          </w:tcPr>
          <w:p w14:paraId="62FA9E1C"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1.00</w:t>
            </w:r>
          </w:p>
        </w:tc>
        <w:tc>
          <w:tcPr>
            <w:tcW w:w="337" w:type="pct"/>
            <w:tcBorders>
              <w:top w:val="nil"/>
              <w:left w:val="nil"/>
              <w:bottom w:val="nil"/>
              <w:right w:val="nil"/>
            </w:tcBorders>
          </w:tcPr>
          <w:p w14:paraId="43908305"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19FF3168"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6E172D68"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251" w:type="pct"/>
            <w:tcBorders>
              <w:top w:val="nil"/>
              <w:left w:val="nil"/>
              <w:bottom w:val="nil"/>
              <w:right w:val="nil"/>
            </w:tcBorders>
          </w:tcPr>
          <w:p w14:paraId="0A35EBB1"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r>
      <w:tr w:rsidR="005B7CAC" w:rsidRPr="005B7CAC" w14:paraId="29E89A0B" w14:textId="77777777" w:rsidTr="001938BC">
        <w:tc>
          <w:tcPr>
            <w:tcW w:w="368" w:type="pct"/>
            <w:tcBorders>
              <w:top w:val="nil"/>
              <w:left w:val="nil"/>
              <w:bottom w:val="nil"/>
              <w:right w:val="nil"/>
            </w:tcBorders>
          </w:tcPr>
          <w:p w14:paraId="7189E969" w14:textId="77777777" w:rsidR="001938BC" w:rsidRPr="005B7CAC" w:rsidRDefault="001938BC" w:rsidP="00C90660">
            <w:pPr>
              <w:widowControl w:val="0"/>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PROF</w:t>
            </w:r>
          </w:p>
        </w:tc>
        <w:tc>
          <w:tcPr>
            <w:tcW w:w="337" w:type="pct"/>
            <w:tcBorders>
              <w:top w:val="nil"/>
              <w:left w:val="nil"/>
              <w:bottom w:val="nil"/>
              <w:right w:val="nil"/>
            </w:tcBorders>
          </w:tcPr>
          <w:p w14:paraId="52CC677D"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0.07***</w:t>
            </w:r>
          </w:p>
        </w:tc>
        <w:tc>
          <w:tcPr>
            <w:tcW w:w="337" w:type="pct"/>
            <w:tcBorders>
              <w:top w:val="nil"/>
              <w:left w:val="nil"/>
              <w:bottom w:val="nil"/>
              <w:right w:val="nil"/>
            </w:tcBorders>
          </w:tcPr>
          <w:p w14:paraId="06AB1A7A"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0.22***</w:t>
            </w:r>
          </w:p>
        </w:tc>
        <w:tc>
          <w:tcPr>
            <w:tcW w:w="337" w:type="pct"/>
            <w:tcBorders>
              <w:top w:val="nil"/>
              <w:left w:val="nil"/>
              <w:bottom w:val="nil"/>
              <w:right w:val="nil"/>
            </w:tcBorders>
          </w:tcPr>
          <w:p w14:paraId="6D237BA8"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-0.02</w:t>
            </w:r>
          </w:p>
        </w:tc>
        <w:tc>
          <w:tcPr>
            <w:tcW w:w="337" w:type="pct"/>
            <w:tcBorders>
              <w:top w:val="nil"/>
              <w:left w:val="nil"/>
              <w:bottom w:val="nil"/>
              <w:right w:val="nil"/>
            </w:tcBorders>
          </w:tcPr>
          <w:p w14:paraId="054BC4DC"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0.10***</w:t>
            </w:r>
          </w:p>
        </w:tc>
        <w:tc>
          <w:tcPr>
            <w:tcW w:w="337" w:type="pct"/>
            <w:tcBorders>
              <w:top w:val="nil"/>
              <w:left w:val="nil"/>
              <w:bottom w:val="nil"/>
              <w:right w:val="nil"/>
            </w:tcBorders>
          </w:tcPr>
          <w:p w14:paraId="46CBE3E5"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-0.02</w:t>
            </w:r>
          </w:p>
        </w:tc>
        <w:tc>
          <w:tcPr>
            <w:tcW w:w="337" w:type="pct"/>
            <w:tcBorders>
              <w:top w:val="nil"/>
              <w:left w:val="nil"/>
              <w:bottom w:val="nil"/>
              <w:right w:val="nil"/>
            </w:tcBorders>
          </w:tcPr>
          <w:p w14:paraId="16F295F8"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0.07***</w:t>
            </w:r>
          </w:p>
        </w:tc>
        <w:tc>
          <w:tcPr>
            <w:tcW w:w="337" w:type="pct"/>
            <w:tcBorders>
              <w:top w:val="nil"/>
              <w:left w:val="nil"/>
              <w:bottom w:val="nil"/>
              <w:right w:val="nil"/>
            </w:tcBorders>
          </w:tcPr>
          <w:p w14:paraId="73701366"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-0.05**</w:t>
            </w:r>
          </w:p>
        </w:tc>
        <w:tc>
          <w:tcPr>
            <w:tcW w:w="337" w:type="pct"/>
            <w:tcBorders>
              <w:top w:val="nil"/>
              <w:left w:val="nil"/>
              <w:bottom w:val="nil"/>
              <w:right w:val="nil"/>
            </w:tcBorders>
          </w:tcPr>
          <w:p w14:paraId="2DA514C2"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-0.03</w:t>
            </w:r>
          </w:p>
        </w:tc>
        <w:tc>
          <w:tcPr>
            <w:tcW w:w="337" w:type="pct"/>
            <w:tcBorders>
              <w:top w:val="nil"/>
              <w:left w:val="nil"/>
              <w:bottom w:val="nil"/>
              <w:right w:val="nil"/>
            </w:tcBorders>
          </w:tcPr>
          <w:p w14:paraId="311A351D"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0.04*</w:t>
            </w:r>
          </w:p>
        </w:tc>
        <w:tc>
          <w:tcPr>
            <w:tcW w:w="337" w:type="pct"/>
            <w:tcBorders>
              <w:top w:val="nil"/>
              <w:left w:val="nil"/>
              <w:bottom w:val="nil"/>
              <w:right w:val="nil"/>
            </w:tcBorders>
          </w:tcPr>
          <w:p w14:paraId="55745CD2"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0.01</w:t>
            </w:r>
          </w:p>
        </w:tc>
        <w:tc>
          <w:tcPr>
            <w:tcW w:w="337" w:type="pct"/>
            <w:tcBorders>
              <w:top w:val="nil"/>
              <w:left w:val="nil"/>
              <w:bottom w:val="nil"/>
              <w:right w:val="nil"/>
            </w:tcBorders>
          </w:tcPr>
          <w:p w14:paraId="6C19C279"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1.00</w:t>
            </w:r>
          </w:p>
        </w:tc>
        <w:tc>
          <w:tcPr>
            <w:tcW w:w="337" w:type="pct"/>
            <w:tcBorders>
              <w:top w:val="nil"/>
              <w:left w:val="nil"/>
              <w:bottom w:val="nil"/>
              <w:right w:val="nil"/>
            </w:tcBorders>
          </w:tcPr>
          <w:p w14:paraId="33468229"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337" w:type="pct"/>
            <w:tcBorders>
              <w:top w:val="nil"/>
              <w:left w:val="nil"/>
              <w:bottom w:val="nil"/>
              <w:right w:val="nil"/>
            </w:tcBorders>
          </w:tcPr>
          <w:p w14:paraId="32FC2F72"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251" w:type="pct"/>
            <w:tcBorders>
              <w:top w:val="nil"/>
              <w:left w:val="nil"/>
              <w:bottom w:val="nil"/>
              <w:right w:val="nil"/>
            </w:tcBorders>
          </w:tcPr>
          <w:p w14:paraId="0FB4E602"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r>
      <w:tr w:rsidR="005B7CAC" w:rsidRPr="005B7CAC" w14:paraId="3229A96B" w14:textId="77777777" w:rsidTr="001938BC">
        <w:tc>
          <w:tcPr>
            <w:tcW w:w="368" w:type="pct"/>
            <w:tcBorders>
              <w:top w:val="nil"/>
              <w:left w:val="nil"/>
              <w:bottom w:val="nil"/>
              <w:right w:val="nil"/>
            </w:tcBorders>
          </w:tcPr>
          <w:p w14:paraId="5B6A5E21" w14:textId="77777777" w:rsidR="001938BC" w:rsidRPr="005B7CAC" w:rsidRDefault="001938BC" w:rsidP="00C90660">
            <w:pPr>
              <w:widowControl w:val="0"/>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LVRG</w:t>
            </w:r>
          </w:p>
        </w:tc>
        <w:tc>
          <w:tcPr>
            <w:tcW w:w="337" w:type="pct"/>
            <w:tcBorders>
              <w:top w:val="nil"/>
              <w:left w:val="nil"/>
              <w:bottom w:val="nil"/>
              <w:right w:val="nil"/>
            </w:tcBorders>
          </w:tcPr>
          <w:p w14:paraId="1AA9F26E"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-0.46***</w:t>
            </w:r>
          </w:p>
        </w:tc>
        <w:tc>
          <w:tcPr>
            <w:tcW w:w="337" w:type="pct"/>
            <w:tcBorders>
              <w:top w:val="nil"/>
              <w:left w:val="nil"/>
              <w:bottom w:val="nil"/>
              <w:right w:val="nil"/>
            </w:tcBorders>
          </w:tcPr>
          <w:p w14:paraId="04C622A8"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-0.50***</w:t>
            </w:r>
          </w:p>
        </w:tc>
        <w:tc>
          <w:tcPr>
            <w:tcW w:w="337" w:type="pct"/>
            <w:tcBorders>
              <w:top w:val="nil"/>
              <w:left w:val="nil"/>
              <w:bottom w:val="nil"/>
              <w:right w:val="nil"/>
            </w:tcBorders>
          </w:tcPr>
          <w:p w14:paraId="402C3F74"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-0.11***</w:t>
            </w:r>
          </w:p>
        </w:tc>
        <w:tc>
          <w:tcPr>
            <w:tcW w:w="337" w:type="pct"/>
            <w:tcBorders>
              <w:top w:val="nil"/>
              <w:left w:val="nil"/>
              <w:bottom w:val="nil"/>
              <w:right w:val="nil"/>
            </w:tcBorders>
          </w:tcPr>
          <w:p w14:paraId="7C8B165C"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-0.03</w:t>
            </w:r>
          </w:p>
        </w:tc>
        <w:tc>
          <w:tcPr>
            <w:tcW w:w="337" w:type="pct"/>
            <w:tcBorders>
              <w:top w:val="nil"/>
              <w:left w:val="nil"/>
              <w:bottom w:val="nil"/>
              <w:right w:val="nil"/>
            </w:tcBorders>
          </w:tcPr>
          <w:p w14:paraId="7EE5C3B9"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0.10***</w:t>
            </w:r>
          </w:p>
        </w:tc>
        <w:tc>
          <w:tcPr>
            <w:tcW w:w="337" w:type="pct"/>
            <w:tcBorders>
              <w:top w:val="nil"/>
              <w:left w:val="nil"/>
              <w:bottom w:val="nil"/>
              <w:right w:val="nil"/>
            </w:tcBorders>
          </w:tcPr>
          <w:p w14:paraId="4F929D99"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0.14***</w:t>
            </w:r>
          </w:p>
        </w:tc>
        <w:tc>
          <w:tcPr>
            <w:tcW w:w="337" w:type="pct"/>
            <w:tcBorders>
              <w:top w:val="nil"/>
              <w:left w:val="nil"/>
              <w:bottom w:val="nil"/>
              <w:right w:val="nil"/>
            </w:tcBorders>
          </w:tcPr>
          <w:p w14:paraId="46B4C721"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0.10***</w:t>
            </w:r>
          </w:p>
        </w:tc>
        <w:tc>
          <w:tcPr>
            <w:tcW w:w="337" w:type="pct"/>
            <w:tcBorders>
              <w:top w:val="nil"/>
              <w:left w:val="nil"/>
              <w:bottom w:val="nil"/>
              <w:right w:val="nil"/>
            </w:tcBorders>
          </w:tcPr>
          <w:p w14:paraId="204820F2"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0.08***</w:t>
            </w:r>
          </w:p>
        </w:tc>
        <w:tc>
          <w:tcPr>
            <w:tcW w:w="337" w:type="pct"/>
            <w:tcBorders>
              <w:top w:val="nil"/>
              <w:left w:val="nil"/>
              <w:bottom w:val="nil"/>
              <w:right w:val="nil"/>
            </w:tcBorders>
          </w:tcPr>
          <w:p w14:paraId="0A24A33B"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-0.09***</w:t>
            </w:r>
          </w:p>
        </w:tc>
        <w:tc>
          <w:tcPr>
            <w:tcW w:w="337" w:type="pct"/>
            <w:tcBorders>
              <w:top w:val="nil"/>
              <w:left w:val="nil"/>
              <w:bottom w:val="nil"/>
              <w:right w:val="nil"/>
            </w:tcBorders>
          </w:tcPr>
          <w:p w14:paraId="3A96D491"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0.23***</w:t>
            </w:r>
          </w:p>
        </w:tc>
        <w:tc>
          <w:tcPr>
            <w:tcW w:w="337" w:type="pct"/>
            <w:tcBorders>
              <w:top w:val="nil"/>
              <w:left w:val="nil"/>
              <w:bottom w:val="nil"/>
              <w:right w:val="nil"/>
            </w:tcBorders>
          </w:tcPr>
          <w:p w14:paraId="4765991D"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-0.09***</w:t>
            </w:r>
          </w:p>
        </w:tc>
        <w:tc>
          <w:tcPr>
            <w:tcW w:w="337" w:type="pct"/>
            <w:tcBorders>
              <w:top w:val="nil"/>
              <w:left w:val="nil"/>
              <w:bottom w:val="nil"/>
              <w:right w:val="nil"/>
            </w:tcBorders>
          </w:tcPr>
          <w:p w14:paraId="1FAFD098"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1.00</w:t>
            </w:r>
          </w:p>
        </w:tc>
        <w:tc>
          <w:tcPr>
            <w:tcW w:w="337" w:type="pct"/>
            <w:tcBorders>
              <w:top w:val="nil"/>
              <w:left w:val="nil"/>
              <w:bottom w:val="nil"/>
              <w:right w:val="nil"/>
            </w:tcBorders>
          </w:tcPr>
          <w:p w14:paraId="36E20FA4"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c>
          <w:tcPr>
            <w:tcW w:w="251" w:type="pct"/>
            <w:tcBorders>
              <w:top w:val="nil"/>
              <w:left w:val="nil"/>
              <w:bottom w:val="nil"/>
              <w:right w:val="nil"/>
            </w:tcBorders>
          </w:tcPr>
          <w:p w14:paraId="197ED7CE"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r>
      <w:tr w:rsidR="005B7CAC" w:rsidRPr="005B7CAC" w14:paraId="41E6B10F" w14:textId="77777777" w:rsidTr="001938BC">
        <w:tc>
          <w:tcPr>
            <w:tcW w:w="368" w:type="pct"/>
            <w:tcBorders>
              <w:top w:val="nil"/>
              <w:left w:val="nil"/>
              <w:right w:val="nil"/>
            </w:tcBorders>
          </w:tcPr>
          <w:p w14:paraId="03552E77" w14:textId="77777777" w:rsidR="001938BC" w:rsidRPr="005B7CAC" w:rsidRDefault="001938BC" w:rsidP="00C90660">
            <w:pPr>
              <w:widowControl w:val="0"/>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SLCK</w:t>
            </w:r>
          </w:p>
        </w:tc>
        <w:tc>
          <w:tcPr>
            <w:tcW w:w="337" w:type="pct"/>
            <w:tcBorders>
              <w:top w:val="nil"/>
              <w:left w:val="nil"/>
              <w:right w:val="nil"/>
            </w:tcBorders>
          </w:tcPr>
          <w:p w14:paraId="75E42E5E"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0.30***</w:t>
            </w:r>
          </w:p>
        </w:tc>
        <w:tc>
          <w:tcPr>
            <w:tcW w:w="337" w:type="pct"/>
            <w:tcBorders>
              <w:top w:val="nil"/>
              <w:left w:val="nil"/>
              <w:right w:val="nil"/>
            </w:tcBorders>
          </w:tcPr>
          <w:p w14:paraId="4DD3D39F"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0.13***</w:t>
            </w:r>
          </w:p>
        </w:tc>
        <w:tc>
          <w:tcPr>
            <w:tcW w:w="337" w:type="pct"/>
            <w:tcBorders>
              <w:top w:val="nil"/>
              <w:left w:val="nil"/>
              <w:right w:val="nil"/>
            </w:tcBorders>
          </w:tcPr>
          <w:p w14:paraId="526A54E6"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0.12***</w:t>
            </w:r>
          </w:p>
        </w:tc>
        <w:tc>
          <w:tcPr>
            <w:tcW w:w="337" w:type="pct"/>
            <w:tcBorders>
              <w:top w:val="nil"/>
              <w:left w:val="nil"/>
              <w:right w:val="nil"/>
            </w:tcBorders>
          </w:tcPr>
          <w:p w14:paraId="5447E919"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-0.10***</w:t>
            </w:r>
          </w:p>
        </w:tc>
        <w:tc>
          <w:tcPr>
            <w:tcW w:w="337" w:type="pct"/>
            <w:tcBorders>
              <w:top w:val="nil"/>
              <w:left w:val="nil"/>
              <w:right w:val="nil"/>
            </w:tcBorders>
          </w:tcPr>
          <w:p w14:paraId="65C65359"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-0.04*</w:t>
            </w:r>
          </w:p>
        </w:tc>
        <w:tc>
          <w:tcPr>
            <w:tcW w:w="337" w:type="pct"/>
            <w:tcBorders>
              <w:top w:val="nil"/>
              <w:left w:val="nil"/>
              <w:right w:val="nil"/>
            </w:tcBorders>
          </w:tcPr>
          <w:p w14:paraId="0478736C"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-0.02</w:t>
            </w:r>
          </w:p>
        </w:tc>
        <w:tc>
          <w:tcPr>
            <w:tcW w:w="337" w:type="pct"/>
            <w:tcBorders>
              <w:top w:val="nil"/>
              <w:left w:val="nil"/>
              <w:right w:val="nil"/>
            </w:tcBorders>
          </w:tcPr>
          <w:p w14:paraId="1BF0B3E7"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0.05**</w:t>
            </w:r>
          </w:p>
        </w:tc>
        <w:tc>
          <w:tcPr>
            <w:tcW w:w="337" w:type="pct"/>
            <w:tcBorders>
              <w:top w:val="nil"/>
              <w:left w:val="nil"/>
              <w:right w:val="nil"/>
            </w:tcBorders>
          </w:tcPr>
          <w:p w14:paraId="7C326B33"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0.00</w:t>
            </w:r>
          </w:p>
        </w:tc>
        <w:tc>
          <w:tcPr>
            <w:tcW w:w="337" w:type="pct"/>
            <w:tcBorders>
              <w:top w:val="nil"/>
              <w:left w:val="nil"/>
              <w:right w:val="nil"/>
            </w:tcBorders>
          </w:tcPr>
          <w:p w14:paraId="35476BE7"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-0.10***</w:t>
            </w:r>
          </w:p>
        </w:tc>
        <w:tc>
          <w:tcPr>
            <w:tcW w:w="337" w:type="pct"/>
            <w:tcBorders>
              <w:top w:val="nil"/>
              <w:left w:val="nil"/>
              <w:right w:val="nil"/>
            </w:tcBorders>
          </w:tcPr>
          <w:p w14:paraId="100357CF"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-0.07***</w:t>
            </w:r>
          </w:p>
        </w:tc>
        <w:tc>
          <w:tcPr>
            <w:tcW w:w="337" w:type="pct"/>
            <w:tcBorders>
              <w:top w:val="nil"/>
              <w:left w:val="nil"/>
              <w:right w:val="nil"/>
            </w:tcBorders>
          </w:tcPr>
          <w:p w14:paraId="6B4C6056"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-0.05*</w:t>
            </w:r>
          </w:p>
        </w:tc>
        <w:tc>
          <w:tcPr>
            <w:tcW w:w="337" w:type="pct"/>
            <w:tcBorders>
              <w:top w:val="nil"/>
              <w:left w:val="nil"/>
              <w:right w:val="nil"/>
            </w:tcBorders>
          </w:tcPr>
          <w:p w14:paraId="6C18AFA9"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-0.13***</w:t>
            </w:r>
          </w:p>
        </w:tc>
        <w:tc>
          <w:tcPr>
            <w:tcW w:w="337" w:type="pct"/>
            <w:tcBorders>
              <w:top w:val="nil"/>
              <w:left w:val="nil"/>
              <w:right w:val="nil"/>
            </w:tcBorders>
          </w:tcPr>
          <w:p w14:paraId="0A17E04E"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1.00</w:t>
            </w:r>
          </w:p>
        </w:tc>
        <w:tc>
          <w:tcPr>
            <w:tcW w:w="251" w:type="pct"/>
            <w:tcBorders>
              <w:top w:val="nil"/>
              <w:left w:val="nil"/>
              <w:right w:val="nil"/>
            </w:tcBorders>
          </w:tcPr>
          <w:p w14:paraId="5104D831"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p>
        </w:tc>
      </w:tr>
      <w:tr w:rsidR="005B7CAC" w:rsidRPr="005B7CAC" w14:paraId="37F7D9F1" w14:textId="77777777" w:rsidTr="001938BC">
        <w:tc>
          <w:tcPr>
            <w:tcW w:w="368" w:type="pct"/>
            <w:tcBorders>
              <w:top w:val="nil"/>
              <w:left w:val="nil"/>
              <w:bottom w:val="single" w:sz="12" w:space="0" w:color="auto"/>
              <w:right w:val="nil"/>
            </w:tcBorders>
          </w:tcPr>
          <w:p w14:paraId="4A235D72" w14:textId="77777777" w:rsidR="001938BC" w:rsidRPr="005B7CAC" w:rsidRDefault="001938BC" w:rsidP="00C90660">
            <w:pPr>
              <w:widowControl w:val="0"/>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CPIN</w:t>
            </w:r>
          </w:p>
        </w:tc>
        <w:tc>
          <w:tcPr>
            <w:tcW w:w="337" w:type="pct"/>
            <w:tcBorders>
              <w:top w:val="nil"/>
              <w:left w:val="nil"/>
              <w:bottom w:val="single" w:sz="12" w:space="0" w:color="auto"/>
              <w:right w:val="nil"/>
            </w:tcBorders>
          </w:tcPr>
          <w:p w14:paraId="49C4C5D1"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-0.44***</w:t>
            </w:r>
          </w:p>
        </w:tc>
        <w:tc>
          <w:tcPr>
            <w:tcW w:w="337" w:type="pct"/>
            <w:tcBorders>
              <w:top w:val="nil"/>
              <w:left w:val="nil"/>
              <w:bottom w:val="single" w:sz="12" w:space="0" w:color="auto"/>
              <w:right w:val="nil"/>
            </w:tcBorders>
          </w:tcPr>
          <w:p w14:paraId="1CE5AFE1"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-0.32***</w:t>
            </w:r>
          </w:p>
        </w:tc>
        <w:tc>
          <w:tcPr>
            <w:tcW w:w="337" w:type="pct"/>
            <w:tcBorders>
              <w:top w:val="nil"/>
              <w:left w:val="nil"/>
              <w:bottom w:val="single" w:sz="12" w:space="0" w:color="auto"/>
              <w:right w:val="nil"/>
            </w:tcBorders>
          </w:tcPr>
          <w:p w14:paraId="3299131F"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0.19***</w:t>
            </w:r>
          </w:p>
        </w:tc>
        <w:tc>
          <w:tcPr>
            <w:tcW w:w="337" w:type="pct"/>
            <w:tcBorders>
              <w:top w:val="nil"/>
              <w:left w:val="nil"/>
              <w:bottom w:val="single" w:sz="12" w:space="0" w:color="auto"/>
              <w:right w:val="nil"/>
            </w:tcBorders>
          </w:tcPr>
          <w:p w14:paraId="357F5192"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-0.14***</w:t>
            </w:r>
          </w:p>
        </w:tc>
        <w:tc>
          <w:tcPr>
            <w:tcW w:w="337" w:type="pct"/>
            <w:tcBorders>
              <w:top w:val="nil"/>
              <w:left w:val="nil"/>
              <w:bottom w:val="single" w:sz="12" w:space="0" w:color="auto"/>
              <w:right w:val="nil"/>
            </w:tcBorders>
          </w:tcPr>
          <w:p w14:paraId="7069288D"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0.08***</w:t>
            </w:r>
          </w:p>
        </w:tc>
        <w:tc>
          <w:tcPr>
            <w:tcW w:w="337" w:type="pct"/>
            <w:tcBorders>
              <w:top w:val="nil"/>
              <w:left w:val="nil"/>
              <w:bottom w:val="single" w:sz="12" w:space="0" w:color="auto"/>
              <w:right w:val="nil"/>
            </w:tcBorders>
          </w:tcPr>
          <w:p w14:paraId="0D459340"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0.07***</w:t>
            </w:r>
          </w:p>
        </w:tc>
        <w:tc>
          <w:tcPr>
            <w:tcW w:w="337" w:type="pct"/>
            <w:tcBorders>
              <w:top w:val="nil"/>
              <w:left w:val="nil"/>
              <w:bottom w:val="single" w:sz="12" w:space="0" w:color="auto"/>
              <w:right w:val="nil"/>
            </w:tcBorders>
          </w:tcPr>
          <w:p w14:paraId="412EB2A0"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-0.09***</w:t>
            </w:r>
          </w:p>
        </w:tc>
        <w:tc>
          <w:tcPr>
            <w:tcW w:w="337" w:type="pct"/>
            <w:tcBorders>
              <w:top w:val="nil"/>
              <w:left w:val="nil"/>
              <w:bottom w:val="single" w:sz="12" w:space="0" w:color="auto"/>
              <w:right w:val="nil"/>
            </w:tcBorders>
          </w:tcPr>
          <w:p w14:paraId="37877CB1"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-0.05**</w:t>
            </w:r>
          </w:p>
        </w:tc>
        <w:tc>
          <w:tcPr>
            <w:tcW w:w="337" w:type="pct"/>
            <w:tcBorders>
              <w:top w:val="nil"/>
              <w:left w:val="nil"/>
              <w:bottom w:val="single" w:sz="12" w:space="0" w:color="auto"/>
              <w:right w:val="nil"/>
            </w:tcBorders>
          </w:tcPr>
          <w:p w14:paraId="63C76099"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-0.13***</w:t>
            </w:r>
          </w:p>
        </w:tc>
        <w:tc>
          <w:tcPr>
            <w:tcW w:w="337" w:type="pct"/>
            <w:tcBorders>
              <w:top w:val="nil"/>
              <w:left w:val="nil"/>
              <w:bottom w:val="single" w:sz="12" w:space="0" w:color="auto"/>
              <w:right w:val="nil"/>
            </w:tcBorders>
          </w:tcPr>
          <w:p w14:paraId="72D1C6AA"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0.10***</w:t>
            </w:r>
          </w:p>
        </w:tc>
        <w:tc>
          <w:tcPr>
            <w:tcW w:w="337" w:type="pct"/>
            <w:tcBorders>
              <w:top w:val="nil"/>
              <w:left w:val="nil"/>
              <w:bottom w:val="single" w:sz="12" w:space="0" w:color="auto"/>
              <w:right w:val="nil"/>
            </w:tcBorders>
          </w:tcPr>
          <w:p w14:paraId="74BF55F9"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0.02</w:t>
            </w:r>
          </w:p>
        </w:tc>
        <w:tc>
          <w:tcPr>
            <w:tcW w:w="337" w:type="pct"/>
            <w:tcBorders>
              <w:top w:val="nil"/>
              <w:left w:val="nil"/>
              <w:bottom w:val="single" w:sz="12" w:space="0" w:color="auto"/>
              <w:right w:val="nil"/>
            </w:tcBorders>
          </w:tcPr>
          <w:p w14:paraId="6B523926"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0.23***</w:t>
            </w:r>
          </w:p>
        </w:tc>
        <w:tc>
          <w:tcPr>
            <w:tcW w:w="337" w:type="pct"/>
            <w:tcBorders>
              <w:top w:val="nil"/>
              <w:left w:val="nil"/>
              <w:bottom w:val="single" w:sz="12" w:space="0" w:color="auto"/>
              <w:right w:val="nil"/>
            </w:tcBorders>
          </w:tcPr>
          <w:p w14:paraId="4C676535"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-0.23***</w:t>
            </w:r>
          </w:p>
        </w:tc>
        <w:tc>
          <w:tcPr>
            <w:tcW w:w="251" w:type="pct"/>
            <w:tcBorders>
              <w:top w:val="nil"/>
              <w:left w:val="nil"/>
              <w:bottom w:val="single" w:sz="12" w:space="0" w:color="auto"/>
              <w:right w:val="nil"/>
            </w:tcBorders>
          </w:tcPr>
          <w:p w14:paraId="35A28C94" w14:textId="77777777" w:rsidR="001938BC" w:rsidRPr="005B7CAC" w:rsidRDefault="001938BC" w:rsidP="001938BC">
            <w:pPr>
              <w:widowControl w:val="0"/>
              <w:tabs>
                <w:tab w:val="decimal" w:pos="165"/>
              </w:tabs>
              <w:autoSpaceDE w:val="0"/>
              <w:autoSpaceDN w:val="0"/>
              <w:adjustRightInd w:val="0"/>
              <w:spacing w:after="0" w:line="240" w:lineRule="auto"/>
              <w:rPr>
                <w:rFonts w:ascii="Times New Roman" w:hAnsi="Times New Roman"/>
                <w:sz w:val="18"/>
                <w:szCs w:val="18"/>
              </w:rPr>
            </w:pPr>
            <w:r w:rsidRPr="005B7CAC">
              <w:rPr>
                <w:rFonts w:ascii="Times New Roman" w:hAnsi="Times New Roman"/>
                <w:sz w:val="18"/>
                <w:szCs w:val="18"/>
              </w:rPr>
              <w:t>1.00</w:t>
            </w:r>
          </w:p>
        </w:tc>
      </w:tr>
    </w:tbl>
    <w:p w14:paraId="23651390" w14:textId="77777777" w:rsidR="00EB5C9B" w:rsidRPr="005B7CAC" w:rsidRDefault="001938BC" w:rsidP="001938BC">
      <w:pPr>
        <w:widowControl w:val="0"/>
        <w:autoSpaceDE w:val="0"/>
        <w:autoSpaceDN w:val="0"/>
        <w:adjustRightInd w:val="0"/>
        <w:spacing w:after="0" w:line="240" w:lineRule="auto"/>
        <w:rPr>
          <w:rFonts w:ascii="Times New Roman" w:hAnsi="Times New Roman"/>
          <w:iCs/>
          <w:sz w:val="18"/>
          <w:szCs w:val="18"/>
          <w:lang w:val="en-US"/>
        </w:rPr>
      </w:pPr>
      <w:r w:rsidRPr="005B7CAC">
        <w:rPr>
          <w:rFonts w:ascii="Times New Roman" w:hAnsi="Times New Roman"/>
          <w:b/>
          <w:iCs/>
          <w:sz w:val="18"/>
          <w:szCs w:val="18"/>
          <w:lang w:val="en-US"/>
        </w:rPr>
        <w:t>Note(s):</w:t>
      </w:r>
      <w:r w:rsidRPr="005B7CAC">
        <w:rPr>
          <w:rFonts w:ascii="Times New Roman" w:hAnsi="Times New Roman"/>
          <w:iCs/>
          <w:sz w:val="18"/>
          <w:szCs w:val="18"/>
          <w:lang w:val="en-US"/>
        </w:rPr>
        <w:t xml:space="preserve"> This table reports the </w:t>
      </w:r>
      <w:r w:rsidRPr="005B7CAC">
        <w:rPr>
          <w:rFonts w:ascii="Times New Roman" w:hAnsi="Times New Roman"/>
          <w:bCs/>
          <w:iCs/>
          <w:sz w:val="18"/>
          <w:szCs w:val="18"/>
          <w:lang w:val="en-US"/>
        </w:rPr>
        <w:t xml:space="preserve">correlation coefficients. </w:t>
      </w:r>
      <w:r w:rsidRPr="005B7CAC">
        <w:rPr>
          <w:rFonts w:ascii="Times New Roman" w:hAnsi="Times New Roman"/>
          <w:sz w:val="18"/>
          <w:szCs w:val="18"/>
          <w:lang w:val="en-US"/>
        </w:rPr>
        <w:t xml:space="preserve">All the study variables are defined in Table 1. </w:t>
      </w:r>
      <w:r w:rsidRPr="005B7CAC">
        <w:rPr>
          <w:rFonts w:ascii="Times New Roman" w:hAnsi="Times New Roman"/>
          <w:iCs/>
          <w:sz w:val="18"/>
          <w:szCs w:val="18"/>
          <w:lang w:val="en-US"/>
        </w:rPr>
        <w:t>***, **, and * indicate significance at the 1%, 5%, and 10% levels, respectively.</w:t>
      </w:r>
    </w:p>
    <w:p w14:paraId="0C981FE0" w14:textId="77777777" w:rsidR="001938BC" w:rsidRPr="005B7CAC" w:rsidRDefault="001938BC" w:rsidP="001938BC">
      <w:pPr>
        <w:widowControl w:val="0"/>
        <w:autoSpaceDE w:val="0"/>
        <w:autoSpaceDN w:val="0"/>
        <w:adjustRightInd w:val="0"/>
        <w:spacing w:after="0" w:line="240" w:lineRule="auto"/>
        <w:jc w:val="both"/>
        <w:rPr>
          <w:rFonts w:ascii="Times New Roman" w:hAnsi="Times New Roman"/>
          <w:lang w:val="en-US"/>
        </w:rPr>
      </w:pPr>
      <w:r w:rsidRPr="005B7CAC">
        <w:rPr>
          <w:rFonts w:ascii="Times New Roman" w:hAnsi="Times New Roman"/>
          <w:b/>
          <w:lang w:val="en-US"/>
        </w:rPr>
        <w:t>Source:</w:t>
      </w:r>
      <w:r w:rsidRPr="005B7CAC">
        <w:rPr>
          <w:rFonts w:ascii="Times New Roman" w:hAnsi="Times New Roman"/>
          <w:lang w:val="en-US"/>
        </w:rPr>
        <w:t xml:space="preserve"> Table prepared by the authors.</w:t>
      </w:r>
    </w:p>
    <w:p w14:paraId="3D701DC4" w14:textId="57E7DA9A" w:rsidR="001938BC" w:rsidRPr="005B7CAC" w:rsidRDefault="001938BC" w:rsidP="00CD4FCC">
      <w:pPr>
        <w:widowControl w:val="0"/>
        <w:autoSpaceDE w:val="0"/>
        <w:autoSpaceDN w:val="0"/>
        <w:adjustRightInd w:val="0"/>
        <w:spacing w:after="240" w:line="240" w:lineRule="auto"/>
        <w:rPr>
          <w:rFonts w:ascii="Times New Roman" w:hAnsi="Times New Roman"/>
          <w:b/>
          <w:iCs/>
          <w:sz w:val="24"/>
          <w:szCs w:val="20"/>
          <w:lang w:val="en-US"/>
        </w:rPr>
        <w:sectPr w:rsidR="001938BC" w:rsidRPr="005B7CAC" w:rsidSect="00933C04">
          <w:pgSz w:w="15840" w:h="12240" w:orient="landscape"/>
          <w:pgMar w:top="1701" w:right="1134" w:bottom="850" w:left="1134" w:header="720" w:footer="720" w:gutter="0"/>
          <w:cols w:space="720"/>
          <w:noEndnote/>
          <w:docGrid w:linePitch="299"/>
        </w:sectPr>
      </w:pPr>
    </w:p>
    <w:p w14:paraId="1132B1C9" w14:textId="77777777" w:rsidR="001B4E9E" w:rsidRPr="005B7CAC" w:rsidRDefault="007A08F8" w:rsidP="007A08F8">
      <w:pPr>
        <w:widowControl w:val="0"/>
        <w:autoSpaceDE w:val="0"/>
        <w:autoSpaceDN w:val="0"/>
        <w:adjustRightInd w:val="0"/>
        <w:spacing w:after="120" w:line="240" w:lineRule="auto"/>
        <w:rPr>
          <w:rFonts w:ascii="Times New Roman" w:hAnsi="Times New Roman"/>
          <w:iCs/>
          <w:sz w:val="24"/>
          <w:szCs w:val="20"/>
          <w:lang w:val="en-US"/>
        </w:rPr>
      </w:pPr>
      <w:r w:rsidRPr="005B7CAC">
        <w:rPr>
          <w:rFonts w:ascii="Times New Roman" w:hAnsi="Times New Roman"/>
          <w:b/>
          <w:iCs/>
          <w:sz w:val="24"/>
          <w:szCs w:val="20"/>
          <w:lang w:val="en-US"/>
        </w:rPr>
        <w:lastRenderedPageBreak/>
        <w:t>Table 4</w:t>
      </w:r>
      <w:r w:rsidR="001B4E9E" w:rsidRPr="005B7CAC">
        <w:rPr>
          <w:rFonts w:ascii="Times New Roman" w:hAnsi="Times New Roman"/>
          <w:b/>
          <w:iCs/>
          <w:sz w:val="24"/>
          <w:szCs w:val="20"/>
          <w:lang w:val="en-US"/>
        </w:rPr>
        <w:t xml:space="preserve">. </w:t>
      </w:r>
      <w:r w:rsidR="000979A5" w:rsidRPr="005B7CAC">
        <w:rPr>
          <w:rFonts w:ascii="Times New Roman" w:hAnsi="Times New Roman"/>
          <w:iCs/>
          <w:sz w:val="24"/>
          <w:szCs w:val="20"/>
          <w:lang w:val="en-US"/>
        </w:rPr>
        <w:t xml:space="preserve">The impact of </w:t>
      </w:r>
      <w:r w:rsidR="001B4E9E" w:rsidRPr="005B7CAC">
        <w:rPr>
          <w:rFonts w:ascii="Times New Roman" w:hAnsi="Times New Roman"/>
          <w:iCs/>
          <w:sz w:val="24"/>
          <w:szCs w:val="20"/>
          <w:lang w:val="en-US"/>
        </w:rPr>
        <w:t>waste management on financial distress</w:t>
      </w:r>
    </w:p>
    <w:tbl>
      <w:tblPr>
        <w:tblW w:w="5000" w:type="pct"/>
        <w:tblLook w:val="0000" w:firstRow="0" w:lastRow="0" w:firstColumn="0" w:lastColumn="0" w:noHBand="0" w:noVBand="0"/>
      </w:tblPr>
      <w:tblGrid>
        <w:gridCol w:w="2483"/>
        <w:gridCol w:w="1802"/>
        <w:gridCol w:w="1802"/>
        <w:gridCol w:w="1802"/>
        <w:gridCol w:w="1800"/>
      </w:tblGrid>
      <w:tr w:rsidR="005B7CAC" w:rsidRPr="005B7CAC" w14:paraId="779C5FCE" w14:textId="77777777" w:rsidTr="00947F7E">
        <w:tc>
          <w:tcPr>
            <w:tcW w:w="1281" w:type="pct"/>
            <w:tcBorders>
              <w:top w:val="single" w:sz="12" w:space="0" w:color="auto"/>
              <w:left w:val="nil"/>
              <w:bottom w:val="nil"/>
              <w:right w:val="nil"/>
            </w:tcBorders>
          </w:tcPr>
          <w:p w14:paraId="705AA211" w14:textId="77777777" w:rsidR="006F0F6B" w:rsidRPr="005B7CAC" w:rsidRDefault="006F0F6B" w:rsidP="00C90660">
            <w:pPr>
              <w:widowControl w:val="0"/>
              <w:autoSpaceDE w:val="0"/>
              <w:autoSpaceDN w:val="0"/>
              <w:adjustRightInd w:val="0"/>
              <w:spacing w:after="0" w:line="240" w:lineRule="auto"/>
              <w:rPr>
                <w:rFonts w:ascii="Times New Roman" w:hAnsi="Times New Roman"/>
                <w:b/>
                <w:bCs/>
                <w:sz w:val="24"/>
                <w:szCs w:val="24"/>
                <w:lang w:val="en-US"/>
              </w:rPr>
            </w:pPr>
          </w:p>
        </w:tc>
        <w:tc>
          <w:tcPr>
            <w:tcW w:w="930" w:type="pct"/>
            <w:tcBorders>
              <w:top w:val="single" w:sz="12" w:space="0" w:color="auto"/>
              <w:left w:val="nil"/>
              <w:bottom w:val="nil"/>
              <w:right w:val="nil"/>
            </w:tcBorders>
          </w:tcPr>
          <w:p w14:paraId="600867BA"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(1)</w:t>
            </w:r>
          </w:p>
        </w:tc>
        <w:tc>
          <w:tcPr>
            <w:tcW w:w="930" w:type="pct"/>
            <w:tcBorders>
              <w:top w:val="single" w:sz="12" w:space="0" w:color="auto"/>
              <w:left w:val="nil"/>
              <w:bottom w:val="nil"/>
              <w:right w:val="nil"/>
            </w:tcBorders>
          </w:tcPr>
          <w:p w14:paraId="3D8026A8"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(2)</w:t>
            </w:r>
          </w:p>
        </w:tc>
        <w:tc>
          <w:tcPr>
            <w:tcW w:w="930" w:type="pct"/>
            <w:tcBorders>
              <w:top w:val="single" w:sz="12" w:space="0" w:color="auto"/>
              <w:left w:val="nil"/>
              <w:bottom w:val="nil"/>
              <w:right w:val="nil"/>
            </w:tcBorders>
          </w:tcPr>
          <w:p w14:paraId="7857DDEF"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(3)</w:t>
            </w:r>
          </w:p>
        </w:tc>
        <w:tc>
          <w:tcPr>
            <w:tcW w:w="930" w:type="pct"/>
            <w:tcBorders>
              <w:top w:val="single" w:sz="12" w:space="0" w:color="auto"/>
              <w:left w:val="nil"/>
              <w:bottom w:val="nil"/>
              <w:right w:val="nil"/>
            </w:tcBorders>
          </w:tcPr>
          <w:p w14:paraId="5DEA1109"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(4)</w:t>
            </w:r>
          </w:p>
        </w:tc>
      </w:tr>
      <w:tr w:rsidR="005B7CAC" w:rsidRPr="005B7CAC" w14:paraId="47A9D91A" w14:textId="77777777" w:rsidTr="00947F7E">
        <w:tc>
          <w:tcPr>
            <w:tcW w:w="1281" w:type="pct"/>
            <w:tcBorders>
              <w:top w:val="nil"/>
              <w:left w:val="nil"/>
              <w:bottom w:val="single" w:sz="8" w:space="0" w:color="auto"/>
              <w:right w:val="nil"/>
            </w:tcBorders>
          </w:tcPr>
          <w:p w14:paraId="4514645C" w14:textId="77777777" w:rsidR="006F0F6B" w:rsidRPr="005B7CAC" w:rsidRDefault="006F0F6B" w:rsidP="00C90660">
            <w:pPr>
              <w:widowControl w:val="0"/>
              <w:autoSpaceDE w:val="0"/>
              <w:autoSpaceDN w:val="0"/>
              <w:adjustRightInd w:val="0"/>
              <w:spacing w:after="0" w:line="240" w:lineRule="auto"/>
              <w:rPr>
                <w:rFonts w:ascii="Times New Roman" w:hAnsi="Times New Roman"/>
                <w:b/>
                <w:bCs/>
                <w:sz w:val="24"/>
                <w:szCs w:val="24"/>
              </w:rPr>
            </w:pPr>
          </w:p>
        </w:tc>
        <w:tc>
          <w:tcPr>
            <w:tcW w:w="930" w:type="pct"/>
            <w:tcBorders>
              <w:top w:val="nil"/>
              <w:left w:val="nil"/>
              <w:bottom w:val="single" w:sz="8" w:space="0" w:color="auto"/>
              <w:right w:val="nil"/>
            </w:tcBorders>
          </w:tcPr>
          <w:p w14:paraId="3A5B0772"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Z_UK</w:t>
            </w:r>
          </w:p>
        </w:tc>
        <w:tc>
          <w:tcPr>
            <w:tcW w:w="930" w:type="pct"/>
            <w:tcBorders>
              <w:top w:val="nil"/>
              <w:left w:val="nil"/>
              <w:bottom w:val="single" w:sz="8" w:space="0" w:color="auto"/>
              <w:right w:val="nil"/>
            </w:tcBorders>
          </w:tcPr>
          <w:p w14:paraId="51397B14"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Z_UK</w:t>
            </w:r>
          </w:p>
        </w:tc>
        <w:tc>
          <w:tcPr>
            <w:tcW w:w="930" w:type="pct"/>
            <w:tcBorders>
              <w:top w:val="nil"/>
              <w:left w:val="nil"/>
              <w:bottom w:val="single" w:sz="8" w:space="0" w:color="auto"/>
              <w:right w:val="nil"/>
            </w:tcBorders>
          </w:tcPr>
          <w:p w14:paraId="25337FDD"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Z_ALT</w:t>
            </w:r>
          </w:p>
        </w:tc>
        <w:tc>
          <w:tcPr>
            <w:tcW w:w="930" w:type="pct"/>
            <w:tcBorders>
              <w:top w:val="nil"/>
              <w:left w:val="nil"/>
              <w:bottom w:val="single" w:sz="8" w:space="0" w:color="auto"/>
              <w:right w:val="nil"/>
            </w:tcBorders>
          </w:tcPr>
          <w:p w14:paraId="43BD13B5"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Z_ALT</w:t>
            </w:r>
          </w:p>
        </w:tc>
      </w:tr>
      <w:tr w:rsidR="005B7CAC" w:rsidRPr="005B7CAC" w14:paraId="6CC267A4" w14:textId="77777777" w:rsidTr="00947F7E">
        <w:tc>
          <w:tcPr>
            <w:tcW w:w="1281" w:type="pct"/>
            <w:tcBorders>
              <w:top w:val="single" w:sz="8" w:space="0" w:color="auto"/>
              <w:left w:val="nil"/>
              <w:bottom w:val="nil"/>
              <w:right w:val="nil"/>
            </w:tcBorders>
          </w:tcPr>
          <w:p w14:paraId="59FA85D2" w14:textId="77777777" w:rsidR="006F0F6B" w:rsidRPr="005B7CAC" w:rsidRDefault="006F0F6B"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WAST</w:t>
            </w:r>
          </w:p>
        </w:tc>
        <w:tc>
          <w:tcPr>
            <w:tcW w:w="930" w:type="pct"/>
            <w:tcBorders>
              <w:top w:val="single" w:sz="8" w:space="0" w:color="auto"/>
              <w:left w:val="nil"/>
              <w:bottom w:val="nil"/>
              <w:right w:val="nil"/>
            </w:tcBorders>
          </w:tcPr>
          <w:p w14:paraId="7AECBF26"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-0.009</w:t>
            </w:r>
            <w:r w:rsidRPr="005B7CAC">
              <w:rPr>
                <w:rFonts w:ascii="Times New Roman" w:hAnsi="Times New Roman"/>
                <w:sz w:val="24"/>
                <w:szCs w:val="24"/>
                <w:vertAlign w:val="superscript"/>
              </w:rPr>
              <w:t>***</w:t>
            </w:r>
          </w:p>
        </w:tc>
        <w:tc>
          <w:tcPr>
            <w:tcW w:w="930" w:type="pct"/>
            <w:tcBorders>
              <w:top w:val="single" w:sz="8" w:space="0" w:color="auto"/>
              <w:left w:val="nil"/>
              <w:bottom w:val="nil"/>
              <w:right w:val="nil"/>
            </w:tcBorders>
          </w:tcPr>
          <w:p w14:paraId="676E0A4A"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p>
        </w:tc>
        <w:tc>
          <w:tcPr>
            <w:tcW w:w="930" w:type="pct"/>
            <w:tcBorders>
              <w:top w:val="single" w:sz="8" w:space="0" w:color="auto"/>
              <w:left w:val="nil"/>
              <w:bottom w:val="nil"/>
              <w:right w:val="nil"/>
            </w:tcBorders>
          </w:tcPr>
          <w:p w14:paraId="038DB1E5"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-0.041</w:t>
            </w:r>
            <w:r w:rsidRPr="005B7CAC">
              <w:rPr>
                <w:rFonts w:ascii="Times New Roman" w:hAnsi="Times New Roman"/>
                <w:sz w:val="24"/>
                <w:szCs w:val="24"/>
                <w:vertAlign w:val="superscript"/>
              </w:rPr>
              <w:t>***</w:t>
            </w:r>
          </w:p>
        </w:tc>
        <w:tc>
          <w:tcPr>
            <w:tcW w:w="930" w:type="pct"/>
            <w:tcBorders>
              <w:top w:val="single" w:sz="8" w:space="0" w:color="auto"/>
              <w:left w:val="nil"/>
              <w:bottom w:val="nil"/>
              <w:right w:val="nil"/>
            </w:tcBorders>
          </w:tcPr>
          <w:p w14:paraId="6DEE5F14"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p>
        </w:tc>
      </w:tr>
      <w:tr w:rsidR="005B7CAC" w:rsidRPr="005B7CAC" w14:paraId="7079F925" w14:textId="77777777" w:rsidTr="00947F7E">
        <w:tc>
          <w:tcPr>
            <w:tcW w:w="1281" w:type="pct"/>
            <w:tcBorders>
              <w:top w:val="nil"/>
              <w:left w:val="nil"/>
              <w:bottom w:val="nil"/>
              <w:right w:val="nil"/>
            </w:tcBorders>
          </w:tcPr>
          <w:p w14:paraId="790EF5A3" w14:textId="77777777" w:rsidR="006F0F6B" w:rsidRPr="005B7CAC" w:rsidRDefault="006F0F6B" w:rsidP="00C90660">
            <w:pPr>
              <w:widowControl w:val="0"/>
              <w:autoSpaceDE w:val="0"/>
              <w:autoSpaceDN w:val="0"/>
              <w:adjustRightInd w:val="0"/>
              <w:spacing w:after="0" w:line="240" w:lineRule="auto"/>
              <w:rPr>
                <w:rFonts w:ascii="Times New Roman" w:hAnsi="Times New Roman"/>
                <w:sz w:val="24"/>
                <w:szCs w:val="24"/>
              </w:rPr>
            </w:pPr>
          </w:p>
        </w:tc>
        <w:tc>
          <w:tcPr>
            <w:tcW w:w="930" w:type="pct"/>
            <w:tcBorders>
              <w:top w:val="nil"/>
              <w:left w:val="nil"/>
              <w:bottom w:val="nil"/>
              <w:right w:val="nil"/>
            </w:tcBorders>
          </w:tcPr>
          <w:p w14:paraId="4DF2602E"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(-6.46)</w:t>
            </w:r>
          </w:p>
        </w:tc>
        <w:tc>
          <w:tcPr>
            <w:tcW w:w="930" w:type="pct"/>
            <w:tcBorders>
              <w:top w:val="nil"/>
              <w:left w:val="nil"/>
              <w:bottom w:val="nil"/>
              <w:right w:val="nil"/>
            </w:tcBorders>
          </w:tcPr>
          <w:p w14:paraId="6660A930"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p>
        </w:tc>
        <w:tc>
          <w:tcPr>
            <w:tcW w:w="930" w:type="pct"/>
            <w:tcBorders>
              <w:top w:val="nil"/>
              <w:left w:val="nil"/>
              <w:bottom w:val="nil"/>
              <w:right w:val="nil"/>
            </w:tcBorders>
          </w:tcPr>
          <w:p w14:paraId="25478688"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(-7.50)</w:t>
            </w:r>
          </w:p>
        </w:tc>
        <w:tc>
          <w:tcPr>
            <w:tcW w:w="930" w:type="pct"/>
            <w:tcBorders>
              <w:top w:val="nil"/>
              <w:left w:val="nil"/>
              <w:bottom w:val="nil"/>
              <w:right w:val="nil"/>
            </w:tcBorders>
          </w:tcPr>
          <w:p w14:paraId="4400DF0E"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p>
        </w:tc>
      </w:tr>
      <w:tr w:rsidR="005B7CAC" w:rsidRPr="005B7CAC" w14:paraId="12CABA8E" w14:textId="77777777" w:rsidTr="00947F7E">
        <w:tc>
          <w:tcPr>
            <w:tcW w:w="1281" w:type="pct"/>
            <w:tcBorders>
              <w:top w:val="nil"/>
              <w:left w:val="nil"/>
              <w:bottom w:val="nil"/>
              <w:right w:val="nil"/>
            </w:tcBorders>
          </w:tcPr>
          <w:p w14:paraId="1257F136" w14:textId="77777777" w:rsidR="006F0F6B" w:rsidRPr="005B7CAC" w:rsidRDefault="006F0F6B"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WREC</w:t>
            </w:r>
          </w:p>
        </w:tc>
        <w:tc>
          <w:tcPr>
            <w:tcW w:w="930" w:type="pct"/>
            <w:tcBorders>
              <w:top w:val="nil"/>
              <w:left w:val="nil"/>
              <w:bottom w:val="nil"/>
              <w:right w:val="nil"/>
            </w:tcBorders>
          </w:tcPr>
          <w:p w14:paraId="52CD6654"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p>
        </w:tc>
        <w:tc>
          <w:tcPr>
            <w:tcW w:w="930" w:type="pct"/>
            <w:tcBorders>
              <w:top w:val="nil"/>
              <w:left w:val="nil"/>
              <w:bottom w:val="nil"/>
              <w:right w:val="nil"/>
            </w:tcBorders>
          </w:tcPr>
          <w:p w14:paraId="2CDB89D2"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0.003</w:t>
            </w:r>
            <w:r w:rsidRPr="005B7CAC">
              <w:rPr>
                <w:rFonts w:ascii="Times New Roman" w:hAnsi="Times New Roman"/>
                <w:sz w:val="24"/>
                <w:szCs w:val="24"/>
                <w:vertAlign w:val="superscript"/>
              </w:rPr>
              <w:t>***</w:t>
            </w:r>
          </w:p>
        </w:tc>
        <w:tc>
          <w:tcPr>
            <w:tcW w:w="930" w:type="pct"/>
            <w:tcBorders>
              <w:top w:val="nil"/>
              <w:left w:val="nil"/>
              <w:bottom w:val="nil"/>
              <w:right w:val="nil"/>
            </w:tcBorders>
          </w:tcPr>
          <w:p w14:paraId="7D4306F1"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p>
        </w:tc>
        <w:tc>
          <w:tcPr>
            <w:tcW w:w="930" w:type="pct"/>
            <w:tcBorders>
              <w:top w:val="nil"/>
              <w:left w:val="nil"/>
              <w:bottom w:val="nil"/>
              <w:right w:val="nil"/>
            </w:tcBorders>
          </w:tcPr>
          <w:p w14:paraId="0F6E3A99"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0.005</w:t>
            </w:r>
            <w:r w:rsidRPr="005B7CAC">
              <w:rPr>
                <w:rFonts w:ascii="Times New Roman" w:hAnsi="Times New Roman"/>
                <w:sz w:val="24"/>
                <w:szCs w:val="24"/>
                <w:vertAlign w:val="superscript"/>
              </w:rPr>
              <w:t>***</w:t>
            </w:r>
          </w:p>
        </w:tc>
      </w:tr>
      <w:tr w:rsidR="005B7CAC" w:rsidRPr="005B7CAC" w14:paraId="4200C44E" w14:textId="77777777" w:rsidTr="00947F7E">
        <w:tc>
          <w:tcPr>
            <w:tcW w:w="1281" w:type="pct"/>
            <w:tcBorders>
              <w:top w:val="nil"/>
              <w:left w:val="nil"/>
              <w:bottom w:val="nil"/>
              <w:right w:val="nil"/>
            </w:tcBorders>
          </w:tcPr>
          <w:p w14:paraId="06638B31" w14:textId="77777777" w:rsidR="006F0F6B" w:rsidRPr="005B7CAC" w:rsidRDefault="006F0F6B" w:rsidP="00C90660">
            <w:pPr>
              <w:widowControl w:val="0"/>
              <w:autoSpaceDE w:val="0"/>
              <w:autoSpaceDN w:val="0"/>
              <w:adjustRightInd w:val="0"/>
              <w:spacing w:after="0" w:line="240" w:lineRule="auto"/>
              <w:rPr>
                <w:rFonts w:ascii="Times New Roman" w:hAnsi="Times New Roman"/>
                <w:sz w:val="24"/>
                <w:szCs w:val="24"/>
              </w:rPr>
            </w:pPr>
          </w:p>
        </w:tc>
        <w:tc>
          <w:tcPr>
            <w:tcW w:w="930" w:type="pct"/>
            <w:tcBorders>
              <w:top w:val="nil"/>
              <w:left w:val="nil"/>
              <w:bottom w:val="nil"/>
              <w:right w:val="nil"/>
            </w:tcBorders>
          </w:tcPr>
          <w:p w14:paraId="33DF93B8"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p>
        </w:tc>
        <w:tc>
          <w:tcPr>
            <w:tcW w:w="930" w:type="pct"/>
            <w:tcBorders>
              <w:top w:val="nil"/>
              <w:left w:val="nil"/>
              <w:bottom w:val="nil"/>
              <w:right w:val="nil"/>
            </w:tcBorders>
          </w:tcPr>
          <w:p w14:paraId="2332C72C"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(7.02)</w:t>
            </w:r>
          </w:p>
        </w:tc>
        <w:tc>
          <w:tcPr>
            <w:tcW w:w="930" w:type="pct"/>
            <w:tcBorders>
              <w:top w:val="nil"/>
              <w:left w:val="nil"/>
              <w:bottom w:val="nil"/>
              <w:right w:val="nil"/>
            </w:tcBorders>
          </w:tcPr>
          <w:p w14:paraId="6E0FA7D7"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p>
        </w:tc>
        <w:tc>
          <w:tcPr>
            <w:tcW w:w="930" w:type="pct"/>
            <w:tcBorders>
              <w:top w:val="nil"/>
              <w:left w:val="nil"/>
              <w:bottom w:val="nil"/>
              <w:right w:val="nil"/>
            </w:tcBorders>
          </w:tcPr>
          <w:p w14:paraId="69A6E089"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(5.57)</w:t>
            </w:r>
          </w:p>
        </w:tc>
      </w:tr>
      <w:tr w:rsidR="005B7CAC" w:rsidRPr="005B7CAC" w14:paraId="702BB60A" w14:textId="77777777" w:rsidTr="00947F7E">
        <w:tc>
          <w:tcPr>
            <w:tcW w:w="1281" w:type="pct"/>
            <w:tcBorders>
              <w:top w:val="nil"/>
              <w:left w:val="nil"/>
              <w:bottom w:val="nil"/>
              <w:right w:val="nil"/>
            </w:tcBorders>
          </w:tcPr>
          <w:p w14:paraId="3277CAB0" w14:textId="77777777" w:rsidR="006F0F6B" w:rsidRPr="005B7CAC" w:rsidRDefault="006F0F6B"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GINVs</w:t>
            </w:r>
          </w:p>
        </w:tc>
        <w:tc>
          <w:tcPr>
            <w:tcW w:w="930" w:type="pct"/>
            <w:tcBorders>
              <w:top w:val="nil"/>
              <w:left w:val="nil"/>
              <w:bottom w:val="nil"/>
              <w:right w:val="nil"/>
            </w:tcBorders>
          </w:tcPr>
          <w:p w14:paraId="38A7A06C"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0.009</w:t>
            </w:r>
            <w:r w:rsidRPr="005B7CAC">
              <w:rPr>
                <w:rFonts w:ascii="Times New Roman" w:hAnsi="Times New Roman"/>
                <w:sz w:val="24"/>
                <w:szCs w:val="24"/>
                <w:vertAlign w:val="superscript"/>
              </w:rPr>
              <w:t>***</w:t>
            </w:r>
          </w:p>
        </w:tc>
        <w:tc>
          <w:tcPr>
            <w:tcW w:w="930" w:type="pct"/>
            <w:tcBorders>
              <w:top w:val="nil"/>
              <w:left w:val="nil"/>
              <w:bottom w:val="nil"/>
              <w:right w:val="nil"/>
            </w:tcBorders>
          </w:tcPr>
          <w:p w14:paraId="11C22AF3"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0.008</w:t>
            </w:r>
            <w:r w:rsidRPr="005B7CAC">
              <w:rPr>
                <w:rFonts w:ascii="Times New Roman" w:hAnsi="Times New Roman"/>
                <w:sz w:val="24"/>
                <w:szCs w:val="24"/>
                <w:vertAlign w:val="superscript"/>
              </w:rPr>
              <w:t>**</w:t>
            </w:r>
          </w:p>
        </w:tc>
        <w:tc>
          <w:tcPr>
            <w:tcW w:w="930" w:type="pct"/>
            <w:tcBorders>
              <w:top w:val="nil"/>
              <w:left w:val="nil"/>
              <w:bottom w:val="nil"/>
              <w:right w:val="nil"/>
            </w:tcBorders>
          </w:tcPr>
          <w:p w14:paraId="60F66C57"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0.026</w:t>
            </w:r>
            <w:r w:rsidRPr="005B7CAC">
              <w:rPr>
                <w:rFonts w:ascii="Times New Roman" w:hAnsi="Times New Roman"/>
                <w:sz w:val="24"/>
                <w:szCs w:val="24"/>
                <w:vertAlign w:val="superscript"/>
              </w:rPr>
              <w:t>***</w:t>
            </w:r>
          </w:p>
        </w:tc>
        <w:tc>
          <w:tcPr>
            <w:tcW w:w="930" w:type="pct"/>
            <w:tcBorders>
              <w:top w:val="nil"/>
              <w:left w:val="nil"/>
              <w:bottom w:val="nil"/>
              <w:right w:val="nil"/>
            </w:tcBorders>
          </w:tcPr>
          <w:p w14:paraId="68A72B0E"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0.021</w:t>
            </w:r>
            <w:r w:rsidRPr="005B7CAC">
              <w:rPr>
                <w:rFonts w:ascii="Times New Roman" w:hAnsi="Times New Roman"/>
                <w:sz w:val="24"/>
                <w:szCs w:val="24"/>
                <w:vertAlign w:val="superscript"/>
              </w:rPr>
              <w:t>***</w:t>
            </w:r>
          </w:p>
        </w:tc>
      </w:tr>
      <w:tr w:rsidR="005B7CAC" w:rsidRPr="005B7CAC" w14:paraId="6FD7A2D6" w14:textId="77777777" w:rsidTr="00947F7E">
        <w:tc>
          <w:tcPr>
            <w:tcW w:w="1281" w:type="pct"/>
            <w:tcBorders>
              <w:top w:val="nil"/>
              <w:left w:val="nil"/>
              <w:bottom w:val="nil"/>
              <w:right w:val="nil"/>
            </w:tcBorders>
          </w:tcPr>
          <w:p w14:paraId="57F3846F" w14:textId="77777777" w:rsidR="006F0F6B" w:rsidRPr="005B7CAC" w:rsidRDefault="006F0F6B" w:rsidP="00C90660">
            <w:pPr>
              <w:widowControl w:val="0"/>
              <w:autoSpaceDE w:val="0"/>
              <w:autoSpaceDN w:val="0"/>
              <w:adjustRightInd w:val="0"/>
              <w:spacing w:after="0" w:line="240" w:lineRule="auto"/>
              <w:rPr>
                <w:rFonts w:ascii="Times New Roman" w:hAnsi="Times New Roman"/>
                <w:sz w:val="24"/>
                <w:szCs w:val="24"/>
              </w:rPr>
            </w:pPr>
          </w:p>
        </w:tc>
        <w:tc>
          <w:tcPr>
            <w:tcW w:w="930" w:type="pct"/>
            <w:tcBorders>
              <w:top w:val="nil"/>
              <w:left w:val="nil"/>
              <w:bottom w:val="nil"/>
              <w:right w:val="nil"/>
            </w:tcBorders>
          </w:tcPr>
          <w:p w14:paraId="342C7842"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(3.07)</w:t>
            </w:r>
          </w:p>
        </w:tc>
        <w:tc>
          <w:tcPr>
            <w:tcW w:w="930" w:type="pct"/>
            <w:tcBorders>
              <w:top w:val="nil"/>
              <w:left w:val="nil"/>
              <w:bottom w:val="nil"/>
              <w:right w:val="nil"/>
            </w:tcBorders>
          </w:tcPr>
          <w:p w14:paraId="290E3EF7"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(2.33)</w:t>
            </w:r>
          </w:p>
        </w:tc>
        <w:tc>
          <w:tcPr>
            <w:tcW w:w="930" w:type="pct"/>
            <w:tcBorders>
              <w:top w:val="nil"/>
              <w:left w:val="nil"/>
              <w:bottom w:val="nil"/>
              <w:right w:val="nil"/>
            </w:tcBorders>
          </w:tcPr>
          <w:p w14:paraId="22924C0B"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(3.81)</w:t>
            </w:r>
          </w:p>
        </w:tc>
        <w:tc>
          <w:tcPr>
            <w:tcW w:w="930" w:type="pct"/>
            <w:tcBorders>
              <w:top w:val="nil"/>
              <w:left w:val="nil"/>
              <w:bottom w:val="nil"/>
              <w:right w:val="nil"/>
            </w:tcBorders>
          </w:tcPr>
          <w:p w14:paraId="617C1251"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(2.71)</w:t>
            </w:r>
          </w:p>
        </w:tc>
      </w:tr>
      <w:tr w:rsidR="005B7CAC" w:rsidRPr="005B7CAC" w14:paraId="27306577" w14:textId="77777777" w:rsidTr="00947F7E">
        <w:tc>
          <w:tcPr>
            <w:tcW w:w="1281" w:type="pct"/>
            <w:tcBorders>
              <w:top w:val="nil"/>
              <w:left w:val="nil"/>
              <w:bottom w:val="nil"/>
              <w:right w:val="nil"/>
            </w:tcBorders>
          </w:tcPr>
          <w:p w14:paraId="3E8EDDC9" w14:textId="77777777" w:rsidR="006F0F6B" w:rsidRPr="005B7CAC" w:rsidRDefault="006F0F6B"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BSIZE</w:t>
            </w:r>
          </w:p>
        </w:tc>
        <w:tc>
          <w:tcPr>
            <w:tcW w:w="930" w:type="pct"/>
            <w:tcBorders>
              <w:top w:val="nil"/>
              <w:left w:val="nil"/>
              <w:bottom w:val="nil"/>
              <w:right w:val="nil"/>
            </w:tcBorders>
          </w:tcPr>
          <w:p w14:paraId="09DF2D2F"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-0.016</w:t>
            </w:r>
            <w:r w:rsidRPr="005B7CAC">
              <w:rPr>
                <w:rFonts w:ascii="Times New Roman" w:hAnsi="Times New Roman"/>
                <w:sz w:val="24"/>
                <w:szCs w:val="24"/>
                <w:vertAlign w:val="superscript"/>
              </w:rPr>
              <w:t>***</w:t>
            </w:r>
          </w:p>
        </w:tc>
        <w:tc>
          <w:tcPr>
            <w:tcW w:w="930" w:type="pct"/>
            <w:tcBorders>
              <w:top w:val="nil"/>
              <w:left w:val="nil"/>
              <w:bottom w:val="nil"/>
              <w:right w:val="nil"/>
            </w:tcBorders>
          </w:tcPr>
          <w:p w14:paraId="51D50A49"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-0.014</w:t>
            </w:r>
            <w:r w:rsidRPr="005B7CAC">
              <w:rPr>
                <w:rFonts w:ascii="Times New Roman" w:hAnsi="Times New Roman"/>
                <w:sz w:val="24"/>
                <w:szCs w:val="24"/>
                <w:vertAlign w:val="superscript"/>
              </w:rPr>
              <w:t>***</w:t>
            </w:r>
          </w:p>
        </w:tc>
        <w:tc>
          <w:tcPr>
            <w:tcW w:w="930" w:type="pct"/>
            <w:tcBorders>
              <w:top w:val="nil"/>
              <w:left w:val="nil"/>
              <w:bottom w:val="nil"/>
              <w:right w:val="nil"/>
            </w:tcBorders>
          </w:tcPr>
          <w:p w14:paraId="74F884C8"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-0.040</w:t>
            </w:r>
            <w:r w:rsidRPr="005B7CAC">
              <w:rPr>
                <w:rFonts w:ascii="Times New Roman" w:hAnsi="Times New Roman"/>
                <w:sz w:val="24"/>
                <w:szCs w:val="24"/>
                <w:vertAlign w:val="superscript"/>
              </w:rPr>
              <w:t>***</w:t>
            </w:r>
          </w:p>
        </w:tc>
        <w:tc>
          <w:tcPr>
            <w:tcW w:w="930" w:type="pct"/>
            <w:tcBorders>
              <w:top w:val="nil"/>
              <w:left w:val="nil"/>
              <w:bottom w:val="nil"/>
              <w:right w:val="nil"/>
            </w:tcBorders>
          </w:tcPr>
          <w:p w14:paraId="7D0AECEE"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-0.031</w:t>
            </w:r>
            <w:r w:rsidRPr="005B7CAC">
              <w:rPr>
                <w:rFonts w:ascii="Times New Roman" w:hAnsi="Times New Roman"/>
                <w:sz w:val="24"/>
                <w:szCs w:val="24"/>
                <w:vertAlign w:val="superscript"/>
              </w:rPr>
              <w:t>***</w:t>
            </w:r>
          </w:p>
        </w:tc>
      </w:tr>
      <w:tr w:rsidR="005B7CAC" w:rsidRPr="005B7CAC" w14:paraId="38636F48" w14:textId="77777777" w:rsidTr="00947F7E">
        <w:tc>
          <w:tcPr>
            <w:tcW w:w="1281" w:type="pct"/>
            <w:tcBorders>
              <w:top w:val="nil"/>
              <w:left w:val="nil"/>
              <w:bottom w:val="nil"/>
              <w:right w:val="nil"/>
            </w:tcBorders>
          </w:tcPr>
          <w:p w14:paraId="06B15B94" w14:textId="77777777" w:rsidR="006F0F6B" w:rsidRPr="005B7CAC" w:rsidRDefault="006F0F6B" w:rsidP="00C90660">
            <w:pPr>
              <w:widowControl w:val="0"/>
              <w:autoSpaceDE w:val="0"/>
              <w:autoSpaceDN w:val="0"/>
              <w:adjustRightInd w:val="0"/>
              <w:spacing w:after="0" w:line="240" w:lineRule="auto"/>
              <w:rPr>
                <w:rFonts w:ascii="Times New Roman" w:hAnsi="Times New Roman"/>
                <w:sz w:val="24"/>
                <w:szCs w:val="24"/>
              </w:rPr>
            </w:pPr>
          </w:p>
        </w:tc>
        <w:tc>
          <w:tcPr>
            <w:tcW w:w="930" w:type="pct"/>
            <w:tcBorders>
              <w:top w:val="nil"/>
              <w:left w:val="nil"/>
              <w:bottom w:val="nil"/>
              <w:right w:val="nil"/>
            </w:tcBorders>
          </w:tcPr>
          <w:p w14:paraId="5D12EBF8"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(-4.25)</w:t>
            </w:r>
          </w:p>
        </w:tc>
        <w:tc>
          <w:tcPr>
            <w:tcW w:w="930" w:type="pct"/>
            <w:tcBorders>
              <w:top w:val="nil"/>
              <w:left w:val="nil"/>
              <w:bottom w:val="nil"/>
              <w:right w:val="nil"/>
            </w:tcBorders>
          </w:tcPr>
          <w:p w14:paraId="39F37391"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(-3.52)</w:t>
            </w:r>
          </w:p>
        </w:tc>
        <w:tc>
          <w:tcPr>
            <w:tcW w:w="930" w:type="pct"/>
            <w:tcBorders>
              <w:top w:val="nil"/>
              <w:left w:val="nil"/>
              <w:bottom w:val="nil"/>
              <w:right w:val="nil"/>
            </w:tcBorders>
          </w:tcPr>
          <w:p w14:paraId="4BA55FC9"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(-4.56)</w:t>
            </w:r>
          </w:p>
        </w:tc>
        <w:tc>
          <w:tcPr>
            <w:tcW w:w="930" w:type="pct"/>
            <w:tcBorders>
              <w:top w:val="nil"/>
              <w:left w:val="nil"/>
              <w:bottom w:val="nil"/>
              <w:right w:val="nil"/>
            </w:tcBorders>
          </w:tcPr>
          <w:p w14:paraId="22588141"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(-3.41)</w:t>
            </w:r>
          </w:p>
        </w:tc>
      </w:tr>
      <w:tr w:rsidR="005B7CAC" w:rsidRPr="005B7CAC" w14:paraId="2E1A46CF" w14:textId="77777777" w:rsidTr="00947F7E">
        <w:tc>
          <w:tcPr>
            <w:tcW w:w="1281" w:type="pct"/>
            <w:tcBorders>
              <w:top w:val="nil"/>
              <w:left w:val="nil"/>
              <w:bottom w:val="nil"/>
              <w:right w:val="nil"/>
            </w:tcBorders>
          </w:tcPr>
          <w:p w14:paraId="59B100BC" w14:textId="77777777" w:rsidR="006F0F6B" w:rsidRPr="005B7CAC" w:rsidRDefault="006F0F6B"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BGDIV</w:t>
            </w:r>
          </w:p>
        </w:tc>
        <w:tc>
          <w:tcPr>
            <w:tcW w:w="930" w:type="pct"/>
            <w:tcBorders>
              <w:top w:val="nil"/>
              <w:left w:val="nil"/>
              <w:bottom w:val="nil"/>
              <w:right w:val="nil"/>
            </w:tcBorders>
          </w:tcPr>
          <w:p w14:paraId="7676157E"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0.002</w:t>
            </w:r>
            <w:r w:rsidRPr="005B7CAC">
              <w:rPr>
                <w:rFonts w:ascii="Times New Roman" w:hAnsi="Times New Roman"/>
                <w:sz w:val="24"/>
                <w:szCs w:val="24"/>
                <w:vertAlign w:val="superscript"/>
              </w:rPr>
              <w:t>**</w:t>
            </w:r>
          </w:p>
        </w:tc>
        <w:tc>
          <w:tcPr>
            <w:tcW w:w="930" w:type="pct"/>
            <w:tcBorders>
              <w:top w:val="nil"/>
              <w:left w:val="nil"/>
              <w:bottom w:val="nil"/>
              <w:right w:val="nil"/>
            </w:tcBorders>
          </w:tcPr>
          <w:p w14:paraId="2B2383E0"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0.002</w:t>
            </w:r>
            <w:r w:rsidRPr="005B7CAC">
              <w:rPr>
                <w:rFonts w:ascii="Times New Roman" w:hAnsi="Times New Roman"/>
                <w:sz w:val="24"/>
                <w:szCs w:val="24"/>
                <w:vertAlign w:val="superscript"/>
              </w:rPr>
              <w:t>***</w:t>
            </w:r>
          </w:p>
        </w:tc>
        <w:tc>
          <w:tcPr>
            <w:tcW w:w="930" w:type="pct"/>
            <w:tcBorders>
              <w:top w:val="nil"/>
              <w:left w:val="nil"/>
              <w:bottom w:val="nil"/>
              <w:right w:val="nil"/>
            </w:tcBorders>
          </w:tcPr>
          <w:p w14:paraId="0C870105"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0.011</w:t>
            </w:r>
            <w:r w:rsidRPr="005B7CAC">
              <w:rPr>
                <w:rFonts w:ascii="Times New Roman" w:hAnsi="Times New Roman"/>
                <w:sz w:val="24"/>
                <w:szCs w:val="24"/>
                <w:vertAlign w:val="superscript"/>
              </w:rPr>
              <w:t>***</w:t>
            </w:r>
          </w:p>
        </w:tc>
        <w:tc>
          <w:tcPr>
            <w:tcW w:w="930" w:type="pct"/>
            <w:tcBorders>
              <w:top w:val="nil"/>
              <w:left w:val="nil"/>
              <w:bottom w:val="nil"/>
              <w:right w:val="nil"/>
            </w:tcBorders>
          </w:tcPr>
          <w:p w14:paraId="323ECBB9"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0.010</w:t>
            </w:r>
            <w:r w:rsidRPr="005B7CAC">
              <w:rPr>
                <w:rFonts w:ascii="Times New Roman" w:hAnsi="Times New Roman"/>
                <w:sz w:val="24"/>
                <w:szCs w:val="24"/>
                <w:vertAlign w:val="superscript"/>
              </w:rPr>
              <w:t>***</w:t>
            </w:r>
          </w:p>
        </w:tc>
      </w:tr>
      <w:tr w:rsidR="005B7CAC" w:rsidRPr="005B7CAC" w14:paraId="21223440" w14:textId="77777777" w:rsidTr="00947F7E">
        <w:tc>
          <w:tcPr>
            <w:tcW w:w="1281" w:type="pct"/>
            <w:tcBorders>
              <w:top w:val="nil"/>
              <w:left w:val="nil"/>
              <w:bottom w:val="nil"/>
              <w:right w:val="nil"/>
            </w:tcBorders>
          </w:tcPr>
          <w:p w14:paraId="411B3B6E" w14:textId="77777777" w:rsidR="006F0F6B" w:rsidRPr="005B7CAC" w:rsidRDefault="006F0F6B" w:rsidP="00C90660">
            <w:pPr>
              <w:widowControl w:val="0"/>
              <w:autoSpaceDE w:val="0"/>
              <w:autoSpaceDN w:val="0"/>
              <w:adjustRightInd w:val="0"/>
              <w:spacing w:after="0" w:line="240" w:lineRule="auto"/>
              <w:rPr>
                <w:rFonts w:ascii="Times New Roman" w:hAnsi="Times New Roman"/>
                <w:sz w:val="24"/>
                <w:szCs w:val="24"/>
              </w:rPr>
            </w:pPr>
          </w:p>
        </w:tc>
        <w:tc>
          <w:tcPr>
            <w:tcW w:w="930" w:type="pct"/>
            <w:tcBorders>
              <w:top w:val="nil"/>
              <w:left w:val="nil"/>
              <w:bottom w:val="nil"/>
              <w:right w:val="nil"/>
            </w:tcBorders>
          </w:tcPr>
          <w:p w14:paraId="4CC3C8B2"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(2.32)</w:t>
            </w:r>
          </w:p>
        </w:tc>
        <w:tc>
          <w:tcPr>
            <w:tcW w:w="930" w:type="pct"/>
            <w:tcBorders>
              <w:top w:val="nil"/>
              <w:left w:val="nil"/>
              <w:bottom w:val="nil"/>
              <w:right w:val="nil"/>
            </w:tcBorders>
          </w:tcPr>
          <w:p w14:paraId="0DF7376C"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(2.59)</w:t>
            </w:r>
          </w:p>
        </w:tc>
        <w:tc>
          <w:tcPr>
            <w:tcW w:w="930" w:type="pct"/>
            <w:tcBorders>
              <w:top w:val="nil"/>
              <w:left w:val="nil"/>
              <w:bottom w:val="nil"/>
              <w:right w:val="nil"/>
            </w:tcBorders>
          </w:tcPr>
          <w:p w14:paraId="6015ED25"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(5.27)</w:t>
            </w:r>
          </w:p>
        </w:tc>
        <w:tc>
          <w:tcPr>
            <w:tcW w:w="930" w:type="pct"/>
            <w:tcBorders>
              <w:top w:val="nil"/>
              <w:left w:val="nil"/>
              <w:bottom w:val="nil"/>
              <w:right w:val="nil"/>
            </w:tcBorders>
          </w:tcPr>
          <w:p w14:paraId="44378626"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(4.64)</w:t>
            </w:r>
          </w:p>
        </w:tc>
      </w:tr>
      <w:tr w:rsidR="005B7CAC" w:rsidRPr="005B7CAC" w14:paraId="07E3AE3E" w14:textId="77777777" w:rsidTr="00947F7E">
        <w:tc>
          <w:tcPr>
            <w:tcW w:w="1281" w:type="pct"/>
            <w:tcBorders>
              <w:top w:val="nil"/>
              <w:left w:val="nil"/>
              <w:bottom w:val="nil"/>
              <w:right w:val="nil"/>
            </w:tcBorders>
          </w:tcPr>
          <w:p w14:paraId="383B49ED" w14:textId="77777777" w:rsidR="006F0F6B" w:rsidRPr="005B7CAC" w:rsidRDefault="006F0F6B"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BINDR</w:t>
            </w:r>
          </w:p>
        </w:tc>
        <w:tc>
          <w:tcPr>
            <w:tcW w:w="930" w:type="pct"/>
            <w:tcBorders>
              <w:top w:val="nil"/>
              <w:left w:val="nil"/>
              <w:bottom w:val="nil"/>
              <w:right w:val="nil"/>
            </w:tcBorders>
          </w:tcPr>
          <w:p w14:paraId="558FD84C"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-0.001</w:t>
            </w:r>
            <w:r w:rsidRPr="005B7CAC">
              <w:rPr>
                <w:rFonts w:ascii="Times New Roman" w:hAnsi="Times New Roman"/>
                <w:sz w:val="24"/>
                <w:szCs w:val="24"/>
                <w:vertAlign w:val="superscript"/>
              </w:rPr>
              <w:t>*</w:t>
            </w:r>
          </w:p>
        </w:tc>
        <w:tc>
          <w:tcPr>
            <w:tcW w:w="930" w:type="pct"/>
            <w:tcBorders>
              <w:top w:val="nil"/>
              <w:left w:val="nil"/>
              <w:bottom w:val="nil"/>
              <w:right w:val="nil"/>
            </w:tcBorders>
          </w:tcPr>
          <w:p w14:paraId="0A69B53A"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-0.001</w:t>
            </w:r>
          </w:p>
        </w:tc>
        <w:tc>
          <w:tcPr>
            <w:tcW w:w="930" w:type="pct"/>
            <w:tcBorders>
              <w:top w:val="nil"/>
              <w:left w:val="nil"/>
              <w:bottom w:val="nil"/>
              <w:right w:val="nil"/>
            </w:tcBorders>
          </w:tcPr>
          <w:p w14:paraId="145A2ED7"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-0.001</w:t>
            </w:r>
          </w:p>
        </w:tc>
        <w:tc>
          <w:tcPr>
            <w:tcW w:w="930" w:type="pct"/>
            <w:tcBorders>
              <w:top w:val="nil"/>
              <w:left w:val="nil"/>
              <w:bottom w:val="nil"/>
              <w:right w:val="nil"/>
            </w:tcBorders>
          </w:tcPr>
          <w:p w14:paraId="62C3AD7E"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0.000</w:t>
            </w:r>
          </w:p>
        </w:tc>
      </w:tr>
      <w:tr w:rsidR="005B7CAC" w:rsidRPr="005B7CAC" w14:paraId="1915D068" w14:textId="77777777" w:rsidTr="00947F7E">
        <w:tc>
          <w:tcPr>
            <w:tcW w:w="1281" w:type="pct"/>
            <w:tcBorders>
              <w:top w:val="nil"/>
              <w:left w:val="nil"/>
              <w:bottom w:val="nil"/>
              <w:right w:val="nil"/>
            </w:tcBorders>
          </w:tcPr>
          <w:p w14:paraId="44A0307A" w14:textId="77777777" w:rsidR="006F0F6B" w:rsidRPr="005B7CAC" w:rsidRDefault="006F0F6B" w:rsidP="00C90660">
            <w:pPr>
              <w:widowControl w:val="0"/>
              <w:autoSpaceDE w:val="0"/>
              <w:autoSpaceDN w:val="0"/>
              <w:adjustRightInd w:val="0"/>
              <w:spacing w:after="0" w:line="240" w:lineRule="auto"/>
              <w:rPr>
                <w:rFonts w:ascii="Times New Roman" w:hAnsi="Times New Roman"/>
                <w:sz w:val="24"/>
                <w:szCs w:val="24"/>
              </w:rPr>
            </w:pPr>
          </w:p>
        </w:tc>
        <w:tc>
          <w:tcPr>
            <w:tcW w:w="930" w:type="pct"/>
            <w:tcBorders>
              <w:top w:val="nil"/>
              <w:left w:val="nil"/>
              <w:bottom w:val="nil"/>
              <w:right w:val="nil"/>
            </w:tcBorders>
          </w:tcPr>
          <w:p w14:paraId="50709BC0"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(-1.74)</w:t>
            </w:r>
          </w:p>
        </w:tc>
        <w:tc>
          <w:tcPr>
            <w:tcW w:w="930" w:type="pct"/>
            <w:tcBorders>
              <w:top w:val="nil"/>
              <w:left w:val="nil"/>
              <w:bottom w:val="nil"/>
              <w:right w:val="nil"/>
            </w:tcBorders>
          </w:tcPr>
          <w:p w14:paraId="0B13F004"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(-1.31)</w:t>
            </w:r>
          </w:p>
        </w:tc>
        <w:tc>
          <w:tcPr>
            <w:tcW w:w="930" w:type="pct"/>
            <w:tcBorders>
              <w:top w:val="nil"/>
              <w:left w:val="nil"/>
              <w:bottom w:val="nil"/>
              <w:right w:val="nil"/>
            </w:tcBorders>
          </w:tcPr>
          <w:p w14:paraId="16EB8613"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(-0.74)</w:t>
            </w:r>
          </w:p>
        </w:tc>
        <w:tc>
          <w:tcPr>
            <w:tcW w:w="930" w:type="pct"/>
            <w:tcBorders>
              <w:top w:val="nil"/>
              <w:left w:val="nil"/>
              <w:bottom w:val="nil"/>
              <w:right w:val="nil"/>
            </w:tcBorders>
          </w:tcPr>
          <w:p w14:paraId="6483385A"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(0.07)</w:t>
            </w:r>
          </w:p>
        </w:tc>
      </w:tr>
      <w:tr w:rsidR="005B7CAC" w:rsidRPr="005B7CAC" w14:paraId="69DCF9B7" w14:textId="77777777" w:rsidTr="00947F7E">
        <w:tc>
          <w:tcPr>
            <w:tcW w:w="1281" w:type="pct"/>
            <w:tcBorders>
              <w:top w:val="nil"/>
              <w:left w:val="nil"/>
              <w:bottom w:val="nil"/>
              <w:right w:val="nil"/>
            </w:tcBorders>
          </w:tcPr>
          <w:p w14:paraId="74E8D4FC" w14:textId="77777777" w:rsidR="006F0F6B" w:rsidRPr="005B7CAC" w:rsidRDefault="006F0F6B"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FAGE</w:t>
            </w:r>
          </w:p>
        </w:tc>
        <w:tc>
          <w:tcPr>
            <w:tcW w:w="930" w:type="pct"/>
            <w:tcBorders>
              <w:top w:val="nil"/>
              <w:left w:val="nil"/>
              <w:bottom w:val="nil"/>
              <w:right w:val="nil"/>
            </w:tcBorders>
          </w:tcPr>
          <w:p w14:paraId="233FB206"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0.002</w:t>
            </w:r>
            <w:r w:rsidRPr="005B7CAC">
              <w:rPr>
                <w:rFonts w:ascii="Times New Roman" w:hAnsi="Times New Roman"/>
                <w:sz w:val="24"/>
                <w:szCs w:val="24"/>
                <w:vertAlign w:val="superscript"/>
              </w:rPr>
              <w:t>***</w:t>
            </w:r>
          </w:p>
        </w:tc>
        <w:tc>
          <w:tcPr>
            <w:tcW w:w="930" w:type="pct"/>
            <w:tcBorders>
              <w:top w:val="nil"/>
              <w:left w:val="nil"/>
              <w:bottom w:val="nil"/>
              <w:right w:val="nil"/>
            </w:tcBorders>
          </w:tcPr>
          <w:p w14:paraId="5D9D4800"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0.002</w:t>
            </w:r>
            <w:r w:rsidRPr="005B7CAC">
              <w:rPr>
                <w:rFonts w:ascii="Times New Roman" w:hAnsi="Times New Roman"/>
                <w:sz w:val="24"/>
                <w:szCs w:val="24"/>
                <w:vertAlign w:val="superscript"/>
              </w:rPr>
              <w:t>***</w:t>
            </w:r>
          </w:p>
        </w:tc>
        <w:tc>
          <w:tcPr>
            <w:tcW w:w="930" w:type="pct"/>
            <w:tcBorders>
              <w:top w:val="nil"/>
              <w:left w:val="nil"/>
              <w:bottom w:val="nil"/>
              <w:right w:val="nil"/>
            </w:tcBorders>
          </w:tcPr>
          <w:p w14:paraId="75E00E33"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0.007</w:t>
            </w:r>
            <w:r w:rsidRPr="005B7CAC">
              <w:rPr>
                <w:rFonts w:ascii="Times New Roman" w:hAnsi="Times New Roman"/>
                <w:sz w:val="24"/>
                <w:szCs w:val="24"/>
                <w:vertAlign w:val="superscript"/>
              </w:rPr>
              <w:t>***</w:t>
            </w:r>
          </w:p>
        </w:tc>
        <w:tc>
          <w:tcPr>
            <w:tcW w:w="930" w:type="pct"/>
            <w:tcBorders>
              <w:top w:val="nil"/>
              <w:left w:val="nil"/>
              <w:bottom w:val="nil"/>
              <w:right w:val="nil"/>
            </w:tcBorders>
          </w:tcPr>
          <w:p w14:paraId="2F8DB171"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0.008</w:t>
            </w:r>
            <w:r w:rsidRPr="005B7CAC">
              <w:rPr>
                <w:rFonts w:ascii="Times New Roman" w:hAnsi="Times New Roman"/>
                <w:sz w:val="24"/>
                <w:szCs w:val="24"/>
                <w:vertAlign w:val="superscript"/>
              </w:rPr>
              <w:t>***</w:t>
            </w:r>
          </w:p>
        </w:tc>
      </w:tr>
      <w:tr w:rsidR="005B7CAC" w:rsidRPr="005B7CAC" w14:paraId="6D2D316F" w14:textId="77777777" w:rsidTr="00947F7E">
        <w:tc>
          <w:tcPr>
            <w:tcW w:w="1281" w:type="pct"/>
            <w:tcBorders>
              <w:top w:val="nil"/>
              <w:left w:val="nil"/>
              <w:bottom w:val="nil"/>
              <w:right w:val="nil"/>
            </w:tcBorders>
          </w:tcPr>
          <w:p w14:paraId="5D64CE20" w14:textId="77777777" w:rsidR="006F0F6B" w:rsidRPr="005B7CAC" w:rsidRDefault="006F0F6B" w:rsidP="00C90660">
            <w:pPr>
              <w:widowControl w:val="0"/>
              <w:autoSpaceDE w:val="0"/>
              <w:autoSpaceDN w:val="0"/>
              <w:adjustRightInd w:val="0"/>
              <w:spacing w:after="0" w:line="240" w:lineRule="auto"/>
              <w:rPr>
                <w:rFonts w:ascii="Times New Roman" w:hAnsi="Times New Roman"/>
                <w:sz w:val="24"/>
                <w:szCs w:val="24"/>
              </w:rPr>
            </w:pPr>
          </w:p>
        </w:tc>
        <w:tc>
          <w:tcPr>
            <w:tcW w:w="930" w:type="pct"/>
            <w:tcBorders>
              <w:top w:val="nil"/>
              <w:left w:val="nil"/>
              <w:bottom w:val="nil"/>
              <w:right w:val="nil"/>
            </w:tcBorders>
          </w:tcPr>
          <w:p w14:paraId="7F4489FF"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(4.68)</w:t>
            </w:r>
          </w:p>
        </w:tc>
        <w:tc>
          <w:tcPr>
            <w:tcW w:w="930" w:type="pct"/>
            <w:tcBorders>
              <w:top w:val="nil"/>
              <w:left w:val="nil"/>
              <w:bottom w:val="nil"/>
              <w:right w:val="nil"/>
            </w:tcBorders>
          </w:tcPr>
          <w:p w14:paraId="036EFCD1"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(4.67)</w:t>
            </w:r>
          </w:p>
        </w:tc>
        <w:tc>
          <w:tcPr>
            <w:tcW w:w="930" w:type="pct"/>
            <w:tcBorders>
              <w:top w:val="nil"/>
              <w:left w:val="nil"/>
              <w:bottom w:val="nil"/>
              <w:right w:val="nil"/>
            </w:tcBorders>
          </w:tcPr>
          <w:p w14:paraId="53E59718"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(6.50)</w:t>
            </w:r>
          </w:p>
        </w:tc>
        <w:tc>
          <w:tcPr>
            <w:tcW w:w="930" w:type="pct"/>
            <w:tcBorders>
              <w:top w:val="nil"/>
              <w:left w:val="nil"/>
              <w:bottom w:val="nil"/>
              <w:right w:val="nil"/>
            </w:tcBorders>
          </w:tcPr>
          <w:p w14:paraId="29E26443"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(6.86)</w:t>
            </w:r>
          </w:p>
        </w:tc>
      </w:tr>
      <w:tr w:rsidR="005B7CAC" w:rsidRPr="005B7CAC" w14:paraId="171010EF" w14:textId="77777777" w:rsidTr="00947F7E">
        <w:tc>
          <w:tcPr>
            <w:tcW w:w="1281" w:type="pct"/>
            <w:tcBorders>
              <w:top w:val="nil"/>
              <w:left w:val="nil"/>
              <w:bottom w:val="nil"/>
              <w:right w:val="nil"/>
            </w:tcBorders>
          </w:tcPr>
          <w:p w14:paraId="79CE5A05" w14:textId="77777777" w:rsidR="006F0F6B" w:rsidRPr="005B7CAC" w:rsidRDefault="006F0F6B"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SIZE</w:t>
            </w:r>
          </w:p>
        </w:tc>
        <w:tc>
          <w:tcPr>
            <w:tcW w:w="930" w:type="pct"/>
            <w:tcBorders>
              <w:top w:val="nil"/>
              <w:left w:val="nil"/>
              <w:bottom w:val="nil"/>
              <w:right w:val="nil"/>
            </w:tcBorders>
          </w:tcPr>
          <w:p w14:paraId="7C6064D4"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-0.075</w:t>
            </w:r>
            <w:r w:rsidRPr="005B7CAC">
              <w:rPr>
                <w:rFonts w:ascii="Times New Roman" w:hAnsi="Times New Roman"/>
                <w:sz w:val="24"/>
                <w:szCs w:val="24"/>
                <w:vertAlign w:val="superscript"/>
              </w:rPr>
              <w:t>***</w:t>
            </w:r>
          </w:p>
        </w:tc>
        <w:tc>
          <w:tcPr>
            <w:tcW w:w="930" w:type="pct"/>
            <w:tcBorders>
              <w:top w:val="nil"/>
              <w:left w:val="nil"/>
              <w:bottom w:val="nil"/>
              <w:right w:val="nil"/>
            </w:tcBorders>
          </w:tcPr>
          <w:p w14:paraId="19091254"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-0.080</w:t>
            </w:r>
            <w:r w:rsidRPr="005B7CAC">
              <w:rPr>
                <w:rFonts w:ascii="Times New Roman" w:hAnsi="Times New Roman"/>
                <w:sz w:val="24"/>
                <w:szCs w:val="24"/>
                <w:vertAlign w:val="superscript"/>
              </w:rPr>
              <w:t>***</w:t>
            </w:r>
          </w:p>
        </w:tc>
        <w:tc>
          <w:tcPr>
            <w:tcW w:w="930" w:type="pct"/>
            <w:tcBorders>
              <w:top w:val="nil"/>
              <w:left w:val="nil"/>
              <w:bottom w:val="nil"/>
              <w:right w:val="nil"/>
            </w:tcBorders>
          </w:tcPr>
          <w:p w14:paraId="0C10D6FE"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-0.107</w:t>
            </w:r>
            <w:r w:rsidRPr="005B7CAC">
              <w:rPr>
                <w:rFonts w:ascii="Times New Roman" w:hAnsi="Times New Roman"/>
                <w:sz w:val="24"/>
                <w:szCs w:val="24"/>
                <w:vertAlign w:val="superscript"/>
              </w:rPr>
              <w:t>***</w:t>
            </w:r>
          </w:p>
        </w:tc>
        <w:tc>
          <w:tcPr>
            <w:tcW w:w="930" w:type="pct"/>
            <w:tcBorders>
              <w:top w:val="nil"/>
              <w:left w:val="nil"/>
              <w:bottom w:val="nil"/>
              <w:right w:val="nil"/>
            </w:tcBorders>
          </w:tcPr>
          <w:p w14:paraId="7D1483C5"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-0.118</w:t>
            </w:r>
            <w:r w:rsidRPr="005B7CAC">
              <w:rPr>
                <w:rFonts w:ascii="Times New Roman" w:hAnsi="Times New Roman"/>
                <w:sz w:val="24"/>
                <w:szCs w:val="24"/>
                <w:vertAlign w:val="superscript"/>
              </w:rPr>
              <w:t>***</w:t>
            </w:r>
          </w:p>
        </w:tc>
      </w:tr>
      <w:tr w:rsidR="005B7CAC" w:rsidRPr="005B7CAC" w14:paraId="43B691FC" w14:textId="77777777" w:rsidTr="00947F7E">
        <w:tc>
          <w:tcPr>
            <w:tcW w:w="1281" w:type="pct"/>
            <w:tcBorders>
              <w:top w:val="nil"/>
              <w:left w:val="nil"/>
              <w:bottom w:val="nil"/>
              <w:right w:val="nil"/>
            </w:tcBorders>
          </w:tcPr>
          <w:p w14:paraId="5E6657BF" w14:textId="77777777" w:rsidR="006F0F6B" w:rsidRPr="005B7CAC" w:rsidRDefault="006F0F6B" w:rsidP="00C90660">
            <w:pPr>
              <w:widowControl w:val="0"/>
              <w:autoSpaceDE w:val="0"/>
              <w:autoSpaceDN w:val="0"/>
              <w:adjustRightInd w:val="0"/>
              <w:spacing w:after="0" w:line="240" w:lineRule="auto"/>
              <w:rPr>
                <w:rFonts w:ascii="Times New Roman" w:hAnsi="Times New Roman"/>
                <w:sz w:val="24"/>
                <w:szCs w:val="24"/>
              </w:rPr>
            </w:pPr>
          </w:p>
        </w:tc>
        <w:tc>
          <w:tcPr>
            <w:tcW w:w="930" w:type="pct"/>
            <w:tcBorders>
              <w:top w:val="nil"/>
              <w:left w:val="nil"/>
              <w:bottom w:val="nil"/>
              <w:right w:val="nil"/>
            </w:tcBorders>
          </w:tcPr>
          <w:p w14:paraId="174119B3"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(-8.27)</w:t>
            </w:r>
          </w:p>
        </w:tc>
        <w:tc>
          <w:tcPr>
            <w:tcW w:w="930" w:type="pct"/>
            <w:tcBorders>
              <w:top w:val="nil"/>
              <w:left w:val="nil"/>
              <w:bottom w:val="nil"/>
              <w:right w:val="nil"/>
            </w:tcBorders>
          </w:tcPr>
          <w:p w14:paraId="37839D4D"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(-8.00)</w:t>
            </w:r>
          </w:p>
        </w:tc>
        <w:tc>
          <w:tcPr>
            <w:tcW w:w="930" w:type="pct"/>
            <w:tcBorders>
              <w:top w:val="nil"/>
              <w:left w:val="nil"/>
              <w:bottom w:val="nil"/>
              <w:right w:val="nil"/>
            </w:tcBorders>
          </w:tcPr>
          <w:p w14:paraId="4F36726E"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(-5.50)</w:t>
            </w:r>
          </w:p>
        </w:tc>
        <w:tc>
          <w:tcPr>
            <w:tcW w:w="930" w:type="pct"/>
            <w:tcBorders>
              <w:top w:val="nil"/>
              <w:left w:val="nil"/>
              <w:bottom w:val="nil"/>
              <w:right w:val="nil"/>
            </w:tcBorders>
          </w:tcPr>
          <w:p w14:paraId="76D0CF88"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(-5.56)</w:t>
            </w:r>
          </w:p>
        </w:tc>
      </w:tr>
      <w:tr w:rsidR="005B7CAC" w:rsidRPr="005B7CAC" w14:paraId="529C0626" w14:textId="77777777" w:rsidTr="00947F7E">
        <w:tc>
          <w:tcPr>
            <w:tcW w:w="1281" w:type="pct"/>
            <w:tcBorders>
              <w:top w:val="nil"/>
              <w:left w:val="nil"/>
              <w:bottom w:val="nil"/>
              <w:right w:val="nil"/>
            </w:tcBorders>
          </w:tcPr>
          <w:p w14:paraId="4E0B5ADF" w14:textId="77777777" w:rsidR="006F0F6B" w:rsidRPr="005B7CAC" w:rsidRDefault="006F0F6B"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PROF</w:t>
            </w:r>
          </w:p>
        </w:tc>
        <w:tc>
          <w:tcPr>
            <w:tcW w:w="930" w:type="pct"/>
            <w:tcBorders>
              <w:top w:val="nil"/>
              <w:left w:val="nil"/>
              <w:bottom w:val="nil"/>
              <w:right w:val="nil"/>
            </w:tcBorders>
          </w:tcPr>
          <w:p w14:paraId="24A9ED30"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0.087</w:t>
            </w:r>
            <w:r w:rsidRPr="005B7CAC">
              <w:rPr>
                <w:rFonts w:ascii="Times New Roman" w:hAnsi="Times New Roman"/>
                <w:sz w:val="24"/>
                <w:szCs w:val="24"/>
                <w:vertAlign w:val="superscript"/>
              </w:rPr>
              <w:t>***</w:t>
            </w:r>
          </w:p>
        </w:tc>
        <w:tc>
          <w:tcPr>
            <w:tcW w:w="930" w:type="pct"/>
            <w:tcBorders>
              <w:top w:val="nil"/>
              <w:left w:val="nil"/>
              <w:bottom w:val="nil"/>
              <w:right w:val="nil"/>
            </w:tcBorders>
          </w:tcPr>
          <w:p w14:paraId="25FD0B8D"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0.072</w:t>
            </w:r>
            <w:r w:rsidRPr="005B7CAC">
              <w:rPr>
                <w:rFonts w:ascii="Times New Roman" w:hAnsi="Times New Roman"/>
                <w:sz w:val="24"/>
                <w:szCs w:val="24"/>
                <w:vertAlign w:val="superscript"/>
              </w:rPr>
              <w:t>***</w:t>
            </w:r>
          </w:p>
        </w:tc>
        <w:tc>
          <w:tcPr>
            <w:tcW w:w="930" w:type="pct"/>
            <w:tcBorders>
              <w:top w:val="nil"/>
              <w:left w:val="nil"/>
              <w:bottom w:val="nil"/>
              <w:right w:val="nil"/>
            </w:tcBorders>
          </w:tcPr>
          <w:p w14:paraId="77B0F424"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0.507</w:t>
            </w:r>
            <w:r w:rsidRPr="005B7CAC">
              <w:rPr>
                <w:rFonts w:ascii="Times New Roman" w:hAnsi="Times New Roman"/>
                <w:sz w:val="24"/>
                <w:szCs w:val="24"/>
                <w:vertAlign w:val="superscript"/>
              </w:rPr>
              <w:t>***</w:t>
            </w:r>
          </w:p>
        </w:tc>
        <w:tc>
          <w:tcPr>
            <w:tcW w:w="930" w:type="pct"/>
            <w:tcBorders>
              <w:top w:val="nil"/>
              <w:left w:val="nil"/>
              <w:bottom w:val="nil"/>
              <w:right w:val="nil"/>
            </w:tcBorders>
          </w:tcPr>
          <w:p w14:paraId="5A92F3B3"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0.464</w:t>
            </w:r>
            <w:r w:rsidRPr="005B7CAC">
              <w:rPr>
                <w:rFonts w:ascii="Times New Roman" w:hAnsi="Times New Roman"/>
                <w:sz w:val="24"/>
                <w:szCs w:val="24"/>
                <w:vertAlign w:val="superscript"/>
              </w:rPr>
              <w:t>***</w:t>
            </w:r>
          </w:p>
        </w:tc>
      </w:tr>
      <w:tr w:rsidR="005B7CAC" w:rsidRPr="005B7CAC" w14:paraId="5D4F5E9C" w14:textId="77777777" w:rsidTr="00947F7E">
        <w:tc>
          <w:tcPr>
            <w:tcW w:w="1281" w:type="pct"/>
            <w:tcBorders>
              <w:top w:val="nil"/>
              <w:left w:val="nil"/>
              <w:bottom w:val="nil"/>
              <w:right w:val="nil"/>
            </w:tcBorders>
          </w:tcPr>
          <w:p w14:paraId="46A4BDC4" w14:textId="77777777" w:rsidR="006F0F6B" w:rsidRPr="005B7CAC" w:rsidRDefault="006F0F6B" w:rsidP="00C90660">
            <w:pPr>
              <w:widowControl w:val="0"/>
              <w:autoSpaceDE w:val="0"/>
              <w:autoSpaceDN w:val="0"/>
              <w:adjustRightInd w:val="0"/>
              <w:spacing w:after="0" w:line="240" w:lineRule="auto"/>
              <w:rPr>
                <w:rFonts w:ascii="Times New Roman" w:hAnsi="Times New Roman"/>
                <w:sz w:val="24"/>
                <w:szCs w:val="24"/>
              </w:rPr>
            </w:pPr>
          </w:p>
        </w:tc>
        <w:tc>
          <w:tcPr>
            <w:tcW w:w="930" w:type="pct"/>
            <w:tcBorders>
              <w:top w:val="nil"/>
              <w:left w:val="nil"/>
              <w:bottom w:val="nil"/>
              <w:right w:val="nil"/>
            </w:tcBorders>
          </w:tcPr>
          <w:p w14:paraId="3910D980"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(4.77)</w:t>
            </w:r>
          </w:p>
        </w:tc>
        <w:tc>
          <w:tcPr>
            <w:tcW w:w="930" w:type="pct"/>
            <w:tcBorders>
              <w:top w:val="nil"/>
              <w:left w:val="nil"/>
              <w:bottom w:val="nil"/>
              <w:right w:val="nil"/>
            </w:tcBorders>
          </w:tcPr>
          <w:p w14:paraId="5674E069"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(4.10)</w:t>
            </w:r>
          </w:p>
        </w:tc>
        <w:tc>
          <w:tcPr>
            <w:tcW w:w="930" w:type="pct"/>
            <w:tcBorders>
              <w:top w:val="nil"/>
              <w:left w:val="nil"/>
              <w:bottom w:val="nil"/>
              <w:right w:val="nil"/>
            </w:tcBorders>
          </w:tcPr>
          <w:p w14:paraId="5CD1FEF9"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(10.94)</w:t>
            </w:r>
          </w:p>
        </w:tc>
        <w:tc>
          <w:tcPr>
            <w:tcW w:w="930" w:type="pct"/>
            <w:tcBorders>
              <w:top w:val="nil"/>
              <w:left w:val="nil"/>
              <w:bottom w:val="nil"/>
              <w:right w:val="nil"/>
            </w:tcBorders>
          </w:tcPr>
          <w:p w14:paraId="7F2F86B2"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(10.35)</w:t>
            </w:r>
          </w:p>
        </w:tc>
      </w:tr>
      <w:tr w:rsidR="005B7CAC" w:rsidRPr="005B7CAC" w14:paraId="3231128E" w14:textId="77777777" w:rsidTr="00947F7E">
        <w:tc>
          <w:tcPr>
            <w:tcW w:w="1281" w:type="pct"/>
            <w:tcBorders>
              <w:top w:val="nil"/>
              <w:left w:val="nil"/>
              <w:bottom w:val="nil"/>
              <w:right w:val="nil"/>
            </w:tcBorders>
          </w:tcPr>
          <w:p w14:paraId="48ED81EE" w14:textId="77777777" w:rsidR="006F0F6B" w:rsidRPr="005B7CAC" w:rsidRDefault="006F0F6B"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LVRG</w:t>
            </w:r>
          </w:p>
        </w:tc>
        <w:tc>
          <w:tcPr>
            <w:tcW w:w="930" w:type="pct"/>
            <w:tcBorders>
              <w:top w:val="nil"/>
              <w:left w:val="nil"/>
              <w:bottom w:val="nil"/>
              <w:right w:val="nil"/>
            </w:tcBorders>
          </w:tcPr>
          <w:p w14:paraId="5A9E5995"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-0.007</w:t>
            </w:r>
            <w:r w:rsidRPr="005B7CAC">
              <w:rPr>
                <w:rFonts w:ascii="Times New Roman" w:hAnsi="Times New Roman"/>
                <w:sz w:val="24"/>
                <w:szCs w:val="24"/>
                <w:vertAlign w:val="superscript"/>
              </w:rPr>
              <w:t>***</w:t>
            </w:r>
          </w:p>
        </w:tc>
        <w:tc>
          <w:tcPr>
            <w:tcW w:w="930" w:type="pct"/>
            <w:tcBorders>
              <w:top w:val="nil"/>
              <w:left w:val="nil"/>
              <w:bottom w:val="nil"/>
              <w:right w:val="nil"/>
            </w:tcBorders>
          </w:tcPr>
          <w:p w14:paraId="07DF85F8"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-0.007</w:t>
            </w:r>
            <w:r w:rsidRPr="005B7CAC">
              <w:rPr>
                <w:rFonts w:ascii="Times New Roman" w:hAnsi="Times New Roman"/>
                <w:sz w:val="24"/>
                <w:szCs w:val="24"/>
                <w:vertAlign w:val="superscript"/>
              </w:rPr>
              <w:t>***</w:t>
            </w:r>
          </w:p>
        </w:tc>
        <w:tc>
          <w:tcPr>
            <w:tcW w:w="930" w:type="pct"/>
            <w:tcBorders>
              <w:top w:val="nil"/>
              <w:left w:val="nil"/>
              <w:bottom w:val="nil"/>
              <w:right w:val="nil"/>
            </w:tcBorders>
          </w:tcPr>
          <w:p w14:paraId="25233098"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-0.021</w:t>
            </w:r>
            <w:r w:rsidRPr="005B7CAC">
              <w:rPr>
                <w:rFonts w:ascii="Times New Roman" w:hAnsi="Times New Roman"/>
                <w:sz w:val="24"/>
                <w:szCs w:val="24"/>
                <w:vertAlign w:val="superscript"/>
              </w:rPr>
              <w:t>***</w:t>
            </w:r>
          </w:p>
        </w:tc>
        <w:tc>
          <w:tcPr>
            <w:tcW w:w="930" w:type="pct"/>
            <w:tcBorders>
              <w:top w:val="nil"/>
              <w:left w:val="nil"/>
              <w:bottom w:val="nil"/>
              <w:right w:val="nil"/>
            </w:tcBorders>
          </w:tcPr>
          <w:p w14:paraId="520C0538"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-0.021</w:t>
            </w:r>
            <w:r w:rsidRPr="005B7CAC">
              <w:rPr>
                <w:rFonts w:ascii="Times New Roman" w:hAnsi="Times New Roman"/>
                <w:sz w:val="24"/>
                <w:szCs w:val="24"/>
                <w:vertAlign w:val="superscript"/>
              </w:rPr>
              <w:t>***</w:t>
            </w:r>
          </w:p>
        </w:tc>
      </w:tr>
      <w:tr w:rsidR="005B7CAC" w:rsidRPr="005B7CAC" w14:paraId="69047AC9" w14:textId="77777777" w:rsidTr="00947F7E">
        <w:tc>
          <w:tcPr>
            <w:tcW w:w="1281" w:type="pct"/>
            <w:tcBorders>
              <w:top w:val="nil"/>
              <w:left w:val="nil"/>
              <w:bottom w:val="nil"/>
              <w:right w:val="nil"/>
            </w:tcBorders>
          </w:tcPr>
          <w:p w14:paraId="1FA1A9EE" w14:textId="77777777" w:rsidR="006F0F6B" w:rsidRPr="005B7CAC" w:rsidRDefault="006F0F6B" w:rsidP="00C90660">
            <w:pPr>
              <w:widowControl w:val="0"/>
              <w:autoSpaceDE w:val="0"/>
              <w:autoSpaceDN w:val="0"/>
              <w:adjustRightInd w:val="0"/>
              <w:spacing w:after="0" w:line="240" w:lineRule="auto"/>
              <w:rPr>
                <w:rFonts w:ascii="Times New Roman" w:hAnsi="Times New Roman"/>
                <w:sz w:val="24"/>
                <w:szCs w:val="24"/>
              </w:rPr>
            </w:pPr>
          </w:p>
        </w:tc>
        <w:tc>
          <w:tcPr>
            <w:tcW w:w="930" w:type="pct"/>
            <w:tcBorders>
              <w:top w:val="nil"/>
              <w:left w:val="nil"/>
              <w:bottom w:val="nil"/>
              <w:right w:val="nil"/>
            </w:tcBorders>
          </w:tcPr>
          <w:p w14:paraId="1800C8DC"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(-11.95)</w:t>
            </w:r>
          </w:p>
        </w:tc>
        <w:tc>
          <w:tcPr>
            <w:tcW w:w="930" w:type="pct"/>
            <w:tcBorders>
              <w:top w:val="nil"/>
              <w:left w:val="nil"/>
              <w:bottom w:val="nil"/>
              <w:right w:val="nil"/>
            </w:tcBorders>
          </w:tcPr>
          <w:p w14:paraId="712658A4"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(-10.99)</w:t>
            </w:r>
          </w:p>
        </w:tc>
        <w:tc>
          <w:tcPr>
            <w:tcW w:w="930" w:type="pct"/>
            <w:tcBorders>
              <w:top w:val="nil"/>
              <w:left w:val="nil"/>
              <w:bottom w:val="nil"/>
              <w:right w:val="nil"/>
            </w:tcBorders>
          </w:tcPr>
          <w:p w14:paraId="672378AC"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(-17.78)</w:t>
            </w:r>
          </w:p>
        </w:tc>
        <w:tc>
          <w:tcPr>
            <w:tcW w:w="930" w:type="pct"/>
            <w:tcBorders>
              <w:top w:val="nil"/>
              <w:left w:val="nil"/>
              <w:bottom w:val="nil"/>
              <w:right w:val="nil"/>
            </w:tcBorders>
          </w:tcPr>
          <w:p w14:paraId="56D94A4E"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(-17.16)</w:t>
            </w:r>
          </w:p>
        </w:tc>
      </w:tr>
      <w:tr w:rsidR="005B7CAC" w:rsidRPr="005B7CAC" w14:paraId="555586C2" w14:textId="77777777" w:rsidTr="00947F7E">
        <w:tc>
          <w:tcPr>
            <w:tcW w:w="1281" w:type="pct"/>
            <w:tcBorders>
              <w:top w:val="nil"/>
              <w:left w:val="nil"/>
              <w:bottom w:val="nil"/>
              <w:right w:val="nil"/>
            </w:tcBorders>
          </w:tcPr>
          <w:p w14:paraId="6BE752CC" w14:textId="77777777" w:rsidR="006F0F6B" w:rsidRPr="005B7CAC" w:rsidRDefault="006F0F6B"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SLCK</w:t>
            </w:r>
          </w:p>
        </w:tc>
        <w:tc>
          <w:tcPr>
            <w:tcW w:w="930" w:type="pct"/>
            <w:tcBorders>
              <w:top w:val="nil"/>
              <w:left w:val="nil"/>
              <w:bottom w:val="nil"/>
              <w:right w:val="nil"/>
            </w:tcBorders>
          </w:tcPr>
          <w:p w14:paraId="24605DE3"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0.907</w:t>
            </w:r>
            <w:r w:rsidRPr="005B7CAC">
              <w:rPr>
                <w:rFonts w:ascii="Times New Roman" w:hAnsi="Times New Roman"/>
                <w:sz w:val="24"/>
                <w:szCs w:val="24"/>
                <w:vertAlign w:val="superscript"/>
              </w:rPr>
              <w:t>***</w:t>
            </w:r>
          </w:p>
        </w:tc>
        <w:tc>
          <w:tcPr>
            <w:tcW w:w="930" w:type="pct"/>
            <w:tcBorders>
              <w:top w:val="nil"/>
              <w:left w:val="nil"/>
              <w:bottom w:val="nil"/>
              <w:right w:val="nil"/>
            </w:tcBorders>
          </w:tcPr>
          <w:p w14:paraId="1FFE9805"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1.035</w:t>
            </w:r>
            <w:r w:rsidRPr="005B7CAC">
              <w:rPr>
                <w:rFonts w:ascii="Times New Roman" w:hAnsi="Times New Roman"/>
                <w:sz w:val="24"/>
                <w:szCs w:val="24"/>
                <w:vertAlign w:val="superscript"/>
              </w:rPr>
              <w:t>***</w:t>
            </w:r>
          </w:p>
        </w:tc>
        <w:tc>
          <w:tcPr>
            <w:tcW w:w="930" w:type="pct"/>
            <w:tcBorders>
              <w:top w:val="nil"/>
              <w:left w:val="nil"/>
              <w:bottom w:val="nil"/>
              <w:right w:val="nil"/>
            </w:tcBorders>
          </w:tcPr>
          <w:p w14:paraId="051AC765"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0.711</w:t>
            </w:r>
            <w:r w:rsidRPr="005B7CAC">
              <w:rPr>
                <w:rFonts w:ascii="Times New Roman" w:hAnsi="Times New Roman"/>
                <w:sz w:val="24"/>
                <w:szCs w:val="24"/>
                <w:vertAlign w:val="superscript"/>
              </w:rPr>
              <w:t>**</w:t>
            </w:r>
          </w:p>
        </w:tc>
        <w:tc>
          <w:tcPr>
            <w:tcW w:w="930" w:type="pct"/>
            <w:tcBorders>
              <w:top w:val="nil"/>
              <w:left w:val="nil"/>
              <w:bottom w:val="nil"/>
              <w:right w:val="nil"/>
            </w:tcBorders>
          </w:tcPr>
          <w:p w14:paraId="6F601D6B"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1.053</w:t>
            </w:r>
            <w:r w:rsidRPr="005B7CAC">
              <w:rPr>
                <w:rFonts w:ascii="Times New Roman" w:hAnsi="Times New Roman"/>
                <w:sz w:val="24"/>
                <w:szCs w:val="24"/>
                <w:vertAlign w:val="superscript"/>
              </w:rPr>
              <w:t>***</w:t>
            </w:r>
          </w:p>
        </w:tc>
      </w:tr>
      <w:tr w:rsidR="005B7CAC" w:rsidRPr="005B7CAC" w14:paraId="767F64C6" w14:textId="77777777" w:rsidTr="00947F7E">
        <w:tc>
          <w:tcPr>
            <w:tcW w:w="1281" w:type="pct"/>
            <w:tcBorders>
              <w:top w:val="nil"/>
              <w:left w:val="nil"/>
              <w:bottom w:val="nil"/>
              <w:right w:val="nil"/>
            </w:tcBorders>
          </w:tcPr>
          <w:p w14:paraId="4D1FA81A" w14:textId="77777777" w:rsidR="006F0F6B" w:rsidRPr="005B7CAC" w:rsidRDefault="006F0F6B" w:rsidP="00C90660">
            <w:pPr>
              <w:widowControl w:val="0"/>
              <w:autoSpaceDE w:val="0"/>
              <w:autoSpaceDN w:val="0"/>
              <w:adjustRightInd w:val="0"/>
              <w:spacing w:after="0" w:line="240" w:lineRule="auto"/>
              <w:rPr>
                <w:rFonts w:ascii="Times New Roman" w:hAnsi="Times New Roman"/>
                <w:sz w:val="24"/>
                <w:szCs w:val="24"/>
              </w:rPr>
            </w:pPr>
          </w:p>
        </w:tc>
        <w:tc>
          <w:tcPr>
            <w:tcW w:w="930" w:type="pct"/>
            <w:tcBorders>
              <w:top w:val="nil"/>
              <w:left w:val="nil"/>
              <w:bottom w:val="nil"/>
              <w:right w:val="nil"/>
            </w:tcBorders>
          </w:tcPr>
          <w:p w14:paraId="5280CF4D"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(5.94)</w:t>
            </w:r>
          </w:p>
        </w:tc>
        <w:tc>
          <w:tcPr>
            <w:tcW w:w="930" w:type="pct"/>
            <w:tcBorders>
              <w:top w:val="nil"/>
              <w:left w:val="nil"/>
              <w:bottom w:val="nil"/>
              <w:right w:val="nil"/>
            </w:tcBorders>
          </w:tcPr>
          <w:p w14:paraId="329D9F5B"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(5.66)</w:t>
            </w:r>
          </w:p>
        </w:tc>
        <w:tc>
          <w:tcPr>
            <w:tcW w:w="930" w:type="pct"/>
            <w:tcBorders>
              <w:top w:val="nil"/>
              <w:left w:val="nil"/>
              <w:bottom w:val="nil"/>
              <w:right w:val="nil"/>
            </w:tcBorders>
          </w:tcPr>
          <w:p w14:paraId="63F72C7D"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(2.56)</w:t>
            </w:r>
          </w:p>
        </w:tc>
        <w:tc>
          <w:tcPr>
            <w:tcW w:w="930" w:type="pct"/>
            <w:tcBorders>
              <w:top w:val="nil"/>
              <w:left w:val="nil"/>
              <w:bottom w:val="nil"/>
              <w:right w:val="nil"/>
            </w:tcBorders>
          </w:tcPr>
          <w:p w14:paraId="1C72ADB9"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(3.33)</w:t>
            </w:r>
          </w:p>
        </w:tc>
      </w:tr>
      <w:tr w:rsidR="005B7CAC" w:rsidRPr="005B7CAC" w14:paraId="5F80D619" w14:textId="77777777" w:rsidTr="00947F7E">
        <w:tc>
          <w:tcPr>
            <w:tcW w:w="1281" w:type="pct"/>
            <w:tcBorders>
              <w:top w:val="nil"/>
              <w:left w:val="nil"/>
              <w:bottom w:val="nil"/>
              <w:right w:val="nil"/>
            </w:tcBorders>
          </w:tcPr>
          <w:p w14:paraId="104A0694" w14:textId="77777777" w:rsidR="006F0F6B" w:rsidRPr="005B7CAC" w:rsidRDefault="006F0F6B"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CPIN</w:t>
            </w:r>
          </w:p>
        </w:tc>
        <w:tc>
          <w:tcPr>
            <w:tcW w:w="930" w:type="pct"/>
            <w:tcBorders>
              <w:top w:val="nil"/>
              <w:left w:val="nil"/>
              <w:bottom w:val="nil"/>
              <w:right w:val="nil"/>
            </w:tcBorders>
          </w:tcPr>
          <w:p w14:paraId="02EB1EFB"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-0.391</w:t>
            </w:r>
            <w:r w:rsidRPr="005B7CAC">
              <w:rPr>
                <w:rFonts w:ascii="Times New Roman" w:hAnsi="Times New Roman"/>
                <w:sz w:val="24"/>
                <w:szCs w:val="24"/>
                <w:vertAlign w:val="superscript"/>
              </w:rPr>
              <w:t>***</w:t>
            </w:r>
          </w:p>
        </w:tc>
        <w:tc>
          <w:tcPr>
            <w:tcW w:w="930" w:type="pct"/>
            <w:tcBorders>
              <w:top w:val="nil"/>
              <w:left w:val="nil"/>
              <w:bottom w:val="nil"/>
              <w:right w:val="nil"/>
            </w:tcBorders>
          </w:tcPr>
          <w:p w14:paraId="1110340A"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-0.370</w:t>
            </w:r>
            <w:r w:rsidRPr="005B7CAC">
              <w:rPr>
                <w:rFonts w:ascii="Times New Roman" w:hAnsi="Times New Roman"/>
                <w:sz w:val="24"/>
                <w:szCs w:val="24"/>
                <w:vertAlign w:val="superscript"/>
              </w:rPr>
              <w:t>***</w:t>
            </w:r>
          </w:p>
        </w:tc>
        <w:tc>
          <w:tcPr>
            <w:tcW w:w="930" w:type="pct"/>
            <w:tcBorders>
              <w:top w:val="nil"/>
              <w:left w:val="nil"/>
              <w:bottom w:val="nil"/>
              <w:right w:val="nil"/>
            </w:tcBorders>
          </w:tcPr>
          <w:p w14:paraId="35A92799"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-0.263</w:t>
            </w:r>
            <w:r w:rsidRPr="005B7CAC">
              <w:rPr>
                <w:rFonts w:ascii="Times New Roman" w:hAnsi="Times New Roman"/>
                <w:sz w:val="24"/>
                <w:szCs w:val="24"/>
                <w:vertAlign w:val="superscript"/>
              </w:rPr>
              <w:t>***</w:t>
            </w:r>
          </w:p>
        </w:tc>
        <w:tc>
          <w:tcPr>
            <w:tcW w:w="930" w:type="pct"/>
            <w:tcBorders>
              <w:top w:val="nil"/>
              <w:left w:val="nil"/>
              <w:bottom w:val="nil"/>
              <w:right w:val="nil"/>
            </w:tcBorders>
          </w:tcPr>
          <w:p w14:paraId="3560D965"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-0.245</w:t>
            </w:r>
            <w:r w:rsidRPr="005B7CAC">
              <w:rPr>
                <w:rFonts w:ascii="Times New Roman" w:hAnsi="Times New Roman"/>
                <w:sz w:val="24"/>
                <w:szCs w:val="24"/>
                <w:vertAlign w:val="superscript"/>
              </w:rPr>
              <w:t>***</w:t>
            </w:r>
          </w:p>
        </w:tc>
      </w:tr>
      <w:tr w:rsidR="005B7CAC" w:rsidRPr="005B7CAC" w14:paraId="3FD8685B" w14:textId="77777777" w:rsidTr="00947F7E">
        <w:tc>
          <w:tcPr>
            <w:tcW w:w="1281" w:type="pct"/>
            <w:tcBorders>
              <w:top w:val="nil"/>
              <w:left w:val="nil"/>
              <w:bottom w:val="nil"/>
              <w:right w:val="nil"/>
            </w:tcBorders>
          </w:tcPr>
          <w:p w14:paraId="6CA27830" w14:textId="77777777" w:rsidR="006F0F6B" w:rsidRPr="005B7CAC" w:rsidRDefault="006F0F6B" w:rsidP="00C90660">
            <w:pPr>
              <w:widowControl w:val="0"/>
              <w:autoSpaceDE w:val="0"/>
              <w:autoSpaceDN w:val="0"/>
              <w:adjustRightInd w:val="0"/>
              <w:spacing w:after="0" w:line="240" w:lineRule="auto"/>
              <w:rPr>
                <w:rFonts w:ascii="Times New Roman" w:hAnsi="Times New Roman"/>
                <w:sz w:val="24"/>
                <w:szCs w:val="24"/>
              </w:rPr>
            </w:pPr>
          </w:p>
        </w:tc>
        <w:tc>
          <w:tcPr>
            <w:tcW w:w="930" w:type="pct"/>
            <w:tcBorders>
              <w:top w:val="nil"/>
              <w:left w:val="nil"/>
              <w:bottom w:val="nil"/>
              <w:right w:val="nil"/>
            </w:tcBorders>
          </w:tcPr>
          <w:p w14:paraId="2FE9B3FD"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(-10.02)</w:t>
            </w:r>
          </w:p>
        </w:tc>
        <w:tc>
          <w:tcPr>
            <w:tcW w:w="930" w:type="pct"/>
            <w:tcBorders>
              <w:top w:val="nil"/>
              <w:left w:val="nil"/>
              <w:bottom w:val="nil"/>
              <w:right w:val="nil"/>
            </w:tcBorders>
          </w:tcPr>
          <w:p w14:paraId="33AAAFC7"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(-8.74)</w:t>
            </w:r>
          </w:p>
        </w:tc>
        <w:tc>
          <w:tcPr>
            <w:tcW w:w="930" w:type="pct"/>
            <w:tcBorders>
              <w:top w:val="nil"/>
              <w:left w:val="nil"/>
              <w:bottom w:val="nil"/>
              <w:right w:val="nil"/>
            </w:tcBorders>
          </w:tcPr>
          <w:p w14:paraId="362627FB"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(-3.45)</w:t>
            </w:r>
          </w:p>
        </w:tc>
        <w:tc>
          <w:tcPr>
            <w:tcW w:w="930" w:type="pct"/>
            <w:tcBorders>
              <w:top w:val="nil"/>
              <w:left w:val="nil"/>
              <w:bottom w:val="nil"/>
              <w:right w:val="nil"/>
            </w:tcBorders>
          </w:tcPr>
          <w:p w14:paraId="70D894FC" w14:textId="77777777" w:rsidR="006F0F6B" w:rsidRPr="005B7CAC" w:rsidRDefault="006F0F6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(-3.05)</w:t>
            </w:r>
          </w:p>
        </w:tc>
      </w:tr>
      <w:tr w:rsidR="005B7CAC" w:rsidRPr="005B7CAC" w14:paraId="7100CF92" w14:textId="77777777" w:rsidTr="00947F7E">
        <w:tc>
          <w:tcPr>
            <w:tcW w:w="1281" w:type="pct"/>
            <w:tcBorders>
              <w:top w:val="nil"/>
              <w:left w:val="nil"/>
              <w:bottom w:val="nil"/>
              <w:right w:val="nil"/>
            </w:tcBorders>
          </w:tcPr>
          <w:p w14:paraId="1895937E" w14:textId="01B9FAEB" w:rsidR="006F0F6B" w:rsidRPr="005B7CAC" w:rsidRDefault="006F0F6B" w:rsidP="006F0F6B">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lang w:val="en-US"/>
              </w:rPr>
              <w:t>Year FE</w:t>
            </w:r>
          </w:p>
        </w:tc>
        <w:tc>
          <w:tcPr>
            <w:tcW w:w="930" w:type="pct"/>
            <w:tcBorders>
              <w:top w:val="nil"/>
              <w:left w:val="nil"/>
              <w:bottom w:val="nil"/>
              <w:right w:val="nil"/>
            </w:tcBorders>
          </w:tcPr>
          <w:p w14:paraId="3D4816C6" w14:textId="36F350AC" w:rsidR="006F0F6B" w:rsidRPr="005B7CAC" w:rsidRDefault="006F0F6B" w:rsidP="006F0F6B">
            <w:pPr>
              <w:widowControl w:val="0"/>
              <w:autoSpaceDE w:val="0"/>
              <w:autoSpaceDN w:val="0"/>
              <w:adjustRightInd w:val="0"/>
              <w:spacing w:after="0" w:line="240" w:lineRule="auto"/>
              <w:jc w:val="center"/>
              <w:rPr>
                <w:rFonts w:ascii="Times New Roman" w:hAnsi="Times New Roman"/>
                <w:sz w:val="24"/>
                <w:szCs w:val="24"/>
                <w:lang w:val="en-US"/>
              </w:rPr>
            </w:pPr>
            <w:r w:rsidRPr="005B7CAC">
              <w:rPr>
                <w:rFonts w:ascii="Times New Roman" w:hAnsi="Times New Roman"/>
                <w:sz w:val="24"/>
                <w:szCs w:val="24"/>
                <w:lang w:val="en-US"/>
              </w:rPr>
              <w:t>Yes</w:t>
            </w:r>
          </w:p>
        </w:tc>
        <w:tc>
          <w:tcPr>
            <w:tcW w:w="930" w:type="pct"/>
            <w:tcBorders>
              <w:top w:val="nil"/>
              <w:left w:val="nil"/>
              <w:bottom w:val="nil"/>
              <w:right w:val="nil"/>
            </w:tcBorders>
          </w:tcPr>
          <w:p w14:paraId="119E8725" w14:textId="2BC9EC54" w:rsidR="006F0F6B" w:rsidRPr="005B7CAC" w:rsidRDefault="006F0F6B" w:rsidP="006F0F6B">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Yes</w:t>
            </w:r>
          </w:p>
        </w:tc>
        <w:tc>
          <w:tcPr>
            <w:tcW w:w="930" w:type="pct"/>
            <w:tcBorders>
              <w:top w:val="nil"/>
              <w:left w:val="nil"/>
              <w:bottom w:val="nil"/>
              <w:right w:val="nil"/>
            </w:tcBorders>
          </w:tcPr>
          <w:p w14:paraId="09B3486C" w14:textId="662AD7AE" w:rsidR="006F0F6B" w:rsidRPr="005B7CAC" w:rsidRDefault="006F0F6B" w:rsidP="006F0F6B">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Yes</w:t>
            </w:r>
          </w:p>
        </w:tc>
        <w:tc>
          <w:tcPr>
            <w:tcW w:w="930" w:type="pct"/>
            <w:tcBorders>
              <w:top w:val="nil"/>
              <w:left w:val="nil"/>
              <w:bottom w:val="nil"/>
              <w:right w:val="nil"/>
            </w:tcBorders>
          </w:tcPr>
          <w:p w14:paraId="3DEE10A1" w14:textId="2DB6BF29" w:rsidR="006F0F6B" w:rsidRPr="005B7CAC" w:rsidRDefault="006F0F6B" w:rsidP="006F0F6B">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Yes</w:t>
            </w:r>
          </w:p>
        </w:tc>
      </w:tr>
      <w:tr w:rsidR="005B7CAC" w:rsidRPr="005B7CAC" w14:paraId="120688BC" w14:textId="77777777" w:rsidTr="00947F7E">
        <w:tc>
          <w:tcPr>
            <w:tcW w:w="1281" w:type="pct"/>
            <w:tcBorders>
              <w:top w:val="nil"/>
              <w:left w:val="nil"/>
              <w:bottom w:val="nil"/>
              <w:right w:val="nil"/>
            </w:tcBorders>
          </w:tcPr>
          <w:p w14:paraId="0E099910" w14:textId="603DEC77" w:rsidR="006F0F6B" w:rsidRPr="005B7CAC" w:rsidRDefault="006F0F6B" w:rsidP="006F0F6B">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lang w:val="en-US"/>
              </w:rPr>
              <w:t>Industry FE</w:t>
            </w:r>
          </w:p>
        </w:tc>
        <w:tc>
          <w:tcPr>
            <w:tcW w:w="930" w:type="pct"/>
            <w:tcBorders>
              <w:top w:val="nil"/>
              <w:left w:val="nil"/>
              <w:bottom w:val="nil"/>
              <w:right w:val="nil"/>
            </w:tcBorders>
          </w:tcPr>
          <w:p w14:paraId="2141C119" w14:textId="173AA348" w:rsidR="006F0F6B" w:rsidRPr="005B7CAC" w:rsidRDefault="006F0F6B" w:rsidP="006F0F6B">
            <w:pPr>
              <w:widowControl w:val="0"/>
              <w:autoSpaceDE w:val="0"/>
              <w:autoSpaceDN w:val="0"/>
              <w:adjustRightInd w:val="0"/>
              <w:spacing w:after="0" w:line="240" w:lineRule="auto"/>
              <w:jc w:val="center"/>
              <w:rPr>
                <w:rFonts w:ascii="Times New Roman" w:hAnsi="Times New Roman"/>
                <w:sz w:val="24"/>
                <w:szCs w:val="24"/>
                <w:lang w:val="en-US"/>
              </w:rPr>
            </w:pPr>
            <w:r w:rsidRPr="005B7CAC">
              <w:rPr>
                <w:rFonts w:ascii="Times New Roman" w:hAnsi="Times New Roman"/>
                <w:sz w:val="24"/>
                <w:szCs w:val="24"/>
                <w:lang w:val="en-US"/>
              </w:rPr>
              <w:t>Yes</w:t>
            </w:r>
          </w:p>
        </w:tc>
        <w:tc>
          <w:tcPr>
            <w:tcW w:w="930" w:type="pct"/>
            <w:tcBorders>
              <w:top w:val="nil"/>
              <w:left w:val="nil"/>
              <w:bottom w:val="nil"/>
              <w:right w:val="nil"/>
            </w:tcBorders>
          </w:tcPr>
          <w:p w14:paraId="72999E17" w14:textId="7C7C2622" w:rsidR="006F0F6B" w:rsidRPr="005B7CAC" w:rsidRDefault="006F0F6B" w:rsidP="006F0F6B">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Yes</w:t>
            </w:r>
          </w:p>
        </w:tc>
        <w:tc>
          <w:tcPr>
            <w:tcW w:w="930" w:type="pct"/>
            <w:tcBorders>
              <w:top w:val="nil"/>
              <w:left w:val="nil"/>
              <w:bottom w:val="nil"/>
              <w:right w:val="nil"/>
            </w:tcBorders>
          </w:tcPr>
          <w:p w14:paraId="0A52D989" w14:textId="14A1182A" w:rsidR="006F0F6B" w:rsidRPr="005B7CAC" w:rsidRDefault="006F0F6B" w:rsidP="006F0F6B">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Yes</w:t>
            </w:r>
          </w:p>
        </w:tc>
        <w:tc>
          <w:tcPr>
            <w:tcW w:w="930" w:type="pct"/>
            <w:tcBorders>
              <w:top w:val="nil"/>
              <w:left w:val="nil"/>
              <w:bottom w:val="nil"/>
              <w:right w:val="nil"/>
            </w:tcBorders>
          </w:tcPr>
          <w:p w14:paraId="277015F1" w14:textId="56D04230" w:rsidR="006F0F6B" w:rsidRPr="005B7CAC" w:rsidRDefault="006F0F6B" w:rsidP="006F0F6B">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Yes</w:t>
            </w:r>
          </w:p>
        </w:tc>
      </w:tr>
      <w:tr w:rsidR="005B7CAC" w:rsidRPr="005B7CAC" w14:paraId="70A669AE" w14:textId="77777777" w:rsidTr="00947F7E">
        <w:tc>
          <w:tcPr>
            <w:tcW w:w="1281" w:type="pct"/>
            <w:tcBorders>
              <w:top w:val="nil"/>
              <w:left w:val="nil"/>
              <w:bottom w:val="nil"/>
              <w:right w:val="nil"/>
            </w:tcBorders>
          </w:tcPr>
          <w:p w14:paraId="6C28389B" w14:textId="77777777" w:rsidR="006F0F6B" w:rsidRPr="005B7CAC" w:rsidRDefault="006F0F6B" w:rsidP="006F0F6B">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Constant</w:t>
            </w:r>
          </w:p>
        </w:tc>
        <w:tc>
          <w:tcPr>
            <w:tcW w:w="930" w:type="pct"/>
            <w:tcBorders>
              <w:top w:val="nil"/>
              <w:left w:val="nil"/>
              <w:bottom w:val="nil"/>
              <w:right w:val="nil"/>
            </w:tcBorders>
          </w:tcPr>
          <w:p w14:paraId="5E10926F" w14:textId="77777777" w:rsidR="006F0F6B" w:rsidRPr="005B7CAC" w:rsidRDefault="006F0F6B" w:rsidP="006F0F6B">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2.362</w:t>
            </w:r>
            <w:r w:rsidRPr="005B7CAC">
              <w:rPr>
                <w:rFonts w:ascii="Times New Roman" w:hAnsi="Times New Roman"/>
                <w:sz w:val="24"/>
                <w:szCs w:val="24"/>
                <w:vertAlign w:val="superscript"/>
              </w:rPr>
              <w:t>***</w:t>
            </w:r>
          </w:p>
        </w:tc>
        <w:tc>
          <w:tcPr>
            <w:tcW w:w="930" w:type="pct"/>
            <w:tcBorders>
              <w:top w:val="nil"/>
              <w:left w:val="nil"/>
              <w:bottom w:val="nil"/>
              <w:right w:val="nil"/>
            </w:tcBorders>
          </w:tcPr>
          <w:p w14:paraId="3CCE9D8B" w14:textId="77777777" w:rsidR="006F0F6B" w:rsidRPr="005B7CAC" w:rsidRDefault="006F0F6B" w:rsidP="006F0F6B">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2.507</w:t>
            </w:r>
            <w:r w:rsidRPr="005B7CAC">
              <w:rPr>
                <w:rFonts w:ascii="Times New Roman" w:hAnsi="Times New Roman"/>
                <w:sz w:val="24"/>
                <w:szCs w:val="24"/>
                <w:vertAlign w:val="superscript"/>
              </w:rPr>
              <w:t>***</w:t>
            </w:r>
          </w:p>
        </w:tc>
        <w:tc>
          <w:tcPr>
            <w:tcW w:w="930" w:type="pct"/>
            <w:tcBorders>
              <w:top w:val="nil"/>
              <w:left w:val="nil"/>
              <w:bottom w:val="nil"/>
              <w:right w:val="nil"/>
            </w:tcBorders>
          </w:tcPr>
          <w:p w14:paraId="5D7EA294" w14:textId="77777777" w:rsidR="006F0F6B" w:rsidRPr="005B7CAC" w:rsidRDefault="006F0F6B" w:rsidP="006F0F6B">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4.509</w:t>
            </w:r>
            <w:r w:rsidRPr="005B7CAC">
              <w:rPr>
                <w:rFonts w:ascii="Times New Roman" w:hAnsi="Times New Roman"/>
                <w:sz w:val="24"/>
                <w:szCs w:val="24"/>
                <w:vertAlign w:val="superscript"/>
              </w:rPr>
              <w:t>***</w:t>
            </w:r>
          </w:p>
        </w:tc>
        <w:tc>
          <w:tcPr>
            <w:tcW w:w="930" w:type="pct"/>
            <w:tcBorders>
              <w:top w:val="nil"/>
              <w:left w:val="nil"/>
              <w:bottom w:val="nil"/>
              <w:right w:val="nil"/>
            </w:tcBorders>
          </w:tcPr>
          <w:p w14:paraId="5E2FF3BC" w14:textId="77777777" w:rsidR="006F0F6B" w:rsidRPr="005B7CAC" w:rsidRDefault="006F0F6B" w:rsidP="006F0F6B">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4.710</w:t>
            </w:r>
            <w:r w:rsidRPr="005B7CAC">
              <w:rPr>
                <w:rFonts w:ascii="Times New Roman" w:hAnsi="Times New Roman"/>
                <w:sz w:val="24"/>
                <w:szCs w:val="24"/>
                <w:vertAlign w:val="superscript"/>
              </w:rPr>
              <w:t>***</w:t>
            </w:r>
          </w:p>
        </w:tc>
      </w:tr>
      <w:tr w:rsidR="005B7CAC" w:rsidRPr="005B7CAC" w14:paraId="766ED2E1" w14:textId="77777777" w:rsidTr="00947F7E">
        <w:tc>
          <w:tcPr>
            <w:tcW w:w="1281" w:type="pct"/>
            <w:tcBorders>
              <w:top w:val="nil"/>
              <w:left w:val="nil"/>
              <w:bottom w:val="single" w:sz="8" w:space="0" w:color="auto"/>
              <w:right w:val="nil"/>
            </w:tcBorders>
          </w:tcPr>
          <w:p w14:paraId="3B31381D" w14:textId="77777777" w:rsidR="006F0F6B" w:rsidRPr="005B7CAC" w:rsidRDefault="006F0F6B" w:rsidP="006F0F6B">
            <w:pPr>
              <w:widowControl w:val="0"/>
              <w:autoSpaceDE w:val="0"/>
              <w:autoSpaceDN w:val="0"/>
              <w:adjustRightInd w:val="0"/>
              <w:spacing w:after="0" w:line="240" w:lineRule="auto"/>
              <w:rPr>
                <w:rFonts w:ascii="Times New Roman" w:hAnsi="Times New Roman"/>
                <w:sz w:val="24"/>
                <w:szCs w:val="24"/>
              </w:rPr>
            </w:pPr>
          </w:p>
        </w:tc>
        <w:tc>
          <w:tcPr>
            <w:tcW w:w="930" w:type="pct"/>
            <w:tcBorders>
              <w:top w:val="nil"/>
              <w:left w:val="nil"/>
              <w:bottom w:val="single" w:sz="8" w:space="0" w:color="auto"/>
              <w:right w:val="nil"/>
            </w:tcBorders>
          </w:tcPr>
          <w:p w14:paraId="6A428CC5" w14:textId="77777777" w:rsidR="006F0F6B" w:rsidRPr="005B7CAC" w:rsidRDefault="006F0F6B" w:rsidP="006F0F6B">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(17.10)</w:t>
            </w:r>
          </w:p>
        </w:tc>
        <w:tc>
          <w:tcPr>
            <w:tcW w:w="930" w:type="pct"/>
            <w:tcBorders>
              <w:top w:val="nil"/>
              <w:left w:val="nil"/>
              <w:bottom w:val="single" w:sz="8" w:space="0" w:color="auto"/>
              <w:right w:val="nil"/>
            </w:tcBorders>
          </w:tcPr>
          <w:p w14:paraId="161F5269" w14:textId="77777777" w:rsidR="006F0F6B" w:rsidRPr="005B7CAC" w:rsidRDefault="006F0F6B" w:rsidP="006F0F6B">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(19.14)</w:t>
            </w:r>
          </w:p>
        </w:tc>
        <w:tc>
          <w:tcPr>
            <w:tcW w:w="930" w:type="pct"/>
            <w:tcBorders>
              <w:top w:val="nil"/>
              <w:left w:val="nil"/>
              <w:bottom w:val="single" w:sz="8" w:space="0" w:color="auto"/>
              <w:right w:val="nil"/>
            </w:tcBorders>
          </w:tcPr>
          <w:p w14:paraId="4AA94EC0" w14:textId="77777777" w:rsidR="006F0F6B" w:rsidRPr="005B7CAC" w:rsidRDefault="006F0F6B" w:rsidP="006F0F6B">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(13.99)</w:t>
            </w:r>
          </w:p>
        </w:tc>
        <w:tc>
          <w:tcPr>
            <w:tcW w:w="930" w:type="pct"/>
            <w:tcBorders>
              <w:top w:val="nil"/>
              <w:left w:val="nil"/>
              <w:bottom w:val="single" w:sz="8" w:space="0" w:color="auto"/>
              <w:right w:val="nil"/>
            </w:tcBorders>
          </w:tcPr>
          <w:p w14:paraId="5C3EF5F6" w14:textId="77777777" w:rsidR="006F0F6B" w:rsidRPr="005B7CAC" w:rsidRDefault="006F0F6B" w:rsidP="006F0F6B">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(15.38)</w:t>
            </w:r>
          </w:p>
        </w:tc>
      </w:tr>
      <w:tr w:rsidR="005B7CAC" w:rsidRPr="005B7CAC" w14:paraId="57F3FB25" w14:textId="77777777" w:rsidTr="00947F7E">
        <w:tc>
          <w:tcPr>
            <w:tcW w:w="1281" w:type="pct"/>
            <w:tcBorders>
              <w:top w:val="single" w:sz="8" w:space="0" w:color="auto"/>
              <w:left w:val="nil"/>
              <w:bottom w:val="nil"/>
              <w:right w:val="nil"/>
            </w:tcBorders>
          </w:tcPr>
          <w:p w14:paraId="149CECE4" w14:textId="7436A03F" w:rsidR="006F0F6B" w:rsidRPr="005B7CAC" w:rsidRDefault="006F0F6B" w:rsidP="006F0F6B">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lang w:val="en-US"/>
              </w:rPr>
              <w:t>Observations</w:t>
            </w:r>
          </w:p>
        </w:tc>
        <w:tc>
          <w:tcPr>
            <w:tcW w:w="930" w:type="pct"/>
            <w:tcBorders>
              <w:top w:val="single" w:sz="8" w:space="0" w:color="auto"/>
              <w:left w:val="nil"/>
              <w:bottom w:val="nil"/>
              <w:right w:val="nil"/>
            </w:tcBorders>
          </w:tcPr>
          <w:p w14:paraId="633890B6" w14:textId="26C48ED6" w:rsidR="006F0F6B" w:rsidRPr="005B7CAC" w:rsidRDefault="006F0F6B" w:rsidP="006F0F6B">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1667</w:t>
            </w:r>
          </w:p>
        </w:tc>
        <w:tc>
          <w:tcPr>
            <w:tcW w:w="930" w:type="pct"/>
            <w:tcBorders>
              <w:top w:val="single" w:sz="8" w:space="0" w:color="auto"/>
              <w:left w:val="nil"/>
              <w:bottom w:val="nil"/>
              <w:right w:val="nil"/>
            </w:tcBorders>
          </w:tcPr>
          <w:p w14:paraId="0C148491" w14:textId="0724F2C7" w:rsidR="006F0F6B" w:rsidRPr="005B7CAC" w:rsidRDefault="006F0F6B" w:rsidP="006F0F6B">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1302</w:t>
            </w:r>
          </w:p>
        </w:tc>
        <w:tc>
          <w:tcPr>
            <w:tcW w:w="930" w:type="pct"/>
            <w:tcBorders>
              <w:top w:val="single" w:sz="8" w:space="0" w:color="auto"/>
              <w:left w:val="nil"/>
              <w:bottom w:val="nil"/>
              <w:right w:val="nil"/>
            </w:tcBorders>
          </w:tcPr>
          <w:p w14:paraId="0A2E581D" w14:textId="6AC76102" w:rsidR="006F0F6B" w:rsidRPr="005B7CAC" w:rsidRDefault="006F0F6B" w:rsidP="006F0F6B">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1667</w:t>
            </w:r>
          </w:p>
        </w:tc>
        <w:tc>
          <w:tcPr>
            <w:tcW w:w="930" w:type="pct"/>
            <w:tcBorders>
              <w:top w:val="single" w:sz="8" w:space="0" w:color="auto"/>
              <w:left w:val="nil"/>
              <w:bottom w:val="nil"/>
              <w:right w:val="nil"/>
            </w:tcBorders>
          </w:tcPr>
          <w:p w14:paraId="2EF7152C" w14:textId="26A655F1" w:rsidR="006F0F6B" w:rsidRPr="005B7CAC" w:rsidRDefault="006F0F6B" w:rsidP="006F0F6B">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1302</w:t>
            </w:r>
          </w:p>
        </w:tc>
      </w:tr>
      <w:tr w:rsidR="005B7CAC" w:rsidRPr="005B7CAC" w14:paraId="0FF61E32" w14:textId="77777777" w:rsidTr="00947F7E">
        <w:tc>
          <w:tcPr>
            <w:tcW w:w="1281" w:type="pct"/>
            <w:tcBorders>
              <w:top w:val="nil"/>
              <w:left w:val="nil"/>
              <w:bottom w:val="single" w:sz="12" w:space="0" w:color="auto"/>
              <w:right w:val="nil"/>
            </w:tcBorders>
          </w:tcPr>
          <w:p w14:paraId="45F6A331" w14:textId="3AF2663D" w:rsidR="006F0F6B" w:rsidRPr="005B7CAC" w:rsidRDefault="006F0F6B" w:rsidP="006F0F6B">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lang w:val="en-US"/>
              </w:rPr>
              <w:t>Adj. R-sq.</w:t>
            </w:r>
          </w:p>
        </w:tc>
        <w:tc>
          <w:tcPr>
            <w:tcW w:w="930" w:type="pct"/>
            <w:tcBorders>
              <w:top w:val="nil"/>
              <w:left w:val="nil"/>
              <w:bottom w:val="single" w:sz="12" w:space="0" w:color="auto"/>
              <w:right w:val="nil"/>
            </w:tcBorders>
          </w:tcPr>
          <w:p w14:paraId="21DF6618" w14:textId="77777777" w:rsidR="006F0F6B" w:rsidRPr="005B7CAC" w:rsidRDefault="006F0F6B" w:rsidP="006F0F6B">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0.492</w:t>
            </w:r>
          </w:p>
        </w:tc>
        <w:tc>
          <w:tcPr>
            <w:tcW w:w="930" w:type="pct"/>
            <w:tcBorders>
              <w:top w:val="nil"/>
              <w:left w:val="nil"/>
              <w:bottom w:val="single" w:sz="12" w:space="0" w:color="auto"/>
              <w:right w:val="nil"/>
            </w:tcBorders>
          </w:tcPr>
          <w:p w14:paraId="125C71A6" w14:textId="77777777" w:rsidR="006F0F6B" w:rsidRPr="005B7CAC" w:rsidRDefault="006F0F6B" w:rsidP="006F0F6B">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0.564</w:t>
            </w:r>
          </w:p>
        </w:tc>
        <w:tc>
          <w:tcPr>
            <w:tcW w:w="930" w:type="pct"/>
            <w:tcBorders>
              <w:top w:val="nil"/>
              <w:left w:val="nil"/>
              <w:bottom w:val="single" w:sz="12" w:space="0" w:color="auto"/>
              <w:right w:val="nil"/>
            </w:tcBorders>
          </w:tcPr>
          <w:p w14:paraId="7F80B95A" w14:textId="77777777" w:rsidR="006F0F6B" w:rsidRPr="005B7CAC" w:rsidRDefault="006F0F6B" w:rsidP="006F0F6B">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0.474</w:t>
            </w:r>
          </w:p>
        </w:tc>
        <w:tc>
          <w:tcPr>
            <w:tcW w:w="930" w:type="pct"/>
            <w:tcBorders>
              <w:top w:val="nil"/>
              <w:left w:val="nil"/>
              <w:bottom w:val="single" w:sz="12" w:space="0" w:color="auto"/>
              <w:right w:val="nil"/>
            </w:tcBorders>
          </w:tcPr>
          <w:p w14:paraId="0853BFEA" w14:textId="77777777" w:rsidR="006F0F6B" w:rsidRPr="005B7CAC" w:rsidRDefault="006F0F6B" w:rsidP="006F0F6B">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0.531</w:t>
            </w:r>
          </w:p>
        </w:tc>
      </w:tr>
    </w:tbl>
    <w:p w14:paraId="0A44B764" w14:textId="77777777" w:rsidR="00F348CD" w:rsidRPr="005B7CAC" w:rsidRDefault="00F348CD" w:rsidP="00F348CD">
      <w:pPr>
        <w:widowControl w:val="0"/>
        <w:autoSpaceDE w:val="0"/>
        <w:autoSpaceDN w:val="0"/>
        <w:adjustRightInd w:val="0"/>
        <w:spacing w:after="0" w:line="240" w:lineRule="auto"/>
        <w:jc w:val="both"/>
        <w:rPr>
          <w:rFonts w:ascii="Times New Roman" w:hAnsi="Times New Roman"/>
          <w:lang w:val="en-US"/>
        </w:rPr>
      </w:pPr>
      <w:r w:rsidRPr="005B7CAC">
        <w:rPr>
          <w:rFonts w:ascii="Times New Roman" w:hAnsi="Times New Roman"/>
          <w:b/>
          <w:iCs/>
          <w:lang w:val="en-US"/>
        </w:rPr>
        <w:t>Note(s):</w:t>
      </w:r>
      <w:r w:rsidRPr="005B7CAC">
        <w:rPr>
          <w:rFonts w:ascii="Times New Roman" w:hAnsi="Times New Roman"/>
          <w:iCs/>
          <w:lang w:val="en-US"/>
        </w:rPr>
        <w:t xml:space="preserve"> This table reports the effects of waste management (</w:t>
      </w:r>
      <w:r w:rsidRPr="005B7CAC">
        <w:rPr>
          <w:rFonts w:ascii="Times New Roman" w:hAnsi="Times New Roman"/>
          <w:i/>
          <w:lang w:val="en-US"/>
        </w:rPr>
        <w:t>WM</w:t>
      </w:r>
      <w:r w:rsidRPr="005B7CAC">
        <w:rPr>
          <w:rFonts w:ascii="Times New Roman" w:hAnsi="Times New Roman"/>
          <w:iCs/>
          <w:lang w:val="en-US"/>
        </w:rPr>
        <w:t>) practices on financial distress (</w:t>
      </w:r>
      <w:r w:rsidRPr="005B7CAC">
        <w:rPr>
          <w:rFonts w:ascii="Times New Roman" w:hAnsi="Times New Roman"/>
          <w:i/>
          <w:lang w:val="en-US"/>
        </w:rPr>
        <w:t>FD</w:t>
      </w:r>
      <w:r w:rsidRPr="005B7CAC">
        <w:rPr>
          <w:rFonts w:ascii="Times New Roman" w:hAnsi="Times New Roman"/>
          <w:iCs/>
          <w:lang w:val="en-US"/>
        </w:rPr>
        <w:t xml:space="preserve">). </w:t>
      </w:r>
      <w:r w:rsidRPr="005B7CAC">
        <w:rPr>
          <w:rFonts w:ascii="Times New Roman" w:hAnsi="Times New Roman"/>
          <w:bCs/>
          <w:lang w:val="en-US"/>
        </w:rPr>
        <w:t xml:space="preserve">Robust </w:t>
      </w:r>
      <w:r w:rsidRPr="005B7CAC">
        <w:rPr>
          <w:rFonts w:ascii="Times New Roman" w:hAnsi="Times New Roman"/>
          <w:bCs/>
          <w:i/>
          <w:lang w:val="en-US"/>
        </w:rPr>
        <w:t>t-statistics</w:t>
      </w:r>
      <w:r w:rsidRPr="005B7CAC">
        <w:rPr>
          <w:rFonts w:ascii="Times New Roman" w:hAnsi="Times New Roman"/>
          <w:bCs/>
          <w:lang w:val="en-US"/>
        </w:rPr>
        <w:t xml:space="preserve"> are presented in parentheses. </w:t>
      </w:r>
      <w:r w:rsidRPr="005B7CAC">
        <w:rPr>
          <w:rFonts w:ascii="Times New Roman" w:hAnsi="Times New Roman"/>
          <w:lang w:val="en-US"/>
        </w:rPr>
        <w:t xml:space="preserve">All the study variables are defined in Table 1. * </w:t>
      </w:r>
      <w:r w:rsidRPr="005B7CAC">
        <w:rPr>
          <w:rFonts w:ascii="Times New Roman" w:hAnsi="Times New Roman"/>
          <w:i/>
          <w:iCs/>
          <w:lang w:val="en-US"/>
        </w:rPr>
        <w:t>p</w:t>
      </w:r>
      <w:r w:rsidRPr="005B7CAC">
        <w:rPr>
          <w:rFonts w:ascii="Times New Roman" w:hAnsi="Times New Roman"/>
          <w:lang w:val="en-US"/>
        </w:rPr>
        <w:t xml:space="preserve"> &lt; 0.1, ** </w:t>
      </w:r>
      <w:r w:rsidRPr="005B7CAC">
        <w:rPr>
          <w:rFonts w:ascii="Times New Roman" w:hAnsi="Times New Roman"/>
          <w:i/>
          <w:iCs/>
          <w:lang w:val="en-US"/>
        </w:rPr>
        <w:t>p</w:t>
      </w:r>
      <w:r w:rsidRPr="005B7CAC">
        <w:rPr>
          <w:rFonts w:ascii="Times New Roman" w:hAnsi="Times New Roman"/>
          <w:lang w:val="en-US"/>
        </w:rPr>
        <w:t xml:space="preserve"> &lt; 0.05, *** </w:t>
      </w:r>
      <w:r w:rsidRPr="005B7CAC">
        <w:rPr>
          <w:rFonts w:ascii="Times New Roman" w:hAnsi="Times New Roman"/>
          <w:i/>
          <w:iCs/>
          <w:lang w:val="en-US"/>
        </w:rPr>
        <w:t>p</w:t>
      </w:r>
      <w:r w:rsidRPr="005B7CAC">
        <w:rPr>
          <w:rFonts w:ascii="Times New Roman" w:hAnsi="Times New Roman"/>
          <w:lang w:val="en-US"/>
        </w:rPr>
        <w:t xml:space="preserve"> &lt; 0.01.</w:t>
      </w:r>
    </w:p>
    <w:p w14:paraId="093C2590" w14:textId="77777777" w:rsidR="00F348CD" w:rsidRPr="005B7CAC" w:rsidRDefault="00F348CD" w:rsidP="00F348CD">
      <w:pPr>
        <w:widowControl w:val="0"/>
        <w:autoSpaceDE w:val="0"/>
        <w:autoSpaceDN w:val="0"/>
        <w:adjustRightInd w:val="0"/>
        <w:spacing w:after="0" w:line="240" w:lineRule="auto"/>
        <w:jc w:val="both"/>
        <w:rPr>
          <w:rFonts w:ascii="Times New Roman" w:hAnsi="Times New Roman"/>
          <w:lang w:val="en-US"/>
        </w:rPr>
      </w:pPr>
      <w:r w:rsidRPr="005B7CAC">
        <w:rPr>
          <w:rFonts w:ascii="Times New Roman" w:hAnsi="Times New Roman"/>
          <w:b/>
          <w:lang w:val="en-US"/>
        </w:rPr>
        <w:t>Source:</w:t>
      </w:r>
      <w:r w:rsidRPr="005B7CAC">
        <w:rPr>
          <w:rFonts w:ascii="Times New Roman" w:hAnsi="Times New Roman"/>
          <w:lang w:val="en-US"/>
        </w:rPr>
        <w:t xml:space="preserve"> Table prepared by the authors.</w:t>
      </w:r>
    </w:p>
    <w:p w14:paraId="03A05E49" w14:textId="77777777" w:rsidR="00F87B25" w:rsidRPr="005B7CAC" w:rsidRDefault="00F87B25">
      <w:pPr>
        <w:widowControl w:val="0"/>
        <w:autoSpaceDE w:val="0"/>
        <w:autoSpaceDN w:val="0"/>
        <w:adjustRightInd w:val="0"/>
        <w:spacing w:after="0" w:line="240" w:lineRule="auto"/>
        <w:rPr>
          <w:rFonts w:ascii="Times New Roman" w:hAnsi="Times New Roman"/>
          <w:sz w:val="24"/>
          <w:szCs w:val="24"/>
          <w:lang w:val="en-US"/>
        </w:rPr>
      </w:pPr>
    </w:p>
    <w:p w14:paraId="3A4DD2EA" w14:textId="77777777" w:rsidR="00F87B25" w:rsidRPr="005B7CAC" w:rsidRDefault="00F87B25">
      <w:pPr>
        <w:widowControl w:val="0"/>
        <w:autoSpaceDE w:val="0"/>
        <w:autoSpaceDN w:val="0"/>
        <w:adjustRightInd w:val="0"/>
        <w:spacing w:after="0" w:line="240" w:lineRule="auto"/>
        <w:rPr>
          <w:rFonts w:ascii="Times New Roman" w:hAnsi="Times New Roman"/>
          <w:sz w:val="24"/>
          <w:szCs w:val="24"/>
          <w:lang w:val="en-US"/>
        </w:rPr>
      </w:pPr>
    </w:p>
    <w:p w14:paraId="56A11DEB" w14:textId="77777777" w:rsidR="00DA6FDF" w:rsidRPr="005B7CAC" w:rsidRDefault="00DA6FDF">
      <w:pPr>
        <w:widowControl w:val="0"/>
        <w:autoSpaceDE w:val="0"/>
        <w:autoSpaceDN w:val="0"/>
        <w:adjustRightInd w:val="0"/>
        <w:spacing w:after="0" w:line="240" w:lineRule="auto"/>
        <w:rPr>
          <w:rFonts w:ascii="Times New Roman" w:hAnsi="Times New Roman"/>
          <w:sz w:val="24"/>
          <w:szCs w:val="24"/>
          <w:lang w:val="en-US"/>
        </w:rPr>
      </w:pPr>
    </w:p>
    <w:p w14:paraId="4BBFBA81" w14:textId="77777777" w:rsidR="00FF0B12" w:rsidRPr="005B7CAC" w:rsidRDefault="00FF0B12">
      <w:pPr>
        <w:widowControl w:val="0"/>
        <w:autoSpaceDE w:val="0"/>
        <w:autoSpaceDN w:val="0"/>
        <w:adjustRightInd w:val="0"/>
        <w:spacing w:after="0" w:line="240" w:lineRule="auto"/>
        <w:rPr>
          <w:rFonts w:ascii="Times New Roman" w:hAnsi="Times New Roman"/>
          <w:sz w:val="24"/>
          <w:szCs w:val="24"/>
          <w:lang w:val="en-US"/>
        </w:rPr>
      </w:pPr>
    </w:p>
    <w:p w14:paraId="07B2D4A3" w14:textId="77777777" w:rsidR="00FF0B12" w:rsidRPr="005B7CAC" w:rsidRDefault="00FF0B12">
      <w:pPr>
        <w:widowControl w:val="0"/>
        <w:autoSpaceDE w:val="0"/>
        <w:autoSpaceDN w:val="0"/>
        <w:adjustRightInd w:val="0"/>
        <w:spacing w:after="0" w:line="240" w:lineRule="auto"/>
        <w:rPr>
          <w:rFonts w:ascii="Times New Roman" w:hAnsi="Times New Roman"/>
          <w:sz w:val="24"/>
          <w:szCs w:val="24"/>
          <w:lang w:val="en-US"/>
        </w:rPr>
      </w:pPr>
    </w:p>
    <w:p w14:paraId="37F4701D" w14:textId="77777777" w:rsidR="00FF0B12" w:rsidRPr="005B7CAC" w:rsidRDefault="00FF0B12">
      <w:pPr>
        <w:widowControl w:val="0"/>
        <w:autoSpaceDE w:val="0"/>
        <w:autoSpaceDN w:val="0"/>
        <w:adjustRightInd w:val="0"/>
        <w:spacing w:after="0" w:line="240" w:lineRule="auto"/>
        <w:rPr>
          <w:rFonts w:ascii="Times New Roman" w:hAnsi="Times New Roman"/>
          <w:sz w:val="24"/>
          <w:szCs w:val="24"/>
          <w:lang w:val="en-US"/>
        </w:rPr>
      </w:pPr>
    </w:p>
    <w:p w14:paraId="701AF44F" w14:textId="77777777" w:rsidR="00FF0B12" w:rsidRPr="005B7CAC" w:rsidRDefault="00FF0B12">
      <w:pPr>
        <w:widowControl w:val="0"/>
        <w:autoSpaceDE w:val="0"/>
        <w:autoSpaceDN w:val="0"/>
        <w:adjustRightInd w:val="0"/>
        <w:spacing w:after="0" w:line="240" w:lineRule="auto"/>
        <w:rPr>
          <w:rFonts w:ascii="Times New Roman" w:hAnsi="Times New Roman"/>
          <w:sz w:val="24"/>
          <w:szCs w:val="24"/>
          <w:lang w:val="en-US"/>
        </w:rPr>
      </w:pPr>
    </w:p>
    <w:p w14:paraId="16922C58" w14:textId="77777777" w:rsidR="00FF0B12" w:rsidRPr="005B7CAC" w:rsidRDefault="00FF0B12">
      <w:pPr>
        <w:widowControl w:val="0"/>
        <w:autoSpaceDE w:val="0"/>
        <w:autoSpaceDN w:val="0"/>
        <w:adjustRightInd w:val="0"/>
        <w:spacing w:after="0" w:line="240" w:lineRule="auto"/>
        <w:rPr>
          <w:rFonts w:ascii="Times New Roman" w:hAnsi="Times New Roman"/>
          <w:sz w:val="24"/>
          <w:szCs w:val="24"/>
          <w:lang w:val="en-US"/>
        </w:rPr>
      </w:pPr>
    </w:p>
    <w:p w14:paraId="7E05A213" w14:textId="77777777" w:rsidR="00DA6FDF" w:rsidRPr="005B7CAC" w:rsidRDefault="00DA6FDF">
      <w:pPr>
        <w:widowControl w:val="0"/>
        <w:autoSpaceDE w:val="0"/>
        <w:autoSpaceDN w:val="0"/>
        <w:adjustRightInd w:val="0"/>
        <w:spacing w:after="0" w:line="240" w:lineRule="auto"/>
        <w:rPr>
          <w:rFonts w:ascii="Times New Roman" w:hAnsi="Times New Roman"/>
          <w:sz w:val="24"/>
          <w:szCs w:val="24"/>
          <w:lang w:val="en-US"/>
        </w:rPr>
      </w:pPr>
    </w:p>
    <w:p w14:paraId="3927ADB6" w14:textId="77777777" w:rsidR="00AD3A6D" w:rsidRPr="005B7CAC" w:rsidRDefault="00AD3A6D">
      <w:pPr>
        <w:widowControl w:val="0"/>
        <w:autoSpaceDE w:val="0"/>
        <w:autoSpaceDN w:val="0"/>
        <w:adjustRightInd w:val="0"/>
        <w:spacing w:after="0" w:line="240" w:lineRule="auto"/>
        <w:rPr>
          <w:rFonts w:ascii="Times New Roman" w:hAnsi="Times New Roman"/>
          <w:sz w:val="24"/>
          <w:szCs w:val="24"/>
          <w:lang w:val="en-US"/>
        </w:rPr>
      </w:pPr>
    </w:p>
    <w:p w14:paraId="423FEDDE" w14:textId="77777777" w:rsidR="00DA6FDF" w:rsidRPr="005B7CAC" w:rsidRDefault="00DA6FDF">
      <w:pPr>
        <w:widowControl w:val="0"/>
        <w:autoSpaceDE w:val="0"/>
        <w:autoSpaceDN w:val="0"/>
        <w:adjustRightInd w:val="0"/>
        <w:spacing w:after="0" w:line="240" w:lineRule="auto"/>
        <w:rPr>
          <w:rFonts w:ascii="Times New Roman" w:hAnsi="Times New Roman"/>
          <w:sz w:val="24"/>
          <w:szCs w:val="24"/>
          <w:lang w:val="en-US"/>
        </w:rPr>
      </w:pPr>
    </w:p>
    <w:p w14:paraId="299533D1" w14:textId="558749F9" w:rsidR="007A08F8" w:rsidRPr="005B7CAC" w:rsidRDefault="005E7407" w:rsidP="008845E0">
      <w:pPr>
        <w:widowControl w:val="0"/>
        <w:autoSpaceDE w:val="0"/>
        <w:autoSpaceDN w:val="0"/>
        <w:adjustRightInd w:val="0"/>
        <w:spacing w:after="120" w:line="240" w:lineRule="auto"/>
        <w:jc w:val="both"/>
        <w:rPr>
          <w:rFonts w:ascii="Times New Roman" w:hAnsi="Times New Roman"/>
          <w:iCs/>
          <w:sz w:val="24"/>
          <w:szCs w:val="20"/>
          <w:lang w:val="en-US"/>
        </w:rPr>
      </w:pPr>
      <w:r w:rsidRPr="005B7CAC">
        <w:rPr>
          <w:rFonts w:ascii="Times New Roman" w:hAnsi="Times New Roman"/>
          <w:b/>
          <w:iCs/>
          <w:sz w:val="24"/>
          <w:szCs w:val="20"/>
          <w:lang w:val="en-US"/>
        </w:rPr>
        <w:lastRenderedPageBreak/>
        <w:t>Table 5</w:t>
      </w:r>
      <w:r w:rsidR="007A08F8" w:rsidRPr="005B7CAC">
        <w:rPr>
          <w:rFonts w:ascii="Times New Roman" w:hAnsi="Times New Roman"/>
          <w:b/>
          <w:iCs/>
          <w:sz w:val="24"/>
          <w:szCs w:val="20"/>
          <w:lang w:val="en-US"/>
        </w:rPr>
        <w:t xml:space="preserve">. </w:t>
      </w:r>
      <w:r w:rsidR="0086531B" w:rsidRPr="005B7CAC">
        <w:rPr>
          <w:rFonts w:ascii="Times New Roman" w:hAnsi="Times New Roman"/>
          <w:iCs/>
          <w:sz w:val="24"/>
          <w:szCs w:val="20"/>
          <w:lang w:val="en-US"/>
        </w:rPr>
        <w:t xml:space="preserve">The </w:t>
      </w:r>
      <w:r w:rsidR="000979A5" w:rsidRPr="005B7CAC">
        <w:rPr>
          <w:rFonts w:ascii="Times New Roman" w:hAnsi="Times New Roman"/>
          <w:iCs/>
          <w:sz w:val="24"/>
          <w:szCs w:val="20"/>
          <w:lang w:val="en-US"/>
        </w:rPr>
        <w:t xml:space="preserve">moderating </w:t>
      </w:r>
      <w:r w:rsidR="00A2256D" w:rsidRPr="005B7CAC">
        <w:rPr>
          <w:rFonts w:ascii="Times New Roman" w:hAnsi="Times New Roman"/>
          <w:iCs/>
          <w:sz w:val="24"/>
          <w:szCs w:val="20"/>
          <w:lang w:val="en-US"/>
        </w:rPr>
        <w:t>role</w:t>
      </w:r>
      <w:r w:rsidR="0086531B" w:rsidRPr="005B7CAC">
        <w:rPr>
          <w:rFonts w:ascii="Times New Roman" w:hAnsi="Times New Roman"/>
          <w:iCs/>
          <w:sz w:val="24"/>
          <w:szCs w:val="20"/>
          <w:lang w:val="en-US"/>
        </w:rPr>
        <w:t xml:space="preserve"> of </w:t>
      </w:r>
      <w:r w:rsidR="001B0C3F" w:rsidRPr="005B7CAC">
        <w:rPr>
          <w:rFonts w:ascii="Times New Roman" w:hAnsi="Times New Roman"/>
          <w:iCs/>
          <w:sz w:val="24"/>
          <w:szCs w:val="20"/>
          <w:lang w:val="en-US"/>
        </w:rPr>
        <w:t xml:space="preserve">green </w:t>
      </w:r>
      <w:r w:rsidR="005A2804" w:rsidRPr="005B7CAC">
        <w:rPr>
          <w:rFonts w:ascii="Times New Roman" w:hAnsi="Times New Roman"/>
          <w:iCs/>
          <w:sz w:val="24"/>
          <w:szCs w:val="20"/>
          <w:lang w:val="en-US"/>
        </w:rPr>
        <w:t>initiatives</w:t>
      </w:r>
      <w:r w:rsidR="008845E0" w:rsidRPr="005B7CAC">
        <w:rPr>
          <w:rFonts w:ascii="Times New Roman" w:hAnsi="Times New Roman"/>
          <w:iCs/>
          <w:sz w:val="24"/>
          <w:szCs w:val="20"/>
          <w:lang w:val="en-US"/>
        </w:rPr>
        <w:t xml:space="preserve"> on the waste management</w:t>
      </w:r>
      <w:r w:rsidR="008845E0" w:rsidRPr="005B7CAC">
        <w:rPr>
          <w:rFonts w:ascii="Calibri" w:hAnsi="Calibri" w:cs="Calibri"/>
          <w:bCs/>
          <w:sz w:val="24"/>
          <w:szCs w:val="24"/>
          <w:lang w:val="en-US"/>
        </w:rPr>
        <w:t>—</w:t>
      </w:r>
      <w:r w:rsidR="008845E0" w:rsidRPr="005B7CAC">
        <w:rPr>
          <w:rFonts w:ascii="Times New Roman" w:hAnsi="Times New Roman"/>
          <w:iCs/>
          <w:sz w:val="24"/>
          <w:szCs w:val="20"/>
          <w:lang w:val="en-US"/>
        </w:rPr>
        <w:t>financial distress nexus</w:t>
      </w:r>
    </w:p>
    <w:tbl>
      <w:tblPr>
        <w:tblW w:w="5000" w:type="pct"/>
        <w:tblLook w:val="0000" w:firstRow="0" w:lastRow="0" w:firstColumn="0" w:lastColumn="0" w:noHBand="0" w:noVBand="0"/>
      </w:tblPr>
      <w:tblGrid>
        <w:gridCol w:w="2770"/>
        <w:gridCol w:w="1730"/>
        <w:gridCol w:w="1730"/>
        <w:gridCol w:w="1730"/>
        <w:gridCol w:w="1729"/>
      </w:tblGrid>
      <w:tr w:rsidR="005B7CAC" w:rsidRPr="005B7CAC" w14:paraId="1DBC3A60" w14:textId="77777777" w:rsidTr="00992F5F">
        <w:tc>
          <w:tcPr>
            <w:tcW w:w="1429" w:type="pct"/>
            <w:tcBorders>
              <w:top w:val="single" w:sz="12" w:space="0" w:color="auto"/>
              <w:left w:val="nil"/>
              <w:bottom w:val="nil"/>
              <w:right w:val="nil"/>
            </w:tcBorders>
          </w:tcPr>
          <w:p w14:paraId="1A7EFA1D" w14:textId="77777777" w:rsidR="00523B11" w:rsidRPr="005B7CAC" w:rsidRDefault="00523B11" w:rsidP="00C90660">
            <w:pPr>
              <w:widowControl w:val="0"/>
              <w:autoSpaceDE w:val="0"/>
              <w:autoSpaceDN w:val="0"/>
              <w:adjustRightInd w:val="0"/>
              <w:spacing w:after="0" w:line="240" w:lineRule="auto"/>
              <w:rPr>
                <w:rFonts w:ascii="Times New Roman" w:hAnsi="Times New Roman"/>
                <w:b/>
                <w:bCs/>
                <w:sz w:val="24"/>
                <w:szCs w:val="24"/>
                <w:lang w:val="en-US"/>
              </w:rPr>
            </w:pPr>
          </w:p>
        </w:tc>
        <w:tc>
          <w:tcPr>
            <w:tcW w:w="893" w:type="pct"/>
            <w:tcBorders>
              <w:top w:val="single" w:sz="12" w:space="0" w:color="auto"/>
              <w:left w:val="nil"/>
              <w:bottom w:val="nil"/>
              <w:right w:val="nil"/>
            </w:tcBorders>
          </w:tcPr>
          <w:p w14:paraId="144DE3EF"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(1)</w:t>
            </w:r>
          </w:p>
        </w:tc>
        <w:tc>
          <w:tcPr>
            <w:tcW w:w="893" w:type="pct"/>
            <w:tcBorders>
              <w:top w:val="single" w:sz="12" w:space="0" w:color="auto"/>
              <w:left w:val="nil"/>
              <w:bottom w:val="nil"/>
              <w:right w:val="nil"/>
            </w:tcBorders>
          </w:tcPr>
          <w:p w14:paraId="0B2E008C"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(2)</w:t>
            </w:r>
          </w:p>
        </w:tc>
        <w:tc>
          <w:tcPr>
            <w:tcW w:w="893" w:type="pct"/>
            <w:tcBorders>
              <w:top w:val="single" w:sz="12" w:space="0" w:color="auto"/>
              <w:left w:val="nil"/>
              <w:bottom w:val="nil"/>
              <w:right w:val="nil"/>
            </w:tcBorders>
          </w:tcPr>
          <w:p w14:paraId="7ED7C197"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(3)</w:t>
            </w:r>
          </w:p>
        </w:tc>
        <w:tc>
          <w:tcPr>
            <w:tcW w:w="893" w:type="pct"/>
            <w:tcBorders>
              <w:top w:val="single" w:sz="12" w:space="0" w:color="auto"/>
              <w:left w:val="nil"/>
              <w:bottom w:val="nil"/>
              <w:right w:val="nil"/>
            </w:tcBorders>
          </w:tcPr>
          <w:p w14:paraId="362AA9AE"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(4)</w:t>
            </w:r>
          </w:p>
        </w:tc>
      </w:tr>
      <w:tr w:rsidR="005B7CAC" w:rsidRPr="005B7CAC" w14:paraId="25056ADC" w14:textId="77777777" w:rsidTr="00992F5F">
        <w:tc>
          <w:tcPr>
            <w:tcW w:w="1429" w:type="pct"/>
            <w:tcBorders>
              <w:top w:val="nil"/>
              <w:left w:val="nil"/>
              <w:bottom w:val="single" w:sz="8" w:space="0" w:color="auto"/>
              <w:right w:val="nil"/>
            </w:tcBorders>
          </w:tcPr>
          <w:p w14:paraId="59183743" w14:textId="77777777" w:rsidR="00523B11" w:rsidRPr="005B7CAC" w:rsidRDefault="00523B11" w:rsidP="00C90660">
            <w:pPr>
              <w:widowControl w:val="0"/>
              <w:autoSpaceDE w:val="0"/>
              <w:autoSpaceDN w:val="0"/>
              <w:adjustRightInd w:val="0"/>
              <w:spacing w:after="0" w:line="240" w:lineRule="auto"/>
              <w:rPr>
                <w:rFonts w:ascii="Times New Roman" w:hAnsi="Times New Roman"/>
                <w:b/>
                <w:bCs/>
                <w:sz w:val="24"/>
                <w:szCs w:val="24"/>
              </w:rPr>
            </w:pPr>
          </w:p>
        </w:tc>
        <w:tc>
          <w:tcPr>
            <w:tcW w:w="893" w:type="pct"/>
            <w:tcBorders>
              <w:top w:val="nil"/>
              <w:left w:val="nil"/>
              <w:bottom w:val="single" w:sz="8" w:space="0" w:color="auto"/>
              <w:right w:val="nil"/>
            </w:tcBorders>
          </w:tcPr>
          <w:p w14:paraId="110CDCA2"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Z_UK</w:t>
            </w:r>
          </w:p>
        </w:tc>
        <w:tc>
          <w:tcPr>
            <w:tcW w:w="893" w:type="pct"/>
            <w:tcBorders>
              <w:top w:val="nil"/>
              <w:left w:val="nil"/>
              <w:bottom w:val="single" w:sz="8" w:space="0" w:color="auto"/>
              <w:right w:val="nil"/>
            </w:tcBorders>
          </w:tcPr>
          <w:p w14:paraId="3578FDC8"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Z_UK</w:t>
            </w:r>
          </w:p>
        </w:tc>
        <w:tc>
          <w:tcPr>
            <w:tcW w:w="893" w:type="pct"/>
            <w:tcBorders>
              <w:top w:val="nil"/>
              <w:left w:val="nil"/>
              <w:bottom w:val="single" w:sz="8" w:space="0" w:color="auto"/>
              <w:right w:val="nil"/>
            </w:tcBorders>
          </w:tcPr>
          <w:p w14:paraId="7DACADB4"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Z_ALT</w:t>
            </w:r>
          </w:p>
        </w:tc>
        <w:tc>
          <w:tcPr>
            <w:tcW w:w="893" w:type="pct"/>
            <w:tcBorders>
              <w:top w:val="nil"/>
              <w:left w:val="nil"/>
              <w:bottom w:val="single" w:sz="8" w:space="0" w:color="auto"/>
              <w:right w:val="nil"/>
            </w:tcBorders>
          </w:tcPr>
          <w:p w14:paraId="6490E09A"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Z_ALT</w:t>
            </w:r>
          </w:p>
        </w:tc>
      </w:tr>
      <w:tr w:rsidR="005B7CAC" w:rsidRPr="005B7CAC" w14:paraId="396B2CF4" w14:textId="77777777" w:rsidTr="00992F5F">
        <w:tc>
          <w:tcPr>
            <w:tcW w:w="1429" w:type="pct"/>
            <w:tcBorders>
              <w:top w:val="single" w:sz="8" w:space="0" w:color="auto"/>
              <w:left w:val="nil"/>
              <w:bottom w:val="nil"/>
              <w:right w:val="nil"/>
            </w:tcBorders>
          </w:tcPr>
          <w:p w14:paraId="5BE13783" w14:textId="77777777" w:rsidR="00523B11" w:rsidRPr="005B7CAC" w:rsidRDefault="00523B11"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WAST</w:t>
            </w:r>
          </w:p>
        </w:tc>
        <w:tc>
          <w:tcPr>
            <w:tcW w:w="893" w:type="pct"/>
            <w:tcBorders>
              <w:top w:val="single" w:sz="8" w:space="0" w:color="auto"/>
              <w:left w:val="nil"/>
              <w:bottom w:val="nil"/>
              <w:right w:val="nil"/>
            </w:tcBorders>
          </w:tcPr>
          <w:p w14:paraId="6A1B8244"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-0.019</w:t>
            </w:r>
            <w:r w:rsidRPr="005B7CAC">
              <w:rPr>
                <w:rFonts w:ascii="Times New Roman" w:hAnsi="Times New Roman"/>
                <w:sz w:val="24"/>
                <w:szCs w:val="24"/>
                <w:vertAlign w:val="superscript"/>
              </w:rPr>
              <w:t>***</w:t>
            </w:r>
          </w:p>
        </w:tc>
        <w:tc>
          <w:tcPr>
            <w:tcW w:w="893" w:type="pct"/>
            <w:tcBorders>
              <w:top w:val="single" w:sz="8" w:space="0" w:color="auto"/>
              <w:left w:val="nil"/>
              <w:bottom w:val="nil"/>
              <w:right w:val="nil"/>
            </w:tcBorders>
          </w:tcPr>
          <w:p w14:paraId="3C615733"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p>
        </w:tc>
        <w:tc>
          <w:tcPr>
            <w:tcW w:w="893" w:type="pct"/>
            <w:tcBorders>
              <w:top w:val="single" w:sz="8" w:space="0" w:color="auto"/>
              <w:left w:val="nil"/>
              <w:bottom w:val="nil"/>
              <w:right w:val="nil"/>
            </w:tcBorders>
          </w:tcPr>
          <w:p w14:paraId="7D5B19F6"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-0.091</w:t>
            </w:r>
            <w:r w:rsidRPr="005B7CAC">
              <w:rPr>
                <w:rFonts w:ascii="Times New Roman" w:hAnsi="Times New Roman"/>
                <w:sz w:val="24"/>
                <w:szCs w:val="24"/>
                <w:vertAlign w:val="superscript"/>
              </w:rPr>
              <w:t>***</w:t>
            </w:r>
          </w:p>
        </w:tc>
        <w:tc>
          <w:tcPr>
            <w:tcW w:w="893" w:type="pct"/>
            <w:tcBorders>
              <w:top w:val="single" w:sz="8" w:space="0" w:color="auto"/>
              <w:left w:val="nil"/>
              <w:bottom w:val="nil"/>
              <w:right w:val="nil"/>
            </w:tcBorders>
          </w:tcPr>
          <w:p w14:paraId="2AFFFBCA"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p>
        </w:tc>
      </w:tr>
      <w:tr w:rsidR="005B7CAC" w:rsidRPr="005B7CAC" w14:paraId="0E7BB73D" w14:textId="77777777" w:rsidTr="00992F5F">
        <w:tc>
          <w:tcPr>
            <w:tcW w:w="1429" w:type="pct"/>
            <w:tcBorders>
              <w:top w:val="nil"/>
              <w:left w:val="nil"/>
              <w:bottom w:val="nil"/>
              <w:right w:val="nil"/>
            </w:tcBorders>
          </w:tcPr>
          <w:p w14:paraId="5FA86BCC" w14:textId="77777777" w:rsidR="00523B11" w:rsidRPr="005B7CAC" w:rsidRDefault="00523B11" w:rsidP="00C90660">
            <w:pPr>
              <w:widowControl w:val="0"/>
              <w:autoSpaceDE w:val="0"/>
              <w:autoSpaceDN w:val="0"/>
              <w:adjustRightInd w:val="0"/>
              <w:spacing w:after="0" w:line="240" w:lineRule="auto"/>
              <w:rPr>
                <w:rFonts w:ascii="Times New Roman" w:hAnsi="Times New Roman"/>
                <w:sz w:val="24"/>
                <w:szCs w:val="24"/>
              </w:rPr>
            </w:pPr>
          </w:p>
        </w:tc>
        <w:tc>
          <w:tcPr>
            <w:tcW w:w="893" w:type="pct"/>
            <w:tcBorders>
              <w:top w:val="nil"/>
              <w:left w:val="nil"/>
              <w:bottom w:val="nil"/>
              <w:right w:val="nil"/>
            </w:tcBorders>
          </w:tcPr>
          <w:p w14:paraId="5B3C652C"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(-4.40)</w:t>
            </w:r>
          </w:p>
        </w:tc>
        <w:tc>
          <w:tcPr>
            <w:tcW w:w="893" w:type="pct"/>
            <w:tcBorders>
              <w:top w:val="nil"/>
              <w:left w:val="nil"/>
              <w:bottom w:val="nil"/>
              <w:right w:val="nil"/>
            </w:tcBorders>
          </w:tcPr>
          <w:p w14:paraId="370230B0"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p>
        </w:tc>
        <w:tc>
          <w:tcPr>
            <w:tcW w:w="893" w:type="pct"/>
            <w:tcBorders>
              <w:top w:val="nil"/>
              <w:left w:val="nil"/>
              <w:bottom w:val="nil"/>
              <w:right w:val="nil"/>
            </w:tcBorders>
          </w:tcPr>
          <w:p w14:paraId="6A129266"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(-5.36)</w:t>
            </w:r>
          </w:p>
        </w:tc>
        <w:tc>
          <w:tcPr>
            <w:tcW w:w="893" w:type="pct"/>
            <w:tcBorders>
              <w:top w:val="nil"/>
              <w:left w:val="nil"/>
              <w:bottom w:val="nil"/>
              <w:right w:val="nil"/>
            </w:tcBorders>
          </w:tcPr>
          <w:p w14:paraId="65873150"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p>
        </w:tc>
      </w:tr>
      <w:tr w:rsidR="005B7CAC" w:rsidRPr="005B7CAC" w14:paraId="2D8E1562" w14:textId="77777777" w:rsidTr="00992F5F">
        <w:tc>
          <w:tcPr>
            <w:tcW w:w="1429" w:type="pct"/>
            <w:tcBorders>
              <w:top w:val="nil"/>
              <w:left w:val="nil"/>
              <w:bottom w:val="nil"/>
              <w:right w:val="nil"/>
            </w:tcBorders>
          </w:tcPr>
          <w:p w14:paraId="3B314539" w14:textId="77777777" w:rsidR="00523B11" w:rsidRPr="005B7CAC" w:rsidRDefault="00523B11"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WAST*GINVs</w:t>
            </w:r>
          </w:p>
        </w:tc>
        <w:tc>
          <w:tcPr>
            <w:tcW w:w="893" w:type="pct"/>
            <w:tcBorders>
              <w:top w:val="nil"/>
              <w:left w:val="nil"/>
              <w:bottom w:val="nil"/>
              <w:right w:val="nil"/>
            </w:tcBorders>
          </w:tcPr>
          <w:p w14:paraId="6C398009"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0.001</w:t>
            </w:r>
            <w:r w:rsidRPr="005B7CAC">
              <w:rPr>
                <w:rFonts w:ascii="Times New Roman" w:hAnsi="Times New Roman"/>
                <w:sz w:val="24"/>
                <w:szCs w:val="24"/>
                <w:vertAlign w:val="superscript"/>
              </w:rPr>
              <w:t>**</w:t>
            </w:r>
          </w:p>
        </w:tc>
        <w:tc>
          <w:tcPr>
            <w:tcW w:w="893" w:type="pct"/>
            <w:tcBorders>
              <w:top w:val="nil"/>
              <w:left w:val="nil"/>
              <w:bottom w:val="nil"/>
              <w:right w:val="nil"/>
            </w:tcBorders>
          </w:tcPr>
          <w:p w14:paraId="74F1BB6C"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p>
        </w:tc>
        <w:tc>
          <w:tcPr>
            <w:tcW w:w="893" w:type="pct"/>
            <w:tcBorders>
              <w:top w:val="nil"/>
              <w:left w:val="nil"/>
              <w:bottom w:val="nil"/>
              <w:right w:val="nil"/>
            </w:tcBorders>
          </w:tcPr>
          <w:p w14:paraId="78B01CA3"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0.005</w:t>
            </w:r>
            <w:r w:rsidRPr="005B7CAC">
              <w:rPr>
                <w:rFonts w:ascii="Times New Roman" w:hAnsi="Times New Roman"/>
                <w:sz w:val="24"/>
                <w:szCs w:val="24"/>
                <w:vertAlign w:val="superscript"/>
              </w:rPr>
              <w:t>***</w:t>
            </w:r>
          </w:p>
        </w:tc>
        <w:tc>
          <w:tcPr>
            <w:tcW w:w="893" w:type="pct"/>
            <w:tcBorders>
              <w:top w:val="nil"/>
              <w:left w:val="nil"/>
              <w:bottom w:val="nil"/>
              <w:right w:val="nil"/>
            </w:tcBorders>
          </w:tcPr>
          <w:p w14:paraId="1747838A"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p>
        </w:tc>
      </w:tr>
      <w:tr w:rsidR="005B7CAC" w:rsidRPr="005B7CAC" w14:paraId="10DB4ACB" w14:textId="77777777" w:rsidTr="00992F5F">
        <w:tc>
          <w:tcPr>
            <w:tcW w:w="1429" w:type="pct"/>
            <w:tcBorders>
              <w:top w:val="nil"/>
              <w:left w:val="nil"/>
              <w:bottom w:val="nil"/>
              <w:right w:val="nil"/>
            </w:tcBorders>
          </w:tcPr>
          <w:p w14:paraId="3ED718AF" w14:textId="77777777" w:rsidR="00523B11" w:rsidRPr="005B7CAC" w:rsidRDefault="00523B11" w:rsidP="00C90660">
            <w:pPr>
              <w:widowControl w:val="0"/>
              <w:autoSpaceDE w:val="0"/>
              <w:autoSpaceDN w:val="0"/>
              <w:adjustRightInd w:val="0"/>
              <w:spacing w:after="0" w:line="240" w:lineRule="auto"/>
              <w:rPr>
                <w:rFonts w:ascii="Times New Roman" w:hAnsi="Times New Roman"/>
                <w:sz w:val="24"/>
                <w:szCs w:val="24"/>
              </w:rPr>
            </w:pPr>
          </w:p>
        </w:tc>
        <w:tc>
          <w:tcPr>
            <w:tcW w:w="893" w:type="pct"/>
            <w:tcBorders>
              <w:top w:val="nil"/>
              <w:left w:val="nil"/>
              <w:bottom w:val="nil"/>
              <w:right w:val="nil"/>
            </w:tcBorders>
          </w:tcPr>
          <w:p w14:paraId="5CDAC15F"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(2.18)</w:t>
            </w:r>
          </w:p>
        </w:tc>
        <w:tc>
          <w:tcPr>
            <w:tcW w:w="893" w:type="pct"/>
            <w:tcBorders>
              <w:top w:val="nil"/>
              <w:left w:val="nil"/>
              <w:bottom w:val="nil"/>
              <w:right w:val="nil"/>
            </w:tcBorders>
          </w:tcPr>
          <w:p w14:paraId="4F394482"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p>
        </w:tc>
        <w:tc>
          <w:tcPr>
            <w:tcW w:w="893" w:type="pct"/>
            <w:tcBorders>
              <w:top w:val="nil"/>
              <w:left w:val="nil"/>
              <w:bottom w:val="nil"/>
              <w:right w:val="nil"/>
            </w:tcBorders>
          </w:tcPr>
          <w:p w14:paraId="630617C0"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(3.08)</w:t>
            </w:r>
          </w:p>
        </w:tc>
        <w:tc>
          <w:tcPr>
            <w:tcW w:w="893" w:type="pct"/>
            <w:tcBorders>
              <w:top w:val="nil"/>
              <w:left w:val="nil"/>
              <w:bottom w:val="nil"/>
              <w:right w:val="nil"/>
            </w:tcBorders>
          </w:tcPr>
          <w:p w14:paraId="7BCA097F"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p>
        </w:tc>
      </w:tr>
      <w:tr w:rsidR="005B7CAC" w:rsidRPr="005B7CAC" w14:paraId="71EC0365" w14:textId="77777777" w:rsidTr="00992F5F">
        <w:tc>
          <w:tcPr>
            <w:tcW w:w="1429" w:type="pct"/>
            <w:tcBorders>
              <w:top w:val="nil"/>
              <w:left w:val="nil"/>
              <w:bottom w:val="nil"/>
              <w:right w:val="nil"/>
            </w:tcBorders>
          </w:tcPr>
          <w:p w14:paraId="47D118C0" w14:textId="77777777" w:rsidR="00523B11" w:rsidRPr="005B7CAC" w:rsidRDefault="00523B11"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WREC</w:t>
            </w:r>
          </w:p>
        </w:tc>
        <w:tc>
          <w:tcPr>
            <w:tcW w:w="893" w:type="pct"/>
            <w:tcBorders>
              <w:top w:val="nil"/>
              <w:left w:val="nil"/>
              <w:bottom w:val="nil"/>
              <w:right w:val="nil"/>
            </w:tcBorders>
          </w:tcPr>
          <w:p w14:paraId="3BAF50C5"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p>
        </w:tc>
        <w:tc>
          <w:tcPr>
            <w:tcW w:w="893" w:type="pct"/>
            <w:tcBorders>
              <w:top w:val="nil"/>
              <w:left w:val="nil"/>
              <w:bottom w:val="nil"/>
              <w:right w:val="nil"/>
            </w:tcBorders>
          </w:tcPr>
          <w:p w14:paraId="4FBA794C"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0.007</w:t>
            </w:r>
            <w:r w:rsidRPr="005B7CAC">
              <w:rPr>
                <w:rFonts w:ascii="Times New Roman" w:hAnsi="Times New Roman"/>
                <w:sz w:val="24"/>
                <w:szCs w:val="24"/>
                <w:vertAlign w:val="superscript"/>
              </w:rPr>
              <w:t>***</w:t>
            </w:r>
          </w:p>
        </w:tc>
        <w:tc>
          <w:tcPr>
            <w:tcW w:w="893" w:type="pct"/>
            <w:tcBorders>
              <w:top w:val="nil"/>
              <w:left w:val="nil"/>
              <w:bottom w:val="nil"/>
              <w:right w:val="nil"/>
            </w:tcBorders>
          </w:tcPr>
          <w:p w14:paraId="3FCC2962"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p>
        </w:tc>
        <w:tc>
          <w:tcPr>
            <w:tcW w:w="893" w:type="pct"/>
            <w:tcBorders>
              <w:top w:val="nil"/>
              <w:left w:val="nil"/>
              <w:bottom w:val="nil"/>
              <w:right w:val="nil"/>
            </w:tcBorders>
          </w:tcPr>
          <w:p w14:paraId="165C671A"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0.012</w:t>
            </w:r>
            <w:r w:rsidRPr="005B7CAC">
              <w:rPr>
                <w:rFonts w:ascii="Times New Roman" w:hAnsi="Times New Roman"/>
                <w:sz w:val="24"/>
                <w:szCs w:val="24"/>
                <w:vertAlign w:val="superscript"/>
              </w:rPr>
              <w:t>***</w:t>
            </w:r>
          </w:p>
        </w:tc>
      </w:tr>
      <w:tr w:rsidR="005B7CAC" w:rsidRPr="005B7CAC" w14:paraId="51BAC094" w14:textId="77777777" w:rsidTr="00992F5F">
        <w:tc>
          <w:tcPr>
            <w:tcW w:w="1429" w:type="pct"/>
            <w:tcBorders>
              <w:top w:val="nil"/>
              <w:left w:val="nil"/>
              <w:bottom w:val="nil"/>
              <w:right w:val="nil"/>
            </w:tcBorders>
          </w:tcPr>
          <w:p w14:paraId="064B2751" w14:textId="77777777" w:rsidR="00523B11" w:rsidRPr="005B7CAC" w:rsidRDefault="00523B11" w:rsidP="00C90660">
            <w:pPr>
              <w:widowControl w:val="0"/>
              <w:autoSpaceDE w:val="0"/>
              <w:autoSpaceDN w:val="0"/>
              <w:adjustRightInd w:val="0"/>
              <w:spacing w:after="0" w:line="240" w:lineRule="auto"/>
              <w:rPr>
                <w:rFonts w:ascii="Times New Roman" w:hAnsi="Times New Roman"/>
                <w:sz w:val="24"/>
                <w:szCs w:val="24"/>
              </w:rPr>
            </w:pPr>
          </w:p>
        </w:tc>
        <w:tc>
          <w:tcPr>
            <w:tcW w:w="893" w:type="pct"/>
            <w:tcBorders>
              <w:top w:val="nil"/>
              <w:left w:val="nil"/>
              <w:bottom w:val="nil"/>
              <w:right w:val="nil"/>
            </w:tcBorders>
          </w:tcPr>
          <w:p w14:paraId="0C2FF804"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p>
        </w:tc>
        <w:tc>
          <w:tcPr>
            <w:tcW w:w="893" w:type="pct"/>
            <w:tcBorders>
              <w:top w:val="nil"/>
              <w:left w:val="nil"/>
              <w:bottom w:val="nil"/>
              <w:right w:val="nil"/>
            </w:tcBorders>
          </w:tcPr>
          <w:p w14:paraId="274A5DAA"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(7.30)</w:t>
            </w:r>
          </w:p>
        </w:tc>
        <w:tc>
          <w:tcPr>
            <w:tcW w:w="893" w:type="pct"/>
            <w:tcBorders>
              <w:top w:val="nil"/>
              <w:left w:val="nil"/>
              <w:bottom w:val="nil"/>
              <w:right w:val="nil"/>
            </w:tcBorders>
          </w:tcPr>
          <w:p w14:paraId="6AF7FCAD"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p>
        </w:tc>
        <w:tc>
          <w:tcPr>
            <w:tcW w:w="893" w:type="pct"/>
            <w:tcBorders>
              <w:top w:val="nil"/>
              <w:left w:val="nil"/>
              <w:bottom w:val="nil"/>
              <w:right w:val="nil"/>
            </w:tcBorders>
          </w:tcPr>
          <w:p w14:paraId="46A56259"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(5.39)</w:t>
            </w:r>
          </w:p>
        </w:tc>
      </w:tr>
      <w:tr w:rsidR="005B7CAC" w:rsidRPr="005B7CAC" w14:paraId="79D072C5" w14:textId="77777777" w:rsidTr="00992F5F">
        <w:tc>
          <w:tcPr>
            <w:tcW w:w="1429" w:type="pct"/>
            <w:tcBorders>
              <w:top w:val="nil"/>
              <w:left w:val="nil"/>
              <w:bottom w:val="nil"/>
              <w:right w:val="nil"/>
            </w:tcBorders>
          </w:tcPr>
          <w:p w14:paraId="047ADC37" w14:textId="77777777" w:rsidR="00523B11" w:rsidRPr="005B7CAC" w:rsidRDefault="00523B11"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WREC*GINVs</w:t>
            </w:r>
          </w:p>
        </w:tc>
        <w:tc>
          <w:tcPr>
            <w:tcW w:w="893" w:type="pct"/>
            <w:tcBorders>
              <w:top w:val="nil"/>
              <w:left w:val="nil"/>
              <w:bottom w:val="nil"/>
              <w:right w:val="nil"/>
            </w:tcBorders>
          </w:tcPr>
          <w:p w14:paraId="785ED36A"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p>
        </w:tc>
        <w:tc>
          <w:tcPr>
            <w:tcW w:w="893" w:type="pct"/>
            <w:tcBorders>
              <w:top w:val="nil"/>
              <w:left w:val="nil"/>
              <w:bottom w:val="nil"/>
              <w:right w:val="nil"/>
            </w:tcBorders>
          </w:tcPr>
          <w:p w14:paraId="68E17481" w14:textId="5BF3FEDF"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w:t>
            </w:r>
            <w:r w:rsidRPr="005B7CAC">
              <w:rPr>
                <w:rFonts w:ascii="Times New Roman" w:hAnsi="Times New Roman"/>
                <w:sz w:val="24"/>
                <w:szCs w:val="24"/>
                <w:lang w:val="en-US"/>
              </w:rPr>
              <w:t>1</w:t>
            </w:r>
            <w:r w:rsidRPr="005B7CAC">
              <w:rPr>
                <w:rFonts w:ascii="Times New Roman" w:hAnsi="Times New Roman"/>
                <w:sz w:val="24"/>
                <w:szCs w:val="24"/>
                <w:vertAlign w:val="superscript"/>
              </w:rPr>
              <w:t>***</w:t>
            </w:r>
          </w:p>
        </w:tc>
        <w:tc>
          <w:tcPr>
            <w:tcW w:w="893" w:type="pct"/>
            <w:tcBorders>
              <w:top w:val="nil"/>
              <w:left w:val="nil"/>
              <w:bottom w:val="nil"/>
              <w:right w:val="nil"/>
            </w:tcBorders>
          </w:tcPr>
          <w:p w14:paraId="2C3F6164"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p>
        </w:tc>
        <w:tc>
          <w:tcPr>
            <w:tcW w:w="893" w:type="pct"/>
            <w:tcBorders>
              <w:top w:val="nil"/>
              <w:left w:val="nil"/>
              <w:bottom w:val="nil"/>
              <w:right w:val="nil"/>
            </w:tcBorders>
          </w:tcPr>
          <w:p w14:paraId="1687FBB8"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-0.001</w:t>
            </w:r>
            <w:r w:rsidRPr="005B7CAC">
              <w:rPr>
                <w:rFonts w:ascii="Times New Roman" w:hAnsi="Times New Roman"/>
                <w:sz w:val="24"/>
                <w:szCs w:val="24"/>
                <w:vertAlign w:val="superscript"/>
              </w:rPr>
              <w:t>***</w:t>
            </w:r>
          </w:p>
        </w:tc>
      </w:tr>
      <w:tr w:rsidR="005B7CAC" w:rsidRPr="005B7CAC" w14:paraId="63599800" w14:textId="77777777" w:rsidTr="00992F5F">
        <w:tc>
          <w:tcPr>
            <w:tcW w:w="1429" w:type="pct"/>
            <w:tcBorders>
              <w:top w:val="nil"/>
              <w:left w:val="nil"/>
              <w:bottom w:val="nil"/>
              <w:right w:val="nil"/>
            </w:tcBorders>
          </w:tcPr>
          <w:p w14:paraId="4CCFE0DC" w14:textId="77777777" w:rsidR="00523B11" w:rsidRPr="005B7CAC" w:rsidRDefault="00523B11" w:rsidP="00C90660">
            <w:pPr>
              <w:widowControl w:val="0"/>
              <w:autoSpaceDE w:val="0"/>
              <w:autoSpaceDN w:val="0"/>
              <w:adjustRightInd w:val="0"/>
              <w:spacing w:after="0" w:line="240" w:lineRule="auto"/>
              <w:rPr>
                <w:rFonts w:ascii="Times New Roman" w:hAnsi="Times New Roman"/>
                <w:sz w:val="24"/>
                <w:szCs w:val="24"/>
              </w:rPr>
            </w:pPr>
          </w:p>
        </w:tc>
        <w:tc>
          <w:tcPr>
            <w:tcW w:w="893" w:type="pct"/>
            <w:tcBorders>
              <w:top w:val="nil"/>
              <w:left w:val="nil"/>
              <w:bottom w:val="nil"/>
              <w:right w:val="nil"/>
            </w:tcBorders>
          </w:tcPr>
          <w:p w14:paraId="5DF223F9"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p>
        </w:tc>
        <w:tc>
          <w:tcPr>
            <w:tcW w:w="893" w:type="pct"/>
            <w:tcBorders>
              <w:top w:val="nil"/>
              <w:left w:val="nil"/>
              <w:bottom w:val="nil"/>
              <w:right w:val="nil"/>
            </w:tcBorders>
          </w:tcPr>
          <w:p w14:paraId="2D5AEF4F"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(-5.14)</w:t>
            </w:r>
          </w:p>
        </w:tc>
        <w:tc>
          <w:tcPr>
            <w:tcW w:w="893" w:type="pct"/>
            <w:tcBorders>
              <w:top w:val="nil"/>
              <w:left w:val="nil"/>
              <w:bottom w:val="nil"/>
              <w:right w:val="nil"/>
            </w:tcBorders>
          </w:tcPr>
          <w:p w14:paraId="149B7A1A"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p>
        </w:tc>
        <w:tc>
          <w:tcPr>
            <w:tcW w:w="893" w:type="pct"/>
            <w:tcBorders>
              <w:top w:val="nil"/>
              <w:left w:val="nil"/>
              <w:bottom w:val="nil"/>
              <w:right w:val="nil"/>
            </w:tcBorders>
          </w:tcPr>
          <w:p w14:paraId="2BA7E71A"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(-3.57)</w:t>
            </w:r>
          </w:p>
        </w:tc>
      </w:tr>
      <w:tr w:rsidR="005B7CAC" w:rsidRPr="005B7CAC" w14:paraId="116223E5" w14:textId="77777777" w:rsidTr="00992F5F">
        <w:tc>
          <w:tcPr>
            <w:tcW w:w="1429" w:type="pct"/>
            <w:tcBorders>
              <w:top w:val="nil"/>
              <w:left w:val="nil"/>
              <w:bottom w:val="nil"/>
              <w:right w:val="nil"/>
            </w:tcBorders>
          </w:tcPr>
          <w:p w14:paraId="7F2923BE" w14:textId="5A042919" w:rsidR="00523B11" w:rsidRPr="005B7CAC" w:rsidRDefault="00523B11" w:rsidP="00C90660">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rPr>
              <w:t>G</w:t>
            </w:r>
            <w:r w:rsidRPr="005B7CAC">
              <w:rPr>
                <w:rFonts w:ascii="Times New Roman" w:hAnsi="Times New Roman"/>
                <w:sz w:val="24"/>
                <w:szCs w:val="24"/>
                <w:lang w:val="en-US"/>
              </w:rPr>
              <w:t>INVs</w:t>
            </w:r>
          </w:p>
        </w:tc>
        <w:tc>
          <w:tcPr>
            <w:tcW w:w="893" w:type="pct"/>
            <w:tcBorders>
              <w:top w:val="nil"/>
              <w:left w:val="nil"/>
              <w:bottom w:val="nil"/>
              <w:right w:val="nil"/>
            </w:tcBorders>
          </w:tcPr>
          <w:p w14:paraId="684D37DE"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0.008</w:t>
            </w:r>
            <w:r w:rsidRPr="005B7CAC">
              <w:rPr>
                <w:rFonts w:ascii="Times New Roman" w:hAnsi="Times New Roman"/>
                <w:sz w:val="24"/>
                <w:szCs w:val="24"/>
                <w:vertAlign w:val="superscript"/>
              </w:rPr>
              <w:t>***</w:t>
            </w:r>
          </w:p>
        </w:tc>
        <w:tc>
          <w:tcPr>
            <w:tcW w:w="893" w:type="pct"/>
            <w:tcBorders>
              <w:top w:val="nil"/>
              <w:left w:val="nil"/>
              <w:bottom w:val="nil"/>
              <w:right w:val="nil"/>
            </w:tcBorders>
          </w:tcPr>
          <w:p w14:paraId="7565259F"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0.035</w:t>
            </w:r>
            <w:r w:rsidRPr="005B7CAC">
              <w:rPr>
                <w:rFonts w:ascii="Times New Roman" w:hAnsi="Times New Roman"/>
                <w:sz w:val="24"/>
                <w:szCs w:val="24"/>
                <w:vertAlign w:val="superscript"/>
              </w:rPr>
              <w:t>***</w:t>
            </w:r>
          </w:p>
        </w:tc>
        <w:tc>
          <w:tcPr>
            <w:tcW w:w="893" w:type="pct"/>
            <w:tcBorders>
              <w:top w:val="nil"/>
              <w:left w:val="nil"/>
              <w:bottom w:val="nil"/>
              <w:right w:val="nil"/>
            </w:tcBorders>
          </w:tcPr>
          <w:p w14:paraId="44614D22"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0.023</w:t>
            </w:r>
            <w:r w:rsidRPr="005B7CAC">
              <w:rPr>
                <w:rFonts w:ascii="Times New Roman" w:hAnsi="Times New Roman"/>
                <w:sz w:val="24"/>
                <w:szCs w:val="24"/>
                <w:vertAlign w:val="superscript"/>
              </w:rPr>
              <w:t>***</w:t>
            </w:r>
          </w:p>
        </w:tc>
        <w:tc>
          <w:tcPr>
            <w:tcW w:w="893" w:type="pct"/>
            <w:tcBorders>
              <w:top w:val="nil"/>
              <w:left w:val="nil"/>
              <w:bottom w:val="nil"/>
              <w:right w:val="nil"/>
            </w:tcBorders>
          </w:tcPr>
          <w:p w14:paraId="63D8DB4E"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0.065</w:t>
            </w:r>
            <w:r w:rsidRPr="005B7CAC">
              <w:rPr>
                <w:rFonts w:ascii="Times New Roman" w:hAnsi="Times New Roman"/>
                <w:sz w:val="24"/>
                <w:szCs w:val="24"/>
                <w:vertAlign w:val="superscript"/>
              </w:rPr>
              <w:t>***</w:t>
            </w:r>
          </w:p>
        </w:tc>
      </w:tr>
      <w:tr w:rsidR="005B7CAC" w:rsidRPr="005B7CAC" w14:paraId="43D463CD" w14:textId="77777777" w:rsidTr="00992F5F">
        <w:tc>
          <w:tcPr>
            <w:tcW w:w="1429" w:type="pct"/>
            <w:tcBorders>
              <w:top w:val="nil"/>
              <w:left w:val="nil"/>
              <w:bottom w:val="nil"/>
              <w:right w:val="nil"/>
            </w:tcBorders>
          </w:tcPr>
          <w:p w14:paraId="7D07B286" w14:textId="77777777" w:rsidR="00523B11" w:rsidRPr="005B7CAC" w:rsidRDefault="00523B11" w:rsidP="00C90660">
            <w:pPr>
              <w:widowControl w:val="0"/>
              <w:autoSpaceDE w:val="0"/>
              <w:autoSpaceDN w:val="0"/>
              <w:adjustRightInd w:val="0"/>
              <w:spacing w:after="0" w:line="240" w:lineRule="auto"/>
              <w:rPr>
                <w:rFonts w:ascii="Times New Roman" w:hAnsi="Times New Roman"/>
                <w:sz w:val="24"/>
                <w:szCs w:val="24"/>
              </w:rPr>
            </w:pPr>
          </w:p>
        </w:tc>
        <w:tc>
          <w:tcPr>
            <w:tcW w:w="893" w:type="pct"/>
            <w:tcBorders>
              <w:top w:val="nil"/>
              <w:left w:val="nil"/>
              <w:bottom w:val="nil"/>
              <w:right w:val="nil"/>
            </w:tcBorders>
          </w:tcPr>
          <w:p w14:paraId="2B58B093"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(2.88)</w:t>
            </w:r>
          </w:p>
        </w:tc>
        <w:tc>
          <w:tcPr>
            <w:tcW w:w="893" w:type="pct"/>
            <w:tcBorders>
              <w:top w:val="nil"/>
              <w:left w:val="nil"/>
              <w:bottom w:val="nil"/>
              <w:right w:val="nil"/>
            </w:tcBorders>
          </w:tcPr>
          <w:p w14:paraId="047AAE7B"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(5.37)</w:t>
            </w:r>
          </w:p>
        </w:tc>
        <w:tc>
          <w:tcPr>
            <w:tcW w:w="893" w:type="pct"/>
            <w:tcBorders>
              <w:top w:val="nil"/>
              <w:left w:val="nil"/>
              <w:bottom w:val="nil"/>
              <w:right w:val="nil"/>
            </w:tcBorders>
          </w:tcPr>
          <w:p w14:paraId="71844533"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(3.44)</w:t>
            </w:r>
          </w:p>
        </w:tc>
        <w:tc>
          <w:tcPr>
            <w:tcW w:w="893" w:type="pct"/>
            <w:tcBorders>
              <w:top w:val="nil"/>
              <w:left w:val="nil"/>
              <w:bottom w:val="nil"/>
              <w:right w:val="nil"/>
            </w:tcBorders>
          </w:tcPr>
          <w:p w14:paraId="7A5FAF48"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(3.91)</w:t>
            </w:r>
          </w:p>
        </w:tc>
      </w:tr>
      <w:tr w:rsidR="005B7CAC" w:rsidRPr="005B7CAC" w14:paraId="4995B66B" w14:textId="77777777" w:rsidTr="00992F5F">
        <w:tc>
          <w:tcPr>
            <w:tcW w:w="1429" w:type="pct"/>
            <w:tcBorders>
              <w:top w:val="nil"/>
              <w:left w:val="nil"/>
              <w:bottom w:val="nil"/>
              <w:right w:val="nil"/>
            </w:tcBorders>
          </w:tcPr>
          <w:p w14:paraId="4605990C" w14:textId="77777777" w:rsidR="00523B11" w:rsidRPr="005B7CAC" w:rsidRDefault="00523B11"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BSIZE</w:t>
            </w:r>
          </w:p>
        </w:tc>
        <w:tc>
          <w:tcPr>
            <w:tcW w:w="893" w:type="pct"/>
            <w:tcBorders>
              <w:top w:val="nil"/>
              <w:left w:val="nil"/>
              <w:bottom w:val="nil"/>
              <w:right w:val="nil"/>
            </w:tcBorders>
          </w:tcPr>
          <w:p w14:paraId="5FCD3893"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-0.016</w:t>
            </w:r>
            <w:r w:rsidRPr="005B7CAC">
              <w:rPr>
                <w:rFonts w:ascii="Times New Roman" w:hAnsi="Times New Roman"/>
                <w:sz w:val="24"/>
                <w:szCs w:val="24"/>
                <w:vertAlign w:val="superscript"/>
              </w:rPr>
              <w:t>***</w:t>
            </w:r>
          </w:p>
        </w:tc>
        <w:tc>
          <w:tcPr>
            <w:tcW w:w="893" w:type="pct"/>
            <w:tcBorders>
              <w:top w:val="nil"/>
              <w:left w:val="nil"/>
              <w:bottom w:val="nil"/>
              <w:right w:val="nil"/>
            </w:tcBorders>
          </w:tcPr>
          <w:p w14:paraId="5F0049B9"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-0.014</w:t>
            </w:r>
            <w:r w:rsidRPr="005B7CAC">
              <w:rPr>
                <w:rFonts w:ascii="Times New Roman" w:hAnsi="Times New Roman"/>
                <w:sz w:val="24"/>
                <w:szCs w:val="24"/>
                <w:vertAlign w:val="superscript"/>
              </w:rPr>
              <w:t>***</w:t>
            </w:r>
          </w:p>
        </w:tc>
        <w:tc>
          <w:tcPr>
            <w:tcW w:w="893" w:type="pct"/>
            <w:tcBorders>
              <w:top w:val="nil"/>
              <w:left w:val="nil"/>
              <w:bottom w:val="nil"/>
              <w:right w:val="nil"/>
            </w:tcBorders>
          </w:tcPr>
          <w:p w14:paraId="291934BF"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-0.039</w:t>
            </w:r>
            <w:r w:rsidRPr="005B7CAC">
              <w:rPr>
                <w:rFonts w:ascii="Times New Roman" w:hAnsi="Times New Roman"/>
                <w:sz w:val="24"/>
                <w:szCs w:val="24"/>
                <w:vertAlign w:val="superscript"/>
              </w:rPr>
              <w:t>***</w:t>
            </w:r>
          </w:p>
        </w:tc>
        <w:tc>
          <w:tcPr>
            <w:tcW w:w="893" w:type="pct"/>
            <w:tcBorders>
              <w:top w:val="nil"/>
              <w:left w:val="nil"/>
              <w:bottom w:val="nil"/>
              <w:right w:val="nil"/>
            </w:tcBorders>
          </w:tcPr>
          <w:p w14:paraId="47094480"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-0.031</w:t>
            </w:r>
            <w:r w:rsidRPr="005B7CAC">
              <w:rPr>
                <w:rFonts w:ascii="Times New Roman" w:hAnsi="Times New Roman"/>
                <w:sz w:val="24"/>
                <w:szCs w:val="24"/>
                <w:vertAlign w:val="superscript"/>
              </w:rPr>
              <w:t>***</w:t>
            </w:r>
          </w:p>
        </w:tc>
      </w:tr>
      <w:tr w:rsidR="005B7CAC" w:rsidRPr="005B7CAC" w14:paraId="3644D08A" w14:textId="77777777" w:rsidTr="00992F5F">
        <w:tc>
          <w:tcPr>
            <w:tcW w:w="1429" w:type="pct"/>
            <w:tcBorders>
              <w:top w:val="nil"/>
              <w:left w:val="nil"/>
              <w:bottom w:val="nil"/>
              <w:right w:val="nil"/>
            </w:tcBorders>
          </w:tcPr>
          <w:p w14:paraId="0F84117F" w14:textId="77777777" w:rsidR="00523B11" w:rsidRPr="005B7CAC" w:rsidRDefault="00523B11" w:rsidP="00C90660">
            <w:pPr>
              <w:widowControl w:val="0"/>
              <w:autoSpaceDE w:val="0"/>
              <w:autoSpaceDN w:val="0"/>
              <w:adjustRightInd w:val="0"/>
              <w:spacing w:after="0" w:line="240" w:lineRule="auto"/>
              <w:rPr>
                <w:rFonts w:ascii="Times New Roman" w:hAnsi="Times New Roman"/>
                <w:sz w:val="24"/>
                <w:szCs w:val="24"/>
              </w:rPr>
            </w:pPr>
          </w:p>
        </w:tc>
        <w:tc>
          <w:tcPr>
            <w:tcW w:w="893" w:type="pct"/>
            <w:tcBorders>
              <w:top w:val="nil"/>
              <w:left w:val="nil"/>
              <w:bottom w:val="nil"/>
              <w:right w:val="nil"/>
            </w:tcBorders>
          </w:tcPr>
          <w:p w14:paraId="589FFAD2"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(-4.22)</w:t>
            </w:r>
          </w:p>
        </w:tc>
        <w:tc>
          <w:tcPr>
            <w:tcW w:w="893" w:type="pct"/>
            <w:tcBorders>
              <w:top w:val="nil"/>
              <w:left w:val="nil"/>
              <w:bottom w:val="nil"/>
              <w:right w:val="nil"/>
            </w:tcBorders>
          </w:tcPr>
          <w:p w14:paraId="0C662149"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(-3.56)</w:t>
            </w:r>
          </w:p>
        </w:tc>
        <w:tc>
          <w:tcPr>
            <w:tcW w:w="893" w:type="pct"/>
            <w:tcBorders>
              <w:top w:val="nil"/>
              <w:left w:val="nil"/>
              <w:bottom w:val="nil"/>
              <w:right w:val="nil"/>
            </w:tcBorders>
          </w:tcPr>
          <w:p w14:paraId="45179C93"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(-4.52)</w:t>
            </w:r>
          </w:p>
        </w:tc>
        <w:tc>
          <w:tcPr>
            <w:tcW w:w="893" w:type="pct"/>
            <w:tcBorders>
              <w:top w:val="nil"/>
              <w:left w:val="nil"/>
              <w:bottom w:val="nil"/>
              <w:right w:val="nil"/>
            </w:tcBorders>
          </w:tcPr>
          <w:p w14:paraId="35DE8FF1"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(-3.44)</w:t>
            </w:r>
          </w:p>
        </w:tc>
      </w:tr>
      <w:tr w:rsidR="005B7CAC" w:rsidRPr="005B7CAC" w14:paraId="0DFC36BA" w14:textId="77777777" w:rsidTr="00992F5F">
        <w:tc>
          <w:tcPr>
            <w:tcW w:w="1429" w:type="pct"/>
            <w:tcBorders>
              <w:top w:val="nil"/>
              <w:left w:val="nil"/>
              <w:bottom w:val="nil"/>
              <w:right w:val="nil"/>
            </w:tcBorders>
          </w:tcPr>
          <w:p w14:paraId="09011C9F" w14:textId="77777777" w:rsidR="00523B11" w:rsidRPr="005B7CAC" w:rsidRDefault="00523B11"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BGDIV</w:t>
            </w:r>
          </w:p>
        </w:tc>
        <w:tc>
          <w:tcPr>
            <w:tcW w:w="893" w:type="pct"/>
            <w:tcBorders>
              <w:top w:val="nil"/>
              <w:left w:val="nil"/>
              <w:bottom w:val="nil"/>
              <w:right w:val="nil"/>
            </w:tcBorders>
          </w:tcPr>
          <w:p w14:paraId="0AB3B51D"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0.002</w:t>
            </w:r>
            <w:r w:rsidRPr="005B7CAC">
              <w:rPr>
                <w:rFonts w:ascii="Times New Roman" w:hAnsi="Times New Roman"/>
                <w:sz w:val="24"/>
                <w:szCs w:val="24"/>
                <w:vertAlign w:val="superscript"/>
              </w:rPr>
              <w:t>**</w:t>
            </w:r>
          </w:p>
        </w:tc>
        <w:tc>
          <w:tcPr>
            <w:tcW w:w="893" w:type="pct"/>
            <w:tcBorders>
              <w:top w:val="nil"/>
              <w:left w:val="nil"/>
              <w:bottom w:val="nil"/>
              <w:right w:val="nil"/>
            </w:tcBorders>
          </w:tcPr>
          <w:p w14:paraId="2B37D99A"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0.003</w:t>
            </w:r>
            <w:r w:rsidRPr="005B7CAC">
              <w:rPr>
                <w:rFonts w:ascii="Times New Roman" w:hAnsi="Times New Roman"/>
                <w:sz w:val="24"/>
                <w:szCs w:val="24"/>
                <w:vertAlign w:val="superscript"/>
              </w:rPr>
              <w:t>***</w:t>
            </w:r>
          </w:p>
        </w:tc>
        <w:tc>
          <w:tcPr>
            <w:tcW w:w="893" w:type="pct"/>
            <w:tcBorders>
              <w:top w:val="nil"/>
              <w:left w:val="nil"/>
              <w:bottom w:val="nil"/>
              <w:right w:val="nil"/>
            </w:tcBorders>
          </w:tcPr>
          <w:p w14:paraId="18A3A80A"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0.010</w:t>
            </w:r>
            <w:r w:rsidRPr="005B7CAC">
              <w:rPr>
                <w:rFonts w:ascii="Times New Roman" w:hAnsi="Times New Roman"/>
                <w:sz w:val="24"/>
                <w:szCs w:val="24"/>
                <w:vertAlign w:val="superscript"/>
              </w:rPr>
              <w:t>***</w:t>
            </w:r>
          </w:p>
        </w:tc>
        <w:tc>
          <w:tcPr>
            <w:tcW w:w="893" w:type="pct"/>
            <w:tcBorders>
              <w:top w:val="nil"/>
              <w:left w:val="nil"/>
              <w:bottom w:val="nil"/>
              <w:right w:val="nil"/>
            </w:tcBorders>
          </w:tcPr>
          <w:p w14:paraId="597238DC"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0.011</w:t>
            </w:r>
            <w:r w:rsidRPr="005B7CAC">
              <w:rPr>
                <w:rFonts w:ascii="Times New Roman" w:hAnsi="Times New Roman"/>
                <w:sz w:val="24"/>
                <w:szCs w:val="24"/>
                <w:vertAlign w:val="superscript"/>
              </w:rPr>
              <w:t>***</w:t>
            </w:r>
          </w:p>
        </w:tc>
      </w:tr>
      <w:tr w:rsidR="005B7CAC" w:rsidRPr="005B7CAC" w14:paraId="1CFCD0E7" w14:textId="77777777" w:rsidTr="00992F5F">
        <w:tc>
          <w:tcPr>
            <w:tcW w:w="1429" w:type="pct"/>
            <w:tcBorders>
              <w:top w:val="nil"/>
              <w:left w:val="nil"/>
              <w:bottom w:val="nil"/>
              <w:right w:val="nil"/>
            </w:tcBorders>
          </w:tcPr>
          <w:p w14:paraId="1FCC3924" w14:textId="77777777" w:rsidR="00523B11" w:rsidRPr="005B7CAC" w:rsidRDefault="00523B11" w:rsidP="00C90660">
            <w:pPr>
              <w:widowControl w:val="0"/>
              <w:autoSpaceDE w:val="0"/>
              <w:autoSpaceDN w:val="0"/>
              <w:adjustRightInd w:val="0"/>
              <w:spacing w:after="0" w:line="240" w:lineRule="auto"/>
              <w:rPr>
                <w:rFonts w:ascii="Times New Roman" w:hAnsi="Times New Roman"/>
                <w:sz w:val="24"/>
                <w:szCs w:val="24"/>
              </w:rPr>
            </w:pPr>
          </w:p>
        </w:tc>
        <w:tc>
          <w:tcPr>
            <w:tcW w:w="893" w:type="pct"/>
            <w:tcBorders>
              <w:top w:val="nil"/>
              <w:left w:val="nil"/>
              <w:bottom w:val="nil"/>
              <w:right w:val="nil"/>
            </w:tcBorders>
          </w:tcPr>
          <w:p w14:paraId="78B8DD10"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(2.27)</w:t>
            </w:r>
          </w:p>
        </w:tc>
        <w:tc>
          <w:tcPr>
            <w:tcW w:w="893" w:type="pct"/>
            <w:tcBorders>
              <w:top w:val="nil"/>
              <w:left w:val="nil"/>
              <w:bottom w:val="nil"/>
              <w:right w:val="nil"/>
            </w:tcBorders>
          </w:tcPr>
          <w:p w14:paraId="6705977C"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(3.17)</w:t>
            </w:r>
          </w:p>
        </w:tc>
        <w:tc>
          <w:tcPr>
            <w:tcW w:w="893" w:type="pct"/>
            <w:tcBorders>
              <w:top w:val="nil"/>
              <w:left w:val="nil"/>
              <w:bottom w:val="nil"/>
              <w:right w:val="nil"/>
            </w:tcBorders>
          </w:tcPr>
          <w:p w14:paraId="5C9166CF"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(5.15)</w:t>
            </w:r>
          </w:p>
        </w:tc>
        <w:tc>
          <w:tcPr>
            <w:tcW w:w="893" w:type="pct"/>
            <w:tcBorders>
              <w:top w:val="nil"/>
              <w:left w:val="nil"/>
              <w:bottom w:val="nil"/>
              <w:right w:val="nil"/>
            </w:tcBorders>
          </w:tcPr>
          <w:p w14:paraId="5121E937"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(5.01)</w:t>
            </w:r>
          </w:p>
        </w:tc>
      </w:tr>
      <w:tr w:rsidR="005B7CAC" w:rsidRPr="005B7CAC" w14:paraId="24BF4226" w14:textId="77777777" w:rsidTr="00992F5F">
        <w:tc>
          <w:tcPr>
            <w:tcW w:w="1429" w:type="pct"/>
            <w:tcBorders>
              <w:top w:val="nil"/>
              <w:left w:val="nil"/>
              <w:bottom w:val="nil"/>
              <w:right w:val="nil"/>
            </w:tcBorders>
          </w:tcPr>
          <w:p w14:paraId="29E6F34E" w14:textId="77777777" w:rsidR="00523B11" w:rsidRPr="005B7CAC" w:rsidRDefault="00523B11"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BINDR</w:t>
            </w:r>
          </w:p>
        </w:tc>
        <w:tc>
          <w:tcPr>
            <w:tcW w:w="893" w:type="pct"/>
            <w:tcBorders>
              <w:top w:val="nil"/>
              <w:left w:val="nil"/>
              <w:bottom w:val="nil"/>
              <w:right w:val="nil"/>
            </w:tcBorders>
          </w:tcPr>
          <w:p w14:paraId="1C10B275"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-0.001</w:t>
            </w:r>
            <w:r w:rsidRPr="005B7CAC">
              <w:rPr>
                <w:rFonts w:ascii="Times New Roman" w:hAnsi="Times New Roman"/>
                <w:sz w:val="24"/>
                <w:szCs w:val="24"/>
                <w:vertAlign w:val="superscript"/>
              </w:rPr>
              <w:t>*</w:t>
            </w:r>
          </w:p>
        </w:tc>
        <w:tc>
          <w:tcPr>
            <w:tcW w:w="893" w:type="pct"/>
            <w:tcBorders>
              <w:top w:val="nil"/>
              <w:left w:val="nil"/>
              <w:bottom w:val="nil"/>
              <w:right w:val="nil"/>
            </w:tcBorders>
          </w:tcPr>
          <w:p w14:paraId="479AF20B"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-0.001</w:t>
            </w:r>
          </w:p>
        </w:tc>
        <w:tc>
          <w:tcPr>
            <w:tcW w:w="893" w:type="pct"/>
            <w:tcBorders>
              <w:top w:val="nil"/>
              <w:left w:val="nil"/>
              <w:bottom w:val="nil"/>
              <w:right w:val="nil"/>
            </w:tcBorders>
          </w:tcPr>
          <w:p w14:paraId="1E446B09"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-0.001</w:t>
            </w:r>
          </w:p>
        </w:tc>
        <w:tc>
          <w:tcPr>
            <w:tcW w:w="893" w:type="pct"/>
            <w:tcBorders>
              <w:top w:val="nil"/>
              <w:left w:val="nil"/>
              <w:bottom w:val="nil"/>
              <w:right w:val="nil"/>
            </w:tcBorders>
          </w:tcPr>
          <w:p w14:paraId="41CB0658"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0.000</w:t>
            </w:r>
          </w:p>
        </w:tc>
      </w:tr>
      <w:tr w:rsidR="005B7CAC" w:rsidRPr="005B7CAC" w14:paraId="4821F481" w14:textId="77777777" w:rsidTr="00992F5F">
        <w:tc>
          <w:tcPr>
            <w:tcW w:w="1429" w:type="pct"/>
            <w:tcBorders>
              <w:top w:val="nil"/>
              <w:left w:val="nil"/>
              <w:bottom w:val="nil"/>
              <w:right w:val="nil"/>
            </w:tcBorders>
          </w:tcPr>
          <w:p w14:paraId="58598006" w14:textId="77777777" w:rsidR="00523B11" w:rsidRPr="005B7CAC" w:rsidRDefault="00523B11" w:rsidP="00C90660">
            <w:pPr>
              <w:widowControl w:val="0"/>
              <w:autoSpaceDE w:val="0"/>
              <w:autoSpaceDN w:val="0"/>
              <w:adjustRightInd w:val="0"/>
              <w:spacing w:after="0" w:line="240" w:lineRule="auto"/>
              <w:rPr>
                <w:rFonts w:ascii="Times New Roman" w:hAnsi="Times New Roman"/>
                <w:sz w:val="24"/>
                <w:szCs w:val="24"/>
              </w:rPr>
            </w:pPr>
          </w:p>
        </w:tc>
        <w:tc>
          <w:tcPr>
            <w:tcW w:w="893" w:type="pct"/>
            <w:tcBorders>
              <w:top w:val="nil"/>
              <w:left w:val="nil"/>
              <w:bottom w:val="nil"/>
              <w:right w:val="nil"/>
            </w:tcBorders>
          </w:tcPr>
          <w:p w14:paraId="7C91464F"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(-1.69)</w:t>
            </w:r>
          </w:p>
        </w:tc>
        <w:tc>
          <w:tcPr>
            <w:tcW w:w="893" w:type="pct"/>
            <w:tcBorders>
              <w:top w:val="nil"/>
              <w:left w:val="nil"/>
              <w:bottom w:val="nil"/>
              <w:right w:val="nil"/>
            </w:tcBorders>
          </w:tcPr>
          <w:p w14:paraId="6C43469F"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(-1.33)</w:t>
            </w:r>
          </w:p>
        </w:tc>
        <w:tc>
          <w:tcPr>
            <w:tcW w:w="893" w:type="pct"/>
            <w:tcBorders>
              <w:top w:val="nil"/>
              <w:left w:val="nil"/>
              <w:bottom w:val="nil"/>
              <w:right w:val="nil"/>
            </w:tcBorders>
          </w:tcPr>
          <w:p w14:paraId="6BF940C3"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(-0.61)</w:t>
            </w:r>
          </w:p>
        </w:tc>
        <w:tc>
          <w:tcPr>
            <w:tcW w:w="893" w:type="pct"/>
            <w:tcBorders>
              <w:top w:val="nil"/>
              <w:left w:val="nil"/>
              <w:bottom w:val="nil"/>
              <w:right w:val="nil"/>
            </w:tcBorders>
          </w:tcPr>
          <w:p w14:paraId="5436748C"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(0.08)</w:t>
            </w:r>
          </w:p>
        </w:tc>
      </w:tr>
      <w:tr w:rsidR="005B7CAC" w:rsidRPr="005B7CAC" w14:paraId="3DAD9906" w14:textId="77777777" w:rsidTr="00992F5F">
        <w:tc>
          <w:tcPr>
            <w:tcW w:w="1429" w:type="pct"/>
            <w:tcBorders>
              <w:top w:val="nil"/>
              <w:left w:val="nil"/>
              <w:bottom w:val="nil"/>
              <w:right w:val="nil"/>
            </w:tcBorders>
          </w:tcPr>
          <w:p w14:paraId="59ADC3F1" w14:textId="77777777" w:rsidR="00523B11" w:rsidRPr="005B7CAC" w:rsidRDefault="00523B11"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FAGE</w:t>
            </w:r>
          </w:p>
        </w:tc>
        <w:tc>
          <w:tcPr>
            <w:tcW w:w="893" w:type="pct"/>
            <w:tcBorders>
              <w:top w:val="nil"/>
              <w:left w:val="nil"/>
              <w:bottom w:val="nil"/>
              <w:right w:val="nil"/>
            </w:tcBorders>
          </w:tcPr>
          <w:p w14:paraId="7A42CE89"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0.002</w:t>
            </w:r>
            <w:r w:rsidRPr="005B7CAC">
              <w:rPr>
                <w:rFonts w:ascii="Times New Roman" w:hAnsi="Times New Roman"/>
                <w:sz w:val="24"/>
                <w:szCs w:val="24"/>
                <w:vertAlign w:val="superscript"/>
              </w:rPr>
              <w:t>***</w:t>
            </w:r>
          </w:p>
        </w:tc>
        <w:tc>
          <w:tcPr>
            <w:tcW w:w="893" w:type="pct"/>
            <w:tcBorders>
              <w:top w:val="nil"/>
              <w:left w:val="nil"/>
              <w:bottom w:val="nil"/>
              <w:right w:val="nil"/>
            </w:tcBorders>
          </w:tcPr>
          <w:p w14:paraId="6FFA63BD"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0.002</w:t>
            </w:r>
            <w:r w:rsidRPr="005B7CAC">
              <w:rPr>
                <w:rFonts w:ascii="Times New Roman" w:hAnsi="Times New Roman"/>
                <w:sz w:val="24"/>
                <w:szCs w:val="24"/>
                <w:vertAlign w:val="superscript"/>
              </w:rPr>
              <w:t>***</w:t>
            </w:r>
          </w:p>
        </w:tc>
        <w:tc>
          <w:tcPr>
            <w:tcW w:w="893" w:type="pct"/>
            <w:tcBorders>
              <w:top w:val="nil"/>
              <w:left w:val="nil"/>
              <w:bottom w:val="nil"/>
              <w:right w:val="nil"/>
            </w:tcBorders>
          </w:tcPr>
          <w:p w14:paraId="73D1412B"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0.006</w:t>
            </w:r>
            <w:r w:rsidRPr="005B7CAC">
              <w:rPr>
                <w:rFonts w:ascii="Times New Roman" w:hAnsi="Times New Roman"/>
                <w:sz w:val="24"/>
                <w:szCs w:val="24"/>
                <w:vertAlign w:val="superscript"/>
              </w:rPr>
              <w:t>***</w:t>
            </w:r>
          </w:p>
        </w:tc>
        <w:tc>
          <w:tcPr>
            <w:tcW w:w="893" w:type="pct"/>
            <w:tcBorders>
              <w:top w:val="nil"/>
              <w:left w:val="nil"/>
              <w:bottom w:val="nil"/>
              <w:right w:val="nil"/>
            </w:tcBorders>
          </w:tcPr>
          <w:p w14:paraId="3DBE0409"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0.008</w:t>
            </w:r>
            <w:r w:rsidRPr="005B7CAC">
              <w:rPr>
                <w:rFonts w:ascii="Times New Roman" w:hAnsi="Times New Roman"/>
                <w:sz w:val="24"/>
                <w:szCs w:val="24"/>
                <w:vertAlign w:val="superscript"/>
              </w:rPr>
              <w:t>***</w:t>
            </w:r>
          </w:p>
        </w:tc>
      </w:tr>
      <w:tr w:rsidR="005B7CAC" w:rsidRPr="005B7CAC" w14:paraId="07DDFCF2" w14:textId="77777777" w:rsidTr="00992F5F">
        <w:tc>
          <w:tcPr>
            <w:tcW w:w="1429" w:type="pct"/>
            <w:tcBorders>
              <w:top w:val="nil"/>
              <w:left w:val="nil"/>
              <w:bottom w:val="nil"/>
              <w:right w:val="nil"/>
            </w:tcBorders>
          </w:tcPr>
          <w:p w14:paraId="47D44728" w14:textId="77777777" w:rsidR="00523B11" w:rsidRPr="005B7CAC" w:rsidRDefault="00523B11" w:rsidP="00C90660">
            <w:pPr>
              <w:widowControl w:val="0"/>
              <w:autoSpaceDE w:val="0"/>
              <w:autoSpaceDN w:val="0"/>
              <w:adjustRightInd w:val="0"/>
              <w:spacing w:after="0" w:line="240" w:lineRule="auto"/>
              <w:rPr>
                <w:rFonts w:ascii="Times New Roman" w:hAnsi="Times New Roman"/>
                <w:sz w:val="24"/>
                <w:szCs w:val="24"/>
              </w:rPr>
            </w:pPr>
          </w:p>
        </w:tc>
        <w:tc>
          <w:tcPr>
            <w:tcW w:w="893" w:type="pct"/>
            <w:tcBorders>
              <w:top w:val="nil"/>
              <w:left w:val="nil"/>
              <w:bottom w:val="nil"/>
              <w:right w:val="nil"/>
            </w:tcBorders>
          </w:tcPr>
          <w:p w14:paraId="35BAAA6A"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(4.55)</w:t>
            </w:r>
          </w:p>
        </w:tc>
        <w:tc>
          <w:tcPr>
            <w:tcW w:w="893" w:type="pct"/>
            <w:tcBorders>
              <w:top w:val="nil"/>
              <w:left w:val="nil"/>
              <w:bottom w:val="nil"/>
              <w:right w:val="nil"/>
            </w:tcBorders>
          </w:tcPr>
          <w:p w14:paraId="55287907"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(4.59)</w:t>
            </w:r>
          </w:p>
        </w:tc>
        <w:tc>
          <w:tcPr>
            <w:tcW w:w="893" w:type="pct"/>
            <w:tcBorders>
              <w:top w:val="nil"/>
              <w:left w:val="nil"/>
              <w:bottom w:val="nil"/>
              <w:right w:val="nil"/>
            </w:tcBorders>
          </w:tcPr>
          <w:p w14:paraId="0CB7D731"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(6.17)</w:t>
            </w:r>
          </w:p>
        </w:tc>
        <w:tc>
          <w:tcPr>
            <w:tcW w:w="893" w:type="pct"/>
            <w:tcBorders>
              <w:top w:val="nil"/>
              <w:left w:val="nil"/>
              <w:bottom w:val="nil"/>
              <w:right w:val="nil"/>
            </w:tcBorders>
          </w:tcPr>
          <w:p w14:paraId="03C71785"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(6.79)</w:t>
            </w:r>
          </w:p>
        </w:tc>
      </w:tr>
      <w:tr w:rsidR="005B7CAC" w:rsidRPr="005B7CAC" w14:paraId="5D862861" w14:textId="77777777" w:rsidTr="00992F5F">
        <w:tc>
          <w:tcPr>
            <w:tcW w:w="1429" w:type="pct"/>
            <w:tcBorders>
              <w:top w:val="nil"/>
              <w:left w:val="nil"/>
              <w:bottom w:val="nil"/>
              <w:right w:val="nil"/>
            </w:tcBorders>
          </w:tcPr>
          <w:p w14:paraId="6A3D8928" w14:textId="77777777" w:rsidR="00523B11" w:rsidRPr="005B7CAC" w:rsidRDefault="00523B11"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SIZE</w:t>
            </w:r>
          </w:p>
        </w:tc>
        <w:tc>
          <w:tcPr>
            <w:tcW w:w="893" w:type="pct"/>
            <w:tcBorders>
              <w:top w:val="nil"/>
              <w:left w:val="nil"/>
              <w:bottom w:val="nil"/>
              <w:right w:val="nil"/>
            </w:tcBorders>
          </w:tcPr>
          <w:p w14:paraId="55C3BB0A"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-0.076</w:t>
            </w:r>
            <w:r w:rsidRPr="005B7CAC">
              <w:rPr>
                <w:rFonts w:ascii="Times New Roman" w:hAnsi="Times New Roman"/>
                <w:sz w:val="24"/>
                <w:szCs w:val="24"/>
                <w:vertAlign w:val="superscript"/>
              </w:rPr>
              <w:t>***</w:t>
            </w:r>
          </w:p>
        </w:tc>
        <w:tc>
          <w:tcPr>
            <w:tcW w:w="893" w:type="pct"/>
            <w:tcBorders>
              <w:top w:val="nil"/>
              <w:left w:val="nil"/>
              <w:bottom w:val="nil"/>
              <w:right w:val="nil"/>
            </w:tcBorders>
          </w:tcPr>
          <w:p w14:paraId="50EB63F8"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-0.083</w:t>
            </w:r>
            <w:r w:rsidRPr="005B7CAC">
              <w:rPr>
                <w:rFonts w:ascii="Times New Roman" w:hAnsi="Times New Roman"/>
                <w:sz w:val="24"/>
                <w:szCs w:val="24"/>
                <w:vertAlign w:val="superscript"/>
              </w:rPr>
              <w:t>***</w:t>
            </w:r>
          </w:p>
        </w:tc>
        <w:tc>
          <w:tcPr>
            <w:tcW w:w="893" w:type="pct"/>
            <w:tcBorders>
              <w:top w:val="nil"/>
              <w:left w:val="nil"/>
              <w:bottom w:val="nil"/>
              <w:right w:val="nil"/>
            </w:tcBorders>
          </w:tcPr>
          <w:p w14:paraId="71670C2A"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-0.115</w:t>
            </w:r>
            <w:r w:rsidRPr="005B7CAC">
              <w:rPr>
                <w:rFonts w:ascii="Times New Roman" w:hAnsi="Times New Roman"/>
                <w:sz w:val="24"/>
                <w:szCs w:val="24"/>
                <w:vertAlign w:val="superscript"/>
              </w:rPr>
              <w:t>***</w:t>
            </w:r>
          </w:p>
        </w:tc>
        <w:tc>
          <w:tcPr>
            <w:tcW w:w="893" w:type="pct"/>
            <w:tcBorders>
              <w:top w:val="nil"/>
              <w:left w:val="nil"/>
              <w:bottom w:val="nil"/>
              <w:right w:val="nil"/>
            </w:tcBorders>
          </w:tcPr>
          <w:p w14:paraId="194A96C1"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-0.124</w:t>
            </w:r>
            <w:r w:rsidRPr="005B7CAC">
              <w:rPr>
                <w:rFonts w:ascii="Times New Roman" w:hAnsi="Times New Roman"/>
                <w:sz w:val="24"/>
                <w:szCs w:val="24"/>
                <w:vertAlign w:val="superscript"/>
              </w:rPr>
              <w:t>***</w:t>
            </w:r>
          </w:p>
        </w:tc>
      </w:tr>
      <w:tr w:rsidR="005B7CAC" w:rsidRPr="005B7CAC" w14:paraId="38620270" w14:textId="77777777" w:rsidTr="00992F5F">
        <w:tc>
          <w:tcPr>
            <w:tcW w:w="1429" w:type="pct"/>
            <w:tcBorders>
              <w:top w:val="nil"/>
              <w:left w:val="nil"/>
              <w:bottom w:val="nil"/>
              <w:right w:val="nil"/>
            </w:tcBorders>
          </w:tcPr>
          <w:p w14:paraId="7EC7E8E7" w14:textId="77777777" w:rsidR="00523B11" w:rsidRPr="005B7CAC" w:rsidRDefault="00523B11" w:rsidP="00C90660">
            <w:pPr>
              <w:widowControl w:val="0"/>
              <w:autoSpaceDE w:val="0"/>
              <w:autoSpaceDN w:val="0"/>
              <w:adjustRightInd w:val="0"/>
              <w:spacing w:after="0" w:line="240" w:lineRule="auto"/>
              <w:rPr>
                <w:rFonts w:ascii="Times New Roman" w:hAnsi="Times New Roman"/>
                <w:sz w:val="24"/>
                <w:szCs w:val="24"/>
              </w:rPr>
            </w:pPr>
          </w:p>
        </w:tc>
        <w:tc>
          <w:tcPr>
            <w:tcW w:w="893" w:type="pct"/>
            <w:tcBorders>
              <w:top w:val="nil"/>
              <w:left w:val="nil"/>
              <w:bottom w:val="nil"/>
              <w:right w:val="nil"/>
            </w:tcBorders>
          </w:tcPr>
          <w:p w14:paraId="563ED3B0"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(-8.32)</w:t>
            </w:r>
          </w:p>
        </w:tc>
        <w:tc>
          <w:tcPr>
            <w:tcW w:w="893" w:type="pct"/>
            <w:tcBorders>
              <w:top w:val="nil"/>
              <w:left w:val="nil"/>
              <w:bottom w:val="nil"/>
              <w:right w:val="nil"/>
            </w:tcBorders>
          </w:tcPr>
          <w:p w14:paraId="434BE4D3"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(-8.39)</w:t>
            </w:r>
          </w:p>
        </w:tc>
        <w:tc>
          <w:tcPr>
            <w:tcW w:w="893" w:type="pct"/>
            <w:tcBorders>
              <w:top w:val="nil"/>
              <w:left w:val="nil"/>
              <w:bottom w:val="nil"/>
              <w:right w:val="nil"/>
            </w:tcBorders>
          </w:tcPr>
          <w:p w14:paraId="51963CFB"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(-5.65)</w:t>
            </w:r>
          </w:p>
        </w:tc>
        <w:tc>
          <w:tcPr>
            <w:tcW w:w="893" w:type="pct"/>
            <w:tcBorders>
              <w:top w:val="nil"/>
              <w:left w:val="nil"/>
              <w:bottom w:val="nil"/>
              <w:right w:val="nil"/>
            </w:tcBorders>
          </w:tcPr>
          <w:p w14:paraId="0BAE4A38"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(-5.76)</w:t>
            </w:r>
          </w:p>
        </w:tc>
      </w:tr>
      <w:tr w:rsidR="005B7CAC" w:rsidRPr="005B7CAC" w14:paraId="2311C969" w14:textId="77777777" w:rsidTr="00992F5F">
        <w:tc>
          <w:tcPr>
            <w:tcW w:w="1429" w:type="pct"/>
            <w:tcBorders>
              <w:top w:val="nil"/>
              <w:left w:val="nil"/>
              <w:bottom w:val="nil"/>
              <w:right w:val="nil"/>
            </w:tcBorders>
          </w:tcPr>
          <w:p w14:paraId="23045017" w14:textId="77777777" w:rsidR="00523B11" w:rsidRPr="005B7CAC" w:rsidRDefault="00523B11"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PROF</w:t>
            </w:r>
          </w:p>
        </w:tc>
        <w:tc>
          <w:tcPr>
            <w:tcW w:w="893" w:type="pct"/>
            <w:tcBorders>
              <w:top w:val="nil"/>
              <w:left w:val="nil"/>
              <w:bottom w:val="nil"/>
              <w:right w:val="nil"/>
            </w:tcBorders>
          </w:tcPr>
          <w:p w14:paraId="77814E2E"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0.086</w:t>
            </w:r>
            <w:r w:rsidRPr="005B7CAC">
              <w:rPr>
                <w:rFonts w:ascii="Times New Roman" w:hAnsi="Times New Roman"/>
                <w:sz w:val="24"/>
                <w:szCs w:val="24"/>
                <w:vertAlign w:val="superscript"/>
              </w:rPr>
              <w:t>***</w:t>
            </w:r>
          </w:p>
        </w:tc>
        <w:tc>
          <w:tcPr>
            <w:tcW w:w="893" w:type="pct"/>
            <w:tcBorders>
              <w:top w:val="nil"/>
              <w:left w:val="nil"/>
              <w:bottom w:val="nil"/>
              <w:right w:val="nil"/>
            </w:tcBorders>
          </w:tcPr>
          <w:p w14:paraId="36A13405"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0.074</w:t>
            </w:r>
            <w:r w:rsidRPr="005B7CAC">
              <w:rPr>
                <w:rFonts w:ascii="Times New Roman" w:hAnsi="Times New Roman"/>
                <w:sz w:val="24"/>
                <w:szCs w:val="24"/>
                <w:vertAlign w:val="superscript"/>
              </w:rPr>
              <w:t>***</w:t>
            </w:r>
          </w:p>
        </w:tc>
        <w:tc>
          <w:tcPr>
            <w:tcW w:w="893" w:type="pct"/>
            <w:tcBorders>
              <w:top w:val="nil"/>
              <w:left w:val="nil"/>
              <w:bottom w:val="nil"/>
              <w:right w:val="nil"/>
            </w:tcBorders>
          </w:tcPr>
          <w:p w14:paraId="615580A7"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0.499</w:t>
            </w:r>
            <w:r w:rsidRPr="005B7CAC">
              <w:rPr>
                <w:rFonts w:ascii="Times New Roman" w:hAnsi="Times New Roman"/>
                <w:sz w:val="24"/>
                <w:szCs w:val="24"/>
                <w:vertAlign w:val="superscript"/>
              </w:rPr>
              <w:t>***</w:t>
            </w:r>
          </w:p>
        </w:tc>
        <w:tc>
          <w:tcPr>
            <w:tcW w:w="893" w:type="pct"/>
            <w:tcBorders>
              <w:top w:val="nil"/>
              <w:left w:val="nil"/>
              <w:bottom w:val="nil"/>
              <w:right w:val="nil"/>
            </w:tcBorders>
          </w:tcPr>
          <w:p w14:paraId="28356288"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0.468</w:t>
            </w:r>
            <w:r w:rsidRPr="005B7CAC">
              <w:rPr>
                <w:rFonts w:ascii="Times New Roman" w:hAnsi="Times New Roman"/>
                <w:sz w:val="24"/>
                <w:szCs w:val="24"/>
                <w:vertAlign w:val="superscript"/>
              </w:rPr>
              <w:t>***</w:t>
            </w:r>
          </w:p>
        </w:tc>
      </w:tr>
      <w:tr w:rsidR="005B7CAC" w:rsidRPr="005B7CAC" w14:paraId="200CC333" w14:textId="77777777" w:rsidTr="00992F5F">
        <w:tc>
          <w:tcPr>
            <w:tcW w:w="1429" w:type="pct"/>
            <w:tcBorders>
              <w:top w:val="nil"/>
              <w:left w:val="nil"/>
              <w:bottom w:val="nil"/>
              <w:right w:val="nil"/>
            </w:tcBorders>
          </w:tcPr>
          <w:p w14:paraId="7C6877FD" w14:textId="77777777" w:rsidR="00523B11" w:rsidRPr="005B7CAC" w:rsidRDefault="00523B11" w:rsidP="00C90660">
            <w:pPr>
              <w:widowControl w:val="0"/>
              <w:autoSpaceDE w:val="0"/>
              <w:autoSpaceDN w:val="0"/>
              <w:adjustRightInd w:val="0"/>
              <w:spacing w:after="0" w:line="240" w:lineRule="auto"/>
              <w:rPr>
                <w:rFonts w:ascii="Times New Roman" w:hAnsi="Times New Roman"/>
                <w:sz w:val="24"/>
                <w:szCs w:val="24"/>
              </w:rPr>
            </w:pPr>
          </w:p>
        </w:tc>
        <w:tc>
          <w:tcPr>
            <w:tcW w:w="893" w:type="pct"/>
            <w:tcBorders>
              <w:top w:val="nil"/>
              <w:left w:val="nil"/>
              <w:bottom w:val="nil"/>
              <w:right w:val="nil"/>
            </w:tcBorders>
          </w:tcPr>
          <w:p w14:paraId="4ED0239D"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(4.67)</w:t>
            </w:r>
          </w:p>
        </w:tc>
        <w:tc>
          <w:tcPr>
            <w:tcW w:w="893" w:type="pct"/>
            <w:tcBorders>
              <w:top w:val="nil"/>
              <w:left w:val="nil"/>
              <w:bottom w:val="nil"/>
              <w:right w:val="nil"/>
            </w:tcBorders>
          </w:tcPr>
          <w:p w14:paraId="21F31DDF"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(4.22)</w:t>
            </w:r>
          </w:p>
        </w:tc>
        <w:tc>
          <w:tcPr>
            <w:tcW w:w="893" w:type="pct"/>
            <w:tcBorders>
              <w:top w:val="nil"/>
              <w:left w:val="nil"/>
              <w:bottom w:val="nil"/>
              <w:right w:val="nil"/>
            </w:tcBorders>
          </w:tcPr>
          <w:p w14:paraId="06CDB3B4"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(10.74)</w:t>
            </w:r>
          </w:p>
        </w:tc>
        <w:tc>
          <w:tcPr>
            <w:tcW w:w="893" w:type="pct"/>
            <w:tcBorders>
              <w:top w:val="nil"/>
              <w:left w:val="nil"/>
              <w:bottom w:val="nil"/>
              <w:right w:val="nil"/>
            </w:tcBorders>
          </w:tcPr>
          <w:p w14:paraId="1C73C301"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(10.50)</w:t>
            </w:r>
          </w:p>
        </w:tc>
      </w:tr>
      <w:tr w:rsidR="005B7CAC" w:rsidRPr="005B7CAC" w14:paraId="1B4DE329" w14:textId="77777777" w:rsidTr="00992F5F">
        <w:tc>
          <w:tcPr>
            <w:tcW w:w="1429" w:type="pct"/>
            <w:tcBorders>
              <w:top w:val="nil"/>
              <w:left w:val="nil"/>
              <w:bottom w:val="nil"/>
              <w:right w:val="nil"/>
            </w:tcBorders>
          </w:tcPr>
          <w:p w14:paraId="24A93A18" w14:textId="77777777" w:rsidR="00523B11" w:rsidRPr="005B7CAC" w:rsidRDefault="00523B11"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LVRG</w:t>
            </w:r>
          </w:p>
        </w:tc>
        <w:tc>
          <w:tcPr>
            <w:tcW w:w="893" w:type="pct"/>
            <w:tcBorders>
              <w:top w:val="nil"/>
              <w:left w:val="nil"/>
              <w:bottom w:val="nil"/>
              <w:right w:val="nil"/>
            </w:tcBorders>
          </w:tcPr>
          <w:p w14:paraId="0B2677E6"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-0.007</w:t>
            </w:r>
            <w:r w:rsidRPr="005B7CAC">
              <w:rPr>
                <w:rFonts w:ascii="Times New Roman" w:hAnsi="Times New Roman"/>
                <w:sz w:val="24"/>
                <w:szCs w:val="24"/>
                <w:vertAlign w:val="superscript"/>
              </w:rPr>
              <w:t>***</w:t>
            </w:r>
          </w:p>
        </w:tc>
        <w:tc>
          <w:tcPr>
            <w:tcW w:w="893" w:type="pct"/>
            <w:tcBorders>
              <w:top w:val="nil"/>
              <w:left w:val="nil"/>
              <w:bottom w:val="nil"/>
              <w:right w:val="nil"/>
            </w:tcBorders>
          </w:tcPr>
          <w:p w14:paraId="5DD2697A"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-0.006</w:t>
            </w:r>
            <w:r w:rsidRPr="005B7CAC">
              <w:rPr>
                <w:rFonts w:ascii="Times New Roman" w:hAnsi="Times New Roman"/>
                <w:sz w:val="24"/>
                <w:szCs w:val="24"/>
                <w:vertAlign w:val="superscript"/>
              </w:rPr>
              <w:t>***</w:t>
            </w:r>
          </w:p>
        </w:tc>
        <w:tc>
          <w:tcPr>
            <w:tcW w:w="893" w:type="pct"/>
            <w:tcBorders>
              <w:top w:val="nil"/>
              <w:left w:val="nil"/>
              <w:bottom w:val="nil"/>
              <w:right w:val="nil"/>
            </w:tcBorders>
          </w:tcPr>
          <w:p w14:paraId="6C254CA0"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-0.022</w:t>
            </w:r>
            <w:r w:rsidRPr="005B7CAC">
              <w:rPr>
                <w:rFonts w:ascii="Times New Roman" w:hAnsi="Times New Roman"/>
                <w:sz w:val="24"/>
                <w:szCs w:val="24"/>
                <w:vertAlign w:val="superscript"/>
              </w:rPr>
              <w:t>***</w:t>
            </w:r>
          </w:p>
        </w:tc>
        <w:tc>
          <w:tcPr>
            <w:tcW w:w="893" w:type="pct"/>
            <w:tcBorders>
              <w:top w:val="nil"/>
              <w:left w:val="nil"/>
              <w:bottom w:val="nil"/>
              <w:right w:val="nil"/>
            </w:tcBorders>
          </w:tcPr>
          <w:p w14:paraId="6DF99820"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-0.021</w:t>
            </w:r>
            <w:r w:rsidRPr="005B7CAC">
              <w:rPr>
                <w:rFonts w:ascii="Times New Roman" w:hAnsi="Times New Roman"/>
                <w:sz w:val="24"/>
                <w:szCs w:val="24"/>
                <w:vertAlign w:val="superscript"/>
              </w:rPr>
              <w:t>***</w:t>
            </w:r>
          </w:p>
        </w:tc>
      </w:tr>
      <w:tr w:rsidR="005B7CAC" w:rsidRPr="005B7CAC" w14:paraId="4FC0A783" w14:textId="77777777" w:rsidTr="00992F5F">
        <w:tc>
          <w:tcPr>
            <w:tcW w:w="1429" w:type="pct"/>
            <w:tcBorders>
              <w:top w:val="nil"/>
              <w:left w:val="nil"/>
              <w:bottom w:val="nil"/>
              <w:right w:val="nil"/>
            </w:tcBorders>
          </w:tcPr>
          <w:p w14:paraId="16106627" w14:textId="77777777" w:rsidR="00523B11" w:rsidRPr="005B7CAC" w:rsidRDefault="00523B11" w:rsidP="00C90660">
            <w:pPr>
              <w:widowControl w:val="0"/>
              <w:autoSpaceDE w:val="0"/>
              <w:autoSpaceDN w:val="0"/>
              <w:adjustRightInd w:val="0"/>
              <w:spacing w:after="0" w:line="240" w:lineRule="auto"/>
              <w:rPr>
                <w:rFonts w:ascii="Times New Roman" w:hAnsi="Times New Roman"/>
                <w:sz w:val="24"/>
                <w:szCs w:val="24"/>
              </w:rPr>
            </w:pPr>
          </w:p>
        </w:tc>
        <w:tc>
          <w:tcPr>
            <w:tcW w:w="893" w:type="pct"/>
            <w:tcBorders>
              <w:top w:val="nil"/>
              <w:left w:val="nil"/>
              <w:bottom w:val="nil"/>
              <w:right w:val="nil"/>
            </w:tcBorders>
          </w:tcPr>
          <w:p w14:paraId="0E2B99DF"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(-12.19)</w:t>
            </w:r>
          </w:p>
        </w:tc>
        <w:tc>
          <w:tcPr>
            <w:tcW w:w="893" w:type="pct"/>
            <w:tcBorders>
              <w:top w:val="nil"/>
              <w:left w:val="nil"/>
              <w:bottom w:val="nil"/>
              <w:right w:val="nil"/>
            </w:tcBorders>
          </w:tcPr>
          <w:p w14:paraId="39BAC03A"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(-10.58)</w:t>
            </w:r>
          </w:p>
        </w:tc>
        <w:tc>
          <w:tcPr>
            <w:tcW w:w="893" w:type="pct"/>
            <w:tcBorders>
              <w:top w:val="nil"/>
              <w:left w:val="nil"/>
              <w:bottom w:val="nil"/>
              <w:right w:val="nil"/>
            </w:tcBorders>
          </w:tcPr>
          <w:p w14:paraId="4C6D3E19"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(-18.75)</w:t>
            </w:r>
          </w:p>
        </w:tc>
        <w:tc>
          <w:tcPr>
            <w:tcW w:w="893" w:type="pct"/>
            <w:tcBorders>
              <w:top w:val="nil"/>
              <w:left w:val="nil"/>
              <w:bottom w:val="nil"/>
              <w:right w:val="nil"/>
            </w:tcBorders>
          </w:tcPr>
          <w:p w14:paraId="15F4146F"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(-16.83)</w:t>
            </w:r>
          </w:p>
        </w:tc>
      </w:tr>
      <w:tr w:rsidR="005B7CAC" w:rsidRPr="005B7CAC" w14:paraId="31EEF988" w14:textId="77777777" w:rsidTr="00992F5F">
        <w:tc>
          <w:tcPr>
            <w:tcW w:w="1429" w:type="pct"/>
            <w:tcBorders>
              <w:top w:val="nil"/>
              <w:left w:val="nil"/>
              <w:bottom w:val="nil"/>
              <w:right w:val="nil"/>
            </w:tcBorders>
          </w:tcPr>
          <w:p w14:paraId="2CE7277B" w14:textId="77777777" w:rsidR="00523B11" w:rsidRPr="005B7CAC" w:rsidRDefault="00523B11"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SLCK</w:t>
            </w:r>
          </w:p>
        </w:tc>
        <w:tc>
          <w:tcPr>
            <w:tcW w:w="893" w:type="pct"/>
            <w:tcBorders>
              <w:top w:val="nil"/>
              <w:left w:val="nil"/>
              <w:bottom w:val="nil"/>
              <w:right w:val="nil"/>
            </w:tcBorders>
          </w:tcPr>
          <w:p w14:paraId="3AE259D3"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0.893</w:t>
            </w:r>
            <w:r w:rsidRPr="005B7CAC">
              <w:rPr>
                <w:rFonts w:ascii="Times New Roman" w:hAnsi="Times New Roman"/>
                <w:sz w:val="24"/>
                <w:szCs w:val="24"/>
                <w:vertAlign w:val="superscript"/>
              </w:rPr>
              <w:t>***</w:t>
            </w:r>
          </w:p>
        </w:tc>
        <w:tc>
          <w:tcPr>
            <w:tcW w:w="893" w:type="pct"/>
            <w:tcBorders>
              <w:top w:val="nil"/>
              <w:left w:val="nil"/>
              <w:bottom w:val="nil"/>
              <w:right w:val="nil"/>
            </w:tcBorders>
          </w:tcPr>
          <w:p w14:paraId="189CB9B7"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1.020</w:t>
            </w:r>
            <w:r w:rsidRPr="005B7CAC">
              <w:rPr>
                <w:rFonts w:ascii="Times New Roman" w:hAnsi="Times New Roman"/>
                <w:sz w:val="24"/>
                <w:szCs w:val="24"/>
                <w:vertAlign w:val="superscript"/>
              </w:rPr>
              <w:t>***</w:t>
            </w:r>
          </w:p>
        </w:tc>
        <w:tc>
          <w:tcPr>
            <w:tcW w:w="893" w:type="pct"/>
            <w:tcBorders>
              <w:top w:val="nil"/>
              <w:left w:val="nil"/>
              <w:bottom w:val="nil"/>
              <w:right w:val="nil"/>
            </w:tcBorders>
          </w:tcPr>
          <w:p w14:paraId="4F8D4E96"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0.637</w:t>
            </w:r>
            <w:r w:rsidRPr="005B7CAC">
              <w:rPr>
                <w:rFonts w:ascii="Times New Roman" w:hAnsi="Times New Roman"/>
                <w:sz w:val="24"/>
                <w:szCs w:val="24"/>
                <w:vertAlign w:val="superscript"/>
              </w:rPr>
              <w:t>**</w:t>
            </w:r>
          </w:p>
        </w:tc>
        <w:tc>
          <w:tcPr>
            <w:tcW w:w="893" w:type="pct"/>
            <w:tcBorders>
              <w:top w:val="nil"/>
              <w:left w:val="nil"/>
              <w:bottom w:val="nil"/>
              <w:right w:val="nil"/>
            </w:tcBorders>
          </w:tcPr>
          <w:p w14:paraId="7B0CB7AA"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1.028</w:t>
            </w:r>
            <w:r w:rsidRPr="005B7CAC">
              <w:rPr>
                <w:rFonts w:ascii="Times New Roman" w:hAnsi="Times New Roman"/>
                <w:sz w:val="24"/>
                <w:szCs w:val="24"/>
                <w:vertAlign w:val="superscript"/>
              </w:rPr>
              <w:t>***</w:t>
            </w:r>
          </w:p>
        </w:tc>
      </w:tr>
      <w:tr w:rsidR="005B7CAC" w:rsidRPr="005B7CAC" w14:paraId="52F09DB1" w14:textId="77777777" w:rsidTr="00992F5F">
        <w:tc>
          <w:tcPr>
            <w:tcW w:w="1429" w:type="pct"/>
            <w:tcBorders>
              <w:top w:val="nil"/>
              <w:left w:val="nil"/>
              <w:bottom w:val="nil"/>
              <w:right w:val="nil"/>
            </w:tcBorders>
          </w:tcPr>
          <w:p w14:paraId="37E7AB27" w14:textId="77777777" w:rsidR="00523B11" w:rsidRPr="005B7CAC" w:rsidRDefault="00523B11" w:rsidP="00C90660">
            <w:pPr>
              <w:widowControl w:val="0"/>
              <w:autoSpaceDE w:val="0"/>
              <w:autoSpaceDN w:val="0"/>
              <w:adjustRightInd w:val="0"/>
              <w:spacing w:after="0" w:line="240" w:lineRule="auto"/>
              <w:rPr>
                <w:rFonts w:ascii="Times New Roman" w:hAnsi="Times New Roman"/>
                <w:sz w:val="24"/>
                <w:szCs w:val="24"/>
              </w:rPr>
            </w:pPr>
          </w:p>
        </w:tc>
        <w:tc>
          <w:tcPr>
            <w:tcW w:w="893" w:type="pct"/>
            <w:tcBorders>
              <w:top w:val="nil"/>
              <w:left w:val="nil"/>
              <w:bottom w:val="nil"/>
              <w:right w:val="nil"/>
            </w:tcBorders>
          </w:tcPr>
          <w:p w14:paraId="4D9DBB5A"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(5.84)</w:t>
            </w:r>
          </w:p>
        </w:tc>
        <w:tc>
          <w:tcPr>
            <w:tcW w:w="893" w:type="pct"/>
            <w:tcBorders>
              <w:top w:val="nil"/>
              <w:left w:val="nil"/>
              <w:bottom w:val="nil"/>
              <w:right w:val="nil"/>
            </w:tcBorders>
          </w:tcPr>
          <w:p w14:paraId="372950C6"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(5.54)</w:t>
            </w:r>
          </w:p>
        </w:tc>
        <w:tc>
          <w:tcPr>
            <w:tcW w:w="893" w:type="pct"/>
            <w:tcBorders>
              <w:top w:val="nil"/>
              <w:left w:val="nil"/>
              <w:bottom w:val="nil"/>
              <w:right w:val="nil"/>
            </w:tcBorders>
          </w:tcPr>
          <w:p w14:paraId="470C970B"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(2.33)</w:t>
            </w:r>
          </w:p>
        </w:tc>
        <w:tc>
          <w:tcPr>
            <w:tcW w:w="893" w:type="pct"/>
            <w:tcBorders>
              <w:top w:val="nil"/>
              <w:left w:val="nil"/>
              <w:bottom w:val="nil"/>
              <w:right w:val="nil"/>
            </w:tcBorders>
          </w:tcPr>
          <w:p w14:paraId="490B560A"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(3.23)</w:t>
            </w:r>
          </w:p>
        </w:tc>
      </w:tr>
      <w:tr w:rsidR="005B7CAC" w:rsidRPr="005B7CAC" w14:paraId="45FB86E3" w14:textId="77777777" w:rsidTr="00992F5F">
        <w:tc>
          <w:tcPr>
            <w:tcW w:w="1429" w:type="pct"/>
            <w:tcBorders>
              <w:top w:val="nil"/>
              <w:left w:val="nil"/>
              <w:bottom w:val="nil"/>
              <w:right w:val="nil"/>
            </w:tcBorders>
          </w:tcPr>
          <w:p w14:paraId="73DE63E4" w14:textId="77777777" w:rsidR="00523B11" w:rsidRPr="005B7CAC" w:rsidRDefault="00523B11"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CPIN</w:t>
            </w:r>
          </w:p>
        </w:tc>
        <w:tc>
          <w:tcPr>
            <w:tcW w:w="893" w:type="pct"/>
            <w:tcBorders>
              <w:top w:val="nil"/>
              <w:left w:val="nil"/>
              <w:bottom w:val="nil"/>
              <w:right w:val="nil"/>
            </w:tcBorders>
          </w:tcPr>
          <w:p w14:paraId="35AB24CE"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-0.391</w:t>
            </w:r>
            <w:r w:rsidRPr="005B7CAC">
              <w:rPr>
                <w:rFonts w:ascii="Times New Roman" w:hAnsi="Times New Roman"/>
                <w:sz w:val="24"/>
                <w:szCs w:val="24"/>
                <w:vertAlign w:val="superscript"/>
              </w:rPr>
              <w:t>***</w:t>
            </w:r>
          </w:p>
        </w:tc>
        <w:tc>
          <w:tcPr>
            <w:tcW w:w="893" w:type="pct"/>
            <w:tcBorders>
              <w:top w:val="nil"/>
              <w:left w:val="nil"/>
              <w:bottom w:val="nil"/>
              <w:right w:val="nil"/>
            </w:tcBorders>
          </w:tcPr>
          <w:p w14:paraId="01AFB9CC"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-0.388</w:t>
            </w:r>
            <w:r w:rsidRPr="005B7CAC">
              <w:rPr>
                <w:rFonts w:ascii="Times New Roman" w:hAnsi="Times New Roman"/>
                <w:sz w:val="24"/>
                <w:szCs w:val="24"/>
                <w:vertAlign w:val="superscript"/>
              </w:rPr>
              <w:t>***</w:t>
            </w:r>
          </w:p>
        </w:tc>
        <w:tc>
          <w:tcPr>
            <w:tcW w:w="893" w:type="pct"/>
            <w:tcBorders>
              <w:top w:val="nil"/>
              <w:left w:val="nil"/>
              <w:bottom w:val="nil"/>
              <w:right w:val="nil"/>
            </w:tcBorders>
          </w:tcPr>
          <w:p w14:paraId="4D777B1C"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-0.259</w:t>
            </w:r>
            <w:r w:rsidRPr="005B7CAC">
              <w:rPr>
                <w:rFonts w:ascii="Times New Roman" w:hAnsi="Times New Roman"/>
                <w:sz w:val="24"/>
                <w:szCs w:val="24"/>
                <w:vertAlign w:val="superscript"/>
              </w:rPr>
              <w:t>***</w:t>
            </w:r>
          </w:p>
        </w:tc>
        <w:tc>
          <w:tcPr>
            <w:tcW w:w="893" w:type="pct"/>
            <w:tcBorders>
              <w:top w:val="nil"/>
              <w:left w:val="nil"/>
              <w:bottom w:val="nil"/>
              <w:right w:val="nil"/>
            </w:tcBorders>
          </w:tcPr>
          <w:p w14:paraId="7BBABD42"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-0.275</w:t>
            </w:r>
            <w:r w:rsidRPr="005B7CAC">
              <w:rPr>
                <w:rFonts w:ascii="Times New Roman" w:hAnsi="Times New Roman"/>
                <w:sz w:val="24"/>
                <w:szCs w:val="24"/>
                <w:vertAlign w:val="superscript"/>
              </w:rPr>
              <w:t>***</w:t>
            </w:r>
          </w:p>
        </w:tc>
      </w:tr>
      <w:tr w:rsidR="005B7CAC" w:rsidRPr="005B7CAC" w14:paraId="4A9667AB" w14:textId="77777777" w:rsidTr="00992F5F">
        <w:tc>
          <w:tcPr>
            <w:tcW w:w="1429" w:type="pct"/>
            <w:tcBorders>
              <w:top w:val="nil"/>
              <w:left w:val="nil"/>
              <w:bottom w:val="nil"/>
              <w:right w:val="nil"/>
            </w:tcBorders>
          </w:tcPr>
          <w:p w14:paraId="5D727A52" w14:textId="77777777" w:rsidR="00523B11" w:rsidRPr="005B7CAC" w:rsidRDefault="00523B11" w:rsidP="00C90660">
            <w:pPr>
              <w:widowControl w:val="0"/>
              <w:autoSpaceDE w:val="0"/>
              <w:autoSpaceDN w:val="0"/>
              <w:adjustRightInd w:val="0"/>
              <w:spacing w:after="0" w:line="240" w:lineRule="auto"/>
              <w:rPr>
                <w:rFonts w:ascii="Times New Roman" w:hAnsi="Times New Roman"/>
                <w:sz w:val="24"/>
                <w:szCs w:val="24"/>
              </w:rPr>
            </w:pPr>
          </w:p>
        </w:tc>
        <w:tc>
          <w:tcPr>
            <w:tcW w:w="893" w:type="pct"/>
            <w:tcBorders>
              <w:top w:val="nil"/>
              <w:left w:val="nil"/>
              <w:bottom w:val="nil"/>
              <w:right w:val="nil"/>
            </w:tcBorders>
          </w:tcPr>
          <w:p w14:paraId="0BCB7D0D"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(-10.04)</w:t>
            </w:r>
          </w:p>
        </w:tc>
        <w:tc>
          <w:tcPr>
            <w:tcW w:w="893" w:type="pct"/>
            <w:tcBorders>
              <w:top w:val="nil"/>
              <w:left w:val="nil"/>
              <w:bottom w:val="nil"/>
              <w:right w:val="nil"/>
            </w:tcBorders>
          </w:tcPr>
          <w:p w14:paraId="1889065C"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(-9.25)</w:t>
            </w:r>
          </w:p>
        </w:tc>
        <w:tc>
          <w:tcPr>
            <w:tcW w:w="893" w:type="pct"/>
            <w:tcBorders>
              <w:top w:val="nil"/>
              <w:left w:val="nil"/>
              <w:bottom w:val="nil"/>
              <w:right w:val="nil"/>
            </w:tcBorders>
          </w:tcPr>
          <w:p w14:paraId="5BC5B875"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(-3.46)</w:t>
            </w:r>
          </w:p>
        </w:tc>
        <w:tc>
          <w:tcPr>
            <w:tcW w:w="893" w:type="pct"/>
            <w:tcBorders>
              <w:top w:val="nil"/>
              <w:left w:val="nil"/>
              <w:bottom w:val="nil"/>
              <w:right w:val="nil"/>
            </w:tcBorders>
          </w:tcPr>
          <w:p w14:paraId="4B4253D1" w14:textId="77777777" w:rsidR="00523B11" w:rsidRPr="005B7CAC" w:rsidRDefault="00523B1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(-3.41)</w:t>
            </w:r>
          </w:p>
        </w:tc>
      </w:tr>
      <w:tr w:rsidR="005B7CAC" w:rsidRPr="005B7CAC" w14:paraId="156BEA2B" w14:textId="77777777" w:rsidTr="00992F5F">
        <w:tc>
          <w:tcPr>
            <w:tcW w:w="1429" w:type="pct"/>
            <w:tcBorders>
              <w:top w:val="nil"/>
              <w:left w:val="nil"/>
              <w:bottom w:val="nil"/>
              <w:right w:val="nil"/>
            </w:tcBorders>
          </w:tcPr>
          <w:p w14:paraId="1A3F44D2" w14:textId="41E3D88B" w:rsidR="00534D17" w:rsidRPr="005B7CAC" w:rsidRDefault="00534D17" w:rsidP="00534D17">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lang w:val="en-US"/>
              </w:rPr>
              <w:t>Year FE</w:t>
            </w:r>
          </w:p>
        </w:tc>
        <w:tc>
          <w:tcPr>
            <w:tcW w:w="893" w:type="pct"/>
            <w:tcBorders>
              <w:top w:val="nil"/>
              <w:left w:val="nil"/>
              <w:bottom w:val="nil"/>
              <w:right w:val="nil"/>
            </w:tcBorders>
          </w:tcPr>
          <w:p w14:paraId="083FE384" w14:textId="0CB31997" w:rsidR="00534D17" w:rsidRPr="005B7CAC" w:rsidRDefault="00534D17" w:rsidP="00534D17">
            <w:pPr>
              <w:widowControl w:val="0"/>
              <w:autoSpaceDE w:val="0"/>
              <w:autoSpaceDN w:val="0"/>
              <w:adjustRightInd w:val="0"/>
              <w:spacing w:after="0" w:line="240" w:lineRule="auto"/>
              <w:jc w:val="center"/>
              <w:rPr>
                <w:rFonts w:ascii="Times New Roman" w:hAnsi="Times New Roman"/>
                <w:sz w:val="24"/>
                <w:szCs w:val="24"/>
                <w:lang w:val="en-US"/>
              </w:rPr>
            </w:pPr>
            <w:r w:rsidRPr="005B7CAC">
              <w:rPr>
                <w:rFonts w:ascii="Times New Roman" w:hAnsi="Times New Roman"/>
                <w:sz w:val="24"/>
                <w:szCs w:val="24"/>
                <w:lang w:val="en-US"/>
              </w:rPr>
              <w:t>Yes</w:t>
            </w:r>
          </w:p>
        </w:tc>
        <w:tc>
          <w:tcPr>
            <w:tcW w:w="893" w:type="pct"/>
            <w:tcBorders>
              <w:top w:val="nil"/>
              <w:left w:val="nil"/>
              <w:bottom w:val="nil"/>
              <w:right w:val="nil"/>
            </w:tcBorders>
          </w:tcPr>
          <w:p w14:paraId="1607ED69" w14:textId="7DDA51F8" w:rsidR="00534D17" w:rsidRPr="005B7CAC" w:rsidRDefault="00534D17" w:rsidP="00534D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Yes</w:t>
            </w:r>
          </w:p>
        </w:tc>
        <w:tc>
          <w:tcPr>
            <w:tcW w:w="893" w:type="pct"/>
            <w:tcBorders>
              <w:top w:val="nil"/>
              <w:left w:val="nil"/>
              <w:bottom w:val="nil"/>
              <w:right w:val="nil"/>
            </w:tcBorders>
          </w:tcPr>
          <w:p w14:paraId="492BA04C" w14:textId="22DE6A92" w:rsidR="00534D17" w:rsidRPr="005B7CAC" w:rsidRDefault="00534D17" w:rsidP="00534D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Yes</w:t>
            </w:r>
          </w:p>
        </w:tc>
        <w:tc>
          <w:tcPr>
            <w:tcW w:w="893" w:type="pct"/>
            <w:tcBorders>
              <w:top w:val="nil"/>
              <w:left w:val="nil"/>
              <w:bottom w:val="nil"/>
              <w:right w:val="nil"/>
            </w:tcBorders>
          </w:tcPr>
          <w:p w14:paraId="29B16491" w14:textId="11DC14C7" w:rsidR="00534D17" w:rsidRPr="005B7CAC" w:rsidRDefault="00534D17" w:rsidP="00534D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Yes</w:t>
            </w:r>
          </w:p>
        </w:tc>
      </w:tr>
      <w:tr w:rsidR="005B7CAC" w:rsidRPr="005B7CAC" w14:paraId="32D1BE11" w14:textId="77777777" w:rsidTr="00992F5F">
        <w:tc>
          <w:tcPr>
            <w:tcW w:w="1429" w:type="pct"/>
            <w:tcBorders>
              <w:top w:val="nil"/>
              <w:left w:val="nil"/>
              <w:bottom w:val="nil"/>
              <w:right w:val="nil"/>
            </w:tcBorders>
          </w:tcPr>
          <w:p w14:paraId="01E6C609" w14:textId="340D0E87" w:rsidR="00534D17" w:rsidRPr="005B7CAC" w:rsidRDefault="00534D17" w:rsidP="00534D17">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lang w:val="en-US"/>
              </w:rPr>
              <w:t>Industry FE</w:t>
            </w:r>
          </w:p>
        </w:tc>
        <w:tc>
          <w:tcPr>
            <w:tcW w:w="893" w:type="pct"/>
            <w:tcBorders>
              <w:top w:val="nil"/>
              <w:left w:val="nil"/>
              <w:bottom w:val="nil"/>
              <w:right w:val="nil"/>
            </w:tcBorders>
          </w:tcPr>
          <w:p w14:paraId="0D47F92D" w14:textId="250E60AD" w:rsidR="00534D17" w:rsidRPr="005B7CAC" w:rsidRDefault="00534D17" w:rsidP="00534D17">
            <w:pPr>
              <w:widowControl w:val="0"/>
              <w:autoSpaceDE w:val="0"/>
              <w:autoSpaceDN w:val="0"/>
              <w:adjustRightInd w:val="0"/>
              <w:spacing w:after="0" w:line="240" w:lineRule="auto"/>
              <w:jc w:val="center"/>
              <w:rPr>
                <w:rFonts w:ascii="Times New Roman" w:hAnsi="Times New Roman"/>
                <w:sz w:val="24"/>
                <w:szCs w:val="24"/>
                <w:lang w:val="en-US"/>
              </w:rPr>
            </w:pPr>
            <w:r w:rsidRPr="005B7CAC">
              <w:rPr>
                <w:rFonts w:ascii="Times New Roman" w:hAnsi="Times New Roman"/>
                <w:sz w:val="24"/>
                <w:szCs w:val="24"/>
                <w:lang w:val="en-US"/>
              </w:rPr>
              <w:t>Yes</w:t>
            </w:r>
          </w:p>
        </w:tc>
        <w:tc>
          <w:tcPr>
            <w:tcW w:w="893" w:type="pct"/>
            <w:tcBorders>
              <w:top w:val="nil"/>
              <w:left w:val="nil"/>
              <w:bottom w:val="nil"/>
              <w:right w:val="nil"/>
            </w:tcBorders>
          </w:tcPr>
          <w:p w14:paraId="1D2EE5C7" w14:textId="3B87A203" w:rsidR="00534D17" w:rsidRPr="005B7CAC" w:rsidRDefault="00534D17" w:rsidP="00534D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Yes</w:t>
            </w:r>
          </w:p>
        </w:tc>
        <w:tc>
          <w:tcPr>
            <w:tcW w:w="893" w:type="pct"/>
            <w:tcBorders>
              <w:top w:val="nil"/>
              <w:left w:val="nil"/>
              <w:bottom w:val="nil"/>
              <w:right w:val="nil"/>
            </w:tcBorders>
          </w:tcPr>
          <w:p w14:paraId="2B31D721" w14:textId="49AB22F4" w:rsidR="00534D17" w:rsidRPr="005B7CAC" w:rsidRDefault="00534D17" w:rsidP="00534D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Yes</w:t>
            </w:r>
          </w:p>
        </w:tc>
        <w:tc>
          <w:tcPr>
            <w:tcW w:w="893" w:type="pct"/>
            <w:tcBorders>
              <w:top w:val="nil"/>
              <w:left w:val="nil"/>
              <w:bottom w:val="nil"/>
              <w:right w:val="nil"/>
            </w:tcBorders>
          </w:tcPr>
          <w:p w14:paraId="3216E165" w14:textId="4315E38B" w:rsidR="00534D17" w:rsidRPr="005B7CAC" w:rsidRDefault="00534D17" w:rsidP="00534D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Yes</w:t>
            </w:r>
          </w:p>
        </w:tc>
      </w:tr>
      <w:tr w:rsidR="005B7CAC" w:rsidRPr="005B7CAC" w14:paraId="6B31C87A" w14:textId="77777777" w:rsidTr="00992F5F">
        <w:tc>
          <w:tcPr>
            <w:tcW w:w="1429" w:type="pct"/>
            <w:tcBorders>
              <w:top w:val="nil"/>
              <w:left w:val="nil"/>
              <w:bottom w:val="nil"/>
              <w:right w:val="nil"/>
            </w:tcBorders>
          </w:tcPr>
          <w:p w14:paraId="0713F6CC" w14:textId="4F4822E1" w:rsidR="00534D17" w:rsidRPr="005B7CAC" w:rsidRDefault="00534D17" w:rsidP="00534D17">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lang w:val="en-US"/>
              </w:rPr>
              <w:t>Constant</w:t>
            </w:r>
          </w:p>
        </w:tc>
        <w:tc>
          <w:tcPr>
            <w:tcW w:w="893" w:type="pct"/>
            <w:tcBorders>
              <w:top w:val="nil"/>
              <w:left w:val="nil"/>
              <w:bottom w:val="nil"/>
              <w:right w:val="nil"/>
            </w:tcBorders>
          </w:tcPr>
          <w:p w14:paraId="23EFA443" w14:textId="77777777" w:rsidR="00534D17" w:rsidRPr="005B7CAC" w:rsidRDefault="00534D17" w:rsidP="00534D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2.381</w:t>
            </w:r>
            <w:r w:rsidRPr="005B7CAC">
              <w:rPr>
                <w:rFonts w:ascii="Times New Roman" w:hAnsi="Times New Roman"/>
                <w:sz w:val="24"/>
                <w:szCs w:val="24"/>
                <w:vertAlign w:val="superscript"/>
              </w:rPr>
              <w:t>***</w:t>
            </w:r>
          </w:p>
        </w:tc>
        <w:tc>
          <w:tcPr>
            <w:tcW w:w="893" w:type="pct"/>
            <w:tcBorders>
              <w:top w:val="nil"/>
              <w:left w:val="nil"/>
              <w:bottom w:val="nil"/>
              <w:right w:val="nil"/>
            </w:tcBorders>
          </w:tcPr>
          <w:p w14:paraId="3B7D6200" w14:textId="77777777" w:rsidR="00534D17" w:rsidRPr="005B7CAC" w:rsidRDefault="00534D17" w:rsidP="00534D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2.265</w:t>
            </w:r>
            <w:r w:rsidRPr="005B7CAC">
              <w:rPr>
                <w:rFonts w:ascii="Times New Roman" w:hAnsi="Times New Roman"/>
                <w:sz w:val="24"/>
                <w:szCs w:val="24"/>
                <w:vertAlign w:val="superscript"/>
              </w:rPr>
              <w:t>***</w:t>
            </w:r>
          </w:p>
        </w:tc>
        <w:tc>
          <w:tcPr>
            <w:tcW w:w="893" w:type="pct"/>
            <w:tcBorders>
              <w:top w:val="nil"/>
              <w:left w:val="nil"/>
              <w:bottom w:val="nil"/>
              <w:right w:val="nil"/>
            </w:tcBorders>
          </w:tcPr>
          <w:p w14:paraId="542574AA" w14:textId="77777777" w:rsidR="00534D17" w:rsidRPr="005B7CAC" w:rsidRDefault="00534D17" w:rsidP="00534D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4.608</w:t>
            </w:r>
            <w:r w:rsidRPr="005B7CAC">
              <w:rPr>
                <w:rFonts w:ascii="Times New Roman" w:hAnsi="Times New Roman"/>
                <w:sz w:val="24"/>
                <w:szCs w:val="24"/>
                <w:vertAlign w:val="superscript"/>
              </w:rPr>
              <w:t>***</w:t>
            </w:r>
          </w:p>
        </w:tc>
        <w:tc>
          <w:tcPr>
            <w:tcW w:w="893" w:type="pct"/>
            <w:tcBorders>
              <w:top w:val="nil"/>
              <w:left w:val="nil"/>
              <w:bottom w:val="nil"/>
              <w:right w:val="nil"/>
            </w:tcBorders>
          </w:tcPr>
          <w:p w14:paraId="3BF96F5B" w14:textId="77777777" w:rsidR="00534D17" w:rsidRPr="005B7CAC" w:rsidRDefault="00534D17" w:rsidP="00534D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4.317</w:t>
            </w:r>
            <w:r w:rsidRPr="005B7CAC">
              <w:rPr>
                <w:rFonts w:ascii="Times New Roman" w:hAnsi="Times New Roman"/>
                <w:sz w:val="24"/>
                <w:szCs w:val="24"/>
                <w:vertAlign w:val="superscript"/>
              </w:rPr>
              <w:t>***</w:t>
            </w:r>
          </w:p>
        </w:tc>
      </w:tr>
      <w:tr w:rsidR="005B7CAC" w:rsidRPr="005B7CAC" w14:paraId="58000DFC" w14:textId="77777777" w:rsidTr="00992F5F">
        <w:tc>
          <w:tcPr>
            <w:tcW w:w="1429" w:type="pct"/>
            <w:tcBorders>
              <w:top w:val="nil"/>
              <w:left w:val="nil"/>
              <w:bottom w:val="single" w:sz="8" w:space="0" w:color="auto"/>
              <w:right w:val="nil"/>
            </w:tcBorders>
          </w:tcPr>
          <w:p w14:paraId="6FE4E907" w14:textId="77777777" w:rsidR="00534D17" w:rsidRPr="005B7CAC" w:rsidRDefault="00534D17" w:rsidP="00534D17">
            <w:pPr>
              <w:widowControl w:val="0"/>
              <w:autoSpaceDE w:val="0"/>
              <w:autoSpaceDN w:val="0"/>
              <w:adjustRightInd w:val="0"/>
              <w:spacing w:after="0" w:line="240" w:lineRule="auto"/>
              <w:rPr>
                <w:rFonts w:ascii="Times New Roman" w:hAnsi="Times New Roman"/>
                <w:sz w:val="24"/>
                <w:szCs w:val="24"/>
              </w:rPr>
            </w:pPr>
          </w:p>
        </w:tc>
        <w:tc>
          <w:tcPr>
            <w:tcW w:w="893" w:type="pct"/>
            <w:tcBorders>
              <w:top w:val="nil"/>
              <w:left w:val="nil"/>
              <w:bottom w:val="single" w:sz="8" w:space="0" w:color="auto"/>
              <w:right w:val="nil"/>
            </w:tcBorders>
          </w:tcPr>
          <w:p w14:paraId="3BCCA35C" w14:textId="77777777" w:rsidR="00534D17" w:rsidRPr="005B7CAC" w:rsidRDefault="00534D17" w:rsidP="00534D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(17.04)</w:t>
            </w:r>
          </w:p>
        </w:tc>
        <w:tc>
          <w:tcPr>
            <w:tcW w:w="893" w:type="pct"/>
            <w:tcBorders>
              <w:top w:val="nil"/>
              <w:left w:val="nil"/>
              <w:bottom w:val="single" w:sz="8" w:space="0" w:color="auto"/>
              <w:right w:val="nil"/>
            </w:tcBorders>
          </w:tcPr>
          <w:p w14:paraId="34A3D6F7" w14:textId="77777777" w:rsidR="00534D17" w:rsidRPr="005B7CAC" w:rsidRDefault="00534D17" w:rsidP="00534D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(16.98)</w:t>
            </w:r>
          </w:p>
        </w:tc>
        <w:tc>
          <w:tcPr>
            <w:tcW w:w="893" w:type="pct"/>
            <w:tcBorders>
              <w:top w:val="nil"/>
              <w:left w:val="nil"/>
              <w:bottom w:val="single" w:sz="8" w:space="0" w:color="auto"/>
              <w:right w:val="nil"/>
            </w:tcBorders>
          </w:tcPr>
          <w:p w14:paraId="0C7A93B5" w14:textId="77777777" w:rsidR="00534D17" w:rsidRPr="005B7CAC" w:rsidRDefault="00534D17" w:rsidP="00534D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(13.72)</w:t>
            </w:r>
          </w:p>
        </w:tc>
        <w:tc>
          <w:tcPr>
            <w:tcW w:w="893" w:type="pct"/>
            <w:tcBorders>
              <w:top w:val="nil"/>
              <w:left w:val="nil"/>
              <w:bottom w:val="single" w:sz="8" w:space="0" w:color="auto"/>
              <w:right w:val="nil"/>
            </w:tcBorders>
          </w:tcPr>
          <w:p w14:paraId="55812F4A" w14:textId="77777777" w:rsidR="00534D17" w:rsidRPr="005B7CAC" w:rsidRDefault="00534D17" w:rsidP="00534D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(13.96)</w:t>
            </w:r>
          </w:p>
        </w:tc>
      </w:tr>
      <w:tr w:rsidR="005B7CAC" w:rsidRPr="005B7CAC" w14:paraId="00118A7A" w14:textId="77777777" w:rsidTr="00992F5F">
        <w:tc>
          <w:tcPr>
            <w:tcW w:w="1429" w:type="pct"/>
            <w:tcBorders>
              <w:top w:val="single" w:sz="8" w:space="0" w:color="auto"/>
              <w:left w:val="nil"/>
              <w:bottom w:val="nil"/>
              <w:right w:val="nil"/>
            </w:tcBorders>
          </w:tcPr>
          <w:p w14:paraId="1525702A" w14:textId="54B77006" w:rsidR="00534D17" w:rsidRPr="005B7CAC" w:rsidRDefault="00534D17" w:rsidP="00534D17">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lang w:val="en-US"/>
              </w:rPr>
              <w:t>Observations</w:t>
            </w:r>
          </w:p>
        </w:tc>
        <w:tc>
          <w:tcPr>
            <w:tcW w:w="893" w:type="pct"/>
            <w:tcBorders>
              <w:top w:val="single" w:sz="8" w:space="0" w:color="auto"/>
              <w:left w:val="nil"/>
              <w:bottom w:val="nil"/>
              <w:right w:val="nil"/>
            </w:tcBorders>
          </w:tcPr>
          <w:p w14:paraId="584CB926" w14:textId="50E173D7" w:rsidR="00534D17" w:rsidRPr="005B7CAC" w:rsidRDefault="00534D17" w:rsidP="00534D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1667</w:t>
            </w:r>
          </w:p>
        </w:tc>
        <w:tc>
          <w:tcPr>
            <w:tcW w:w="893" w:type="pct"/>
            <w:tcBorders>
              <w:top w:val="single" w:sz="8" w:space="0" w:color="auto"/>
              <w:left w:val="nil"/>
              <w:bottom w:val="nil"/>
              <w:right w:val="nil"/>
            </w:tcBorders>
          </w:tcPr>
          <w:p w14:paraId="1267C1FF" w14:textId="5131701B" w:rsidR="00534D17" w:rsidRPr="005B7CAC" w:rsidRDefault="00534D17" w:rsidP="00534D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1302</w:t>
            </w:r>
          </w:p>
        </w:tc>
        <w:tc>
          <w:tcPr>
            <w:tcW w:w="893" w:type="pct"/>
            <w:tcBorders>
              <w:top w:val="single" w:sz="8" w:space="0" w:color="auto"/>
              <w:left w:val="nil"/>
              <w:bottom w:val="nil"/>
              <w:right w:val="nil"/>
            </w:tcBorders>
          </w:tcPr>
          <w:p w14:paraId="318A0949" w14:textId="784439A5" w:rsidR="00534D17" w:rsidRPr="005B7CAC" w:rsidRDefault="00534D17" w:rsidP="00534D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1667</w:t>
            </w:r>
          </w:p>
        </w:tc>
        <w:tc>
          <w:tcPr>
            <w:tcW w:w="893" w:type="pct"/>
            <w:tcBorders>
              <w:top w:val="single" w:sz="8" w:space="0" w:color="auto"/>
              <w:left w:val="nil"/>
              <w:bottom w:val="nil"/>
              <w:right w:val="nil"/>
            </w:tcBorders>
          </w:tcPr>
          <w:p w14:paraId="17931176" w14:textId="2A27F8AE" w:rsidR="00534D17" w:rsidRPr="005B7CAC" w:rsidRDefault="00534D17" w:rsidP="00534D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1302</w:t>
            </w:r>
          </w:p>
        </w:tc>
      </w:tr>
      <w:tr w:rsidR="005B7CAC" w:rsidRPr="005B7CAC" w14:paraId="22B5C2B5" w14:textId="77777777" w:rsidTr="00992F5F">
        <w:tc>
          <w:tcPr>
            <w:tcW w:w="1429" w:type="pct"/>
            <w:tcBorders>
              <w:top w:val="nil"/>
              <w:left w:val="nil"/>
              <w:bottom w:val="single" w:sz="12" w:space="0" w:color="auto"/>
              <w:right w:val="nil"/>
            </w:tcBorders>
          </w:tcPr>
          <w:p w14:paraId="3BFA1D0C" w14:textId="7B76FF28" w:rsidR="00534D17" w:rsidRPr="005B7CAC" w:rsidRDefault="00534D17" w:rsidP="00534D17">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lang w:val="en-US"/>
              </w:rPr>
              <w:t>Adj. R-sq.</w:t>
            </w:r>
          </w:p>
        </w:tc>
        <w:tc>
          <w:tcPr>
            <w:tcW w:w="893" w:type="pct"/>
            <w:tcBorders>
              <w:top w:val="nil"/>
              <w:left w:val="nil"/>
              <w:bottom w:val="single" w:sz="12" w:space="0" w:color="auto"/>
              <w:right w:val="nil"/>
            </w:tcBorders>
          </w:tcPr>
          <w:p w14:paraId="05392E14" w14:textId="77777777" w:rsidR="00534D17" w:rsidRPr="005B7CAC" w:rsidRDefault="00534D17" w:rsidP="00534D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0.493</w:t>
            </w:r>
          </w:p>
        </w:tc>
        <w:tc>
          <w:tcPr>
            <w:tcW w:w="893" w:type="pct"/>
            <w:tcBorders>
              <w:top w:val="nil"/>
              <w:left w:val="nil"/>
              <w:bottom w:val="single" w:sz="12" w:space="0" w:color="auto"/>
              <w:right w:val="nil"/>
            </w:tcBorders>
          </w:tcPr>
          <w:p w14:paraId="7DA978C6" w14:textId="77777777" w:rsidR="00534D17" w:rsidRPr="005B7CAC" w:rsidRDefault="00534D17" w:rsidP="00534D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0.573</w:t>
            </w:r>
          </w:p>
        </w:tc>
        <w:tc>
          <w:tcPr>
            <w:tcW w:w="893" w:type="pct"/>
            <w:tcBorders>
              <w:top w:val="nil"/>
              <w:left w:val="nil"/>
              <w:bottom w:val="single" w:sz="12" w:space="0" w:color="auto"/>
              <w:right w:val="nil"/>
            </w:tcBorders>
          </w:tcPr>
          <w:p w14:paraId="698B3704" w14:textId="77777777" w:rsidR="00534D17" w:rsidRPr="005B7CAC" w:rsidRDefault="00534D17" w:rsidP="00534D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0.482</w:t>
            </w:r>
          </w:p>
        </w:tc>
        <w:tc>
          <w:tcPr>
            <w:tcW w:w="893" w:type="pct"/>
            <w:tcBorders>
              <w:top w:val="nil"/>
              <w:left w:val="nil"/>
              <w:bottom w:val="single" w:sz="12" w:space="0" w:color="auto"/>
              <w:right w:val="nil"/>
            </w:tcBorders>
          </w:tcPr>
          <w:p w14:paraId="1CCA94A8" w14:textId="77777777" w:rsidR="00534D17" w:rsidRPr="005B7CAC" w:rsidRDefault="00534D17" w:rsidP="00534D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0.536</w:t>
            </w:r>
          </w:p>
        </w:tc>
      </w:tr>
    </w:tbl>
    <w:p w14:paraId="608DE330" w14:textId="77777777" w:rsidR="00534D17" w:rsidRPr="005B7CAC" w:rsidRDefault="00534D17" w:rsidP="00534D17">
      <w:pPr>
        <w:widowControl w:val="0"/>
        <w:autoSpaceDE w:val="0"/>
        <w:autoSpaceDN w:val="0"/>
        <w:adjustRightInd w:val="0"/>
        <w:spacing w:after="0" w:line="240" w:lineRule="auto"/>
        <w:jc w:val="both"/>
        <w:rPr>
          <w:rFonts w:ascii="Times New Roman" w:hAnsi="Times New Roman"/>
          <w:lang w:val="en-US"/>
        </w:rPr>
      </w:pPr>
      <w:r w:rsidRPr="005B7CAC">
        <w:rPr>
          <w:rFonts w:ascii="Times New Roman" w:hAnsi="Times New Roman"/>
          <w:b/>
          <w:iCs/>
          <w:lang w:val="en-US"/>
        </w:rPr>
        <w:t>Note(s):</w:t>
      </w:r>
      <w:r w:rsidRPr="005B7CAC">
        <w:rPr>
          <w:rFonts w:ascii="Times New Roman" w:hAnsi="Times New Roman"/>
          <w:iCs/>
          <w:lang w:val="en-US"/>
        </w:rPr>
        <w:t xml:space="preserve"> This table reports the moderating role of green initiatives (</w:t>
      </w:r>
      <w:r w:rsidRPr="005B7CAC">
        <w:rPr>
          <w:rFonts w:ascii="Times New Roman" w:hAnsi="Times New Roman"/>
          <w:i/>
          <w:lang w:val="en-US"/>
        </w:rPr>
        <w:t>GINVs</w:t>
      </w:r>
      <w:r w:rsidRPr="005B7CAC">
        <w:rPr>
          <w:rFonts w:ascii="Times New Roman" w:hAnsi="Times New Roman"/>
          <w:iCs/>
          <w:lang w:val="en-US"/>
        </w:rPr>
        <w:t>) on the link between waste management (</w:t>
      </w:r>
      <w:r w:rsidRPr="005B7CAC">
        <w:rPr>
          <w:rFonts w:ascii="Times New Roman" w:hAnsi="Times New Roman"/>
          <w:i/>
          <w:lang w:val="en-US"/>
        </w:rPr>
        <w:t>WM</w:t>
      </w:r>
      <w:r w:rsidRPr="005B7CAC">
        <w:rPr>
          <w:rFonts w:ascii="Times New Roman" w:hAnsi="Times New Roman"/>
          <w:iCs/>
          <w:lang w:val="en-US"/>
        </w:rPr>
        <w:t>) practices and financial distress (</w:t>
      </w:r>
      <w:r w:rsidRPr="005B7CAC">
        <w:rPr>
          <w:rFonts w:ascii="Times New Roman" w:hAnsi="Times New Roman"/>
          <w:i/>
          <w:lang w:val="en-US"/>
        </w:rPr>
        <w:t>FD</w:t>
      </w:r>
      <w:r w:rsidRPr="005B7CAC">
        <w:rPr>
          <w:rFonts w:ascii="Times New Roman" w:hAnsi="Times New Roman"/>
          <w:iCs/>
          <w:lang w:val="en-US"/>
        </w:rPr>
        <w:t xml:space="preserve">). </w:t>
      </w:r>
      <w:r w:rsidRPr="005B7CAC">
        <w:rPr>
          <w:rFonts w:ascii="Times New Roman" w:hAnsi="Times New Roman"/>
          <w:bCs/>
          <w:lang w:val="en-US"/>
        </w:rPr>
        <w:t xml:space="preserve">Robust </w:t>
      </w:r>
      <w:r w:rsidRPr="005B7CAC">
        <w:rPr>
          <w:rFonts w:ascii="Times New Roman" w:hAnsi="Times New Roman"/>
          <w:bCs/>
          <w:i/>
          <w:lang w:val="en-US"/>
        </w:rPr>
        <w:t>t-statistics</w:t>
      </w:r>
      <w:r w:rsidRPr="005B7CAC">
        <w:rPr>
          <w:rFonts w:ascii="Times New Roman" w:hAnsi="Times New Roman"/>
          <w:bCs/>
          <w:lang w:val="en-US"/>
        </w:rPr>
        <w:t xml:space="preserve"> are presented in parentheses. </w:t>
      </w:r>
      <w:r w:rsidRPr="005B7CAC">
        <w:rPr>
          <w:rFonts w:ascii="Times New Roman" w:hAnsi="Times New Roman"/>
          <w:lang w:val="en-US"/>
        </w:rPr>
        <w:t xml:space="preserve">All the study variables are defined in Table 1. * </w:t>
      </w:r>
      <w:r w:rsidRPr="005B7CAC">
        <w:rPr>
          <w:rFonts w:ascii="Times New Roman" w:hAnsi="Times New Roman"/>
          <w:i/>
          <w:iCs/>
          <w:lang w:val="en-US"/>
        </w:rPr>
        <w:t>p</w:t>
      </w:r>
      <w:r w:rsidRPr="005B7CAC">
        <w:rPr>
          <w:rFonts w:ascii="Times New Roman" w:hAnsi="Times New Roman"/>
          <w:lang w:val="en-US"/>
        </w:rPr>
        <w:t xml:space="preserve"> &lt; 0.1, ** </w:t>
      </w:r>
      <w:r w:rsidRPr="005B7CAC">
        <w:rPr>
          <w:rFonts w:ascii="Times New Roman" w:hAnsi="Times New Roman"/>
          <w:i/>
          <w:iCs/>
          <w:lang w:val="en-US"/>
        </w:rPr>
        <w:t>p</w:t>
      </w:r>
      <w:r w:rsidRPr="005B7CAC">
        <w:rPr>
          <w:rFonts w:ascii="Times New Roman" w:hAnsi="Times New Roman"/>
          <w:lang w:val="en-US"/>
        </w:rPr>
        <w:t xml:space="preserve"> &lt; 0.05, *** </w:t>
      </w:r>
      <w:r w:rsidRPr="005B7CAC">
        <w:rPr>
          <w:rFonts w:ascii="Times New Roman" w:hAnsi="Times New Roman"/>
          <w:i/>
          <w:iCs/>
          <w:lang w:val="en-US"/>
        </w:rPr>
        <w:t>p</w:t>
      </w:r>
      <w:r w:rsidRPr="005B7CAC">
        <w:rPr>
          <w:rFonts w:ascii="Times New Roman" w:hAnsi="Times New Roman"/>
          <w:lang w:val="en-US"/>
        </w:rPr>
        <w:t xml:space="preserve"> &lt; 0.01.</w:t>
      </w:r>
    </w:p>
    <w:p w14:paraId="3E518BA5" w14:textId="77777777" w:rsidR="00534D17" w:rsidRPr="005B7CAC" w:rsidRDefault="00534D17" w:rsidP="00534D17">
      <w:pPr>
        <w:widowControl w:val="0"/>
        <w:autoSpaceDE w:val="0"/>
        <w:autoSpaceDN w:val="0"/>
        <w:adjustRightInd w:val="0"/>
        <w:spacing w:after="0" w:line="240" w:lineRule="auto"/>
        <w:jc w:val="both"/>
        <w:rPr>
          <w:rFonts w:ascii="Times New Roman" w:hAnsi="Times New Roman"/>
          <w:lang w:val="en-US"/>
        </w:rPr>
      </w:pPr>
      <w:r w:rsidRPr="005B7CAC">
        <w:rPr>
          <w:rFonts w:ascii="Times New Roman" w:hAnsi="Times New Roman"/>
          <w:b/>
          <w:lang w:val="en-US"/>
        </w:rPr>
        <w:t>Source:</w:t>
      </w:r>
      <w:r w:rsidRPr="005B7CAC">
        <w:rPr>
          <w:rFonts w:ascii="Times New Roman" w:hAnsi="Times New Roman"/>
          <w:lang w:val="en-US"/>
        </w:rPr>
        <w:t xml:space="preserve"> Table prepared by the authors.</w:t>
      </w:r>
    </w:p>
    <w:p w14:paraId="3C4FC3CE" w14:textId="77777777" w:rsidR="007A08F8" w:rsidRPr="005B7CAC" w:rsidRDefault="007A08F8" w:rsidP="00CD4FCC">
      <w:pPr>
        <w:widowControl w:val="0"/>
        <w:autoSpaceDE w:val="0"/>
        <w:autoSpaceDN w:val="0"/>
        <w:adjustRightInd w:val="0"/>
        <w:spacing w:after="240" w:line="240" w:lineRule="auto"/>
        <w:rPr>
          <w:rFonts w:ascii="Times New Roman" w:hAnsi="Times New Roman"/>
          <w:b/>
          <w:sz w:val="24"/>
          <w:szCs w:val="24"/>
          <w:lang w:val="en-US"/>
        </w:rPr>
      </w:pPr>
    </w:p>
    <w:p w14:paraId="5B179392" w14:textId="77777777" w:rsidR="007A08F8" w:rsidRPr="005B7CAC" w:rsidRDefault="007A08F8" w:rsidP="00CD4FCC">
      <w:pPr>
        <w:widowControl w:val="0"/>
        <w:autoSpaceDE w:val="0"/>
        <w:autoSpaceDN w:val="0"/>
        <w:adjustRightInd w:val="0"/>
        <w:spacing w:after="240" w:line="240" w:lineRule="auto"/>
        <w:rPr>
          <w:rFonts w:ascii="Times New Roman" w:hAnsi="Times New Roman"/>
          <w:b/>
          <w:sz w:val="24"/>
          <w:szCs w:val="24"/>
          <w:lang w:val="en-US"/>
        </w:rPr>
      </w:pPr>
    </w:p>
    <w:p w14:paraId="78A37BFD" w14:textId="77777777" w:rsidR="00F92A90" w:rsidRPr="005B7CAC" w:rsidRDefault="00F92A90" w:rsidP="00CD4FCC">
      <w:pPr>
        <w:widowControl w:val="0"/>
        <w:autoSpaceDE w:val="0"/>
        <w:autoSpaceDN w:val="0"/>
        <w:adjustRightInd w:val="0"/>
        <w:spacing w:after="240" w:line="240" w:lineRule="auto"/>
        <w:rPr>
          <w:rFonts w:ascii="Times New Roman" w:hAnsi="Times New Roman"/>
          <w:b/>
          <w:sz w:val="24"/>
          <w:szCs w:val="24"/>
          <w:lang w:val="en-US"/>
        </w:rPr>
      </w:pPr>
    </w:p>
    <w:p w14:paraId="3B7973A5" w14:textId="77777777" w:rsidR="00F92A90" w:rsidRPr="005B7CAC" w:rsidRDefault="00F92A90" w:rsidP="00CD4FCC">
      <w:pPr>
        <w:widowControl w:val="0"/>
        <w:autoSpaceDE w:val="0"/>
        <w:autoSpaceDN w:val="0"/>
        <w:adjustRightInd w:val="0"/>
        <w:spacing w:after="240" w:line="240" w:lineRule="auto"/>
        <w:rPr>
          <w:rFonts w:ascii="Times New Roman" w:hAnsi="Times New Roman"/>
          <w:b/>
          <w:sz w:val="24"/>
          <w:szCs w:val="24"/>
          <w:lang w:val="en-US"/>
        </w:rPr>
      </w:pPr>
    </w:p>
    <w:p w14:paraId="32852ACC" w14:textId="77777777" w:rsidR="00EB3F3A" w:rsidRPr="005B7CAC" w:rsidRDefault="00EB3F3A" w:rsidP="00EB3F3A">
      <w:pPr>
        <w:widowControl w:val="0"/>
        <w:autoSpaceDE w:val="0"/>
        <w:autoSpaceDN w:val="0"/>
        <w:adjustRightInd w:val="0"/>
        <w:spacing w:after="120" w:line="240" w:lineRule="auto"/>
        <w:jc w:val="both"/>
        <w:rPr>
          <w:rFonts w:ascii="Times New Roman" w:hAnsi="Times New Roman"/>
          <w:iCs/>
          <w:sz w:val="24"/>
          <w:szCs w:val="20"/>
          <w:lang w:val="en-US"/>
        </w:rPr>
      </w:pPr>
      <w:r w:rsidRPr="005B7CAC">
        <w:rPr>
          <w:rFonts w:ascii="Times New Roman" w:hAnsi="Times New Roman"/>
          <w:b/>
          <w:iCs/>
          <w:sz w:val="24"/>
          <w:szCs w:val="20"/>
          <w:lang w:val="en-US"/>
        </w:rPr>
        <w:lastRenderedPageBreak/>
        <w:t xml:space="preserve">Table </w:t>
      </w:r>
      <w:r w:rsidR="00B80F9F" w:rsidRPr="005B7CAC">
        <w:rPr>
          <w:rFonts w:ascii="Times New Roman" w:hAnsi="Times New Roman"/>
          <w:b/>
          <w:iCs/>
          <w:sz w:val="24"/>
          <w:szCs w:val="20"/>
          <w:lang w:val="en-US"/>
        </w:rPr>
        <w:t>6</w:t>
      </w:r>
      <w:r w:rsidRPr="005B7CAC">
        <w:rPr>
          <w:rFonts w:ascii="Times New Roman" w:hAnsi="Times New Roman"/>
          <w:b/>
          <w:iCs/>
          <w:sz w:val="24"/>
          <w:szCs w:val="20"/>
          <w:lang w:val="en-US"/>
        </w:rPr>
        <w:t xml:space="preserve">. </w:t>
      </w:r>
      <w:r w:rsidRPr="005B7CAC">
        <w:rPr>
          <w:rFonts w:ascii="Times New Roman" w:hAnsi="Times New Roman"/>
          <w:iCs/>
          <w:sz w:val="24"/>
          <w:szCs w:val="20"/>
          <w:lang w:val="en-US"/>
        </w:rPr>
        <w:t>The moderating role of waste recycling on the waste generation</w:t>
      </w:r>
      <w:r w:rsidRPr="005B7CAC">
        <w:rPr>
          <w:rFonts w:ascii="Calibri" w:hAnsi="Calibri" w:cs="Calibri"/>
          <w:bCs/>
          <w:sz w:val="24"/>
          <w:szCs w:val="24"/>
          <w:lang w:val="en-US"/>
        </w:rPr>
        <w:t>—</w:t>
      </w:r>
      <w:r w:rsidRPr="005B7CAC">
        <w:rPr>
          <w:rFonts w:ascii="Times New Roman" w:hAnsi="Times New Roman"/>
          <w:iCs/>
          <w:sz w:val="24"/>
          <w:szCs w:val="20"/>
          <w:lang w:val="en-US"/>
        </w:rPr>
        <w:t>financial distress nexus</w:t>
      </w:r>
    </w:p>
    <w:tbl>
      <w:tblPr>
        <w:tblW w:w="5000" w:type="pct"/>
        <w:tblLook w:val="0000" w:firstRow="0" w:lastRow="0" w:firstColumn="0" w:lastColumn="0" w:noHBand="0" w:noVBand="0"/>
      </w:tblPr>
      <w:tblGrid>
        <w:gridCol w:w="4552"/>
        <w:gridCol w:w="2544"/>
        <w:gridCol w:w="2593"/>
      </w:tblGrid>
      <w:tr w:rsidR="005B7CAC" w:rsidRPr="005B7CAC" w14:paraId="4E6C3AAA" w14:textId="77777777" w:rsidTr="00533683">
        <w:tc>
          <w:tcPr>
            <w:tcW w:w="2349" w:type="pct"/>
            <w:tcBorders>
              <w:top w:val="single" w:sz="12" w:space="0" w:color="auto"/>
              <w:left w:val="nil"/>
              <w:bottom w:val="nil"/>
              <w:right w:val="nil"/>
            </w:tcBorders>
          </w:tcPr>
          <w:p w14:paraId="18B16667" w14:textId="77777777" w:rsidR="00533683" w:rsidRPr="005B7CAC" w:rsidRDefault="00533683" w:rsidP="00C90660">
            <w:pPr>
              <w:widowControl w:val="0"/>
              <w:autoSpaceDE w:val="0"/>
              <w:autoSpaceDN w:val="0"/>
              <w:adjustRightInd w:val="0"/>
              <w:spacing w:after="0" w:line="240" w:lineRule="auto"/>
              <w:rPr>
                <w:rFonts w:ascii="Times New Roman" w:hAnsi="Times New Roman"/>
                <w:b/>
                <w:bCs/>
                <w:sz w:val="24"/>
                <w:szCs w:val="24"/>
                <w:lang w:val="en-US"/>
              </w:rPr>
            </w:pPr>
          </w:p>
        </w:tc>
        <w:tc>
          <w:tcPr>
            <w:tcW w:w="1313" w:type="pct"/>
            <w:tcBorders>
              <w:top w:val="single" w:sz="12" w:space="0" w:color="auto"/>
              <w:left w:val="nil"/>
              <w:bottom w:val="nil"/>
              <w:right w:val="nil"/>
            </w:tcBorders>
          </w:tcPr>
          <w:p w14:paraId="68B239CF" w14:textId="77777777" w:rsidR="00533683" w:rsidRPr="005B7CAC" w:rsidRDefault="00533683"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(1)</w:t>
            </w:r>
          </w:p>
        </w:tc>
        <w:tc>
          <w:tcPr>
            <w:tcW w:w="1338" w:type="pct"/>
            <w:tcBorders>
              <w:top w:val="single" w:sz="12" w:space="0" w:color="auto"/>
              <w:left w:val="nil"/>
              <w:bottom w:val="nil"/>
              <w:right w:val="nil"/>
            </w:tcBorders>
          </w:tcPr>
          <w:p w14:paraId="1860A37A" w14:textId="77777777" w:rsidR="00533683" w:rsidRPr="005B7CAC" w:rsidRDefault="00533683"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(2)</w:t>
            </w:r>
          </w:p>
        </w:tc>
      </w:tr>
      <w:tr w:rsidR="005B7CAC" w:rsidRPr="005B7CAC" w14:paraId="469230FD" w14:textId="77777777" w:rsidTr="00533683">
        <w:tc>
          <w:tcPr>
            <w:tcW w:w="2349" w:type="pct"/>
            <w:tcBorders>
              <w:top w:val="nil"/>
              <w:left w:val="nil"/>
              <w:bottom w:val="single" w:sz="8" w:space="0" w:color="auto"/>
              <w:right w:val="nil"/>
            </w:tcBorders>
          </w:tcPr>
          <w:p w14:paraId="29136034" w14:textId="77777777" w:rsidR="00533683" w:rsidRPr="005B7CAC" w:rsidRDefault="00533683" w:rsidP="00C90660">
            <w:pPr>
              <w:widowControl w:val="0"/>
              <w:autoSpaceDE w:val="0"/>
              <w:autoSpaceDN w:val="0"/>
              <w:adjustRightInd w:val="0"/>
              <w:spacing w:after="0" w:line="240" w:lineRule="auto"/>
              <w:rPr>
                <w:rFonts w:ascii="Times New Roman" w:hAnsi="Times New Roman"/>
                <w:b/>
                <w:bCs/>
                <w:sz w:val="24"/>
                <w:szCs w:val="24"/>
              </w:rPr>
            </w:pPr>
          </w:p>
        </w:tc>
        <w:tc>
          <w:tcPr>
            <w:tcW w:w="1313" w:type="pct"/>
            <w:tcBorders>
              <w:top w:val="nil"/>
              <w:left w:val="nil"/>
              <w:bottom w:val="single" w:sz="8" w:space="0" w:color="auto"/>
              <w:right w:val="nil"/>
            </w:tcBorders>
          </w:tcPr>
          <w:p w14:paraId="675E7990" w14:textId="77777777" w:rsidR="00533683" w:rsidRPr="005B7CAC" w:rsidRDefault="00533683"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Z_UK</w:t>
            </w:r>
          </w:p>
        </w:tc>
        <w:tc>
          <w:tcPr>
            <w:tcW w:w="1338" w:type="pct"/>
            <w:tcBorders>
              <w:top w:val="nil"/>
              <w:left w:val="nil"/>
              <w:bottom w:val="single" w:sz="8" w:space="0" w:color="auto"/>
              <w:right w:val="nil"/>
            </w:tcBorders>
          </w:tcPr>
          <w:p w14:paraId="2E6A7EE0" w14:textId="77777777" w:rsidR="00533683" w:rsidRPr="005B7CAC" w:rsidRDefault="00533683"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Z_ALT</w:t>
            </w:r>
          </w:p>
        </w:tc>
      </w:tr>
      <w:tr w:rsidR="005B7CAC" w:rsidRPr="005B7CAC" w14:paraId="65FED73C" w14:textId="77777777" w:rsidTr="00533683">
        <w:tc>
          <w:tcPr>
            <w:tcW w:w="2349" w:type="pct"/>
            <w:tcBorders>
              <w:top w:val="single" w:sz="8" w:space="0" w:color="auto"/>
              <w:left w:val="nil"/>
              <w:bottom w:val="nil"/>
              <w:right w:val="nil"/>
            </w:tcBorders>
          </w:tcPr>
          <w:p w14:paraId="716E3D0A" w14:textId="77777777" w:rsidR="00533683" w:rsidRPr="005B7CAC" w:rsidRDefault="00533683"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WAST</w:t>
            </w:r>
          </w:p>
        </w:tc>
        <w:tc>
          <w:tcPr>
            <w:tcW w:w="1313" w:type="pct"/>
            <w:tcBorders>
              <w:top w:val="single" w:sz="8" w:space="0" w:color="auto"/>
              <w:left w:val="nil"/>
              <w:bottom w:val="nil"/>
              <w:right w:val="nil"/>
            </w:tcBorders>
          </w:tcPr>
          <w:p w14:paraId="2D288E63" w14:textId="77777777" w:rsidR="00533683" w:rsidRPr="005B7CAC" w:rsidRDefault="00533683"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-0.006</w:t>
            </w:r>
            <w:r w:rsidRPr="005B7CAC">
              <w:rPr>
                <w:rFonts w:ascii="Times New Roman" w:hAnsi="Times New Roman"/>
                <w:sz w:val="24"/>
                <w:szCs w:val="24"/>
                <w:vertAlign w:val="superscript"/>
              </w:rPr>
              <w:t>**</w:t>
            </w:r>
          </w:p>
        </w:tc>
        <w:tc>
          <w:tcPr>
            <w:tcW w:w="1338" w:type="pct"/>
            <w:tcBorders>
              <w:top w:val="single" w:sz="8" w:space="0" w:color="auto"/>
              <w:left w:val="nil"/>
              <w:bottom w:val="nil"/>
              <w:right w:val="nil"/>
            </w:tcBorders>
          </w:tcPr>
          <w:p w14:paraId="07EB3938" w14:textId="77777777" w:rsidR="00533683" w:rsidRPr="005B7CAC" w:rsidRDefault="00533683"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-0.034</w:t>
            </w:r>
            <w:r w:rsidRPr="005B7CAC">
              <w:rPr>
                <w:rFonts w:ascii="Times New Roman" w:hAnsi="Times New Roman"/>
                <w:sz w:val="24"/>
                <w:szCs w:val="24"/>
                <w:vertAlign w:val="superscript"/>
              </w:rPr>
              <w:t>***</w:t>
            </w:r>
          </w:p>
        </w:tc>
      </w:tr>
      <w:tr w:rsidR="005B7CAC" w:rsidRPr="005B7CAC" w14:paraId="3656F46F" w14:textId="77777777" w:rsidTr="00533683">
        <w:tc>
          <w:tcPr>
            <w:tcW w:w="2349" w:type="pct"/>
            <w:tcBorders>
              <w:top w:val="nil"/>
              <w:left w:val="nil"/>
              <w:bottom w:val="nil"/>
              <w:right w:val="nil"/>
            </w:tcBorders>
          </w:tcPr>
          <w:p w14:paraId="7C93F3FB" w14:textId="77777777" w:rsidR="00533683" w:rsidRPr="005B7CAC" w:rsidRDefault="00533683" w:rsidP="00C90660">
            <w:pPr>
              <w:widowControl w:val="0"/>
              <w:autoSpaceDE w:val="0"/>
              <w:autoSpaceDN w:val="0"/>
              <w:adjustRightInd w:val="0"/>
              <w:spacing w:after="0" w:line="240" w:lineRule="auto"/>
              <w:rPr>
                <w:rFonts w:ascii="Times New Roman" w:hAnsi="Times New Roman"/>
                <w:sz w:val="24"/>
                <w:szCs w:val="24"/>
              </w:rPr>
            </w:pPr>
          </w:p>
        </w:tc>
        <w:tc>
          <w:tcPr>
            <w:tcW w:w="1313" w:type="pct"/>
            <w:tcBorders>
              <w:top w:val="nil"/>
              <w:left w:val="nil"/>
              <w:bottom w:val="nil"/>
              <w:right w:val="nil"/>
            </w:tcBorders>
          </w:tcPr>
          <w:p w14:paraId="5303E68F" w14:textId="77777777" w:rsidR="00533683" w:rsidRPr="005B7CAC" w:rsidRDefault="00533683"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(-2.04)</w:t>
            </w:r>
          </w:p>
        </w:tc>
        <w:tc>
          <w:tcPr>
            <w:tcW w:w="1338" w:type="pct"/>
            <w:tcBorders>
              <w:top w:val="nil"/>
              <w:left w:val="nil"/>
              <w:bottom w:val="nil"/>
              <w:right w:val="nil"/>
            </w:tcBorders>
          </w:tcPr>
          <w:p w14:paraId="57B0D7E3" w14:textId="77777777" w:rsidR="00533683" w:rsidRPr="005B7CAC" w:rsidRDefault="00533683"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(-4.22)</w:t>
            </w:r>
          </w:p>
        </w:tc>
      </w:tr>
      <w:tr w:rsidR="005B7CAC" w:rsidRPr="005B7CAC" w14:paraId="74ED7498" w14:textId="77777777" w:rsidTr="00533683">
        <w:tc>
          <w:tcPr>
            <w:tcW w:w="2349" w:type="pct"/>
            <w:tcBorders>
              <w:top w:val="nil"/>
              <w:left w:val="nil"/>
              <w:bottom w:val="nil"/>
              <w:right w:val="nil"/>
            </w:tcBorders>
          </w:tcPr>
          <w:p w14:paraId="3764AFDE" w14:textId="77777777" w:rsidR="00533683" w:rsidRPr="005B7CAC" w:rsidRDefault="00533683"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WAST*WREC</w:t>
            </w:r>
          </w:p>
        </w:tc>
        <w:tc>
          <w:tcPr>
            <w:tcW w:w="1313" w:type="pct"/>
            <w:tcBorders>
              <w:top w:val="nil"/>
              <w:left w:val="nil"/>
              <w:bottom w:val="nil"/>
              <w:right w:val="nil"/>
            </w:tcBorders>
          </w:tcPr>
          <w:p w14:paraId="2CBB965D" w14:textId="77777777" w:rsidR="00533683" w:rsidRPr="005B7CAC" w:rsidRDefault="00533683"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w:t>
            </w:r>
            <w:r w:rsidRPr="005B7CAC">
              <w:rPr>
                <w:rFonts w:ascii="Times New Roman" w:hAnsi="Times New Roman"/>
                <w:sz w:val="24"/>
                <w:szCs w:val="24"/>
                <w:lang w:val="en-US"/>
              </w:rPr>
              <w:t>1</w:t>
            </w:r>
            <w:r w:rsidRPr="005B7CAC">
              <w:rPr>
                <w:rFonts w:ascii="Times New Roman" w:hAnsi="Times New Roman"/>
                <w:sz w:val="24"/>
                <w:szCs w:val="24"/>
                <w:vertAlign w:val="superscript"/>
              </w:rPr>
              <w:t>**</w:t>
            </w:r>
          </w:p>
        </w:tc>
        <w:tc>
          <w:tcPr>
            <w:tcW w:w="1338" w:type="pct"/>
            <w:tcBorders>
              <w:top w:val="nil"/>
              <w:left w:val="nil"/>
              <w:bottom w:val="nil"/>
              <w:right w:val="nil"/>
            </w:tcBorders>
          </w:tcPr>
          <w:p w14:paraId="338448E6" w14:textId="77777777" w:rsidR="00533683" w:rsidRPr="005B7CAC" w:rsidRDefault="00533683"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0.001</w:t>
            </w:r>
            <w:r w:rsidRPr="005B7CAC">
              <w:rPr>
                <w:rFonts w:ascii="Times New Roman" w:hAnsi="Times New Roman"/>
                <w:sz w:val="24"/>
                <w:szCs w:val="24"/>
                <w:vertAlign w:val="superscript"/>
              </w:rPr>
              <w:t>***</w:t>
            </w:r>
          </w:p>
        </w:tc>
      </w:tr>
      <w:tr w:rsidR="005B7CAC" w:rsidRPr="005B7CAC" w14:paraId="2D830979" w14:textId="77777777" w:rsidTr="00533683">
        <w:tc>
          <w:tcPr>
            <w:tcW w:w="2349" w:type="pct"/>
            <w:tcBorders>
              <w:top w:val="nil"/>
              <w:left w:val="nil"/>
              <w:bottom w:val="nil"/>
              <w:right w:val="nil"/>
            </w:tcBorders>
          </w:tcPr>
          <w:p w14:paraId="549EF1A4" w14:textId="77777777" w:rsidR="00533683" w:rsidRPr="005B7CAC" w:rsidRDefault="00533683" w:rsidP="00C90660">
            <w:pPr>
              <w:widowControl w:val="0"/>
              <w:autoSpaceDE w:val="0"/>
              <w:autoSpaceDN w:val="0"/>
              <w:adjustRightInd w:val="0"/>
              <w:spacing w:after="0" w:line="240" w:lineRule="auto"/>
              <w:rPr>
                <w:rFonts w:ascii="Times New Roman" w:hAnsi="Times New Roman"/>
                <w:sz w:val="24"/>
                <w:szCs w:val="24"/>
              </w:rPr>
            </w:pPr>
          </w:p>
        </w:tc>
        <w:tc>
          <w:tcPr>
            <w:tcW w:w="1313" w:type="pct"/>
            <w:tcBorders>
              <w:top w:val="nil"/>
              <w:left w:val="nil"/>
              <w:bottom w:val="nil"/>
              <w:right w:val="nil"/>
            </w:tcBorders>
          </w:tcPr>
          <w:p w14:paraId="70A8F552" w14:textId="77777777" w:rsidR="00533683" w:rsidRPr="005B7CAC" w:rsidRDefault="00533683"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(2.00)</w:t>
            </w:r>
          </w:p>
        </w:tc>
        <w:tc>
          <w:tcPr>
            <w:tcW w:w="1338" w:type="pct"/>
            <w:tcBorders>
              <w:top w:val="nil"/>
              <w:left w:val="nil"/>
              <w:bottom w:val="nil"/>
              <w:right w:val="nil"/>
            </w:tcBorders>
          </w:tcPr>
          <w:p w14:paraId="1CD83557" w14:textId="77777777" w:rsidR="00533683" w:rsidRPr="005B7CAC" w:rsidRDefault="00533683"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(3.53)</w:t>
            </w:r>
          </w:p>
        </w:tc>
      </w:tr>
      <w:tr w:rsidR="005B7CAC" w:rsidRPr="005B7CAC" w14:paraId="6D8D8A64" w14:textId="77777777" w:rsidTr="00533683">
        <w:tc>
          <w:tcPr>
            <w:tcW w:w="2349" w:type="pct"/>
            <w:tcBorders>
              <w:top w:val="nil"/>
              <w:left w:val="nil"/>
              <w:bottom w:val="nil"/>
              <w:right w:val="nil"/>
            </w:tcBorders>
          </w:tcPr>
          <w:p w14:paraId="40EC1F6A" w14:textId="77777777" w:rsidR="00533683" w:rsidRPr="005B7CAC" w:rsidRDefault="00533683"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WREC</w:t>
            </w:r>
          </w:p>
        </w:tc>
        <w:tc>
          <w:tcPr>
            <w:tcW w:w="1313" w:type="pct"/>
            <w:tcBorders>
              <w:top w:val="nil"/>
              <w:left w:val="nil"/>
              <w:bottom w:val="nil"/>
              <w:right w:val="nil"/>
            </w:tcBorders>
          </w:tcPr>
          <w:p w14:paraId="3D7DFE39" w14:textId="77777777" w:rsidR="00533683" w:rsidRPr="005B7CAC" w:rsidRDefault="00533683"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0.003</w:t>
            </w:r>
            <w:r w:rsidRPr="005B7CAC">
              <w:rPr>
                <w:rFonts w:ascii="Times New Roman" w:hAnsi="Times New Roman"/>
                <w:sz w:val="24"/>
                <w:szCs w:val="24"/>
                <w:vertAlign w:val="superscript"/>
              </w:rPr>
              <w:t>***</w:t>
            </w:r>
          </w:p>
        </w:tc>
        <w:tc>
          <w:tcPr>
            <w:tcW w:w="1338" w:type="pct"/>
            <w:tcBorders>
              <w:top w:val="nil"/>
              <w:left w:val="nil"/>
              <w:bottom w:val="nil"/>
              <w:right w:val="nil"/>
            </w:tcBorders>
          </w:tcPr>
          <w:p w14:paraId="258EACF2" w14:textId="77777777" w:rsidR="00533683" w:rsidRPr="005B7CAC" w:rsidRDefault="00533683"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0.004</w:t>
            </w:r>
            <w:r w:rsidRPr="005B7CAC">
              <w:rPr>
                <w:rFonts w:ascii="Times New Roman" w:hAnsi="Times New Roman"/>
                <w:sz w:val="24"/>
                <w:szCs w:val="24"/>
                <w:vertAlign w:val="superscript"/>
              </w:rPr>
              <w:t>***</w:t>
            </w:r>
          </w:p>
        </w:tc>
      </w:tr>
      <w:tr w:rsidR="005B7CAC" w:rsidRPr="005B7CAC" w14:paraId="59E56F82" w14:textId="77777777" w:rsidTr="00533683">
        <w:tc>
          <w:tcPr>
            <w:tcW w:w="2349" w:type="pct"/>
            <w:tcBorders>
              <w:top w:val="nil"/>
              <w:left w:val="nil"/>
              <w:bottom w:val="nil"/>
              <w:right w:val="nil"/>
            </w:tcBorders>
          </w:tcPr>
          <w:p w14:paraId="6A030D4B" w14:textId="77777777" w:rsidR="00533683" w:rsidRPr="005B7CAC" w:rsidRDefault="00533683" w:rsidP="00C90660">
            <w:pPr>
              <w:widowControl w:val="0"/>
              <w:autoSpaceDE w:val="0"/>
              <w:autoSpaceDN w:val="0"/>
              <w:adjustRightInd w:val="0"/>
              <w:spacing w:after="0" w:line="240" w:lineRule="auto"/>
              <w:rPr>
                <w:rFonts w:ascii="Times New Roman" w:hAnsi="Times New Roman"/>
                <w:sz w:val="24"/>
                <w:szCs w:val="24"/>
              </w:rPr>
            </w:pPr>
          </w:p>
        </w:tc>
        <w:tc>
          <w:tcPr>
            <w:tcW w:w="1313" w:type="pct"/>
            <w:tcBorders>
              <w:top w:val="nil"/>
              <w:left w:val="nil"/>
              <w:bottom w:val="nil"/>
              <w:right w:val="nil"/>
            </w:tcBorders>
          </w:tcPr>
          <w:p w14:paraId="1221F6E7" w14:textId="77777777" w:rsidR="00533683" w:rsidRPr="005B7CAC" w:rsidRDefault="00533683"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(6.45)</w:t>
            </w:r>
          </w:p>
        </w:tc>
        <w:tc>
          <w:tcPr>
            <w:tcW w:w="1338" w:type="pct"/>
            <w:tcBorders>
              <w:top w:val="nil"/>
              <w:left w:val="nil"/>
              <w:bottom w:val="nil"/>
              <w:right w:val="nil"/>
            </w:tcBorders>
          </w:tcPr>
          <w:p w14:paraId="3C09AAAC" w14:textId="77777777" w:rsidR="00533683" w:rsidRPr="005B7CAC" w:rsidRDefault="00533683"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(4.50)</w:t>
            </w:r>
          </w:p>
        </w:tc>
      </w:tr>
      <w:tr w:rsidR="005B7CAC" w:rsidRPr="005B7CAC" w14:paraId="1E46215F" w14:textId="77777777" w:rsidTr="00533683">
        <w:tc>
          <w:tcPr>
            <w:tcW w:w="2349" w:type="pct"/>
            <w:tcBorders>
              <w:top w:val="nil"/>
              <w:left w:val="nil"/>
              <w:bottom w:val="nil"/>
              <w:right w:val="nil"/>
            </w:tcBorders>
          </w:tcPr>
          <w:p w14:paraId="660F0A3E" w14:textId="77777777" w:rsidR="00533683" w:rsidRPr="005B7CAC" w:rsidRDefault="00533683"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GINVs</w:t>
            </w:r>
          </w:p>
        </w:tc>
        <w:tc>
          <w:tcPr>
            <w:tcW w:w="1313" w:type="pct"/>
            <w:tcBorders>
              <w:top w:val="nil"/>
              <w:left w:val="nil"/>
              <w:bottom w:val="nil"/>
              <w:right w:val="nil"/>
            </w:tcBorders>
          </w:tcPr>
          <w:p w14:paraId="6A08E75D" w14:textId="77777777" w:rsidR="00533683" w:rsidRPr="005B7CAC" w:rsidRDefault="00533683"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0.008</w:t>
            </w:r>
            <w:r w:rsidRPr="005B7CAC">
              <w:rPr>
                <w:rFonts w:ascii="Times New Roman" w:hAnsi="Times New Roman"/>
                <w:sz w:val="24"/>
                <w:szCs w:val="24"/>
                <w:vertAlign w:val="superscript"/>
              </w:rPr>
              <w:t>**</w:t>
            </w:r>
          </w:p>
        </w:tc>
        <w:tc>
          <w:tcPr>
            <w:tcW w:w="1338" w:type="pct"/>
            <w:tcBorders>
              <w:top w:val="nil"/>
              <w:left w:val="nil"/>
              <w:bottom w:val="nil"/>
              <w:right w:val="nil"/>
            </w:tcBorders>
          </w:tcPr>
          <w:p w14:paraId="72A0CF85" w14:textId="77777777" w:rsidR="00533683" w:rsidRPr="005B7CAC" w:rsidRDefault="00533683"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0.020</w:t>
            </w:r>
            <w:r w:rsidRPr="005B7CAC">
              <w:rPr>
                <w:rFonts w:ascii="Times New Roman" w:hAnsi="Times New Roman"/>
                <w:sz w:val="24"/>
                <w:szCs w:val="24"/>
                <w:vertAlign w:val="superscript"/>
              </w:rPr>
              <w:t>***</w:t>
            </w:r>
          </w:p>
        </w:tc>
      </w:tr>
      <w:tr w:rsidR="005B7CAC" w:rsidRPr="005B7CAC" w14:paraId="703CD0BE" w14:textId="77777777" w:rsidTr="00533683">
        <w:tc>
          <w:tcPr>
            <w:tcW w:w="2349" w:type="pct"/>
            <w:tcBorders>
              <w:top w:val="nil"/>
              <w:left w:val="nil"/>
              <w:bottom w:val="nil"/>
              <w:right w:val="nil"/>
            </w:tcBorders>
          </w:tcPr>
          <w:p w14:paraId="037AFD53" w14:textId="77777777" w:rsidR="00533683" w:rsidRPr="005B7CAC" w:rsidRDefault="00533683" w:rsidP="00C90660">
            <w:pPr>
              <w:widowControl w:val="0"/>
              <w:autoSpaceDE w:val="0"/>
              <w:autoSpaceDN w:val="0"/>
              <w:adjustRightInd w:val="0"/>
              <w:spacing w:after="0" w:line="240" w:lineRule="auto"/>
              <w:rPr>
                <w:rFonts w:ascii="Times New Roman" w:hAnsi="Times New Roman"/>
                <w:sz w:val="24"/>
                <w:szCs w:val="24"/>
              </w:rPr>
            </w:pPr>
          </w:p>
        </w:tc>
        <w:tc>
          <w:tcPr>
            <w:tcW w:w="1313" w:type="pct"/>
            <w:tcBorders>
              <w:top w:val="nil"/>
              <w:left w:val="nil"/>
              <w:bottom w:val="nil"/>
              <w:right w:val="nil"/>
            </w:tcBorders>
          </w:tcPr>
          <w:p w14:paraId="20551B64" w14:textId="77777777" w:rsidR="00533683" w:rsidRPr="005B7CAC" w:rsidRDefault="00533683"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(2.31)</w:t>
            </w:r>
          </w:p>
        </w:tc>
        <w:tc>
          <w:tcPr>
            <w:tcW w:w="1338" w:type="pct"/>
            <w:tcBorders>
              <w:top w:val="nil"/>
              <w:left w:val="nil"/>
              <w:bottom w:val="nil"/>
              <w:right w:val="nil"/>
            </w:tcBorders>
          </w:tcPr>
          <w:p w14:paraId="7C0894AE" w14:textId="77777777" w:rsidR="00533683" w:rsidRPr="005B7CAC" w:rsidRDefault="00533683"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(2.69)</w:t>
            </w:r>
          </w:p>
        </w:tc>
      </w:tr>
      <w:tr w:rsidR="005B7CAC" w:rsidRPr="005B7CAC" w14:paraId="0A9E3627" w14:textId="77777777" w:rsidTr="00533683">
        <w:tc>
          <w:tcPr>
            <w:tcW w:w="2349" w:type="pct"/>
            <w:tcBorders>
              <w:top w:val="nil"/>
              <w:left w:val="nil"/>
              <w:bottom w:val="nil"/>
              <w:right w:val="nil"/>
            </w:tcBorders>
          </w:tcPr>
          <w:p w14:paraId="55133BD6" w14:textId="4CF3ABE3" w:rsidR="00533683" w:rsidRPr="005B7CAC" w:rsidRDefault="00533683" w:rsidP="00C90660">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lang w:val="en-US"/>
              </w:rPr>
              <w:t>Controls</w:t>
            </w:r>
          </w:p>
        </w:tc>
        <w:tc>
          <w:tcPr>
            <w:tcW w:w="1313" w:type="pct"/>
            <w:tcBorders>
              <w:top w:val="nil"/>
              <w:left w:val="nil"/>
              <w:bottom w:val="nil"/>
              <w:right w:val="nil"/>
            </w:tcBorders>
          </w:tcPr>
          <w:p w14:paraId="5DEB61EC" w14:textId="0AFFB1D8" w:rsidR="00533683" w:rsidRPr="005B7CAC" w:rsidRDefault="00533683" w:rsidP="00C90660">
            <w:pPr>
              <w:widowControl w:val="0"/>
              <w:autoSpaceDE w:val="0"/>
              <w:autoSpaceDN w:val="0"/>
              <w:adjustRightInd w:val="0"/>
              <w:spacing w:after="0" w:line="240" w:lineRule="auto"/>
              <w:jc w:val="center"/>
              <w:rPr>
                <w:rFonts w:ascii="Times New Roman" w:hAnsi="Times New Roman"/>
                <w:sz w:val="24"/>
                <w:szCs w:val="24"/>
                <w:lang w:val="en-US"/>
              </w:rPr>
            </w:pPr>
            <w:r w:rsidRPr="005B7CAC">
              <w:rPr>
                <w:rFonts w:ascii="Times New Roman" w:hAnsi="Times New Roman"/>
                <w:sz w:val="24"/>
                <w:szCs w:val="24"/>
                <w:lang w:val="en-US"/>
              </w:rPr>
              <w:t>Included</w:t>
            </w:r>
          </w:p>
        </w:tc>
        <w:tc>
          <w:tcPr>
            <w:tcW w:w="1338" w:type="pct"/>
            <w:tcBorders>
              <w:top w:val="nil"/>
              <w:left w:val="nil"/>
              <w:bottom w:val="nil"/>
              <w:right w:val="nil"/>
            </w:tcBorders>
          </w:tcPr>
          <w:p w14:paraId="2A188B21" w14:textId="2D04D46A" w:rsidR="00533683" w:rsidRPr="005B7CAC" w:rsidRDefault="00533683" w:rsidP="00C90660">
            <w:pPr>
              <w:widowControl w:val="0"/>
              <w:autoSpaceDE w:val="0"/>
              <w:autoSpaceDN w:val="0"/>
              <w:adjustRightInd w:val="0"/>
              <w:spacing w:after="0" w:line="240" w:lineRule="auto"/>
              <w:jc w:val="center"/>
              <w:rPr>
                <w:rFonts w:ascii="Times New Roman" w:hAnsi="Times New Roman"/>
                <w:sz w:val="24"/>
                <w:szCs w:val="24"/>
                <w:lang w:val="en-US"/>
              </w:rPr>
            </w:pPr>
            <w:r w:rsidRPr="005B7CAC">
              <w:rPr>
                <w:rFonts w:ascii="Times New Roman" w:hAnsi="Times New Roman"/>
                <w:sz w:val="24"/>
                <w:szCs w:val="24"/>
                <w:lang w:val="en-US"/>
              </w:rPr>
              <w:t>Included</w:t>
            </w:r>
          </w:p>
        </w:tc>
      </w:tr>
      <w:tr w:rsidR="005B7CAC" w:rsidRPr="005B7CAC" w14:paraId="5E0BCC13" w14:textId="77777777" w:rsidTr="00533683">
        <w:tc>
          <w:tcPr>
            <w:tcW w:w="2349" w:type="pct"/>
            <w:tcBorders>
              <w:top w:val="nil"/>
              <w:left w:val="nil"/>
              <w:bottom w:val="single" w:sz="8" w:space="0" w:color="auto"/>
              <w:right w:val="nil"/>
            </w:tcBorders>
          </w:tcPr>
          <w:p w14:paraId="502BE330" w14:textId="0F503223" w:rsidR="00533683" w:rsidRPr="005B7CAC" w:rsidRDefault="00533683" w:rsidP="00C90660">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lang w:val="en-US"/>
              </w:rPr>
              <w:t>Year/Industry FE</w:t>
            </w:r>
          </w:p>
        </w:tc>
        <w:tc>
          <w:tcPr>
            <w:tcW w:w="1313" w:type="pct"/>
            <w:tcBorders>
              <w:top w:val="nil"/>
              <w:left w:val="nil"/>
              <w:bottom w:val="single" w:sz="8" w:space="0" w:color="auto"/>
              <w:right w:val="nil"/>
            </w:tcBorders>
          </w:tcPr>
          <w:p w14:paraId="3EB78772" w14:textId="11E40D62" w:rsidR="00533683" w:rsidRPr="005B7CAC" w:rsidRDefault="00533683" w:rsidP="00C90660">
            <w:pPr>
              <w:widowControl w:val="0"/>
              <w:autoSpaceDE w:val="0"/>
              <w:autoSpaceDN w:val="0"/>
              <w:adjustRightInd w:val="0"/>
              <w:spacing w:after="0" w:line="240" w:lineRule="auto"/>
              <w:jc w:val="center"/>
              <w:rPr>
                <w:rFonts w:ascii="Times New Roman" w:hAnsi="Times New Roman"/>
                <w:sz w:val="24"/>
                <w:szCs w:val="24"/>
                <w:lang w:val="en-US"/>
              </w:rPr>
            </w:pPr>
            <w:r w:rsidRPr="005B7CAC">
              <w:rPr>
                <w:rFonts w:ascii="Times New Roman" w:hAnsi="Times New Roman"/>
                <w:sz w:val="24"/>
                <w:szCs w:val="24"/>
                <w:lang w:val="en-US"/>
              </w:rPr>
              <w:t>Yes</w:t>
            </w:r>
          </w:p>
        </w:tc>
        <w:tc>
          <w:tcPr>
            <w:tcW w:w="1338" w:type="pct"/>
            <w:tcBorders>
              <w:top w:val="nil"/>
              <w:left w:val="nil"/>
              <w:bottom w:val="single" w:sz="8" w:space="0" w:color="auto"/>
              <w:right w:val="nil"/>
            </w:tcBorders>
          </w:tcPr>
          <w:p w14:paraId="21D4068B" w14:textId="6709E983" w:rsidR="00533683" w:rsidRPr="005B7CAC" w:rsidRDefault="00533683" w:rsidP="00C90660">
            <w:pPr>
              <w:widowControl w:val="0"/>
              <w:autoSpaceDE w:val="0"/>
              <w:autoSpaceDN w:val="0"/>
              <w:adjustRightInd w:val="0"/>
              <w:spacing w:after="0" w:line="240" w:lineRule="auto"/>
              <w:jc w:val="center"/>
              <w:rPr>
                <w:rFonts w:ascii="Times New Roman" w:hAnsi="Times New Roman"/>
                <w:sz w:val="24"/>
                <w:szCs w:val="24"/>
                <w:lang w:val="en-US"/>
              </w:rPr>
            </w:pPr>
            <w:r w:rsidRPr="005B7CAC">
              <w:rPr>
                <w:rFonts w:ascii="Times New Roman" w:hAnsi="Times New Roman"/>
                <w:sz w:val="24"/>
                <w:szCs w:val="24"/>
                <w:lang w:val="en-US"/>
              </w:rPr>
              <w:t>Yes</w:t>
            </w:r>
          </w:p>
        </w:tc>
      </w:tr>
      <w:tr w:rsidR="005B7CAC" w:rsidRPr="005B7CAC" w14:paraId="76B732D2" w14:textId="77777777" w:rsidTr="00533683">
        <w:tc>
          <w:tcPr>
            <w:tcW w:w="2349" w:type="pct"/>
            <w:tcBorders>
              <w:top w:val="single" w:sz="8" w:space="0" w:color="auto"/>
              <w:left w:val="nil"/>
              <w:bottom w:val="nil"/>
              <w:right w:val="nil"/>
            </w:tcBorders>
          </w:tcPr>
          <w:p w14:paraId="0B27D5A5" w14:textId="5993E068" w:rsidR="00533683" w:rsidRPr="005B7CAC" w:rsidRDefault="00533683" w:rsidP="00533683">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lang w:val="en-US"/>
              </w:rPr>
              <w:t>Observations</w:t>
            </w:r>
          </w:p>
        </w:tc>
        <w:tc>
          <w:tcPr>
            <w:tcW w:w="1313" w:type="pct"/>
            <w:tcBorders>
              <w:top w:val="single" w:sz="8" w:space="0" w:color="auto"/>
              <w:left w:val="nil"/>
              <w:bottom w:val="nil"/>
              <w:right w:val="nil"/>
            </w:tcBorders>
          </w:tcPr>
          <w:p w14:paraId="123BD085" w14:textId="7CF6ECF8" w:rsidR="00533683" w:rsidRPr="005B7CAC" w:rsidRDefault="00533683" w:rsidP="00533683">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1302</w:t>
            </w:r>
          </w:p>
        </w:tc>
        <w:tc>
          <w:tcPr>
            <w:tcW w:w="1338" w:type="pct"/>
            <w:tcBorders>
              <w:top w:val="single" w:sz="8" w:space="0" w:color="auto"/>
              <w:left w:val="nil"/>
              <w:bottom w:val="nil"/>
              <w:right w:val="nil"/>
            </w:tcBorders>
          </w:tcPr>
          <w:p w14:paraId="1BBB2CED" w14:textId="41E04156" w:rsidR="00533683" w:rsidRPr="005B7CAC" w:rsidRDefault="00533683" w:rsidP="00533683">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1302</w:t>
            </w:r>
          </w:p>
        </w:tc>
      </w:tr>
      <w:tr w:rsidR="005B7CAC" w:rsidRPr="005B7CAC" w14:paraId="034004E5" w14:textId="77777777" w:rsidTr="00533683">
        <w:tc>
          <w:tcPr>
            <w:tcW w:w="2349" w:type="pct"/>
            <w:tcBorders>
              <w:top w:val="nil"/>
              <w:left w:val="nil"/>
              <w:bottom w:val="single" w:sz="12" w:space="0" w:color="auto"/>
              <w:right w:val="nil"/>
            </w:tcBorders>
          </w:tcPr>
          <w:p w14:paraId="6D25A15D" w14:textId="4FC1092C" w:rsidR="00533683" w:rsidRPr="005B7CAC" w:rsidRDefault="00533683" w:rsidP="00533683">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lang w:val="en-US"/>
              </w:rPr>
              <w:t>Adj. R-sq.</w:t>
            </w:r>
          </w:p>
        </w:tc>
        <w:tc>
          <w:tcPr>
            <w:tcW w:w="1313" w:type="pct"/>
            <w:tcBorders>
              <w:top w:val="nil"/>
              <w:left w:val="nil"/>
              <w:bottom w:val="single" w:sz="12" w:space="0" w:color="auto"/>
              <w:right w:val="nil"/>
            </w:tcBorders>
          </w:tcPr>
          <w:p w14:paraId="57AC6F62" w14:textId="77777777" w:rsidR="00533683" w:rsidRPr="005B7CAC" w:rsidRDefault="00533683" w:rsidP="00533683">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0.565</w:t>
            </w:r>
          </w:p>
        </w:tc>
        <w:tc>
          <w:tcPr>
            <w:tcW w:w="1338" w:type="pct"/>
            <w:tcBorders>
              <w:top w:val="nil"/>
              <w:left w:val="nil"/>
              <w:bottom w:val="single" w:sz="12" w:space="0" w:color="auto"/>
              <w:right w:val="nil"/>
            </w:tcBorders>
          </w:tcPr>
          <w:p w14:paraId="0D39F386" w14:textId="77777777" w:rsidR="00533683" w:rsidRPr="005B7CAC" w:rsidRDefault="00533683" w:rsidP="00533683">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0.542</w:t>
            </w:r>
          </w:p>
        </w:tc>
      </w:tr>
    </w:tbl>
    <w:p w14:paraId="2E27680B" w14:textId="77777777" w:rsidR="00762732" w:rsidRPr="005B7CAC" w:rsidRDefault="00762732" w:rsidP="00762732">
      <w:pPr>
        <w:widowControl w:val="0"/>
        <w:autoSpaceDE w:val="0"/>
        <w:autoSpaceDN w:val="0"/>
        <w:adjustRightInd w:val="0"/>
        <w:spacing w:after="0" w:line="240" w:lineRule="auto"/>
        <w:jc w:val="both"/>
        <w:rPr>
          <w:rFonts w:ascii="Times New Roman" w:hAnsi="Times New Roman"/>
          <w:lang w:val="en-US"/>
        </w:rPr>
      </w:pPr>
      <w:r w:rsidRPr="005B7CAC">
        <w:rPr>
          <w:rFonts w:ascii="Times New Roman" w:hAnsi="Times New Roman"/>
          <w:b/>
          <w:iCs/>
          <w:lang w:val="en-US"/>
        </w:rPr>
        <w:t>Note(s):</w:t>
      </w:r>
      <w:r w:rsidRPr="005B7CAC">
        <w:rPr>
          <w:rFonts w:ascii="Times New Roman" w:hAnsi="Times New Roman"/>
          <w:iCs/>
          <w:lang w:val="en-US"/>
        </w:rPr>
        <w:t xml:space="preserve"> This table reports the moderating role of waste recycling (</w:t>
      </w:r>
      <w:r w:rsidRPr="005B7CAC">
        <w:rPr>
          <w:rFonts w:ascii="Times New Roman" w:hAnsi="Times New Roman"/>
          <w:i/>
          <w:lang w:val="en-US"/>
        </w:rPr>
        <w:t>WREC</w:t>
      </w:r>
      <w:r w:rsidRPr="005B7CAC">
        <w:rPr>
          <w:rFonts w:ascii="Times New Roman" w:hAnsi="Times New Roman"/>
          <w:iCs/>
          <w:lang w:val="en-US"/>
        </w:rPr>
        <w:t>) on the link between waste generation (</w:t>
      </w:r>
      <w:r w:rsidRPr="005B7CAC">
        <w:rPr>
          <w:rFonts w:ascii="Times New Roman" w:hAnsi="Times New Roman"/>
          <w:i/>
          <w:lang w:val="en-US"/>
        </w:rPr>
        <w:t>WAST</w:t>
      </w:r>
      <w:r w:rsidRPr="005B7CAC">
        <w:rPr>
          <w:rFonts w:ascii="Times New Roman" w:hAnsi="Times New Roman"/>
          <w:iCs/>
          <w:lang w:val="en-US"/>
        </w:rPr>
        <w:t>) and financial distress (</w:t>
      </w:r>
      <w:r w:rsidRPr="005B7CAC">
        <w:rPr>
          <w:rFonts w:ascii="Times New Roman" w:hAnsi="Times New Roman"/>
          <w:i/>
          <w:lang w:val="en-US"/>
        </w:rPr>
        <w:t>FD</w:t>
      </w:r>
      <w:r w:rsidRPr="005B7CAC">
        <w:rPr>
          <w:rFonts w:ascii="Times New Roman" w:hAnsi="Times New Roman"/>
          <w:iCs/>
          <w:lang w:val="en-US"/>
        </w:rPr>
        <w:t xml:space="preserve">). </w:t>
      </w:r>
      <w:r w:rsidRPr="005B7CAC">
        <w:rPr>
          <w:rFonts w:ascii="Times New Roman" w:hAnsi="Times New Roman"/>
          <w:bCs/>
          <w:lang w:val="en-US"/>
        </w:rPr>
        <w:t xml:space="preserve">Robust </w:t>
      </w:r>
      <w:r w:rsidRPr="005B7CAC">
        <w:rPr>
          <w:rFonts w:ascii="Times New Roman" w:hAnsi="Times New Roman"/>
          <w:bCs/>
          <w:i/>
          <w:lang w:val="en-US"/>
        </w:rPr>
        <w:t>t-statistics</w:t>
      </w:r>
      <w:r w:rsidRPr="005B7CAC">
        <w:rPr>
          <w:rFonts w:ascii="Times New Roman" w:hAnsi="Times New Roman"/>
          <w:bCs/>
          <w:lang w:val="en-US"/>
        </w:rPr>
        <w:t xml:space="preserve"> are presented in parentheses. </w:t>
      </w:r>
      <w:r w:rsidRPr="005B7CAC">
        <w:rPr>
          <w:rFonts w:ascii="Times New Roman" w:hAnsi="Times New Roman"/>
          <w:lang w:val="en-US"/>
        </w:rPr>
        <w:t xml:space="preserve">All the study variables are defined in Table 1. * </w:t>
      </w:r>
      <w:r w:rsidRPr="005B7CAC">
        <w:rPr>
          <w:rFonts w:ascii="Times New Roman" w:hAnsi="Times New Roman"/>
          <w:i/>
          <w:iCs/>
          <w:lang w:val="en-US"/>
        </w:rPr>
        <w:t>p</w:t>
      </w:r>
      <w:r w:rsidRPr="005B7CAC">
        <w:rPr>
          <w:rFonts w:ascii="Times New Roman" w:hAnsi="Times New Roman"/>
          <w:lang w:val="en-US"/>
        </w:rPr>
        <w:t xml:space="preserve"> &lt; 0.1, ** </w:t>
      </w:r>
      <w:r w:rsidRPr="005B7CAC">
        <w:rPr>
          <w:rFonts w:ascii="Times New Roman" w:hAnsi="Times New Roman"/>
          <w:i/>
          <w:iCs/>
          <w:lang w:val="en-US"/>
        </w:rPr>
        <w:t>p</w:t>
      </w:r>
      <w:r w:rsidRPr="005B7CAC">
        <w:rPr>
          <w:rFonts w:ascii="Times New Roman" w:hAnsi="Times New Roman"/>
          <w:lang w:val="en-US"/>
        </w:rPr>
        <w:t xml:space="preserve"> &lt; 0.05, *** </w:t>
      </w:r>
      <w:r w:rsidRPr="005B7CAC">
        <w:rPr>
          <w:rFonts w:ascii="Times New Roman" w:hAnsi="Times New Roman"/>
          <w:i/>
          <w:iCs/>
          <w:lang w:val="en-US"/>
        </w:rPr>
        <w:t>p</w:t>
      </w:r>
      <w:r w:rsidRPr="005B7CAC">
        <w:rPr>
          <w:rFonts w:ascii="Times New Roman" w:hAnsi="Times New Roman"/>
          <w:lang w:val="en-US"/>
        </w:rPr>
        <w:t xml:space="preserve"> &lt; 0.01.</w:t>
      </w:r>
    </w:p>
    <w:p w14:paraId="38CF2B97" w14:textId="77777777" w:rsidR="00762732" w:rsidRPr="005B7CAC" w:rsidRDefault="00762732" w:rsidP="00762732">
      <w:pPr>
        <w:widowControl w:val="0"/>
        <w:autoSpaceDE w:val="0"/>
        <w:autoSpaceDN w:val="0"/>
        <w:adjustRightInd w:val="0"/>
        <w:spacing w:after="0" w:line="240" w:lineRule="auto"/>
        <w:jc w:val="both"/>
        <w:rPr>
          <w:rFonts w:ascii="Times New Roman" w:hAnsi="Times New Roman"/>
          <w:lang w:val="en-US"/>
        </w:rPr>
      </w:pPr>
      <w:r w:rsidRPr="005B7CAC">
        <w:rPr>
          <w:rFonts w:ascii="Times New Roman" w:hAnsi="Times New Roman"/>
          <w:b/>
          <w:lang w:val="en-US"/>
        </w:rPr>
        <w:t>Source:</w:t>
      </w:r>
      <w:r w:rsidRPr="005B7CAC">
        <w:rPr>
          <w:rFonts w:ascii="Times New Roman" w:hAnsi="Times New Roman"/>
          <w:lang w:val="en-US"/>
        </w:rPr>
        <w:t xml:space="preserve"> Table prepared by the authors.</w:t>
      </w:r>
    </w:p>
    <w:p w14:paraId="6555C28F" w14:textId="77777777" w:rsidR="00004FA3" w:rsidRPr="005B7CAC" w:rsidRDefault="00004FA3" w:rsidP="00CD4FCC">
      <w:pPr>
        <w:widowControl w:val="0"/>
        <w:autoSpaceDE w:val="0"/>
        <w:autoSpaceDN w:val="0"/>
        <w:adjustRightInd w:val="0"/>
        <w:spacing w:after="240" w:line="240" w:lineRule="auto"/>
        <w:rPr>
          <w:rFonts w:ascii="Times New Roman" w:hAnsi="Times New Roman"/>
          <w:b/>
          <w:sz w:val="24"/>
          <w:szCs w:val="24"/>
          <w:lang w:val="en-US"/>
        </w:rPr>
      </w:pPr>
    </w:p>
    <w:p w14:paraId="2E5E9589" w14:textId="77777777" w:rsidR="00004FA3" w:rsidRPr="005B7CAC" w:rsidRDefault="00004FA3" w:rsidP="00CD4FCC">
      <w:pPr>
        <w:widowControl w:val="0"/>
        <w:autoSpaceDE w:val="0"/>
        <w:autoSpaceDN w:val="0"/>
        <w:adjustRightInd w:val="0"/>
        <w:spacing w:after="240" w:line="240" w:lineRule="auto"/>
        <w:rPr>
          <w:rFonts w:ascii="Times New Roman" w:hAnsi="Times New Roman"/>
          <w:b/>
          <w:sz w:val="24"/>
          <w:szCs w:val="24"/>
          <w:lang w:val="en-US"/>
        </w:rPr>
      </w:pPr>
    </w:p>
    <w:p w14:paraId="4FD7C466" w14:textId="77777777" w:rsidR="00004FA3" w:rsidRPr="005B7CAC" w:rsidRDefault="00004FA3" w:rsidP="00CD4FCC">
      <w:pPr>
        <w:widowControl w:val="0"/>
        <w:autoSpaceDE w:val="0"/>
        <w:autoSpaceDN w:val="0"/>
        <w:adjustRightInd w:val="0"/>
        <w:spacing w:after="240" w:line="240" w:lineRule="auto"/>
        <w:rPr>
          <w:rFonts w:ascii="Times New Roman" w:hAnsi="Times New Roman"/>
          <w:b/>
          <w:sz w:val="24"/>
          <w:szCs w:val="24"/>
          <w:lang w:val="en-US"/>
        </w:rPr>
      </w:pPr>
    </w:p>
    <w:p w14:paraId="596262EE" w14:textId="77777777" w:rsidR="00004FA3" w:rsidRPr="005B7CAC" w:rsidRDefault="00004FA3" w:rsidP="00CD4FCC">
      <w:pPr>
        <w:widowControl w:val="0"/>
        <w:autoSpaceDE w:val="0"/>
        <w:autoSpaceDN w:val="0"/>
        <w:adjustRightInd w:val="0"/>
        <w:spacing w:after="240" w:line="240" w:lineRule="auto"/>
        <w:rPr>
          <w:rFonts w:ascii="Times New Roman" w:hAnsi="Times New Roman"/>
          <w:b/>
          <w:sz w:val="24"/>
          <w:szCs w:val="24"/>
          <w:lang w:val="en-US"/>
        </w:rPr>
      </w:pPr>
    </w:p>
    <w:p w14:paraId="21F9D2D5" w14:textId="77777777" w:rsidR="00004FA3" w:rsidRPr="005B7CAC" w:rsidRDefault="00004FA3" w:rsidP="00CD4FCC">
      <w:pPr>
        <w:widowControl w:val="0"/>
        <w:autoSpaceDE w:val="0"/>
        <w:autoSpaceDN w:val="0"/>
        <w:adjustRightInd w:val="0"/>
        <w:spacing w:after="240" w:line="240" w:lineRule="auto"/>
        <w:rPr>
          <w:rFonts w:ascii="Times New Roman" w:hAnsi="Times New Roman"/>
          <w:b/>
          <w:sz w:val="24"/>
          <w:szCs w:val="24"/>
          <w:lang w:val="en-US"/>
        </w:rPr>
      </w:pPr>
    </w:p>
    <w:p w14:paraId="659C6481" w14:textId="77777777" w:rsidR="00004FA3" w:rsidRPr="005B7CAC" w:rsidRDefault="00004FA3" w:rsidP="00CD4FCC">
      <w:pPr>
        <w:widowControl w:val="0"/>
        <w:autoSpaceDE w:val="0"/>
        <w:autoSpaceDN w:val="0"/>
        <w:adjustRightInd w:val="0"/>
        <w:spacing w:after="240" w:line="240" w:lineRule="auto"/>
        <w:rPr>
          <w:rFonts w:ascii="Times New Roman" w:hAnsi="Times New Roman"/>
          <w:b/>
          <w:sz w:val="24"/>
          <w:szCs w:val="24"/>
          <w:lang w:val="en-US"/>
        </w:rPr>
      </w:pPr>
    </w:p>
    <w:p w14:paraId="189B2A6D" w14:textId="77777777" w:rsidR="00004FA3" w:rsidRPr="005B7CAC" w:rsidRDefault="00004FA3" w:rsidP="00CD4FCC">
      <w:pPr>
        <w:widowControl w:val="0"/>
        <w:autoSpaceDE w:val="0"/>
        <w:autoSpaceDN w:val="0"/>
        <w:adjustRightInd w:val="0"/>
        <w:spacing w:after="240" w:line="240" w:lineRule="auto"/>
        <w:rPr>
          <w:rFonts w:ascii="Times New Roman" w:hAnsi="Times New Roman"/>
          <w:b/>
          <w:sz w:val="24"/>
          <w:szCs w:val="24"/>
          <w:lang w:val="en-US"/>
        </w:rPr>
      </w:pPr>
    </w:p>
    <w:p w14:paraId="78F8F2E2" w14:textId="77777777" w:rsidR="00004FA3" w:rsidRPr="005B7CAC" w:rsidRDefault="00004FA3" w:rsidP="00CD4FCC">
      <w:pPr>
        <w:widowControl w:val="0"/>
        <w:autoSpaceDE w:val="0"/>
        <w:autoSpaceDN w:val="0"/>
        <w:adjustRightInd w:val="0"/>
        <w:spacing w:after="240" w:line="240" w:lineRule="auto"/>
        <w:rPr>
          <w:rFonts w:ascii="Times New Roman" w:hAnsi="Times New Roman"/>
          <w:b/>
          <w:sz w:val="24"/>
          <w:szCs w:val="24"/>
          <w:lang w:val="en-US"/>
        </w:rPr>
      </w:pPr>
    </w:p>
    <w:p w14:paraId="429AFC72" w14:textId="77777777" w:rsidR="00004FA3" w:rsidRPr="005B7CAC" w:rsidRDefault="00004FA3" w:rsidP="00CD4FCC">
      <w:pPr>
        <w:widowControl w:val="0"/>
        <w:autoSpaceDE w:val="0"/>
        <w:autoSpaceDN w:val="0"/>
        <w:adjustRightInd w:val="0"/>
        <w:spacing w:after="240" w:line="240" w:lineRule="auto"/>
        <w:rPr>
          <w:rFonts w:ascii="Times New Roman" w:hAnsi="Times New Roman"/>
          <w:b/>
          <w:sz w:val="24"/>
          <w:szCs w:val="24"/>
          <w:lang w:val="en-US"/>
        </w:rPr>
      </w:pPr>
    </w:p>
    <w:p w14:paraId="249C0DB0" w14:textId="77777777" w:rsidR="00004FA3" w:rsidRPr="005B7CAC" w:rsidRDefault="00004FA3" w:rsidP="00CD4FCC">
      <w:pPr>
        <w:widowControl w:val="0"/>
        <w:autoSpaceDE w:val="0"/>
        <w:autoSpaceDN w:val="0"/>
        <w:adjustRightInd w:val="0"/>
        <w:spacing w:after="240" w:line="240" w:lineRule="auto"/>
        <w:rPr>
          <w:rFonts w:ascii="Times New Roman" w:hAnsi="Times New Roman"/>
          <w:b/>
          <w:sz w:val="24"/>
          <w:szCs w:val="24"/>
          <w:lang w:val="en-US"/>
        </w:rPr>
      </w:pPr>
    </w:p>
    <w:p w14:paraId="3FA36F69" w14:textId="77777777" w:rsidR="00DC5D79" w:rsidRPr="005B7CAC" w:rsidRDefault="00DC5D79" w:rsidP="00CD4FCC">
      <w:pPr>
        <w:widowControl w:val="0"/>
        <w:autoSpaceDE w:val="0"/>
        <w:autoSpaceDN w:val="0"/>
        <w:adjustRightInd w:val="0"/>
        <w:spacing w:after="240" w:line="240" w:lineRule="auto"/>
        <w:rPr>
          <w:rFonts w:ascii="Times New Roman" w:hAnsi="Times New Roman"/>
          <w:b/>
          <w:sz w:val="24"/>
          <w:szCs w:val="24"/>
          <w:lang w:val="en-US"/>
        </w:rPr>
      </w:pPr>
    </w:p>
    <w:p w14:paraId="25B8490C" w14:textId="77777777" w:rsidR="00DC5D79" w:rsidRPr="005B7CAC" w:rsidRDefault="00DC5D79" w:rsidP="00CD4FCC">
      <w:pPr>
        <w:widowControl w:val="0"/>
        <w:autoSpaceDE w:val="0"/>
        <w:autoSpaceDN w:val="0"/>
        <w:adjustRightInd w:val="0"/>
        <w:spacing w:after="240" w:line="240" w:lineRule="auto"/>
        <w:rPr>
          <w:rFonts w:ascii="Times New Roman" w:hAnsi="Times New Roman"/>
          <w:b/>
          <w:sz w:val="24"/>
          <w:szCs w:val="24"/>
          <w:lang w:val="en-US"/>
        </w:rPr>
      </w:pPr>
    </w:p>
    <w:p w14:paraId="3A3A47E5" w14:textId="77777777" w:rsidR="00DC5D79" w:rsidRPr="005B7CAC" w:rsidRDefault="00DC5D79" w:rsidP="00CD4FCC">
      <w:pPr>
        <w:widowControl w:val="0"/>
        <w:autoSpaceDE w:val="0"/>
        <w:autoSpaceDN w:val="0"/>
        <w:adjustRightInd w:val="0"/>
        <w:spacing w:after="240" w:line="240" w:lineRule="auto"/>
        <w:rPr>
          <w:rFonts w:ascii="Times New Roman" w:hAnsi="Times New Roman"/>
          <w:b/>
          <w:sz w:val="24"/>
          <w:szCs w:val="24"/>
          <w:lang w:val="en-US"/>
        </w:rPr>
      </w:pPr>
    </w:p>
    <w:p w14:paraId="334F1C1D" w14:textId="77777777" w:rsidR="00DC5D79" w:rsidRPr="005B7CAC" w:rsidRDefault="00DC5D79" w:rsidP="00CD4FCC">
      <w:pPr>
        <w:widowControl w:val="0"/>
        <w:autoSpaceDE w:val="0"/>
        <w:autoSpaceDN w:val="0"/>
        <w:adjustRightInd w:val="0"/>
        <w:spacing w:after="240" w:line="240" w:lineRule="auto"/>
        <w:rPr>
          <w:rFonts w:ascii="Times New Roman" w:hAnsi="Times New Roman"/>
          <w:b/>
          <w:sz w:val="24"/>
          <w:szCs w:val="24"/>
          <w:lang w:val="en-US"/>
        </w:rPr>
      </w:pPr>
    </w:p>
    <w:p w14:paraId="14782CEF" w14:textId="77777777" w:rsidR="007A08F8" w:rsidRPr="005B7CAC" w:rsidRDefault="007A08F8" w:rsidP="00CD4FCC">
      <w:pPr>
        <w:widowControl w:val="0"/>
        <w:autoSpaceDE w:val="0"/>
        <w:autoSpaceDN w:val="0"/>
        <w:adjustRightInd w:val="0"/>
        <w:spacing w:after="240" w:line="240" w:lineRule="auto"/>
        <w:rPr>
          <w:rFonts w:ascii="Times New Roman" w:hAnsi="Times New Roman"/>
          <w:b/>
          <w:sz w:val="24"/>
          <w:szCs w:val="24"/>
          <w:lang w:val="en-US"/>
        </w:rPr>
      </w:pPr>
    </w:p>
    <w:p w14:paraId="690AFE45" w14:textId="77777777" w:rsidR="00FA5B4C" w:rsidRPr="005B7CAC" w:rsidRDefault="00FA5B4C" w:rsidP="00CD4FCC">
      <w:pPr>
        <w:widowControl w:val="0"/>
        <w:autoSpaceDE w:val="0"/>
        <w:autoSpaceDN w:val="0"/>
        <w:adjustRightInd w:val="0"/>
        <w:spacing w:after="240" w:line="240" w:lineRule="auto"/>
        <w:rPr>
          <w:rFonts w:ascii="Times New Roman" w:hAnsi="Times New Roman"/>
          <w:b/>
          <w:sz w:val="24"/>
          <w:szCs w:val="24"/>
          <w:lang w:val="en-US"/>
        </w:rPr>
      </w:pPr>
    </w:p>
    <w:p w14:paraId="61608C23" w14:textId="77777777" w:rsidR="00DA6FDF" w:rsidRPr="005B7CAC" w:rsidRDefault="00854DFB" w:rsidP="00CD4FCC">
      <w:pPr>
        <w:widowControl w:val="0"/>
        <w:autoSpaceDE w:val="0"/>
        <w:autoSpaceDN w:val="0"/>
        <w:adjustRightInd w:val="0"/>
        <w:spacing w:after="240" w:line="240" w:lineRule="auto"/>
        <w:rPr>
          <w:rFonts w:ascii="Times New Roman" w:hAnsi="Times New Roman"/>
          <w:sz w:val="24"/>
          <w:szCs w:val="24"/>
          <w:lang w:val="en-US"/>
        </w:rPr>
      </w:pPr>
      <w:r w:rsidRPr="005B7CAC">
        <w:rPr>
          <w:rFonts w:ascii="Times New Roman" w:hAnsi="Times New Roman"/>
          <w:b/>
          <w:sz w:val="24"/>
          <w:szCs w:val="24"/>
          <w:lang w:val="en-US"/>
        </w:rPr>
        <w:lastRenderedPageBreak/>
        <w:t>Table 7</w:t>
      </w:r>
      <w:r w:rsidR="00CD4FCC" w:rsidRPr="005B7CAC">
        <w:rPr>
          <w:rFonts w:ascii="Times New Roman" w:hAnsi="Times New Roman"/>
          <w:b/>
          <w:sz w:val="24"/>
          <w:szCs w:val="24"/>
          <w:lang w:val="en-US"/>
        </w:rPr>
        <w:t>.</w:t>
      </w:r>
      <w:r w:rsidR="00CD4FCC" w:rsidRPr="005B7CAC">
        <w:rPr>
          <w:rFonts w:ascii="Times New Roman" w:hAnsi="Times New Roman"/>
          <w:sz w:val="24"/>
          <w:szCs w:val="24"/>
          <w:lang w:val="en-US"/>
        </w:rPr>
        <w:t xml:space="preserve"> Robustness tests: alternative measures</w:t>
      </w:r>
    </w:p>
    <w:tbl>
      <w:tblPr>
        <w:tblW w:w="5000" w:type="pct"/>
        <w:tblLook w:val="0000" w:firstRow="0" w:lastRow="0" w:firstColumn="0" w:lastColumn="0" w:noHBand="0" w:noVBand="0"/>
      </w:tblPr>
      <w:tblGrid>
        <w:gridCol w:w="2689"/>
        <w:gridCol w:w="1901"/>
        <w:gridCol w:w="1901"/>
        <w:gridCol w:w="1599"/>
        <w:gridCol w:w="1599"/>
      </w:tblGrid>
      <w:tr w:rsidR="005B7CAC" w:rsidRPr="00DE13CA" w14:paraId="6D7B5BAE" w14:textId="77777777" w:rsidTr="00BB6BD1">
        <w:tc>
          <w:tcPr>
            <w:tcW w:w="5000" w:type="pct"/>
            <w:gridSpan w:val="5"/>
            <w:tcBorders>
              <w:top w:val="single" w:sz="12" w:space="0" w:color="auto"/>
              <w:left w:val="nil"/>
              <w:bottom w:val="nil"/>
              <w:right w:val="nil"/>
            </w:tcBorders>
          </w:tcPr>
          <w:p w14:paraId="2D13D912" w14:textId="69C14905" w:rsidR="00BB6BD1" w:rsidRPr="005B7CAC" w:rsidRDefault="00BB6BD1" w:rsidP="00BB6BD1">
            <w:pPr>
              <w:widowControl w:val="0"/>
              <w:autoSpaceDE w:val="0"/>
              <w:autoSpaceDN w:val="0"/>
              <w:adjustRightInd w:val="0"/>
              <w:spacing w:after="0" w:line="240" w:lineRule="auto"/>
              <w:rPr>
                <w:rFonts w:ascii="Times New Roman" w:hAnsi="Times New Roman"/>
                <w:b/>
                <w:bCs/>
                <w:sz w:val="24"/>
                <w:szCs w:val="24"/>
                <w:lang w:val="en-US"/>
              </w:rPr>
            </w:pPr>
            <w:r w:rsidRPr="005B7CAC">
              <w:rPr>
                <w:rFonts w:ascii="Times New Roman" w:hAnsi="Times New Roman"/>
                <w:b/>
                <w:i/>
                <w:iCs/>
                <w:lang w:val="en-US"/>
              </w:rPr>
              <w:t>Panel A: Alternative measure of financial distress</w:t>
            </w:r>
          </w:p>
        </w:tc>
      </w:tr>
      <w:tr w:rsidR="005B7CAC" w:rsidRPr="005B7CAC" w14:paraId="466F71A8" w14:textId="77777777" w:rsidTr="00BB6BD1">
        <w:tc>
          <w:tcPr>
            <w:tcW w:w="1388" w:type="pct"/>
            <w:tcBorders>
              <w:top w:val="single" w:sz="12" w:space="0" w:color="auto"/>
              <w:left w:val="nil"/>
              <w:bottom w:val="nil"/>
              <w:right w:val="nil"/>
            </w:tcBorders>
          </w:tcPr>
          <w:p w14:paraId="6AF66BEF" w14:textId="77777777" w:rsidR="004E3D4C" w:rsidRPr="005B7CAC" w:rsidRDefault="004E3D4C" w:rsidP="00C90660">
            <w:pPr>
              <w:widowControl w:val="0"/>
              <w:autoSpaceDE w:val="0"/>
              <w:autoSpaceDN w:val="0"/>
              <w:adjustRightInd w:val="0"/>
              <w:spacing w:after="0" w:line="240" w:lineRule="auto"/>
              <w:rPr>
                <w:rFonts w:ascii="Times New Roman" w:hAnsi="Times New Roman"/>
                <w:b/>
                <w:bCs/>
                <w:sz w:val="24"/>
                <w:szCs w:val="24"/>
                <w:lang w:val="en-US"/>
              </w:rPr>
            </w:pPr>
          </w:p>
        </w:tc>
        <w:tc>
          <w:tcPr>
            <w:tcW w:w="981" w:type="pct"/>
            <w:tcBorders>
              <w:top w:val="single" w:sz="12" w:space="0" w:color="auto"/>
              <w:left w:val="nil"/>
              <w:bottom w:val="nil"/>
              <w:right w:val="nil"/>
            </w:tcBorders>
          </w:tcPr>
          <w:p w14:paraId="0A9799B4"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(1)</w:t>
            </w:r>
          </w:p>
        </w:tc>
        <w:tc>
          <w:tcPr>
            <w:tcW w:w="981" w:type="pct"/>
            <w:tcBorders>
              <w:top w:val="single" w:sz="12" w:space="0" w:color="auto"/>
              <w:left w:val="nil"/>
              <w:bottom w:val="nil"/>
              <w:right w:val="nil"/>
            </w:tcBorders>
          </w:tcPr>
          <w:p w14:paraId="74F034D3"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(2)</w:t>
            </w:r>
          </w:p>
        </w:tc>
        <w:tc>
          <w:tcPr>
            <w:tcW w:w="825" w:type="pct"/>
            <w:tcBorders>
              <w:top w:val="single" w:sz="12" w:space="0" w:color="auto"/>
              <w:left w:val="nil"/>
              <w:bottom w:val="nil"/>
              <w:right w:val="nil"/>
            </w:tcBorders>
          </w:tcPr>
          <w:p w14:paraId="3E2789D3"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(3)</w:t>
            </w:r>
          </w:p>
        </w:tc>
        <w:tc>
          <w:tcPr>
            <w:tcW w:w="825" w:type="pct"/>
            <w:tcBorders>
              <w:top w:val="single" w:sz="12" w:space="0" w:color="auto"/>
              <w:left w:val="nil"/>
              <w:bottom w:val="nil"/>
              <w:right w:val="nil"/>
            </w:tcBorders>
          </w:tcPr>
          <w:p w14:paraId="0DDF3135"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(4)</w:t>
            </w:r>
          </w:p>
        </w:tc>
      </w:tr>
      <w:tr w:rsidR="005B7CAC" w:rsidRPr="005B7CAC" w14:paraId="2675BD3F" w14:textId="77777777" w:rsidTr="00BB6BD1">
        <w:tc>
          <w:tcPr>
            <w:tcW w:w="1388" w:type="pct"/>
            <w:tcBorders>
              <w:top w:val="nil"/>
              <w:left w:val="nil"/>
              <w:bottom w:val="single" w:sz="8" w:space="0" w:color="auto"/>
              <w:right w:val="nil"/>
            </w:tcBorders>
          </w:tcPr>
          <w:p w14:paraId="3C6804BC" w14:textId="77777777" w:rsidR="004E3D4C" w:rsidRPr="005B7CAC" w:rsidRDefault="004E3D4C" w:rsidP="00C90660">
            <w:pPr>
              <w:widowControl w:val="0"/>
              <w:autoSpaceDE w:val="0"/>
              <w:autoSpaceDN w:val="0"/>
              <w:adjustRightInd w:val="0"/>
              <w:spacing w:after="0" w:line="240" w:lineRule="auto"/>
              <w:rPr>
                <w:rFonts w:ascii="Times New Roman" w:hAnsi="Times New Roman"/>
                <w:b/>
                <w:bCs/>
                <w:sz w:val="24"/>
                <w:szCs w:val="24"/>
              </w:rPr>
            </w:pPr>
          </w:p>
        </w:tc>
        <w:tc>
          <w:tcPr>
            <w:tcW w:w="981" w:type="pct"/>
            <w:tcBorders>
              <w:top w:val="nil"/>
              <w:left w:val="nil"/>
              <w:bottom w:val="single" w:sz="8" w:space="0" w:color="auto"/>
              <w:right w:val="nil"/>
            </w:tcBorders>
          </w:tcPr>
          <w:p w14:paraId="7D8A7DCE" w14:textId="07E2AA3A" w:rsidR="004E3D4C" w:rsidRPr="005B7CAC" w:rsidRDefault="004E3D4C" w:rsidP="00C90660">
            <w:pPr>
              <w:widowControl w:val="0"/>
              <w:autoSpaceDE w:val="0"/>
              <w:autoSpaceDN w:val="0"/>
              <w:adjustRightInd w:val="0"/>
              <w:spacing w:after="0" w:line="240" w:lineRule="auto"/>
              <w:jc w:val="center"/>
              <w:rPr>
                <w:rFonts w:ascii="Times New Roman" w:hAnsi="Times New Roman"/>
                <w:b/>
                <w:bCs/>
                <w:sz w:val="24"/>
                <w:szCs w:val="24"/>
                <w:lang w:val="en-US"/>
              </w:rPr>
            </w:pPr>
            <w:r w:rsidRPr="005B7CAC">
              <w:rPr>
                <w:rFonts w:ascii="Times New Roman" w:hAnsi="Times New Roman"/>
                <w:b/>
                <w:bCs/>
                <w:sz w:val="24"/>
                <w:szCs w:val="24"/>
              </w:rPr>
              <w:t>KZ_IND</w:t>
            </w:r>
          </w:p>
        </w:tc>
        <w:tc>
          <w:tcPr>
            <w:tcW w:w="981" w:type="pct"/>
            <w:tcBorders>
              <w:top w:val="nil"/>
              <w:left w:val="nil"/>
              <w:bottom w:val="single" w:sz="8" w:space="0" w:color="auto"/>
              <w:right w:val="nil"/>
            </w:tcBorders>
          </w:tcPr>
          <w:p w14:paraId="45093C0D" w14:textId="10F446D6" w:rsidR="004E3D4C" w:rsidRPr="005B7CAC" w:rsidRDefault="004E3D4C" w:rsidP="00C90660">
            <w:pPr>
              <w:widowControl w:val="0"/>
              <w:autoSpaceDE w:val="0"/>
              <w:autoSpaceDN w:val="0"/>
              <w:adjustRightInd w:val="0"/>
              <w:spacing w:after="0" w:line="240" w:lineRule="auto"/>
              <w:jc w:val="center"/>
              <w:rPr>
                <w:rFonts w:ascii="Times New Roman" w:hAnsi="Times New Roman"/>
                <w:b/>
                <w:bCs/>
                <w:sz w:val="24"/>
                <w:szCs w:val="24"/>
                <w:lang w:val="en-US"/>
              </w:rPr>
            </w:pPr>
            <w:r w:rsidRPr="005B7CAC">
              <w:rPr>
                <w:rFonts w:ascii="Times New Roman" w:hAnsi="Times New Roman"/>
                <w:b/>
                <w:bCs/>
                <w:sz w:val="24"/>
                <w:szCs w:val="24"/>
              </w:rPr>
              <w:t>KZ</w:t>
            </w:r>
            <w:r w:rsidRPr="005B7CAC">
              <w:rPr>
                <w:rFonts w:ascii="Times New Roman" w:hAnsi="Times New Roman"/>
                <w:b/>
                <w:bCs/>
                <w:sz w:val="24"/>
                <w:szCs w:val="24"/>
                <w:lang w:val="en-US"/>
              </w:rPr>
              <w:t>_IND</w:t>
            </w:r>
          </w:p>
        </w:tc>
        <w:tc>
          <w:tcPr>
            <w:tcW w:w="825" w:type="pct"/>
            <w:tcBorders>
              <w:top w:val="nil"/>
              <w:left w:val="nil"/>
              <w:bottom w:val="single" w:sz="8" w:space="0" w:color="auto"/>
              <w:right w:val="nil"/>
            </w:tcBorders>
          </w:tcPr>
          <w:p w14:paraId="0E518E13" w14:textId="1D619774" w:rsidR="004E3D4C" w:rsidRPr="005B7CAC" w:rsidRDefault="004E3D4C" w:rsidP="00C90660">
            <w:pPr>
              <w:widowControl w:val="0"/>
              <w:autoSpaceDE w:val="0"/>
              <w:autoSpaceDN w:val="0"/>
              <w:adjustRightInd w:val="0"/>
              <w:spacing w:after="0" w:line="240" w:lineRule="auto"/>
              <w:jc w:val="center"/>
              <w:rPr>
                <w:rFonts w:ascii="Times New Roman" w:hAnsi="Times New Roman"/>
                <w:b/>
                <w:bCs/>
                <w:sz w:val="24"/>
                <w:szCs w:val="24"/>
                <w:lang w:val="en-US"/>
              </w:rPr>
            </w:pPr>
            <w:r w:rsidRPr="005B7CAC">
              <w:rPr>
                <w:rFonts w:ascii="Times New Roman" w:hAnsi="Times New Roman"/>
                <w:b/>
                <w:bCs/>
                <w:sz w:val="24"/>
                <w:szCs w:val="24"/>
              </w:rPr>
              <w:t>KZ</w:t>
            </w:r>
            <w:r w:rsidRPr="005B7CAC">
              <w:rPr>
                <w:rFonts w:ascii="Times New Roman" w:hAnsi="Times New Roman"/>
                <w:b/>
                <w:bCs/>
                <w:sz w:val="24"/>
                <w:szCs w:val="24"/>
                <w:lang w:val="en-US"/>
              </w:rPr>
              <w:t>_IND</w:t>
            </w:r>
          </w:p>
        </w:tc>
        <w:tc>
          <w:tcPr>
            <w:tcW w:w="825" w:type="pct"/>
            <w:tcBorders>
              <w:top w:val="nil"/>
              <w:left w:val="nil"/>
              <w:bottom w:val="single" w:sz="8" w:space="0" w:color="auto"/>
              <w:right w:val="nil"/>
            </w:tcBorders>
          </w:tcPr>
          <w:p w14:paraId="69C43016" w14:textId="23DD7BB4" w:rsidR="004E3D4C" w:rsidRPr="005B7CAC" w:rsidRDefault="004E3D4C" w:rsidP="00C90660">
            <w:pPr>
              <w:widowControl w:val="0"/>
              <w:autoSpaceDE w:val="0"/>
              <w:autoSpaceDN w:val="0"/>
              <w:adjustRightInd w:val="0"/>
              <w:spacing w:after="0" w:line="240" w:lineRule="auto"/>
              <w:jc w:val="center"/>
              <w:rPr>
                <w:rFonts w:ascii="Times New Roman" w:hAnsi="Times New Roman"/>
                <w:b/>
                <w:bCs/>
                <w:sz w:val="24"/>
                <w:szCs w:val="24"/>
                <w:lang w:val="en-US"/>
              </w:rPr>
            </w:pPr>
            <w:r w:rsidRPr="005B7CAC">
              <w:rPr>
                <w:rFonts w:ascii="Times New Roman" w:hAnsi="Times New Roman"/>
                <w:b/>
                <w:bCs/>
                <w:sz w:val="24"/>
                <w:szCs w:val="24"/>
              </w:rPr>
              <w:t>KZ</w:t>
            </w:r>
            <w:r w:rsidRPr="005B7CAC">
              <w:rPr>
                <w:rFonts w:ascii="Times New Roman" w:hAnsi="Times New Roman"/>
                <w:b/>
                <w:bCs/>
                <w:sz w:val="24"/>
                <w:szCs w:val="24"/>
                <w:lang w:val="en-US"/>
              </w:rPr>
              <w:t>_IND</w:t>
            </w:r>
          </w:p>
        </w:tc>
      </w:tr>
      <w:tr w:rsidR="005B7CAC" w:rsidRPr="005B7CAC" w14:paraId="6F578B4A" w14:textId="77777777" w:rsidTr="00BB6BD1">
        <w:tc>
          <w:tcPr>
            <w:tcW w:w="1388" w:type="pct"/>
            <w:tcBorders>
              <w:top w:val="single" w:sz="8" w:space="0" w:color="auto"/>
              <w:left w:val="nil"/>
              <w:bottom w:val="nil"/>
              <w:right w:val="nil"/>
            </w:tcBorders>
          </w:tcPr>
          <w:p w14:paraId="0DE9DA07" w14:textId="57CE6C59" w:rsidR="004E3D4C" w:rsidRPr="005B7CAC" w:rsidRDefault="004E3D4C" w:rsidP="00C90660">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rPr>
              <w:t>W</w:t>
            </w:r>
            <w:r w:rsidRPr="005B7CAC">
              <w:rPr>
                <w:rFonts w:ascii="Times New Roman" w:hAnsi="Times New Roman"/>
                <w:sz w:val="24"/>
                <w:szCs w:val="24"/>
                <w:lang w:val="en-US"/>
              </w:rPr>
              <w:t>AST</w:t>
            </w:r>
          </w:p>
        </w:tc>
        <w:tc>
          <w:tcPr>
            <w:tcW w:w="981" w:type="pct"/>
            <w:tcBorders>
              <w:top w:val="single" w:sz="8" w:space="0" w:color="auto"/>
              <w:left w:val="nil"/>
              <w:bottom w:val="nil"/>
              <w:right w:val="nil"/>
            </w:tcBorders>
          </w:tcPr>
          <w:p w14:paraId="5F5E0499"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0.012</w:t>
            </w:r>
            <w:r w:rsidRPr="005B7CAC">
              <w:rPr>
                <w:rFonts w:ascii="Times New Roman" w:hAnsi="Times New Roman"/>
                <w:sz w:val="24"/>
                <w:szCs w:val="24"/>
                <w:vertAlign w:val="superscript"/>
              </w:rPr>
              <w:t>*</w:t>
            </w:r>
          </w:p>
        </w:tc>
        <w:tc>
          <w:tcPr>
            <w:tcW w:w="981" w:type="pct"/>
            <w:tcBorders>
              <w:top w:val="single" w:sz="8" w:space="0" w:color="auto"/>
              <w:left w:val="nil"/>
              <w:bottom w:val="nil"/>
              <w:right w:val="nil"/>
            </w:tcBorders>
          </w:tcPr>
          <w:p w14:paraId="34E35B6B"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0.080</w:t>
            </w:r>
            <w:r w:rsidRPr="005B7CAC">
              <w:rPr>
                <w:rFonts w:ascii="Times New Roman" w:hAnsi="Times New Roman"/>
                <w:sz w:val="24"/>
                <w:szCs w:val="24"/>
                <w:vertAlign w:val="superscript"/>
              </w:rPr>
              <w:t>***</w:t>
            </w:r>
          </w:p>
        </w:tc>
        <w:tc>
          <w:tcPr>
            <w:tcW w:w="825" w:type="pct"/>
            <w:tcBorders>
              <w:top w:val="single" w:sz="8" w:space="0" w:color="auto"/>
              <w:left w:val="nil"/>
              <w:bottom w:val="nil"/>
              <w:right w:val="nil"/>
            </w:tcBorders>
          </w:tcPr>
          <w:p w14:paraId="1136D8B0"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sz w:val="24"/>
                <w:szCs w:val="24"/>
              </w:rPr>
            </w:pPr>
          </w:p>
        </w:tc>
        <w:tc>
          <w:tcPr>
            <w:tcW w:w="825" w:type="pct"/>
            <w:tcBorders>
              <w:top w:val="single" w:sz="8" w:space="0" w:color="auto"/>
              <w:left w:val="nil"/>
              <w:bottom w:val="nil"/>
              <w:right w:val="nil"/>
            </w:tcBorders>
          </w:tcPr>
          <w:p w14:paraId="00238FFD"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sz w:val="24"/>
                <w:szCs w:val="24"/>
              </w:rPr>
            </w:pPr>
          </w:p>
        </w:tc>
      </w:tr>
      <w:tr w:rsidR="005B7CAC" w:rsidRPr="005B7CAC" w14:paraId="5F3E0E42" w14:textId="77777777" w:rsidTr="00BB6BD1">
        <w:tc>
          <w:tcPr>
            <w:tcW w:w="1388" w:type="pct"/>
            <w:tcBorders>
              <w:top w:val="nil"/>
              <w:left w:val="nil"/>
              <w:bottom w:val="nil"/>
              <w:right w:val="nil"/>
            </w:tcBorders>
          </w:tcPr>
          <w:p w14:paraId="0C878070" w14:textId="77777777" w:rsidR="004E3D4C" w:rsidRPr="005B7CAC" w:rsidRDefault="004E3D4C" w:rsidP="00C90660">
            <w:pPr>
              <w:widowControl w:val="0"/>
              <w:autoSpaceDE w:val="0"/>
              <w:autoSpaceDN w:val="0"/>
              <w:adjustRightInd w:val="0"/>
              <w:spacing w:after="0" w:line="240" w:lineRule="auto"/>
              <w:rPr>
                <w:rFonts w:ascii="Times New Roman" w:hAnsi="Times New Roman"/>
                <w:sz w:val="24"/>
                <w:szCs w:val="24"/>
              </w:rPr>
            </w:pPr>
          </w:p>
        </w:tc>
        <w:tc>
          <w:tcPr>
            <w:tcW w:w="981" w:type="pct"/>
            <w:tcBorders>
              <w:top w:val="nil"/>
              <w:left w:val="nil"/>
              <w:bottom w:val="nil"/>
              <w:right w:val="nil"/>
            </w:tcBorders>
          </w:tcPr>
          <w:p w14:paraId="4556EF6D"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(1.72)</w:t>
            </w:r>
          </w:p>
        </w:tc>
        <w:tc>
          <w:tcPr>
            <w:tcW w:w="981" w:type="pct"/>
            <w:tcBorders>
              <w:top w:val="nil"/>
              <w:left w:val="nil"/>
              <w:bottom w:val="nil"/>
              <w:right w:val="nil"/>
            </w:tcBorders>
          </w:tcPr>
          <w:p w14:paraId="332BFEEB"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(2.97)</w:t>
            </w:r>
          </w:p>
        </w:tc>
        <w:tc>
          <w:tcPr>
            <w:tcW w:w="825" w:type="pct"/>
            <w:tcBorders>
              <w:top w:val="nil"/>
              <w:left w:val="nil"/>
              <w:bottom w:val="nil"/>
              <w:right w:val="nil"/>
            </w:tcBorders>
          </w:tcPr>
          <w:p w14:paraId="39DF3A70"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sz w:val="24"/>
                <w:szCs w:val="24"/>
              </w:rPr>
            </w:pPr>
          </w:p>
        </w:tc>
        <w:tc>
          <w:tcPr>
            <w:tcW w:w="825" w:type="pct"/>
            <w:tcBorders>
              <w:top w:val="nil"/>
              <w:left w:val="nil"/>
              <w:bottom w:val="nil"/>
              <w:right w:val="nil"/>
            </w:tcBorders>
          </w:tcPr>
          <w:p w14:paraId="43D1B5F3"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sz w:val="24"/>
                <w:szCs w:val="24"/>
              </w:rPr>
            </w:pPr>
          </w:p>
        </w:tc>
      </w:tr>
      <w:tr w:rsidR="005B7CAC" w:rsidRPr="005B7CAC" w14:paraId="5DE6F712" w14:textId="77777777" w:rsidTr="00BB6BD1">
        <w:tc>
          <w:tcPr>
            <w:tcW w:w="1388" w:type="pct"/>
            <w:tcBorders>
              <w:top w:val="nil"/>
              <w:left w:val="nil"/>
              <w:bottom w:val="nil"/>
              <w:right w:val="nil"/>
            </w:tcBorders>
          </w:tcPr>
          <w:p w14:paraId="6EDD2489" w14:textId="0F1BBB31" w:rsidR="004E3D4C" w:rsidRPr="005B7CAC" w:rsidRDefault="004E3D4C" w:rsidP="00C90660">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lang w:val="en-US"/>
              </w:rPr>
              <w:t>WAST*GINVs</w:t>
            </w:r>
          </w:p>
        </w:tc>
        <w:tc>
          <w:tcPr>
            <w:tcW w:w="981" w:type="pct"/>
            <w:tcBorders>
              <w:top w:val="nil"/>
              <w:left w:val="nil"/>
              <w:bottom w:val="nil"/>
              <w:right w:val="nil"/>
            </w:tcBorders>
          </w:tcPr>
          <w:p w14:paraId="34CF9408"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sz w:val="24"/>
                <w:szCs w:val="24"/>
                <w:lang w:val="en-US"/>
              </w:rPr>
            </w:pPr>
          </w:p>
        </w:tc>
        <w:tc>
          <w:tcPr>
            <w:tcW w:w="981" w:type="pct"/>
            <w:tcBorders>
              <w:top w:val="nil"/>
              <w:left w:val="nil"/>
              <w:bottom w:val="nil"/>
              <w:right w:val="nil"/>
            </w:tcBorders>
          </w:tcPr>
          <w:p w14:paraId="1A6EBEEA"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-0.007</w:t>
            </w:r>
            <w:r w:rsidRPr="005B7CAC">
              <w:rPr>
                <w:rFonts w:ascii="Times New Roman" w:hAnsi="Times New Roman"/>
                <w:sz w:val="24"/>
                <w:szCs w:val="24"/>
                <w:vertAlign w:val="superscript"/>
              </w:rPr>
              <w:t>**</w:t>
            </w:r>
          </w:p>
        </w:tc>
        <w:tc>
          <w:tcPr>
            <w:tcW w:w="825" w:type="pct"/>
            <w:tcBorders>
              <w:top w:val="nil"/>
              <w:left w:val="nil"/>
              <w:bottom w:val="nil"/>
              <w:right w:val="nil"/>
            </w:tcBorders>
          </w:tcPr>
          <w:p w14:paraId="259EDFD7"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sz w:val="24"/>
                <w:szCs w:val="24"/>
              </w:rPr>
            </w:pPr>
          </w:p>
        </w:tc>
        <w:tc>
          <w:tcPr>
            <w:tcW w:w="825" w:type="pct"/>
            <w:tcBorders>
              <w:top w:val="nil"/>
              <w:left w:val="nil"/>
              <w:bottom w:val="nil"/>
              <w:right w:val="nil"/>
            </w:tcBorders>
          </w:tcPr>
          <w:p w14:paraId="5AFE03DC"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sz w:val="24"/>
                <w:szCs w:val="24"/>
              </w:rPr>
            </w:pPr>
          </w:p>
        </w:tc>
      </w:tr>
      <w:tr w:rsidR="005B7CAC" w:rsidRPr="005B7CAC" w14:paraId="025DDA11" w14:textId="77777777" w:rsidTr="00BB6BD1">
        <w:tc>
          <w:tcPr>
            <w:tcW w:w="1388" w:type="pct"/>
            <w:tcBorders>
              <w:top w:val="nil"/>
              <w:left w:val="nil"/>
              <w:bottom w:val="nil"/>
              <w:right w:val="nil"/>
            </w:tcBorders>
          </w:tcPr>
          <w:p w14:paraId="00A159D1" w14:textId="77777777" w:rsidR="004E3D4C" w:rsidRPr="005B7CAC" w:rsidRDefault="004E3D4C" w:rsidP="00C90660">
            <w:pPr>
              <w:widowControl w:val="0"/>
              <w:autoSpaceDE w:val="0"/>
              <w:autoSpaceDN w:val="0"/>
              <w:adjustRightInd w:val="0"/>
              <w:spacing w:after="0" w:line="240" w:lineRule="auto"/>
              <w:rPr>
                <w:rFonts w:ascii="Times New Roman" w:hAnsi="Times New Roman"/>
                <w:sz w:val="24"/>
                <w:szCs w:val="24"/>
              </w:rPr>
            </w:pPr>
          </w:p>
        </w:tc>
        <w:tc>
          <w:tcPr>
            <w:tcW w:w="981" w:type="pct"/>
            <w:tcBorders>
              <w:top w:val="nil"/>
              <w:left w:val="nil"/>
              <w:bottom w:val="nil"/>
              <w:right w:val="nil"/>
            </w:tcBorders>
          </w:tcPr>
          <w:p w14:paraId="48FF4619"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sz w:val="24"/>
                <w:szCs w:val="24"/>
              </w:rPr>
            </w:pPr>
          </w:p>
        </w:tc>
        <w:tc>
          <w:tcPr>
            <w:tcW w:w="981" w:type="pct"/>
            <w:tcBorders>
              <w:top w:val="nil"/>
              <w:left w:val="nil"/>
              <w:bottom w:val="nil"/>
              <w:right w:val="nil"/>
            </w:tcBorders>
          </w:tcPr>
          <w:p w14:paraId="0430F624"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(-2.27)</w:t>
            </w:r>
          </w:p>
        </w:tc>
        <w:tc>
          <w:tcPr>
            <w:tcW w:w="825" w:type="pct"/>
            <w:tcBorders>
              <w:top w:val="nil"/>
              <w:left w:val="nil"/>
              <w:bottom w:val="nil"/>
              <w:right w:val="nil"/>
            </w:tcBorders>
          </w:tcPr>
          <w:p w14:paraId="655F85D6"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sz w:val="24"/>
                <w:szCs w:val="24"/>
              </w:rPr>
            </w:pPr>
          </w:p>
        </w:tc>
        <w:tc>
          <w:tcPr>
            <w:tcW w:w="825" w:type="pct"/>
            <w:tcBorders>
              <w:top w:val="nil"/>
              <w:left w:val="nil"/>
              <w:bottom w:val="nil"/>
              <w:right w:val="nil"/>
            </w:tcBorders>
          </w:tcPr>
          <w:p w14:paraId="1C9E5CE1"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sz w:val="24"/>
                <w:szCs w:val="24"/>
              </w:rPr>
            </w:pPr>
          </w:p>
        </w:tc>
      </w:tr>
      <w:tr w:rsidR="005B7CAC" w:rsidRPr="005B7CAC" w14:paraId="714BDAA0" w14:textId="77777777" w:rsidTr="00BB6BD1">
        <w:tc>
          <w:tcPr>
            <w:tcW w:w="1388" w:type="pct"/>
            <w:tcBorders>
              <w:top w:val="nil"/>
              <w:left w:val="nil"/>
              <w:bottom w:val="nil"/>
              <w:right w:val="nil"/>
            </w:tcBorders>
          </w:tcPr>
          <w:p w14:paraId="658365BC" w14:textId="52B41107" w:rsidR="004E3D4C" w:rsidRPr="005B7CAC" w:rsidRDefault="004E3D4C" w:rsidP="00C90660">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rPr>
              <w:t>W</w:t>
            </w:r>
            <w:r w:rsidRPr="005B7CAC">
              <w:rPr>
                <w:rFonts w:ascii="Times New Roman" w:hAnsi="Times New Roman"/>
                <w:sz w:val="24"/>
                <w:szCs w:val="24"/>
                <w:lang w:val="en-US"/>
              </w:rPr>
              <w:t>REC</w:t>
            </w:r>
          </w:p>
        </w:tc>
        <w:tc>
          <w:tcPr>
            <w:tcW w:w="981" w:type="pct"/>
            <w:tcBorders>
              <w:top w:val="nil"/>
              <w:left w:val="nil"/>
              <w:bottom w:val="nil"/>
              <w:right w:val="nil"/>
            </w:tcBorders>
          </w:tcPr>
          <w:p w14:paraId="7CE2D9E7"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sz w:val="24"/>
                <w:szCs w:val="24"/>
              </w:rPr>
            </w:pPr>
          </w:p>
        </w:tc>
        <w:tc>
          <w:tcPr>
            <w:tcW w:w="981" w:type="pct"/>
            <w:tcBorders>
              <w:top w:val="nil"/>
              <w:left w:val="nil"/>
              <w:bottom w:val="nil"/>
              <w:right w:val="nil"/>
            </w:tcBorders>
          </w:tcPr>
          <w:p w14:paraId="25CE6662"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sz w:val="24"/>
                <w:szCs w:val="24"/>
              </w:rPr>
            </w:pPr>
          </w:p>
        </w:tc>
        <w:tc>
          <w:tcPr>
            <w:tcW w:w="825" w:type="pct"/>
            <w:tcBorders>
              <w:top w:val="nil"/>
              <w:left w:val="nil"/>
              <w:bottom w:val="nil"/>
              <w:right w:val="nil"/>
            </w:tcBorders>
          </w:tcPr>
          <w:p w14:paraId="7A3A93FE"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-0.001</w:t>
            </w:r>
          </w:p>
        </w:tc>
        <w:tc>
          <w:tcPr>
            <w:tcW w:w="825" w:type="pct"/>
            <w:tcBorders>
              <w:top w:val="nil"/>
              <w:left w:val="nil"/>
              <w:bottom w:val="nil"/>
              <w:right w:val="nil"/>
            </w:tcBorders>
          </w:tcPr>
          <w:p w14:paraId="344C61AC"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-0.011</w:t>
            </w:r>
            <w:r w:rsidRPr="005B7CAC">
              <w:rPr>
                <w:rFonts w:ascii="Times New Roman" w:hAnsi="Times New Roman"/>
                <w:sz w:val="24"/>
                <w:szCs w:val="24"/>
                <w:vertAlign w:val="superscript"/>
              </w:rPr>
              <w:t>**</w:t>
            </w:r>
          </w:p>
        </w:tc>
      </w:tr>
      <w:tr w:rsidR="005B7CAC" w:rsidRPr="005B7CAC" w14:paraId="3E84BE87" w14:textId="77777777" w:rsidTr="00BB6BD1">
        <w:tc>
          <w:tcPr>
            <w:tcW w:w="1388" w:type="pct"/>
            <w:tcBorders>
              <w:top w:val="nil"/>
              <w:left w:val="nil"/>
              <w:bottom w:val="nil"/>
              <w:right w:val="nil"/>
            </w:tcBorders>
          </w:tcPr>
          <w:p w14:paraId="060F0F7C" w14:textId="77777777" w:rsidR="004E3D4C" w:rsidRPr="005B7CAC" w:rsidRDefault="004E3D4C" w:rsidP="00C90660">
            <w:pPr>
              <w:widowControl w:val="0"/>
              <w:autoSpaceDE w:val="0"/>
              <w:autoSpaceDN w:val="0"/>
              <w:adjustRightInd w:val="0"/>
              <w:spacing w:after="0" w:line="240" w:lineRule="auto"/>
              <w:rPr>
                <w:rFonts w:ascii="Times New Roman" w:hAnsi="Times New Roman"/>
                <w:sz w:val="24"/>
                <w:szCs w:val="24"/>
              </w:rPr>
            </w:pPr>
          </w:p>
        </w:tc>
        <w:tc>
          <w:tcPr>
            <w:tcW w:w="981" w:type="pct"/>
            <w:tcBorders>
              <w:top w:val="nil"/>
              <w:left w:val="nil"/>
              <w:bottom w:val="nil"/>
              <w:right w:val="nil"/>
            </w:tcBorders>
          </w:tcPr>
          <w:p w14:paraId="0AD1B622"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sz w:val="24"/>
                <w:szCs w:val="24"/>
              </w:rPr>
            </w:pPr>
          </w:p>
        </w:tc>
        <w:tc>
          <w:tcPr>
            <w:tcW w:w="981" w:type="pct"/>
            <w:tcBorders>
              <w:top w:val="nil"/>
              <w:left w:val="nil"/>
              <w:bottom w:val="nil"/>
              <w:right w:val="nil"/>
            </w:tcBorders>
          </w:tcPr>
          <w:p w14:paraId="2A44DEAA"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sz w:val="24"/>
                <w:szCs w:val="24"/>
              </w:rPr>
            </w:pPr>
          </w:p>
        </w:tc>
        <w:tc>
          <w:tcPr>
            <w:tcW w:w="825" w:type="pct"/>
            <w:tcBorders>
              <w:top w:val="nil"/>
              <w:left w:val="nil"/>
              <w:bottom w:val="nil"/>
              <w:right w:val="nil"/>
            </w:tcBorders>
          </w:tcPr>
          <w:p w14:paraId="2F1EEEF5"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(-0.81)</w:t>
            </w:r>
          </w:p>
        </w:tc>
        <w:tc>
          <w:tcPr>
            <w:tcW w:w="825" w:type="pct"/>
            <w:tcBorders>
              <w:top w:val="nil"/>
              <w:left w:val="nil"/>
              <w:bottom w:val="nil"/>
              <w:right w:val="nil"/>
            </w:tcBorders>
          </w:tcPr>
          <w:p w14:paraId="50C2069E"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(-2.41)</w:t>
            </w:r>
          </w:p>
        </w:tc>
      </w:tr>
      <w:tr w:rsidR="005B7CAC" w:rsidRPr="005B7CAC" w14:paraId="7CC85E5A" w14:textId="77777777" w:rsidTr="00BB6BD1">
        <w:tc>
          <w:tcPr>
            <w:tcW w:w="1388" w:type="pct"/>
            <w:tcBorders>
              <w:top w:val="nil"/>
              <w:left w:val="nil"/>
              <w:bottom w:val="nil"/>
              <w:right w:val="nil"/>
            </w:tcBorders>
          </w:tcPr>
          <w:p w14:paraId="058E26CD" w14:textId="3BFBD848" w:rsidR="004E3D4C" w:rsidRPr="005B7CAC" w:rsidRDefault="004E3D4C" w:rsidP="00C90660">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lang w:val="en-US"/>
              </w:rPr>
              <w:t>WAST*GINVs</w:t>
            </w:r>
          </w:p>
        </w:tc>
        <w:tc>
          <w:tcPr>
            <w:tcW w:w="981" w:type="pct"/>
            <w:tcBorders>
              <w:top w:val="nil"/>
              <w:left w:val="nil"/>
              <w:bottom w:val="nil"/>
              <w:right w:val="nil"/>
            </w:tcBorders>
          </w:tcPr>
          <w:p w14:paraId="39732D36"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sz w:val="24"/>
                <w:szCs w:val="24"/>
                <w:lang w:val="en-US"/>
              </w:rPr>
            </w:pPr>
          </w:p>
        </w:tc>
        <w:tc>
          <w:tcPr>
            <w:tcW w:w="981" w:type="pct"/>
            <w:tcBorders>
              <w:top w:val="nil"/>
              <w:left w:val="nil"/>
              <w:bottom w:val="nil"/>
              <w:right w:val="nil"/>
            </w:tcBorders>
          </w:tcPr>
          <w:p w14:paraId="129A46F0"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sz w:val="24"/>
                <w:szCs w:val="24"/>
                <w:lang w:val="en-US"/>
              </w:rPr>
            </w:pPr>
          </w:p>
        </w:tc>
        <w:tc>
          <w:tcPr>
            <w:tcW w:w="825" w:type="pct"/>
            <w:tcBorders>
              <w:top w:val="nil"/>
              <w:left w:val="nil"/>
              <w:bottom w:val="nil"/>
              <w:right w:val="nil"/>
            </w:tcBorders>
          </w:tcPr>
          <w:p w14:paraId="43A02241"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sz w:val="24"/>
                <w:szCs w:val="24"/>
                <w:lang w:val="en-US"/>
              </w:rPr>
            </w:pPr>
          </w:p>
        </w:tc>
        <w:tc>
          <w:tcPr>
            <w:tcW w:w="825" w:type="pct"/>
            <w:tcBorders>
              <w:top w:val="nil"/>
              <w:left w:val="nil"/>
              <w:bottom w:val="nil"/>
              <w:right w:val="nil"/>
            </w:tcBorders>
          </w:tcPr>
          <w:p w14:paraId="714EF2E0"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0.001</w:t>
            </w:r>
            <w:r w:rsidRPr="005B7CAC">
              <w:rPr>
                <w:rFonts w:ascii="Times New Roman" w:hAnsi="Times New Roman"/>
                <w:sz w:val="24"/>
                <w:szCs w:val="24"/>
                <w:vertAlign w:val="superscript"/>
              </w:rPr>
              <w:t>**</w:t>
            </w:r>
          </w:p>
        </w:tc>
      </w:tr>
      <w:tr w:rsidR="005B7CAC" w:rsidRPr="005B7CAC" w14:paraId="311DB7BD" w14:textId="77777777" w:rsidTr="00BB6BD1">
        <w:tc>
          <w:tcPr>
            <w:tcW w:w="1388" w:type="pct"/>
            <w:tcBorders>
              <w:top w:val="nil"/>
              <w:left w:val="nil"/>
              <w:bottom w:val="nil"/>
              <w:right w:val="nil"/>
            </w:tcBorders>
          </w:tcPr>
          <w:p w14:paraId="2DD8A0F3" w14:textId="77777777" w:rsidR="004E3D4C" w:rsidRPr="005B7CAC" w:rsidRDefault="004E3D4C" w:rsidP="00C90660">
            <w:pPr>
              <w:widowControl w:val="0"/>
              <w:autoSpaceDE w:val="0"/>
              <w:autoSpaceDN w:val="0"/>
              <w:adjustRightInd w:val="0"/>
              <w:spacing w:after="0" w:line="240" w:lineRule="auto"/>
              <w:rPr>
                <w:rFonts w:ascii="Times New Roman" w:hAnsi="Times New Roman"/>
                <w:sz w:val="24"/>
                <w:szCs w:val="24"/>
              </w:rPr>
            </w:pPr>
          </w:p>
        </w:tc>
        <w:tc>
          <w:tcPr>
            <w:tcW w:w="981" w:type="pct"/>
            <w:tcBorders>
              <w:top w:val="nil"/>
              <w:left w:val="nil"/>
              <w:bottom w:val="nil"/>
              <w:right w:val="nil"/>
            </w:tcBorders>
          </w:tcPr>
          <w:p w14:paraId="6AA366A9"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sz w:val="24"/>
                <w:szCs w:val="24"/>
              </w:rPr>
            </w:pPr>
          </w:p>
        </w:tc>
        <w:tc>
          <w:tcPr>
            <w:tcW w:w="981" w:type="pct"/>
            <w:tcBorders>
              <w:top w:val="nil"/>
              <w:left w:val="nil"/>
              <w:bottom w:val="nil"/>
              <w:right w:val="nil"/>
            </w:tcBorders>
          </w:tcPr>
          <w:p w14:paraId="19A6602D"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sz w:val="24"/>
                <w:szCs w:val="24"/>
              </w:rPr>
            </w:pPr>
          </w:p>
        </w:tc>
        <w:tc>
          <w:tcPr>
            <w:tcW w:w="825" w:type="pct"/>
            <w:tcBorders>
              <w:top w:val="nil"/>
              <w:left w:val="nil"/>
              <w:bottom w:val="nil"/>
              <w:right w:val="nil"/>
            </w:tcBorders>
          </w:tcPr>
          <w:p w14:paraId="1EC45EB7"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sz w:val="24"/>
                <w:szCs w:val="24"/>
              </w:rPr>
            </w:pPr>
          </w:p>
        </w:tc>
        <w:tc>
          <w:tcPr>
            <w:tcW w:w="825" w:type="pct"/>
            <w:tcBorders>
              <w:top w:val="nil"/>
              <w:left w:val="nil"/>
              <w:bottom w:val="nil"/>
              <w:right w:val="nil"/>
            </w:tcBorders>
          </w:tcPr>
          <w:p w14:paraId="6E724714"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(2.38)</w:t>
            </w:r>
          </w:p>
        </w:tc>
      </w:tr>
      <w:tr w:rsidR="005B7CAC" w:rsidRPr="005B7CAC" w14:paraId="417869DE" w14:textId="77777777" w:rsidTr="00BB6BD1">
        <w:tc>
          <w:tcPr>
            <w:tcW w:w="1388" w:type="pct"/>
            <w:tcBorders>
              <w:top w:val="nil"/>
              <w:left w:val="nil"/>
              <w:bottom w:val="nil"/>
              <w:right w:val="nil"/>
            </w:tcBorders>
          </w:tcPr>
          <w:p w14:paraId="67B01CFC" w14:textId="77777777" w:rsidR="004E3D4C" w:rsidRPr="005B7CAC" w:rsidRDefault="004E3D4C" w:rsidP="00C90660">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rPr>
              <w:t>G</w:t>
            </w:r>
            <w:r w:rsidRPr="005B7CAC">
              <w:rPr>
                <w:rFonts w:ascii="Times New Roman" w:hAnsi="Times New Roman"/>
                <w:sz w:val="24"/>
                <w:szCs w:val="24"/>
                <w:lang w:val="en-US"/>
              </w:rPr>
              <w:t>INVs</w:t>
            </w:r>
          </w:p>
        </w:tc>
        <w:tc>
          <w:tcPr>
            <w:tcW w:w="981" w:type="pct"/>
            <w:tcBorders>
              <w:top w:val="nil"/>
              <w:left w:val="nil"/>
              <w:bottom w:val="nil"/>
              <w:right w:val="nil"/>
            </w:tcBorders>
          </w:tcPr>
          <w:p w14:paraId="6A54DAEB"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-0.047</w:t>
            </w:r>
            <w:r w:rsidRPr="005B7CAC">
              <w:rPr>
                <w:rFonts w:ascii="Times New Roman" w:hAnsi="Times New Roman"/>
                <w:sz w:val="24"/>
                <w:szCs w:val="24"/>
                <w:vertAlign w:val="superscript"/>
              </w:rPr>
              <w:t>***</w:t>
            </w:r>
          </w:p>
        </w:tc>
        <w:tc>
          <w:tcPr>
            <w:tcW w:w="981" w:type="pct"/>
            <w:tcBorders>
              <w:top w:val="nil"/>
              <w:left w:val="nil"/>
              <w:bottom w:val="nil"/>
              <w:right w:val="nil"/>
            </w:tcBorders>
          </w:tcPr>
          <w:p w14:paraId="545F4E60"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-0.043</w:t>
            </w:r>
            <w:r w:rsidRPr="005B7CAC">
              <w:rPr>
                <w:rFonts w:ascii="Times New Roman" w:hAnsi="Times New Roman"/>
                <w:sz w:val="24"/>
                <w:szCs w:val="24"/>
                <w:vertAlign w:val="superscript"/>
              </w:rPr>
              <w:t>***</w:t>
            </w:r>
          </w:p>
        </w:tc>
        <w:tc>
          <w:tcPr>
            <w:tcW w:w="825" w:type="pct"/>
            <w:tcBorders>
              <w:top w:val="nil"/>
              <w:left w:val="nil"/>
              <w:bottom w:val="nil"/>
              <w:right w:val="nil"/>
            </w:tcBorders>
          </w:tcPr>
          <w:p w14:paraId="674E8D04"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-0.047</w:t>
            </w:r>
            <w:r w:rsidRPr="005B7CAC">
              <w:rPr>
                <w:rFonts w:ascii="Times New Roman" w:hAnsi="Times New Roman"/>
                <w:sz w:val="24"/>
                <w:szCs w:val="24"/>
                <w:vertAlign w:val="superscript"/>
              </w:rPr>
              <w:t>**</w:t>
            </w:r>
          </w:p>
        </w:tc>
        <w:tc>
          <w:tcPr>
            <w:tcW w:w="825" w:type="pct"/>
            <w:tcBorders>
              <w:top w:val="nil"/>
              <w:left w:val="nil"/>
              <w:bottom w:val="nil"/>
              <w:right w:val="nil"/>
            </w:tcBorders>
          </w:tcPr>
          <w:p w14:paraId="4B84D1FB"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-0.107</w:t>
            </w:r>
            <w:r w:rsidRPr="005B7CAC">
              <w:rPr>
                <w:rFonts w:ascii="Times New Roman" w:hAnsi="Times New Roman"/>
                <w:sz w:val="24"/>
                <w:szCs w:val="24"/>
                <w:vertAlign w:val="superscript"/>
              </w:rPr>
              <w:t>***</w:t>
            </w:r>
          </w:p>
        </w:tc>
      </w:tr>
      <w:tr w:rsidR="005B7CAC" w:rsidRPr="005B7CAC" w14:paraId="7DD70CA8" w14:textId="77777777" w:rsidTr="00BB6BD1">
        <w:tc>
          <w:tcPr>
            <w:tcW w:w="1388" w:type="pct"/>
            <w:tcBorders>
              <w:top w:val="nil"/>
              <w:left w:val="nil"/>
              <w:bottom w:val="nil"/>
              <w:right w:val="nil"/>
            </w:tcBorders>
          </w:tcPr>
          <w:p w14:paraId="438241C4" w14:textId="77777777" w:rsidR="004E3D4C" w:rsidRPr="005B7CAC" w:rsidRDefault="004E3D4C" w:rsidP="00C90660">
            <w:pPr>
              <w:widowControl w:val="0"/>
              <w:autoSpaceDE w:val="0"/>
              <w:autoSpaceDN w:val="0"/>
              <w:adjustRightInd w:val="0"/>
              <w:spacing w:after="0" w:line="240" w:lineRule="auto"/>
              <w:rPr>
                <w:rFonts w:ascii="Times New Roman" w:hAnsi="Times New Roman"/>
                <w:sz w:val="24"/>
                <w:szCs w:val="24"/>
              </w:rPr>
            </w:pPr>
          </w:p>
        </w:tc>
        <w:tc>
          <w:tcPr>
            <w:tcW w:w="981" w:type="pct"/>
            <w:tcBorders>
              <w:top w:val="nil"/>
              <w:left w:val="nil"/>
              <w:bottom w:val="nil"/>
              <w:right w:val="nil"/>
            </w:tcBorders>
          </w:tcPr>
          <w:p w14:paraId="7721C70E"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(-3.12)</w:t>
            </w:r>
          </w:p>
        </w:tc>
        <w:tc>
          <w:tcPr>
            <w:tcW w:w="981" w:type="pct"/>
            <w:tcBorders>
              <w:top w:val="nil"/>
              <w:left w:val="nil"/>
              <w:bottom w:val="nil"/>
              <w:right w:val="nil"/>
            </w:tcBorders>
          </w:tcPr>
          <w:p w14:paraId="65DE4F88"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(-2.85)</w:t>
            </w:r>
          </w:p>
        </w:tc>
        <w:tc>
          <w:tcPr>
            <w:tcW w:w="825" w:type="pct"/>
            <w:tcBorders>
              <w:top w:val="nil"/>
              <w:left w:val="nil"/>
              <w:bottom w:val="nil"/>
              <w:right w:val="nil"/>
            </w:tcBorders>
          </w:tcPr>
          <w:p w14:paraId="1C9E0088"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(-2.56)</w:t>
            </w:r>
          </w:p>
        </w:tc>
        <w:tc>
          <w:tcPr>
            <w:tcW w:w="825" w:type="pct"/>
            <w:tcBorders>
              <w:top w:val="nil"/>
              <w:left w:val="nil"/>
              <w:bottom w:val="nil"/>
              <w:right w:val="nil"/>
            </w:tcBorders>
          </w:tcPr>
          <w:p w14:paraId="74871900" w14:textId="77777777" w:rsidR="004E3D4C" w:rsidRPr="005B7CAC" w:rsidRDefault="004E3D4C"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(-3.75)</w:t>
            </w:r>
          </w:p>
        </w:tc>
      </w:tr>
      <w:tr w:rsidR="005B7CAC" w:rsidRPr="005B7CAC" w14:paraId="424D9DC7" w14:textId="77777777" w:rsidTr="00BB6BD1">
        <w:tc>
          <w:tcPr>
            <w:tcW w:w="1388" w:type="pct"/>
            <w:tcBorders>
              <w:top w:val="nil"/>
              <w:left w:val="nil"/>
              <w:bottom w:val="nil"/>
              <w:right w:val="nil"/>
            </w:tcBorders>
          </w:tcPr>
          <w:p w14:paraId="57508D5A" w14:textId="76EBE381" w:rsidR="004E3D4C" w:rsidRPr="005B7CAC" w:rsidRDefault="004E3D4C" w:rsidP="004E3D4C">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lang w:val="en-US"/>
              </w:rPr>
              <w:t>Controls</w:t>
            </w:r>
          </w:p>
        </w:tc>
        <w:tc>
          <w:tcPr>
            <w:tcW w:w="981" w:type="pct"/>
            <w:tcBorders>
              <w:top w:val="nil"/>
              <w:left w:val="nil"/>
              <w:bottom w:val="nil"/>
              <w:right w:val="nil"/>
            </w:tcBorders>
          </w:tcPr>
          <w:p w14:paraId="484BA723" w14:textId="3BE3DCE9" w:rsidR="004E3D4C" w:rsidRPr="005B7CAC" w:rsidRDefault="004E3D4C" w:rsidP="004E3D4C">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Included</w:t>
            </w:r>
          </w:p>
        </w:tc>
        <w:tc>
          <w:tcPr>
            <w:tcW w:w="981" w:type="pct"/>
            <w:tcBorders>
              <w:top w:val="nil"/>
              <w:left w:val="nil"/>
              <w:bottom w:val="nil"/>
              <w:right w:val="nil"/>
            </w:tcBorders>
          </w:tcPr>
          <w:p w14:paraId="1957C3B5" w14:textId="02172FEF" w:rsidR="004E3D4C" w:rsidRPr="005B7CAC" w:rsidRDefault="004E3D4C" w:rsidP="004E3D4C">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Included</w:t>
            </w:r>
          </w:p>
        </w:tc>
        <w:tc>
          <w:tcPr>
            <w:tcW w:w="825" w:type="pct"/>
            <w:tcBorders>
              <w:top w:val="nil"/>
              <w:left w:val="nil"/>
              <w:bottom w:val="nil"/>
              <w:right w:val="nil"/>
            </w:tcBorders>
          </w:tcPr>
          <w:p w14:paraId="56FBB000" w14:textId="1BA15B76" w:rsidR="004E3D4C" w:rsidRPr="005B7CAC" w:rsidRDefault="004E3D4C" w:rsidP="004E3D4C">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Included</w:t>
            </w:r>
          </w:p>
        </w:tc>
        <w:tc>
          <w:tcPr>
            <w:tcW w:w="825" w:type="pct"/>
            <w:tcBorders>
              <w:top w:val="nil"/>
              <w:left w:val="nil"/>
              <w:bottom w:val="nil"/>
              <w:right w:val="nil"/>
            </w:tcBorders>
          </w:tcPr>
          <w:p w14:paraId="109BC127" w14:textId="17388F57" w:rsidR="004E3D4C" w:rsidRPr="005B7CAC" w:rsidRDefault="004E3D4C" w:rsidP="004E3D4C">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Included</w:t>
            </w:r>
          </w:p>
        </w:tc>
      </w:tr>
      <w:tr w:rsidR="005B7CAC" w:rsidRPr="005B7CAC" w14:paraId="6377650B" w14:textId="77777777" w:rsidTr="00BB6BD1">
        <w:tc>
          <w:tcPr>
            <w:tcW w:w="1388" w:type="pct"/>
            <w:tcBorders>
              <w:top w:val="nil"/>
              <w:left w:val="nil"/>
              <w:bottom w:val="single" w:sz="8" w:space="0" w:color="auto"/>
              <w:right w:val="nil"/>
            </w:tcBorders>
          </w:tcPr>
          <w:p w14:paraId="3EFB3FD3" w14:textId="0A153E57" w:rsidR="004E3D4C" w:rsidRPr="005B7CAC" w:rsidRDefault="004E3D4C" w:rsidP="004E3D4C">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lang w:val="en-US"/>
              </w:rPr>
              <w:t>Year/Industry FE</w:t>
            </w:r>
          </w:p>
        </w:tc>
        <w:tc>
          <w:tcPr>
            <w:tcW w:w="981" w:type="pct"/>
            <w:tcBorders>
              <w:top w:val="nil"/>
              <w:left w:val="nil"/>
              <w:bottom w:val="single" w:sz="8" w:space="0" w:color="auto"/>
              <w:right w:val="nil"/>
            </w:tcBorders>
          </w:tcPr>
          <w:p w14:paraId="47CC557F" w14:textId="2F9EA971" w:rsidR="004E3D4C" w:rsidRPr="005B7CAC" w:rsidRDefault="004E3D4C" w:rsidP="004E3D4C">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Yes</w:t>
            </w:r>
          </w:p>
        </w:tc>
        <w:tc>
          <w:tcPr>
            <w:tcW w:w="981" w:type="pct"/>
            <w:tcBorders>
              <w:top w:val="nil"/>
              <w:left w:val="nil"/>
              <w:bottom w:val="single" w:sz="8" w:space="0" w:color="auto"/>
              <w:right w:val="nil"/>
            </w:tcBorders>
          </w:tcPr>
          <w:p w14:paraId="04F8CCCC" w14:textId="4E969461" w:rsidR="004E3D4C" w:rsidRPr="005B7CAC" w:rsidRDefault="004E3D4C" w:rsidP="004E3D4C">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Yes</w:t>
            </w:r>
          </w:p>
        </w:tc>
        <w:tc>
          <w:tcPr>
            <w:tcW w:w="825" w:type="pct"/>
            <w:tcBorders>
              <w:top w:val="nil"/>
              <w:left w:val="nil"/>
              <w:bottom w:val="single" w:sz="8" w:space="0" w:color="auto"/>
              <w:right w:val="nil"/>
            </w:tcBorders>
          </w:tcPr>
          <w:p w14:paraId="57D5518D" w14:textId="183E6C40" w:rsidR="004E3D4C" w:rsidRPr="005B7CAC" w:rsidRDefault="004E3D4C" w:rsidP="004E3D4C">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Yes</w:t>
            </w:r>
          </w:p>
        </w:tc>
        <w:tc>
          <w:tcPr>
            <w:tcW w:w="825" w:type="pct"/>
            <w:tcBorders>
              <w:top w:val="nil"/>
              <w:left w:val="nil"/>
              <w:bottom w:val="single" w:sz="8" w:space="0" w:color="auto"/>
              <w:right w:val="nil"/>
            </w:tcBorders>
          </w:tcPr>
          <w:p w14:paraId="2DA664D7" w14:textId="6FDFB2DA" w:rsidR="004E3D4C" w:rsidRPr="005B7CAC" w:rsidRDefault="004E3D4C" w:rsidP="004E3D4C">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Yes</w:t>
            </w:r>
          </w:p>
        </w:tc>
      </w:tr>
      <w:tr w:rsidR="005B7CAC" w:rsidRPr="005B7CAC" w14:paraId="12B7EA42" w14:textId="77777777" w:rsidTr="00BB6BD1">
        <w:tc>
          <w:tcPr>
            <w:tcW w:w="1388" w:type="pct"/>
            <w:tcBorders>
              <w:top w:val="single" w:sz="8" w:space="0" w:color="auto"/>
              <w:left w:val="nil"/>
              <w:bottom w:val="nil"/>
              <w:right w:val="nil"/>
            </w:tcBorders>
          </w:tcPr>
          <w:p w14:paraId="5C1E8FAC" w14:textId="2E4931EE" w:rsidR="004E3D4C" w:rsidRPr="005B7CAC" w:rsidRDefault="004E3D4C" w:rsidP="004E3D4C">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lang w:val="en-US"/>
              </w:rPr>
              <w:t>Observations</w:t>
            </w:r>
          </w:p>
        </w:tc>
        <w:tc>
          <w:tcPr>
            <w:tcW w:w="981" w:type="pct"/>
            <w:tcBorders>
              <w:top w:val="single" w:sz="8" w:space="0" w:color="auto"/>
              <w:left w:val="nil"/>
              <w:bottom w:val="nil"/>
              <w:right w:val="nil"/>
            </w:tcBorders>
          </w:tcPr>
          <w:p w14:paraId="1B7A944D" w14:textId="1A330E5D" w:rsidR="004E3D4C" w:rsidRPr="005B7CAC" w:rsidRDefault="004E3D4C" w:rsidP="004E3D4C">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1667</w:t>
            </w:r>
          </w:p>
        </w:tc>
        <w:tc>
          <w:tcPr>
            <w:tcW w:w="981" w:type="pct"/>
            <w:tcBorders>
              <w:top w:val="single" w:sz="8" w:space="0" w:color="auto"/>
              <w:left w:val="nil"/>
              <w:bottom w:val="nil"/>
              <w:right w:val="nil"/>
            </w:tcBorders>
          </w:tcPr>
          <w:p w14:paraId="48980725" w14:textId="4D31B5F2" w:rsidR="004E3D4C" w:rsidRPr="005B7CAC" w:rsidRDefault="004E3D4C" w:rsidP="004E3D4C">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1667</w:t>
            </w:r>
          </w:p>
        </w:tc>
        <w:tc>
          <w:tcPr>
            <w:tcW w:w="825" w:type="pct"/>
            <w:tcBorders>
              <w:top w:val="single" w:sz="8" w:space="0" w:color="auto"/>
              <w:left w:val="nil"/>
              <w:bottom w:val="nil"/>
              <w:right w:val="nil"/>
            </w:tcBorders>
          </w:tcPr>
          <w:p w14:paraId="0B56E0A0" w14:textId="4A9C82A4" w:rsidR="004E3D4C" w:rsidRPr="005B7CAC" w:rsidRDefault="004E3D4C" w:rsidP="004E3D4C">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1302</w:t>
            </w:r>
          </w:p>
        </w:tc>
        <w:tc>
          <w:tcPr>
            <w:tcW w:w="825" w:type="pct"/>
            <w:tcBorders>
              <w:top w:val="single" w:sz="8" w:space="0" w:color="auto"/>
              <w:left w:val="nil"/>
              <w:bottom w:val="nil"/>
              <w:right w:val="nil"/>
            </w:tcBorders>
          </w:tcPr>
          <w:p w14:paraId="1EF406DC" w14:textId="1038923E" w:rsidR="004E3D4C" w:rsidRPr="005B7CAC" w:rsidRDefault="004E3D4C" w:rsidP="004E3D4C">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1302</w:t>
            </w:r>
          </w:p>
        </w:tc>
      </w:tr>
      <w:tr w:rsidR="005B7CAC" w:rsidRPr="005B7CAC" w14:paraId="47A505F6" w14:textId="77777777" w:rsidTr="00BB6BD1">
        <w:tc>
          <w:tcPr>
            <w:tcW w:w="1388" w:type="pct"/>
            <w:tcBorders>
              <w:top w:val="nil"/>
              <w:left w:val="nil"/>
              <w:bottom w:val="single" w:sz="12" w:space="0" w:color="auto"/>
              <w:right w:val="nil"/>
            </w:tcBorders>
          </w:tcPr>
          <w:p w14:paraId="34A2B2A1" w14:textId="1D81F954" w:rsidR="004E3D4C" w:rsidRPr="005B7CAC" w:rsidRDefault="004E3D4C" w:rsidP="004E3D4C">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lang w:val="en-US"/>
              </w:rPr>
              <w:t>Adj. R-sq.</w:t>
            </w:r>
          </w:p>
        </w:tc>
        <w:tc>
          <w:tcPr>
            <w:tcW w:w="981" w:type="pct"/>
            <w:tcBorders>
              <w:top w:val="nil"/>
              <w:left w:val="nil"/>
              <w:bottom w:val="single" w:sz="12" w:space="0" w:color="auto"/>
              <w:right w:val="nil"/>
            </w:tcBorders>
          </w:tcPr>
          <w:p w14:paraId="60AB9D5B" w14:textId="77777777" w:rsidR="004E3D4C" w:rsidRPr="005B7CAC" w:rsidRDefault="004E3D4C" w:rsidP="004E3D4C">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0.306</w:t>
            </w:r>
          </w:p>
        </w:tc>
        <w:tc>
          <w:tcPr>
            <w:tcW w:w="981" w:type="pct"/>
            <w:tcBorders>
              <w:top w:val="nil"/>
              <w:left w:val="nil"/>
              <w:bottom w:val="single" w:sz="12" w:space="0" w:color="auto"/>
              <w:right w:val="nil"/>
            </w:tcBorders>
          </w:tcPr>
          <w:p w14:paraId="32C0A837" w14:textId="77777777" w:rsidR="004E3D4C" w:rsidRPr="005B7CAC" w:rsidRDefault="004E3D4C" w:rsidP="004E3D4C">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0.311</w:t>
            </w:r>
          </w:p>
        </w:tc>
        <w:tc>
          <w:tcPr>
            <w:tcW w:w="825" w:type="pct"/>
            <w:tcBorders>
              <w:top w:val="nil"/>
              <w:left w:val="nil"/>
              <w:bottom w:val="single" w:sz="12" w:space="0" w:color="auto"/>
              <w:right w:val="nil"/>
            </w:tcBorders>
          </w:tcPr>
          <w:p w14:paraId="24021EFF" w14:textId="77777777" w:rsidR="004E3D4C" w:rsidRPr="005B7CAC" w:rsidRDefault="004E3D4C" w:rsidP="004E3D4C">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0.330</w:t>
            </w:r>
          </w:p>
        </w:tc>
        <w:tc>
          <w:tcPr>
            <w:tcW w:w="825" w:type="pct"/>
            <w:tcBorders>
              <w:top w:val="nil"/>
              <w:left w:val="nil"/>
              <w:bottom w:val="single" w:sz="12" w:space="0" w:color="auto"/>
              <w:right w:val="nil"/>
            </w:tcBorders>
          </w:tcPr>
          <w:p w14:paraId="006BEE63" w14:textId="77777777" w:rsidR="004E3D4C" w:rsidRPr="005B7CAC" w:rsidRDefault="004E3D4C" w:rsidP="004E3D4C">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0.332</w:t>
            </w:r>
          </w:p>
        </w:tc>
      </w:tr>
      <w:tr w:rsidR="005B7CAC" w:rsidRPr="00DE13CA" w14:paraId="0C6C89FB" w14:textId="77777777" w:rsidTr="00BB6BD1">
        <w:tc>
          <w:tcPr>
            <w:tcW w:w="5000" w:type="pct"/>
            <w:gridSpan w:val="5"/>
            <w:tcBorders>
              <w:top w:val="single" w:sz="12" w:space="0" w:color="auto"/>
              <w:left w:val="nil"/>
              <w:bottom w:val="nil"/>
              <w:right w:val="nil"/>
            </w:tcBorders>
          </w:tcPr>
          <w:p w14:paraId="10AE5E83" w14:textId="0E3A23E3" w:rsidR="00BB6BD1" w:rsidRPr="005B7CAC" w:rsidRDefault="00BB6BD1" w:rsidP="00BB6BD1">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b/>
                <w:i/>
                <w:iCs/>
                <w:lang w:val="en-US"/>
              </w:rPr>
              <w:t>Panel B: Alternative measure of waste management</w:t>
            </w:r>
          </w:p>
        </w:tc>
      </w:tr>
      <w:tr w:rsidR="005B7CAC" w:rsidRPr="005B7CAC" w14:paraId="33E0B6BB" w14:textId="77777777" w:rsidTr="00BB6BD1">
        <w:tc>
          <w:tcPr>
            <w:tcW w:w="1388" w:type="pct"/>
            <w:tcBorders>
              <w:top w:val="single" w:sz="12" w:space="0" w:color="auto"/>
              <w:left w:val="nil"/>
              <w:bottom w:val="nil"/>
              <w:right w:val="nil"/>
            </w:tcBorders>
          </w:tcPr>
          <w:p w14:paraId="65DCFEB3" w14:textId="77777777" w:rsidR="00BB6BD1" w:rsidRPr="005B7CAC" w:rsidRDefault="00BB6BD1" w:rsidP="00C90660">
            <w:pPr>
              <w:widowControl w:val="0"/>
              <w:autoSpaceDE w:val="0"/>
              <w:autoSpaceDN w:val="0"/>
              <w:adjustRightInd w:val="0"/>
              <w:spacing w:after="0" w:line="240" w:lineRule="auto"/>
              <w:rPr>
                <w:rFonts w:ascii="Times New Roman" w:hAnsi="Times New Roman"/>
                <w:b/>
                <w:bCs/>
                <w:lang w:val="en-US"/>
              </w:rPr>
            </w:pPr>
          </w:p>
        </w:tc>
        <w:tc>
          <w:tcPr>
            <w:tcW w:w="981" w:type="pct"/>
            <w:tcBorders>
              <w:top w:val="single" w:sz="12" w:space="0" w:color="auto"/>
              <w:left w:val="nil"/>
              <w:bottom w:val="nil"/>
              <w:right w:val="nil"/>
            </w:tcBorders>
          </w:tcPr>
          <w:p w14:paraId="6A23F556"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(1)</w:t>
            </w:r>
          </w:p>
        </w:tc>
        <w:tc>
          <w:tcPr>
            <w:tcW w:w="981" w:type="pct"/>
            <w:tcBorders>
              <w:top w:val="single" w:sz="12" w:space="0" w:color="auto"/>
              <w:left w:val="nil"/>
              <w:bottom w:val="nil"/>
              <w:right w:val="nil"/>
            </w:tcBorders>
          </w:tcPr>
          <w:p w14:paraId="0087DC0F"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(2)</w:t>
            </w:r>
          </w:p>
        </w:tc>
        <w:tc>
          <w:tcPr>
            <w:tcW w:w="825" w:type="pct"/>
            <w:tcBorders>
              <w:top w:val="single" w:sz="12" w:space="0" w:color="auto"/>
              <w:left w:val="nil"/>
              <w:bottom w:val="nil"/>
              <w:right w:val="nil"/>
            </w:tcBorders>
          </w:tcPr>
          <w:p w14:paraId="7711C991"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(3)</w:t>
            </w:r>
          </w:p>
        </w:tc>
        <w:tc>
          <w:tcPr>
            <w:tcW w:w="825" w:type="pct"/>
            <w:tcBorders>
              <w:top w:val="single" w:sz="12" w:space="0" w:color="auto"/>
              <w:left w:val="nil"/>
              <w:bottom w:val="nil"/>
              <w:right w:val="nil"/>
            </w:tcBorders>
          </w:tcPr>
          <w:p w14:paraId="006EC0A2"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(4)</w:t>
            </w:r>
          </w:p>
        </w:tc>
      </w:tr>
      <w:tr w:rsidR="005B7CAC" w:rsidRPr="005B7CAC" w14:paraId="3900BE47" w14:textId="77777777" w:rsidTr="00BB6BD1">
        <w:tc>
          <w:tcPr>
            <w:tcW w:w="1388" w:type="pct"/>
            <w:tcBorders>
              <w:top w:val="nil"/>
              <w:left w:val="nil"/>
              <w:bottom w:val="single" w:sz="8" w:space="0" w:color="auto"/>
              <w:right w:val="nil"/>
            </w:tcBorders>
          </w:tcPr>
          <w:p w14:paraId="4ECF0065" w14:textId="77777777" w:rsidR="00BB6BD1" w:rsidRPr="005B7CAC" w:rsidRDefault="00BB6BD1" w:rsidP="00C90660">
            <w:pPr>
              <w:widowControl w:val="0"/>
              <w:autoSpaceDE w:val="0"/>
              <w:autoSpaceDN w:val="0"/>
              <w:adjustRightInd w:val="0"/>
              <w:spacing w:after="0" w:line="240" w:lineRule="auto"/>
              <w:rPr>
                <w:rFonts w:ascii="Times New Roman" w:hAnsi="Times New Roman"/>
                <w:b/>
                <w:bCs/>
                <w:lang w:val="en-US"/>
              </w:rPr>
            </w:pPr>
          </w:p>
        </w:tc>
        <w:tc>
          <w:tcPr>
            <w:tcW w:w="981" w:type="pct"/>
            <w:tcBorders>
              <w:top w:val="nil"/>
              <w:left w:val="nil"/>
              <w:bottom w:val="single" w:sz="8" w:space="0" w:color="auto"/>
              <w:right w:val="nil"/>
            </w:tcBorders>
          </w:tcPr>
          <w:p w14:paraId="764F0D93"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Zscore_UK</w:t>
            </w:r>
          </w:p>
        </w:tc>
        <w:tc>
          <w:tcPr>
            <w:tcW w:w="981" w:type="pct"/>
            <w:tcBorders>
              <w:top w:val="nil"/>
              <w:left w:val="nil"/>
              <w:bottom w:val="single" w:sz="8" w:space="0" w:color="auto"/>
              <w:right w:val="nil"/>
            </w:tcBorders>
          </w:tcPr>
          <w:p w14:paraId="51C8B1B1"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Zscore_UK</w:t>
            </w:r>
          </w:p>
        </w:tc>
        <w:tc>
          <w:tcPr>
            <w:tcW w:w="825" w:type="pct"/>
            <w:tcBorders>
              <w:top w:val="nil"/>
              <w:left w:val="nil"/>
              <w:bottom w:val="single" w:sz="8" w:space="0" w:color="auto"/>
              <w:right w:val="nil"/>
            </w:tcBorders>
          </w:tcPr>
          <w:p w14:paraId="1B55C5B8"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Z_score</w:t>
            </w:r>
          </w:p>
        </w:tc>
        <w:tc>
          <w:tcPr>
            <w:tcW w:w="825" w:type="pct"/>
            <w:tcBorders>
              <w:top w:val="nil"/>
              <w:left w:val="nil"/>
              <w:bottom w:val="single" w:sz="8" w:space="0" w:color="auto"/>
              <w:right w:val="nil"/>
            </w:tcBorders>
          </w:tcPr>
          <w:p w14:paraId="448EE555"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Z_score</w:t>
            </w:r>
          </w:p>
        </w:tc>
      </w:tr>
      <w:tr w:rsidR="005B7CAC" w:rsidRPr="005B7CAC" w14:paraId="1F202FD9" w14:textId="77777777" w:rsidTr="00BB6BD1">
        <w:tc>
          <w:tcPr>
            <w:tcW w:w="1388" w:type="pct"/>
            <w:tcBorders>
              <w:top w:val="single" w:sz="8" w:space="0" w:color="auto"/>
              <w:left w:val="nil"/>
              <w:bottom w:val="nil"/>
              <w:right w:val="nil"/>
            </w:tcBorders>
          </w:tcPr>
          <w:p w14:paraId="6C907FCF" w14:textId="77777777" w:rsidR="00BB6BD1" w:rsidRPr="005B7CAC" w:rsidRDefault="00BB6BD1" w:rsidP="00C90660">
            <w:pPr>
              <w:widowControl w:val="0"/>
              <w:autoSpaceDE w:val="0"/>
              <w:autoSpaceDN w:val="0"/>
              <w:adjustRightInd w:val="0"/>
              <w:spacing w:after="0" w:line="240" w:lineRule="auto"/>
              <w:rPr>
                <w:rFonts w:ascii="Times New Roman" w:hAnsi="Times New Roman"/>
                <w:lang w:val="en-US"/>
              </w:rPr>
            </w:pPr>
            <w:r w:rsidRPr="005B7CAC">
              <w:rPr>
                <w:rFonts w:ascii="Times New Roman" w:hAnsi="Times New Roman"/>
                <w:lang w:val="en-US"/>
              </w:rPr>
              <w:t>WSAL</w:t>
            </w:r>
          </w:p>
        </w:tc>
        <w:tc>
          <w:tcPr>
            <w:tcW w:w="981" w:type="pct"/>
            <w:tcBorders>
              <w:top w:val="single" w:sz="8" w:space="0" w:color="auto"/>
              <w:left w:val="nil"/>
              <w:bottom w:val="nil"/>
              <w:right w:val="nil"/>
            </w:tcBorders>
          </w:tcPr>
          <w:p w14:paraId="7E84161E"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-0.005</w:t>
            </w:r>
            <w:r w:rsidRPr="005B7CAC">
              <w:rPr>
                <w:rFonts w:ascii="Times New Roman" w:hAnsi="Times New Roman"/>
                <w:sz w:val="24"/>
                <w:szCs w:val="24"/>
                <w:vertAlign w:val="superscript"/>
              </w:rPr>
              <w:t>***</w:t>
            </w:r>
          </w:p>
        </w:tc>
        <w:tc>
          <w:tcPr>
            <w:tcW w:w="981" w:type="pct"/>
            <w:tcBorders>
              <w:top w:val="single" w:sz="8" w:space="0" w:color="auto"/>
              <w:left w:val="nil"/>
              <w:bottom w:val="nil"/>
              <w:right w:val="nil"/>
            </w:tcBorders>
          </w:tcPr>
          <w:p w14:paraId="2C5168B9"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-0.007</w:t>
            </w:r>
            <w:r w:rsidRPr="005B7CAC">
              <w:rPr>
                <w:rFonts w:ascii="Times New Roman" w:hAnsi="Times New Roman"/>
                <w:sz w:val="24"/>
                <w:szCs w:val="24"/>
                <w:vertAlign w:val="superscript"/>
              </w:rPr>
              <w:t>***</w:t>
            </w:r>
          </w:p>
        </w:tc>
        <w:tc>
          <w:tcPr>
            <w:tcW w:w="825" w:type="pct"/>
            <w:tcBorders>
              <w:top w:val="single" w:sz="8" w:space="0" w:color="auto"/>
              <w:left w:val="nil"/>
              <w:bottom w:val="nil"/>
              <w:right w:val="nil"/>
            </w:tcBorders>
          </w:tcPr>
          <w:p w14:paraId="4A2B435E"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-0.020</w:t>
            </w:r>
            <w:r w:rsidRPr="005B7CAC">
              <w:rPr>
                <w:rFonts w:ascii="Times New Roman" w:hAnsi="Times New Roman"/>
                <w:sz w:val="24"/>
                <w:szCs w:val="24"/>
                <w:vertAlign w:val="superscript"/>
              </w:rPr>
              <w:t>***</w:t>
            </w:r>
          </w:p>
        </w:tc>
        <w:tc>
          <w:tcPr>
            <w:tcW w:w="825" w:type="pct"/>
            <w:tcBorders>
              <w:top w:val="single" w:sz="8" w:space="0" w:color="auto"/>
              <w:left w:val="nil"/>
              <w:bottom w:val="nil"/>
              <w:right w:val="nil"/>
            </w:tcBorders>
          </w:tcPr>
          <w:p w14:paraId="78C455E5"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-0.040</w:t>
            </w:r>
            <w:r w:rsidRPr="005B7CAC">
              <w:rPr>
                <w:rFonts w:ascii="Times New Roman" w:hAnsi="Times New Roman"/>
                <w:sz w:val="24"/>
                <w:szCs w:val="24"/>
                <w:vertAlign w:val="superscript"/>
              </w:rPr>
              <w:t>***</w:t>
            </w:r>
          </w:p>
        </w:tc>
      </w:tr>
      <w:tr w:rsidR="005B7CAC" w:rsidRPr="005B7CAC" w14:paraId="674E2BA7" w14:textId="77777777" w:rsidTr="00BB6BD1">
        <w:tc>
          <w:tcPr>
            <w:tcW w:w="1388" w:type="pct"/>
            <w:tcBorders>
              <w:top w:val="nil"/>
              <w:left w:val="nil"/>
              <w:bottom w:val="nil"/>
              <w:right w:val="nil"/>
            </w:tcBorders>
          </w:tcPr>
          <w:p w14:paraId="30D862D6" w14:textId="77777777" w:rsidR="00BB6BD1" w:rsidRPr="005B7CAC" w:rsidRDefault="00BB6BD1" w:rsidP="00C90660">
            <w:pPr>
              <w:widowControl w:val="0"/>
              <w:autoSpaceDE w:val="0"/>
              <w:autoSpaceDN w:val="0"/>
              <w:adjustRightInd w:val="0"/>
              <w:spacing w:after="0" w:line="240" w:lineRule="auto"/>
              <w:rPr>
                <w:rFonts w:ascii="Times New Roman" w:hAnsi="Times New Roman"/>
                <w:lang w:val="en-US"/>
              </w:rPr>
            </w:pPr>
          </w:p>
        </w:tc>
        <w:tc>
          <w:tcPr>
            <w:tcW w:w="981" w:type="pct"/>
            <w:tcBorders>
              <w:top w:val="nil"/>
              <w:left w:val="nil"/>
              <w:bottom w:val="nil"/>
              <w:right w:val="nil"/>
            </w:tcBorders>
          </w:tcPr>
          <w:p w14:paraId="78547EC2"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(-7.95)</w:t>
            </w:r>
          </w:p>
        </w:tc>
        <w:tc>
          <w:tcPr>
            <w:tcW w:w="981" w:type="pct"/>
            <w:tcBorders>
              <w:top w:val="nil"/>
              <w:left w:val="nil"/>
              <w:bottom w:val="nil"/>
              <w:right w:val="nil"/>
            </w:tcBorders>
          </w:tcPr>
          <w:p w14:paraId="5C8FE291"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(-4.86)</w:t>
            </w:r>
          </w:p>
        </w:tc>
        <w:tc>
          <w:tcPr>
            <w:tcW w:w="825" w:type="pct"/>
            <w:tcBorders>
              <w:top w:val="nil"/>
              <w:left w:val="nil"/>
              <w:bottom w:val="nil"/>
              <w:right w:val="nil"/>
            </w:tcBorders>
          </w:tcPr>
          <w:p w14:paraId="16F3CBE4"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(-8.65)</w:t>
            </w:r>
          </w:p>
        </w:tc>
        <w:tc>
          <w:tcPr>
            <w:tcW w:w="825" w:type="pct"/>
            <w:tcBorders>
              <w:top w:val="nil"/>
              <w:left w:val="nil"/>
              <w:bottom w:val="nil"/>
              <w:right w:val="nil"/>
            </w:tcBorders>
          </w:tcPr>
          <w:p w14:paraId="21E19CEE"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(-5.87)</w:t>
            </w:r>
          </w:p>
        </w:tc>
      </w:tr>
      <w:tr w:rsidR="005B7CAC" w:rsidRPr="005B7CAC" w14:paraId="7068024C" w14:textId="77777777" w:rsidTr="00BB6BD1">
        <w:tc>
          <w:tcPr>
            <w:tcW w:w="1388" w:type="pct"/>
            <w:tcBorders>
              <w:top w:val="nil"/>
              <w:left w:val="nil"/>
              <w:bottom w:val="nil"/>
              <w:right w:val="nil"/>
            </w:tcBorders>
          </w:tcPr>
          <w:p w14:paraId="3CED93AA" w14:textId="77777777" w:rsidR="00BB6BD1" w:rsidRPr="005B7CAC" w:rsidRDefault="00BB6BD1" w:rsidP="00C90660">
            <w:pPr>
              <w:widowControl w:val="0"/>
              <w:autoSpaceDE w:val="0"/>
              <w:autoSpaceDN w:val="0"/>
              <w:adjustRightInd w:val="0"/>
              <w:spacing w:after="0" w:line="240" w:lineRule="auto"/>
              <w:rPr>
                <w:rFonts w:ascii="Times New Roman" w:hAnsi="Times New Roman"/>
                <w:lang w:val="en-US"/>
              </w:rPr>
            </w:pPr>
            <w:r w:rsidRPr="005B7CAC">
              <w:rPr>
                <w:rFonts w:ascii="Times New Roman" w:hAnsi="Times New Roman"/>
                <w:lang w:val="en-US"/>
              </w:rPr>
              <w:t>WSAL*GINVs</w:t>
            </w:r>
          </w:p>
        </w:tc>
        <w:tc>
          <w:tcPr>
            <w:tcW w:w="981" w:type="pct"/>
            <w:tcBorders>
              <w:top w:val="nil"/>
              <w:left w:val="nil"/>
              <w:bottom w:val="nil"/>
              <w:right w:val="nil"/>
            </w:tcBorders>
          </w:tcPr>
          <w:p w14:paraId="0146AD1D"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sz w:val="24"/>
                <w:szCs w:val="24"/>
              </w:rPr>
            </w:pPr>
          </w:p>
        </w:tc>
        <w:tc>
          <w:tcPr>
            <w:tcW w:w="981" w:type="pct"/>
            <w:tcBorders>
              <w:top w:val="nil"/>
              <w:left w:val="nil"/>
              <w:bottom w:val="nil"/>
              <w:right w:val="nil"/>
            </w:tcBorders>
          </w:tcPr>
          <w:p w14:paraId="0F6BE889"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0.001</w:t>
            </w:r>
            <w:r w:rsidRPr="005B7CAC">
              <w:rPr>
                <w:rFonts w:ascii="Times New Roman" w:hAnsi="Times New Roman"/>
                <w:sz w:val="24"/>
                <w:szCs w:val="24"/>
                <w:vertAlign w:val="superscript"/>
              </w:rPr>
              <w:t>*</w:t>
            </w:r>
          </w:p>
        </w:tc>
        <w:tc>
          <w:tcPr>
            <w:tcW w:w="825" w:type="pct"/>
            <w:tcBorders>
              <w:top w:val="nil"/>
              <w:left w:val="nil"/>
              <w:bottom w:val="nil"/>
              <w:right w:val="nil"/>
            </w:tcBorders>
          </w:tcPr>
          <w:p w14:paraId="39C48FAF"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sz w:val="24"/>
                <w:szCs w:val="24"/>
              </w:rPr>
            </w:pPr>
          </w:p>
        </w:tc>
        <w:tc>
          <w:tcPr>
            <w:tcW w:w="825" w:type="pct"/>
            <w:tcBorders>
              <w:top w:val="nil"/>
              <w:left w:val="nil"/>
              <w:bottom w:val="nil"/>
              <w:right w:val="nil"/>
            </w:tcBorders>
          </w:tcPr>
          <w:p w14:paraId="44C90F98"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0.002</w:t>
            </w:r>
            <w:r w:rsidRPr="005B7CAC">
              <w:rPr>
                <w:rFonts w:ascii="Times New Roman" w:hAnsi="Times New Roman"/>
                <w:sz w:val="24"/>
                <w:szCs w:val="24"/>
                <w:vertAlign w:val="superscript"/>
              </w:rPr>
              <w:t>***</w:t>
            </w:r>
          </w:p>
        </w:tc>
      </w:tr>
      <w:tr w:rsidR="005B7CAC" w:rsidRPr="005B7CAC" w14:paraId="2A7F207A" w14:textId="77777777" w:rsidTr="00BB6BD1">
        <w:tc>
          <w:tcPr>
            <w:tcW w:w="1388" w:type="pct"/>
            <w:tcBorders>
              <w:top w:val="nil"/>
              <w:left w:val="nil"/>
              <w:bottom w:val="nil"/>
              <w:right w:val="nil"/>
            </w:tcBorders>
          </w:tcPr>
          <w:p w14:paraId="612D13C5" w14:textId="77777777" w:rsidR="00BB6BD1" w:rsidRPr="005B7CAC" w:rsidRDefault="00BB6BD1" w:rsidP="00C90660">
            <w:pPr>
              <w:widowControl w:val="0"/>
              <w:autoSpaceDE w:val="0"/>
              <w:autoSpaceDN w:val="0"/>
              <w:adjustRightInd w:val="0"/>
              <w:spacing w:after="0" w:line="240" w:lineRule="auto"/>
              <w:rPr>
                <w:rFonts w:ascii="Times New Roman" w:hAnsi="Times New Roman"/>
                <w:lang w:val="en-US"/>
              </w:rPr>
            </w:pPr>
          </w:p>
        </w:tc>
        <w:tc>
          <w:tcPr>
            <w:tcW w:w="981" w:type="pct"/>
            <w:tcBorders>
              <w:top w:val="nil"/>
              <w:left w:val="nil"/>
              <w:bottom w:val="nil"/>
              <w:right w:val="nil"/>
            </w:tcBorders>
          </w:tcPr>
          <w:p w14:paraId="195C57A4"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sz w:val="24"/>
                <w:szCs w:val="24"/>
              </w:rPr>
            </w:pPr>
          </w:p>
        </w:tc>
        <w:tc>
          <w:tcPr>
            <w:tcW w:w="981" w:type="pct"/>
            <w:tcBorders>
              <w:top w:val="nil"/>
              <w:left w:val="nil"/>
              <w:bottom w:val="nil"/>
              <w:right w:val="nil"/>
            </w:tcBorders>
          </w:tcPr>
          <w:p w14:paraId="069AF7B6"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(1.76)</w:t>
            </w:r>
          </w:p>
        </w:tc>
        <w:tc>
          <w:tcPr>
            <w:tcW w:w="825" w:type="pct"/>
            <w:tcBorders>
              <w:top w:val="nil"/>
              <w:left w:val="nil"/>
              <w:bottom w:val="nil"/>
              <w:right w:val="nil"/>
            </w:tcBorders>
          </w:tcPr>
          <w:p w14:paraId="021DBF63"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sz w:val="24"/>
                <w:szCs w:val="24"/>
              </w:rPr>
            </w:pPr>
          </w:p>
        </w:tc>
        <w:tc>
          <w:tcPr>
            <w:tcW w:w="825" w:type="pct"/>
            <w:tcBorders>
              <w:top w:val="nil"/>
              <w:left w:val="nil"/>
              <w:bottom w:val="nil"/>
              <w:right w:val="nil"/>
            </w:tcBorders>
          </w:tcPr>
          <w:p w14:paraId="4A43EA44"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(3.30)</w:t>
            </w:r>
          </w:p>
        </w:tc>
      </w:tr>
      <w:tr w:rsidR="005B7CAC" w:rsidRPr="005B7CAC" w14:paraId="0AD51730" w14:textId="77777777" w:rsidTr="00BB6BD1">
        <w:tc>
          <w:tcPr>
            <w:tcW w:w="1388" w:type="pct"/>
            <w:tcBorders>
              <w:top w:val="nil"/>
              <w:left w:val="nil"/>
              <w:bottom w:val="nil"/>
              <w:right w:val="nil"/>
            </w:tcBorders>
          </w:tcPr>
          <w:p w14:paraId="6A0DB6C5" w14:textId="77777777" w:rsidR="00BB6BD1" w:rsidRPr="005B7CAC" w:rsidRDefault="00BB6BD1" w:rsidP="00C90660">
            <w:pPr>
              <w:widowControl w:val="0"/>
              <w:autoSpaceDE w:val="0"/>
              <w:autoSpaceDN w:val="0"/>
              <w:adjustRightInd w:val="0"/>
              <w:spacing w:after="0" w:line="240" w:lineRule="auto"/>
              <w:rPr>
                <w:rFonts w:ascii="Times New Roman" w:hAnsi="Times New Roman"/>
                <w:lang w:val="en-US"/>
              </w:rPr>
            </w:pPr>
            <w:r w:rsidRPr="005B7CAC">
              <w:rPr>
                <w:rFonts w:ascii="Times New Roman" w:hAnsi="Times New Roman"/>
                <w:lang w:val="en-US"/>
              </w:rPr>
              <w:t>GINVs</w:t>
            </w:r>
          </w:p>
        </w:tc>
        <w:tc>
          <w:tcPr>
            <w:tcW w:w="981" w:type="pct"/>
            <w:tcBorders>
              <w:top w:val="nil"/>
              <w:left w:val="nil"/>
              <w:bottom w:val="nil"/>
              <w:right w:val="nil"/>
            </w:tcBorders>
          </w:tcPr>
          <w:p w14:paraId="2B29843A"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0.009</w:t>
            </w:r>
            <w:r w:rsidRPr="005B7CAC">
              <w:rPr>
                <w:rFonts w:ascii="Times New Roman" w:hAnsi="Times New Roman"/>
                <w:sz w:val="24"/>
                <w:szCs w:val="24"/>
                <w:vertAlign w:val="superscript"/>
              </w:rPr>
              <w:t>***</w:t>
            </w:r>
          </w:p>
        </w:tc>
        <w:tc>
          <w:tcPr>
            <w:tcW w:w="981" w:type="pct"/>
            <w:tcBorders>
              <w:top w:val="nil"/>
              <w:left w:val="nil"/>
              <w:bottom w:val="nil"/>
              <w:right w:val="nil"/>
            </w:tcBorders>
          </w:tcPr>
          <w:p w14:paraId="72C264AF"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0.008</w:t>
            </w:r>
            <w:r w:rsidRPr="005B7CAC">
              <w:rPr>
                <w:rFonts w:ascii="Times New Roman" w:hAnsi="Times New Roman"/>
                <w:sz w:val="24"/>
                <w:szCs w:val="24"/>
                <w:vertAlign w:val="superscript"/>
              </w:rPr>
              <w:t>***</w:t>
            </w:r>
          </w:p>
        </w:tc>
        <w:tc>
          <w:tcPr>
            <w:tcW w:w="825" w:type="pct"/>
            <w:tcBorders>
              <w:top w:val="nil"/>
              <w:left w:val="nil"/>
              <w:bottom w:val="nil"/>
              <w:right w:val="nil"/>
            </w:tcBorders>
          </w:tcPr>
          <w:p w14:paraId="269D6F95"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0.024</w:t>
            </w:r>
            <w:r w:rsidRPr="005B7CAC">
              <w:rPr>
                <w:rFonts w:ascii="Times New Roman" w:hAnsi="Times New Roman"/>
                <w:sz w:val="24"/>
                <w:szCs w:val="24"/>
                <w:vertAlign w:val="superscript"/>
              </w:rPr>
              <w:t>***</w:t>
            </w:r>
          </w:p>
        </w:tc>
        <w:tc>
          <w:tcPr>
            <w:tcW w:w="825" w:type="pct"/>
            <w:tcBorders>
              <w:top w:val="nil"/>
              <w:left w:val="nil"/>
              <w:bottom w:val="nil"/>
              <w:right w:val="nil"/>
            </w:tcBorders>
          </w:tcPr>
          <w:p w14:paraId="00CE7116"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0.022</w:t>
            </w:r>
            <w:r w:rsidRPr="005B7CAC">
              <w:rPr>
                <w:rFonts w:ascii="Times New Roman" w:hAnsi="Times New Roman"/>
                <w:sz w:val="24"/>
                <w:szCs w:val="24"/>
                <w:vertAlign w:val="superscript"/>
              </w:rPr>
              <w:t>***</w:t>
            </w:r>
          </w:p>
        </w:tc>
      </w:tr>
      <w:tr w:rsidR="005B7CAC" w:rsidRPr="005B7CAC" w14:paraId="60466E23" w14:textId="77777777" w:rsidTr="00BB6BD1">
        <w:tc>
          <w:tcPr>
            <w:tcW w:w="1388" w:type="pct"/>
            <w:tcBorders>
              <w:top w:val="nil"/>
              <w:left w:val="nil"/>
              <w:bottom w:val="nil"/>
              <w:right w:val="nil"/>
            </w:tcBorders>
          </w:tcPr>
          <w:p w14:paraId="2BE736C6" w14:textId="77777777" w:rsidR="00BB6BD1" w:rsidRPr="005B7CAC" w:rsidRDefault="00BB6BD1" w:rsidP="00C90660">
            <w:pPr>
              <w:widowControl w:val="0"/>
              <w:autoSpaceDE w:val="0"/>
              <w:autoSpaceDN w:val="0"/>
              <w:adjustRightInd w:val="0"/>
              <w:spacing w:after="0" w:line="240" w:lineRule="auto"/>
              <w:rPr>
                <w:rFonts w:ascii="Times New Roman" w:hAnsi="Times New Roman"/>
                <w:lang w:val="en-US"/>
              </w:rPr>
            </w:pPr>
          </w:p>
        </w:tc>
        <w:tc>
          <w:tcPr>
            <w:tcW w:w="981" w:type="pct"/>
            <w:tcBorders>
              <w:top w:val="nil"/>
              <w:left w:val="nil"/>
              <w:bottom w:val="nil"/>
              <w:right w:val="nil"/>
            </w:tcBorders>
          </w:tcPr>
          <w:p w14:paraId="602D20F5"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(2.89)</w:t>
            </w:r>
          </w:p>
        </w:tc>
        <w:tc>
          <w:tcPr>
            <w:tcW w:w="981" w:type="pct"/>
            <w:tcBorders>
              <w:top w:val="nil"/>
              <w:left w:val="nil"/>
              <w:bottom w:val="nil"/>
              <w:right w:val="nil"/>
            </w:tcBorders>
          </w:tcPr>
          <w:p w14:paraId="3E564317"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(2.82)</w:t>
            </w:r>
          </w:p>
        </w:tc>
        <w:tc>
          <w:tcPr>
            <w:tcW w:w="825" w:type="pct"/>
            <w:tcBorders>
              <w:top w:val="nil"/>
              <w:left w:val="nil"/>
              <w:bottom w:val="nil"/>
              <w:right w:val="nil"/>
            </w:tcBorders>
          </w:tcPr>
          <w:p w14:paraId="0E5890B1"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(3.51)</w:t>
            </w:r>
          </w:p>
        </w:tc>
        <w:tc>
          <w:tcPr>
            <w:tcW w:w="825" w:type="pct"/>
            <w:tcBorders>
              <w:top w:val="nil"/>
              <w:left w:val="nil"/>
              <w:bottom w:val="nil"/>
              <w:right w:val="nil"/>
            </w:tcBorders>
          </w:tcPr>
          <w:p w14:paraId="76B386C7"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(3.25)</w:t>
            </w:r>
          </w:p>
        </w:tc>
      </w:tr>
      <w:tr w:rsidR="005B7CAC" w:rsidRPr="005B7CAC" w14:paraId="170864B2" w14:textId="77777777" w:rsidTr="00BB6BD1">
        <w:tc>
          <w:tcPr>
            <w:tcW w:w="1388" w:type="pct"/>
            <w:tcBorders>
              <w:top w:val="nil"/>
              <w:left w:val="nil"/>
              <w:bottom w:val="nil"/>
              <w:right w:val="nil"/>
            </w:tcBorders>
          </w:tcPr>
          <w:p w14:paraId="08FC19A6" w14:textId="77777777" w:rsidR="00BB6BD1" w:rsidRPr="005B7CAC" w:rsidRDefault="00BB6BD1" w:rsidP="00C90660">
            <w:pPr>
              <w:widowControl w:val="0"/>
              <w:autoSpaceDE w:val="0"/>
              <w:autoSpaceDN w:val="0"/>
              <w:adjustRightInd w:val="0"/>
              <w:spacing w:after="0" w:line="240" w:lineRule="auto"/>
              <w:rPr>
                <w:rFonts w:ascii="Times New Roman" w:hAnsi="Times New Roman"/>
                <w:lang w:val="en-US"/>
              </w:rPr>
            </w:pPr>
            <w:r w:rsidRPr="005B7CAC">
              <w:rPr>
                <w:rFonts w:ascii="Times New Roman" w:hAnsi="Times New Roman"/>
                <w:lang w:val="en-US"/>
              </w:rPr>
              <w:t>Controls</w:t>
            </w:r>
          </w:p>
        </w:tc>
        <w:tc>
          <w:tcPr>
            <w:tcW w:w="981" w:type="pct"/>
            <w:tcBorders>
              <w:top w:val="nil"/>
              <w:left w:val="nil"/>
              <w:bottom w:val="nil"/>
              <w:right w:val="nil"/>
            </w:tcBorders>
          </w:tcPr>
          <w:p w14:paraId="4A709C1E"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Included</w:t>
            </w:r>
          </w:p>
        </w:tc>
        <w:tc>
          <w:tcPr>
            <w:tcW w:w="981" w:type="pct"/>
            <w:tcBorders>
              <w:top w:val="nil"/>
              <w:left w:val="nil"/>
              <w:bottom w:val="nil"/>
              <w:right w:val="nil"/>
            </w:tcBorders>
          </w:tcPr>
          <w:p w14:paraId="5D22082F"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Included</w:t>
            </w:r>
          </w:p>
        </w:tc>
        <w:tc>
          <w:tcPr>
            <w:tcW w:w="825" w:type="pct"/>
            <w:tcBorders>
              <w:top w:val="nil"/>
              <w:left w:val="nil"/>
              <w:bottom w:val="nil"/>
              <w:right w:val="nil"/>
            </w:tcBorders>
          </w:tcPr>
          <w:p w14:paraId="7DA0D261"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Included</w:t>
            </w:r>
          </w:p>
        </w:tc>
        <w:tc>
          <w:tcPr>
            <w:tcW w:w="825" w:type="pct"/>
            <w:tcBorders>
              <w:top w:val="nil"/>
              <w:left w:val="nil"/>
              <w:bottom w:val="nil"/>
              <w:right w:val="nil"/>
            </w:tcBorders>
          </w:tcPr>
          <w:p w14:paraId="1DB3D53E"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Included</w:t>
            </w:r>
          </w:p>
        </w:tc>
      </w:tr>
      <w:tr w:rsidR="005B7CAC" w:rsidRPr="005B7CAC" w14:paraId="1DFD5AFD" w14:textId="77777777" w:rsidTr="00BB6BD1">
        <w:tc>
          <w:tcPr>
            <w:tcW w:w="1388" w:type="pct"/>
            <w:tcBorders>
              <w:top w:val="nil"/>
              <w:left w:val="nil"/>
              <w:bottom w:val="single" w:sz="8" w:space="0" w:color="auto"/>
              <w:right w:val="nil"/>
            </w:tcBorders>
          </w:tcPr>
          <w:p w14:paraId="380BCAD8" w14:textId="77777777" w:rsidR="00BB6BD1" w:rsidRPr="005B7CAC" w:rsidRDefault="00BB6BD1" w:rsidP="00C90660">
            <w:pPr>
              <w:widowControl w:val="0"/>
              <w:autoSpaceDE w:val="0"/>
              <w:autoSpaceDN w:val="0"/>
              <w:adjustRightInd w:val="0"/>
              <w:spacing w:after="0" w:line="240" w:lineRule="auto"/>
              <w:rPr>
                <w:rFonts w:ascii="Times New Roman" w:hAnsi="Times New Roman"/>
                <w:lang w:val="en-US"/>
              </w:rPr>
            </w:pPr>
            <w:r w:rsidRPr="005B7CAC">
              <w:rPr>
                <w:rFonts w:ascii="Times New Roman" w:hAnsi="Times New Roman"/>
                <w:lang w:val="en-US"/>
              </w:rPr>
              <w:t>Year/Industry FE</w:t>
            </w:r>
          </w:p>
        </w:tc>
        <w:tc>
          <w:tcPr>
            <w:tcW w:w="981" w:type="pct"/>
            <w:tcBorders>
              <w:top w:val="nil"/>
              <w:left w:val="nil"/>
              <w:bottom w:val="single" w:sz="8" w:space="0" w:color="auto"/>
              <w:right w:val="nil"/>
            </w:tcBorders>
          </w:tcPr>
          <w:p w14:paraId="37719391"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Yes</w:t>
            </w:r>
          </w:p>
        </w:tc>
        <w:tc>
          <w:tcPr>
            <w:tcW w:w="981" w:type="pct"/>
            <w:tcBorders>
              <w:top w:val="nil"/>
              <w:left w:val="nil"/>
              <w:bottom w:val="single" w:sz="8" w:space="0" w:color="auto"/>
              <w:right w:val="nil"/>
            </w:tcBorders>
          </w:tcPr>
          <w:p w14:paraId="1B36E603"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Yes</w:t>
            </w:r>
          </w:p>
        </w:tc>
        <w:tc>
          <w:tcPr>
            <w:tcW w:w="825" w:type="pct"/>
            <w:tcBorders>
              <w:top w:val="nil"/>
              <w:left w:val="nil"/>
              <w:bottom w:val="single" w:sz="8" w:space="0" w:color="auto"/>
              <w:right w:val="nil"/>
            </w:tcBorders>
          </w:tcPr>
          <w:p w14:paraId="2422CDBE"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Yes</w:t>
            </w:r>
          </w:p>
        </w:tc>
        <w:tc>
          <w:tcPr>
            <w:tcW w:w="825" w:type="pct"/>
            <w:tcBorders>
              <w:top w:val="nil"/>
              <w:left w:val="nil"/>
              <w:bottom w:val="single" w:sz="8" w:space="0" w:color="auto"/>
              <w:right w:val="nil"/>
            </w:tcBorders>
          </w:tcPr>
          <w:p w14:paraId="663BC4E4"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Yes</w:t>
            </w:r>
          </w:p>
        </w:tc>
      </w:tr>
      <w:tr w:rsidR="005B7CAC" w:rsidRPr="005B7CAC" w14:paraId="3F8F47B0" w14:textId="77777777" w:rsidTr="00BB6BD1">
        <w:tc>
          <w:tcPr>
            <w:tcW w:w="1388" w:type="pct"/>
            <w:tcBorders>
              <w:top w:val="single" w:sz="8" w:space="0" w:color="auto"/>
              <w:left w:val="nil"/>
              <w:bottom w:val="nil"/>
              <w:right w:val="nil"/>
            </w:tcBorders>
          </w:tcPr>
          <w:p w14:paraId="1B984E90" w14:textId="77777777" w:rsidR="00BB6BD1" w:rsidRPr="005B7CAC" w:rsidRDefault="00BB6BD1" w:rsidP="00C90660">
            <w:pPr>
              <w:widowControl w:val="0"/>
              <w:autoSpaceDE w:val="0"/>
              <w:autoSpaceDN w:val="0"/>
              <w:adjustRightInd w:val="0"/>
              <w:spacing w:after="0" w:line="240" w:lineRule="auto"/>
              <w:rPr>
                <w:rFonts w:ascii="Times New Roman" w:hAnsi="Times New Roman"/>
                <w:lang w:val="en-US"/>
              </w:rPr>
            </w:pPr>
            <w:r w:rsidRPr="005B7CAC">
              <w:rPr>
                <w:rFonts w:ascii="Times New Roman" w:hAnsi="Times New Roman"/>
                <w:lang w:val="en-US"/>
              </w:rPr>
              <w:t>Observations</w:t>
            </w:r>
          </w:p>
        </w:tc>
        <w:tc>
          <w:tcPr>
            <w:tcW w:w="981" w:type="pct"/>
            <w:tcBorders>
              <w:top w:val="single" w:sz="8" w:space="0" w:color="auto"/>
              <w:left w:val="nil"/>
              <w:bottom w:val="nil"/>
              <w:right w:val="nil"/>
            </w:tcBorders>
          </w:tcPr>
          <w:p w14:paraId="3D0ABC0F"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1667</w:t>
            </w:r>
          </w:p>
        </w:tc>
        <w:tc>
          <w:tcPr>
            <w:tcW w:w="981" w:type="pct"/>
            <w:tcBorders>
              <w:top w:val="single" w:sz="8" w:space="0" w:color="auto"/>
              <w:left w:val="nil"/>
              <w:bottom w:val="nil"/>
              <w:right w:val="nil"/>
            </w:tcBorders>
          </w:tcPr>
          <w:p w14:paraId="5FDD6BCE"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1667</w:t>
            </w:r>
          </w:p>
        </w:tc>
        <w:tc>
          <w:tcPr>
            <w:tcW w:w="825" w:type="pct"/>
            <w:tcBorders>
              <w:top w:val="single" w:sz="8" w:space="0" w:color="auto"/>
              <w:left w:val="nil"/>
              <w:bottom w:val="nil"/>
              <w:right w:val="nil"/>
            </w:tcBorders>
          </w:tcPr>
          <w:p w14:paraId="4C7DAE4E"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1667</w:t>
            </w:r>
          </w:p>
        </w:tc>
        <w:tc>
          <w:tcPr>
            <w:tcW w:w="825" w:type="pct"/>
            <w:tcBorders>
              <w:top w:val="single" w:sz="8" w:space="0" w:color="auto"/>
              <w:left w:val="nil"/>
              <w:bottom w:val="nil"/>
              <w:right w:val="nil"/>
            </w:tcBorders>
          </w:tcPr>
          <w:p w14:paraId="0C94B277"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1667</w:t>
            </w:r>
          </w:p>
        </w:tc>
      </w:tr>
      <w:tr w:rsidR="005B7CAC" w:rsidRPr="005B7CAC" w14:paraId="5E4FF143" w14:textId="77777777" w:rsidTr="00BB6BD1">
        <w:tc>
          <w:tcPr>
            <w:tcW w:w="1388" w:type="pct"/>
            <w:tcBorders>
              <w:top w:val="nil"/>
              <w:left w:val="nil"/>
              <w:bottom w:val="single" w:sz="12" w:space="0" w:color="auto"/>
              <w:right w:val="nil"/>
            </w:tcBorders>
          </w:tcPr>
          <w:p w14:paraId="76BDF736" w14:textId="77777777" w:rsidR="00BB6BD1" w:rsidRPr="005B7CAC" w:rsidRDefault="00BB6BD1" w:rsidP="00C90660">
            <w:pPr>
              <w:widowControl w:val="0"/>
              <w:autoSpaceDE w:val="0"/>
              <w:autoSpaceDN w:val="0"/>
              <w:adjustRightInd w:val="0"/>
              <w:spacing w:after="0" w:line="240" w:lineRule="auto"/>
              <w:rPr>
                <w:rFonts w:ascii="Times New Roman" w:hAnsi="Times New Roman"/>
                <w:lang w:val="en-US"/>
              </w:rPr>
            </w:pPr>
            <w:r w:rsidRPr="005B7CAC">
              <w:rPr>
                <w:rFonts w:ascii="Times New Roman" w:hAnsi="Times New Roman"/>
                <w:lang w:val="en-US"/>
              </w:rPr>
              <w:t>Adj. R-sq.</w:t>
            </w:r>
          </w:p>
        </w:tc>
        <w:tc>
          <w:tcPr>
            <w:tcW w:w="981" w:type="pct"/>
            <w:tcBorders>
              <w:top w:val="nil"/>
              <w:left w:val="nil"/>
              <w:bottom w:val="single" w:sz="12" w:space="0" w:color="auto"/>
              <w:right w:val="nil"/>
            </w:tcBorders>
          </w:tcPr>
          <w:p w14:paraId="70C1CF5F"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0.495</w:t>
            </w:r>
          </w:p>
        </w:tc>
        <w:tc>
          <w:tcPr>
            <w:tcW w:w="981" w:type="pct"/>
            <w:tcBorders>
              <w:top w:val="nil"/>
              <w:left w:val="nil"/>
              <w:bottom w:val="single" w:sz="12" w:space="0" w:color="auto"/>
              <w:right w:val="nil"/>
            </w:tcBorders>
          </w:tcPr>
          <w:p w14:paraId="563D59FC"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0.495</w:t>
            </w:r>
          </w:p>
        </w:tc>
        <w:tc>
          <w:tcPr>
            <w:tcW w:w="825" w:type="pct"/>
            <w:tcBorders>
              <w:top w:val="nil"/>
              <w:left w:val="nil"/>
              <w:bottom w:val="single" w:sz="12" w:space="0" w:color="auto"/>
              <w:right w:val="nil"/>
            </w:tcBorders>
          </w:tcPr>
          <w:p w14:paraId="0AB1F6BC"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0.480</w:t>
            </w:r>
          </w:p>
        </w:tc>
        <w:tc>
          <w:tcPr>
            <w:tcW w:w="825" w:type="pct"/>
            <w:tcBorders>
              <w:top w:val="nil"/>
              <w:left w:val="nil"/>
              <w:bottom w:val="single" w:sz="12" w:space="0" w:color="auto"/>
              <w:right w:val="nil"/>
            </w:tcBorders>
          </w:tcPr>
          <w:p w14:paraId="68534A22" w14:textId="77777777" w:rsidR="00BB6BD1" w:rsidRPr="005B7CAC" w:rsidRDefault="00BB6BD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0.486</w:t>
            </w:r>
          </w:p>
        </w:tc>
      </w:tr>
    </w:tbl>
    <w:p w14:paraId="7DFA4364" w14:textId="77777777" w:rsidR="00BB6BD1" w:rsidRPr="005B7CAC" w:rsidRDefault="00BB6BD1" w:rsidP="00BB6BD1">
      <w:pPr>
        <w:widowControl w:val="0"/>
        <w:autoSpaceDE w:val="0"/>
        <w:autoSpaceDN w:val="0"/>
        <w:adjustRightInd w:val="0"/>
        <w:spacing w:after="0" w:line="240" w:lineRule="auto"/>
        <w:jc w:val="both"/>
        <w:rPr>
          <w:rFonts w:ascii="Times New Roman" w:hAnsi="Times New Roman"/>
          <w:lang w:val="en-US"/>
        </w:rPr>
      </w:pPr>
      <w:r w:rsidRPr="005B7CAC">
        <w:rPr>
          <w:rFonts w:ascii="Times New Roman" w:hAnsi="Times New Roman"/>
          <w:b/>
          <w:iCs/>
          <w:lang w:val="en-US"/>
        </w:rPr>
        <w:t>Note(s):</w:t>
      </w:r>
      <w:r w:rsidRPr="005B7CAC">
        <w:rPr>
          <w:rFonts w:ascii="Times New Roman" w:hAnsi="Times New Roman"/>
          <w:iCs/>
          <w:lang w:val="en-US"/>
        </w:rPr>
        <w:t xml:space="preserve"> This table reports the links among green initiatives (</w:t>
      </w:r>
      <w:r w:rsidRPr="005B7CAC">
        <w:rPr>
          <w:rFonts w:ascii="Times New Roman" w:hAnsi="Times New Roman"/>
          <w:i/>
          <w:lang w:val="en-US"/>
        </w:rPr>
        <w:t>GINVs</w:t>
      </w:r>
      <w:r w:rsidRPr="005B7CAC">
        <w:rPr>
          <w:rFonts w:ascii="Times New Roman" w:hAnsi="Times New Roman"/>
          <w:iCs/>
          <w:lang w:val="en-US"/>
        </w:rPr>
        <w:t>), waste management (</w:t>
      </w:r>
      <w:r w:rsidRPr="005B7CAC">
        <w:rPr>
          <w:rFonts w:ascii="Times New Roman" w:hAnsi="Times New Roman"/>
          <w:i/>
          <w:lang w:val="en-US"/>
        </w:rPr>
        <w:t>WM</w:t>
      </w:r>
      <w:r w:rsidRPr="005B7CAC">
        <w:rPr>
          <w:rFonts w:ascii="Times New Roman" w:hAnsi="Times New Roman"/>
          <w:iCs/>
          <w:lang w:val="en-US"/>
        </w:rPr>
        <w:t>), and financial distress (</w:t>
      </w:r>
      <w:r w:rsidRPr="005B7CAC">
        <w:rPr>
          <w:rFonts w:ascii="Times New Roman" w:hAnsi="Times New Roman"/>
          <w:i/>
          <w:lang w:val="en-US"/>
        </w:rPr>
        <w:t>FD</w:t>
      </w:r>
      <w:r w:rsidRPr="005B7CAC">
        <w:rPr>
          <w:rFonts w:ascii="Times New Roman" w:hAnsi="Times New Roman"/>
          <w:iCs/>
          <w:lang w:val="en-US"/>
        </w:rPr>
        <w:t xml:space="preserve">) based on the alternative measures of </w:t>
      </w:r>
      <w:r w:rsidRPr="005B7CAC">
        <w:rPr>
          <w:rFonts w:ascii="Times New Roman" w:hAnsi="Times New Roman"/>
          <w:i/>
          <w:lang w:val="en-US"/>
        </w:rPr>
        <w:t>FD</w:t>
      </w:r>
      <w:r w:rsidRPr="005B7CAC">
        <w:rPr>
          <w:rFonts w:ascii="Times New Roman" w:hAnsi="Times New Roman"/>
          <w:iCs/>
          <w:lang w:val="en-US"/>
        </w:rPr>
        <w:t xml:space="preserve"> (Panel A) and </w:t>
      </w:r>
      <w:r w:rsidRPr="005B7CAC">
        <w:rPr>
          <w:rFonts w:ascii="Times New Roman" w:hAnsi="Times New Roman"/>
          <w:i/>
          <w:lang w:val="en-US"/>
        </w:rPr>
        <w:t>WM</w:t>
      </w:r>
      <w:r w:rsidRPr="005B7CAC">
        <w:rPr>
          <w:rFonts w:ascii="Times New Roman" w:hAnsi="Times New Roman"/>
          <w:iCs/>
          <w:lang w:val="en-US"/>
        </w:rPr>
        <w:t xml:space="preserve"> (Panel B). </w:t>
      </w:r>
      <w:r w:rsidRPr="005B7CAC">
        <w:rPr>
          <w:rFonts w:ascii="Times New Roman" w:hAnsi="Times New Roman"/>
          <w:bCs/>
          <w:lang w:val="en-US"/>
        </w:rPr>
        <w:t xml:space="preserve">Robust </w:t>
      </w:r>
      <w:r w:rsidRPr="005B7CAC">
        <w:rPr>
          <w:rFonts w:ascii="Times New Roman" w:hAnsi="Times New Roman"/>
          <w:bCs/>
          <w:i/>
          <w:lang w:val="en-US"/>
        </w:rPr>
        <w:t>t-statistics</w:t>
      </w:r>
      <w:r w:rsidRPr="005B7CAC">
        <w:rPr>
          <w:rFonts w:ascii="Times New Roman" w:hAnsi="Times New Roman"/>
          <w:bCs/>
          <w:lang w:val="en-US"/>
        </w:rPr>
        <w:t xml:space="preserve"> are presented in parentheses. </w:t>
      </w:r>
      <w:r w:rsidRPr="005B7CAC">
        <w:rPr>
          <w:rFonts w:ascii="Times New Roman" w:hAnsi="Times New Roman"/>
          <w:lang w:val="en-US"/>
        </w:rPr>
        <w:t xml:space="preserve">All the study variables are defined in Table 1. * </w:t>
      </w:r>
      <w:r w:rsidRPr="005B7CAC">
        <w:rPr>
          <w:rFonts w:ascii="Times New Roman" w:hAnsi="Times New Roman"/>
          <w:i/>
          <w:iCs/>
          <w:lang w:val="en-US"/>
        </w:rPr>
        <w:t>p</w:t>
      </w:r>
      <w:r w:rsidRPr="005B7CAC">
        <w:rPr>
          <w:rFonts w:ascii="Times New Roman" w:hAnsi="Times New Roman"/>
          <w:lang w:val="en-US"/>
        </w:rPr>
        <w:t xml:space="preserve"> &lt; 0.1, ** </w:t>
      </w:r>
      <w:r w:rsidRPr="005B7CAC">
        <w:rPr>
          <w:rFonts w:ascii="Times New Roman" w:hAnsi="Times New Roman"/>
          <w:i/>
          <w:iCs/>
          <w:lang w:val="en-US"/>
        </w:rPr>
        <w:t>p</w:t>
      </w:r>
      <w:r w:rsidRPr="005B7CAC">
        <w:rPr>
          <w:rFonts w:ascii="Times New Roman" w:hAnsi="Times New Roman"/>
          <w:lang w:val="en-US"/>
        </w:rPr>
        <w:t xml:space="preserve"> &lt; 0.05, *** </w:t>
      </w:r>
      <w:r w:rsidRPr="005B7CAC">
        <w:rPr>
          <w:rFonts w:ascii="Times New Roman" w:hAnsi="Times New Roman"/>
          <w:i/>
          <w:iCs/>
          <w:lang w:val="en-US"/>
        </w:rPr>
        <w:t>p</w:t>
      </w:r>
      <w:r w:rsidRPr="005B7CAC">
        <w:rPr>
          <w:rFonts w:ascii="Times New Roman" w:hAnsi="Times New Roman"/>
          <w:lang w:val="en-US"/>
        </w:rPr>
        <w:t xml:space="preserve"> &lt; 0.01.</w:t>
      </w:r>
    </w:p>
    <w:p w14:paraId="04F856D5" w14:textId="77777777" w:rsidR="00BB6BD1" w:rsidRPr="005B7CAC" w:rsidRDefault="00BB6BD1" w:rsidP="00BB6BD1">
      <w:pPr>
        <w:widowControl w:val="0"/>
        <w:autoSpaceDE w:val="0"/>
        <w:autoSpaceDN w:val="0"/>
        <w:adjustRightInd w:val="0"/>
        <w:spacing w:after="0" w:line="240" w:lineRule="auto"/>
        <w:jc w:val="both"/>
        <w:rPr>
          <w:rFonts w:ascii="Times New Roman" w:hAnsi="Times New Roman"/>
          <w:lang w:val="en-US"/>
        </w:rPr>
      </w:pPr>
      <w:r w:rsidRPr="005B7CAC">
        <w:rPr>
          <w:rFonts w:ascii="Times New Roman" w:hAnsi="Times New Roman"/>
          <w:b/>
          <w:lang w:val="en-US"/>
        </w:rPr>
        <w:t>Source:</w:t>
      </w:r>
      <w:r w:rsidRPr="005B7CAC">
        <w:rPr>
          <w:rFonts w:ascii="Times New Roman" w:hAnsi="Times New Roman"/>
          <w:lang w:val="en-US"/>
        </w:rPr>
        <w:t xml:space="preserve"> Table prepared by the authors.</w:t>
      </w:r>
    </w:p>
    <w:p w14:paraId="03652F9E" w14:textId="77777777" w:rsidR="00004FA3" w:rsidRPr="005B7CAC" w:rsidRDefault="00004FA3">
      <w:pPr>
        <w:widowControl w:val="0"/>
        <w:autoSpaceDE w:val="0"/>
        <w:autoSpaceDN w:val="0"/>
        <w:adjustRightInd w:val="0"/>
        <w:spacing w:after="0" w:line="240" w:lineRule="auto"/>
        <w:rPr>
          <w:rFonts w:ascii="Times New Roman" w:hAnsi="Times New Roman"/>
          <w:sz w:val="24"/>
          <w:szCs w:val="24"/>
          <w:lang w:val="en-US"/>
        </w:rPr>
      </w:pPr>
    </w:p>
    <w:p w14:paraId="0F89FD80" w14:textId="77777777" w:rsidR="00004FA3" w:rsidRPr="005B7CAC" w:rsidRDefault="00004FA3">
      <w:pPr>
        <w:widowControl w:val="0"/>
        <w:autoSpaceDE w:val="0"/>
        <w:autoSpaceDN w:val="0"/>
        <w:adjustRightInd w:val="0"/>
        <w:spacing w:after="0" w:line="240" w:lineRule="auto"/>
        <w:rPr>
          <w:rFonts w:ascii="Times New Roman" w:hAnsi="Times New Roman"/>
          <w:sz w:val="24"/>
          <w:szCs w:val="24"/>
          <w:lang w:val="en-US"/>
        </w:rPr>
      </w:pPr>
    </w:p>
    <w:p w14:paraId="07A9A65C" w14:textId="77777777" w:rsidR="00004FA3" w:rsidRPr="005B7CAC" w:rsidRDefault="00004FA3">
      <w:pPr>
        <w:widowControl w:val="0"/>
        <w:autoSpaceDE w:val="0"/>
        <w:autoSpaceDN w:val="0"/>
        <w:adjustRightInd w:val="0"/>
        <w:spacing w:after="0" w:line="240" w:lineRule="auto"/>
        <w:rPr>
          <w:rFonts w:ascii="Times New Roman" w:hAnsi="Times New Roman"/>
          <w:sz w:val="24"/>
          <w:szCs w:val="24"/>
          <w:lang w:val="en-US"/>
        </w:rPr>
      </w:pPr>
    </w:p>
    <w:p w14:paraId="7D6288F8" w14:textId="77777777" w:rsidR="00004FA3" w:rsidRPr="005B7CAC" w:rsidRDefault="00004FA3">
      <w:pPr>
        <w:widowControl w:val="0"/>
        <w:autoSpaceDE w:val="0"/>
        <w:autoSpaceDN w:val="0"/>
        <w:adjustRightInd w:val="0"/>
        <w:spacing w:after="0" w:line="240" w:lineRule="auto"/>
        <w:rPr>
          <w:rFonts w:ascii="Times New Roman" w:hAnsi="Times New Roman"/>
          <w:sz w:val="24"/>
          <w:szCs w:val="24"/>
          <w:lang w:val="en-US"/>
        </w:rPr>
      </w:pPr>
    </w:p>
    <w:p w14:paraId="731B0D88" w14:textId="77777777" w:rsidR="004526A6" w:rsidRPr="005B7CAC" w:rsidRDefault="004526A6">
      <w:pPr>
        <w:widowControl w:val="0"/>
        <w:autoSpaceDE w:val="0"/>
        <w:autoSpaceDN w:val="0"/>
        <w:adjustRightInd w:val="0"/>
        <w:spacing w:after="0" w:line="240" w:lineRule="auto"/>
        <w:rPr>
          <w:rFonts w:ascii="Times New Roman" w:hAnsi="Times New Roman"/>
          <w:sz w:val="24"/>
          <w:szCs w:val="24"/>
          <w:lang w:val="en-US"/>
        </w:rPr>
      </w:pPr>
    </w:p>
    <w:p w14:paraId="74CE97DE" w14:textId="77777777" w:rsidR="004526A6" w:rsidRPr="005B7CAC" w:rsidRDefault="004526A6">
      <w:pPr>
        <w:widowControl w:val="0"/>
        <w:autoSpaceDE w:val="0"/>
        <w:autoSpaceDN w:val="0"/>
        <w:adjustRightInd w:val="0"/>
        <w:spacing w:after="0" w:line="240" w:lineRule="auto"/>
        <w:rPr>
          <w:rFonts w:ascii="Times New Roman" w:hAnsi="Times New Roman"/>
          <w:sz w:val="24"/>
          <w:szCs w:val="24"/>
          <w:lang w:val="en-US"/>
        </w:rPr>
      </w:pPr>
    </w:p>
    <w:p w14:paraId="3EFA31FA" w14:textId="77777777" w:rsidR="004526A6" w:rsidRPr="005B7CAC" w:rsidRDefault="004526A6">
      <w:pPr>
        <w:widowControl w:val="0"/>
        <w:autoSpaceDE w:val="0"/>
        <w:autoSpaceDN w:val="0"/>
        <w:adjustRightInd w:val="0"/>
        <w:spacing w:after="0" w:line="240" w:lineRule="auto"/>
        <w:rPr>
          <w:rFonts w:ascii="Times New Roman" w:hAnsi="Times New Roman"/>
          <w:sz w:val="24"/>
          <w:szCs w:val="24"/>
          <w:lang w:val="en-US"/>
        </w:rPr>
      </w:pPr>
    </w:p>
    <w:p w14:paraId="296F6AA6" w14:textId="77777777" w:rsidR="004526A6" w:rsidRPr="005B7CAC" w:rsidRDefault="004526A6">
      <w:pPr>
        <w:widowControl w:val="0"/>
        <w:autoSpaceDE w:val="0"/>
        <w:autoSpaceDN w:val="0"/>
        <w:adjustRightInd w:val="0"/>
        <w:spacing w:after="0" w:line="240" w:lineRule="auto"/>
        <w:rPr>
          <w:rFonts w:ascii="Times New Roman" w:hAnsi="Times New Roman"/>
          <w:sz w:val="24"/>
          <w:szCs w:val="24"/>
          <w:lang w:val="en-US"/>
        </w:rPr>
      </w:pPr>
    </w:p>
    <w:p w14:paraId="6F8F9B16" w14:textId="77777777" w:rsidR="004526A6" w:rsidRPr="005B7CAC" w:rsidRDefault="004526A6">
      <w:pPr>
        <w:widowControl w:val="0"/>
        <w:autoSpaceDE w:val="0"/>
        <w:autoSpaceDN w:val="0"/>
        <w:adjustRightInd w:val="0"/>
        <w:spacing w:after="0" w:line="240" w:lineRule="auto"/>
        <w:rPr>
          <w:rFonts w:ascii="Times New Roman" w:hAnsi="Times New Roman"/>
          <w:sz w:val="24"/>
          <w:szCs w:val="24"/>
          <w:lang w:val="en-US"/>
        </w:rPr>
      </w:pPr>
    </w:p>
    <w:p w14:paraId="1D01C44A" w14:textId="77777777" w:rsidR="004526A6" w:rsidRPr="005B7CAC" w:rsidRDefault="004526A6">
      <w:pPr>
        <w:widowControl w:val="0"/>
        <w:autoSpaceDE w:val="0"/>
        <w:autoSpaceDN w:val="0"/>
        <w:adjustRightInd w:val="0"/>
        <w:spacing w:after="0" w:line="240" w:lineRule="auto"/>
        <w:rPr>
          <w:rFonts w:ascii="Times New Roman" w:hAnsi="Times New Roman"/>
          <w:sz w:val="24"/>
          <w:szCs w:val="24"/>
          <w:lang w:val="en-US"/>
        </w:rPr>
      </w:pPr>
    </w:p>
    <w:p w14:paraId="41844494" w14:textId="77777777" w:rsidR="00DA6FDF" w:rsidRPr="005B7CAC" w:rsidRDefault="00DA6FDF">
      <w:pPr>
        <w:widowControl w:val="0"/>
        <w:autoSpaceDE w:val="0"/>
        <w:autoSpaceDN w:val="0"/>
        <w:adjustRightInd w:val="0"/>
        <w:spacing w:after="0" w:line="240" w:lineRule="auto"/>
        <w:rPr>
          <w:rFonts w:ascii="Times New Roman" w:hAnsi="Times New Roman"/>
          <w:sz w:val="24"/>
          <w:szCs w:val="24"/>
          <w:lang w:val="en-US"/>
        </w:rPr>
      </w:pPr>
    </w:p>
    <w:p w14:paraId="0A47C127" w14:textId="77777777" w:rsidR="00DA6FDF" w:rsidRPr="005B7CAC" w:rsidRDefault="00DA6FDF">
      <w:pPr>
        <w:widowControl w:val="0"/>
        <w:autoSpaceDE w:val="0"/>
        <w:autoSpaceDN w:val="0"/>
        <w:adjustRightInd w:val="0"/>
        <w:spacing w:after="0" w:line="240" w:lineRule="auto"/>
        <w:rPr>
          <w:rFonts w:ascii="Times New Roman" w:hAnsi="Times New Roman"/>
          <w:sz w:val="24"/>
          <w:szCs w:val="24"/>
          <w:lang w:val="en-US"/>
        </w:rPr>
      </w:pPr>
    </w:p>
    <w:p w14:paraId="7DC9B168" w14:textId="2A91AF34" w:rsidR="00CD4FCC" w:rsidRPr="005B7CAC" w:rsidRDefault="009B7432" w:rsidP="00CD4FCC">
      <w:pPr>
        <w:widowControl w:val="0"/>
        <w:autoSpaceDE w:val="0"/>
        <w:autoSpaceDN w:val="0"/>
        <w:adjustRightInd w:val="0"/>
        <w:spacing w:after="240" w:line="240" w:lineRule="auto"/>
        <w:rPr>
          <w:rFonts w:ascii="Times New Roman" w:hAnsi="Times New Roman"/>
          <w:sz w:val="24"/>
          <w:szCs w:val="24"/>
          <w:lang w:val="en-US"/>
        </w:rPr>
      </w:pPr>
      <w:r w:rsidRPr="005B7CAC">
        <w:rPr>
          <w:rFonts w:ascii="Times New Roman" w:hAnsi="Times New Roman"/>
          <w:b/>
          <w:sz w:val="24"/>
          <w:szCs w:val="24"/>
          <w:lang w:val="en-US"/>
        </w:rPr>
        <w:lastRenderedPageBreak/>
        <w:t xml:space="preserve">Table </w:t>
      </w:r>
      <w:r w:rsidR="00656B01" w:rsidRPr="005B7CAC">
        <w:rPr>
          <w:rFonts w:ascii="Times New Roman" w:hAnsi="Times New Roman"/>
          <w:b/>
          <w:sz w:val="24"/>
          <w:szCs w:val="24"/>
          <w:lang w:val="en-US"/>
        </w:rPr>
        <w:t>8</w:t>
      </w:r>
      <w:r w:rsidR="00CD4FCC" w:rsidRPr="005B7CAC">
        <w:rPr>
          <w:rFonts w:ascii="Times New Roman" w:hAnsi="Times New Roman"/>
          <w:b/>
          <w:sz w:val="24"/>
          <w:szCs w:val="24"/>
          <w:lang w:val="en-US"/>
        </w:rPr>
        <w:t>.</w:t>
      </w:r>
      <w:r w:rsidR="00CD4FCC" w:rsidRPr="005B7CAC">
        <w:rPr>
          <w:rFonts w:ascii="Times New Roman" w:hAnsi="Times New Roman"/>
          <w:sz w:val="24"/>
          <w:szCs w:val="24"/>
          <w:lang w:val="en-US"/>
        </w:rPr>
        <w:t xml:space="preserve"> Robustness tests</w:t>
      </w:r>
      <w:r w:rsidR="00F75F10" w:rsidRPr="005B7CAC">
        <w:rPr>
          <w:rFonts w:ascii="Times New Roman" w:hAnsi="Times New Roman"/>
          <w:sz w:val="24"/>
          <w:szCs w:val="24"/>
          <w:lang w:val="en-US"/>
        </w:rPr>
        <w:t xml:space="preserve">: </w:t>
      </w:r>
      <w:r w:rsidR="00656B01" w:rsidRPr="005B7CAC">
        <w:rPr>
          <w:rFonts w:ascii="Times New Roman" w:hAnsi="Times New Roman"/>
          <w:sz w:val="24"/>
          <w:szCs w:val="24"/>
          <w:lang w:val="en-US"/>
        </w:rPr>
        <w:t>2SLS</w:t>
      </w:r>
    </w:p>
    <w:tbl>
      <w:tblPr>
        <w:tblW w:w="5000" w:type="pct"/>
        <w:tblLook w:val="0000" w:firstRow="0" w:lastRow="0" w:firstColumn="0" w:lastColumn="0" w:noHBand="0" w:noVBand="0"/>
      </w:tblPr>
      <w:tblGrid>
        <w:gridCol w:w="2203"/>
        <w:gridCol w:w="1232"/>
        <w:gridCol w:w="1256"/>
        <w:gridCol w:w="1256"/>
        <w:gridCol w:w="1232"/>
        <w:gridCol w:w="1256"/>
        <w:gridCol w:w="1254"/>
      </w:tblGrid>
      <w:tr w:rsidR="005B7CAC" w:rsidRPr="005B7CAC" w14:paraId="09E3F499" w14:textId="77777777" w:rsidTr="004472CF">
        <w:tc>
          <w:tcPr>
            <w:tcW w:w="1137" w:type="pct"/>
            <w:tcBorders>
              <w:top w:val="single" w:sz="12" w:space="0" w:color="auto"/>
              <w:left w:val="nil"/>
              <w:bottom w:val="single" w:sz="8" w:space="0" w:color="auto"/>
              <w:right w:val="nil"/>
            </w:tcBorders>
          </w:tcPr>
          <w:p w14:paraId="58F99F88" w14:textId="77777777" w:rsidR="00623491" w:rsidRPr="005B7CAC" w:rsidRDefault="00623491" w:rsidP="00C90660">
            <w:pPr>
              <w:widowControl w:val="0"/>
              <w:autoSpaceDE w:val="0"/>
              <w:autoSpaceDN w:val="0"/>
              <w:adjustRightInd w:val="0"/>
              <w:spacing w:after="0" w:line="240" w:lineRule="auto"/>
              <w:rPr>
                <w:rFonts w:ascii="Times New Roman" w:hAnsi="Times New Roman"/>
                <w:b/>
                <w:bCs/>
                <w:sz w:val="24"/>
                <w:szCs w:val="24"/>
              </w:rPr>
            </w:pPr>
          </w:p>
        </w:tc>
        <w:tc>
          <w:tcPr>
            <w:tcW w:w="636" w:type="pct"/>
            <w:tcBorders>
              <w:top w:val="single" w:sz="12" w:space="0" w:color="auto"/>
              <w:left w:val="nil"/>
              <w:bottom w:val="single" w:sz="8" w:space="0" w:color="auto"/>
              <w:right w:val="nil"/>
            </w:tcBorders>
          </w:tcPr>
          <w:p w14:paraId="7B6A1A1E" w14:textId="5C4A1F04" w:rsidR="00623491" w:rsidRPr="005B7CAC" w:rsidRDefault="00623491"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rPr>
              <w:t>1</w:t>
            </w:r>
            <w:r w:rsidRPr="005B7CAC">
              <w:rPr>
                <w:rFonts w:ascii="Times New Roman" w:hAnsi="Times New Roman"/>
                <w:b/>
                <w:bCs/>
                <w:vertAlign w:val="superscript"/>
              </w:rPr>
              <w:t>st</w:t>
            </w:r>
            <w:r w:rsidRPr="005B7CAC">
              <w:rPr>
                <w:rFonts w:ascii="Times New Roman" w:hAnsi="Times New Roman"/>
                <w:b/>
                <w:bCs/>
              </w:rPr>
              <w:t xml:space="preserve"> stage</w:t>
            </w:r>
          </w:p>
        </w:tc>
        <w:tc>
          <w:tcPr>
            <w:tcW w:w="648" w:type="pct"/>
            <w:tcBorders>
              <w:top w:val="single" w:sz="12" w:space="0" w:color="auto"/>
              <w:left w:val="nil"/>
              <w:bottom w:val="single" w:sz="8" w:space="0" w:color="auto"/>
              <w:right w:val="nil"/>
            </w:tcBorders>
          </w:tcPr>
          <w:p w14:paraId="3078D873" w14:textId="29EA2DA6" w:rsidR="00623491" w:rsidRPr="005B7CAC" w:rsidRDefault="00623491"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rPr>
              <w:t>2</w:t>
            </w:r>
            <w:r w:rsidRPr="005B7CAC">
              <w:rPr>
                <w:rFonts w:ascii="Times New Roman" w:hAnsi="Times New Roman"/>
                <w:b/>
                <w:bCs/>
                <w:vertAlign w:val="superscript"/>
              </w:rPr>
              <w:t>nd</w:t>
            </w:r>
            <w:r w:rsidRPr="005B7CAC">
              <w:rPr>
                <w:rFonts w:ascii="Times New Roman" w:hAnsi="Times New Roman"/>
                <w:b/>
                <w:bCs/>
              </w:rPr>
              <w:t xml:space="preserve"> stage</w:t>
            </w:r>
          </w:p>
        </w:tc>
        <w:tc>
          <w:tcPr>
            <w:tcW w:w="648" w:type="pct"/>
            <w:tcBorders>
              <w:top w:val="single" w:sz="12" w:space="0" w:color="auto"/>
              <w:left w:val="nil"/>
              <w:bottom w:val="single" w:sz="8" w:space="0" w:color="auto"/>
              <w:right w:val="nil"/>
            </w:tcBorders>
          </w:tcPr>
          <w:p w14:paraId="27148ED1" w14:textId="17E5FA6C" w:rsidR="00623491" w:rsidRPr="005B7CAC" w:rsidRDefault="00623491"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rPr>
              <w:t>2</w:t>
            </w:r>
            <w:r w:rsidRPr="005B7CAC">
              <w:rPr>
                <w:rFonts w:ascii="Times New Roman" w:hAnsi="Times New Roman"/>
                <w:b/>
                <w:bCs/>
                <w:vertAlign w:val="superscript"/>
              </w:rPr>
              <w:t>nd</w:t>
            </w:r>
            <w:r w:rsidRPr="005B7CAC">
              <w:rPr>
                <w:rFonts w:ascii="Times New Roman" w:hAnsi="Times New Roman"/>
                <w:b/>
                <w:bCs/>
              </w:rPr>
              <w:t xml:space="preserve"> stage</w:t>
            </w:r>
          </w:p>
        </w:tc>
        <w:tc>
          <w:tcPr>
            <w:tcW w:w="636" w:type="pct"/>
            <w:tcBorders>
              <w:top w:val="single" w:sz="12" w:space="0" w:color="auto"/>
              <w:left w:val="nil"/>
              <w:bottom w:val="single" w:sz="8" w:space="0" w:color="auto"/>
              <w:right w:val="nil"/>
            </w:tcBorders>
          </w:tcPr>
          <w:p w14:paraId="5AB7B600" w14:textId="2294C607" w:rsidR="00623491" w:rsidRPr="005B7CAC" w:rsidRDefault="00623491"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rPr>
              <w:t>1</w:t>
            </w:r>
            <w:r w:rsidRPr="005B7CAC">
              <w:rPr>
                <w:rFonts w:ascii="Times New Roman" w:hAnsi="Times New Roman"/>
                <w:b/>
                <w:bCs/>
                <w:vertAlign w:val="superscript"/>
              </w:rPr>
              <w:t>st</w:t>
            </w:r>
            <w:r w:rsidRPr="005B7CAC">
              <w:rPr>
                <w:rFonts w:ascii="Times New Roman" w:hAnsi="Times New Roman"/>
                <w:b/>
                <w:bCs/>
              </w:rPr>
              <w:t xml:space="preserve"> stage</w:t>
            </w:r>
          </w:p>
        </w:tc>
        <w:tc>
          <w:tcPr>
            <w:tcW w:w="648" w:type="pct"/>
            <w:tcBorders>
              <w:top w:val="single" w:sz="12" w:space="0" w:color="auto"/>
              <w:left w:val="nil"/>
              <w:bottom w:val="single" w:sz="8" w:space="0" w:color="auto"/>
              <w:right w:val="nil"/>
            </w:tcBorders>
          </w:tcPr>
          <w:p w14:paraId="54CE022E" w14:textId="6CC4AECA" w:rsidR="00623491" w:rsidRPr="005B7CAC" w:rsidRDefault="00623491"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rPr>
              <w:t>2</w:t>
            </w:r>
            <w:r w:rsidRPr="005B7CAC">
              <w:rPr>
                <w:rFonts w:ascii="Times New Roman" w:hAnsi="Times New Roman"/>
                <w:b/>
                <w:bCs/>
                <w:vertAlign w:val="superscript"/>
              </w:rPr>
              <w:t>nd</w:t>
            </w:r>
            <w:r w:rsidRPr="005B7CAC">
              <w:rPr>
                <w:rFonts w:ascii="Times New Roman" w:hAnsi="Times New Roman"/>
                <w:b/>
                <w:bCs/>
              </w:rPr>
              <w:t xml:space="preserve"> stage</w:t>
            </w:r>
          </w:p>
        </w:tc>
        <w:tc>
          <w:tcPr>
            <w:tcW w:w="648" w:type="pct"/>
            <w:tcBorders>
              <w:top w:val="single" w:sz="12" w:space="0" w:color="auto"/>
              <w:left w:val="nil"/>
              <w:bottom w:val="single" w:sz="8" w:space="0" w:color="auto"/>
              <w:right w:val="nil"/>
            </w:tcBorders>
          </w:tcPr>
          <w:p w14:paraId="7E3672ED" w14:textId="50726601" w:rsidR="00623491" w:rsidRPr="005B7CAC" w:rsidRDefault="00623491"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rPr>
              <w:t>2</w:t>
            </w:r>
            <w:r w:rsidRPr="005B7CAC">
              <w:rPr>
                <w:rFonts w:ascii="Times New Roman" w:hAnsi="Times New Roman"/>
                <w:b/>
                <w:bCs/>
                <w:vertAlign w:val="superscript"/>
              </w:rPr>
              <w:t>nd</w:t>
            </w:r>
            <w:r w:rsidRPr="005B7CAC">
              <w:rPr>
                <w:rFonts w:ascii="Times New Roman" w:hAnsi="Times New Roman"/>
                <w:b/>
                <w:bCs/>
              </w:rPr>
              <w:t xml:space="preserve"> stage</w:t>
            </w:r>
          </w:p>
        </w:tc>
      </w:tr>
      <w:tr w:rsidR="005B7CAC" w:rsidRPr="005B7CAC" w14:paraId="7C548E09" w14:textId="77777777" w:rsidTr="004472CF">
        <w:tc>
          <w:tcPr>
            <w:tcW w:w="1137" w:type="pct"/>
            <w:tcBorders>
              <w:top w:val="single" w:sz="8" w:space="0" w:color="auto"/>
              <w:left w:val="nil"/>
              <w:bottom w:val="nil"/>
              <w:right w:val="nil"/>
            </w:tcBorders>
          </w:tcPr>
          <w:p w14:paraId="15F8AAE8" w14:textId="77777777" w:rsidR="00623491" w:rsidRPr="005B7CAC" w:rsidRDefault="00623491" w:rsidP="00C90660">
            <w:pPr>
              <w:widowControl w:val="0"/>
              <w:autoSpaceDE w:val="0"/>
              <w:autoSpaceDN w:val="0"/>
              <w:adjustRightInd w:val="0"/>
              <w:spacing w:after="0" w:line="240" w:lineRule="auto"/>
              <w:rPr>
                <w:rFonts w:ascii="Times New Roman" w:hAnsi="Times New Roman"/>
                <w:b/>
                <w:bCs/>
                <w:sz w:val="24"/>
                <w:szCs w:val="24"/>
              </w:rPr>
            </w:pPr>
          </w:p>
        </w:tc>
        <w:tc>
          <w:tcPr>
            <w:tcW w:w="636" w:type="pct"/>
            <w:tcBorders>
              <w:top w:val="single" w:sz="8" w:space="0" w:color="auto"/>
              <w:left w:val="nil"/>
              <w:bottom w:val="nil"/>
              <w:right w:val="nil"/>
            </w:tcBorders>
          </w:tcPr>
          <w:p w14:paraId="7FC14E5C"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(1)</w:t>
            </w:r>
          </w:p>
        </w:tc>
        <w:tc>
          <w:tcPr>
            <w:tcW w:w="648" w:type="pct"/>
            <w:tcBorders>
              <w:top w:val="single" w:sz="8" w:space="0" w:color="auto"/>
              <w:left w:val="nil"/>
              <w:bottom w:val="nil"/>
              <w:right w:val="nil"/>
            </w:tcBorders>
          </w:tcPr>
          <w:p w14:paraId="35E81596"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(2)</w:t>
            </w:r>
          </w:p>
        </w:tc>
        <w:tc>
          <w:tcPr>
            <w:tcW w:w="648" w:type="pct"/>
            <w:tcBorders>
              <w:top w:val="single" w:sz="8" w:space="0" w:color="auto"/>
              <w:left w:val="nil"/>
              <w:bottom w:val="nil"/>
              <w:right w:val="nil"/>
            </w:tcBorders>
          </w:tcPr>
          <w:p w14:paraId="2390E034"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(3)</w:t>
            </w:r>
          </w:p>
        </w:tc>
        <w:tc>
          <w:tcPr>
            <w:tcW w:w="636" w:type="pct"/>
            <w:tcBorders>
              <w:top w:val="single" w:sz="8" w:space="0" w:color="auto"/>
              <w:left w:val="nil"/>
              <w:bottom w:val="nil"/>
              <w:right w:val="nil"/>
            </w:tcBorders>
          </w:tcPr>
          <w:p w14:paraId="07F5F406"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(4)</w:t>
            </w:r>
          </w:p>
        </w:tc>
        <w:tc>
          <w:tcPr>
            <w:tcW w:w="648" w:type="pct"/>
            <w:tcBorders>
              <w:top w:val="single" w:sz="8" w:space="0" w:color="auto"/>
              <w:left w:val="nil"/>
              <w:bottom w:val="nil"/>
              <w:right w:val="nil"/>
            </w:tcBorders>
          </w:tcPr>
          <w:p w14:paraId="019F4873"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(5)</w:t>
            </w:r>
          </w:p>
        </w:tc>
        <w:tc>
          <w:tcPr>
            <w:tcW w:w="648" w:type="pct"/>
            <w:tcBorders>
              <w:top w:val="single" w:sz="8" w:space="0" w:color="auto"/>
              <w:left w:val="nil"/>
              <w:bottom w:val="nil"/>
              <w:right w:val="nil"/>
            </w:tcBorders>
          </w:tcPr>
          <w:p w14:paraId="56AB1514"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(6)</w:t>
            </w:r>
          </w:p>
        </w:tc>
      </w:tr>
      <w:tr w:rsidR="005B7CAC" w:rsidRPr="005B7CAC" w14:paraId="2EA4804A" w14:textId="77777777" w:rsidTr="004472CF">
        <w:tc>
          <w:tcPr>
            <w:tcW w:w="1137" w:type="pct"/>
            <w:tcBorders>
              <w:top w:val="nil"/>
              <w:left w:val="nil"/>
              <w:bottom w:val="nil"/>
              <w:right w:val="nil"/>
            </w:tcBorders>
          </w:tcPr>
          <w:p w14:paraId="52D9D88B" w14:textId="77777777" w:rsidR="00623491" w:rsidRPr="005B7CAC" w:rsidRDefault="00623491" w:rsidP="00C90660">
            <w:pPr>
              <w:widowControl w:val="0"/>
              <w:autoSpaceDE w:val="0"/>
              <w:autoSpaceDN w:val="0"/>
              <w:adjustRightInd w:val="0"/>
              <w:spacing w:after="0" w:line="240" w:lineRule="auto"/>
              <w:rPr>
                <w:rFonts w:ascii="Times New Roman" w:hAnsi="Times New Roman"/>
                <w:b/>
                <w:bCs/>
                <w:sz w:val="24"/>
                <w:szCs w:val="24"/>
              </w:rPr>
            </w:pPr>
          </w:p>
        </w:tc>
        <w:tc>
          <w:tcPr>
            <w:tcW w:w="636" w:type="pct"/>
            <w:tcBorders>
              <w:top w:val="nil"/>
              <w:left w:val="nil"/>
              <w:bottom w:val="nil"/>
              <w:right w:val="nil"/>
            </w:tcBorders>
          </w:tcPr>
          <w:p w14:paraId="0A552E48" w14:textId="296884AB" w:rsidR="00623491" w:rsidRPr="005B7CAC" w:rsidRDefault="00623491" w:rsidP="00C90660">
            <w:pPr>
              <w:widowControl w:val="0"/>
              <w:autoSpaceDE w:val="0"/>
              <w:autoSpaceDN w:val="0"/>
              <w:adjustRightInd w:val="0"/>
              <w:spacing w:after="0" w:line="240" w:lineRule="auto"/>
              <w:jc w:val="center"/>
              <w:rPr>
                <w:rFonts w:ascii="Times New Roman" w:hAnsi="Times New Roman"/>
                <w:b/>
                <w:bCs/>
                <w:sz w:val="24"/>
                <w:szCs w:val="24"/>
                <w:lang w:val="en-US"/>
              </w:rPr>
            </w:pPr>
            <w:r w:rsidRPr="005B7CAC">
              <w:rPr>
                <w:rFonts w:ascii="Times New Roman" w:hAnsi="Times New Roman"/>
                <w:b/>
                <w:bCs/>
                <w:sz w:val="24"/>
                <w:szCs w:val="24"/>
              </w:rPr>
              <w:t>W</w:t>
            </w:r>
            <w:r w:rsidRPr="005B7CAC">
              <w:rPr>
                <w:rFonts w:ascii="Times New Roman" w:hAnsi="Times New Roman"/>
                <w:b/>
                <w:bCs/>
                <w:sz w:val="24"/>
                <w:szCs w:val="24"/>
                <w:lang w:val="en-US"/>
              </w:rPr>
              <w:t>AST</w:t>
            </w:r>
          </w:p>
        </w:tc>
        <w:tc>
          <w:tcPr>
            <w:tcW w:w="648" w:type="pct"/>
            <w:tcBorders>
              <w:top w:val="nil"/>
              <w:left w:val="nil"/>
              <w:bottom w:val="nil"/>
              <w:right w:val="nil"/>
            </w:tcBorders>
          </w:tcPr>
          <w:p w14:paraId="00DD3536" w14:textId="59B13B27" w:rsidR="00623491" w:rsidRPr="005B7CAC" w:rsidRDefault="00623491"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Z_UK</w:t>
            </w:r>
          </w:p>
        </w:tc>
        <w:tc>
          <w:tcPr>
            <w:tcW w:w="648" w:type="pct"/>
            <w:tcBorders>
              <w:top w:val="nil"/>
              <w:left w:val="nil"/>
              <w:bottom w:val="nil"/>
              <w:right w:val="nil"/>
            </w:tcBorders>
          </w:tcPr>
          <w:p w14:paraId="414EFCCF" w14:textId="5525B481" w:rsidR="00623491" w:rsidRPr="005B7CAC" w:rsidRDefault="00623491" w:rsidP="00C90660">
            <w:pPr>
              <w:widowControl w:val="0"/>
              <w:autoSpaceDE w:val="0"/>
              <w:autoSpaceDN w:val="0"/>
              <w:adjustRightInd w:val="0"/>
              <w:spacing w:after="0" w:line="240" w:lineRule="auto"/>
              <w:jc w:val="center"/>
              <w:rPr>
                <w:rFonts w:ascii="Times New Roman" w:hAnsi="Times New Roman"/>
                <w:b/>
                <w:bCs/>
                <w:sz w:val="24"/>
                <w:szCs w:val="24"/>
                <w:lang w:val="en-US"/>
              </w:rPr>
            </w:pPr>
            <w:r w:rsidRPr="005B7CAC">
              <w:rPr>
                <w:rFonts w:ascii="Times New Roman" w:hAnsi="Times New Roman"/>
                <w:b/>
                <w:bCs/>
                <w:sz w:val="24"/>
                <w:szCs w:val="24"/>
              </w:rPr>
              <w:t>Z_</w:t>
            </w:r>
            <w:r w:rsidRPr="005B7CAC">
              <w:rPr>
                <w:rFonts w:ascii="Times New Roman" w:hAnsi="Times New Roman"/>
                <w:b/>
                <w:bCs/>
                <w:sz w:val="24"/>
                <w:szCs w:val="24"/>
                <w:lang w:val="en-US"/>
              </w:rPr>
              <w:t>ALT</w:t>
            </w:r>
          </w:p>
        </w:tc>
        <w:tc>
          <w:tcPr>
            <w:tcW w:w="636" w:type="pct"/>
            <w:tcBorders>
              <w:top w:val="nil"/>
              <w:left w:val="nil"/>
              <w:bottom w:val="nil"/>
              <w:right w:val="nil"/>
            </w:tcBorders>
          </w:tcPr>
          <w:p w14:paraId="0E4560C7" w14:textId="26912153" w:rsidR="00623491" w:rsidRPr="005B7CAC" w:rsidRDefault="00623491" w:rsidP="00C90660">
            <w:pPr>
              <w:widowControl w:val="0"/>
              <w:autoSpaceDE w:val="0"/>
              <w:autoSpaceDN w:val="0"/>
              <w:adjustRightInd w:val="0"/>
              <w:spacing w:after="0" w:line="240" w:lineRule="auto"/>
              <w:jc w:val="center"/>
              <w:rPr>
                <w:rFonts w:ascii="Times New Roman" w:hAnsi="Times New Roman"/>
                <w:b/>
                <w:bCs/>
                <w:sz w:val="24"/>
                <w:szCs w:val="24"/>
                <w:lang w:val="en-US"/>
              </w:rPr>
            </w:pPr>
            <w:r w:rsidRPr="005B7CAC">
              <w:rPr>
                <w:rFonts w:ascii="Times New Roman" w:hAnsi="Times New Roman"/>
                <w:b/>
                <w:bCs/>
                <w:sz w:val="24"/>
                <w:szCs w:val="24"/>
              </w:rPr>
              <w:t>W</w:t>
            </w:r>
            <w:r w:rsidRPr="005B7CAC">
              <w:rPr>
                <w:rFonts w:ascii="Times New Roman" w:hAnsi="Times New Roman"/>
                <w:b/>
                <w:bCs/>
                <w:sz w:val="24"/>
                <w:szCs w:val="24"/>
                <w:lang w:val="en-US"/>
              </w:rPr>
              <w:t>REC</w:t>
            </w:r>
          </w:p>
        </w:tc>
        <w:tc>
          <w:tcPr>
            <w:tcW w:w="648" w:type="pct"/>
            <w:tcBorders>
              <w:top w:val="nil"/>
              <w:left w:val="nil"/>
              <w:bottom w:val="nil"/>
              <w:right w:val="nil"/>
            </w:tcBorders>
          </w:tcPr>
          <w:p w14:paraId="169E6D7D" w14:textId="5AE5FA72" w:rsidR="00623491" w:rsidRPr="005B7CAC" w:rsidRDefault="00623491"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Z_UK</w:t>
            </w:r>
          </w:p>
        </w:tc>
        <w:tc>
          <w:tcPr>
            <w:tcW w:w="648" w:type="pct"/>
            <w:tcBorders>
              <w:top w:val="nil"/>
              <w:left w:val="nil"/>
              <w:bottom w:val="nil"/>
              <w:right w:val="nil"/>
            </w:tcBorders>
          </w:tcPr>
          <w:p w14:paraId="56DB1AEB" w14:textId="58F0CFD6" w:rsidR="00623491" w:rsidRPr="005B7CAC" w:rsidRDefault="00623491" w:rsidP="00C90660">
            <w:pPr>
              <w:widowControl w:val="0"/>
              <w:autoSpaceDE w:val="0"/>
              <w:autoSpaceDN w:val="0"/>
              <w:adjustRightInd w:val="0"/>
              <w:spacing w:after="0" w:line="240" w:lineRule="auto"/>
              <w:jc w:val="center"/>
              <w:rPr>
                <w:rFonts w:ascii="Times New Roman" w:hAnsi="Times New Roman"/>
                <w:b/>
                <w:bCs/>
                <w:sz w:val="24"/>
                <w:szCs w:val="24"/>
                <w:lang w:val="en-US"/>
              </w:rPr>
            </w:pPr>
            <w:r w:rsidRPr="005B7CAC">
              <w:rPr>
                <w:rFonts w:ascii="Times New Roman" w:hAnsi="Times New Roman"/>
                <w:b/>
                <w:bCs/>
                <w:sz w:val="24"/>
                <w:szCs w:val="24"/>
              </w:rPr>
              <w:t>Z_</w:t>
            </w:r>
            <w:r w:rsidRPr="005B7CAC">
              <w:rPr>
                <w:rFonts w:ascii="Times New Roman" w:hAnsi="Times New Roman"/>
                <w:b/>
                <w:bCs/>
                <w:sz w:val="24"/>
                <w:szCs w:val="24"/>
                <w:lang w:val="en-US"/>
              </w:rPr>
              <w:t>ALT</w:t>
            </w:r>
          </w:p>
        </w:tc>
      </w:tr>
      <w:tr w:rsidR="005B7CAC" w:rsidRPr="005B7CAC" w14:paraId="09816762" w14:textId="77777777" w:rsidTr="004472CF">
        <w:tc>
          <w:tcPr>
            <w:tcW w:w="1137" w:type="pct"/>
            <w:tcBorders>
              <w:top w:val="single" w:sz="4" w:space="0" w:color="auto"/>
              <w:left w:val="nil"/>
              <w:bottom w:val="nil"/>
              <w:right w:val="nil"/>
            </w:tcBorders>
          </w:tcPr>
          <w:p w14:paraId="77DA6554" w14:textId="7366957A" w:rsidR="00623491" w:rsidRPr="005B7CAC" w:rsidRDefault="00623491" w:rsidP="00C90660">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rPr>
              <w:t>W</w:t>
            </w:r>
            <w:r w:rsidRPr="005B7CAC">
              <w:rPr>
                <w:rFonts w:ascii="Times New Roman" w:hAnsi="Times New Roman"/>
                <w:sz w:val="24"/>
                <w:szCs w:val="24"/>
                <w:lang w:val="en-US"/>
              </w:rPr>
              <w:t>AST_LGD</w:t>
            </w:r>
          </w:p>
        </w:tc>
        <w:tc>
          <w:tcPr>
            <w:tcW w:w="636" w:type="pct"/>
            <w:tcBorders>
              <w:top w:val="single" w:sz="4" w:space="0" w:color="auto"/>
              <w:left w:val="nil"/>
              <w:bottom w:val="nil"/>
              <w:right w:val="nil"/>
            </w:tcBorders>
          </w:tcPr>
          <w:p w14:paraId="106E4E8A"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0.935</w:t>
            </w:r>
            <w:r w:rsidRPr="005B7CAC">
              <w:rPr>
                <w:rFonts w:ascii="Times New Roman" w:hAnsi="Times New Roman"/>
                <w:sz w:val="24"/>
                <w:szCs w:val="24"/>
                <w:vertAlign w:val="superscript"/>
              </w:rPr>
              <w:t>***</w:t>
            </w:r>
          </w:p>
        </w:tc>
        <w:tc>
          <w:tcPr>
            <w:tcW w:w="648" w:type="pct"/>
            <w:tcBorders>
              <w:top w:val="single" w:sz="4" w:space="0" w:color="auto"/>
              <w:left w:val="nil"/>
              <w:bottom w:val="nil"/>
              <w:right w:val="nil"/>
            </w:tcBorders>
          </w:tcPr>
          <w:p w14:paraId="72C7C3E5"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single" w:sz="4" w:space="0" w:color="auto"/>
              <w:left w:val="nil"/>
              <w:bottom w:val="nil"/>
              <w:right w:val="nil"/>
            </w:tcBorders>
          </w:tcPr>
          <w:p w14:paraId="74B31822"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36" w:type="pct"/>
            <w:tcBorders>
              <w:top w:val="single" w:sz="4" w:space="0" w:color="auto"/>
              <w:left w:val="nil"/>
              <w:bottom w:val="nil"/>
              <w:right w:val="nil"/>
            </w:tcBorders>
          </w:tcPr>
          <w:p w14:paraId="15B1B894"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single" w:sz="4" w:space="0" w:color="auto"/>
              <w:left w:val="nil"/>
              <w:bottom w:val="nil"/>
              <w:right w:val="nil"/>
            </w:tcBorders>
          </w:tcPr>
          <w:p w14:paraId="5E02D2B7"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single" w:sz="4" w:space="0" w:color="auto"/>
              <w:left w:val="nil"/>
              <w:bottom w:val="nil"/>
              <w:right w:val="nil"/>
            </w:tcBorders>
          </w:tcPr>
          <w:p w14:paraId="2D5AA53A"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r>
      <w:tr w:rsidR="005B7CAC" w:rsidRPr="005B7CAC" w14:paraId="6099555A" w14:textId="77777777" w:rsidTr="004472CF">
        <w:tc>
          <w:tcPr>
            <w:tcW w:w="1137" w:type="pct"/>
            <w:tcBorders>
              <w:top w:val="nil"/>
              <w:left w:val="nil"/>
              <w:bottom w:val="nil"/>
              <w:right w:val="nil"/>
            </w:tcBorders>
          </w:tcPr>
          <w:p w14:paraId="4467CEC0" w14:textId="77777777" w:rsidR="00623491" w:rsidRPr="005B7CAC" w:rsidRDefault="00623491" w:rsidP="00C90660">
            <w:pPr>
              <w:widowControl w:val="0"/>
              <w:autoSpaceDE w:val="0"/>
              <w:autoSpaceDN w:val="0"/>
              <w:adjustRightInd w:val="0"/>
              <w:spacing w:after="0" w:line="240" w:lineRule="auto"/>
              <w:rPr>
                <w:rFonts w:ascii="Times New Roman" w:hAnsi="Times New Roman"/>
                <w:sz w:val="24"/>
                <w:szCs w:val="24"/>
              </w:rPr>
            </w:pPr>
          </w:p>
        </w:tc>
        <w:tc>
          <w:tcPr>
            <w:tcW w:w="636" w:type="pct"/>
            <w:tcBorders>
              <w:top w:val="nil"/>
              <w:left w:val="nil"/>
              <w:bottom w:val="nil"/>
              <w:right w:val="nil"/>
            </w:tcBorders>
          </w:tcPr>
          <w:p w14:paraId="5D7385C6"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(25.05)</w:t>
            </w:r>
          </w:p>
        </w:tc>
        <w:tc>
          <w:tcPr>
            <w:tcW w:w="648" w:type="pct"/>
            <w:tcBorders>
              <w:top w:val="nil"/>
              <w:left w:val="nil"/>
              <w:bottom w:val="nil"/>
              <w:right w:val="nil"/>
            </w:tcBorders>
          </w:tcPr>
          <w:p w14:paraId="33DFD798"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2D5EB3D1"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36" w:type="pct"/>
            <w:tcBorders>
              <w:top w:val="nil"/>
              <w:left w:val="nil"/>
              <w:bottom w:val="nil"/>
              <w:right w:val="nil"/>
            </w:tcBorders>
          </w:tcPr>
          <w:p w14:paraId="25252B59"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1DFCC7AE"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05852998"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r>
      <w:tr w:rsidR="005B7CAC" w:rsidRPr="005B7CAC" w14:paraId="170B26A9" w14:textId="77777777" w:rsidTr="004472CF">
        <w:tc>
          <w:tcPr>
            <w:tcW w:w="1137" w:type="pct"/>
            <w:tcBorders>
              <w:top w:val="nil"/>
              <w:left w:val="nil"/>
              <w:bottom w:val="nil"/>
              <w:right w:val="nil"/>
            </w:tcBorders>
          </w:tcPr>
          <w:p w14:paraId="756C532E" w14:textId="315975E5" w:rsidR="00623491" w:rsidRPr="005B7CAC" w:rsidRDefault="00623491" w:rsidP="00C90660">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rPr>
              <w:t>W</w:t>
            </w:r>
            <w:r w:rsidRPr="005B7CAC">
              <w:rPr>
                <w:rFonts w:ascii="Times New Roman" w:hAnsi="Times New Roman"/>
                <w:sz w:val="24"/>
                <w:szCs w:val="24"/>
                <w:lang w:val="en-US"/>
              </w:rPr>
              <w:t>A</w:t>
            </w:r>
            <w:r w:rsidRPr="005B7CAC">
              <w:rPr>
                <w:rFonts w:ascii="Times New Roman" w:hAnsi="Times New Roman"/>
                <w:sz w:val="24"/>
                <w:szCs w:val="24"/>
              </w:rPr>
              <w:t>ST_</w:t>
            </w:r>
            <w:r w:rsidRPr="005B7CAC">
              <w:rPr>
                <w:rFonts w:ascii="Times New Roman" w:hAnsi="Times New Roman"/>
                <w:sz w:val="24"/>
                <w:szCs w:val="24"/>
                <w:lang w:val="en-US"/>
              </w:rPr>
              <w:t>IND</w:t>
            </w:r>
          </w:p>
        </w:tc>
        <w:tc>
          <w:tcPr>
            <w:tcW w:w="636" w:type="pct"/>
            <w:tcBorders>
              <w:top w:val="nil"/>
              <w:left w:val="nil"/>
              <w:bottom w:val="nil"/>
              <w:right w:val="nil"/>
            </w:tcBorders>
          </w:tcPr>
          <w:p w14:paraId="57C004B8"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0.210</w:t>
            </w:r>
            <w:r w:rsidRPr="005B7CAC">
              <w:rPr>
                <w:rFonts w:ascii="Times New Roman" w:hAnsi="Times New Roman"/>
                <w:sz w:val="24"/>
                <w:szCs w:val="24"/>
                <w:vertAlign w:val="superscript"/>
              </w:rPr>
              <w:t>**</w:t>
            </w:r>
          </w:p>
        </w:tc>
        <w:tc>
          <w:tcPr>
            <w:tcW w:w="648" w:type="pct"/>
            <w:tcBorders>
              <w:top w:val="nil"/>
              <w:left w:val="nil"/>
              <w:bottom w:val="nil"/>
              <w:right w:val="nil"/>
            </w:tcBorders>
          </w:tcPr>
          <w:p w14:paraId="7C81EE2B"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1F9AD3F8"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36" w:type="pct"/>
            <w:tcBorders>
              <w:top w:val="nil"/>
              <w:left w:val="nil"/>
              <w:bottom w:val="nil"/>
              <w:right w:val="nil"/>
            </w:tcBorders>
          </w:tcPr>
          <w:p w14:paraId="11C29DC0"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722A7B41"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62C768C5"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r>
      <w:tr w:rsidR="005B7CAC" w:rsidRPr="005B7CAC" w14:paraId="2CD552DB" w14:textId="77777777" w:rsidTr="004472CF">
        <w:tc>
          <w:tcPr>
            <w:tcW w:w="1137" w:type="pct"/>
            <w:tcBorders>
              <w:top w:val="nil"/>
              <w:left w:val="nil"/>
              <w:bottom w:val="nil"/>
              <w:right w:val="nil"/>
            </w:tcBorders>
          </w:tcPr>
          <w:p w14:paraId="21D6D3C0" w14:textId="77777777" w:rsidR="00623491" w:rsidRPr="005B7CAC" w:rsidRDefault="00623491" w:rsidP="00C90660">
            <w:pPr>
              <w:widowControl w:val="0"/>
              <w:autoSpaceDE w:val="0"/>
              <w:autoSpaceDN w:val="0"/>
              <w:adjustRightInd w:val="0"/>
              <w:spacing w:after="0" w:line="240" w:lineRule="auto"/>
              <w:rPr>
                <w:rFonts w:ascii="Times New Roman" w:hAnsi="Times New Roman"/>
                <w:sz w:val="24"/>
                <w:szCs w:val="24"/>
              </w:rPr>
            </w:pPr>
          </w:p>
        </w:tc>
        <w:tc>
          <w:tcPr>
            <w:tcW w:w="636" w:type="pct"/>
            <w:tcBorders>
              <w:top w:val="nil"/>
              <w:left w:val="nil"/>
              <w:bottom w:val="nil"/>
              <w:right w:val="nil"/>
            </w:tcBorders>
          </w:tcPr>
          <w:p w14:paraId="498622A0"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(2.39)</w:t>
            </w:r>
          </w:p>
        </w:tc>
        <w:tc>
          <w:tcPr>
            <w:tcW w:w="648" w:type="pct"/>
            <w:tcBorders>
              <w:top w:val="nil"/>
              <w:left w:val="nil"/>
              <w:bottom w:val="nil"/>
              <w:right w:val="nil"/>
            </w:tcBorders>
          </w:tcPr>
          <w:p w14:paraId="39EB1E9B"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0C01E8EB"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36" w:type="pct"/>
            <w:tcBorders>
              <w:top w:val="nil"/>
              <w:left w:val="nil"/>
              <w:bottom w:val="nil"/>
              <w:right w:val="nil"/>
            </w:tcBorders>
          </w:tcPr>
          <w:p w14:paraId="40513339"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0626DFDC"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1C66BFB5"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r>
      <w:tr w:rsidR="005B7CAC" w:rsidRPr="005B7CAC" w14:paraId="60058E4C" w14:textId="77777777" w:rsidTr="004472CF">
        <w:tc>
          <w:tcPr>
            <w:tcW w:w="1137" w:type="pct"/>
            <w:tcBorders>
              <w:top w:val="nil"/>
              <w:left w:val="nil"/>
              <w:bottom w:val="nil"/>
              <w:right w:val="nil"/>
            </w:tcBorders>
          </w:tcPr>
          <w:p w14:paraId="0ED855B5" w14:textId="2C37884A" w:rsidR="00623491" w:rsidRPr="005B7CAC" w:rsidRDefault="00623491" w:rsidP="00C90660">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lang w:val="en-US"/>
              </w:rPr>
              <w:t>WREC_LGD</w:t>
            </w:r>
          </w:p>
        </w:tc>
        <w:tc>
          <w:tcPr>
            <w:tcW w:w="636" w:type="pct"/>
            <w:tcBorders>
              <w:top w:val="nil"/>
              <w:left w:val="nil"/>
              <w:bottom w:val="nil"/>
              <w:right w:val="nil"/>
            </w:tcBorders>
          </w:tcPr>
          <w:p w14:paraId="1C5CB26F"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2B361036"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5418B0D2"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36" w:type="pct"/>
            <w:tcBorders>
              <w:top w:val="nil"/>
              <w:left w:val="nil"/>
              <w:bottom w:val="nil"/>
              <w:right w:val="nil"/>
            </w:tcBorders>
          </w:tcPr>
          <w:p w14:paraId="524453E3"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0.839</w:t>
            </w:r>
            <w:r w:rsidRPr="005B7CAC">
              <w:rPr>
                <w:rFonts w:ascii="Times New Roman" w:hAnsi="Times New Roman"/>
                <w:sz w:val="24"/>
                <w:szCs w:val="24"/>
                <w:vertAlign w:val="superscript"/>
              </w:rPr>
              <w:t>***</w:t>
            </w:r>
          </w:p>
        </w:tc>
        <w:tc>
          <w:tcPr>
            <w:tcW w:w="648" w:type="pct"/>
            <w:tcBorders>
              <w:top w:val="nil"/>
              <w:left w:val="nil"/>
              <w:bottom w:val="nil"/>
              <w:right w:val="nil"/>
            </w:tcBorders>
          </w:tcPr>
          <w:p w14:paraId="2252FF03"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650DDDDF"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r>
      <w:tr w:rsidR="005B7CAC" w:rsidRPr="005B7CAC" w14:paraId="4484088D" w14:textId="77777777" w:rsidTr="004472CF">
        <w:tc>
          <w:tcPr>
            <w:tcW w:w="1137" w:type="pct"/>
            <w:tcBorders>
              <w:top w:val="nil"/>
              <w:left w:val="nil"/>
              <w:bottom w:val="nil"/>
              <w:right w:val="nil"/>
            </w:tcBorders>
          </w:tcPr>
          <w:p w14:paraId="5030F517" w14:textId="77777777" w:rsidR="00623491" w:rsidRPr="005B7CAC" w:rsidRDefault="00623491" w:rsidP="00C90660">
            <w:pPr>
              <w:widowControl w:val="0"/>
              <w:autoSpaceDE w:val="0"/>
              <w:autoSpaceDN w:val="0"/>
              <w:adjustRightInd w:val="0"/>
              <w:spacing w:after="0" w:line="240" w:lineRule="auto"/>
              <w:rPr>
                <w:rFonts w:ascii="Times New Roman" w:hAnsi="Times New Roman"/>
                <w:sz w:val="24"/>
                <w:szCs w:val="24"/>
              </w:rPr>
            </w:pPr>
          </w:p>
        </w:tc>
        <w:tc>
          <w:tcPr>
            <w:tcW w:w="636" w:type="pct"/>
            <w:tcBorders>
              <w:top w:val="nil"/>
              <w:left w:val="nil"/>
              <w:bottom w:val="nil"/>
              <w:right w:val="nil"/>
            </w:tcBorders>
          </w:tcPr>
          <w:p w14:paraId="01375A63"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43933213"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00F4DFE5"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36" w:type="pct"/>
            <w:tcBorders>
              <w:top w:val="nil"/>
              <w:left w:val="nil"/>
              <w:bottom w:val="nil"/>
              <w:right w:val="nil"/>
            </w:tcBorders>
          </w:tcPr>
          <w:p w14:paraId="4D3DFCBA"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(40.36)</w:t>
            </w:r>
          </w:p>
        </w:tc>
        <w:tc>
          <w:tcPr>
            <w:tcW w:w="648" w:type="pct"/>
            <w:tcBorders>
              <w:top w:val="nil"/>
              <w:left w:val="nil"/>
              <w:bottom w:val="nil"/>
              <w:right w:val="nil"/>
            </w:tcBorders>
          </w:tcPr>
          <w:p w14:paraId="5E154FAD"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729E788F"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r>
      <w:tr w:rsidR="005B7CAC" w:rsidRPr="005B7CAC" w14:paraId="1D7EF168" w14:textId="77777777" w:rsidTr="004472CF">
        <w:tc>
          <w:tcPr>
            <w:tcW w:w="1137" w:type="pct"/>
            <w:tcBorders>
              <w:top w:val="nil"/>
              <w:left w:val="nil"/>
              <w:bottom w:val="nil"/>
              <w:right w:val="nil"/>
            </w:tcBorders>
          </w:tcPr>
          <w:p w14:paraId="1848D3C7" w14:textId="697459EB" w:rsidR="00623491" w:rsidRPr="005B7CAC" w:rsidRDefault="00623491"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WR</w:t>
            </w:r>
            <w:r w:rsidRPr="005B7CAC">
              <w:rPr>
                <w:rFonts w:ascii="Times New Roman" w:hAnsi="Times New Roman"/>
                <w:sz w:val="24"/>
                <w:szCs w:val="24"/>
                <w:lang w:val="en-US"/>
              </w:rPr>
              <w:t>E</w:t>
            </w:r>
            <w:r w:rsidRPr="005B7CAC">
              <w:rPr>
                <w:rFonts w:ascii="Times New Roman" w:hAnsi="Times New Roman"/>
                <w:sz w:val="24"/>
                <w:szCs w:val="24"/>
              </w:rPr>
              <w:t>C_IND</w:t>
            </w:r>
          </w:p>
        </w:tc>
        <w:tc>
          <w:tcPr>
            <w:tcW w:w="636" w:type="pct"/>
            <w:tcBorders>
              <w:top w:val="nil"/>
              <w:left w:val="nil"/>
              <w:bottom w:val="nil"/>
              <w:right w:val="nil"/>
            </w:tcBorders>
          </w:tcPr>
          <w:p w14:paraId="3CF148DE"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0F8542BF"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065E418D"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36" w:type="pct"/>
            <w:tcBorders>
              <w:top w:val="nil"/>
              <w:left w:val="nil"/>
              <w:bottom w:val="nil"/>
              <w:right w:val="nil"/>
            </w:tcBorders>
          </w:tcPr>
          <w:p w14:paraId="69057F7C"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0.335</w:t>
            </w:r>
            <w:r w:rsidRPr="005B7CAC">
              <w:rPr>
                <w:rFonts w:ascii="Times New Roman" w:hAnsi="Times New Roman"/>
                <w:sz w:val="24"/>
                <w:szCs w:val="24"/>
                <w:vertAlign w:val="superscript"/>
              </w:rPr>
              <w:t>***</w:t>
            </w:r>
          </w:p>
        </w:tc>
        <w:tc>
          <w:tcPr>
            <w:tcW w:w="648" w:type="pct"/>
            <w:tcBorders>
              <w:top w:val="nil"/>
              <w:left w:val="nil"/>
              <w:bottom w:val="nil"/>
              <w:right w:val="nil"/>
            </w:tcBorders>
          </w:tcPr>
          <w:p w14:paraId="12F899E8"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6635154C"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r>
      <w:tr w:rsidR="005B7CAC" w:rsidRPr="005B7CAC" w14:paraId="5D4FCDAC" w14:textId="77777777" w:rsidTr="004472CF">
        <w:tc>
          <w:tcPr>
            <w:tcW w:w="1137" w:type="pct"/>
            <w:tcBorders>
              <w:top w:val="nil"/>
              <w:left w:val="nil"/>
              <w:bottom w:val="nil"/>
              <w:right w:val="nil"/>
            </w:tcBorders>
          </w:tcPr>
          <w:p w14:paraId="29FFF2BB" w14:textId="77777777" w:rsidR="00623491" w:rsidRPr="005B7CAC" w:rsidRDefault="00623491" w:rsidP="00C90660">
            <w:pPr>
              <w:widowControl w:val="0"/>
              <w:autoSpaceDE w:val="0"/>
              <w:autoSpaceDN w:val="0"/>
              <w:adjustRightInd w:val="0"/>
              <w:spacing w:after="0" w:line="240" w:lineRule="auto"/>
              <w:rPr>
                <w:rFonts w:ascii="Times New Roman" w:hAnsi="Times New Roman"/>
                <w:sz w:val="24"/>
                <w:szCs w:val="24"/>
              </w:rPr>
            </w:pPr>
          </w:p>
        </w:tc>
        <w:tc>
          <w:tcPr>
            <w:tcW w:w="636" w:type="pct"/>
            <w:tcBorders>
              <w:top w:val="nil"/>
              <w:left w:val="nil"/>
              <w:bottom w:val="nil"/>
              <w:right w:val="nil"/>
            </w:tcBorders>
          </w:tcPr>
          <w:p w14:paraId="5B0FC281"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06A5AF26"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1D3D07F1"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36" w:type="pct"/>
            <w:tcBorders>
              <w:top w:val="nil"/>
              <w:left w:val="nil"/>
              <w:bottom w:val="nil"/>
              <w:right w:val="nil"/>
            </w:tcBorders>
          </w:tcPr>
          <w:p w14:paraId="496678CC"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(4.90)</w:t>
            </w:r>
          </w:p>
        </w:tc>
        <w:tc>
          <w:tcPr>
            <w:tcW w:w="648" w:type="pct"/>
            <w:tcBorders>
              <w:top w:val="nil"/>
              <w:left w:val="nil"/>
              <w:bottom w:val="nil"/>
              <w:right w:val="nil"/>
            </w:tcBorders>
          </w:tcPr>
          <w:p w14:paraId="7B35188D"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3EFBCF63"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r>
      <w:tr w:rsidR="005B7CAC" w:rsidRPr="005B7CAC" w14:paraId="79EF14FD" w14:textId="77777777" w:rsidTr="004472CF">
        <w:tc>
          <w:tcPr>
            <w:tcW w:w="1137" w:type="pct"/>
            <w:tcBorders>
              <w:top w:val="nil"/>
              <w:left w:val="nil"/>
              <w:bottom w:val="nil"/>
              <w:right w:val="nil"/>
            </w:tcBorders>
          </w:tcPr>
          <w:p w14:paraId="59922EFA" w14:textId="34D2E04F" w:rsidR="00623491" w:rsidRPr="005B7CAC" w:rsidRDefault="00623491" w:rsidP="00C90660">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rPr>
              <w:t>W</w:t>
            </w:r>
            <w:r w:rsidRPr="005B7CAC">
              <w:rPr>
                <w:rFonts w:ascii="Times New Roman" w:hAnsi="Times New Roman"/>
                <w:sz w:val="24"/>
                <w:szCs w:val="24"/>
                <w:lang w:val="en-US"/>
              </w:rPr>
              <w:t>AST</w:t>
            </w:r>
          </w:p>
        </w:tc>
        <w:tc>
          <w:tcPr>
            <w:tcW w:w="636" w:type="pct"/>
            <w:tcBorders>
              <w:top w:val="nil"/>
              <w:left w:val="nil"/>
              <w:bottom w:val="nil"/>
              <w:right w:val="nil"/>
            </w:tcBorders>
          </w:tcPr>
          <w:p w14:paraId="58211173"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07A74072"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-0.018</w:t>
            </w:r>
            <w:r w:rsidRPr="005B7CAC">
              <w:rPr>
                <w:rFonts w:ascii="Times New Roman" w:hAnsi="Times New Roman"/>
                <w:sz w:val="24"/>
                <w:szCs w:val="24"/>
                <w:vertAlign w:val="superscript"/>
              </w:rPr>
              <w:t>***</w:t>
            </w:r>
          </w:p>
        </w:tc>
        <w:tc>
          <w:tcPr>
            <w:tcW w:w="648" w:type="pct"/>
            <w:tcBorders>
              <w:top w:val="nil"/>
              <w:left w:val="nil"/>
              <w:bottom w:val="nil"/>
              <w:right w:val="nil"/>
            </w:tcBorders>
          </w:tcPr>
          <w:p w14:paraId="36601CD2"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-0.094</w:t>
            </w:r>
            <w:r w:rsidRPr="005B7CAC">
              <w:rPr>
                <w:rFonts w:ascii="Times New Roman" w:hAnsi="Times New Roman"/>
                <w:sz w:val="24"/>
                <w:szCs w:val="24"/>
                <w:vertAlign w:val="superscript"/>
              </w:rPr>
              <w:t>***</w:t>
            </w:r>
          </w:p>
        </w:tc>
        <w:tc>
          <w:tcPr>
            <w:tcW w:w="636" w:type="pct"/>
            <w:tcBorders>
              <w:top w:val="nil"/>
              <w:left w:val="nil"/>
              <w:bottom w:val="nil"/>
              <w:right w:val="nil"/>
            </w:tcBorders>
          </w:tcPr>
          <w:p w14:paraId="203E821A"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1911E2CF"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5E36DDFD"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r>
      <w:tr w:rsidR="005B7CAC" w:rsidRPr="005B7CAC" w14:paraId="76CE86EF" w14:textId="77777777" w:rsidTr="004472CF">
        <w:tc>
          <w:tcPr>
            <w:tcW w:w="1137" w:type="pct"/>
            <w:tcBorders>
              <w:top w:val="nil"/>
              <w:left w:val="nil"/>
              <w:bottom w:val="nil"/>
              <w:right w:val="nil"/>
            </w:tcBorders>
          </w:tcPr>
          <w:p w14:paraId="64052532" w14:textId="77777777" w:rsidR="00623491" w:rsidRPr="005B7CAC" w:rsidRDefault="00623491" w:rsidP="00C90660">
            <w:pPr>
              <w:widowControl w:val="0"/>
              <w:autoSpaceDE w:val="0"/>
              <w:autoSpaceDN w:val="0"/>
              <w:adjustRightInd w:val="0"/>
              <w:spacing w:after="0" w:line="240" w:lineRule="auto"/>
              <w:rPr>
                <w:rFonts w:ascii="Times New Roman" w:hAnsi="Times New Roman"/>
                <w:sz w:val="24"/>
                <w:szCs w:val="24"/>
              </w:rPr>
            </w:pPr>
          </w:p>
        </w:tc>
        <w:tc>
          <w:tcPr>
            <w:tcW w:w="636" w:type="pct"/>
            <w:tcBorders>
              <w:top w:val="nil"/>
              <w:left w:val="nil"/>
              <w:bottom w:val="nil"/>
              <w:right w:val="nil"/>
            </w:tcBorders>
          </w:tcPr>
          <w:p w14:paraId="3470CF99"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66D8F1A7"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(-3.86)</w:t>
            </w:r>
          </w:p>
        </w:tc>
        <w:tc>
          <w:tcPr>
            <w:tcW w:w="648" w:type="pct"/>
            <w:tcBorders>
              <w:top w:val="nil"/>
              <w:left w:val="nil"/>
              <w:bottom w:val="nil"/>
              <w:right w:val="nil"/>
            </w:tcBorders>
          </w:tcPr>
          <w:p w14:paraId="2BBB820A"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(-6.16)</w:t>
            </w:r>
          </w:p>
        </w:tc>
        <w:tc>
          <w:tcPr>
            <w:tcW w:w="636" w:type="pct"/>
            <w:tcBorders>
              <w:top w:val="nil"/>
              <w:left w:val="nil"/>
              <w:bottom w:val="nil"/>
              <w:right w:val="nil"/>
            </w:tcBorders>
          </w:tcPr>
          <w:p w14:paraId="53788276"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5131D7FC"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0037C6B4"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r>
      <w:tr w:rsidR="005B7CAC" w:rsidRPr="005B7CAC" w14:paraId="7FE3EBBF" w14:textId="77777777" w:rsidTr="004472CF">
        <w:tc>
          <w:tcPr>
            <w:tcW w:w="1137" w:type="pct"/>
            <w:tcBorders>
              <w:top w:val="nil"/>
              <w:left w:val="nil"/>
              <w:bottom w:val="nil"/>
              <w:right w:val="nil"/>
            </w:tcBorders>
          </w:tcPr>
          <w:p w14:paraId="6C1B6AB8" w14:textId="4E4B4C4B" w:rsidR="00623491" w:rsidRPr="005B7CAC" w:rsidRDefault="00623491" w:rsidP="00C90660">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lang w:val="en-US"/>
              </w:rPr>
              <w:t>WAST*GINVs</w:t>
            </w:r>
          </w:p>
        </w:tc>
        <w:tc>
          <w:tcPr>
            <w:tcW w:w="636" w:type="pct"/>
            <w:tcBorders>
              <w:top w:val="nil"/>
              <w:left w:val="nil"/>
              <w:bottom w:val="nil"/>
              <w:right w:val="nil"/>
            </w:tcBorders>
          </w:tcPr>
          <w:p w14:paraId="72DA12A5"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lang w:val="en-US"/>
              </w:rPr>
            </w:pPr>
          </w:p>
        </w:tc>
        <w:tc>
          <w:tcPr>
            <w:tcW w:w="648" w:type="pct"/>
            <w:tcBorders>
              <w:top w:val="nil"/>
              <w:left w:val="nil"/>
              <w:bottom w:val="nil"/>
              <w:right w:val="nil"/>
            </w:tcBorders>
          </w:tcPr>
          <w:p w14:paraId="330A433F"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0.001</w:t>
            </w:r>
            <w:r w:rsidRPr="005B7CAC">
              <w:rPr>
                <w:rFonts w:ascii="Times New Roman" w:hAnsi="Times New Roman"/>
                <w:sz w:val="24"/>
                <w:szCs w:val="24"/>
                <w:vertAlign w:val="superscript"/>
              </w:rPr>
              <w:t>**</w:t>
            </w:r>
          </w:p>
        </w:tc>
        <w:tc>
          <w:tcPr>
            <w:tcW w:w="648" w:type="pct"/>
            <w:tcBorders>
              <w:top w:val="nil"/>
              <w:left w:val="nil"/>
              <w:bottom w:val="nil"/>
              <w:right w:val="nil"/>
            </w:tcBorders>
          </w:tcPr>
          <w:p w14:paraId="2BC292BE"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0.006</w:t>
            </w:r>
            <w:r w:rsidRPr="005B7CAC">
              <w:rPr>
                <w:rFonts w:ascii="Times New Roman" w:hAnsi="Times New Roman"/>
                <w:sz w:val="24"/>
                <w:szCs w:val="24"/>
                <w:vertAlign w:val="superscript"/>
              </w:rPr>
              <w:t>***</w:t>
            </w:r>
          </w:p>
        </w:tc>
        <w:tc>
          <w:tcPr>
            <w:tcW w:w="636" w:type="pct"/>
            <w:tcBorders>
              <w:top w:val="nil"/>
              <w:left w:val="nil"/>
              <w:bottom w:val="nil"/>
              <w:right w:val="nil"/>
            </w:tcBorders>
          </w:tcPr>
          <w:p w14:paraId="6284481B"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07CF1FC9"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30030BAE"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r>
      <w:tr w:rsidR="005B7CAC" w:rsidRPr="005B7CAC" w14:paraId="63C819DE" w14:textId="77777777" w:rsidTr="004472CF">
        <w:tc>
          <w:tcPr>
            <w:tcW w:w="1137" w:type="pct"/>
            <w:tcBorders>
              <w:top w:val="nil"/>
              <w:left w:val="nil"/>
              <w:bottom w:val="nil"/>
              <w:right w:val="nil"/>
            </w:tcBorders>
          </w:tcPr>
          <w:p w14:paraId="65D800E9" w14:textId="77777777" w:rsidR="00623491" w:rsidRPr="005B7CAC" w:rsidRDefault="00623491" w:rsidP="00C90660">
            <w:pPr>
              <w:widowControl w:val="0"/>
              <w:autoSpaceDE w:val="0"/>
              <w:autoSpaceDN w:val="0"/>
              <w:adjustRightInd w:val="0"/>
              <w:spacing w:after="0" w:line="240" w:lineRule="auto"/>
              <w:rPr>
                <w:rFonts w:ascii="Times New Roman" w:hAnsi="Times New Roman"/>
                <w:sz w:val="24"/>
                <w:szCs w:val="24"/>
              </w:rPr>
            </w:pPr>
          </w:p>
        </w:tc>
        <w:tc>
          <w:tcPr>
            <w:tcW w:w="636" w:type="pct"/>
            <w:tcBorders>
              <w:top w:val="nil"/>
              <w:left w:val="nil"/>
              <w:bottom w:val="nil"/>
              <w:right w:val="nil"/>
            </w:tcBorders>
          </w:tcPr>
          <w:p w14:paraId="2AA7D4AB"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03967ECA"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(1.98)</w:t>
            </w:r>
          </w:p>
        </w:tc>
        <w:tc>
          <w:tcPr>
            <w:tcW w:w="648" w:type="pct"/>
            <w:tcBorders>
              <w:top w:val="nil"/>
              <w:left w:val="nil"/>
              <w:bottom w:val="nil"/>
              <w:right w:val="nil"/>
            </w:tcBorders>
          </w:tcPr>
          <w:p w14:paraId="3F8AB69E"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(3.66)</w:t>
            </w:r>
          </w:p>
        </w:tc>
        <w:tc>
          <w:tcPr>
            <w:tcW w:w="636" w:type="pct"/>
            <w:tcBorders>
              <w:top w:val="nil"/>
              <w:left w:val="nil"/>
              <w:bottom w:val="nil"/>
              <w:right w:val="nil"/>
            </w:tcBorders>
          </w:tcPr>
          <w:p w14:paraId="478C9DD2"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788F53A2"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2D885F98"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r>
      <w:tr w:rsidR="005B7CAC" w:rsidRPr="005B7CAC" w14:paraId="7633055A" w14:textId="77777777" w:rsidTr="004472CF">
        <w:tc>
          <w:tcPr>
            <w:tcW w:w="1137" w:type="pct"/>
            <w:tcBorders>
              <w:top w:val="nil"/>
              <w:left w:val="nil"/>
              <w:bottom w:val="nil"/>
              <w:right w:val="nil"/>
            </w:tcBorders>
          </w:tcPr>
          <w:p w14:paraId="0E9536B6" w14:textId="2532CA6D" w:rsidR="00623491" w:rsidRPr="005B7CAC" w:rsidRDefault="00623491" w:rsidP="00C90660">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rPr>
              <w:t>W</w:t>
            </w:r>
            <w:r w:rsidRPr="005B7CAC">
              <w:rPr>
                <w:rFonts w:ascii="Times New Roman" w:hAnsi="Times New Roman"/>
                <w:sz w:val="24"/>
                <w:szCs w:val="24"/>
                <w:lang w:val="en-US"/>
              </w:rPr>
              <w:t>REC</w:t>
            </w:r>
          </w:p>
        </w:tc>
        <w:tc>
          <w:tcPr>
            <w:tcW w:w="636" w:type="pct"/>
            <w:tcBorders>
              <w:top w:val="nil"/>
              <w:left w:val="nil"/>
              <w:bottom w:val="nil"/>
              <w:right w:val="nil"/>
            </w:tcBorders>
          </w:tcPr>
          <w:p w14:paraId="0D60AE86"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51140C51"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09295DC4"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36" w:type="pct"/>
            <w:tcBorders>
              <w:top w:val="nil"/>
              <w:left w:val="nil"/>
              <w:bottom w:val="nil"/>
              <w:right w:val="nil"/>
            </w:tcBorders>
          </w:tcPr>
          <w:p w14:paraId="12FECF9E"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546FA8B4"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0.011</w:t>
            </w:r>
            <w:r w:rsidRPr="005B7CAC">
              <w:rPr>
                <w:rFonts w:ascii="Times New Roman" w:hAnsi="Times New Roman"/>
                <w:sz w:val="24"/>
                <w:szCs w:val="24"/>
                <w:vertAlign w:val="superscript"/>
              </w:rPr>
              <w:t>***</w:t>
            </w:r>
          </w:p>
        </w:tc>
        <w:tc>
          <w:tcPr>
            <w:tcW w:w="648" w:type="pct"/>
            <w:tcBorders>
              <w:top w:val="nil"/>
              <w:left w:val="nil"/>
              <w:bottom w:val="nil"/>
              <w:right w:val="nil"/>
            </w:tcBorders>
          </w:tcPr>
          <w:p w14:paraId="5AA7E618"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0.018</w:t>
            </w:r>
            <w:r w:rsidRPr="005B7CAC">
              <w:rPr>
                <w:rFonts w:ascii="Times New Roman" w:hAnsi="Times New Roman"/>
                <w:sz w:val="24"/>
                <w:szCs w:val="24"/>
                <w:vertAlign w:val="superscript"/>
              </w:rPr>
              <w:t>***</w:t>
            </w:r>
          </w:p>
        </w:tc>
      </w:tr>
      <w:tr w:rsidR="005B7CAC" w:rsidRPr="005B7CAC" w14:paraId="4E4373D2" w14:textId="77777777" w:rsidTr="004472CF">
        <w:tc>
          <w:tcPr>
            <w:tcW w:w="1137" w:type="pct"/>
            <w:tcBorders>
              <w:top w:val="nil"/>
              <w:left w:val="nil"/>
              <w:bottom w:val="nil"/>
              <w:right w:val="nil"/>
            </w:tcBorders>
          </w:tcPr>
          <w:p w14:paraId="1E613759" w14:textId="77777777" w:rsidR="00623491" w:rsidRPr="005B7CAC" w:rsidRDefault="00623491" w:rsidP="00C90660">
            <w:pPr>
              <w:widowControl w:val="0"/>
              <w:autoSpaceDE w:val="0"/>
              <w:autoSpaceDN w:val="0"/>
              <w:adjustRightInd w:val="0"/>
              <w:spacing w:after="0" w:line="240" w:lineRule="auto"/>
              <w:rPr>
                <w:rFonts w:ascii="Times New Roman" w:hAnsi="Times New Roman"/>
                <w:sz w:val="24"/>
                <w:szCs w:val="24"/>
              </w:rPr>
            </w:pPr>
          </w:p>
        </w:tc>
        <w:tc>
          <w:tcPr>
            <w:tcW w:w="636" w:type="pct"/>
            <w:tcBorders>
              <w:top w:val="nil"/>
              <w:left w:val="nil"/>
              <w:bottom w:val="nil"/>
              <w:right w:val="nil"/>
            </w:tcBorders>
          </w:tcPr>
          <w:p w14:paraId="1295094E"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7A92C31C"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6B53F7D7"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36" w:type="pct"/>
            <w:tcBorders>
              <w:top w:val="nil"/>
              <w:left w:val="nil"/>
              <w:bottom w:val="nil"/>
              <w:right w:val="nil"/>
            </w:tcBorders>
          </w:tcPr>
          <w:p w14:paraId="0F57D7E3"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3801DEC8"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(5.45)</w:t>
            </w:r>
          </w:p>
        </w:tc>
        <w:tc>
          <w:tcPr>
            <w:tcW w:w="648" w:type="pct"/>
            <w:tcBorders>
              <w:top w:val="nil"/>
              <w:left w:val="nil"/>
              <w:bottom w:val="nil"/>
              <w:right w:val="nil"/>
            </w:tcBorders>
          </w:tcPr>
          <w:p w14:paraId="3ACC64CA"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(3.83)</w:t>
            </w:r>
          </w:p>
        </w:tc>
      </w:tr>
      <w:tr w:rsidR="005B7CAC" w:rsidRPr="005B7CAC" w14:paraId="486681A8" w14:textId="77777777" w:rsidTr="004472CF">
        <w:tc>
          <w:tcPr>
            <w:tcW w:w="1137" w:type="pct"/>
            <w:tcBorders>
              <w:top w:val="nil"/>
              <w:left w:val="nil"/>
              <w:bottom w:val="nil"/>
              <w:right w:val="nil"/>
            </w:tcBorders>
          </w:tcPr>
          <w:p w14:paraId="0CBF2259" w14:textId="78BC4F84" w:rsidR="00623491" w:rsidRPr="005B7CAC" w:rsidRDefault="00623491" w:rsidP="00C90660">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lang w:val="en-US"/>
              </w:rPr>
              <w:t>WREC*GINVs</w:t>
            </w:r>
          </w:p>
        </w:tc>
        <w:tc>
          <w:tcPr>
            <w:tcW w:w="636" w:type="pct"/>
            <w:tcBorders>
              <w:top w:val="nil"/>
              <w:left w:val="nil"/>
              <w:bottom w:val="nil"/>
              <w:right w:val="nil"/>
            </w:tcBorders>
          </w:tcPr>
          <w:p w14:paraId="1B9568C1"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lang w:val="en-US"/>
              </w:rPr>
            </w:pPr>
          </w:p>
        </w:tc>
        <w:tc>
          <w:tcPr>
            <w:tcW w:w="648" w:type="pct"/>
            <w:tcBorders>
              <w:top w:val="nil"/>
              <w:left w:val="nil"/>
              <w:bottom w:val="nil"/>
              <w:right w:val="nil"/>
            </w:tcBorders>
          </w:tcPr>
          <w:p w14:paraId="4DE08556"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lang w:val="en-US"/>
              </w:rPr>
            </w:pPr>
          </w:p>
        </w:tc>
        <w:tc>
          <w:tcPr>
            <w:tcW w:w="648" w:type="pct"/>
            <w:tcBorders>
              <w:top w:val="nil"/>
              <w:left w:val="nil"/>
              <w:bottom w:val="nil"/>
              <w:right w:val="nil"/>
            </w:tcBorders>
          </w:tcPr>
          <w:p w14:paraId="39680A30"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lang w:val="en-US"/>
              </w:rPr>
            </w:pPr>
          </w:p>
        </w:tc>
        <w:tc>
          <w:tcPr>
            <w:tcW w:w="636" w:type="pct"/>
            <w:tcBorders>
              <w:top w:val="nil"/>
              <w:left w:val="nil"/>
              <w:bottom w:val="nil"/>
              <w:right w:val="nil"/>
            </w:tcBorders>
          </w:tcPr>
          <w:p w14:paraId="675B9406"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lang w:val="en-US"/>
              </w:rPr>
            </w:pPr>
          </w:p>
        </w:tc>
        <w:tc>
          <w:tcPr>
            <w:tcW w:w="648" w:type="pct"/>
            <w:tcBorders>
              <w:top w:val="nil"/>
              <w:left w:val="nil"/>
              <w:bottom w:val="nil"/>
              <w:right w:val="nil"/>
            </w:tcBorders>
          </w:tcPr>
          <w:p w14:paraId="3F4A9A0C"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-0.001</w:t>
            </w:r>
            <w:r w:rsidRPr="005B7CAC">
              <w:rPr>
                <w:rFonts w:ascii="Times New Roman" w:hAnsi="Times New Roman"/>
                <w:sz w:val="24"/>
                <w:szCs w:val="24"/>
                <w:vertAlign w:val="superscript"/>
              </w:rPr>
              <w:t>***</w:t>
            </w:r>
          </w:p>
        </w:tc>
        <w:tc>
          <w:tcPr>
            <w:tcW w:w="648" w:type="pct"/>
            <w:tcBorders>
              <w:top w:val="nil"/>
              <w:left w:val="nil"/>
              <w:bottom w:val="nil"/>
              <w:right w:val="nil"/>
            </w:tcBorders>
          </w:tcPr>
          <w:p w14:paraId="2C049F78"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-0.001</w:t>
            </w:r>
            <w:r w:rsidRPr="005B7CAC">
              <w:rPr>
                <w:rFonts w:ascii="Times New Roman" w:hAnsi="Times New Roman"/>
                <w:sz w:val="24"/>
                <w:szCs w:val="24"/>
                <w:vertAlign w:val="superscript"/>
              </w:rPr>
              <w:t>***</w:t>
            </w:r>
          </w:p>
        </w:tc>
      </w:tr>
      <w:tr w:rsidR="005B7CAC" w:rsidRPr="005B7CAC" w14:paraId="087467B2" w14:textId="77777777" w:rsidTr="004472CF">
        <w:tc>
          <w:tcPr>
            <w:tcW w:w="1137" w:type="pct"/>
            <w:tcBorders>
              <w:top w:val="nil"/>
              <w:left w:val="nil"/>
              <w:bottom w:val="nil"/>
              <w:right w:val="nil"/>
            </w:tcBorders>
          </w:tcPr>
          <w:p w14:paraId="1F88D350" w14:textId="77777777" w:rsidR="00623491" w:rsidRPr="005B7CAC" w:rsidRDefault="00623491" w:rsidP="00C90660">
            <w:pPr>
              <w:widowControl w:val="0"/>
              <w:autoSpaceDE w:val="0"/>
              <w:autoSpaceDN w:val="0"/>
              <w:adjustRightInd w:val="0"/>
              <w:spacing w:after="0" w:line="240" w:lineRule="auto"/>
              <w:rPr>
                <w:rFonts w:ascii="Times New Roman" w:hAnsi="Times New Roman"/>
                <w:sz w:val="24"/>
                <w:szCs w:val="24"/>
              </w:rPr>
            </w:pPr>
          </w:p>
        </w:tc>
        <w:tc>
          <w:tcPr>
            <w:tcW w:w="636" w:type="pct"/>
            <w:tcBorders>
              <w:top w:val="nil"/>
              <w:left w:val="nil"/>
              <w:bottom w:val="nil"/>
              <w:right w:val="nil"/>
            </w:tcBorders>
          </w:tcPr>
          <w:p w14:paraId="5F1F7043"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5422B020"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51CBAA25"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36" w:type="pct"/>
            <w:tcBorders>
              <w:top w:val="nil"/>
              <w:left w:val="nil"/>
              <w:bottom w:val="nil"/>
              <w:right w:val="nil"/>
            </w:tcBorders>
          </w:tcPr>
          <w:p w14:paraId="0D4B2436"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16B8EC22"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(-4.30)</w:t>
            </w:r>
          </w:p>
        </w:tc>
        <w:tc>
          <w:tcPr>
            <w:tcW w:w="648" w:type="pct"/>
            <w:tcBorders>
              <w:top w:val="nil"/>
              <w:left w:val="nil"/>
              <w:bottom w:val="nil"/>
              <w:right w:val="nil"/>
            </w:tcBorders>
          </w:tcPr>
          <w:p w14:paraId="4F4796E3"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(-3.00)</w:t>
            </w:r>
          </w:p>
        </w:tc>
      </w:tr>
      <w:tr w:rsidR="005B7CAC" w:rsidRPr="005B7CAC" w14:paraId="35C755A8" w14:textId="77777777" w:rsidTr="004472CF">
        <w:tc>
          <w:tcPr>
            <w:tcW w:w="1137" w:type="pct"/>
            <w:tcBorders>
              <w:top w:val="nil"/>
              <w:left w:val="nil"/>
              <w:bottom w:val="nil"/>
              <w:right w:val="nil"/>
            </w:tcBorders>
          </w:tcPr>
          <w:p w14:paraId="74BADA59" w14:textId="64EC3C3A" w:rsidR="00623491" w:rsidRPr="005B7CAC" w:rsidRDefault="00623491" w:rsidP="00C90660">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rPr>
              <w:t>G</w:t>
            </w:r>
            <w:r w:rsidRPr="005B7CAC">
              <w:rPr>
                <w:rFonts w:ascii="Times New Roman" w:hAnsi="Times New Roman"/>
                <w:sz w:val="24"/>
                <w:szCs w:val="24"/>
                <w:lang w:val="en-US"/>
              </w:rPr>
              <w:t>INVs</w:t>
            </w:r>
          </w:p>
        </w:tc>
        <w:tc>
          <w:tcPr>
            <w:tcW w:w="636" w:type="pct"/>
            <w:tcBorders>
              <w:top w:val="nil"/>
              <w:left w:val="nil"/>
              <w:bottom w:val="nil"/>
              <w:right w:val="nil"/>
            </w:tcBorders>
          </w:tcPr>
          <w:p w14:paraId="3F577B7F"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1A299806"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0.007</w:t>
            </w:r>
            <w:r w:rsidRPr="005B7CAC">
              <w:rPr>
                <w:rFonts w:ascii="Times New Roman" w:hAnsi="Times New Roman"/>
                <w:sz w:val="24"/>
                <w:szCs w:val="24"/>
                <w:vertAlign w:val="superscript"/>
              </w:rPr>
              <w:t>**</w:t>
            </w:r>
          </w:p>
        </w:tc>
        <w:tc>
          <w:tcPr>
            <w:tcW w:w="648" w:type="pct"/>
            <w:tcBorders>
              <w:top w:val="nil"/>
              <w:left w:val="nil"/>
              <w:bottom w:val="nil"/>
              <w:right w:val="nil"/>
            </w:tcBorders>
          </w:tcPr>
          <w:p w14:paraId="48B9CC56"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0.019</w:t>
            </w:r>
            <w:r w:rsidRPr="005B7CAC">
              <w:rPr>
                <w:rFonts w:ascii="Times New Roman" w:hAnsi="Times New Roman"/>
                <w:sz w:val="24"/>
                <w:szCs w:val="24"/>
                <w:vertAlign w:val="superscript"/>
              </w:rPr>
              <w:t>**</w:t>
            </w:r>
          </w:p>
        </w:tc>
        <w:tc>
          <w:tcPr>
            <w:tcW w:w="636" w:type="pct"/>
            <w:tcBorders>
              <w:top w:val="nil"/>
              <w:left w:val="nil"/>
              <w:bottom w:val="nil"/>
              <w:right w:val="nil"/>
            </w:tcBorders>
          </w:tcPr>
          <w:p w14:paraId="1AE0D4E3"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3E53D38B"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0.052</w:t>
            </w:r>
            <w:r w:rsidRPr="005B7CAC">
              <w:rPr>
                <w:rFonts w:ascii="Times New Roman" w:hAnsi="Times New Roman"/>
                <w:sz w:val="24"/>
                <w:szCs w:val="24"/>
                <w:vertAlign w:val="superscript"/>
              </w:rPr>
              <w:t>***</w:t>
            </w:r>
          </w:p>
        </w:tc>
        <w:tc>
          <w:tcPr>
            <w:tcW w:w="648" w:type="pct"/>
            <w:tcBorders>
              <w:top w:val="nil"/>
              <w:left w:val="nil"/>
              <w:bottom w:val="nil"/>
              <w:right w:val="nil"/>
            </w:tcBorders>
          </w:tcPr>
          <w:p w14:paraId="30E7557C"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0.089</w:t>
            </w:r>
            <w:r w:rsidRPr="005B7CAC">
              <w:rPr>
                <w:rFonts w:ascii="Times New Roman" w:hAnsi="Times New Roman"/>
                <w:sz w:val="24"/>
                <w:szCs w:val="24"/>
                <w:vertAlign w:val="superscript"/>
              </w:rPr>
              <w:t>***</w:t>
            </w:r>
          </w:p>
        </w:tc>
      </w:tr>
      <w:tr w:rsidR="005B7CAC" w:rsidRPr="005B7CAC" w14:paraId="70EE1282" w14:textId="77777777" w:rsidTr="004472CF">
        <w:tc>
          <w:tcPr>
            <w:tcW w:w="1137" w:type="pct"/>
            <w:tcBorders>
              <w:top w:val="nil"/>
              <w:left w:val="nil"/>
              <w:bottom w:val="nil"/>
              <w:right w:val="nil"/>
            </w:tcBorders>
          </w:tcPr>
          <w:p w14:paraId="3B2DDF2E" w14:textId="77777777" w:rsidR="00623491" w:rsidRPr="005B7CAC" w:rsidRDefault="00623491" w:rsidP="00C90660">
            <w:pPr>
              <w:widowControl w:val="0"/>
              <w:autoSpaceDE w:val="0"/>
              <w:autoSpaceDN w:val="0"/>
              <w:adjustRightInd w:val="0"/>
              <w:spacing w:after="0" w:line="240" w:lineRule="auto"/>
              <w:rPr>
                <w:rFonts w:ascii="Times New Roman" w:hAnsi="Times New Roman"/>
                <w:sz w:val="24"/>
                <w:szCs w:val="24"/>
              </w:rPr>
            </w:pPr>
          </w:p>
        </w:tc>
        <w:tc>
          <w:tcPr>
            <w:tcW w:w="636" w:type="pct"/>
            <w:tcBorders>
              <w:top w:val="nil"/>
              <w:left w:val="nil"/>
              <w:bottom w:val="nil"/>
              <w:right w:val="nil"/>
            </w:tcBorders>
          </w:tcPr>
          <w:p w14:paraId="69D7B6AF"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138842A6"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(2.01)</w:t>
            </w:r>
          </w:p>
        </w:tc>
        <w:tc>
          <w:tcPr>
            <w:tcW w:w="648" w:type="pct"/>
            <w:tcBorders>
              <w:top w:val="nil"/>
              <w:left w:val="nil"/>
              <w:bottom w:val="nil"/>
              <w:right w:val="nil"/>
            </w:tcBorders>
          </w:tcPr>
          <w:p w14:paraId="6D71A36F"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(2.45)</w:t>
            </w:r>
          </w:p>
        </w:tc>
        <w:tc>
          <w:tcPr>
            <w:tcW w:w="636" w:type="pct"/>
            <w:tcBorders>
              <w:top w:val="nil"/>
              <w:left w:val="nil"/>
              <w:bottom w:val="nil"/>
              <w:right w:val="nil"/>
            </w:tcBorders>
          </w:tcPr>
          <w:p w14:paraId="3B97BDF4"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p>
        </w:tc>
        <w:tc>
          <w:tcPr>
            <w:tcW w:w="648" w:type="pct"/>
            <w:tcBorders>
              <w:top w:val="nil"/>
              <w:left w:val="nil"/>
              <w:bottom w:val="nil"/>
              <w:right w:val="nil"/>
            </w:tcBorders>
          </w:tcPr>
          <w:p w14:paraId="475F1162"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(4.62)</w:t>
            </w:r>
          </w:p>
        </w:tc>
        <w:tc>
          <w:tcPr>
            <w:tcW w:w="648" w:type="pct"/>
            <w:tcBorders>
              <w:top w:val="nil"/>
              <w:left w:val="nil"/>
              <w:bottom w:val="nil"/>
              <w:right w:val="nil"/>
            </w:tcBorders>
          </w:tcPr>
          <w:p w14:paraId="252AAAFB"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(3.43)</w:t>
            </w:r>
          </w:p>
        </w:tc>
      </w:tr>
      <w:tr w:rsidR="005B7CAC" w:rsidRPr="005B7CAC" w14:paraId="5EF09005" w14:textId="77777777" w:rsidTr="004472CF">
        <w:tc>
          <w:tcPr>
            <w:tcW w:w="1137" w:type="pct"/>
            <w:tcBorders>
              <w:top w:val="nil"/>
              <w:left w:val="nil"/>
              <w:bottom w:val="nil"/>
              <w:right w:val="nil"/>
            </w:tcBorders>
          </w:tcPr>
          <w:p w14:paraId="7848EF52" w14:textId="77777777" w:rsidR="00623491" w:rsidRPr="005B7CAC" w:rsidRDefault="00623491"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Controls</w:t>
            </w:r>
          </w:p>
        </w:tc>
        <w:tc>
          <w:tcPr>
            <w:tcW w:w="636" w:type="pct"/>
            <w:tcBorders>
              <w:top w:val="nil"/>
              <w:left w:val="nil"/>
              <w:bottom w:val="nil"/>
              <w:right w:val="nil"/>
            </w:tcBorders>
          </w:tcPr>
          <w:p w14:paraId="211224C9"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Included</w:t>
            </w:r>
          </w:p>
        </w:tc>
        <w:tc>
          <w:tcPr>
            <w:tcW w:w="648" w:type="pct"/>
            <w:tcBorders>
              <w:top w:val="nil"/>
              <w:left w:val="nil"/>
              <w:bottom w:val="nil"/>
              <w:right w:val="nil"/>
            </w:tcBorders>
          </w:tcPr>
          <w:p w14:paraId="501A0092"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Included</w:t>
            </w:r>
          </w:p>
        </w:tc>
        <w:tc>
          <w:tcPr>
            <w:tcW w:w="648" w:type="pct"/>
            <w:tcBorders>
              <w:top w:val="nil"/>
              <w:left w:val="nil"/>
              <w:bottom w:val="nil"/>
              <w:right w:val="nil"/>
            </w:tcBorders>
          </w:tcPr>
          <w:p w14:paraId="1094BACE"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Included</w:t>
            </w:r>
          </w:p>
        </w:tc>
        <w:tc>
          <w:tcPr>
            <w:tcW w:w="636" w:type="pct"/>
            <w:tcBorders>
              <w:top w:val="nil"/>
              <w:left w:val="nil"/>
              <w:bottom w:val="nil"/>
              <w:right w:val="nil"/>
            </w:tcBorders>
          </w:tcPr>
          <w:p w14:paraId="34CF3B8A"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Included</w:t>
            </w:r>
          </w:p>
        </w:tc>
        <w:tc>
          <w:tcPr>
            <w:tcW w:w="648" w:type="pct"/>
            <w:tcBorders>
              <w:top w:val="nil"/>
              <w:left w:val="nil"/>
              <w:bottom w:val="nil"/>
              <w:right w:val="nil"/>
            </w:tcBorders>
          </w:tcPr>
          <w:p w14:paraId="0D2BFAA6"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Included</w:t>
            </w:r>
          </w:p>
        </w:tc>
        <w:tc>
          <w:tcPr>
            <w:tcW w:w="648" w:type="pct"/>
            <w:tcBorders>
              <w:top w:val="nil"/>
              <w:left w:val="nil"/>
              <w:bottom w:val="nil"/>
              <w:right w:val="nil"/>
            </w:tcBorders>
          </w:tcPr>
          <w:p w14:paraId="6B3B59CA"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Included</w:t>
            </w:r>
          </w:p>
        </w:tc>
      </w:tr>
      <w:tr w:rsidR="005B7CAC" w:rsidRPr="005B7CAC" w14:paraId="272BBF01" w14:textId="77777777" w:rsidTr="004472CF">
        <w:tc>
          <w:tcPr>
            <w:tcW w:w="1137" w:type="pct"/>
            <w:tcBorders>
              <w:top w:val="nil"/>
              <w:left w:val="nil"/>
              <w:bottom w:val="single" w:sz="8" w:space="0" w:color="auto"/>
              <w:right w:val="nil"/>
            </w:tcBorders>
          </w:tcPr>
          <w:p w14:paraId="4DD1F08C" w14:textId="77777777" w:rsidR="00623491" w:rsidRPr="005B7CAC" w:rsidRDefault="00623491"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Year/Industry FE</w:t>
            </w:r>
          </w:p>
        </w:tc>
        <w:tc>
          <w:tcPr>
            <w:tcW w:w="636" w:type="pct"/>
            <w:tcBorders>
              <w:top w:val="nil"/>
              <w:left w:val="nil"/>
              <w:bottom w:val="single" w:sz="8" w:space="0" w:color="auto"/>
              <w:right w:val="nil"/>
            </w:tcBorders>
          </w:tcPr>
          <w:p w14:paraId="0A0617CF"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Yes</w:t>
            </w:r>
          </w:p>
        </w:tc>
        <w:tc>
          <w:tcPr>
            <w:tcW w:w="648" w:type="pct"/>
            <w:tcBorders>
              <w:top w:val="nil"/>
              <w:left w:val="nil"/>
              <w:bottom w:val="single" w:sz="8" w:space="0" w:color="auto"/>
              <w:right w:val="nil"/>
            </w:tcBorders>
          </w:tcPr>
          <w:p w14:paraId="26CC17B9"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Yes</w:t>
            </w:r>
          </w:p>
        </w:tc>
        <w:tc>
          <w:tcPr>
            <w:tcW w:w="648" w:type="pct"/>
            <w:tcBorders>
              <w:top w:val="nil"/>
              <w:left w:val="nil"/>
              <w:bottom w:val="single" w:sz="8" w:space="0" w:color="auto"/>
              <w:right w:val="nil"/>
            </w:tcBorders>
          </w:tcPr>
          <w:p w14:paraId="7EB6DE88"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Yes</w:t>
            </w:r>
          </w:p>
        </w:tc>
        <w:tc>
          <w:tcPr>
            <w:tcW w:w="636" w:type="pct"/>
            <w:tcBorders>
              <w:top w:val="nil"/>
              <w:left w:val="nil"/>
              <w:bottom w:val="single" w:sz="8" w:space="0" w:color="auto"/>
              <w:right w:val="nil"/>
            </w:tcBorders>
          </w:tcPr>
          <w:p w14:paraId="48840ECD"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Yes</w:t>
            </w:r>
          </w:p>
        </w:tc>
        <w:tc>
          <w:tcPr>
            <w:tcW w:w="648" w:type="pct"/>
            <w:tcBorders>
              <w:top w:val="nil"/>
              <w:left w:val="nil"/>
              <w:bottom w:val="single" w:sz="8" w:space="0" w:color="auto"/>
              <w:right w:val="nil"/>
            </w:tcBorders>
          </w:tcPr>
          <w:p w14:paraId="0D38B102"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Yes</w:t>
            </w:r>
          </w:p>
        </w:tc>
        <w:tc>
          <w:tcPr>
            <w:tcW w:w="648" w:type="pct"/>
            <w:tcBorders>
              <w:top w:val="nil"/>
              <w:left w:val="nil"/>
              <w:bottom w:val="single" w:sz="8" w:space="0" w:color="auto"/>
              <w:right w:val="nil"/>
            </w:tcBorders>
          </w:tcPr>
          <w:p w14:paraId="52EB47BB" w14:textId="77777777" w:rsidR="00623491" w:rsidRPr="005B7CAC" w:rsidRDefault="00623491"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Yes</w:t>
            </w:r>
          </w:p>
        </w:tc>
      </w:tr>
      <w:tr w:rsidR="005B7CAC" w:rsidRPr="005B7CAC" w14:paraId="7368985C" w14:textId="77777777" w:rsidTr="004472CF">
        <w:tc>
          <w:tcPr>
            <w:tcW w:w="1137" w:type="pct"/>
            <w:tcBorders>
              <w:top w:val="single" w:sz="8" w:space="0" w:color="auto"/>
              <w:left w:val="nil"/>
              <w:bottom w:val="nil"/>
              <w:right w:val="nil"/>
            </w:tcBorders>
          </w:tcPr>
          <w:p w14:paraId="544B5CAF" w14:textId="7901DEB9" w:rsidR="00623491" w:rsidRPr="005B7CAC" w:rsidRDefault="00623491" w:rsidP="00623491">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rPr>
              <w:t>Observations</w:t>
            </w:r>
          </w:p>
        </w:tc>
        <w:tc>
          <w:tcPr>
            <w:tcW w:w="636" w:type="pct"/>
            <w:tcBorders>
              <w:top w:val="single" w:sz="8" w:space="0" w:color="auto"/>
              <w:left w:val="nil"/>
              <w:bottom w:val="nil"/>
              <w:right w:val="nil"/>
            </w:tcBorders>
          </w:tcPr>
          <w:p w14:paraId="6A2F7ED0" w14:textId="77777777" w:rsidR="00623491" w:rsidRPr="005B7CAC" w:rsidRDefault="00623491" w:rsidP="00623491">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1432</w:t>
            </w:r>
          </w:p>
        </w:tc>
        <w:tc>
          <w:tcPr>
            <w:tcW w:w="648" w:type="pct"/>
            <w:tcBorders>
              <w:top w:val="single" w:sz="8" w:space="0" w:color="auto"/>
              <w:left w:val="nil"/>
              <w:bottom w:val="nil"/>
              <w:right w:val="nil"/>
            </w:tcBorders>
          </w:tcPr>
          <w:p w14:paraId="3B20D837" w14:textId="77777777" w:rsidR="00623491" w:rsidRPr="005B7CAC" w:rsidRDefault="00623491" w:rsidP="00623491">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1432</w:t>
            </w:r>
          </w:p>
        </w:tc>
        <w:tc>
          <w:tcPr>
            <w:tcW w:w="648" w:type="pct"/>
            <w:tcBorders>
              <w:top w:val="single" w:sz="8" w:space="0" w:color="auto"/>
              <w:left w:val="nil"/>
              <w:bottom w:val="nil"/>
              <w:right w:val="nil"/>
            </w:tcBorders>
          </w:tcPr>
          <w:p w14:paraId="761389F9" w14:textId="77777777" w:rsidR="00623491" w:rsidRPr="005B7CAC" w:rsidRDefault="00623491" w:rsidP="00623491">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1432</w:t>
            </w:r>
          </w:p>
        </w:tc>
        <w:tc>
          <w:tcPr>
            <w:tcW w:w="636" w:type="pct"/>
            <w:tcBorders>
              <w:top w:val="single" w:sz="8" w:space="0" w:color="auto"/>
              <w:left w:val="nil"/>
              <w:bottom w:val="nil"/>
              <w:right w:val="nil"/>
            </w:tcBorders>
          </w:tcPr>
          <w:p w14:paraId="66A1070C" w14:textId="77777777" w:rsidR="00623491" w:rsidRPr="005B7CAC" w:rsidRDefault="00623491" w:rsidP="00623491">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1099</w:t>
            </w:r>
          </w:p>
        </w:tc>
        <w:tc>
          <w:tcPr>
            <w:tcW w:w="648" w:type="pct"/>
            <w:tcBorders>
              <w:top w:val="single" w:sz="8" w:space="0" w:color="auto"/>
              <w:left w:val="nil"/>
              <w:bottom w:val="nil"/>
              <w:right w:val="nil"/>
            </w:tcBorders>
          </w:tcPr>
          <w:p w14:paraId="4A983F49" w14:textId="77777777" w:rsidR="00623491" w:rsidRPr="005B7CAC" w:rsidRDefault="00623491" w:rsidP="00623491">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1099</w:t>
            </w:r>
          </w:p>
        </w:tc>
        <w:tc>
          <w:tcPr>
            <w:tcW w:w="648" w:type="pct"/>
            <w:tcBorders>
              <w:top w:val="single" w:sz="8" w:space="0" w:color="auto"/>
              <w:left w:val="nil"/>
              <w:bottom w:val="nil"/>
              <w:right w:val="nil"/>
            </w:tcBorders>
          </w:tcPr>
          <w:p w14:paraId="4DC0AAE3" w14:textId="77777777" w:rsidR="00623491" w:rsidRPr="005B7CAC" w:rsidRDefault="00623491" w:rsidP="00623491">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1099</w:t>
            </w:r>
          </w:p>
        </w:tc>
      </w:tr>
      <w:tr w:rsidR="005B7CAC" w:rsidRPr="005B7CAC" w14:paraId="60C03F0F" w14:textId="77777777" w:rsidTr="004472CF">
        <w:tc>
          <w:tcPr>
            <w:tcW w:w="1137" w:type="pct"/>
            <w:tcBorders>
              <w:top w:val="nil"/>
              <w:left w:val="nil"/>
              <w:bottom w:val="single" w:sz="12" w:space="0" w:color="auto"/>
              <w:right w:val="nil"/>
            </w:tcBorders>
          </w:tcPr>
          <w:p w14:paraId="0EA9EFB8" w14:textId="068215F0" w:rsidR="00623491" w:rsidRPr="005B7CAC" w:rsidRDefault="00623491" w:rsidP="00623491">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rPr>
              <w:t>Adj. R-sq.</w:t>
            </w:r>
          </w:p>
        </w:tc>
        <w:tc>
          <w:tcPr>
            <w:tcW w:w="636" w:type="pct"/>
            <w:tcBorders>
              <w:top w:val="nil"/>
              <w:left w:val="nil"/>
              <w:bottom w:val="single" w:sz="12" w:space="0" w:color="auto"/>
              <w:right w:val="nil"/>
            </w:tcBorders>
          </w:tcPr>
          <w:p w14:paraId="285E27B5" w14:textId="77777777" w:rsidR="00623491" w:rsidRPr="005B7CAC" w:rsidRDefault="00623491" w:rsidP="00623491">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0.931</w:t>
            </w:r>
          </w:p>
        </w:tc>
        <w:tc>
          <w:tcPr>
            <w:tcW w:w="648" w:type="pct"/>
            <w:tcBorders>
              <w:top w:val="nil"/>
              <w:left w:val="nil"/>
              <w:bottom w:val="single" w:sz="12" w:space="0" w:color="auto"/>
              <w:right w:val="nil"/>
            </w:tcBorders>
          </w:tcPr>
          <w:p w14:paraId="3F2617A1" w14:textId="77777777" w:rsidR="00623491" w:rsidRPr="005B7CAC" w:rsidRDefault="00623491" w:rsidP="00623491">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0.491</w:t>
            </w:r>
          </w:p>
        </w:tc>
        <w:tc>
          <w:tcPr>
            <w:tcW w:w="648" w:type="pct"/>
            <w:tcBorders>
              <w:top w:val="nil"/>
              <w:left w:val="nil"/>
              <w:bottom w:val="single" w:sz="12" w:space="0" w:color="auto"/>
              <w:right w:val="nil"/>
            </w:tcBorders>
          </w:tcPr>
          <w:p w14:paraId="33656344" w14:textId="77777777" w:rsidR="00623491" w:rsidRPr="005B7CAC" w:rsidRDefault="00623491" w:rsidP="00623491">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0.484</w:t>
            </w:r>
          </w:p>
        </w:tc>
        <w:tc>
          <w:tcPr>
            <w:tcW w:w="636" w:type="pct"/>
            <w:tcBorders>
              <w:top w:val="nil"/>
              <w:left w:val="nil"/>
              <w:bottom w:val="single" w:sz="12" w:space="0" w:color="auto"/>
              <w:right w:val="nil"/>
            </w:tcBorders>
          </w:tcPr>
          <w:p w14:paraId="539DF122" w14:textId="77777777" w:rsidR="00623491" w:rsidRPr="005B7CAC" w:rsidRDefault="00623491" w:rsidP="00623491">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0.845</w:t>
            </w:r>
          </w:p>
        </w:tc>
        <w:tc>
          <w:tcPr>
            <w:tcW w:w="648" w:type="pct"/>
            <w:tcBorders>
              <w:top w:val="nil"/>
              <w:left w:val="nil"/>
              <w:bottom w:val="single" w:sz="12" w:space="0" w:color="auto"/>
              <w:right w:val="nil"/>
            </w:tcBorders>
          </w:tcPr>
          <w:p w14:paraId="6D387F7D" w14:textId="77777777" w:rsidR="00623491" w:rsidRPr="005B7CAC" w:rsidRDefault="00623491" w:rsidP="00623491">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0.582</w:t>
            </w:r>
          </w:p>
        </w:tc>
        <w:tc>
          <w:tcPr>
            <w:tcW w:w="648" w:type="pct"/>
            <w:tcBorders>
              <w:top w:val="nil"/>
              <w:left w:val="nil"/>
              <w:bottom w:val="single" w:sz="12" w:space="0" w:color="auto"/>
              <w:right w:val="nil"/>
            </w:tcBorders>
          </w:tcPr>
          <w:p w14:paraId="2B7FCBF5" w14:textId="77777777" w:rsidR="00623491" w:rsidRPr="005B7CAC" w:rsidRDefault="00623491" w:rsidP="00623491">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0.544</w:t>
            </w:r>
          </w:p>
        </w:tc>
      </w:tr>
    </w:tbl>
    <w:p w14:paraId="55930E3A" w14:textId="77777777" w:rsidR="004B4B5D" w:rsidRPr="005B7CAC" w:rsidRDefault="004B4B5D" w:rsidP="004B4B5D">
      <w:pPr>
        <w:widowControl w:val="0"/>
        <w:autoSpaceDE w:val="0"/>
        <w:autoSpaceDN w:val="0"/>
        <w:adjustRightInd w:val="0"/>
        <w:spacing w:after="0" w:line="240" w:lineRule="auto"/>
        <w:jc w:val="both"/>
        <w:rPr>
          <w:rFonts w:ascii="Times New Roman" w:hAnsi="Times New Roman"/>
          <w:iCs/>
          <w:lang w:val="en-US"/>
        </w:rPr>
      </w:pPr>
      <w:r w:rsidRPr="005B7CAC">
        <w:rPr>
          <w:rFonts w:ascii="Times New Roman" w:hAnsi="Times New Roman"/>
          <w:b/>
          <w:iCs/>
          <w:lang w:val="en-US"/>
        </w:rPr>
        <w:t>Note(s):</w:t>
      </w:r>
      <w:r w:rsidRPr="005B7CAC">
        <w:rPr>
          <w:rFonts w:ascii="Times New Roman" w:hAnsi="Times New Roman"/>
          <w:iCs/>
          <w:lang w:val="en-US"/>
        </w:rPr>
        <w:t xml:space="preserve"> This table reports the links among green initiatives (</w:t>
      </w:r>
      <w:r w:rsidRPr="005B7CAC">
        <w:rPr>
          <w:rFonts w:ascii="Times New Roman" w:hAnsi="Times New Roman"/>
          <w:i/>
          <w:lang w:val="en-US"/>
        </w:rPr>
        <w:t>GINVs</w:t>
      </w:r>
      <w:r w:rsidRPr="005B7CAC">
        <w:rPr>
          <w:rFonts w:ascii="Times New Roman" w:hAnsi="Times New Roman"/>
          <w:iCs/>
          <w:lang w:val="en-US"/>
        </w:rPr>
        <w:t>), waste management (</w:t>
      </w:r>
      <w:r w:rsidRPr="005B7CAC">
        <w:rPr>
          <w:rFonts w:ascii="Times New Roman" w:hAnsi="Times New Roman"/>
          <w:i/>
          <w:lang w:val="en-US"/>
        </w:rPr>
        <w:t>WM</w:t>
      </w:r>
      <w:r w:rsidRPr="005B7CAC">
        <w:rPr>
          <w:rFonts w:ascii="Times New Roman" w:hAnsi="Times New Roman"/>
          <w:iCs/>
          <w:lang w:val="en-US"/>
        </w:rPr>
        <w:t>), and financial distress (</w:t>
      </w:r>
      <w:r w:rsidRPr="005B7CAC">
        <w:rPr>
          <w:rFonts w:ascii="Times New Roman" w:hAnsi="Times New Roman"/>
          <w:i/>
          <w:lang w:val="en-US"/>
        </w:rPr>
        <w:t>FD</w:t>
      </w:r>
      <w:r w:rsidRPr="005B7CAC">
        <w:rPr>
          <w:rFonts w:ascii="Times New Roman" w:hAnsi="Times New Roman"/>
          <w:iCs/>
          <w:lang w:val="en-US"/>
        </w:rPr>
        <w:t>) based on a two-stage least squares (</w:t>
      </w:r>
      <w:r w:rsidRPr="005B7CAC">
        <w:rPr>
          <w:rFonts w:ascii="Times New Roman" w:hAnsi="Times New Roman"/>
          <w:i/>
          <w:lang w:val="en-US"/>
        </w:rPr>
        <w:t>2SLS</w:t>
      </w:r>
      <w:r w:rsidRPr="005B7CAC">
        <w:rPr>
          <w:rFonts w:ascii="Times New Roman" w:hAnsi="Times New Roman"/>
          <w:iCs/>
          <w:lang w:val="en-US"/>
        </w:rPr>
        <w:t xml:space="preserve">) analysis. </w:t>
      </w:r>
      <w:r w:rsidRPr="005B7CAC">
        <w:rPr>
          <w:rFonts w:ascii="Times New Roman" w:hAnsi="Times New Roman"/>
          <w:bCs/>
          <w:lang w:val="en-US"/>
        </w:rPr>
        <w:t xml:space="preserve">Robust </w:t>
      </w:r>
      <w:r w:rsidRPr="005B7CAC">
        <w:rPr>
          <w:rFonts w:ascii="Times New Roman" w:hAnsi="Times New Roman"/>
          <w:bCs/>
          <w:i/>
          <w:lang w:val="en-US"/>
        </w:rPr>
        <w:t>t-statistics</w:t>
      </w:r>
      <w:r w:rsidRPr="005B7CAC">
        <w:rPr>
          <w:rFonts w:ascii="Times New Roman" w:hAnsi="Times New Roman"/>
          <w:bCs/>
          <w:lang w:val="en-US"/>
        </w:rPr>
        <w:t xml:space="preserve"> are presented in parentheses. </w:t>
      </w:r>
      <w:r w:rsidRPr="005B7CAC">
        <w:rPr>
          <w:rFonts w:ascii="Times New Roman" w:hAnsi="Times New Roman"/>
          <w:lang w:val="en-US"/>
        </w:rPr>
        <w:t xml:space="preserve">All the study variables are defined in Table 1. * </w:t>
      </w:r>
      <w:r w:rsidRPr="005B7CAC">
        <w:rPr>
          <w:rFonts w:ascii="Times New Roman" w:hAnsi="Times New Roman"/>
          <w:i/>
          <w:iCs/>
          <w:lang w:val="en-US"/>
        </w:rPr>
        <w:t>p</w:t>
      </w:r>
      <w:r w:rsidRPr="005B7CAC">
        <w:rPr>
          <w:rFonts w:ascii="Times New Roman" w:hAnsi="Times New Roman"/>
          <w:lang w:val="en-US"/>
        </w:rPr>
        <w:t xml:space="preserve"> &lt; 0.1, ** </w:t>
      </w:r>
      <w:r w:rsidRPr="005B7CAC">
        <w:rPr>
          <w:rFonts w:ascii="Times New Roman" w:hAnsi="Times New Roman"/>
          <w:i/>
          <w:iCs/>
          <w:lang w:val="en-US"/>
        </w:rPr>
        <w:t>p</w:t>
      </w:r>
      <w:r w:rsidRPr="005B7CAC">
        <w:rPr>
          <w:rFonts w:ascii="Times New Roman" w:hAnsi="Times New Roman"/>
          <w:lang w:val="en-US"/>
        </w:rPr>
        <w:t xml:space="preserve"> &lt; 0.05, *** </w:t>
      </w:r>
      <w:r w:rsidRPr="005B7CAC">
        <w:rPr>
          <w:rFonts w:ascii="Times New Roman" w:hAnsi="Times New Roman"/>
          <w:i/>
          <w:iCs/>
          <w:lang w:val="en-US"/>
        </w:rPr>
        <w:t>p</w:t>
      </w:r>
      <w:r w:rsidRPr="005B7CAC">
        <w:rPr>
          <w:rFonts w:ascii="Times New Roman" w:hAnsi="Times New Roman"/>
          <w:lang w:val="en-US"/>
        </w:rPr>
        <w:t xml:space="preserve"> &lt; 0.01.</w:t>
      </w:r>
    </w:p>
    <w:p w14:paraId="0595B79E" w14:textId="77777777" w:rsidR="004B4B5D" w:rsidRPr="005B7CAC" w:rsidRDefault="004B4B5D" w:rsidP="004B4B5D">
      <w:pPr>
        <w:widowControl w:val="0"/>
        <w:autoSpaceDE w:val="0"/>
        <w:autoSpaceDN w:val="0"/>
        <w:adjustRightInd w:val="0"/>
        <w:spacing w:after="0" w:line="240" w:lineRule="auto"/>
        <w:jc w:val="both"/>
        <w:rPr>
          <w:rFonts w:ascii="Times New Roman" w:hAnsi="Times New Roman"/>
          <w:lang w:val="en-US"/>
        </w:rPr>
      </w:pPr>
      <w:r w:rsidRPr="005B7CAC">
        <w:rPr>
          <w:rFonts w:ascii="Times New Roman" w:hAnsi="Times New Roman"/>
          <w:b/>
          <w:lang w:val="en-US"/>
        </w:rPr>
        <w:t>Source:</w:t>
      </w:r>
      <w:r w:rsidRPr="005B7CAC">
        <w:rPr>
          <w:rFonts w:ascii="Times New Roman" w:hAnsi="Times New Roman"/>
          <w:lang w:val="en-US"/>
        </w:rPr>
        <w:t xml:space="preserve"> Table prepared by the authors.</w:t>
      </w:r>
    </w:p>
    <w:p w14:paraId="4A1A3B25" w14:textId="77777777" w:rsidR="001B0C3F" w:rsidRPr="005B7CAC" w:rsidRDefault="001B0C3F" w:rsidP="00CD4FCC">
      <w:pPr>
        <w:widowControl w:val="0"/>
        <w:autoSpaceDE w:val="0"/>
        <w:autoSpaceDN w:val="0"/>
        <w:adjustRightInd w:val="0"/>
        <w:spacing w:after="240" w:line="240" w:lineRule="auto"/>
        <w:rPr>
          <w:rFonts w:ascii="Times New Roman" w:hAnsi="Times New Roman"/>
          <w:sz w:val="24"/>
          <w:szCs w:val="24"/>
          <w:lang w:val="en-US"/>
        </w:rPr>
      </w:pPr>
    </w:p>
    <w:p w14:paraId="6B5BDDA5" w14:textId="77777777" w:rsidR="001B0C3F" w:rsidRPr="005B7CAC" w:rsidRDefault="001B0C3F" w:rsidP="00CD4FCC">
      <w:pPr>
        <w:widowControl w:val="0"/>
        <w:autoSpaceDE w:val="0"/>
        <w:autoSpaceDN w:val="0"/>
        <w:adjustRightInd w:val="0"/>
        <w:spacing w:after="240" w:line="240" w:lineRule="auto"/>
        <w:rPr>
          <w:rFonts w:ascii="Times New Roman" w:hAnsi="Times New Roman"/>
          <w:sz w:val="24"/>
          <w:szCs w:val="24"/>
          <w:lang w:val="en-US"/>
        </w:rPr>
      </w:pPr>
    </w:p>
    <w:p w14:paraId="3E52EFAA" w14:textId="77777777" w:rsidR="001B0C3F" w:rsidRPr="005B7CAC" w:rsidRDefault="001B0C3F" w:rsidP="00CD4FCC">
      <w:pPr>
        <w:widowControl w:val="0"/>
        <w:autoSpaceDE w:val="0"/>
        <w:autoSpaceDN w:val="0"/>
        <w:adjustRightInd w:val="0"/>
        <w:spacing w:after="240" w:line="240" w:lineRule="auto"/>
        <w:rPr>
          <w:rFonts w:ascii="Times New Roman" w:hAnsi="Times New Roman"/>
          <w:sz w:val="24"/>
          <w:szCs w:val="24"/>
          <w:lang w:val="en-US"/>
        </w:rPr>
      </w:pPr>
    </w:p>
    <w:p w14:paraId="0EC115D1" w14:textId="77777777" w:rsidR="001B0C3F" w:rsidRPr="005B7CAC" w:rsidRDefault="001B0C3F" w:rsidP="00CD4FCC">
      <w:pPr>
        <w:widowControl w:val="0"/>
        <w:autoSpaceDE w:val="0"/>
        <w:autoSpaceDN w:val="0"/>
        <w:adjustRightInd w:val="0"/>
        <w:spacing w:after="240" w:line="240" w:lineRule="auto"/>
        <w:rPr>
          <w:rFonts w:ascii="Times New Roman" w:hAnsi="Times New Roman"/>
          <w:sz w:val="24"/>
          <w:szCs w:val="24"/>
          <w:lang w:val="en-US"/>
        </w:rPr>
      </w:pPr>
    </w:p>
    <w:p w14:paraId="206EAA3A" w14:textId="77777777" w:rsidR="001B0C3F" w:rsidRPr="005B7CAC" w:rsidRDefault="001B0C3F" w:rsidP="00CD4FCC">
      <w:pPr>
        <w:widowControl w:val="0"/>
        <w:autoSpaceDE w:val="0"/>
        <w:autoSpaceDN w:val="0"/>
        <w:adjustRightInd w:val="0"/>
        <w:spacing w:after="240" w:line="240" w:lineRule="auto"/>
        <w:rPr>
          <w:rFonts w:ascii="Times New Roman" w:hAnsi="Times New Roman"/>
          <w:sz w:val="24"/>
          <w:szCs w:val="24"/>
          <w:lang w:val="en-US"/>
        </w:rPr>
      </w:pPr>
    </w:p>
    <w:p w14:paraId="6720D0D9" w14:textId="77777777" w:rsidR="000A141A" w:rsidRPr="005B7CAC" w:rsidRDefault="000A141A" w:rsidP="00CD4FCC">
      <w:pPr>
        <w:widowControl w:val="0"/>
        <w:autoSpaceDE w:val="0"/>
        <w:autoSpaceDN w:val="0"/>
        <w:adjustRightInd w:val="0"/>
        <w:spacing w:after="240" w:line="240" w:lineRule="auto"/>
        <w:rPr>
          <w:rFonts w:ascii="Times New Roman" w:hAnsi="Times New Roman"/>
          <w:sz w:val="24"/>
          <w:szCs w:val="24"/>
          <w:lang w:val="en-US"/>
        </w:rPr>
      </w:pPr>
    </w:p>
    <w:p w14:paraId="1C5006F9" w14:textId="77777777" w:rsidR="000A141A" w:rsidRPr="005B7CAC" w:rsidRDefault="000A141A" w:rsidP="00CD4FCC">
      <w:pPr>
        <w:widowControl w:val="0"/>
        <w:autoSpaceDE w:val="0"/>
        <w:autoSpaceDN w:val="0"/>
        <w:adjustRightInd w:val="0"/>
        <w:spacing w:after="240" w:line="240" w:lineRule="auto"/>
        <w:rPr>
          <w:rFonts w:ascii="Times New Roman" w:hAnsi="Times New Roman"/>
          <w:sz w:val="24"/>
          <w:szCs w:val="24"/>
          <w:lang w:val="en-US"/>
        </w:rPr>
      </w:pPr>
    </w:p>
    <w:p w14:paraId="349A1245" w14:textId="77777777" w:rsidR="000A141A" w:rsidRPr="005B7CAC" w:rsidRDefault="000A141A" w:rsidP="00CD4FCC">
      <w:pPr>
        <w:widowControl w:val="0"/>
        <w:autoSpaceDE w:val="0"/>
        <w:autoSpaceDN w:val="0"/>
        <w:adjustRightInd w:val="0"/>
        <w:spacing w:after="240" w:line="240" w:lineRule="auto"/>
        <w:rPr>
          <w:rFonts w:ascii="Times New Roman" w:hAnsi="Times New Roman"/>
          <w:sz w:val="24"/>
          <w:szCs w:val="24"/>
          <w:lang w:val="en-US"/>
        </w:rPr>
      </w:pPr>
    </w:p>
    <w:p w14:paraId="5085287E" w14:textId="77777777" w:rsidR="001B0C3F" w:rsidRPr="005B7CAC" w:rsidRDefault="001B0C3F" w:rsidP="00CD4FCC">
      <w:pPr>
        <w:widowControl w:val="0"/>
        <w:autoSpaceDE w:val="0"/>
        <w:autoSpaceDN w:val="0"/>
        <w:adjustRightInd w:val="0"/>
        <w:spacing w:after="240" w:line="240" w:lineRule="auto"/>
        <w:rPr>
          <w:rFonts w:ascii="Times New Roman" w:hAnsi="Times New Roman"/>
          <w:sz w:val="24"/>
          <w:szCs w:val="24"/>
          <w:lang w:val="en-US"/>
        </w:rPr>
      </w:pPr>
    </w:p>
    <w:p w14:paraId="1F6F572C" w14:textId="77777777" w:rsidR="001B0C3F" w:rsidRPr="005B7CAC" w:rsidRDefault="001B0C3F" w:rsidP="00CD4FCC">
      <w:pPr>
        <w:widowControl w:val="0"/>
        <w:autoSpaceDE w:val="0"/>
        <w:autoSpaceDN w:val="0"/>
        <w:adjustRightInd w:val="0"/>
        <w:spacing w:after="240" w:line="240" w:lineRule="auto"/>
        <w:rPr>
          <w:rFonts w:ascii="Times New Roman" w:hAnsi="Times New Roman"/>
          <w:sz w:val="24"/>
          <w:szCs w:val="24"/>
          <w:lang w:val="en-US"/>
        </w:rPr>
      </w:pPr>
    </w:p>
    <w:p w14:paraId="0D6FEDF5" w14:textId="2E775E41" w:rsidR="001B0C3F" w:rsidRPr="005B7CAC" w:rsidRDefault="001B0C3F" w:rsidP="001B0C3F">
      <w:pPr>
        <w:widowControl w:val="0"/>
        <w:autoSpaceDE w:val="0"/>
        <w:autoSpaceDN w:val="0"/>
        <w:adjustRightInd w:val="0"/>
        <w:spacing w:after="240" w:line="240" w:lineRule="auto"/>
        <w:rPr>
          <w:rFonts w:ascii="Times New Roman" w:hAnsi="Times New Roman"/>
          <w:sz w:val="24"/>
          <w:szCs w:val="24"/>
          <w:lang w:val="en-US"/>
        </w:rPr>
      </w:pPr>
      <w:r w:rsidRPr="005B7CAC">
        <w:rPr>
          <w:rFonts w:ascii="Times New Roman" w:hAnsi="Times New Roman"/>
          <w:b/>
          <w:sz w:val="24"/>
          <w:szCs w:val="24"/>
          <w:lang w:val="en-US"/>
        </w:rPr>
        <w:lastRenderedPageBreak/>
        <w:t xml:space="preserve">Table </w:t>
      </w:r>
      <w:r w:rsidR="003F27C9" w:rsidRPr="005B7CAC">
        <w:rPr>
          <w:rFonts w:ascii="Times New Roman" w:hAnsi="Times New Roman"/>
          <w:b/>
          <w:sz w:val="24"/>
          <w:szCs w:val="24"/>
          <w:lang w:val="en-US"/>
        </w:rPr>
        <w:t>9</w:t>
      </w:r>
      <w:r w:rsidRPr="005B7CAC">
        <w:rPr>
          <w:rFonts w:ascii="Times New Roman" w:hAnsi="Times New Roman"/>
          <w:b/>
          <w:sz w:val="24"/>
          <w:szCs w:val="24"/>
          <w:lang w:val="en-US"/>
        </w:rPr>
        <w:t>.</w:t>
      </w:r>
      <w:r w:rsidRPr="005B7CAC">
        <w:rPr>
          <w:rFonts w:ascii="Times New Roman" w:hAnsi="Times New Roman"/>
          <w:sz w:val="24"/>
          <w:szCs w:val="24"/>
          <w:lang w:val="en-US"/>
        </w:rPr>
        <w:t xml:space="preserve"> Robustness tests</w:t>
      </w:r>
      <w:r w:rsidR="00F75F10" w:rsidRPr="005B7CAC">
        <w:rPr>
          <w:rFonts w:ascii="Times New Roman" w:hAnsi="Times New Roman"/>
          <w:sz w:val="24"/>
          <w:szCs w:val="24"/>
          <w:lang w:val="en-US"/>
        </w:rPr>
        <w:t xml:space="preserve">: </w:t>
      </w:r>
      <w:r w:rsidRPr="005B7CAC">
        <w:rPr>
          <w:rFonts w:ascii="Times New Roman" w:hAnsi="Times New Roman"/>
          <w:sz w:val="24"/>
          <w:szCs w:val="24"/>
          <w:lang w:val="en-US"/>
        </w:rPr>
        <w:t>the Heckman model</w:t>
      </w:r>
    </w:p>
    <w:tbl>
      <w:tblPr>
        <w:tblW w:w="5000" w:type="pct"/>
        <w:tblLook w:val="0000" w:firstRow="0" w:lastRow="0" w:firstColumn="0" w:lastColumn="0" w:noHBand="0" w:noVBand="0"/>
      </w:tblPr>
      <w:tblGrid>
        <w:gridCol w:w="2964"/>
        <w:gridCol w:w="1690"/>
        <w:gridCol w:w="1690"/>
        <w:gridCol w:w="1690"/>
        <w:gridCol w:w="1655"/>
      </w:tblGrid>
      <w:tr w:rsidR="005B7CAC" w:rsidRPr="005B7CAC" w14:paraId="42D90D8E" w14:textId="77777777" w:rsidTr="00FD09CB">
        <w:tc>
          <w:tcPr>
            <w:tcW w:w="1530" w:type="pct"/>
            <w:tcBorders>
              <w:top w:val="single" w:sz="12" w:space="0" w:color="auto"/>
              <w:left w:val="nil"/>
              <w:bottom w:val="nil"/>
              <w:right w:val="nil"/>
            </w:tcBorders>
          </w:tcPr>
          <w:p w14:paraId="376F68C5" w14:textId="77777777" w:rsidR="006078EB" w:rsidRPr="005B7CAC" w:rsidRDefault="006078EB" w:rsidP="00C90660">
            <w:pPr>
              <w:widowControl w:val="0"/>
              <w:autoSpaceDE w:val="0"/>
              <w:autoSpaceDN w:val="0"/>
              <w:adjustRightInd w:val="0"/>
              <w:spacing w:after="0" w:line="240" w:lineRule="auto"/>
              <w:rPr>
                <w:rFonts w:ascii="Times New Roman" w:hAnsi="Times New Roman"/>
                <w:b/>
                <w:bCs/>
                <w:sz w:val="24"/>
                <w:szCs w:val="24"/>
                <w:lang w:val="en-US"/>
              </w:rPr>
            </w:pPr>
          </w:p>
        </w:tc>
        <w:tc>
          <w:tcPr>
            <w:tcW w:w="872" w:type="pct"/>
            <w:tcBorders>
              <w:top w:val="single" w:sz="12" w:space="0" w:color="auto"/>
              <w:left w:val="nil"/>
              <w:bottom w:val="nil"/>
              <w:right w:val="nil"/>
            </w:tcBorders>
          </w:tcPr>
          <w:p w14:paraId="48132801"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(1)</w:t>
            </w:r>
          </w:p>
        </w:tc>
        <w:tc>
          <w:tcPr>
            <w:tcW w:w="872" w:type="pct"/>
            <w:tcBorders>
              <w:top w:val="single" w:sz="12" w:space="0" w:color="auto"/>
              <w:left w:val="nil"/>
              <w:bottom w:val="nil"/>
              <w:right w:val="nil"/>
            </w:tcBorders>
          </w:tcPr>
          <w:p w14:paraId="21F2916C"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(2)</w:t>
            </w:r>
          </w:p>
        </w:tc>
        <w:tc>
          <w:tcPr>
            <w:tcW w:w="872" w:type="pct"/>
            <w:tcBorders>
              <w:top w:val="single" w:sz="12" w:space="0" w:color="auto"/>
              <w:left w:val="nil"/>
              <w:bottom w:val="nil"/>
              <w:right w:val="nil"/>
            </w:tcBorders>
          </w:tcPr>
          <w:p w14:paraId="71C194A7"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(3)</w:t>
            </w:r>
          </w:p>
        </w:tc>
        <w:tc>
          <w:tcPr>
            <w:tcW w:w="855" w:type="pct"/>
            <w:tcBorders>
              <w:top w:val="single" w:sz="12" w:space="0" w:color="auto"/>
              <w:left w:val="nil"/>
              <w:bottom w:val="nil"/>
              <w:right w:val="nil"/>
            </w:tcBorders>
          </w:tcPr>
          <w:p w14:paraId="2A70C241"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(4)</w:t>
            </w:r>
          </w:p>
        </w:tc>
      </w:tr>
      <w:tr w:rsidR="005B7CAC" w:rsidRPr="005B7CAC" w14:paraId="1240F4B2" w14:textId="77777777" w:rsidTr="00FD09CB">
        <w:tc>
          <w:tcPr>
            <w:tcW w:w="1530" w:type="pct"/>
            <w:tcBorders>
              <w:top w:val="nil"/>
              <w:left w:val="nil"/>
              <w:bottom w:val="single" w:sz="8" w:space="0" w:color="auto"/>
              <w:right w:val="nil"/>
            </w:tcBorders>
          </w:tcPr>
          <w:p w14:paraId="1BE9E78A" w14:textId="77777777" w:rsidR="006078EB" w:rsidRPr="005B7CAC" w:rsidRDefault="006078EB" w:rsidP="00C90660">
            <w:pPr>
              <w:widowControl w:val="0"/>
              <w:autoSpaceDE w:val="0"/>
              <w:autoSpaceDN w:val="0"/>
              <w:adjustRightInd w:val="0"/>
              <w:spacing w:after="0" w:line="240" w:lineRule="auto"/>
              <w:rPr>
                <w:rFonts w:ascii="Times New Roman" w:hAnsi="Times New Roman"/>
                <w:b/>
                <w:bCs/>
                <w:sz w:val="24"/>
                <w:szCs w:val="24"/>
              </w:rPr>
            </w:pPr>
          </w:p>
        </w:tc>
        <w:tc>
          <w:tcPr>
            <w:tcW w:w="872" w:type="pct"/>
            <w:tcBorders>
              <w:top w:val="nil"/>
              <w:left w:val="nil"/>
              <w:bottom w:val="single" w:sz="8" w:space="0" w:color="auto"/>
              <w:right w:val="nil"/>
            </w:tcBorders>
          </w:tcPr>
          <w:p w14:paraId="776462A2"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Z_UK</w:t>
            </w:r>
          </w:p>
        </w:tc>
        <w:tc>
          <w:tcPr>
            <w:tcW w:w="872" w:type="pct"/>
            <w:tcBorders>
              <w:top w:val="nil"/>
              <w:left w:val="nil"/>
              <w:bottom w:val="single" w:sz="8" w:space="0" w:color="auto"/>
              <w:right w:val="nil"/>
            </w:tcBorders>
          </w:tcPr>
          <w:p w14:paraId="6128E852"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Z_ALT</w:t>
            </w:r>
          </w:p>
        </w:tc>
        <w:tc>
          <w:tcPr>
            <w:tcW w:w="872" w:type="pct"/>
            <w:tcBorders>
              <w:top w:val="nil"/>
              <w:left w:val="nil"/>
              <w:bottom w:val="single" w:sz="8" w:space="0" w:color="auto"/>
              <w:right w:val="nil"/>
            </w:tcBorders>
          </w:tcPr>
          <w:p w14:paraId="79657B36"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Z_UK</w:t>
            </w:r>
          </w:p>
        </w:tc>
        <w:tc>
          <w:tcPr>
            <w:tcW w:w="855" w:type="pct"/>
            <w:tcBorders>
              <w:top w:val="nil"/>
              <w:left w:val="nil"/>
              <w:bottom w:val="single" w:sz="8" w:space="0" w:color="auto"/>
              <w:right w:val="nil"/>
            </w:tcBorders>
          </w:tcPr>
          <w:p w14:paraId="4534B643"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Z_ALT</w:t>
            </w:r>
          </w:p>
        </w:tc>
      </w:tr>
      <w:tr w:rsidR="005B7CAC" w:rsidRPr="005B7CAC" w14:paraId="054082F0" w14:textId="77777777" w:rsidTr="00FD09CB">
        <w:tc>
          <w:tcPr>
            <w:tcW w:w="1530" w:type="pct"/>
            <w:tcBorders>
              <w:top w:val="single" w:sz="8" w:space="0" w:color="auto"/>
              <w:left w:val="nil"/>
              <w:bottom w:val="nil"/>
              <w:right w:val="nil"/>
            </w:tcBorders>
          </w:tcPr>
          <w:p w14:paraId="60F807A9" w14:textId="77777777" w:rsidR="006078EB" w:rsidRPr="005B7CAC" w:rsidRDefault="006078EB"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WAST</w:t>
            </w:r>
          </w:p>
        </w:tc>
        <w:tc>
          <w:tcPr>
            <w:tcW w:w="872" w:type="pct"/>
            <w:tcBorders>
              <w:top w:val="single" w:sz="8" w:space="0" w:color="auto"/>
              <w:left w:val="nil"/>
              <w:bottom w:val="nil"/>
              <w:right w:val="nil"/>
            </w:tcBorders>
          </w:tcPr>
          <w:p w14:paraId="264AC4AC"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-0.016</w:t>
            </w:r>
            <w:r w:rsidRPr="005B7CAC">
              <w:rPr>
                <w:rFonts w:ascii="Times New Roman" w:hAnsi="Times New Roman"/>
                <w:sz w:val="24"/>
                <w:szCs w:val="24"/>
                <w:vertAlign w:val="superscript"/>
              </w:rPr>
              <w:t>***</w:t>
            </w:r>
          </w:p>
        </w:tc>
        <w:tc>
          <w:tcPr>
            <w:tcW w:w="872" w:type="pct"/>
            <w:tcBorders>
              <w:top w:val="single" w:sz="8" w:space="0" w:color="auto"/>
              <w:left w:val="nil"/>
              <w:bottom w:val="nil"/>
              <w:right w:val="nil"/>
            </w:tcBorders>
          </w:tcPr>
          <w:p w14:paraId="1D67D201"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-0.092</w:t>
            </w:r>
            <w:r w:rsidRPr="005B7CAC">
              <w:rPr>
                <w:rFonts w:ascii="Times New Roman" w:hAnsi="Times New Roman"/>
                <w:sz w:val="24"/>
                <w:szCs w:val="24"/>
                <w:vertAlign w:val="superscript"/>
              </w:rPr>
              <w:t>***</w:t>
            </w:r>
          </w:p>
        </w:tc>
        <w:tc>
          <w:tcPr>
            <w:tcW w:w="872" w:type="pct"/>
            <w:tcBorders>
              <w:top w:val="single" w:sz="8" w:space="0" w:color="auto"/>
              <w:left w:val="nil"/>
              <w:bottom w:val="nil"/>
              <w:right w:val="nil"/>
            </w:tcBorders>
          </w:tcPr>
          <w:p w14:paraId="32F029D6"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p>
        </w:tc>
        <w:tc>
          <w:tcPr>
            <w:tcW w:w="855" w:type="pct"/>
            <w:tcBorders>
              <w:top w:val="single" w:sz="8" w:space="0" w:color="auto"/>
              <w:left w:val="nil"/>
              <w:bottom w:val="nil"/>
              <w:right w:val="nil"/>
            </w:tcBorders>
          </w:tcPr>
          <w:p w14:paraId="4281B66E"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p>
        </w:tc>
      </w:tr>
      <w:tr w:rsidR="005B7CAC" w:rsidRPr="005B7CAC" w14:paraId="0DA53A1F" w14:textId="77777777" w:rsidTr="00FD09CB">
        <w:tc>
          <w:tcPr>
            <w:tcW w:w="1530" w:type="pct"/>
            <w:tcBorders>
              <w:top w:val="nil"/>
              <w:left w:val="nil"/>
              <w:bottom w:val="nil"/>
              <w:right w:val="nil"/>
            </w:tcBorders>
          </w:tcPr>
          <w:p w14:paraId="16EBF706" w14:textId="77777777" w:rsidR="006078EB" w:rsidRPr="005B7CAC" w:rsidRDefault="006078EB" w:rsidP="00C90660">
            <w:pPr>
              <w:widowControl w:val="0"/>
              <w:autoSpaceDE w:val="0"/>
              <w:autoSpaceDN w:val="0"/>
              <w:adjustRightInd w:val="0"/>
              <w:spacing w:after="0" w:line="240" w:lineRule="auto"/>
              <w:rPr>
                <w:rFonts w:ascii="Times New Roman" w:hAnsi="Times New Roman"/>
                <w:sz w:val="24"/>
                <w:szCs w:val="24"/>
              </w:rPr>
            </w:pPr>
          </w:p>
        </w:tc>
        <w:tc>
          <w:tcPr>
            <w:tcW w:w="872" w:type="pct"/>
            <w:tcBorders>
              <w:top w:val="nil"/>
              <w:left w:val="nil"/>
              <w:bottom w:val="nil"/>
              <w:right w:val="nil"/>
            </w:tcBorders>
          </w:tcPr>
          <w:p w14:paraId="75705FBE"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(-3.06)</w:t>
            </w:r>
          </w:p>
        </w:tc>
        <w:tc>
          <w:tcPr>
            <w:tcW w:w="872" w:type="pct"/>
            <w:tcBorders>
              <w:top w:val="nil"/>
              <w:left w:val="nil"/>
              <w:bottom w:val="nil"/>
              <w:right w:val="nil"/>
            </w:tcBorders>
          </w:tcPr>
          <w:p w14:paraId="7315EF8F"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(-7.37)</w:t>
            </w:r>
          </w:p>
        </w:tc>
        <w:tc>
          <w:tcPr>
            <w:tcW w:w="872" w:type="pct"/>
            <w:tcBorders>
              <w:top w:val="nil"/>
              <w:left w:val="nil"/>
              <w:bottom w:val="nil"/>
              <w:right w:val="nil"/>
            </w:tcBorders>
          </w:tcPr>
          <w:p w14:paraId="2B9444C0"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p>
        </w:tc>
        <w:tc>
          <w:tcPr>
            <w:tcW w:w="855" w:type="pct"/>
            <w:tcBorders>
              <w:top w:val="nil"/>
              <w:left w:val="nil"/>
              <w:bottom w:val="nil"/>
              <w:right w:val="nil"/>
            </w:tcBorders>
          </w:tcPr>
          <w:p w14:paraId="721E40B4"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p>
        </w:tc>
      </w:tr>
      <w:tr w:rsidR="005B7CAC" w:rsidRPr="005B7CAC" w14:paraId="1F8D5AF4" w14:textId="77777777" w:rsidTr="00FD09CB">
        <w:tc>
          <w:tcPr>
            <w:tcW w:w="1530" w:type="pct"/>
            <w:tcBorders>
              <w:top w:val="nil"/>
              <w:left w:val="nil"/>
              <w:bottom w:val="nil"/>
              <w:right w:val="nil"/>
            </w:tcBorders>
          </w:tcPr>
          <w:p w14:paraId="16BF550E" w14:textId="77777777" w:rsidR="006078EB" w:rsidRPr="005B7CAC" w:rsidRDefault="006078EB"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WAST*GINVs</w:t>
            </w:r>
          </w:p>
        </w:tc>
        <w:tc>
          <w:tcPr>
            <w:tcW w:w="872" w:type="pct"/>
            <w:tcBorders>
              <w:top w:val="nil"/>
              <w:left w:val="nil"/>
              <w:bottom w:val="nil"/>
              <w:right w:val="nil"/>
            </w:tcBorders>
          </w:tcPr>
          <w:p w14:paraId="452EAE50"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0.001</w:t>
            </w:r>
            <w:r w:rsidRPr="005B7CAC">
              <w:rPr>
                <w:rFonts w:ascii="Times New Roman" w:hAnsi="Times New Roman"/>
                <w:sz w:val="24"/>
                <w:szCs w:val="24"/>
                <w:vertAlign w:val="superscript"/>
              </w:rPr>
              <w:t>*</w:t>
            </w:r>
          </w:p>
        </w:tc>
        <w:tc>
          <w:tcPr>
            <w:tcW w:w="872" w:type="pct"/>
            <w:tcBorders>
              <w:top w:val="nil"/>
              <w:left w:val="nil"/>
              <w:bottom w:val="nil"/>
              <w:right w:val="nil"/>
            </w:tcBorders>
          </w:tcPr>
          <w:p w14:paraId="2AE1FDB1"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0.006</w:t>
            </w:r>
            <w:r w:rsidRPr="005B7CAC">
              <w:rPr>
                <w:rFonts w:ascii="Times New Roman" w:hAnsi="Times New Roman"/>
                <w:sz w:val="24"/>
                <w:szCs w:val="24"/>
                <w:vertAlign w:val="superscript"/>
              </w:rPr>
              <w:t>***</w:t>
            </w:r>
          </w:p>
        </w:tc>
        <w:tc>
          <w:tcPr>
            <w:tcW w:w="872" w:type="pct"/>
            <w:tcBorders>
              <w:top w:val="nil"/>
              <w:left w:val="nil"/>
              <w:bottom w:val="nil"/>
              <w:right w:val="nil"/>
            </w:tcBorders>
          </w:tcPr>
          <w:p w14:paraId="3ACE45D8"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p>
        </w:tc>
        <w:tc>
          <w:tcPr>
            <w:tcW w:w="855" w:type="pct"/>
            <w:tcBorders>
              <w:top w:val="nil"/>
              <w:left w:val="nil"/>
              <w:bottom w:val="nil"/>
              <w:right w:val="nil"/>
            </w:tcBorders>
          </w:tcPr>
          <w:p w14:paraId="165A4171"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p>
        </w:tc>
      </w:tr>
      <w:tr w:rsidR="005B7CAC" w:rsidRPr="005B7CAC" w14:paraId="1109A4F7" w14:textId="77777777" w:rsidTr="00FD09CB">
        <w:tc>
          <w:tcPr>
            <w:tcW w:w="1530" w:type="pct"/>
            <w:tcBorders>
              <w:top w:val="nil"/>
              <w:left w:val="nil"/>
              <w:bottom w:val="nil"/>
              <w:right w:val="nil"/>
            </w:tcBorders>
          </w:tcPr>
          <w:p w14:paraId="0CE70063" w14:textId="77777777" w:rsidR="006078EB" w:rsidRPr="005B7CAC" w:rsidRDefault="006078EB" w:rsidP="00C90660">
            <w:pPr>
              <w:widowControl w:val="0"/>
              <w:autoSpaceDE w:val="0"/>
              <w:autoSpaceDN w:val="0"/>
              <w:adjustRightInd w:val="0"/>
              <w:spacing w:after="0" w:line="240" w:lineRule="auto"/>
              <w:rPr>
                <w:rFonts w:ascii="Times New Roman" w:hAnsi="Times New Roman"/>
                <w:sz w:val="24"/>
                <w:szCs w:val="24"/>
              </w:rPr>
            </w:pPr>
          </w:p>
        </w:tc>
        <w:tc>
          <w:tcPr>
            <w:tcW w:w="872" w:type="pct"/>
            <w:tcBorders>
              <w:top w:val="nil"/>
              <w:left w:val="nil"/>
              <w:bottom w:val="nil"/>
              <w:right w:val="nil"/>
            </w:tcBorders>
          </w:tcPr>
          <w:p w14:paraId="15067CDB"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(1.69)</w:t>
            </w:r>
          </w:p>
        </w:tc>
        <w:tc>
          <w:tcPr>
            <w:tcW w:w="872" w:type="pct"/>
            <w:tcBorders>
              <w:top w:val="nil"/>
              <w:left w:val="nil"/>
              <w:bottom w:val="nil"/>
              <w:right w:val="nil"/>
            </w:tcBorders>
          </w:tcPr>
          <w:p w14:paraId="34F09B73"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(4.64)</w:t>
            </w:r>
          </w:p>
        </w:tc>
        <w:tc>
          <w:tcPr>
            <w:tcW w:w="872" w:type="pct"/>
            <w:tcBorders>
              <w:top w:val="nil"/>
              <w:left w:val="nil"/>
              <w:bottom w:val="nil"/>
              <w:right w:val="nil"/>
            </w:tcBorders>
          </w:tcPr>
          <w:p w14:paraId="0D8865F8"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p>
        </w:tc>
        <w:tc>
          <w:tcPr>
            <w:tcW w:w="855" w:type="pct"/>
            <w:tcBorders>
              <w:top w:val="nil"/>
              <w:left w:val="nil"/>
              <w:bottom w:val="nil"/>
              <w:right w:val="nil"/>
            </w:tcBorders>
          </w:tcPr>
          <w:p w14:paraId="44BC90BE"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p>
        </w:tc>
      </w:tr>
      <w:tr w:rsidR="005B7CAC" w:rsidRPr="005B7CAC" w14:paraId="592D8427" w14:textId="77777777" w:rsidTr="00FD09CB">
        <w:tc>
          <w:tcPr>
            <w:tcW w:w="1530" w:type="pct"/>
            <w:tcBorders>
              <w:top w:val="nil"/>
              <w:left w:val="nil"/>
              <w:bottom w:val="nil"/>
              <w:right w:val="nil"/>
            </w:tcBorders>
          </w:tcPr>
          <w:p w14:paraId="3A0A4656" w14:textId="22C94928" w:rsidR="006078EB" w:rsidRPr="005B7CAC" w:rsidRDefault="006078EB" w:rsidP="00C90660">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rPr>
              <w:t>W</w:t>
            </w:r>
            <w:r w:rsidRPr="005B7CAC">
              <w:rPr>
                <w:rFonts w:ascii="Times New Roman" w:hAnsi="Times New Roman"/>
                <w:sz w:val="24"/>
                <w:szCs w:val="24"/>
                <w:lang w:val="en-US"/>
              </w:rPr>
              <w:t>REC</w:t>
            </w:r>
          </w:p>
        </w:tc>
        <w:tc>
          <w:tcPr>
            <w:tcW w:w="872" w:type="pct"/>
            <w:tcBorders>
              <w:top w:val="nil"/>
              <w:left w:val="nil"/>
              <w:bottom w:val="nil"/>
              <w:right w:val="nil"/>
            </w:tcBorders>
          </w:tcPr>
          <w:p w14:paraId="37392A55"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p>
        </w:tc>
        <w:tc>
          <w:tcPr>
            <w:tcW w:w="872" w:type="pct"/>
            <w:tcBorders>
              <w:top w:val="nil"/>
              <w:left w:val="nil"/>
              <w:bottom w:val="nil"/>
              <w:right w:val="nil"/>
            </w:tcBorders>
          </w:tcPr>
          <w:p w14:paraId="2719D799"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p>
        </w:tc>
        <w:tc>
          <w:tcPr>
            <w:tcW w:w="872" w:type="pct"/>
            <w:tcBorders>
              <w:top w:val="nil"/>
              <w:left w:val="nil"/>
              <w:bottom w:val="nil"/>
              <w:right w:val="nil"/>
            </w:tcBorders>
          </w:tcPr>
          <w:p w14:paraId="2570BE75"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0.010</w:t>
            </w:r>
            <w:r w:rsidRPr="005B7CAC">
              <w:rPr>
                <w:rFonts w:ascii="Times New Roman" w:hAnsi="Times New Roman"/>
                <w:sz w:val="24"/>
                <w:szCs w:val="24"/>
                <w:vertAlign w:val="superscript"/>
              </w:rPr>
              <w:t>***</w:t>
            </w:r>
          </w:p>
        </w:tc>
        <w:tc>
          <w:tcPr>
            <w:tcW w:w="855" w:type="pct"/>
            <w:tcBorders>
              <w:top w:val="nil"/>
              <w:left w:val="nil"/>
              <w:bottom w:val="nil"/>
              <w:right w:val="nil"/>
            </w:tcBorders>
          </w:tcPr>
          <w:p w14:paraId="714758FB"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0.017</w:t>
            </w:r>
            <w:r w:rsidRPr="005B7CAC">
              <w:rPr>
                <w:rFonts w:ascii="Times New Roman" w:hAnsi="Times New Roman"/>
                <w:sz w:val="24"/>
                <w:szCs w:val="24"/>
                <w:vertAlign w:val="superscript"/>
              </w:rPr>
              <w:t>***</w:t>
            </w:r>
          </w:p>
        </w:tc>
      </w:tr>
      <w:tr w:rsidR="005B7CAC" w:rsidRPr="005B7CAC" w14:paraId="1EDD6E1D" w14:textId="77777777" w:rsidTr="00FD09CB">
        <w:tc>
          <w:tcPr>
            <w:tcW w:w="1530" w:type="pct"/>
            <w:tcBorders>
              <w:top w:val="nil"/>
              <w:left w:val="nil"/>
              <w:bottom w:val="nil"/>
              <w:right w:val="nil"/>
            </w:tcBorders>
          </w:tcPr>
          <w:p w14:paraId="4233A675" w14:textId="77777777" w:rsidR="006078EB" w:rsidRPr="005B7CAC" w:rsidRDefault="006078EB" w:rsidP="00C90660">
            <w:pPr>
              <w:widowControl w:val="0"/>
              <w:autoSpaceDE w:val="0"/>
              <w:autoSpaceDN w:val="0"/>
              <w:adjustRightInd w:val="0"/>
              <w:spacing w:after="0" w:line="240" w:lineRule="auto"/>
              <w:rPr>
                <w:rFonts w:ascii="Times New Roman" w:hAnsi="Times New Roman"/>
                <w:sz w:val="24"/>
                <w:szCs w:val="24"/>
              </w:rPr>
            </w:pPr>
          </w:p>
        </w:tc>
        <w:tc>
          <w:tcPr>
            <w:tcW w:w="872" w:type="pct"/>
            <w:tcBorders>
              <w:top w:val="nil"/>
              <w:left w:val="nil"/>
              <w:bottom w:val="nil"/>
              <w:right w:val="nil"/>
            </w:tcBorders>
          </w:tcPr>
          <w:p w14:paraId="5285AB9F"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p>
        </w:tc>
        <w:tc>
          <w:tcPr>
            <w:tcW w:w="872" w:type="pct"/>
            <w:tcBorders>
              <w:top w:val="nil"/>
              <w:left w:val="nil"/>
              <w:bottom w:val="nil"/>
              <w:right w:val="nil"/>
            </w:tcBorders>
          </w:tcPr>
          <w:p w14:paraId="6D15D9C9"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p>
        </w:tc>
        <w:tc>
          <w:tcPr>
            <w:tcW w:w="872" w:type="pct"/>
            <w:tcBorders>
              <w:top w:val="nil"/>
              <w:left w:val="nil"/>
              <w:bottom w:val="nil"/>
              <w:right w:val="nil"/>
            </w:tcBorders>
          </w:tcPr>
          <w:p w14:paraId="7A50EADA"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(5.08)</w:t>
            </w:r>
          </w:p>
        </w:tc>
        <w:tc>
          <w:tcPr>
            <w:tcW w:w="855" w:type="pct"/>
            <w:tcBorders>
              <w:top w:val="nil"/>
              <w:left w:val="nil"/>
              <w:bottom w:val="nil"/>
              <w:right w:val="nil"/>
            </w:tcBorders>
          </w:tcPr>
          <w:p w14:paraId="0D4EB0B3"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(3.73)</w:t>
            </w:r>
          </w:p>
        </w:tc>
      </w:tr>
      <w:tr w:rsidR="005B7CAC" w:rsidRPr="005B7CAC" w14:paraId="23AD598C" w14:textId="77777777" w:rsidTr="00FD09CB">
        <w:tc>
          <w:tcPr>
            <w:tcW w:w="1530" w:type="pct"/>
            <w:tcBorders>
              <w:top w:val="nil"/>
              <w:left w:val="nil"/>
              <w:bottom w:val="nil"/>
              <w:right w:val="nil"/>
            </w:tcBorders>
          </w:tcPr>
          <w:p w14:paraId="2FD61305" w14:textId="6FC4A5DA" w:rsidR="006078EB" w:rsidRPr="005B7CAC" w:rsidRDefault="006078EB" w:rsidP="00C90660">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lang w:val="en-US"/>
              </w:rPr>
              <w:t>WREC*GINVs</w:t>
            </w:r>
          </w:p>
        </w:tc>
        <w:tc>
          <w:tcPr>
            <w:tcW w:w="872" w:type="pct"/>
            <w:tcBorders>
              <w:top w:val="nil"/>
              <w:left w:val="nil"/>
              <w:bottom w:val="nil"/>
              <w:right w:val="nil"/>
            </w:tcBorders>
          </w:tcPr>
          <w:p w14:paraId="42A48168"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lang w:val="en-US"/>
              </w:rPr>
            </w:pPr>
          </w:p>
        </w:tc>
        <w:tc>
          <w:tcPr>
            <w:tcW w:w="872" w:type="pct"/>
            <w:tcBorders>
              <w:top w:val="nil"/>
              <w:left w:val="nil"/>
              <w:bottom w:val="nil"/>
              <w:right w:val="nil"/>
            </w:tcBorders>
          </w:tcPr>
          <w:p w14:paraId="3C053D69"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lang w:val="en-US"/>
              </w:rPr>
            </w:pPr>
          </w:p>
        </w:tc>
        <w:tc>
          <w:tcPr>
            <w:tcW w:w="872" w:type="pct"/>
            <w:tcBorders>
              <w:top w:val="nil"/>
              <w:left w:val="nil"/>
              <w:bottom w:val="nil"/>
              <w:right w:val="nil"/>
            </w:tcBorders>
          </w:tcPr>
          <w:p w14:paraId="3011BBB0"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-0.000</w:t>
            </w:r>
            <w:r w:rsidRPr="005B7CAC">
              <w:rPr>
                <w:rFonts w:ascii="Times New Roman" w:hAnsi="Times New Roman"/>
                <w:sz w:val="24"/>
                <w:szCs w:val="24"/>
                <w:vertAlign w:val="superscript"/>
              </w:rPr>
              <w:t>***</w:t>
            </w:r>
          </w:p>
        </w:tc>
        <w:tc>
          <w:tcPr>
            <w:tcW w:w="855" w:type="pct"/>
            <w:tcBorders>
              <w:top w:val="nil"/>
              <w:left w:val="nil"/>
              <w:bottom w:val="nil"/>
              <w:right w:val="nil"/>
            </w:tcBorders>
          </w:tcPr>
          <w:p w14:paraId="335A20E9"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-0.001</w:t>
            </w:r>
            <w:r w:rsidRPr="005B7CAC">
              <w:rPr>
                <w:rFonts w:ascii="Times New Roman" w:hAnsi="Times New Roman"/>
                <w:sz w:val="24"/>
                <w:szCs w:val="24"/>
                <w:vertAlign w:val="superscript"/>
              </w:rPr>
              <w:t>**</w:t>
            </w:r>
          </w:p>
        </w:tc>
      </w:tr>
      <w:tr w:rsidR="005B7CAC" w:rsidRPr="005B7CAC" w14:paraId="5BFD01CE" w14:textId="77777777" w:rsidTr="00FD09CB">
        <w:tc>
          <w:tcPr>
            <w:tcW w:w="1530" w:type="pct"/>
            <w:tcBorders>
              <w:top w:val="nil"/>
              <w:left w:val="nil"/>
              <w:bottom w:val="nil"/>
              <w:right w:val="nil"/>
            </w:tcBorders>
          </w:tcPr>
          <w:p w14:paraId="4C510D9A" w14:textId="77777777" w:rsidR="006078EB" w:rsidRPr="005B7CAC" w:rsidRDefault="006078EB" w:rsidP="00C90660">
            <w:pPr>
              <w:widowControl w:val="0"/>
              <w:autoSpaceDE w:val="0"/>
              <w:autoSpaceDN w:val="0"/>
              <w:adjustRightInd w:val="0"/>
              <w:spacing w:after="0" w:line="240" w:lineRule="auto"/>
              <w:rPr>
                <w:rFonts w:ascii="Times New Roman" w:hAnsi="Times New Roman"/>
                <w:sz w:val="24"/>
                <w:szCs w:val="24"/>
              </w:rPr>
            </w:pPr>
          </w:p>
        </w:tc>
        <w:tc>
          <w:tcPr>
            <w:tcW w:w="872" w:type="pct"/>
            <w:tcBorders>
              <w:top w:val="nil"/>
              <w:left w:val="nil"/>
              <w:bottom w:val="nil"/>
              <w:right w:val="nil"/>
            </w:tcBorders>
          </w:tcPr>
          <w:p w14:paraId="5C839A32"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p>
        </w:tc>
        <w:tc>
          <w:tcPr>
            <w:tcW w:w="872" w:type="pct"/>
            <w:tcBorders>
              <w:top w:val="nil"/>
              <w:left w:val="nil"/>
              <w:bottom w:val="nil"/>
              <w:right w:val="nil"/>
            </w:tcBorders>
          </w:tcPr>
          <w:p w14:paraId="3FBF546B"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p>
        </w:tc>
        <w:tc>
          <w:tcPr>
            <w:tcW w:w="872" w:type="pct"/>
            <w:tcBorders>
              <w:top w:val="nil"/>
              <w:left w:val="nil"/>
              <w:bottom w:val="nil"/>
              <w:right w:val="nil"/>
            </w:tcBorders>
          </w:tcPr>
          <w:p w14:paraId="2A16680F"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(-2.62)</w:t>
            </w:r>
          </w:p>
        </w:tc>
        <w:tc>
          <w:tcPr>
            <w:tcW w:w="855" w:type="pct"/>
            <w:tcBorders>
              <w:top w:val="nil"/>
              <w:left w:val="nil"/>
              <w:bottom w:val="nil"/>
              <w:right w:val="nil"/>
            </w:tcBorders>
          </w:tcPr>
          <w:p w14:paraId="38A2E376"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(-2.53)</w:t>
            </w:r>
          </w:p>
        </w:tc>
      </w:tr>
      <w:tr w:rsidR="005B7CAC" w:rsidRPr="005B7CAC" w14:paraId="3485BCBB" w14:textId="77777777" w:rsidTr="00FD09CB">
        <w:tc>
          <w:tcPr>
            <w:tcW w:w="1530" w:type="pct"/>
            <w:tcBorders>
              <w:top w:val="nil"/>
              <w:left w:val="nil"/>
              <w:bottom w:val="nil"/>
              <w:right w:val="nil"/>
            </w:tcBorders>
          </w:tcPr>
          <w:p w14:paraId="2D43912D" w14:textId="4C1B695D" w:rsidR="006078EB" w:rsidRPr="005B7CAC" w:rsidRDefault="006078EB" w:rsidP="00C90660">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lang w:val="en-US"/>
              </w:rPr>
              <w:t>GINVs</w:t>
            </w:r>
          </w:p>
        </w:tc>
        <w:tc>
          <w:tcPr>
            <w:tcW w:w="872" w:type="pct"/>
            <w:tcBorders>
              <w:top w:val="nil"/>
              <w:left w:val="nil"/>
              <w:bottom w:val="nil"/>
              <w:right w:val="nil"/>
            </w:tcBorders>
          </w:tcPr>
          <w:p w14:paraId="14252964"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0.007</w:t>
            </w:r>
          </w:p>
        </w:tc>
        <w:tc>
          <w:tcPr>
            <w:tcW w:w="872" w:type="pct"/>
            <w:tcBorders>
              <w:top w:val="nil"/>
              <w:left w:val="nil"/>
              <w:bottom w:val="nil"/>
              <w:right w:val="nil"/>
            </w:tcBorders>
          </w:tcPr>
          <w:p w14:paraId="70B1A416"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0.030</w:t>
            </w:r>
            <w:r w:rsidRPr="005B7CAC">
              <w:rPr>
                <w:rFonts w:ascii="Times New Roman" w:hAnsi="Times New Roman"/>
                <w:sz w:val="24"/>
                <w:szCs w:val="24"/>
                <w:vertAlign w:val="superscript"/>
              </w:rPr>
              <w:t>***</w:t>
            </w:r>
          </w:p>
        </w:tc>
        <w:tc>
          <w:tcPr>
            <w:tcW w:w="872" w:type="pct"/>
            <w:tcBorders>
              <w:top w:val="nil"/>
              <w:left w:val="nil"/>
              <w:bottom w:val="nil"/>
              <w:right w:val="nil"/>
            </w:tcBorders>
          </w:tcPr>
          <w:p w14:paraId="69F0DA20"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0.022</w:t>
            </w:r>
            <w:r w:rsidRPr="005B7CAC">
              <w:rPr>
                <w:rFonts w:ascii="Times New Roman" w:hAnsi="Times New Roman"/>
                <w:sz w:val="24"/>
                <w:szCs w:val="24"/>
                <w:vertAlign w:val="superscript"/>
              </w:rPr>
              <w:t>**</w:t>
            </w:r>
          </w:p>
        </w:tc>
        <w:tc>
          <w:tcPr>
            <w:tcW w:w="855" w:type="pct"/>
            <w:tcBorders>
              <w:top w:val="nil"/>
              <w:left w:val="nil"/>
              <w:bottom w:val="nil"/>
              <w:right w:val="nil"/>
            </w:tcBorders>
          </w:tcPr>
          <w:p w14:paraId="57ECDA76"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0.054</w:t>
            </w:r>
            <w:r w:rsidRPr="005B7CAC">
              <w:rPr>
                <w:rFonts w:ascii="Times New Roman" w:hAnsi="Times New Roman"/>
                <w:sz w:val="24"/>
                <w:szCs w:val="24"/>
                <w:vertAlign w:val="superscript"/>
              </w:rPr>
              <w:t>**</w:t>
            </w:r>
          </w:p>
        </w:tc>
      </w:tr>
      <w:tr w:rsidR="005B7CAC" w:rsidRPr="005B7CAC" w14:paraId="2BCE9818" w14:textId="77777777" w:rsidTr="00FD09CB">
        <w:tc>
          <w:tcPr>
            <w:tcW w:w="1530" w:type="pct"/>
            <w:tcBorders>
              <w:top w:val="nil"/>
              <w:left w:val="nil"/>
              <w:bottom w:val="nil"/>
              <w:right w:val="nil"/>
            </w:tcBorders>
          </w:tcPr>
          <w:p w14:paraId="09A61FF0" w14:textId="77777777" w:rsidR="006078EB" w:rsidRPr="005B7CAC" w:rsidRDefault="006078EB" w:rsidP="00C90660">
            <w:pPr>
              <w:widowControl w:val="0"/>
              <w:autoSpaceDE w:val="0"/>
              <w:autoSpaceDN w:val="0"/>
              <w:adjustRightInd w:val="0"/>
              <w:spacing w:after="0" w:line="240" w:lineRule="auto"/>
              <w:rPr>
                <w:rFonts w:ascii="Times New Roman" w:hAnsi="Times New Roman"/>
                <w:sz w:val="24"/>
                <w:szCs w:val="24"/>
              </w:rPr>
            </w:pPr>
          </w:p>
        </w:tc>
        <w:tc>
          <w:tcPr>
            <w:tcW w:w="872" w:type="pct"/>
            <w:tcBorders>
              <w:top w:val="nil"/>
              <w:left w:val="nil"/>
              <w:bottom w:val="nil"/>
              <w:right w:val="nil"/>
            </w:tcBorders>
          </w:tcPr>
          <w:p w14:paraId="4523F109"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(1.63)</w:t>
            </w:r>
          </w:p>
        </w:tc>
        <w:tc>
          <w:tcPr>
            <w:tcW w:w="872" w:type="pct"/>
            <w:tcBorders>
              <w:top w:val="nil"/>
              <w:left w:val="nil"/>
              <w:bottom w:val="nil"/>
              <w:right w:val="nil"/>
            </w:tcBorders>
          </w:tcPr>
          <w:p w14:paraId="0EE2BE9D"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(2.97)</w:t>
            </w:r>
          </w:p>
        </w:tc>
        <w:tc>
          <w:tcPr>
            <w:tcW w:w="872" w:type="pct"/>
            <w:tcBorders>
              <w:top w:val="nil"/>
              <w:left w:val="nil"/>
              <w:bottom w:val="nil"/>
              <w:right w:val="nil"/>
            </w:tcBorders>
          </w:tcPr>
          <w:p w14:paraId="2BB7466F"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(2.23)</w:t>
            </w:r>
          </w:p>
        </w:tc>
        <w:tc>
          <w:tcPr>
            <w:tcW w:w="855" w:type="pct"/>
            <w:tcBorders>
              <w:top w:val="nil"/>
              <w:left w:val="nil"/>
              <w:bottom w:val="nil"/>
              <w:right w:val="nil"/>
            </w:tcBorders>
          </w:tcPr>
          <w:p w14:paraId="3115C90C"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(2.31)</w:t>
            </w:r>
          </w:p>
        </w:tc>
      </w:tr>
      <w:tr w:rsidR="005B7CAC" w:rsidRPr="005B7CAC" w14:paraId="4320EB91" w14:textId="77777777" w:rsidTr="00FD09CB">
        <w:tc>
          <w:tcPr>
            <w:tcW w:w="1530" w:type="pct"/>
            <w:tcBorders>
              <w:top w:val="nil"/>
              <w:left w:val="nil"/>
              <w:bottom w:val="nil"/>
              <w:right w:val="nil"/>
            </w:tcBorders>
          </w:tcPr>
          <w:p w14:paraId="423679CD" w14:textId="703F1DC7" w:rsidR="006078EB" w:rsidRPr="005B7CAC" w:rsidRDefault="006078EB"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Controls</w:t>
            </w:r>
          </w:p>
        </w:tc>
        <w:tc>
          <w:tcPr>
            <w:tcW w:w="872" w:type="pct"/>
            <w:tcBorders>
              <w:top w:val="nil"/>
              <w:left w:val="nil"/>
              <w:bottom w:val="nil"/>
              <w:right w:val="nil"/>
            </w:tcBorders>
          </w:tcPr>
          <w:p w14:paraId="3EEB8E5B" w14:textId="3CD5EB2D"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lang w:val="en-US"/>
              </w:rPr>
            </w:pPr>
            <w:r w:rsidRPr="005B7CAC">
              <w:rPr>
                <w:rFonts w:ascii="Times New Roman" w:hAnsi="Times New Roman"/>
                <w:sz w:val="24"/>
                <w:szCs w:val="24"/>
                <w:lang w:val="en-US"/>
              </w:rPr>
              <w:t>Included</w:t>
            </w:r>
          </w:p>
        </w:tc>
        <w:tc>
          <w:tcPr>
            <w:tcW w:w="872" w:type="pct"/>
            <w:tcBorders>
              <w:top w:val="nil"/>
              <w:left w:val="nil"/>
              <w:bottom w:val="nil"/>
              <w:right w:val="nil"/>
            </w:tcBorders>
          </w:tcPr>
          <w:p w14:paraId="6DC10D93" w14:textId="1BDBA6A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Included</w:t>
            </w:r>
          </w:p>
        </w:tc>
        <w:tc>
          <w:tcPr>
            <w:tcW w:w="872" w:type="pct"/>
            <w:tcBorders>
              <w:top w:val="nil"/>
              <w:left w:val="nil"/>
              <w:bottom w:val="nil"/>
              <w:right w:val="nil"/>
            </w:tcBorders>
          </w:tcPr>
          <w:p w14:paraId="2232BC69" w14:textId="549514F5"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Included</w:t>
            </w:r>
          </w:p>
        </w:tc>
        <w:tc>
          <w:tcPr>
            <w:tcW w:w="855" w:type="pct"/>
            <w:tcBorders>
              <w:top w:val="nil"/>
              <w:left w:val="nil"/>
              <w:bottom w:val="nil"/>
              <w:right w:val="nil"/>
            </w:tcBorders>
          </w:tcPr>
          <w:p w14:paraId="0F72D34D" w14:textId="7651CEFF"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Included</w:t>
            </w:r>
          </w:p>
        </w:tc>
      </w:tr>
      <w:tr w:rsidR="005B7CAC" w:rsidRPr="005B7CAC" w14:paraId="642BE428" w14:textId="77777777" w:rsidTr="00FD09CB">
        <w:tc>
          <w:tcPr>
            <w:tcW w:w="1530" w:type="pct"/>
            <w:tcBorders>
              <w:top w:val="nil"/>
              <w:left w:val="nil"/>
              <w:bottom w:val="nil"/>
              <w:right w:val="nil"/>
            </w:tcBorders>
          </w:tcPr>
          <w:p w14:paraId="5981CB4D" w14:textId="348CDF9E" w:rsidR="006078EB" w:rsidRPr="005B7CAC" w:rsidRDefault="006078EB" w:rsidP="00C90660">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lang w:val="en-US"/>
              </w:rPr>
              <w:t>Mills ratio</w:t>
            </w:r>
          </w:p>
        </w:tc>
        <w:tc>
          <w:tcPr>
            <w:tcW w:w="872" w:type="pct"/>
            <w:tcBorders>
              <w:top w:val="nil"/>
              <w:left w:val="nil"/>
              <w:bottom w:val="nil"/>
              <w:right w:val="nil"/>
            </w:tcBorders>
          </w:tcPr>
          <w:p w14:paraId="63611DDD"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0.232</w:t>
            </w:r>
            <w:r w:rsidRPr="005B7CAC">
              <w:rPr>
                <w:rFonts w:ascii="Times New Roman" w:hAnsi="Times New Roman"/>
                <w:sz w:val="24"/>
                <w:szCs w:val="24"/>
                <w:vertAlign w:val="superscript"/>
              </w:rPr>
              <w:t>***</w:t>
            </w:r>
          </w:p>
        </w:tc>
        <w:tc>
          <w:tcPr>
            <w:tcW w:w="872" w:type="pct"/>
            <w:tcBorders>
              <w:top w:val="nil"/>
              <w:left w:val="nil"/>
              <w:bottom w:val="nil"/>
              <w:right w:val="nil"/>
            </w:tcBorders>
          </w:tcPr>
          <w:p w14:paraId="1FC39FC6"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0.591</w:t>
            </w:r>
            <w:r w:rsidRPr="005B7CAC">
              <w:rPr>
                <w:rFonts w:ascii="Times New Roman" w:hAnsi="Times New Roman"/>
                <w:sz w:val="24"/>
                <w:szCs w:val="24"/>
                <w:vertAlign w:val="superscript"/>
              </w:rPr>
              <w:t>***</w:t>
            </w:r>
          </w:p>
        </w:tc>
        <w:tc>
          <w:tcPr>
            <w:tcW w:w="872" w:type="pct"/>
            <w:tcBorders>
              <w:top w:val="nil"/>
              <w:left w:val="nil"/>
              <w:bottom w:val="nil"/>
              <w:right w:val="nil"/>
            </w:tcBorders>
          </w:tcPr>
          <w:p w14:paraId="2ED52567"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0.151</w:t>
            </w:r>
            <w:r w:rsidRPr="005B7CAC">
              <w:rPr>
                <w:rFonts w:ascii="Times New Roman" w:hAnsi="Times New Roman"/>
                <w:sz w:val="24"/>
                <w:szCs w:val="24"/>
                <w:vertAlign w:val="superscript"/>
              </w:rPr>
              <w:t>***</w:t>
            </w:r>
          </w:p>
        </w:tc>
        <w:tc>
          <w:tcPr>
            <w:tcW w:w="855" w:type="pct"/>
            <w:tcBorders>
              <w:top w:val="nil"/>
              <w:left w:val="nil"/>
              <w:bottom w:val="nil"/>
              <w:right w:val="nil"/>
            </w:tcBorders>
          </w:tcPr>
          <w:p w14:paraId="4208BC48"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0.101</w:t>
            </w:r>
          </w:p>
        </w:tc>
      </w:tr>
      <w:tr w:rsidR="005B7CAC" w:rsidRPr="005B7CAC" w14:paraId="523A0C2D" w14:textId="77777777" w:rsidTr="00FD09CB">
        <w:tc>
          <w:tcPr>
            <w:tcW w:w="1530" w:type="pct"/>
            <w:tcBorders>
              <w:top w:val="nil"/>
              <w:left w:val="nil"/>
              <w:right w:val="nil"/>
            </w:tcBorders>
          </w:tcPr>
          <w:p w14:paraId="02DCAFBF" w14:textId="77777777" w:rsidR="006078EB" w:rsidRPr="005B7CAC" w:rsidRDefault="006078EB" w:rsidP="00C90660">
            <w:pPr>
              <w:widowControl w:val="0"/>
              <w:autoSpaceDE w:val="0"/>
              <w:autoSpaceDN w:val="0"/>
              <w:adjustRightInd w:val="0"/>
              <w:spacing w:after="0" w:line="240" w:lineRule="auto"/>
              <w:rPr>
                <w:rFonts w:ascii="Times New Roman" w:hAnsi="Times New Roman"/>
                <w:sz w:val="24"/>
                <w:szCs w:val="24"/>
              </w:rPr>
            </w:pPr>
          </w:p>
        </w:tc>
        <w:tc>
          <w:tcPr>
            <w:tcW w:w="872" w:type="pct"/>
            <w:tcBorders>
              <w:top w:val="nil"/>
              <w:left w:val="nil"/>
              <w:right w:val="nil"/>
            </w:tcBorders>
          </w:tcPr>
          <w:p w14:paraId="674EE45D"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(3.32)</w:t>
            </w:r>
          </w:p>
        </w:tc>
        <w:tc>
          <w:tcPr>
            <w:tcW w:w="872" w:type="pct"/>
            <w:tcBorders>
              <w:top w:val="nil"/>
              <w:left w:val="nil"/>
              <w:right w:val="nil"/>
            </w:tcBorders>
          </w:tcPr>
          <w:p w14:paraId="589BA38B"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(3.66)</w:t>
            </w:r>
          </w:p>
        </w:tc>
        <w:tc>
          <w:tcPr>
            <w:tcW w:w="872" w:type="pct"/>
            <w:tcBorders>
              <w:top w:val="nil"/>
              <w:left w:val="nil"/>
              <w:right w:val="nil"/>
            </w:tcBorders>
          </w:tcPr>
          <w:p w14:paraId="65DE0195"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(2.81)</w:t>
            </w:r>
          </w:p>
        </w:tc>
        <w:tc>
          <w:tcPr>
            <w:tcW w:w="855" w:type="pct"/>
            <w:tcBorders>
              <w:top w:val="nil"/>
              <w:left w:val="nil"/>
              <w:right w:val="nil"/>
            </w:tcBorders>
          </w:tcPr>
          <w:p w14:paraId="10EF9529" w14:textId="77777777"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(0.80)</w:t>
            </w:r>
          </w:p>
        </w:tc>
      </w:tr>
      <w:tr w:rsidR="005B7CAC" w:rsidRPr="005B7CAC" w14:paraId="16FF5964" w14:textId="77777777" w:rsidTr="00FD09CB">
        <w:tc>
          <w:tcPr>
            <w:tcW w:w="1530" w:type="pct"/>
            <w:tcBorders>
              <w:top w:val="nil"/>
              <w:left w:val="nil"/>
              <w:bottom w:val="single" w:sz="8" w:space="0" w:color="auto"/>
              <w:right w:val="nil"/>
            </w:tcBorders>
          </w:tcPr>
          <w:p w14:paraId="14E724D8" w14:textId="3A2E17CE" w:rsidR="006078EB" w:rsidRPr="005B7CAC" w:rsidRDefault="006078EB" w:rsidP="00C90660">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lang w:val="en-US"/>
              </w:rPr>
              <w:t>Year/Industry FE</w:t>
            </w:r>
          </w:p>
        </w:tc>
        <w:tc>
          <w:tcPr>
            <w:tcW w:w="872" w:type="pct"/>
            <w:tcBorders>
              <w:top w:val="nil"/>
              <w:left w:val="nil"/>
              <w:bottom w:val="single" w:sz="8" w:space="0" w:color="auto"/>
              <w:right w:val="nil"/>
            </w:tcBorders>
          </w:tcPr>
          <w:p w14:paraId="027D37C8" w14:textId="38D51133"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lang w:val="en-US"/>
              </w:rPr>
            </w:pPr>
            <w:r w:rsidRPr="005B7CAC">
              <w:rPr>
                <w:rFonts w:ascii="Times New Roman" w:hAnsi="Times New Roman"/>
                <w:sz w:val="24"/>
                <w:szCs w:val="24"/>
                <w:lang w:val="en-US"/>
              </w:rPr>
              <w:t>Yes</w:t>
            </w:r>
          </w:p>
        </w:tc>
        <w:tc>
          <w:tcPr>
            <w:tcW w:w="872" w:type="pct"/>
            <w:tcBorders>
              <w:top w:val="nil"/>
              <w:left w:val="nil"/>
              <w:bottom w:val="single" w:sz="8" w:space="0" w:color="auto"/>
              <w:right w:val="nil"/>
            </w:tcBorders>
          </w:tcPr>
          <w:p w14:paraId="18D1A7CF" w14:textId="4DC0AD1F"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Yes</w:t>
            </w:r>
          </w:p>
        </w:tc>
        <w:tc>
          <w:tcPr>
            <w:tcW w:w="872" w:type="pct"/>
            <w:tcBorders>
              <w:top w:val="nil"/>
              <w:left w:val="nil"/>
              <w:bottom w:val="single" w:sz="8" w:space="0" w:color="auto"/>
              <w:right w:val="nil"/>
            </w:tcBorders>
          </w:tcPr>
          <w:p w14:paraId="3E1F73DD" w14:textId="73BE618A"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Yes</w:t>
            </w:r>
          </w:p>
        </w:tc>
        <w:tc>
          <w:tcPr>
            <w:tcW w:w="855" w:type="pct"/>
            <w:tcBorders>
              <w:top w:val="nil"/>
              <w:left w:val="nil"/>
              <w:bottom w:val="single" w:sz="8" w:space="0" w:color="auto"/>
              <w:right w:val="nil"/>
            </w:tcBorders>
          </w:tcPr>
          <w:p w14:paraId="57ACB096" w14:textId="69B0DED2"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Yes</w:t>
            </w:r>
          </w:p>
        </w:tc>
      </w:tr>
      <w:tr w:rsidR="005B7CAC" w:rsidRPr="005B7CAC" w14:paraId="3DD2B909" w14:textId="77777777" w:rsidTr="00FD09CB">
        <w:tc>
          <w:tcPr>
            <w:tcW w:w="1530" w:type="pct"/>
            <w:tcBorders>
              <w:top w:val="single" w:sz="8" w:space="0" w:color="auto"/>
              <w:left w:val="nil"/>
              <w:bottom w:val="nil"/>
              <w:right w:val="nil"/>
            </w:tcBorders>
          </w:tcPr>
          <w:p w14:paraId="17F202BA" w14:textId="74E4F965" w:rsidR="006078EB" w:rsidRPr="005B7CAC" w:rsidRDefault="006078EB" w:rsidP="00C90660">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rPr>
              <w:t>Observations</w:t>
            </w:r>
          </w:p>
        </w:tc>
        <w:tc>
          <w:tcPr>
            <w:tcW w:w="872" w:type="pct"/>
            <w:tcBorders>
              <w:top w:val="single" w:sz="8" w:space="0" w:color="auto"/>
              <w:left w:val="nil"/>
              <w:bottom w:val="nil"/>
              <w:right w:val="nil"/>
            </w:tcBorders>
          </w:tcPr>
          <w:p w14:paraId="3A5F4E05" w14:textId="5FB4B8FE"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1667</w:t>
            </w:r>
          </w:p>
        </w:tc>
        <w:tc>
          <w:tcPr>
            <w:tcW w:w="872" w:type="pct"/>
            <w:tcBorders>
              <w:top w:val="single" w:sz="8" w:space="0" w:color="auto"/>
              <w:left w:val="nil"/>
              <w:bottom w:val="nil"/>
              <w:right w:val="nil"/>
            </w:tcBorders>
          </w:tcPr>
          <w:p w14:paraId="7540F559" w14:textId="418EFCC9"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1667</w:t>
            </w:r>
          </w:p>
        </w:tc>
        <w:tc>
          <w:tcPr>
            <w:tcW w:w="872" w:type="pct"/>
            <w:tcBorders>
              <w:top w:val="single" w:sz="8" w:space="0" w:color="auto"/>
              <w:left w:val="nil"/>
              <w:bottom w:val="nil"/>
              <w:right w:val="nil"/>
            </w:tcBorders>
          </w:tcPr>
          <w:p w14:paraId="581147E0" w14:textId="69030C2C"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1302</w:t>
            </w:r>
          </w:p>
        </w:tc>
        <w:tc>
          <w:tcPr>
            <w:tcW w:w="855" w:type="pct"/>
            <w:tcBorders>
              <w:top w:val="single" w:sz="8" w:space="0" w:color="auto"/>
              <w:left w:val="nil"/>
              <w:bottom w:val="nil"/>
              <w:right w:val="nil"/>
            </w:tcBorders>
          </w:tcPr>
          <w:p w14:paraId="29FF2F9F" w14:textId="2EA4EF73"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1302</w:t>
            </w:r>
          </w:p>
        </w:tc>
      </w:tr>
      <w:tr w:rsidR="005B7CAC" w:rsidRPr="005B7CAC" w14:paraId="2AB727B0" w14:textId="77777777" w:rsidTr="00FD09CB">
        <w:tc>
          <w:tcPr>
            <w:tcW w:w="1530" w:type="pct"/>
            <w:tcBorders>
              <w:top w:val="nil"/>
              <w:left w:val="nil"/>
              <w:bottom w:val="single" w:sz="12" w:space="0" w:color="auto"/>
              <w:right w:val="nil"/>
            </w:tcBorders>
          </w:tcPr>
          <w:p w14:paraId="581152AE" w14:textId="6B478B49" w:rsidR="006078EB" w:rsidRPr="005B7CAC" w:rsidRDefault="006078EB"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Wald Chi2</w:t>
            </w:r>
          </w:p>
        </w:tc>
        <w:tc>
          <w:tcPr>
            <w:tcW w:w="872" w:type="pct"/>
            <w:tcBorders>
              <w:top w:val="nil"/>
              <w:left w:val="nil"/>
              <w:bottom w:val="single" w:sz="12" w:space="0" w:color="auto"/>
              <w:right w:val="nil"/>
            </w:tcBorders>
          </w:tcPr>
          <w:p w14:paraId="2B9DB0D5" w14:textId="2E734F8C"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0.000</w:t>
            </w:r>
            <w:r w:rsidRPr="005B7CAC">
              <w:rPr>
                <w:rFonts w:ascii="Times New Roman" w:hAnsi="Times New Roman"/>
                <w:sz w:val="24"/>
                <w:szCs w:val="24"/>
                <w:vertAlign w:val="superscript"/>
              </w:rPr>
              <w:t>***</w:t>
            </w:r>
          </w:p>
        </w:tc>
        <w:tc>
          <w:tcPr>
            <w:tcW w:w="872" w:type="pct"/>
            <w:tcBorders>
              <w:top w:val="nil"/>
              <w:left w:val="nil"/>
              <w:bottom w:val="single" w:sz="12" w:space="0" w:color="auto"/>
              <w:right w:val="nil"/>
            </w:tcBorders>
          </w:tcPr>
          <w:p w14:paraId="5B95AA21" w14:textId="18BF8A40"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0.000</w:t>
            </w:r>
            <w:r w:rsidRPr="005B7CAC">
              <w:rPr>
                <w:rFonts w:ascii="Times New Roman" w:hAnsi="Times New Roman"/>
                <w:sz w:val="24"/>
                <w:szCs w:val="24"/>
                <w:vertAlign w:val="superscript"/>
              </w:rPr>
              <w:t>***</w:t>
            </w:r>
          </w:p>
        </w:tc>
        <w:tc>
          <w:tcPr>
            <w:tcW w:w="872" w:type="pct"/>
            <w:tcBorders>
              <w:top w:val="nil"/>
              <w:left w:val="nil"/>
              <w:bottom w:val="single" w:sz="12" w:space="0" w:color="auto"/>
              <w:right w:val="nil"/>
            </w:tcBorders>
          </w:tcPr>
          <w:p w14:paraId="17AC8A29" w14:textId="07276B4E"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0.000</w:t>
            </w:r>
            <w:r w:rsidRPr="005B7CAC">
              <w:rPr>
                <w:rFonts w:ascii="Times New Roman" w:hAnsi="Times New Roman"/>
                <w:sz w:val="24"/>
                <w:szCs w:val="24"/>
                <w:vertAlign w:val="superscript"/>
              </w:rPr>
              <w:t>***</w:t>
            </w:r>
          </w:p>
        </w:tc>
        <w:tc>
          <w:tcPr>
            <w:tcW w:w="855" w:type="pct"/>
            <w:tcBorders>
              <w:top w:val="nil"/>
              <w:left w:val="nil"/>
              <w:bottom w:val="single" w:sz="12" w:space="0" w:color="auto"/>
              <w:right w:val="nil"/>
            </w:tcBorders>
          </w:tcPr>
          <w:p w14:paraId="513CF606" w14:textId="0E4C4FB4" w:rsidR="006078EB" w:rsidRPr="005B7CAC" w:rsidRDefault="006078EB"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0.000</w:t>
            </w:r>
            <w:r w:rsidRPr="005B7CAC">
              <w:rPr>
                <w:rFonts w:ascii="Times New Roman" w:hAnsi="Times New Roman"/>
                <w:sz w:val="24"/>
                <w:szCs w:val="24"/>
                <w:vertAlign w:val="superscript"/>
              </w:rPr>
              <w:t>***</w:t>
            </w:r>
          </w:p>
        </w:tc>
      </w:tr>
    </w:tbl>
    <w:p w14:paraId="52A23F68" w14:textId="77777777" w:rsidR="006078EB" w:rsidRPr="005B7CAC" w:rsidRDefault="006078EB" w:rsidP="006078EB">
      <w:pPr>
        <w:widowControl w:val="0"/>
        <w:autoSpaceDE w:val="0"/>
        <w:autoSpaceDN w:val="0"/>
        <w:adjustRightInd w:val="0"/>
        <w:spacing w:after="0" w:line="240" w:lineRule="auto"/>
        <w:jc w:val="both"/>
        <w:rPr>
          <w:rFonts w:ascii="Times New Roman" w:hAnsi="Times New Roman"/>
          <w:iCs/>
          <w:lang w:val="en-US"/>
        </w:rPr>
      </w:pPr>
      <w:r w:rsidRPr="005B7CAC">
        <w:rPr>
          <w:rFonts w:ascii="Times New Roman" w:hAnsi="Times New Roman"/>
          <w:b/>
          <w:iCs/>
          <w:lang w:val="en-US"/>
        </w:rPr>
        <w:t>Note(s):</w:t>
      </w:r>
      <w:r w:rsidRPr="005B7CAC">
        <w:rPr>
          <w:rFonts w:ascii="Times New Roman" w:hAnsi="Times New Roman"/>
          <w:iCs/>
          <w:lang w:val="en-US"/>
        </w:rPr>
        <w:t xml:space="preserve"> This table reports the links among green initiatives (</w:t>
      </w:r>
      <w:r w:rsidRPr="005B7CAC">
        <w:rPr>
          <w:rFonts w:ascii="Times New Roman" w:hAnsi="Times New Roman"/>
          <w:i/>
          <w:lang w:val="en-US"/>
        </w:rPr>
        <w:t>GINVs</w:t>
      </w:r>
      <w:r w:rsidRPr="005B7CAC">
        <w:rPr>
          <w:rFonts w:ascii="Times New Roman" w:hAnsi="Times New Roman"/>
          <w:iCs/>
          <w:lang w:val="en-US"/>
        </w:rPr>
        <w:t>), waste management (</w:t>
      </w:r>
      <w:r w:rsidRPr="005B7CAC">
        <w:rPr>
          <w:rFonts w:ascii="Times New Roman" w:hAnsi="Times New Roman"/>
          <w:i/>
          <w:lang w:val="en-US"/>
        </w:rPr>
        <w:t>WM</w:t>
      </w:r>
      <w:r w:rsidRPr="005B7CAC">
        <w:rPr>
          <w:rFonts w:ascii="Times New Roman" w:hAnsi="Times New Roman"/>
          <w:iCs/>
          <w:lang w:val="en-US"/>
        </w:rPr>
        <w:t>), and financial distress (</w:t>
      </w:r>
      <w:r w:rsidRPr="005B7CAC">
        <w:rPr>
          <w:rFonts w:ascii="Times New Roman" w:hAnsi="Times New Roman"/>
          <w:i/>
          <w:lang w:val="en-US"/>
        </w:rPr>
        <w:t>FD</w:t>
      </w:r>
      <w:r w:rsidRPr="005B7CAC">
        <w:rPr>
          <w:rFonts w:ascii="Times New Roman" w:hAnsi="Times New Roman"/>
          <w:iCs/>
          <w:lang w:val="en-US"/>
        </w:rPr>
        <w:t xml:space="preserve">) based on the Heckman selection model. </w:t>
      </w:r>
      <w:r w:rsidRPr="005B7CAC">
        <w:rPr>
          <w:rFonts w:ascii="Times New Roman" w:hAnsi="Times New Roman"/>
          <w:bCs/>
          <w:lang w:val="en-US"/>
        </w:rPr>
        <w:t xml:space="preserve">Robust </w:t>
      </w:r>
      <w:r w:rsidRPr="005B7CAC">
        <w:rPr>
          <w:rFonts w:ascii="Times New Roman" w:hAnsi="Times New Roman"/>
          <w:bCs/>
          <w:i/>
          <w:lang w:val="en-US"/>
        </w:rPr>
        <w:t>t-statistics</w:t>
      </w:r>
      <w:r w:rsidRPr="005B7CAC">
        <w:rPr>
          <w:rFonts w:ascii="Times New Roman" w:hAnsi="Times New Roman"/>
          <w:bCs/>
          <w:lang w:val="en-US"/>
        </w:rPr>
        <w:t xml:space="preserve"> are presented in parentheses. </w:t>
      </w:r>
      <w:r w:rsidRPr="005B7CAC">
        <w:rPr>
          <w:rFonts w:ascii="Times New Roman" w:hAnsi="Times New Roman"/>
          <w:lang w:val="en-US"/>
        </w:rPr>
        <w:t xml:space="preserve">All the study variables are defined in Table 1. * </w:t>
      </w:r>
      <w:r w:rsidRPr="005B7CAC">
        <w:rPr>
          <w:rFonts w:ascii="Times New Roman" w:hAnsi="Times New Roman"/>
          <w:i/>
          <w:iCs/>
          <w:lang w:val="en-US"/>
        </w:rPr>
        <w:t>p</w:t>
      </w:r>
      <w:r w:rsidRPr="005B7CAC">
        <w:rPr>
          <w:rFonts w:ascii="Times New Roman" w:hAnsi="Times New Roman"/>
          <w:lang w:val="en-US"/>
        </w:rPr>
        <w:t xml:space="preserve"> &lt; 0.1, ** </w:t>
      </w:r>
      <w:r w:rsidRPr="005B7CAC">
        <w:rPr>
          <w:rFonts w:ascii="Times New Roman" w:hAnsi="Times New Roman"/>
          <w:i/>
          <w:iCs/>
          <w:lang w:val="en-US"/>
        </w:rPr>
        <w:t>p</w:t>
      </w:r>
      <w:r w:rsidRPr="005B7CAC">
        <w:rPr>
          <w:rFonts w:ascii="Times New Roman" w:hAnsi="Times New Roman"/>
          <w:lang w:val="en-US"/>
        </w:rPr>
        <w:t xml:space="preserve"> &lt; 0.05, *** </w:t>
      </w:r>
      <w:r w:rsidRPr="005B7CAC">
        <w:rPr>
          <w:rFonts w:ascii="Times New Roman" w:hAnsi="Times New Roman"/>
          <w:i/>
          <w:iCs/>
          <w:lang w:val="en-US"/>
        </w:rPr>
        <w:t>p</w:t>
      </w:r>
      <w:r w:rsidRPr="005B7CAC">
        <w:rPr>
          <w:rFonts w:ascii="Times New Roman" w:hAnsi="Times New Roman"/>
          <w:lang w:val="en-US"/>
        </w:rPr>
        <w:t xml:space="preserve"> &lt; 0.01.</w:t>
      </w:r>
    </w:p>
    <w:p w14:paraId="3567655A" w14:textId="77777777" w:rsidR="006078EB" w:rsidRPr="005B7CAC" w:rsidRDefault="006078EB" w:rsidP="006078EB">
      <w:pPr>
        <w:widowControl w:val="0"/>
        <w:autoSpaceDE w:val="0"/>
        <w:autoSpaceDN w:val="0"/>
        <w:adjustRightInd w:val="0"/>
        <w:spacing w:after="0" w:line="240" w:lineRule="auto"/>
        <w:jc w:val="both"/>
        <w:rPr>
          <w:rFonts w:ascii="Times New Roman" w:hAnsi="Times New Roman"/>
          <w:lang w:val="en-US"/>
        </w:rPr>
      </w:pPr>
      <w:r w:rsidRPr="005B7CAC">
        <w:rPr>
          <w:rFonts w:ascii="Times New Roman" w:hAnsi="Times New Roman"/>
          <w:b/>
          <w:lang w:val="en-US"/>
        </w:rPr>
        <w:t>Source:</w:t>
      </w:r>
      <w:r w:rsidRPr="005B7CAC">
        <w:rPr>
          <w:rFonts w:ascii="Times New Roman" w:hAnsi="Times New Roman"/>
          <w:lang w:val="en-US"/>
        </w:rPr>
        <w:t xml:space="preserve"> Table prepared by the authors.</w:t>
      </w:r>
    </w:p>
    <w:p w14:paraId="67F9A650" w14:textId="77777777" w:rsidR="00315DAE" w:rsidRPr="005B7CAC" w:rsidRDefault="00315DAE">
      <w:pPr>
        <w:widowControl w:val="0"/>
        <w:autoSpaceDE w:val="0"/>
        <w:autoSpaceDN w:val="0"/>
        <w:adjustRightInd w:val="0"/>
        <w:spacing w:after="0" w:line="240" w:lineRule="auto"/>
        <w:rPr>
          <w:rFonts w:ascii="Times New Roman" w:hAnsi="Times New Roman"/>
          <w:sz w:val="24"/>
          <w:szCs w:val="24"/>
          <w:lang w:val="en-US"/>
        </w:rPr>
      </w:pPr>
    </w:p>
    <w:p w14:paraId="6F6E2F64" w14:textId="77777777" w:rsidR="00315DAE" w:rsidRPr="005B7CAC" w:rsidRDefault="00315DAE">
      <w:pPr>
        <w:widowControl w:val="0"/>
        <w:autoSpaceDE w:val="0"/>
        <w:autoSpaceDN w:val="0"/>
        <w:adjustRightInd w:val="0"/>
        <w:spacing w:after="0" w:line="240" w:lineRule="auto"/>
        <w:rPr>
          <w:rFonts w:ascii="Times New Roman" w:hAnsi="Times New Roman"/>
          <w:sz w:val="24"/>
          <w:szCs w:val="24"/>
          <w:lang w:val="en-US"/>
        </w:rPr>
      </w:pPr>
    </w:p>
    <w:p w14:paraId="711CF17B" w14:textId="77777777" w:rsidR="00315DAE" w:rsidRPr="005B7CAC" w:rsidRDefault="00315DAE">
      <w:pPr>
        <w:widowControl w:val="0"/>
        <w:autoSpaceDE w:val="0"/>
        <w:autoSpaceDN w:val="0"/>
        <w:adjustRightInd w:val="0"/>
        <w:spacing w:after="0" w:line="240" w:lineRule="auto"/>
        <w:rPr>
          <w:rFonts w:ascii="Times New Roman" w:hAnsi="Times New Roman"/>
          <w:sz w:val="24"/>
          <w:szCs w:val="24"/>
          <w:lang w:val="en-US"/>
        </w:rPr>
      </w:pPr>
    </w:p>
    <w:p w14:paraId="7E68FA16" w14:textId="77777777" w:rsidR="00315DAE" w:rsidRPr="005B7CAC" w:rsidRDefault="00315DAE">
      <w:pPr>
        <w:widowControl w:val="0"/>
        <w:autoSpaceDE w:val="0"/>
        <w:autoSpaceDN w:val="0"/>
        <w:adjustRightInd w:val="0"/>
        <w:spacing w:after="0" w:line="240" w:lineRule="auto"/>
        <w:rPr>
          <w:rFonts w:ascii="Times New Roman" w:hAnsi="Times New Roman"/>
          <w:sz w:val="24"/>
          <w:szCs w:val="24"/>
          <w:lang w:val="en-US"/>
        </w:rPr>
      </w:pPr>
    </w:p>
    <w:p w14:paraId="1C4F0851" w14:textId="77777777" w:rsidR="00315DAE" w:rsidRPr="005B7CAC" w:rsidRDefault="00315DAE">
      <w:pPr>
        <w:widowControl w:val="0"/>
        <w:autoSpaceDE w:val="0"/>
        <w:autoSpaceDN w:val="0"/>
        <w:adjustRightInd w:val="0"/>
        <w:spacing w:after="0" w:line="240" w:lineRule="auto"/>
        <w:rPr>
          <w:rFonts w:ascii="Times New Roman" w:hAnsi="Times New Roman"/>
          <w:sz w:val="24"/>
          <w:szCs w:val="24"/>
          <w:lang w:val="en-US"/>
        </w:rPr>
      </w:pPr>
    </w:p>
    <w:p w14:paraId="1EFEDBAD" w14:textId="77777777" w:rsidR="00315DAE" w:rsidRPr="005B7CAC" w:rsidRDefault="00315DAE">
      <w:pPr>
        <w:widowControl w:val="0"/>
        <w:autoSpaceDE w:val="0"/>
        <w:autoSpaceDN w:val="0"/>
        <w:adjustRightInd w:val="0"/>
        <w:spacing w:after="0" w:line="240" w:lineRule="auto"/>
        <w:rPr>
          <w:rFonts w:ascii="Times New Roman" w:hAnsi="Times New Roman"/>
          <w:sz w:val="24"/>
          <w:szCs w:val="24"/>
          <w:lang w:val="en-US"/>
        </w:rPr>
      </w:pPr>
    </w:p>
    <w:p w14:paraId="323E43EE" w14:textId="77777777" w:rsidR="00315DAE" w:rsidRPr="005B7CAC" w:rsidRDefault="00315DAE">
      <w:pPr>
        <w:widowControl w:val="0"/>
        <w:autoSpaceDE w:val="0"/>
        <w:autoSpaceDN w:val="0"/>
        <w:adjustRightInd w:val="0"/>
        <w:spacing w:after="0" w:line="240" w:lineRule="auto"/>
        <w:rPr>
          <w:rFonts w:ascii="Times New Roman" w:hAnsi="Times New Roman"/>
          <w:sz w:val="24"/>
          <w:szCs w:val="24"/>
          <w:lang w:val="en-US"/>
        </w:rPr>
      </w:pPr>
    </w:p>
    <w:p w14:paraId="19C0D143" w14:textId="77777777" w:rsidR="00315DAE" w:rsidRPr="005B7CAC" w:rsidRDefault="00315DAE">
      <w:pPr>
        <w:widowControl w:val="0"/>
        <w:autoSpaceDE w:val="0"/>
        <w:autoSpaceDN w:val="0"/>
        <w:adjustRightInd w:val="0"/>
        <w:spacing w:after="0" w:line="240" w:lineRule="auto"/>
        <w:rPr>
          <w:rFonts w:ascii="Times New Roman" w:hAnsi="Times New Roman"/>
          <w:sz w:val="24"/>
          <w:szCs w:val="24"/>
          <w:lang w:val="en-US"/>
        </w:rPr>
      </w:pPr>
    </w:p>
    <w:p w14:paraId="1528BBFA" w14:textId="77777777" w:rsidR="00315DAE" w:rsidRPr="005B7CAC" w:rsidRDefault="00315DAE">
      <w:pPr>
        <w:widowControl w:val="0"/>
        <w:autoSpaceDE w:val="0"/>
        <w:autoSpaceDN w:val="0"/>
        <w:adjustRightInd w:val="0"/>
        <w:spacing w:after="0" w:line="240" w:lineRule="auto"/>
        <w:rPr>
          <w:rFonts w:ascii="Times New Roman" w:hAnsi="Times New Roman"/>
          <w:sz w:val="24"/>
          <w:szCs w:val="24"/>
          <w:lang w:val="en-US"/>
        </w:rPr>
      </w:pPr>
    </w:p>
    <w:p w14:paraId="1608F3D3" w14:textId="77777777" w:rsidR="00F75F10" w:rsidRPr="005B7CAC" w:rsidRDefault="00F75F10">
      <w:pPr>
        <w:widowControl w:val="0"/>
        <w:autoSpaceDE w:val="0"/>
        <w:autoSpaceDN w:val="0"/>
        <w:adjustRightInd w:val="0"/>
        <w:spacing w:after="0" w:line="240" w:lineRule="auto"/>
        <w:rPr>
          <w:rFonts w:ascii="Times New Roman" w:hAnsi="Times New Roman"/>
          <w:sz w:val="24"/>
          <w:szCs w:val="24"/>
          <w:lang w:val="en-US"/>
        </w:rPr>
      </w:pPr>
    </w:p>
    <w:p w14:paraId="46C1F642" w14:textId="77777777" w:rsidR="00F75F10" w:rsidRPr="005B7CAC" w:rsidRDefault="00F75F10">
      <w:pPr>
        <w:widowControl w:val="0"/>
        <w:autoSpaceDE w:val="0"/>
        <w:autoSpaceDN w:val="0"/>
        <w:adjustRightInd w:val="0"/>
        <w:spacing w:after="0" w:line="240" w:lineRule="auto"/>
        <w:rPr>
          <w:rFonts w:ascii="Times New Roman" w:hAnsi="Times New Roman"/>
          <w:sz w:val="24"/>
          <w:szCs w:val="24"/>
          <w:lang w:val="en-US"/>
        </w:rPr>
      </w:pPr>
    </w:p>
    <w:p w14:paraId="1FC6572F" w14:textId="77777777" w:rsidR="00F75F10" w:rsidRPr="005B7CAC" w:rsidRDefault="00F75F10">
      <w:pPr>
        <w:widowControl w:val="0"/>
        <w:autoSpaceDE w:val="0"/>
        <w:autoSpaceDN w:val="0"/>
        <w:adjustRightInd w:val="0"/>
        <w:spacing w:after="0" w:line="240" w:lineRule="auto"/>
        <w:rPr>
          <w:rFonts w:ascii="Times New Roman" w:hAnsi="Times New Roman"/>
          <w:sz w:val="24"/>
          <w:szCs w:val="24"/>
          <w:lang w:val="en-US"/>
        </w:rPr>
      </w:pPr>
    </w:p>
    <w:p w14:paraId="2AB379AC" w14:textId="77777777" w:rsidR="00F75F10" w:rsidRPr="005B7CAC" w:rsidRDefault="00F75F10">
      <w:pPr>
        <w:widowControl w:val="0"/>
        <w:autoSpaceDE w:val="0"/>
        <w:autoSpaceDN w:val="0"/>
        <w:adjustRightInd w:val="0"/>
        <w:spacing w:after="0" w:line="240" w:lineRule="auto"/>
        <w:rPr>
          <w:rFonts w:ascii="Times New Roman" w:hAnsi="Times New Roman"/>
          <w:sz w:val="24"/>
          <w:szCs w:val="24"/>
          <w:lang w:val="en-US"/>
        </w:rPr>
      </w:pPr>
    </w:p>
    <w:p w14:paraId="7D5D99A8" w14:textId="77777777" w:rsidR="00F75F10" w:rsidRPr="005B7CAC" w:rsidRDefault="00F75F10">
      <w:pPr>
        <w:widowControl w:val="0"/>
        <w:autoSpaceDE w:val="0"/>
        <w:autoSpaceDN w:val="0"/>
        <w:adjustRightInd w:val="0"/>
        <w:spacing w:after="0" w:line="240" w:lineRule="auto"/>
        <w:rPr>
          <w:rFonts w:ascii="Times New Roman" w:hAnsi="Times New Roman"/>
          <w:sz w:val="24"/>
          <w:szCs w:val="24"/>
          <w:lang w:val="en-US"/>
        </w:rPr>
      </w:pPr>
    </w:p>
    <w:p w14:paraId="4F682853" w14:textId="77777777" w:rsidR="00F75F10" w:rsidRPr="005B7CAC" w:rsidRDefault="00F75F10">
      <w:pPr>
        <w:widowControl w:val="0"/>
        <w:autoSpaceDE w:val="0"/>
        <w:autoSpaceDN w:val="0"/>
        <w:adjustRightInd w:val="0"/>
        <w:spacing w:after="0" w:line="240" w:lineRule="auto"/>
        <w:rPr>
          <w:rFonts w:ascii="Times New Roman" w:hAnsi="Times New Roman"/>
          <w:sz w:val="24"/>
          <w:szCs w:val="24"/>
          <w:lang w:val="en-US"/>
        </w:rPr>
      </w:pPr>
    </w:p>
    <w:p w14:paraId="4903C067" w14:textId="77777777" w:rsidR="00F75F10" w:rsidRPr="005B7CAC" w:rsidRDefault="00F75F10">
      <w:pPr>
        <w:widowControl w:val="0"/>
        <w:autoSpaceDE w:val="0"/>
        <w:autoSpaceDN w:val="0"/>
        <w:adjustRightInd w:val="0"/>
        <w:spacing w:after="0" w:line="240" w:lineRule="auto"/>
        <w:rPr>
          <w:rFonts w:ascii="Times New Roman" w:hAnsi="Times New Roman"/>
          <w:sz w:val="24"/>
          <w:szCs w:val="24"/>
          <w:lang w:val="en-US"/>
        </w:rPr>
      </w:pPr>
    </w:p>
    <w:p w14:paraId="02B67A31" w14:textId="77777777" w:rsidR="00F75F10" w:rsidRPr="005B7CAC" w:rsidRDefault="00F75F10">
      <w:pPr>
        <w:widowControl w:val="0"/>
        <w:autoSpaceDE w:val="0"/>
        <w:autoSpaceDN w:val="0"/>
        <w:adjustRightInd w:val="0"/>
        <w:spacing w:after="0" w:line="240" w:lineRule="auto"/>
        <w:rPr>
          <w:rFonts w:ascii="Times New Roman" w:hAnsi="Times New Roman"/>
          <w:sz w:val="24"/>
          <w:szCs w:val="24"/>
          <w:lang w:val="en-US"/>
        </w:rPr>
      </w:pPr>
    </w:p>
    <w:p w14:paraId="4A7E9CC9" w14:textId="77777777" w:rsidR="00F75F10" w:rsidRPr="005B7CAC" w:rsidRDefault="00F75F10">
      <w:pPr>
        <w:widowControl w:val="0"/>
        <w:autoSpaceDE w:val="0"/>
        <w:autoSpaceDN w:val="0"/>
        <w:adjustRightInd w:val="0"/>
        <w:spacing w:after="0" w:line="240" w:lineRule="auto"/>
        <w:rPr>
          <w:rFonts w:ascii="Times New Roman" w:hAnsi="Times New Roman"/>
          <w:sz w:val="24"/>
          <w:szCs w:val="24"/>
          <w:lang w:val="en-US"/>
        </w:rPr>
      </w:pPr>
    </w:p>
    <w:p w14:paraId="364810EC" w14:textId="77777777" w:rsidR="00F75F10" w:rsidRPr="005B7CAC" w:rsidRDefault="00F75F10">
      <w:pPr>
        <w:widowControl w:val="0"/>
        <w:autoSpaceDE w:val="0"/>
        <w:autoSpaceDN w:val="0"/>
        <w:adjustRightInd w:val="0"/>
        <w:spacing w:after="0" w:line="240" w:lineRule="auto"/>
        <w:rPr>
          <w:rFonts w:ascii="Times New Roman" w:hAnsi="Times New Roman"/>
          <w:sz w:val="24"/>
          <w:szCs w:val="24"/>
          <w:lang w:val="en-US"/>
        </w:rPr>
      </w:pPr>
    </w:p>
    <w:p w14:paraId="631C07C4" w14:textId="77777777" w:rsidR="00F75F10" w:rsidRPr="005B7CAC" w:rsidRDefault="00F75F10">
      <w:pPr>
        <w:widowControl w:val="0"/>
        <w:autoSpaceDE w:val="0"/>
        <w:autoSpaceDN w:val="0"/>
        <w:adjustRightInd w:val="0"/>
        <w:spacing w:after="0" w:line="240" w:lineRule="auto"/>
        <w:rPr>
          <w:rFonts w:ascii="Times New Roman" w:hAnsi="Times New Roman"/>
          <w:sz w:val="24"/>
          <w:szCs w:val="24"/>
          <w:lang w:val="en-US"/>
        </w:rPr>
      </w:pPr>
    </w:p>
    <w:p w14:paraId="7CB0C181" w14:textId="77777777" w:rsidR="00F75F10" w:rsidRPr="005B7CAC" w:rsidRDefault="00F75F10">
      <w:pPr>
        <w:widowControl w:val="0"/>
        <w:autoSpaceDE w:val="0"/>
        <w:autoSpaceDN w:val="0"/>
        <w:adjustRightInd w:val="0"/>
        <w:spacing w:after="0" w:line="240" w:lineRule="auto"/>
        <w:rPr>
          <w:rFonts w:ascii="Times New Roman" w:hAnsi="Times New Roman"/>
          <w:sz w:val="24"/>
          <w:szCs w:val="24"/>
          <w:lang w:val="en-US"/>
        </w:rPr>
      </w:pPr>
    </w:p>
    <w:p w14:paraId="2682C9FE" w14:textId="77777777" w:rsidR="00F75F10" w:rsidRPr="005B7CAC" w:rsidRDefault="00F75F10">
      <w:pPr>
        <w:widowControl w:val="0"/>
        <w:autoSpaceDE w:val="0"/>
        <w:autoSpaceDN w:val="0"/>
        <w:adjustRightInd w:val="0"/>
        <w:spacing w:after="0" w:line="240" w:lineRule="auto"/>
        <w:rPr>
          <w:rFonts w:ascii="Times New Roman" w:hAnsi="Times New Roman"/>
          <w:sz w:val="24"/>
          <w:szCs w:val="24"/>
          <w:lang w:val="en-US"/>
        </w:rPr>
      </w:pPr>
    </w:p>
    <w:p w14:paraId="4CBD2494" w14:textId="77777777" w:rsidR="00F75F10" w:rsidRPr="005B7CAC" w:rsidRDefault="00F75F10">
      <w:pPr>
        <w:widowControl w:val="0"/>
        <w:autoSpaceDE w:val="0"/>
        <w:autoSpaceDN w:val="0"/>
        <w:adjustRightInd w:val="0"/>
        <w:spacing w:after="0" w:line="240" w:lineRule="auto"/>
        <w:rPr>
          <w:rFonts w:ascii="Times New Roman" w:hAnsi="Times New Roman"/>
          <w:sz w:val="24"/>
          <w:szCs w:val="24"/>
          <w:lang w:val="en-US"/>
        </w:rPr>
      </w:pPr>
    </w:p>
    <w:p w14:paraId="6AA0CA9C" w14:textId="77777777" w:rsidR="00F75F10" w:rsidRPr="005B7CAC" w:rsidRDefault="00F75F10">
      <w:pPr>
        <w:widowControl w:val="0"/>
        <w:autoSpaceDE w:val="0"/>
        <w:autoSpaceDN w:val="0"/>
        <w:adjustRightInd w:val="0"/>
        <w:spacing w:after="0" w:line="240" w:lineRule="auto"/>
        <w:rPr>
          <w:rFonts w:ascii="Times New Roman" w:hAnsi="Times New Roman"/>
          <w:sz w:val="24"/>
          <w:szCs w:val="24"/>
          <w:lang w:val="en-US"/>
        </w:rPr>
      </w:pPr>
    </w:p>
    <w:p w14:paraId="7EE3B59E" w14:textId="77777777" w:rsidR="00F75F10" w:rsidRPr="005B7CAC" w:rsidRDefault="00F75F10">
      <w:pPr>
        <w:widowControl w:val="0"/>
        <w:autoSpaceDE w:val="0"/>
        <w:autoSpaceDN w:val="0"/>
        <w:adjustRightInd w:val="0"/>
        <w:spacing w:after="0" w:line="240" w:lineRule="auto"/>
        <w:rPr>
          <w:rFonts w:ascii="Times New Roman" w:hAnsi="Times New Roman"/>
          <w:sz w:val="24"/>
          <w:szCs w:val="24"/>
          <w:lang w:val="en-US"/>
        </w:rPr>
      </w:pPr>
    </w:p>
    <w:p w14:paraId="202DB187" w14:textId="6465A742" w:rsidR="00F75F10" w:rsidRPr="005B7CAC" w:rsidRDefault="00F75F10" w:rsidP="00F75F10">
      <w:pPr>
        <w:widowControl w:val="0"/>
        <w:autoSpaceDE w:val="0"/>
        <w:autoSpaceDN w:val="0"/>
        <w:adjustRightInd w:val="0"/>
        <w:spacing w:after="240" w:line="240" w:lineRule="auto"/>
        <w:rPr>
          <w:rFonts w:ascii="Times New Roman" w:hAnsi="Times New Roman"/>
          <w:sz w:val="24"/>
          <w:szCs w:val="24"/>
          <w:lang w:val="en-US"/>
        </w:rPr>
      </w:pPr>
      <w:r w:rsidRPr="005B7CAC">
        <w:rPr>
          <w:rFonts w:ascii="Times New Roman" w:hAnsi="Times New Roman"/>
          <w:b/>
          <w:sz w:val="24"/>
          <w:szCs w:val="24"/>
          <w:lang w:val="en-US"/>
        </w:rPr>
        <w:lastRenderedPageBreak/>
        <w:t>Table 10.</w:t>
      </w:r>
      <w:r w:rsidRPr="005B7CAC">
        <w:rPr>
          <w:rFonts w:ascii="Times New Roman" w:hAnsi="Times New Roman"/>
          <w:sz w:val="24"/>
          <w:szCs w:val="24"/>
          <w:lang w:val="en-US"/>
        </w:rPr>
        <w:t xml:space="preserve"> Robustness tests: moderation analysis using a </w:t>
      </w:r>
      <w:r w:rsidR="00171AD9" w:rsidRPr="005B7CAC">
        <w:rPr>
          <w:rFonts w:ascii="Times New Roman" w:hAnsi="Times New Roman"/>
          <w:sz w:val="24"/>
          <w:szCs w:val="24"/>
          <w:lang w:val="en-US"/>
        </w:rPr>
        <w:t xml:space="preserve">dummy </w:t>
      </w:r>
      <w:r w:rsidRPr="005B7CAC">
        <w:rPr>
          <w:rFonts w:ascii="Times New Roman" w:hAnsi="Times New Roman"/>
          <w:sz w:val="24"/>
          <w:szCs w:val="24"/>
          <w:lang w:val="en-US"/>
        </w:rPr>
        <w:t>variable</w:t>
      </w:r>
    </w:p>
    <w:tbl>
      <w:tblPr>
        <w:tblW w:w="5000" w:type="pct"/>
        <w:tblLook w:val="0000" w:firstRow="0" w:lastRow="0" w:firstColumn="0" w:lastColumn="0" w:noHBand="0" w:noVBand="0"/>
      </w:tblPr>
      <w:tblGrid>
        <w:gridCol w:w="3093"/>
        <w:gridCol w:w="1649"/>
        <w:gridCol w:w="1649"/>
        <w:gridCol w:w="1649"/>
        <w:gridCol w:w="1649"/>
      </w:tblGrid>
      <w:tr w:rsidR="005B7CAC" w:rsidRPr="005B7CAC" w14:paraId="3F97EE7F" w14:textId="77777777" w:rsidTr="00F92D95">
        <w:tc>
          <w:tcPr>
            <w:tcW w:w="1596" w:type="pct"/>
            <w:tcBorders>
              <w:top w:val="single" w:sz="12" w:space="0" w:color="auto"/>
              <w:left w:val="nil"/>
              <w:bottom w:val="nil"/>
              <w:right w:val="nil"/>
            </w:tcBorders>
          </w:tcPr>
          <w:p w14:paraId="23B11FC8" w14:textId="77777777" w:rsidR="00F75F10" w:rsidRPr="005B7CAC" w:rsidRDefault="00F75F10" w:rsidP="00C90660">
            <w:pPr>
              <w:widowControl w:val="0"/>
              <w:autoSpaceDE w:val="0"/>
              <w:autoSpaceDN w:val="0"/>
              <w:adjustRightInd w:val="0"/>
              <w:spacing w:after="0" w:line="240" w:lineRule="auto"/>
              <w:rPr>
                <w:rFonts w:ascii="Times New Roman" w:hAnsi="Times New Roman"/>
                <w:b/>
                <w:bCs/>
                <w:sz w:val="24"/>
                <w:szCs w:val="24"/>
                <w:lang w:val="en-US"/>
              </w:rPr>
            </w:pPr>
          </w:p>
        </w:tc>
        <w:tc>
          <w:tcPr>
            <w:tcW w:w="851" w:type="pct"/>
            <w:tcBorders>
              <w:top w:val="single" w:sz="12" w:space="0" w:color="auto"/>
              <w:left w:val="nil"/>
              <w:bottom w:val="nil"/>
              <w:right w:val="nil"/>
            </w:tcBorders>
          </w:tcPr>
          <w:p w14:paraId="5D1D0CF4"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(1)</w:t>
            </w:r>
          </w:p>
        </w:tc>
        <w:tc>
          <w:tcPr>
            <w:tcW w:w="851" w:type="pct"/>
            <w:tcBorders>
              <w:top w:val="single" w:sz="12" w:space="0" w:color="auto"/>
              <w:left w:val="nil"/>
              <w:bottom w:val="nil"/>
              <w:right w:val="nil"/>
            </w:tcBorders>
          </w:tcPr>
          <w:p w14:paraId="3E86D50E"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(2)</w:t>
            </w:r>
          </w:p>
        </w:tc>
        <w:tc>
          <w:tcPr>
            <w:tcW w:w="851" w:type="pct"/>
            <w:tcBorders>
              <w:top w:val="single" w:sz="12" w:space="0" w:color="auto"/>
              <w:left w:val="nil"/>
              <w:bottom w:val="nil"/>
              <w:right w:val="nil"/>
            </w:tcBorders>
          </w:tcPr>
          <w:p w14:paraId="55A8452A"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(3)</w:t>
            </w:r>
          </w:p>
        </w:tc>
        <w:tc>
          <w:tcPr>
            <w:tcW w:w="851" w:type="pct"/>
            <w:tcBorders>
              <w:top w:val="single" w:sz="12" w:space="0" w:color="auto"/>
              <w:left w:val="nil"/>
              <w:bottom w:val="nil"/>
              <w:right w:val="nil"/>
            </w:tcBorders>
          </w:tcPr>
          <w:p w14:paraId="3372363F"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(4)</w:t>
            </w:r>
          </w:p>
        </w:tc>
      </w:tr>
      <w:tr w:rsidR="005B7CAC" w:rsidRPr="005B7CAC" w14:paraId="749FAE4D" w14:textId="77777777" w:rsidTr="00F92D95">
        <w:tc>
          <w:tcPr>
            <w:tcW w:w="1596" w:type="pct"/>
            <w:tcBorders>
              <w:top w:val="nil"/>
              <w:left w:val="nil"/>
              <w:bottom w:val="single" w:sz="8" w:space="0" w:color="auto"/>
              <w:right w:val="nil"/>
            </w:tcBorders>
          </w:tcPr>
          <w:p w14:paraId="42A54F49" w14:textId="77777777" w:rsidR="00F75F10" w:rsidRPr="005B7CAC" w:rsidRDefault="00F75F10" w:rsidP="00C90660">
            <w:pPr>
              <w:widowControl w:val="0"/>
              <w:autoSpaceDE w:val="0"/>
              <w:autoSpaceDN w:val="0"/>
              <w:adjustRightInd w:val="0"/>
              <w:spacing w:after="0" w:line="240" w:lineRule="auto"/>
              <w:rPr>
                <w:rFonts w:ascii="Times New Roman" w:hAnsi="Times New Roman"/>
                <w:b/>
                <w:bCs/>
                <w:sz w:val="24"/>
                <w:szCs w:val="24"/>
              </w:rPr>
            </w:pPr>
          </w:p>
        </w:tc>
        <w:tc>
          <w:tcPr>
            <w:tcW w:w="851" w:type="pct"/>
            <w:tcBorders>
              <w:top w:val="nil"/>
              <w:left w:val="nil"/>
              <w:bottom w:val="single" w:sz="8" w:space="0" w:color="auto"/>
              <w:right w:val="nil"/>
            </w:tcBorders>
          </w:tcPr>
          <w:p w14:paraId="5ADF727E"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Z_UK</w:t>
            </w:r>
          </w:p>
        </w:tc>
        <w:tc>
          <w:tcPr>
            <w:tcW w:w="851" w:type="pct"/>
            <w:tcBorders>
              <w:top w:val="nil"/>
              <w:left w:val="nil"/>
              <w:bottom w:val="single" w:sz="8" w:space="0" w:color="auto"/>
              <w:right w:val="nil"/>
            </w:tcBorders>
          </w:tcPr>
          <w:p w14:paraId="493836D9"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Z_UK</w:t>
            </w:r>
          </w:p>
        </w:tc>
        <w:tc>
          <w:tcPr>
            <w:tcW w:w="851" w:type="pct"/>
            <w:tcBorders>
              <w:top w:val="nil"/>
              <w:left w:val="nil"/>
              <w:bottom w:val="single" w:sz="8" w:space="0" w:color="auto"/>
              <w:right w:val="nil"/>
            </w:tcBorders>
          </w:tcPr>
          <w:p w14:paraId="0C9CEBF7"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Z_ALT</w:t>
            </w:r>
          </w:p>
        </w:tc>
        <w:tc>
          <w:tcPr>
            <w:tcW w:w="851" w:type="pct"/>
            <w:tcBorders>
              <w:top w:val="nil"/>
              <w:left w:val="nil"/>
              <w:bottom w:val="single" w:sz="8" w:space="0" w:color="auto"/>
              <w:right w:val="nil"/>
            </w:tcBorders>
          </w:tcPr>
          <w:p w14:paraId="7B1520FE"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Z_ALT</w:t>
            </w:r>
          </w:p>
        </w:tc>
      </w:tr>
      <w:tr w:rsidR="005B7CAC" w:rsidRPr="005B7CAC" w14:paraId="5C43FCDC" w14:textId="77777777" w:rsidTr="00F92D95">
        <w:tc>
          <w:tcPr>
            <w:tcW w:w="1596" w:type="pct"/>
            <w:tcBorders>
              <w:top w:val="single" w:sz="8" w:space="0" w:color="auto"/>
              <w:left w:val="nil"/>
              <w:bottom w:val="nil"/>
              <w:right w:val="nil"/>
            </w:tcBorders>
          </w:tcPr>
          <w:p w14:paraId="2CEEADE5" w14:textId="77777777" w:rsidR="00F75F10" w:rsidRPr="005B7CAC" w:rsidRDefault="00F75F10"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WAST</w:t>
            </w:r>
          </w:p>
        </w:tc>
        <w:tc>
          <w:tcPr>
            <w:tcW w:w="851" w:type="pct"/>
            <w:tcBorders>
              <w:top w:val="single" w:sz="8" w:space="0" w:color="auto"/>
              <w:left w:val="nil"/>
              <w:bottom w:val="nil"/>
              <w:right w:val="nil"/>
            </w:tcBorders>
          </w:tcPr>
          <w:p w14:paraId="5B91EFA6"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-0.011</w:t>
            </w:r>
            <w:r w:rsidRPr="005B7CAC">
              <w:rPr>
                <w:rFonts w:ascii="Times New Roman" w:hAnsi="Times New Roman"/>
                <w:sz w:val="24"/>
                <w:szCs w:val="24"/>
                <w:vertAlign w:val="superscript"/>
              </w:rPr>
              <w:t>***</w:t>
            </w:r>
          </w:p>
        </w:tc>
        <w:tc>
          <w:tcPr>
            <w:tcW w:w="851" w:type="pct"/>
            <w:tcBorders>
              <w:top w:val="single" w:sz="8" w:space="0" w:color="auto"/>
              <w:left w:val="nil"/>
              <w:bottom w:val="nil"/>
              <w:right w:val="nil"/>
            </w:tcBorders>
          </w:tcPr>
          <w:p w14:paraId="08A39BC2"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sz w:val="24"/>
                <w:szCs w:val="24"/>
              </w:rPr>
            </w:pPr>
          </w:p>
        </w:tc>
        <w:tc>
          <w:tcPr>
            <w:tcW w:w="851" w:type="pct"/>
            <w:tcBorders>
              <w:top w:val="single" w:sz="8" w:space="0" w:color="auto"/>
              <w:left w:val="nil"/>
              <w:bottom w:val="nil"/>
              <w:right w:val="nil"/>
            </w:tcBorders>
          </w:tcPr>
          <w:p w14:paraId="079B1CE6"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-0.049</w:t>
            </w:r>
            <w:r w:rsidRPr="005B7CAC">
              <w:rPr>
                <w:rFonts w:ascii="Times New Roman" w:hAnsi="Times New Roman"/>
                <w:sz w:val="24"/>
                <w:szCs w:val="24"/>
                <w:vertAlign w:val="superscript"/>
              </w:rPr>
              <w:t>***</w:t>
            </w:r>
          </w:p>
        </w:tc>
        <w:tc>
          <w:tcPr>
            <w:tcW w:w="851" w:type="pct"/>
            <w:tcBorders>
              <w:top w:val="single" w:sz="8" w:space="0" w:color="auto"/>
              <w:left w:val="nil"/>
              <w:bottom w:val="nil"/>
              <w:right w:val="nil"/>
            </w:tcBorders>
          </w:tcPr>
          <w:p w14:paraId="64B0589A"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sz w:val="24"/>
                <w:szCs w:val="24"/>
              </w:rPr>
            </w:pPr>
          </w:p>
        </w:tc>
      </w:tr>
      <w:tr w:rsidR="005B7CAC" w:rsidRPr="005B7CAC" w14:paraId="7B8ED851" w14:textId="77777777" w:rsidTr="00F92D95">
        <w:tc>
          <w:tcPr>
            <w:tcW w:w="1596" w:type="pct"/>
            <w:tcBorders>
              <w:top w:val="nil"/>
              <w:left w:val="nil"/>
              <w:bottom w:val="nil"/>
              <w:right w:val="nil"/>
            </w:tcBorders>
          </w:tcPr>
          <w:p w14:paraId="374879DC" w14:textId="77777777" w:rsidR="00F75F10" w:rsidRPr="005B7CAC" w:rsidRDefault="00F75F10" w:rsidP="00C90660">
            <w:pPr>
              <w:widowControl w:val="0"/>
              <w:autoSpaceDE w:val="0"/>
              <w:autoSpaceDN w:val="0"/>
              <w:adjustRightInd w:val="0"/>
              <w:spacing w:after="0" w:line="240" w:lineRule="auto"/>
              <w:rPr>
                <w:rFonts w:ascii="Times New Roman" w:hAnsi="Times New Roman"/>
                <w:sz w:val="24"/>
                <w:szCs w:val="24"/>
              </w:rPr>
            </w:pPr>
          </w:p>
        </w:tc>
        <w:tc>
          <w:tcPr>
            <w:tcW w:w="851" w:type="pct"/>
            <w:tcBorders>
              <w:top w:val="nil"/>
              <w:left w:val="nil"/>
              <w:bottom w:val="nil"/>
              <w:right w:val="nil"/>
            </w:tcBorders>
          </w:tcPr>
          <w:p w14:paraId="7277C303"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(-8.34)</w:t>
            </w:r>
          </w:p>
        </w:tc>
        <w:tc>
          <w:tcPr>
            <w:tcW w:w="851" w:type="pct"/>
            <w:tcBorders>
              <w:top w:val="nil"/>
              <w:left w:val="nil"/>
              <w:bottom w:val="nil"/>
              <w:right w:val="nil"/>
            </w:tcBorders>
          </w:tcPr>
          <w:p w14:paraId="77813EFA"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sz w:val="24"/>
                <w:szCs w:val="24"/>
              </w:rPr>
            </w:pPr>
          </w:p>
        </w:tc>
        <w:tc>
          <w:tcPr>
            <w:tcW w:w="851" w:type="pct"/>
            <w:tcBorders>
              <w:top w:val="nil"/>
              <w:left w:val="nil"/>
              <w:bottom w:val="nil"/>
              <w:right w:val="nil"/>
            </w:tcBorders>
          </w:tcPr>
          <w:p w14:paraId="3459E472"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(-8.72)</w:t>
            </w:r>
          </w:p>
        </w:tc>
        <w:tc>
          <w:tcPr>
            <w:tcW w:w="851" w:type="pct"/>
            <w:tcBorders>
              <w:top w:val="nil"/>
              <w:left w:val="nil"/>
              <w:bottom w:val="nil"/>
              <w:right w:val="nil"/>
            </w:tcBorders>
          </w:tcPr>
          <w:p w14:paraId="779DCB58"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sz w:val="24"/>
                <w:szCs w:val="24"/>
              </w:rPr>
            </w:pPr>
          </w:p>
        </w:tc>
      </w:tr>
      <w:tr w:rsidR="005B7CAC" w:rsidRPr="005B7CAC" w14:paraId="24AC919E" w14:textId="77777777" w:rsidTr="00F92D95">
        <w:tc>
          <w:tcPr>
            <w:tcW w:w="1596" w:type="pct"/>
            <w:tcBorders>
              <w:top w:val="nil"/>
              <w:left w:val="nil"/>
              <w:bottom w:val="nil"/>
              <w:right w:val="nil"/>
            </w:tcBorders>
          </w:tcPr>
          <w:p w14:paraId="320D8440" w14:textId="77777777" w:rsidR="00F75F10" w:rsidRPr="005B7CAC" w:rsidRDefault="00F75F10"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WAST*GINVs_D</w:t>
            </w:r>
          </w:p>
        </w:tc>
        <w:tc>
          <w:tcPr>
            <w:tcW w:w="851" w:type="pct"/>
            <w:tcBorders>
              <w:top w:val="nil"/>
              <w:left w:val="nil"/>
              <w:bottom w:val="nil"/>
              <w:right w:val="nil"/>
            </w:tcBorders>
          </w:tcPr>
          <w:p w14:paraId="4B976996"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0.008</w:t>
            </w:r>
            <w:r w:rsidRPr="005B7CAC">
              <w:rPr>
                <w:rFonts w:ascii="Times New Roman" w:hAnsi="Times New Roman"/>
                <w:sz w:val="24"/>
                <w:szCs w:val="24"/>
                <w:vertAlign w:val="superscript"/>
              </w:rPr>
              <w:t>***</w:t>
            </w:r>
          </w:p>
        </w:tc>
        <w:tc>
          <w:tcPr>
            <w:tcW w:w="851" w:type="pct"/>
            <w:tcBorders>
              <w:top w:val="nil"/>
              <w:left w:val="nil"/>
              <w:bottom w:val="nil"/>
              <w:right w:val="nil"/>
            </w:tcBorders>
          </w:tcPr>
          <w:p w14:paraId="0ABA6D45"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sz w:val="24"/>
                <w:szCs w:val="24"/>
              </w:rPr>
            </w:pPr>
          </w:p>
        </w:tc>
        <w:tc>
          <w:tcPr>
            <w:tcW w:w="851" w:type="pct"/>
            <w:tcBorders>
              <w:top w:val="nil"/>
              <w:left w:val="nil"/>
              <w:bottom w:val="nil"/>
              <w:right w:val="nil"/>
            </w:tcBorders>
          </w:tcPr>
          <w:p w14:paraId="2CFEB860"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0.032</w:t>
            </w:r>
            <w:r w:rsidRPr="005B7CAC">
              <w:rPr>
                <w:rFonts w:ascii="Times New Roman" w:hAnsi="Times New Roman"/>
                <w:sz w:val="24"/>
                <w:szCs w:val="24"/>
                <w:vertAlign w:val="superscript"/>
              </w:rPr>
              <w:t>***</w:t>
            </w:r>
          </w:p>
        </w:tc>
        <w:tc>
          <w:tcPr>
            <w:tcW w:w="851" w:type="pct"/>
            <w:tcBorders>
              <w:top w:val="nil"/>
              <w:left w:val="nil"/>
              <w:bottom w:val="nil"/>
              <w:right w:val="nil"/>
            </w:tcBorders>
          </w:tcPr>
          <w:p w14:paraId="42F3F937"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sz w:val="24"/>
                <w:szCs w:val="24"/>
              </w:rPr>
            </w:pPr>
          </w:p>
        </w:tc>
      </w:tr>
      <w:tr w:rsidR="005B7CAC" w:rsidRPr="005B7CAC" w14:paraId="396172A4" w14:textId="77777777" w:rsidTr="00F92D95">
        <w:tc>
          <w:tcPr>
            <w:tcW w:w="1596" w:type="pct"/>
            <w:tcBorders>
              <w:top w:val="nil"/>
              <w:left w:val="nil"/>
              <w:bottom w:val="nil"/>
              <w:right w:val="nil"/>
            </w:tcBorders>
          </w:tcPr>
          <w:p w14:paraId="0B5B1DB0" w14:textId="77777777" w:rsidR="00F75F10" w:rsidRPr="005B7CAC" w:rsidRDefault="00F75F10" w:rsidP="00C90660">
            <w:pPr>
              <w:widowControl w:val="0"/>
              <w:autoSpaceDE w:val="0"/>
              <w:autoSpaceDN w:val="0"/>
              <w:adjustRightInd w:val="0"/>
              <w:spacing w:after="0" w:line="240" w:lineRule="auto"/>
              <w:rPr>
                <w:rFonts w:ascii="Times New Roman" w:hAnsi="Times New Roman"/>
                <w:sz w:val="24"/>
                <w:szCs w:val="24"/>
              </w:rPr>
            </w:pPr>
          </w:p>
        </w:tc>
        <w:tc>
          <w:tcPr>
            <w:tcW w:w="851" w:type="pct"/>
            <w:tcBorders>
              <w:top w:val="nil"/>
              <w:left w:val="nil"/>
              <w:bottom w:val="nil"/>
              <w:right w:val="nil"/>
            </w:tcBorders>
          </w:tcPr>
          <w:p w14:paraId="418EA0C2"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(3.01)</w:t>
            </w:r>
          </w:p>
        </w:tc>
        <w:tc>
          <w:tcPr>
            <w:tcW w:w="851" w:type="pct"/>
            <w:tcBorders>
              <w:top w:val="nil"/>
              <w:left w:val="nil"/>
              <w:bottom w:val="nil"/>
              <w:right w:val="nil"/>
            </w:tcBorders>
          </w:tcPr>
          <w:p w14:paraId="17BA18AE"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sz w:val="24"/>
                <w:szCs w:val="24"/>
              </w:rPr>
            </w:pPr>
          </w:p>
        </w:tc>
        <w:tc>
          <w:tcPr>
            <w:tcW w:w="851" w:type="pct"/>
            <w:tcBorders>
              <w:top w:val="nil"/>
              <w:left w:val="nil"/>
              <w:bottom w:val="nil"/>
              <w:right w:val="nil"/>
            </w:tcBorders>
          </w:tcPr>
          <w:p w14:paraId="59519BC2"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(3.07)</w:t>
            </w:r>
          </w:p>
        </w:tc>
        <w:tc>
          <w:tcPr>
            <w:tcW w:w="851" w:type="pct"/>
            <w:tcBorders>
              <w:top w:val="nil"/>
              <w:left w:val="nil"/>
              <w:bottom w:val="nil"/>
              <w:right w:val="nil"/>
            </w:tcBorders>
          </w:tcPr>
          <w:p w14:paraId="2AD1456F"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sz w:val="24"/>
                <w:szCs w:val="24"/>
              </w:rPr>
            </w:pPr>
          </w:p>
        </w:tc>
      </w:tr>
      <w:tr w:rsidR="005B7CAC" w:rsidRPr="005B7CAC" w14:paraId="252F1A8B" w14:textId="77777777" w:rsidTr="00F92D95">
        <w:tc>
          <w:tcPr>
            <w:tcW w:w="1596" w:type="pct"/>
            <w:tcBorders>
              <w:top w:val="nil"/>
              <w:left w:val="nil"/>
              <w:bottom w:val="nil"/>
              <w:right w:val="nil"/>
            </w:tcBorders>
          </w:tcPr>
          <w:p w14:paraId="6A77C3B5" w14:textId="77777777" w:rsidR="00F75F10" w:rsidRPr="005B7CAC" w:rsidRDefault="00F75F10"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WREC</w:t>
            </w:r>
          </w:p>
        </w:tc>
        <w:tc>
          <w:tcPr>
            <w:tcW w:w="851" w:type="pct"/>
            <w:tcBorders>
              <w:top w:val="nil"/>
              <w:left w:val="nil"/>
              <w:bottom w:val="nil"/>
              <w:right w:val="nil"/>
            </w:tcBorders>
          </w:tcPr>
          <w:p w14:paraId="0F9BF78F"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sz w:val="24"/>
                <w:szCs w:val="24"/>
              </w:rPr>
            </w:pPr>
          </w:p>
        </w:tc>
        <w:tc>
          <w:tcPr>
            <w:tcW w:w="851" w:type="pct"/>
            <w:tcBorders>
              <w:top w:val="nil"/>
              <w:left w:val="nil"/>
              <w:bottom w:val="nil"/>
              <w:right w:val="nil"/>
            </w:tcBorders>
          </w:tcPr>
          <w:p w14:paraId="6D74E5A4"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0.004</w:t>
            </w:r>
            <w:r w:rsidRPr="005B7CAC">
              <w:rPr>
                <w:rFonts w:ascii="Times New Roman" w:hAnsi="Times New Roman"/>
                <w:sz w:val="24"/>
                <w:szCs w:val="24"/>
                <w:vertAlign w:val="superscript"/>
              </w:rPr>
              <w:t>***</w:t>
            </w:r>
          </w:p>
        </w:tc>
        <w:tc>
          <w:tcPr>
            <w:tcW w:w="851" w:type="pct"/>
            <w:tcBorders>
              <w:top w:val="nil"/>
              <w:left w:val="nil"/>
              <w:bottom w:val="nil"/>
              <w:right w:val="nil"/>
            </w:tcBorders>
          </w:tcPr>
          <w:p w14:paraId="389AA35D"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sz w:val="24"/>
                <w:szCs w:val="24"/>
              </w:rPr>
            </w:pPr>
          </w:p>
        </w:tc>
        <w:tc>
          <w:tcPr>
            <w:tcW w:w="851" w:type="pct"/>
            <w:tcBorders>
              <w:top w:val="nil"/>
              <w:left w:val="nil"/>
              <w:bottom w:val="nil"/>
              <w:right w:val="nil"/>
            </w:tcBorders>
          </w:tcPr>
          <w:p w14:paraId="1F79F816"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0.007</w:t>
            </w:r>
            <w:r w:rsidRPr="005B7CAC">
              <w:rPr>
                <w:rFonts w:ascii="Times New Roman" w:hAnsi="Times New Roman"/>
                <w:sz w:val="24"/>
                <w:szCs w:val="24"/>
                <w:vertAlign w:val="superscript"/>
              </w:rPr>
              <w:t>***</w:t>
            </w:r>
          </w:p>
        </w:tc>
      </w:tr>
      <w:tr w:rsidR="005B7CAC" w:rsidRPr="005B7CAC" w14:paraId="1828994D" w14:textId="77777777" w:rsidTr="00F92D95">
        <w:tc>
          <w:tcPr>
            <w:tcW w:w="1596" w:type="pct"/>
            <w:tcBorders>
              <w:top w:val="nil"/>
              <w:left w:val="nil"/>
              <w:bottom w:val="nil"/>
              <w:right w:val="nil"/>
            </w:tcBorders>
          </w:tcPr>
          <w:p w14:paraId="1B1A02F7" w14:textId="77777777" w:rsidR="00F75F10" w:rsidRPr="005B7CAC" w:rsidRDefault="00F75F10" w:rsidP="00C90660">
            <w:pPr>
              <w:widowControl w:val="0"/>
              <w:autoSpaceDE w:val="0"/>
              <w:autoSpaceDN w:val="0"/>
              <w:adjustRightInd w:val="0"/>
              <w:spacing w:after="0" w:line="240" w:lineRule="auto"/>
              <w:rPr>
                <w:rFonts w:ascii="Times New Roman" w:hAnsi="Times New Roman"/>
                <w:sz w:val="24"/>
                <w:szCs w:val="24"/>
              </w:rPr>
            </w:pPr>
          </w:p>
        </w:tc>
        <w:tc>
          <w:tcPr>
            <w:tcW w:w="851" w:type="pct"/>
            <w:tcBorders>
              <w:top w:val="nil"/>
              <w:left w:val="nil"/>
              <w:bottom w:val="nil"/>
              <w:right w:val="nil"/>
            </w:tcBorders>
          </w:tcPr>
          <w:p w14:paraId="4FF0879C"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sz w:val="24"/>
                <w:szCs w:val="24"/>
              </w:rPr>
            </w:pPr>
          </w:p>
        </w:tc>
        <w:tc>
          <w:tcPr>
            <w:tcW w:w="851" w:type="pct"/>
            <w:tcBorders>
              <w:top w:val="nil"/>
              <w:left w:val="nil"/>
              <w:bottom w:val="nil"/>
              <w:right w:val="nil"/>
            </w:tcBorders>
          </w:tcPr>
          <w:p w14:paraId="598F4942"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(8.16)</w:t>
            </w:r>
          </w:p>
        </w:tc>
        <w:tc>
          <w:tcPr>
            <w:tcW w:w="851" w:type="pct"/>
            <w:tcBorders>
              <w:top w:val="nil"/>
              <w:left w:val="nil"/>
              <w:bottom w:val="nil"/>
              <w:right w:val="nil"/>
            </w:tcBorders>
          </w:tcPr>
          <w:p w14:paraId="68FA3DCB"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sz w:val="24"/>
                <w:szCs w:val="24"/>
              </w:rPr>
            </w:pPr>
          </w:p>
        </w:tc>
        <w:tc>
          <w:tcPr>
            <w:tcW w:w="851" w:type="pct"/>
            <w:tcBorders>
              <w:top w:val="nil"/>
              <w:left w:val="nil"/>
              <w:bottom w:val="nil"/>
              <w:right w:val="nil"/>
            </w:tcBorders>
          </w:tcPr>
          <w:p w14:paraId="63218643"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(6.11)</w:t>
            </w:r>
          </w:p>
        </w:tc>
      </w:tr>
      <w:tr w:rsidR="005B7CAC" w:rsidRPr="005B7CAC" w14:paraId="4527FD69" w14:textId="77777777" w:rsidTr="00F92D95">
        <w:tc>
          <w:tcPr>
            <w:tcW w:w="1596" w:type="pct"/>
            <w:tcBorders>
              <w:top w:val="nil"/>
              <w:left w:val="nil"/>
              <w:bottom w:val="nil"/>
              <w:right w:val="nil"/>
            </w:tcBorders>
          </w:tcPr>
          <w:p w14:paraId="688DD418" w14:textId="77777777" w:rsidR="00F75F10" w:rsidRPr="005B7CAC" w:rsidRDefault="00F75F10"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WREC*GINVs_D</w:t>
            </w:r>
          </w:p>
        </w:tc>
        <w:tc>
          <w:tcPr>
            <w:tcW w:w="851" w:type="pct"/>
            <w:tcBorders>
              <w:top w:val="nil"/>
              <w:left w:val="nil"/>
              <w:bottom w:val="nil"/>
              <w:right w:val="nil"/>
            </w:tcBorders>
          </w:tcPr>
          <w:p w14:paraId="240E949B"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sz w:val="24"/>
                <w:szCs w:val="24"/>
              </w:rPr>
            </w:pPr>
          </w:p>
        </w:tc>
        <w:tc>
          <w:tcPr>
            <w:tcW w:w="851" w:type="pct"/>
            <w:tcBorders>
              <w:top w:val="nil"/>
              <w:left w:val="nil"/>
              <w:bottom w:val="nil"/>
              <w:right w:val="nil"/>
            </w:tcBorders>
          </w:tcPr>
          <w:p w14:paraId="5E67C9C3"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-0.003</w:t>
            </w:r>
            <w:r w:rsidRPr="005B7CAC">
              <w:rPr>
                <w:rFonts w:ascii="Times New Roman" w:hAnsi="Times New Roman"/>
                <w:sz w:val="24"/>
                <w:szCs w:val="24"/>
                <w:vertAlign w:val="superscript"/>
              </w:rPr>
              <w:t>***</w:t>
            </w:r>
          </w:p>
        </w:tc>
        <w:tc>
          <w:tcPr>
            <w:tcW w:w="851" w:type="pct"/>
            <w:tcBorders>
              <w:top w:val="nil"/>
              <w:left w:val="nil"/>
              <w:bottom w:val="nil"/>
              <w:right w:val="nil"/>
            </w:tcBorders>
          </w:tcPr>
          <w:p w14:paraId="4EB4144E"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sz w:val="24"/>
                <w:szCs w:val="24"/>
              </w:rPr>
            </w:pPr>
          </w:p>
        </w:tc>
        <w:tc>
          <w:tcPr>
            <w:tcW w:w="851" w:type="pct"/>
            <w:tcBorders>
              <w:top w:val="nil"/>
              <w:left w:val="nil"/>
              <w:bottom w:val="nil"/>
              <w:right w:val="nil"/>
            </w:tcBorders>
          </w:tcPr>
          <w:p w14:paraId="6D7BE5B3"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-0.004</w:t>
            </w:r>
            <w:r w:rsidRPr="005B7CAC">
              <w:rPr>
                <w:rFonts w:ascii="Times New Roman" w:hAnsi="Times New Roman"/>
                <w:sz w:val="24"/>
                <w:szCs w:val="24"/>
                <w:vertAlign w:val="superscript"/>
              </w:rPr>
              <w:t>***</w:t>
            </w:r>
          </w:p>
        </w:tc>
      </w:tr>
      <w:tr w:rsidR="005B7CAC" w:rsidRPr="005B7CAC" w14:paraId="667213F3" w14:textId="77777777" w:rsidTr="00F92D95">
        <w:tc>
          <w:tcPr>
            <w:tcW w:w="1596" w:type="pct"/>
            <w:tcBorders>
              <w:top w:val="nil"/>
              <w:left w:val="nil"/>
              <w:bottom w:val="nil"/>
              <w:right w:val="nil"/>
            </w:tcBorders>
          </w:tcPr>
          <w:p w14:paraId="2A3188E0" w14:textId="77777777" w:rsidR="00F75F10" w:rsidRPr="005B7CAC" w:rsidRDefault="00F75F10" w:rsidP="00C90660">
            <w:pPr>
              <w:widowControl w:val="0"/>
              <w:autoSpaceDE w:val="0"/>
              <w:autoSpaceDN w:val="0"/>
              <w:adjustRightInd w:val="0"/>
              <w:spacing w:after="0" w:line="240" w:lineRule="auto"/>
              <w:rPr>
                <w:rFonts w:ascii="Times New Roman" w:hAnsi="Times New Roman"/>
                <w:sz w:val="24"/>
                <w:szCs w:val="24"/>
              </w:rPr>
            </w:pPr>
          </w:p>
        </w:tc>
        <w:tc>
          <w:tcPr>
            <w:tcW w:w="851" w:type="pct"/>
            <w:tcBorders>
              <w:top w:val="nil"/>
              <w:left w:val="nil"/>
              <w:bottom w:val="nil"/>
              <w:right w:val="nil"/>
            </w:tcBorders>
          </w:tcPr>
          <w:p w14:paraId="495CCA26"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sz w:val="24"/>
                <w:szCs w:val="24"/>
              </w:rPr>
            </w:pPr>
          </w:p>
        </w:tc>
        <w:tc>
          <w:tcPr>
            <w:tcW w:w="851" w:type="pct"/>
            <w:tcBorders>
              <w:top w:val="nil"/>
              <w:left w:val="nil"/>
              <w:bottom w:val="nil"/>
              <w:right w:val="nil"/>
            </w:tcBorders>
          </w:tcPr>
          <w:p w14:paraId="07C3E64E"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(-4.68)</w:t>
            </w:r>
          </w:p>
        </w:tc>
        <w:tc>
          <w:tcPr>
            <w:tcW w:w="851" w:type="pct"/>
            <w:tcBorders>
              <w:top w:val="nil"/>
              <w:left w:val="nil"/>
              <w:bottom w:val="nil"/>
              <w:right w:val="nil"/>
            </w:tcBorders>
          </w:tcPr>
          <w:p w14:paraId="0166F14B"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sz w:val="24"/>
                <w:szCs w:val="24"/>
              </w:rPr>
            </w:pPr>
          </w:p>
        </w:tc>
        <w:tc>
          <w:tcPr>
            <w:tcW w:w="851" w:type="pct"/>
            <w:tcBorders>
              <w:top w:val="nil"/>
              <w:left w:val="nil"/>
              <w:bottom w:val="nil"/>
              <w:right w:val="nil"/>
            </w:tcBorders>
          </w:tcPr>
          <w:p w14:paraId="65436B23"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(-2.94)</w:t>
            </w:r>
          </w:p>
        </w:tc>
      </w:tr>
      <w:tr w:rsidR="005B7CAC" w:rsidRPr="005B7CAC" w14:paraId="07B40C7E" w14:textId="77777777" w:rsidTr="00F92D95">
        <w:tc>
          <w:tcPr>
            <w:tcW w:w="1596" w:type="pct"/>
            <w:tcBorders>
              <w:top w:val="nil"/>
              <w:left w:val="nil"/>
              <w:bottom w:val="nil"/>
              <w:right w:val="nil"/>
            </w:tcBorders>
          </w:tcPr>
          <w:p w14:paraId="41744EB5" w14:textId="77777777" w:rsidR="00F75F10" w:rsidRPr="005B7CAC" w:rsidRDefault="00F75F10" w:rsidP="00C9066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GINVS_D</w:t>
            </w:r>
          </w:p>
        </w:tc>
        <w:tc>
          <w:tcPr>
            <w:tcW w:w="851" w:type="pct"/>
            <w:tcBorders>
              <w:top w:val="nil"/>
              <w:left w:val="nil"/>
              <w:bottom w:val="nil"/>
              <w:right w:val="nil"/>
            </w:tcBorders>
          </w:tcPr>
          <w:p w14:paraId="25FC5224"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0.006</w:t>
            </w:r>
          </w:p>
        </w:tc>
        <w:tc>
          <w:tcPr>
            <w:tcW w:w="851" w:type="pct"/>
            <w:tcBorders>
              <w:top w:val="nil"/>
              <w:left w:val="nil"/>
              <w:bottom w:val="nil"/>
              <w:right w:val="nil"/>
            </w:tcBorders>
          </w:tcPr>
          <w:p w14:paraId="5BE8077E"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0.189</w:t>
            </w:r>
            <w:r w:rsidRPr="005B7CAC">
              <w:rPr>
                <w:rFonts w:ascii="Times New Roman" w:hAnsi="Times New Roman"/>
                <w:sz w:val="24"/>
                <w:szCs w:val="24"/>
                <w:vertAlign w:val="superscript"/>
              </w:rPr>
              <w:t>***</w:t>
            </w:r>
          </w:p>
        </w:tc>
        <w:tc>
          <w:tcPr>
            <w:tcW w:w="851" w:type="pct"/>
            <w:tcBorders>
              <w:top w:val="nil"/>
              <w:left w:val="nil"/>
              <w:bottom w:val="nil"/>
              <w:right w:val="nil"/>
            </w:tcBorders>
          </w:tcPr>
          <w:p w14:paraId="6F74537F"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0.047</w:t>
            </w:r>
          </w:p>
        </w:tc>
        <w:tc>
          <w:tcPr>
            <w:tcW w:w="851" w:type="pct"/>
            <w:tcBorders>
              <w:top w:val="nil"/>
              <w:left w:val="nil"/>
              <w:bottom w:val="nil"/>
              <w:right w:val="nil"/>
            </w:tcBorders>
          </w:tcPr>
          <w:p w14:paraId="5CB43076"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0.320</w:t>
            </w:r>
            <w:r w:rsidRPr="005B7CAC">
              <w:rPr>
                <w:rFonts w:ascii="Times New Roman" w:hAnsi="Times New Roman"/>
                <w:sz w:val="24"/>
                <w:szCs w:val="24"/>
                <w:vertAlign w:val="superscript"/>
              </w:rPr>
              <w:t>***</w:t>
            </w:r>
          </w:p>
        </w:tc>
      </w:tr>
      <w:tr w:rsidR="005B7CAC" w:rsidRPr="005B7CAC" w14:paraId="05EB6A93" w14:textId="77777777" w:rsidTr="00F92D95">
        <w:tc>
          <w:tcPr>
            <w:tcW w:w="1596" w:type="pct"/>
            <w:tcBorders>
              <w:top w:val="nil"/>
              <w:left w:val="nil"/>
              <w:bottom w:val="nil"/>
              <w:right w:val="nil"/>
            </w:tcBorders>
          </w:tcPr>
          <w:p w14:paraId="214FE749" w14:textId="77777777" w:rsidR="00F75F10" w:rsidRPr="005B7CAC" w:rsidRDefault="00F75F10" w:rsidP="00C90660">
            <w:pPr>
              <w:widowControl w:val="0"/>
              <w:autoSpaceDE w:val="0"/>
              <w:autoSpaceDN w:val="0"/>
              <w:adjustRightInd w:val="0"/>
              <w:spacing w:after="0" w:line="240" w:lineRule="auto"/>
              <w:rPr>
                <w:rFonts w:ascii="Times New Roman" w:hAnsi="Times New Roman"/>
                <w:sz w:val="24"/>
                <w:szCs w:val="24"/>
              </w:rPr>
            </w:pPr>
          </w:p>
        </w:tc>
        <w:tc>
          <w:tcPr>
            <w:tcW w:w="851" w:type="pct"/>
            <w:tcBorders>
              <w:top w:val="nil"/>
              <w:left w:val="nil"/>
              <w:bottom w:val="nil"/>
              <w:right w:val="nil"/>
            </w:tcBorders>
          </w:tcPr>
          <w:p w14:paraId="1168A720"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(0.33)</w:t>
            </w:r>
          </w:p>
        </w:tc>
        <w:tc>
          <w:tcPr>
            <w:tcW w:w="851" w:type="pct"/>
            <w:tcBorders>
              <w:top w:val="nil"/>
              <w:left w:val="nil"/>
              <w:bottom w:val="nil"/>
              <w:right w:val="nil"/>
            </w:tcBorders>
          </w:tcPr>
          <w:p w14:paraId="76E034AA"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(3.89)</w:t>
            </w:r>
          </w:p>
        </w:tc>
        <w:tc>
          <w:tcPr>
            <w:tcW w:w="851" w:type="pct"/>
            <w:tcBorders>
              <w:top w:val="nil"/>
              <w:left w:val="nil"/>
              <w:bottom w:val="nil"/>
              <w:right w:val="nil"/>
            </w:tcBorders>
          </w:tcPr>
          <w:p w14:paraId="125146E3"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(1.11)</w:t>
            </w:r>
          </w:p>
        </w:tc>
        <w:tc>
          <w:tcPr>
            <w:tcW w:w="851" w:type="pct"/>
            <w:tcBorders>
              <w:top w:val="nil"/>
              <w:left w:val="nil"/>
              <w:bottom w:val="nil"/>
              <w:right w:val="nil"/>
            </w:tcBorders>
          </w:tcPr>
          <w:p w14:paraId="53191FF2" w14:textId="77777777" w:rsidR="00F75F10" w:rsidRPr="005B7CAC" w:rsidRDefault="00F75F10"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(2.67)</w:t>
            </w:r>
          </w:p>
        </w:tc>
      </w:tr>
      <w:tr w:rsidR="005B7CAC" w:rsidRPr="005B7CAC" w14:paraId="0A4F9F55" w14:textId="77777777" w:rsidTr="00F92D95">
        <w:tc>
          <w:tcPr>
            <w:tcW w:w="1596" w:type="pct"/>
            <w:tcBorders>
              <w:top w:val="nil"/>
              <w:left w:val="nil"/>
              <w:bottom w:val="nil"/>
              <w:right w:val="nil"/>
            </w:tcBorders>
          </w:tcPr>
          <w:p w14:paraId="33642CD8" w14:textId="77777777" w:rsidR="00F75F10" w:rsidRPr="005B7CAC" w:rsidRDefault="00F75F10" w:rsidP="00F75F1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Controls</w:t>
            </w:r>
          </w:p>
        </w:tc>
        <w:tc>
          <w:tcPr>
            <w:tcW w:w="851" w:type="pct"/>
            <w:tcBorders>
              <w:top w:val="nil"/>
              <w:left w:val="nil"/>
              <w:bottom w:val="nil"/>
              <w:right w:val="nil"/>
            </w:tcBorders>
          </w:tcPr>
          <w:p w14:paraId="25193116" w14:textId="10CBAC76" w:rsidR="00F75F10" w:rsidRPr="005B7CAC" w:rsidRDefault="00F75F10" w:rsidP="00F75F10">
            <w:pPr>
              <w:widowControl w:val="0"/>
              <w:autoSpaceDE w:val="0"/>
              <w:autoSpaceDN w:val="0"/>
              <w:adjustRightInd w:val="0"/>
              <w:spacing w:after="0" w:line="240" w:lineRule="auto"/>
              <w:jc w:val="center"/>
              <w:rPr>
                <w:rFonts w:ascii="Times New Roman" w:hAnsi="Times New Roman"/>
                <w:sz w:val="24"/>
                <w:szCs w:val="24"/>
                <w:lang w:val="en-US"/>
              </w:rPr>
            </w:pPr>
            <w:r w:rsidRPr="005B7CAC">
              <w:rPr>
                <w:rFonts w:ascii="Times New Roman" w:hAnsi="Times New Roman"/>
                <w:sz w:val="24"/>
                <w:szCs w:val="24"/>
                <w:lang w:val="en-US"/>
              </w:rPr>
              <w:t>Included</w:t>
            </w:r>
          </w:p>
        </w:tc>
        <w:tc>
          <w:tcPr>
            <w:tcW w:w="851" w:type="pct"/>
            <w:tcBorders>
              <w:top w:val="nil"/>
              <w:left w:val="nil"/>
              <w:bottom w:val="nil"/>
              <w:right w:val="nil"/>
            </w:tcBorders>
          </w:tcPr>
          <w:p w14:paraId="527CF1EE" w14:textId="71499969" w:rsidR="00F75F10" w:rsidRPr="005B7CAC" w:rsidRDefault="00F75F10" w:rsidP="00F75F1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Included</w:t>
            </w:r>
          </w:p>
        </w:tc>
        <w:tc>
          <w:tcPr>
            <w:tcW w:w="851" w:type="pct"/>
            <w:tcBorders>
              <w:top w:val="nil"/>
              <w:left w:val="nil"/>
              <w:bottom w:val="nil"/>
              <w:right w:val="nil"/>
            </w:tcBorders>
          </w:tcPr>
          <w:p w14:paraId="1E5A289B" w14:textId="3A3B00CC" w:rsidR="00F75F10" w:rsidRPr="005B7CAC" w:rsidRDefault="00F75F10" w:rsidP="00F75F1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Included</w:t>
            </w:r>
          </w:p>
        </w:tc>
        <w:tc>
          <w:tcPr>
            <w:tcW w:w="851" w:type="pct"/>
            <w:tcBorders>
              <w:top w:val="nil"/>
              <w:left w:val="nil"/>
              <w:bottom w:val="nil"/>
              <w:right w:val="nil"/>
            </w:tcBorders>
          </w:tcPr>
          <w:p w14:paraId="03D4806E" w14:textId="27DCEC45" w:rsidR="00F75F10" w:rsidRPr="005B7CAC" w:rsidRDefault="00F75F10" w:rsidP="00F75F1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Included</w:t>
            </w:r>
          </w:p>
        </w:tc>
      </w:tr>
      <w:tr w:rsidR="005B7CAC" w:rsidRPr="005B7CAC" w14:paraId="72E8C8F9" w14:textId="77777777" w:rsidTr="00F92D95">
        <w:tc>
          <w:tcPr>
            <w:tcW w:w="1596" w:type="pct"/>
            <w:tcBorders>
              <w:top w:val="nil"/>
              <w:left w:val="nil"/>
              <w:bottom w:val="single" w:sz="8" w:space="0" w:color="auto"/>
              <w:right w:val="nil"/>
            </w:tcBorders>
          </w:tcPr>
          <w:p w14:paraId="2BA0292A" w14:textId="551AA72C" w:rsidR="00F75F10" w:rsidRPr="005B7CAC" w:rsidRDefault="00F75F10" w:rsidP="00F75F10">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rPr>
              <w:t>Year</w:t>
            </w:r>
            <w:r w:rsidRPr="005B7CAC">
              <w:rPr>
                <w:rFonts w:ascii="Times New Roman" w:hAnsi="Times New Roman"/>
                <w:sz w:val="24"/>
                <w:szCs w:val="24"/>
                <w:lang w:val="en-US"/>
              </w:rPr>
              <w:t>/Industry FE</w:t>
            </w:r>
          </w:p>
        </w:tc>
        <w:tc>
          <w:tcPr>
            <w:tcW w:w="851" w:type="pct"/>
            <w:tcBorders>
              <w:top w:val="nil"/>
              <w:left w:val="nil"/>
              <w:bottom w:val="single" w:sz="8" w:space="0" w:color="auto"/>
              <w:right w:val="nil"/>
            </w:tcBorders>
          </w:tcPr>
          <w:p w14:paraId="3A580D52" w14:textId="54AA1429" w:rsidR="00F75F10" w:rsidRPr="005B7CAC" w:rsidRDefault="00F75F10" w:rsidP="00F75F10">
            <w:pPr>
              <w:widowControl w:val="0"/>
              <w:autoSpaceDE w:val="0"/>
              <w:autoSpaceDN w:val="0"/>
              <w:adjustRightInd w:val="0"/>
              <w:spacing w:after="0" w:line="240" w:lineRule="auto"/>
              <w:jc w:val="center"/>
              <w:rPr>
                <w:rFonts w:ascii="Times New Roman" w:hAnsi="Times New Roman"/>
                <w:sz w:val="24"/>
                <w:szCs w:val="24"/>
                <w:lang w:val="en-US"/>
              </w:rPr>
            </w:pPr>
            <w:r w:rsidRPr="005B7CAC">
              <w:rPr>
                <w:rFonts w:ascii="Times New Roman" w:hAnsi="Times New Roman"/>
                <w:sz w:val="24"/>
                <w:szCs w:val="24"/>
                <w:lang w:val="en-US"/>
              </w:rPr>
              <w:t>Yes</w:t>
            </w:r>
          </w:p>
        </w:tc>
        <w:tc>
          <w:tcPr>
            <w:tcW w:w="851" w:type="pct"/>
            <w:tcBorders>
              <w:top w:val="nil"/>
              <w:left w:val="nil"/>
              <w:bottom w:val="single" w:sz="8" w:space="0" w:color="auto"/>
              <w:right w:val="nil"/>
            </w:tcBorders>
          </w:tcPr>
          <w:p w14:paraId="5F03CD31" w14:textId="2F8F4B81" w:rsidR="00F75F10" w:rsidRPr="005B7CAC" w:rsidRDefault="00F75F10" w:rsidP="00F75F1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Yes</w:t>
            </w:r>
          </w:p>
        </w:tc>
        <w:tc>
          <w:tcPr>
            <w:tcW w:w="851" w:type="pct"/>
            <w:tcBorders>
              <w:top w:val="nil"/>
              <w:left w:val="nil"/>
              <w:bottom w:val="single" w:sz="8" w:space="0" w:color="auto"/>
              <w:right w:val="nil"/>
            </w:tcBorders>
          </w:tcPr>
          <w:p w14:paraId="2FE3B8CD" w14:textId="049A60DD" w:rsidR="00F75F10" w:rsidRPr="005B7CAC" w:rsidRDefault="00F75F10" w:rsidP="00F75F1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Yes</w:t>
            </w:r>
          </w:p>
        </w:tc>
        <w:tc>
          <w:tcPr>
            <w:tcW w:w="851" w:type="pct"/>
            <w:tcBorders>
              <w:top w:val="nil"/>
              <w:left w:val="nil"/>
              <w:bottom w:val="single" w:sz="8" w:space="0" w:color="auto"/>
              <w:right w:val="nil"/>
            </w:tcBorders>
          </w:tcPr>
          <w:p w14:paraId="4E356ECF" w14:textId="6160CC76" w:rsidR="00F75F10" w:rsidRPr="005B7CAC" w:rsidRDefault="00F75F10" w:rsidP="00F75F1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Yes</w:t>
            </w:r>
          </w:p>
        </w:tc>
      </w:tr>
      <w:tr w:rsidR="005B7CAC" w:rsidRPr="005B7CAC" w14:paraId="1258907E" w14:textId="77777777" w:rsidTr="00F92D95">
        <w:tc>
          <w:tcPr>
            <w:tcW w:w="1596" w:type="pct"/>
            <w:tcBorders>
              <w:top w:val="single" w:sz="8" w:space="0" w:color="auto"/>
              <w:left w:val="nil"/>
              <w:bottom w:val="nil"/>
              <w:right w:val="nil"/>
            </w:tcBorders>
          </w:tcPr>
          <w:p w14:paraId="419B8946" w14:textId="26331612" w:rsidR="00F75F10" w:rsidRPr="005B7CAC" w:rsidRDefault="00F75F10" w:rsidP="00F75F1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rPr>
              <w:t>Observations</w:t>
            </w:r>
          </w:p>
        </w:tc>
        <w:tc>
          <w:tcPr>
            <w:tcW w:w="851" w:type="pct"/>
            <w:tcBorders>
              <w:top w:val="single" w:sz="8" w:space="0" w:color="auto"/>
              <w:left w:val="nil"/>
              <w:bottom w:val="nil"/>
              <w:right w:val="nil"/>
            </w:tcBorders>
          </w:tcPr>
          <w:p w14:paraId="06EE2484" w14:textId="3ABAC954" w:rsidR="00F75F10" w:rsidRPr="005B7CAC" w:rsidRDefault="00F75F10" w:rsidP="00F75F1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1667</w:t>
            </w:r>
          </w:p>
        </w:tc>
        <w:tc>
          <w:tcPr>
            <w:tcW w:w="851" w:type="pct"/>
            <w:tcBorders>
              <w:top w:val="single" w:sz="8" w:space="0" w:color="auto"/>
              <w:left w:val="nil"/>
              <w:bottom w:val="nil"/>
              <w:right w:val="nil"/>
            </w:tcBorders>
          </w:tcPr>
          <w:p w14:paraId="78FB8682" w14:textId="336AD3DF" w:rsidR="00F75F10" w:rsidRPr="005B7CAC" w:rsidRDefault="00F75F10" w:rsidP="00F75F1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1302</w:t>
            </w:r>
          </w:p>
        </w:tc>
        <w:tc>
          <w:tcPr>
            <w:tcW w:w="851" w:type="pct"/>
            <w:tcBorders>
              <w:top w:val="single" w:sz="8" w:space="0" w:color="auto"/>
              <w:left w:val="nil"/>
              <w:bottom w:val="nil"/>
              <w:right w:val="nil"/>
            </w:tcBorders>
          </w:tcPr>
          <w:p w14:paraId="64643005" w14:textId="2BC07CB9" w:rsidR="00F75F10" w:rsidRPr="005B7CAC" w:rsidRDefault="00F75F10" w:rsidP="00F75F1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1667</w:t>
            </w:r>
          </w:p>
        </w:tc>
        <w:tc>
          <w:tcPr>
            <w:tcW w:w="851" w:type="pct"/>
            <w:tcBorders>
              <w:top w:val="single" w:sz="8" w:space="0" w:color="auto"/>
              <w:left w:val="nil"/>
              <w:bottom w:val="nil"/>
              <w:right w:val="nil"/>
            </w:tcBorders>
          </w:tcPr>
          <w:p w14:paraId="72932753" w14:textId="51A63488" w:rsidR="00F75F10" w:rsidRPr="005B7CAC" w:rsidRDefault="00F75F10" w:rsidP="00F75F1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1302</w:t>
            </w:r>
          </w:p>
        </w:tc>
      </w:tr>
      <w:tr w:rsidR="005B7CAC" w:rsidRPr="005B7CAC" w14:paraId="0906D38D" w14:textId="77777777" w:rsidTr="00F92D95">
        <w:tc>
          <w:tcPr>
            <w:tcW w:w="1596" w:type="pct"/>
            <w:tcBorders>
              <w:top w:val="nil"/>
              <w:left w:val="nil"/>
              <w:bottom w:val="single" w:sz="12" w:space="0" w:color="auto"/>
              <w:right w:val="nil"/>
            </w:tcBorders>
          </w:tcPr>
          <w:p w14:paraId="6AABF6A1" w14:textId="5B73B8F9" w:rsidR="00F75F10" w:rsidRPr="005B7CAC" w:rsidRDefault="00F75F10" w:rsidP="00F75F10">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rPr>
              <w:t>Adj. R-sq.</w:t>
            </w:r>
          </w:p>
        </w:tc>
        <w:tc>
          <w:tcPr>
            <w:tcW w:w="851" w:type="pct"/>
            <w:tcBorders>
              <w:top w:val="nil"/>
              <w:left w:val="nil"/>
              <w:bottom w:val="single" w:sz="12" w:space="0" w:color="auto"/>
              <w:right w:val="nil"/>
            </w:tcBorders>
          </w:tcPr>
          <w:p w14:paraId="62217BEB" w14:textId="77777777" w:rsidR="00F75F10" w:rsidRPr="005B7CAC" w:rsidRDefault="00F75F10" w:rsidP="00F75F1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0.491</w:t>
            </w:r>
          </w:p>
        </w:tc>
        <w:tc>
          <w:tcPr>
            <w:tcW w:w="851" w:type="pct"/>
            <w:tcBorders>
              <w:top w:val="nil"/>
              <w:left w:val="nil"/>
              <w:bottom w:val="single" w:sz="12" w:space="0" w:color="auto"/>
              <w:right w:val="nil"/>
            </w:tcBorders>
          </w:tcPr>
          <w:p w14:paraId="399BC2C2" w14:textId="77777777" w:rsidR="00F75F10" w:rsidRPr="005B7CAC" w:rsidRDefault="00F75F10" w:rsidP="00F75F1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0.571</w:t>
            </w:r>
          </w:p>
        </w:tc>
        <w:tc>
          <w:tcPr>
            <w:tcW w:w="851" w:type="pct"/>
            <w:tcBorders>
              <w:top w:val="nil"/>
              <w:left w:val="nil"/>
              <w:bottom w:val="single" w:sz="12" w:space="0" w:color="auto"/>
              <w:right w:val="nil"/>
            </w:tcBorders>
          </w:tcPr>
          <w:p w14:paraId="278B64E5" w14:textId="77777777" w:rsidR="00F75F10" w:rsidRPr="005B7CAC" w:rsidRDefault="00F75F10" w:rsidP="00F75F1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0.476</w:t>
            </w:r>
          </w:p>
        </w:tc>
        <w:tc>
          <w:tcPr>
            <w:tcW w:w="851" w:type="pct"/>
            <w:tcBorders>
              <w:top w:val="nil"/>
              <w:left w:val="nil"/>
              <w:bottom w:val="single" w:sz="12" w:space="0" w:color="auto"/>
              <w:right w:val="nil"/>
            </w:tcBorders>
          </w:tcPr>
          <w:p w14:paraId="29AA658E" w14:textId="77777777" w:rsidR="00F75F10" w:rsidRPr="005B7CAC" w:rsidRDefault="00F75F10" w:rsidP="00F75F1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0.533</w:t>
            </w:r>
          </w:p>
        </w:tc>
      </w:tr>
    </w:tbl>
    <w:p w14:paraId="139530E0" w14:textId="0A603E52" w:rsidR="00F92D95" w:rsidRPr="005B7CAC" w:rsidRDefault="00F92D95" w:rsidP="00F92D95">
      <w:pPr>
        <w:widowControl w:val="0"/>
        <w:autoSpaceDE w:val="0"/>
        <w:autoSpaceDN w:val="0"/>
        <w:adjustRightInd w:val="0"/>
        <w:spacing w:after="0" w:line="240" w:lineRule="auto"/>
        <w:jc w:val="both"/>
        <w:rPr>
          <w:rFonts w:ascii="Times New Roman" w:hAnsi="Times New Roman"/>
          <w:iCs/>
          <w:lang w:val="en-US"/>
        </w:rPr>
      </w:pPr>
      <w:r w:rsidRPr="005B7CAC">
        <w:rPr>
          <w:rFonts w:ascii="Times New Roman" w:hAnsi="Times New Roman"/>
          <w:b/>
          <w:iCs/>
          <w:lang w:val="en-US"/>
        </w:rPr>
        <w:t>Note(s):</w:t>
      </w:r>
      <w:r w:rsidRPr="005B7CAC">
        <w:rPr>
          <w:rFonts w:ascii="Times New Roman" w:hAnsi="Times New Roman"/>
          <w:iCs/>
          <w:lang w:val="en-US"/>
        </w:rPr>
        <w:t xml:space="preserve"> This table reports the links among green initiatives (</w:t>
      </w:r>
      <w:r w:rsidRPr="005B7CAC">
        <w:rPr>
          <w:rFonts w:ascii="Times New Roman" w:hAnsi="Times New Roman"/>
          <w:i/>
          <w:lang w:val="en-US"/>
        </w:rPr>
        <w:t>GINVs</w:t>
      </w:r>
      <w:r w:rsidRPr="005B7CAC">
        <w:rPr>
          <w:rFonts w:ascii="Times New Roman" w:hAnsi="Times New Roman"/>
          <w:iCs/>
          <w:lang w:val="en-US"/>
        </w:rPr>
        <w:t>), waste management (</w:t>
      </w:r>
      <w:r w:rsidRPr="005B7CAC">
        <w:rPr>
          <w:rFonts w:ascii="Times New Roman" w:hAnsi="Times New Roman"/>
          <w:i/>
          <w:lang w:val="en-US"/>
        </w:rPr>
        <w:t>WM</w:t>
      </w:r>
      <w:r w:rsidRPr="005B7CAC">
        <w:rPr>
          <w:rFonts w:ascii="Times New Roman" w:hAnsi="Times New Roman"/>
          <w:iCs/>
          <w:lang w:val="en-US"/>
        </w:rPr>
        <w:t>), and financial distress (</w:t>
      </w:r>
      <w:r w:rsidRPr="005B7CAC">
        <w:rPr>
          <w:rFonts w:ascii="Times New Roman" w:hAnsi="Times New Roman"/>
          <w:i/>
          <w:lang w:val="en-US"/>
        </w:rPr>
        <w:t>FD</w:t>
      </w:r>
      <w:r w:rsidRPr="005B7CAC">
        <w:rPr>
          <w:rFonts w:ascii="Times New Roman" w:hAnsi="Times New Roman"/>
          <w:iCs/>
          <w:lang w:val="en-US"/>
        </w:rPr>
        <w:t xml:space="preserve">) </w:t>
      </w:r>
      <w:r w:rsidR="002F6908" w:rsidRPr="005B7CAC">
        <w:rPr>
          <w:rFonts w:ascii="Times New Roman" w:hAnsi="Times New Roman"/>
          <w:iCs/>
          <w:lang w:val="en-US"/>
        </w:rPr>
        <w:t xml:space="preserve">using </w:t>
      </w:r>
      <w:r w:rsidR="00A95385" w:rsidRPr="005B7CAC">
        <w:rPr>
          <w:rFonts w:ascii="Times New Roman" w:hAnsi="Times New Roman"/>
          <w:iCs/>
          <w:lang w:val="en-US"/>
        </w:rPr>
        <w:t>a</w:t>
      </w:r>
      <w:r w:rsidR="006B4209" w:rsidRPr="005B7CAC">
        <w:rPr>
          <w:rFonts w:ascii="Times New Roman" w:hAnsi="Times New Roman"/>
          <w:iCs/>
          <w:lang w:val="en-US"/>
        </w:rPr>
        <w:t xml:space="preserve">n additional </w:t>
      </w:r>
      <w:r w:rsidRPr="005B7CAC">
        <w:rPr>
          <w:rFonts w:ascii="Times New Roman" w:hAnsi="Times New Roman"/>
          <w:sz w:val="24"/>
          <w:szCs w:val="24"/>
          <w:lang w:val="en-US"/>
        </w:rPr>
        <w:t>moderation analysis</w:t>
      </w:r>
      <w:r w:rsidRPr="005B7CAC">
        <w:rPr>
          <w:rFonts w:ascii="Times New Roman" w:hAnsi="Times New Roman"/>
          <w:iCs/>
          <w:lang w:val="en-US"/>
        </w:rPr>
        <w:t xml:space="preserve">. </w:t>
      </w:r>
      <w:proofErr w:type="spellStart"/>
      <w:r w:rsidR="00A95385" w:rsidRPr="005B7CAC">
        <w:rPr>
          <w:rFonts w:ascii="Times New Roman" w:hAnsi="Times New Roman"/>
          <w:i/>
          <w:iCs/>
          <w:sz w:val="24"/>
          <w:szCs w:val="24"/>
          <w:lang w:val="en-US"/>
        </w:rPr>
        <w:t>GINVs_D</w:t>
      </w:r>
      <w:proofErr w:type="spellEnd"/>
      <w:r w:rsidR="00A95385" w:rsidRPr="005B7CAC">
        <w:rPr>
          <w:rFonts w:ascii="Times New Roman" w:hAnsi="Times New Roman"/>
          <w:sz w:val="24"/>
          <w:szCs w:val="24"/>
          <w:lang w:val="en-US"/>
        </w:rPr>
        <w:t xml:space="preserve"> is a </w:t>
      </w:r>
      <w:r w:rsidR="00171AD9" w:rsidRPr="005B7CAC">
        <w:rPr>
          <w:rFonts w:ascii="Times New Roman" w:hAnsi="Times New Roman"/>
          <w:sz w:val="24"/>
          <w:szCs w:val="24"/>
          <w:lang w:val="en-US"/>
        </w:rPr>
        <w:t xml:space="preserve">dummy variable </w:t>
      </w:r>
      <w:r w:rsidR="00A95385" w:rsidRPr="005B7CAC">
        <w:rPr>
          <w:rFonts w:ascii="Times New Roman" w:hAnsi="Times New Roman"/>
          <w:sz w:val="24"/>
          <w:szCs w:val="24"/>
          <w:lang w:val="en-US"/>
        </w:rPr>
        <w:t xml:space="preserve">and used as a moderator. </w:t>
      </w:r>
      <w:r w:rsidRPr="005B7CAC">
        <w:rPr>
          <w:rFonts w:ascii="Times New Roman" w:hAnsi="Times New Roman"/>
          <w:bCs/>
          <w:lang w:val="en-US"/>
        </w:rPr>
        <w:t xml:space="preserve">Robust </w:t>
      </w:r>
      <w:r w:rsidRPr="005B7CAC">
        <w:rPr>
          <w:rFonts w:ascii="Times New Roman" w:hAnsi="Times New Roman"/>
          <w:bCs/>
          <w:i/>
          <w:lang w:val="en-US"/>
        </w:rPr>
        <w:t>t-statistics</w:t>
      </w:r>
      <w:r w:rsidRPr="005B7CAC">
        <w:rPr>
          <w:rFonts w:ascii="Times New Roman" w:hAnsi="Times New Roman"/>
          <w:bCs/>
          <w:lang w:val="en-US"/>
        </w:rPr>
        <w:t xml:space="preserve"> are presented in parentheses. </w:t>
      </w:r>
      <w:r w:rsidRPr="005B7CAC">
        <w:rPr>
          <w:rFonts w:ascii="Times New Roman" w:hAnsi="Times New Roman"/>
          <w:lang w:val="en-US"/>
        </w:rPr>
        <w:t xml:space="preserve">All the study variables are defined in Table 1. * </w:t>
      </w:r>
      <w:r w:rsidRPr="005B7CAC">
        <w:rPr>
          <w:rFonts w:ascii="Times New Roman" w:hAnsi="Times New Roman"/>
          <w:i/>
          <w:iCs/>
          <w:lang w:val="en-US"/>
        </w:rPr>
        <w:t>p</w:t>
      </w:r>
      <w:r w:rsidRPr="005B7CAC">
        <w:rPr>
          <w:rFonts w:ascii="Times New Roman" w:hAnsi="Times New Roman"/>
          <w:lang w:val="en-US"/>
        </w:rPr>
        <w:t xml:space="preserve"> &lt; 0.1, ** </w:t>
      </w:r>
      <w:r w:rsidRPr="005B7CAC">
        <w:rPr>
          <w:rFonts w:ascii="Times New Roman" w:hAnsi="Times New Roman"/>
          <w:i/>
          <w:iCs/>
          <w:lang w:val="en-US"/>
        </w:rPr>
        <w:t>p</w:t>
      </w:r>
      <w:r w:rsidRPr="005B7CAC">
        <w:rPr>
          <w:rFonts w:ascii="Times New Roman" w:hAnsi="Times New Roman"/>
          <w:lang w:val="en-US"/>
        </w:rPr>
        <w:t xml:space="preserve"> &lt; 0.05, *** </w:t>
      </w:r>
      <w:r w:rsidRPr="005B7CAC">
        <w:rPr>
          <w:rFonts w:ascii="Times New Roman" w:hAnsi="Times New Roman"/>
          <w:i/>
          <w:iCs/>
          <w:lang w:val="en-US"/>
        </w:rPr>
        <w:t>p</w:t>
      </w:r>
      <w:r w:rsidRPr="005B7CAC">
        <w:rPr>
          <w:rFonts w:ascii="Times New Roman" w:hAnsi="Times New Roman"/>
          <w:lang w:val="en-US"/>
        </w:rPr>
        <w:t xml:space="preserve"> &lt; 0.01.</w:t>
      </w:r>
    </w:p>
    <w:p w14:paraId="5D80BF7D" w14:textId="77777777" w:rsidR="00F92D95" w:rsidRPr="005B7CAC" w:rsidRDefault="00F92D95" w:rsidP="00F92D95">
      <w:pPr>
        <w:widowControl w:val="0"/>
        <w:autoSpaceDE w:val="0"/>
        <w:autoSpaceDN w:val="0"/>
        <w:adjustRightInd w:val="0"/>
        <w:spacing w:after="0" w:line="240" w:lineRule="auto"/>
        <w:jc w:val="both"/>
        <w:rPr>
          <w:rFonts w:ascii="Times New Roman" w:hAnsi="Times New Roman"/>
          <w:lang w:val="en-US"/>
        </w:rPr>
      </w:pPr>
      <w:r w:rsidRPr="005B7CAC">
        <w:rPr>
          <w:rFonts w:ascii="Times New Roman" w:hAnsi="Times New Roman"/>
          <w:b/>
          <w:lang w:val="en-US"/>
        </w:rPr>
        <w:t>Source:</w:t>
      </w:r>
      <w:r w:rsidRPr="005B7CAC">
        <w:rPr>
          <w:rFonts w:ascii="Times New Roman" w:hAnsi="Times New Roman"/>
          <w:lang w:val="en-US"/>
        </w:rPr>
        <w:t xml:space="preserve"> Table prepared by the authors.</w:t>
      </w:r>
    </w:p>
    <w:p w14:paraId="24CAB0EF" w14:textId="77777777" w:rsidR="00E51CD8" w:rsidRPr="005B7CAC" w:rsidRDefault="00E51CD8">
      <w:pPr>
        <w:widowControl w:val="0"/>
        <w:autoSpaceDE w:val="0"/>
        <w:autoSpaceDN w:val="0"/>
        <w:adjustRightInd w:val="0"/>
        <w:spacing w:after="0" w:line="240" w:lineRule="auto"/>
        <w:rPr>
          <w:rFonts w:ascii="Times New Roman" w:hAnsi="Times New Roman"/>
          <w:sz w:val="24"/>
          <w:szCs w:val="24"/>
          <w:lang w:val="en-US"/>
        </w:rPr>
      </w:pPr>
    </w:p>
    <w:p w14:paraId="0EF2981E" w14:textId="77777777" w:rsidR="00E51CD8" w:rsidRPr="005B7CAC" w:rsidRDefault="00E51CD8">
      <w:pPr>
        <w:widowControl w:val="0"/>
        <w:autoSpaceDE w:val="0"/>
        <w:autoSpaceDN w:val="0"/>
        <w:adjustRightInd w:val="0"/>
        <w:spacing w:after="0" w:line="240" w:lineRule="auto"/>
        <w:rPr>
          <w:rFonts w:ascii="Times New Roman" w:hAnsi="Times New Roman"/>
          <w:sz w:val="24"/>
          <w:szCs w:val="24"/>
          <w:lang w:val="en-US"/>
        </w:rPr>
      </w:pPr>
    </w:p>
    <w:p w14:paraId="0BC281D5" w14:textId="77777777" w:rsidR="00E51CD8" w:rsidRPr="005B7CAC" w:rsidRDefault="00E51CD8">
      <w:pPr>
        <w:widowControl w:val="0"/>
        <w:autoSpaceDE w:val="0"/>
        <w:autoSpaceDN w:val="0"/>
        <w:adjustRightInd w:val="0"/>
        <w:spacing w:after="0" w:line="240" w:lineRule="auto"/>
        <w:rPr>
          <w:rFonts w:ascii="Times New Roman" w:hAnsi="Times New Roman"/>
          <w:sz w:val="24"/>
          <w:szCs w:val="24"/>
          <w:lang w:val="en-US"/>
        </w:rPr>
      </w:pPr>
    </w:p>
    <w:p w14:paraId="3FFB6E11" w14:textId="77777777" w:rsidR="00E51CD8" w:rsidRPr="005B7CAC" w:rsidRDefault="00E51CD8">
      <w:pPr>
        <w:widowControl w:val="0"/>
        <w:autoSpaceDE w:val="0"/>
        <w:autoSpaceDN w:val="0"/>
        <w:adjustRightInd w:val="0"/>
        <w:spacing w:after="0" w:line="240" w:lineRule="auto"/>
        <w:rPr>
          <w:rFonts w:ascii="Times New Roman" w:hAnsi="Times New Roman"/>
          <w:sz w:val="24"/>
          <w:szCs w:val="24"/>
          <w:lang w:val="en-US"/>
        </w:rPr>
      </w:pPr>
    </w:p>
    <w:p w14:paraId="2BBA6A07" w14:textId="77777777" w:rsidR="00E51CD8" w:rsidRPr="005B7CAC" w:rsidRDefault="00E51CD8">
      <w:pPr>
        <w:widowControl w:val="0"/>
        <w:autoSpaceDE w:val="0"/>
        <w:autoSpaceDN w:val="0"/>
        <w:adjustRightInd w:val="0"/>
        <w:spacing w:after="0" w:line="240" w:lineRule="auto"/>
        <w:rPr>
          <w:rFonts w:ascii="Times New Roman" w:hAnsi="Times New Roman"/>
          <w:sz w:val="24"/>
          <w:szCs w:val="24"/>
          <w:lang w:val="en-US"/>
        </w:rPr>
      </w:pPr>
    </w:p>
    <w:p w14:paraId="29825EF1" w14:textId="77777777" w:rsidR="00315DAE" w:rsidRPr="005B7CAC" w:rsidRDefault="00315DAE">
      <w:pPr>
        <w:widowControl w:val="0"/>
        <w:autoSpaceDE w:val="0"/>
        <w:autoSpaceDN w:val="0"/>
        <w:adjustRightInd w:val="0"/>
        <w:spacing w:after="0" w:line="240" w:lineRule="auto"/>
        <w:rPr>
          <w:rFonts w:ascii="Times New Roman" w:hAnsi="Times New Roman"/>
          <w:sz w:val="24"/>
          <w:szCs w:val="24"/>
          <w:lang w:val="en-US"/>
        </w:rPr>
      </w:pPr>
    </w:p>
    <w:p w14:paraId="09811992" w14:textId="77777777" w:rsidR="00315DAE" w:rsidRPr="005B7CAC" w:rsidRDefault="00315DAE">
      <w:pPr>
        <w:widowControl w:val="0"/>
        <w:autoSpaceDE w:val="0"/>
        <w:autoSpaceDN w:val="0"/>
        <w:adjustRightInd w:val="0"/>
        <w:spacing w:after="0" w:line="240" w:lineRule="auto"/>
        <w:rPr>
          <w:rFonts w:ascii="Times New Roman" w:hAnsi="Times New Roman"/>
          <w:sz w:val="24"/>
          <w:szCs w:val="24"/>
          <w:lang w:val="en-US"/>
        </w:rPr>
      </w:pPr>
    </w:p>
    <w:p w14:paraId="38BEBD99" w14:textId="77777777" w:rsidR="00315DAE" w:rsidRPr="005B7CAC" w:rsidRDefault="00315DAE">
      <w:pPr>
        <w:widowControl w:val="0"/>
        <w:autoSpaceDE w:val="0"/>
        <w:autoSpaceDN w:val="0"/>
        <w:adjustRightInd w:val="0"/>
        <w:spacing w:after="0" w:line="240" w:lineRule="auto"/>
        <w:rPr>
          <w:rFonts w:ascii="Times New Roman" w:hAnsi="Times New Roman"/>
          <w:sz w:val="24"/>
          <w:szCs w:val="24"/>
          <w:lang w:val="en-US"/>
        </w:rPr>
      </w:pPr>
    </w:p>
    <w:p w14:paraId="5CE1B87D" w14:textId="77777777" w:rsidR="00092C89" w:rsidRPr="005B7CAC" w:rsidRDefault="00092C89">
      <w:pPr>
        <w:widowControl w:val="0"/>
        <w:autoSpaceDE w:val="0"/>
        <w:autoSpaceDN w:val="0"/>
        <w:adjustRightInd w:val="0"/>
        <w:spacing w:after="0" w:line="240" w:lineRule="auto"/>
        <w:rPr>
          <w:rFonts w:ascii="Times New Roman" w:hAnsi="Times New Roman"/>
          <w:sz w:val="24"/>
          <w:szCs w:val="24"/>
          <w:lang w:val="en-US"/>
        </w:rPr>
      </w:pPr>
    </w:p>
    <w:p w14:paraId="02B0200B" w14:textId="77777777" w:rsidR="00092C89" w:rsidRPr="005B7CAC" w:rsidRDefault="00092C89">
      <w:pPr>
        <w:widowControl w:val="0"/>
        <w:autoSpaceDE w:val="0"/>
        <w:autoSpaceDN w:val="0"/>
        <w:adjustRightInd w:val="0"/>
        <w:spacing w:after="0" w:line="240" w:lineRule="auto"/>
        <w:rPr>
          <w:rFonts w:ascii="Times New Roman" w:hAnsi="Times New Roman"/>
          <w:sz w:val="24"/>
          <w:szCs w:val="24"/>
          <w:lang w:val="en-US"/>
        </w:rPr>
      </w:pPr>
    </w:p>
    <w:p w14:paraId="138E72FB" w14:textId="77777777" w:rsidR="00092C89" w:rsidRPr="005B7CAC" w:rsidRDefault="00092C89">
      <w:pPr>
        <w:widowControl w:val="0"/>
        <w:autoSpaceDE w:val="0"/>
        <w:autoSpaceDN w:val="0"/>
        <w:adjustRightInd w:val="0"/>
        <w:spacing w:after="0" w:line="240" w:lineRule="auto"/>
        <w:rPr>
          <w:rFonts w:ascii="Times New Roman" w:hAnsi="Times New Roman"/>
          <w:sz w:val="24"/>
          <w:szCs w:val="24"/>
          <w:lang w:val="en-US"/>
        </w:rPr>
      </w:pPr>
    </w:p>
    <w:p w14:paraId="085A0B0B" w14:textId="77777777" w:rsidR="00092C89" w:rsidRPr="005B7CAC" w:rsidRDefault="00092C89">
      <w:pPr>
        <w:widowControl w:val="0"/>
        <w:autoSpaceDE w:val="0"/>
        <w:autoSpaceDN w:val="0"/>
        <w:adjustRightInd w:val="0"/>
        <w:spacing w:after="0" w:line="240" w:lineRule="auto"/>
        <w:rPr>
          <w:rFonts w:ascii="Times New Roman" w:hAnsi="Times New Roman"/>
          <w:sz w:val="24"/>
          <w:szCs w:val="24"/>
          <w:lang w:val="en-US"/>
        </w:rPr>
      </w:pPr>
    </w:p>
    <w:p w14:paraId="4E5A0BC2" w14:textId="77777777" w:rsidR="00092C89" w:rsidRPr="005B7CAC" w:rsidRDefault="00092C89">
      <w:pPr>
        <w:widowControl w:val="0"/>
        <w:autoSpaceDE w:val="0"/>
        <w:autoSpaceDN w:val="0"/>
        <w:adjustRightInd w:val="0"/>
        <w:spacing w:after="0" w:line="240" w:lineRule="auto"/>
        <w:rPr>
          <w:rFonts w:ascii="Times New Roman" w:hAnsi="Times New Roman"/>
          <w:sz w:val="24"/>
          <w:szCs w:val="24"/>
          <w:lang w:val="en-US"/>
        </w:rPr>
      </w:pPr>
    </w:p>
    <w:p w14:paraId="66BA3939" w14:textId="77777777" w:rsidR="00092C89" w:rsidRPr="005B7CAC" w:rsidRDefault="00092C89">
      <w:pPr>
        <w:widowControl w:val="0"/>
        <w:autoSpaceDE w:val="0"/>
        <w:autoSpaceDN w:val="0"/>
        <w:adjustRightInd w:val="0"/>
        <w:spacing w:after="0" w:line="240" w:lineRule="auto"/>
        <w:rPr>
          <w:rFonts w:ascii="Times New Roman" w:hAnsi="Times New Roman"/>
          <w:sz w:val="24"/>
          <w:szCs w:val="24"/>
          <w:lang w:val="en-US"/>
        </w:rPr>
      </w:pPr>
    </w:p>
    <w:p w14:paraId="4D01BF64" w14:textId="77777777" w:rsidR="00092C89" w:rsidRPr="005B7CAC" w:rsidRDefault="00092C89">
      <w:pPr>
        <w:widowControl w:val="0"/>
        <w:autoSpaceDE w:val="0"/>
        <w:autoSpaceDN w:val="0"/>
        <w:adjustRightInd w:val="0"/>
        <w:spacing w:after="0" w:line="240" w:lineRule="auto"/>
        <w:rPr>
          <w:rFonts w:ascii="Times New Roman" w:hAnsi="Times New Roman"/>
          <w:sz w:val="24"/>
          <w:szCs w:val="24"/>
          <w:lang w:val="en-US"/>
        </w:rPr>
      </w:pPr>
    </w:p>
    <w:p w14:paraId="6817885E" w14:textId="77777777" w:rsidR="00A95385" w:rsidRPr="005B7CAC" w:rsidRDefault="00A95385">
      <w:pPr>
        <w:widowControl w:val="0"/>
        <w:autoSpaceDE w:val="0"/>
        <w:autoSpaceDN w:val="0"/>
        <w:adjustRightInd w:val="0"/>
        <w:spacing w:after="0" w:line="240" w:lineRule="auto"/>
        <w:rPr>
          <w:rFonts w:ascii="Times New Roman" w:hAnsi="Times New Roman"/>
          <w:sz w:val="24"/>
          <w:szCs w:val="24"/>
          <w:lang w:val="en-US"/>
        </w:rPr>
      </w:pPr>
    </w:p>
    <w:p w14:paraId="08D82E3C" w14:textId="77777777" w:rsidR="00A95385" w:rsidRPr="005B7CAC" w:rsidRDefault="00A95385">
      <w:pPr>
        <w:widowControl w:val="0"/>
        <w:autoSpaceDE w:val="0"/>
        <w:autoSpaceDN w:val="0"/>
        <w:adjustRightInd w:val="0"/>
        <w:spacing w:after="0" w:line="240" w:lineRule="auto"/>
        <w:rPr>
          <w:rFonts w:ascii="Times New Roman" w:hAnsi="Times New Roman"/>
          <w:sz w:val="24"/>
          <w:szCs w:val="24"/>
          <w:lang w:val="en-US"/>
        </w:rPr>
      </w:pPr>
    </w:p>
    <w:p w14:paraId="0AA85ACF" w14:textId="77777777" w:rsidR="00A95385" w:rsidRPr="005B7CAC" w:rsidRDefault="00A95385">
      <w:pPr>
        <w:widowControl w:val="0"/>
        <w:autoSpaceDE w:val="0"/>
        <w:autoSpaceDN w:val="0"/>
        <w:adjustRightInd w:val="0"/>
        <w:spacing w:after="0" w:line="240" w:lineRule="auto"/>
        <w:rPr>
          <w:rFonts w:ascii="Times New Roman" w:hAnsi="Times New Roman"/>
          <w:sz w:val="24"/>
          <w:szCs w:val="24"/>
          <w:lang w:val="en-US"/>
        </w:rPr>
      </w:pPr>
    </w:p>
    <w:p w14:paraId="45EDC109" w14:textId="77777777" w:rsidR="00A95385" w:rsidRPr="005B7CAC" w:rsidRDefault="00A95385">
      <w:pPr>
        <w:widowControl w:val="0"/>
        <w:autoSpaceDE w:val="0"/>
        <w:autoSpaceDN w:val="0"/>
        <w:adjustRightInd w:val="0"/>
        <w:spacing w:after="0" w:line="240" w:lineRule="auto"/>
        <w:rPr>
          <w:rFonts w:ascii="Times New Roman" w:hAnsi="Times New Roman"/>
          <w:sz w:val="24"/>
          <w:szCs w:val="24"/>
          <w:lang w:val="en-US"/>
        </w:rPr>
      </w:pPr>
    </w:p>
    <w:p w14:paraId="7B61F7E8" w14:textId="77777777" w:rsidR="00A95385" w:rsidRPr="005B7CAC" w:rsidRDefault="00A95385">
      <w:pPr>
        <w:widowControl w:val="0"/>
        <w:autoSpaceDE w:val="0"/>
        <w:autoSpaceDN w:val="0"/>
        <w:adjustRightInd w:val="0"/>
        <w:spacing w:after="0" w:line="240" w:lineRule="auto"/>
        <w:rPr>
          <w:rFonts w:ascii="Times New Roman" w:hAnsi="Times New Roman"/>
          <w:sz w:val="24"/>
          <w:szCs w:val="24"/>
          <w:lang w:val="en-US"/>
        </w:rPr>
      </w:pPr>
    </w:p>
    <w:p w14:paraId="5BB2637A" w14:textId="77777777" w:rsidR="00A40EC5" w:rsidRPr="005B7CAC" w:rsidRDefault="00A40EC5">
      <w:pPr>
        <w:widowControl w:val="0"/>
        <w:autoSpaceDE w:val="0"/>
        <w:autoSpaceDN w:val="0"/>
        <w:adjustRightInd w:val="0"/>
        <w:spacing w:after="0" w:line="240" w:lineRule="auto"/>
        <w:rPr>
          <w:rFonts w:ascii="Times New Roman" w:hAnsi="Times New Roman"/>
          <w:sz w:val="24"/>
          <w:szCs w:val="24"/>
          <w:lang w:val="en-US"/>
        </w:rPr>
      </w:pPr>
    </w:p>
    <w:p w14:paraId="253B988F" w14:textId="77777777" w:rsidR="00A40EC5" w:rsidRPr="005B7CAC" w:rsidRDefault="00A40EC5">
      <w:pPr>
        <w:widowControl w:val="0"/>
        <w:autoSpaceDE w:val="0"/>
        <w:autoSpaceDN w:val="0"/>
        <w:adjustRightInd w:val="0"/>
        <w:spacing w:after="0" w:line="240" w:lineRule="auto"/>
        <w:rPr>
          <w:rFonts w:ascii="Times New Roman" w:hAnsi="Times New Roman"/>
          <w:sz w:val="24"/>
          <w:szCs w:val="24"/>
          <w:lang w:val="en-US"/>
        </w:rPr>
      </w:pPr>
    </w:p>
    <w:p w14:paraId="2B8DCF36" w14:textId="77777777" w:rsidR="00A40EC5" w:rsidRPr="005B7CAC" w:rsidRDefault="00A40EC5">
      <w:pPr>
        <w:widowControl w:val="0"/>
        <w:autoSpaceDE w:val="0"/>
        <w:autoSpaceDN w:val="0"/>
        <w:adjustRightInd w:val="0"/>
        <w:spacing w:after="0" w:line="240" w:lineRule="auto"/>
        <w:rPr>
          <w:rFonts w:ascii="Times New Roman" w:hAnsi="Times New Roman"/>
          <w:sz w:val="24"/>
          <w:szCs w:val="24"/>
          <w:lang w:val="en-US"/>
        </w:rPr>
      </w:pPr>
    </w:p>
    <w:p w14:paraId="5DB9A714" w14:textId="77777777" w:rsidR="00A40EC5" w:rsidRPr="005B7CAC" w:rsidRDefault="00A40EC5">
      <w:pPr>
        <w:widowControl w:val="0"/>
        <w:autoSpaceDE w:val="0"/>
        <w:autoSpaceDN w:val="0"/>
        <w:adjustRightInd w:val="0"/>
        <w:spacing w:after="0" w:line="240" w:lineRule="auto"/>
        <w:rPr>
          <w:rFonts w:ascii="Times New Roman" w:hAnsi="Times New Roman"/>
          <w:sz w:val="24"/>
          <w:szCs w:val="24"/>
          <w:lang w:val="en-US"/>
        </w:rPr>
      </w:pPr>
    </w:p>
    <w:p w14:paraId="087C5BF8" w14:textId="77777777" w:rsidR="00315DAE" w:rsidRPr="005B7CAC" w:rsidRDefault="00315DAE">
      <w:pPr>
        <w:widowControl w:val="0"/>
        <w:autoSpaceDE w:val="0"/>
        <w:autoSpaceDN w:val="0"/>
        <w:adjustRightInd w:val="0"/>
        <w:spacing w:after="0" w:line="240" w:lineRule="auto"/>
        <w:rPr>
          <w:rFonts w:ascii="Times New Roman" w:hAnsi="Times New Roman"/>
          <w:sz w:val="24"/>
          <w:szCs w:val="24"/>
          <w:lang w:val="en-US"/>
        </w:rPr>
      </w:pPr>
    </w:p>
    <w:p w14:paraId="25E0F437" w14:textId="77777777" w:rsidR="00E8309F" w:rsidRPr="005B7CAC" w:rsidRDefault="00E8309F">
      <w:pPr>
        <w:widowControl w:val="0"/>
        <w:autoSpaceDE w:val="0"/>
        <w:autoSpaceDN w:val="0"/>
        <w:adjustRightInd w:val="0"/>
        <w:spacing w:after="0" w:line="240" w:lineRule="auto"/>
        <w:rPr>
          <w:rFonts w:ascii="Times New Roman" w:hAnsi="Times New Roman"/>
          <w:sz w:val="24"/>
          <w:szCs w:val="24"/>
          <w:lang w:val="en-US"/>
        </w:rPr>
      </w:pPr>
    </w:p>
    <w:p w14:paraId="6D12465A" w14:textId="77777777" w:rsidR="005113E8" w:rsidRPr="005B7CAC" w:rsidRDefault="005113E8" w:rsidP="005113E8">
      <w:pPr>
        <w:widowControl w:val="0"/>
        <w:autoSpaceDE w:val="0"/>
        <w:autoSpaceDN w:val="0"/>
        <w:adjustRightInd w:val="0"/>
        <w:spacing w:after="120" w:line="240" w:lineRule="auto"/>
        <w:rPr>
          <w:rFonts w:ascii="Times New Roman" w:hAnsi="Times New Roman"/>
          <w:sz w:val="24"/>
          <w:szCs w:val="24"/>
          <w:lang w:val="en-US"/>
        </w:rPr>
      </w:pPr>
      <w:r w:rsidRPr="005B7CAC">
        <w:rPr>
          <w:rFonts w:ascii="Times New Roman" w:hAnsi="Times New Roman"/>
          <w:b/>
          <w:sz w:val="24"/>
          <w:szCs w:val="24"/>
          <w:lang w:val="en-US"/>
        </w:rPr>
        <w:lastRenderedPageBreak/>
        <w:t>Appendix 1.</w:t>
      </w:r>
      <w:r w:rsidRPr="005B7CAC">
        <w:rPr>
          <w:rFonts w:ascii="Times New Roman" w:hAnsi="Times New Roman"/>
          <w:sz w:val="24"/>
          <w:szCs w:val="24"/>
          <w:lang w:val="en-US"/>
        </w:rPr>
        <w:t xml:space="preserve"> Sample distribution by industry</w:t>
      </w:r>
    </w:p>
    <w:tbl>
      <w:tblPr>
        <w:tblW w:w="5000" w:type="pct"/>
        <w:tblLook w:val="0000" w:firstRow="0" w:lastRow="0" w:firstColumn="0" w:lastColumn="0" w:noHBand="0" w:noVBand="0"/>
      </w:tblPr>
      <w:tblGrid>
        <w:gridCol w:w="2813"/>
        <w:gridCol w:w="1492"/>
        <w:gridCol w:w="1727"/>
        <w:gridCol w:w="1601"/>
        <w:gridCol w:w="2056"/>
      </w:tblGrid>
      <w:tr w:rsidR="005B7CAC" w:rsidRPr="005B7CAC" w14:paraId="1F5EC073" w14:textId="77777777" w:rsidTr="002D1013">
        <w:tc>
          <w:tcPr>
            <w:tcW w:w="1452" w:type="pct"/>
            <w:tcBorders>
              <w:top w:val="single" w:sz="12" w:space="0" w:color="auto"/>
              <w:left w:val="nil"/>
              <w:bottom w:val="single" w:sz="8" w:space="0" w:color="auto"/>
              <w:right w:val="nil"/>
            </w:tcBorders>
          </w:tcPr>
          <w:p w14:paraId="3388579A" w14:textId="062056B5" w:rsidR="001B394E" w:rsidRPr="005B7CAC" w:rsidRDefault="001B394E" w:rsidP="001B394E">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b/>
                <w:sz w:val="24"/>
                <w:szCs w:val="24"/>
                <w:lang w:val="en-US"/>
              </w:rPr>
              <w:t>Industry</w:t>
            </w:r>
          </w:p>
        </w:tc>
        <w:tc>
          <w:tcPr>
            <w:tcW w:w="770" w:type="pct"/>
            <w:tcBorders>
              <w:top w:val="single" w:sz="12" w:space="0" w:color="auto"/>
              <w:left w:val="nil"/>
              <w:bottom w:val="single" w:sz="8" w:space="0" w:color="auto"/>
              <w:right w:val="nil"/>
            </w:tcBorders>
          </w:tcPr>
          <w:p w14:paraId="14421B89" w14:textId="21AB0B9D"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b/>
                <w:sz w:val="24"/>
                <w:szCs w:val="24"/>
                <w:lang w:val="en-US"/>
              </w:rPr>
              <w:t>Companies</w:t>
            </w:r>
          </w:p>
        </w:tc>
        <w:tc>
          <w:tcPr>
            <w:tcW w:w="891" w:type="pct"/>
            <w:tcBorders>
              <w:top w:val="single" w:sz="12" w:space="0" w:color="auto"/>
              <w:left w:val="nil"/>
              <w:bottom w:val="single" w:sz="8" w:space="0" w:color="auto"/>
              <w:right w:val="nil"/>
            </w:tcBorders>
          </w:tcPr>
          <w:p w14:paraId="10956B91" w14:textId="44419D66"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b/>
                <w:sz w:val="24"/>
                <w:szCs w:val="24"/>
                <w:lang w:val="en-US"/>
              </w:rPr>
              <w:t>Observations</w:t>
            </w:r>
          </w:p>
        </w:tc>
        <w:tc>
          <w:tcPr>
            <w:tcW w:w="826" w:type="pct"/>
            <w:tcBorders>
              <w:top w:val="single" w:sz="12" w:space="0" w:color="auto"/>
              <w:left w:val="nil"/>
              <w:bottom w:val="single" w:sz="8" w:space="0" w:color="auto"/>
              <w:right w:val="nil"/>
            </w:tcBorders>
          </w:tcPr>
          <w:p w14:paraId="4F4C4B21" w14:textId="4CAD0431"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b/>
                <w:sz w:val="24"/>
                <w:szCs w:val="24"/>
                <w:lang w:val="en-US"/>
              </w:rPr>
              <w:t>Percent (%)</w:t>
            </w:r>
          </w:p>
        </w:tc>
        <w:tc>
          <w:tcPr>
            <w:tcW w:w="1061" w:type="pct"/>
            <w:tcBorders>
              <w:top w:val="single" w:sz="12" w:space="0" w:color="auto"/>
              <w:left w:val="nil"/>
              <w:bottom w:val="single" w:sz="8" w:space="0" w:color="auto"/>
              <w:right w:val="nil"/>
            </w:tcBorders>
          </w:tcPr>
          <w:p w14:paraId="3CEB0655" w14:textId="5C1A5B6C"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b/>
                <w:sz w:val="24"/>
                <w:szCs w:val="24"/>
                <w:lang w:val="en-US"/>
              </w:rPr>
              <w:t>Cumulative (%)</w:t>
            </w:r>
          </w:p>
        </w:tc>
      </w:tr>
      <w:tr w:rsidR="005B7CAC" w:rsidRPr="005B7CAC" w14:paraId="4EDA4DAE" w14:textId="77777777" w:rsidTr="002D1013">
        <w:tc>
          <w:tcPr>
            <w:tcW w:w="1452" w:type="pct"/>
            <w:tcBorders>
              <w:top w:val="single" w:sz="8" w:space="0" w:color="auto"/>
              <w:left w:val="nil"/>
              <w:bottom w:val="nil"/>
              <w:right w:val="nil"/>
            </w:tcBorders>
          </w:tcPr>
          <w:p w14:paraId="1109BFE4" w14:textId="77777777" w:rsidR="001B394E" w:rsidRPr="005B7CAC" w:rsidRDefault="001B394E" w:rsidP="001B394E">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Basic Materials</w:t>
            </w:r>
          </w:p>
        </w:tc>
        <w:tc>
          <w:tcPr>
            <w:tcW w:w="770" w:type="pct"/>
            <w:tcBorders>
              <w:top w:val="single" w:sz="8" w:space="0" w:color="auto"/>
              <w:left w:val="nil"/>
              <w:bottom w:val="nil"/>
              <w:right w:val="nil"/>
            </w:tcBorders>
          </w:tcPr>
          <w:p w14:paraId="3FE642E1" w14:textId="459CD498"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21</w:t>
            </w:r>
          </w:p>
        </w:tc>
        <w:tc>
          <w:tcPr>
            <w:tcW w:w="891" w:type="pct"/>
            <w:tcBorders>
              <w:top w:val="single" w:sz="8" w:space="0" w:color="auto"/>
              <w:left w:val="nil"/>
              <w:bottom w:val="nil"/>
              <w:right w:val="nil"/>
            </w:tcBorders>
          </w:tcPr>
          <w:p w14:paraId="3E134593" w14:textId="47270B38"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198</w:t>
            </w:r>
          </w:p>
        </w:tc>
        <w:tc>
          <w:tcPr>
            <w:tcW w:w="826" w:type="pct"/>
            <w:tcBorders>
              <w:top w:val="single" w:sz="8" w:space="0" w:color="auto"/>
              <w:left w:val="nil"/>
              <w:bottom w:val="nil"/>
              <w:right w:val="nil"/>
            </w:tcBorders>
          </w:tcPr>
          <w:p w14:paraId="0460F7A4" w14:textId="77777777"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11.88</w:t>
            </w:r>
          </w:p>
        </w:tc>
        <w:tc>
          <w:tcPr>
            <w:tcW w:w="1061" w:type="pct"/>
            <w:tcBorders>
              <w:top w:val="single" w:sz="8" w:space="0" w:color="auto"/>
              <w:left w:val="nil"/>
              <w:bottom w:val="nil"/>
              <w:right w:val="nil"/>
            </w:tcBorders>
          </w:tcPr>
          <w:p w14:paraId="1708FCE3" w14:textId="77777777"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11.88</w:t>
            </w:r>
          </w:p>
        </w:tc>
      </w:tr>
      <w:tr w:rsidR="005B7CAC" w:rsidRPr="005B7CAC" w14:paraId="4A0DD0F4" w14:textId="77777777" w:rsidTr="002D1013">
        <w:tc>
          <w:tcPr>
            <w:tcW w:w="1452" w:type="pct"/>
            <w:tcBorders>
              <w:top w:val="nil"/>
              <w:left w:val="nil"/>
              <w:bottom w:val="nil"/>
              <w:right w:val="nil"/>
            </w:tcBorders>
          </w:tcPr>
          <w:p w14:paraId="27E2F569" w14:textId="77777777" w:rsidR="001B394E" w:rsidRPr="005B7CAC" w:rsidRDefault="001B394E" w:rsidP="001B394E">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Consumer Discretionary</w:t>
            </w:r>
          </w:p>
        </w:tc>
        <w:tc>
          <w:tcPr>
            <w:tcW w:w="770" w:type="pct"/>
            <w:tcBorders>
              <w:top w:val="nil"/>
              <w:left w:val="nil"/>
              <w:bottom w:val="nil"/>
              <w:right w:val="nil"/>
            </w:tcBorders>
          </w:tcPr>
          <w:p w14:paraId="4ABEB977" w14:textId="2C94B026"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53</w:t>
            </w:r>
          </w:p>
        </w:tc>
        <w:tc>
          <w:tcPr>
            <w:tcW w:w="891" w:type="pct"/>
            <w:tcBorders>
              <w:top w:val="nil"/>
              <w:left w:val="nil"/>
              <w:bottom w:val="nil"/>
              <w:right w:val="nil"/>
            </w:tcBorders>
          </w:tcPr>
          <w:p w14:paraId="48ED97E2" w14:textId="7FA07BEA"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388</w:t>
            </w:r>
          </w:p>
        </w:tc>
        <w:tc>
          <w:tcPr>
            <w:tcW w:w="826" w:type="pct"/>
            <w:tcBorders>
              <w:top w:val="nil"/>
              <w:left w:val="nil"/>
              <w:bottom w:val="nil"/>
              <w:right w:val="nil"/>
            </w:tcBorders>
          </w:tcPr>
          <w:p w14:paraId="5DE891AA" w14:textId="77777777"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23.28</w:t>
            </w:r>
          </w:p>
        </w:tc>
        <w:tc>
          <w:tcPr>
            <w:tcW w:w="1061" w:type="pct"/>
            <w:tcBorders>
              <w:top w:val="nil"/>
              <w:left w:val="nil"/>
              <w:bottom w:val="nil"/>
              <w:right w:val="nil"/>
            </w:tcBorders>
          </w:tcPr>
          <w:p w14:paraId="3E291B6C" w14:textId="77777777"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35.15</w:t>
            </w:r>
          </w:p>
        </w:tc>
      </w:tr>
      <w:tr w:rsidR="005B7CAC" w:rsidRPr="005B7CAC" w14:paraId="68D21E7B" w14:textId="77777777" w:rsidTr="002D1013">
        <w:tc>
          <w:tcPr>
            <w:tcW w:w="1452" w:type="pct"/>
            <w:tcBorders>
              <w:top w:val="nil"/>
              <w:left w:val="nil"/>
              <w:bottom w:val="nil"/>
              <w:right w:val="nil"/>
            </w:tcBorders>
          </w:tcPr>
          <w:p w14:paraId="0F160EDD" w14:textId="77777777" w:rsidR="001B394E" w:rsidRPr="005B7CAC" w:rsidRDefault="001B394E" w:rsidP="001B394E">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Consumer Staples</w:t>
            </w:r>
          </w:p>
        </w:tc>
        <w:tc>
          <w:tcPr>
            <w:tcW w:w="770" w:type="pct"/>
            <w:tcBorders>
              <w:top w:val="nil"/>
              <w:left w:val="nil"/>
              <w:bottom w:val="nil"/>
              <w:right w:val="nil"/>
            </w:tcBorders>
          </w:tcPr>
          <w:p w14:paraId="0B0CFAFD" w14:textId="5F366EFB"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18</w:t>
            </w:r>
          </w:p>
        </w:tc>
        <w:tc>
          <w:tcPr>
            <w:tcW w:w="891" w:type="pct"/>
            <w:tcBorders>
              <w:top w:val="nil"/>
              <w:left w:val="nil"/>
              <w:bottom w:val="nil"/>
              <w:right w:val="nil"/>
            </w:tcBorders>
          </w:tcPr>
          <w:p w14:paraId="5C44EF2D" w14:textId="11DDF502"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167</w:t>
            </w:r>
          </w:p>
        </w:tc>
        <w:tc>
          <w:tcPr>
            <w:tcW w:w="826" w:type="pct"/>
            <w:tcBorders>
              <w:top w:val="nil"/>
              <w:left w:val="nil"/>
              <w:bottom w:val="nil"/>
              <w:right w:val="nil"/>
            </w:tcBorders>
          </w:tcPr>
          <w:p w14:paraId="5B9888B5" w14:textId="77777777"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10.02</w:t>
            </w:r>
          </w:p>
        </w:tc>
        <w:tc>
          <w:tcPr>
            <w:tcW w:w="1061" w:type="pct"/>
            <w:tcBorders>
              <w:top w:val="nil"/>
              <w:left w:val="nil"/>
              <w:bottom w:val="nil"/>
              <w:right w:val="nil"/>
            </w:tcBorders>
          </w:tcPr>
          <w:p w14:paraId="05C16F29" w14:textId="77777777"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45.17</w:t>
            </w:r>
          </w:p>
        </w:tc>
      </w:tr>
      <w:tr w:rsidR="005B7CAC" w:rsidRPr="005B7CAC" w14:paraId="34A4EC0C" w14:textId="77777777" w:rsidTr="002D1013">
        <w:tc>
          <w:tcPr>
            <w:tcW w:w="1452" w:type="pct"/>
            <w:tcBorders>
              <w:top w:val="nil"/>
              <w:left w:val="nil"/>
              <w:bottom w:val="nil"/>
              <w:right w:val="nil"/>
            </w:tcBorders>
          </w:tcPr>
          <w:p w14:paraId="5FE8436D" w14:textId="77777777" w:rsidR="001B394E" w:rsidRPr="005B7CAC" w:rsidRDefault="001B394E" w:rsidP="001B394E">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Energy</w:t>
            </w:r>
          </w:p>
        </w:tc>
        <w:tc>
          <w:tcPr>
            <w:tcW w:w="770" w:type="pct"/>
            <w:tcBorders>
              <w:top w:val="nil"/>
              <w:left w:val="nil"/>
              <w:bottom w:val="nil"/>
              <w:right w:val="nil"/>
            </w:tcBorders>
          </w:tcPr>
          <w:p w14:paraId="45E58DC7" w14:textId="464C7078"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10</w:t>
            </w:r>
          </w:p>
        </w:tc>
        <w:tc>
          <w:tcPr>
            <w:tcW w:w="891" w:type="pct"/>
            <w:tcBorders>
              <w:top w:val="nil"/>
              <w:left w:val="nil"/>
              <w:bottom w:val="nil"/>
              <w:right w:val="nil"/>
            </w:tcBorders>
          </w:tcPr>
          <w:p w14:paraId="6C6F9844" w14:textId="0C05644D"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95</w:t>
            </w:r>
          </w:p>
        </w:tc>
        <w:tc>
          <w:tcPr>
            <w:tcW w:w="826" w:type="pct"/>
            <w:tcBorders>
              <w:top w:val="nil"/>
              <w:left w:val="nil"/>
              <w:bottom w:val="nil"/>
              <w:right w:val="nil"/>
            </w:tcBorders>
          </w:tcPr>
          <w:p w14:paraId="10316995" w14:textId="77777777"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5.70</w:t>
            </w:r>
          </w:p>
        </w:tc>
        <w:tc>
          <w:tcPr>
            <w:tcW w:w="1061" w:type="pct"/>
            <w:tcBorders>
              <w:top w:val="nil"/>
              <w:left w:val="nil"/>
              <w:bottom w:val="nil"/>
              <w:right w:val="nil"/>
            </w:tcBorders>
          </w:tcPr>
          <w:p w14:paraId="52AC3CCA" w14:textId="77777777"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50.87</w:t>
            </w:r>
          </w:p>
        </w:tc>
      </w:tr>
      <w:tr w:rsidR="005B7CAC" w:rsidRPr="005B7CAC" w14:paraId="2CEA74BF" w14:textId="77777777" w:rsidTr="002D1013">
        <w:tc>
          <w:tcPr>
            <w:tcW w:w="1452" w:type="pct"/>
            <w:tcBorders>
              <w:top w:val="nil"/>
              <w:left w:val="nil"/>
              <w:bottom w:val="nil"/>
              <w:right w:val="nil"/>
            </w:tcBorders>
          </w:tcPr>
          <w:p w14:paraId="360059F5" w14:textId="77777777" w:rsidR="001B394E" w:rsidRPr="005B7CAC" w:rsidRDefault="001B394E" w:rsidP="001B394E">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Health Care</w:t>
            </w:r>
          </w:p>
        </w:tc>
        <w:tc>
          <w:tcPr>
            <w:tcW w:w="770" w:type="pct"/>
            <w:tcBorders>
              <w:top w:val="nil"/>
              <w:left w:val="nil"/>
              <w:bottom w:val="nil"/>
              <w:right w:val="nil"/>
            </w:tcBorders>
          </w:tcPr>
          <w:p w14:paraId="5BC86286" w14:textId="7D838AE6"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8</w:t>
            </w:r>
          </w:p>
        </w:tc>
        <w:tc>
          <w:tcPr>
            <w:tcW w:w="891" w:type="pct"/>
            <w:tcBorders>
              <w:top w:val="nil"/>
              <w:left w:val="nil"/>
              <w:bottom w:val="nil"/>
              <w:right w:val="nil"/>
            </w:tcBorders>
          </w:tcPr>
          <w:p w14:paraId="4687DE6D" w14:textId="127CE0CA"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79</w:t>
            </w:r>
          </w:p>
        </w:tc>
        <w:tc>
          <w:tcPr>
            <w:tcW w:w="826" w:type="pct"/>
            <w:tcBorders>
              <w:top w:val="nil"/>
              <w:left w:val="nil"/>
              <w:bottom w:val="nil"/>
              <w:right w:val="nil"/>
            </w:tcBorders>
          </w:tcPr>
          <w:p w14:paraId="656CCDF1" w14:textId="77777777"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4.74</w:t>
            </w:r>
          </w:p>
        </w:tc>
        <w:tc>
          <w:tcPr>
            <w:tcW w:w="1061" w:type="pct"/>
            <w:tcBorders>
              <w:top w:val="nil"/>
              <w:left w:val="nil"/>
              <w:bottom w:val="nil"/>
              <w:right w:val="nil"/>
            </w:tcBorders>
          </w:tcPr>
          <w:p w14:paraId="1A25884B" w14:textId="77777777"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55.61</w:t>
            </w:r>
          </w:p>
        </w:tc>
      </w:tr>
      <w:tr w:rsidR="005B7CAC" w:rsidRPr="005B7CAC" w14:paraId="179BB349" w14:textId="77777777" w:rsidTr="002D1013">
        <w:tc>
          <w:tcPr>
            <w:tcW w:w="1452" w:type="pct"/>
            <w:tcBorders>
              <w:top w:val="nil"/>
              <w:left w:val="nil"/>
              <w:bottom w:val="nil"/>
              <w:right w:val="nil"/>
            </w:tcBorders>
          </w:tcPr>
          <w:p w14:paraId="398D9283" w14:textId="77777777" w:rsidR="001B394E" w:rsidRPr="005B7CAC" w:rsidRDefault="001B394E" w:rsidP="001B394E">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Industrials</w:t>
            </w:r>
          </w:p>
        </w:tc>
        <w:tc>
          <w:tcPr>
            <w:tcW w:w="770" w:type="pct"/>
            <w:tcBorders>
              <w:top w:val="nil"/>
              <w:left w:val="nil"/>
              <w:bottom w:val="nil"/>
              <w:right w:val="nil"/>
            </w:tcBorders>
          </w:tcPr>
          <w:p w14:paraId="795C1980" w14:textId="3A749B8E"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45</w:t>
            </w:r>
          </w:p>
        </w:tc>
        <w:tc>
          <w:tcPr>
            <w:tcW w:w="891" w:type="pct"/>
            <w:tcBorders>
              <w:top w:val="nil"/>
              <w:left w:val="nil"/>
              <w:bottom w:val="nil"/>
              <w:right w:val="nil"/>
            </w:tcBorders>
          </w:tcPr>
          <w:p w14:paraId="073A7E3D" w14:textId="317890E9"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441</w:t>
            </w:r>
          </w:p>
        </w:tc>
        <w:tc>
          <w:tcPr>
            <w:tcW w:w="826" w:type="pct"/>
            <w:tcBorders>
              <w:top w:val="nil"/>
              <w:left w:val="nil"/>
              <w:bottom w:val="nil"/>
              <w:right w:val="nil"/>
            </w:tcBorders>
          </w:tcPr>
          <w:p w14:paraId="6A09AB0C" w14:textId="77777777"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26.45</w:t>
            </w:r>
          </w:p>
        </w:tc>
        <w:tc>
          <w:tcPr>
            <w:tcW w:w="1061" w:type="pct"/>
            <w:tcBorders>
              <w:top w:val="nil"/>
              <w:left w:val="nil"/>
              <w:bottom w:val="nil"/>
              <w:right w:val="nil"/>
            </w:tcBorders>
          </w:tcPr>
          <w:p w14:paraId="0FF3D0BE" w14:textId="77777777"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82.06</w:t>
            </w:r>
          </w:p>
        </w:tc>
      </w:tr>
      <w:tr w:rsidR="005B7CAC" w:rsidRPr="005B7CAC" w14:paraId="6CD55D79" w14:textId="77777777" w:rsidTr="002D1013">
        <w:tc>
          <w:tcPr>
            <w:tcW w:w="1452" w:type="pct"/>
            <w:tcBorders>
              <w:top w:val="nil"/>
              <w:left w:val="nil"/>
              <w:bottom w:val="nil"/>
              <w:right w:val="nil"/>
            </w:tcBorders>
          </w:tcPr>
          <w:p w14:paraId="4B39BC14" w14:textId="77777777" w:rsidR="001B394E" w:rsidRPr="005B7CAC" w:rsidRDefault="001B394E" w:rsidP="001B394E">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Real Estate</w:t>
            </w:r>
          </w:p>
        </w:tc>
        <w:tc>
          <w:tcPr>
            <w:tcW w:w="770" w:type="pct"/>
            <w:tcBorders>
              <w:top w:val="nil"/>
              <w:left w:val="nil"/>
              <w:bottom w:val="nil"/>
              <w:right w:val="nil"/>
            </w:tcBorders>
          </w:tcPr>
          <w:p w14:paraId="2B31E4FC" w14:textId="2680761F"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22</w:t>
            </w:r>
          </w:p>
        </w:tc>
        <w:tc>
          <w:tcPr>
            <w:tcW w:w="891" w:type="pct"/>
            <w:tcBorders>
              <w:top w:val="nil"/>
              <w:left w:val="nil"/>
              <w:bottom w:val="nil"/>
              <w:right w:val="nil"/>
            </w:tcBorders>
          </w:tcPr>
          <w:p w14:paraId="00F12CD4" w14:textId="5D4B420D"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186</w:t>
            </w:r>
          </w:p>
        </w:tc>
        <w:tc>
          <w:tcPr>
            <w:tcW w:w="826" w:type="pct"/>
            <w:tcBorders>
              <w:top w:val="nil"/>
              <w:left w:val="nil"/>
              <w:bottom w:val="nil"/>
              <w:right w:val="nil"/>
            </w:tcBorders>
          </w:tcPr>
          <w:p w14:paraId="3F516129" w14:textId="77777777"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11.16</w:t>
            </w:r>
          </w:p>
        </w:tc>
        <w:tc>
          <w:tcPr>
            <w:tcW w:w="1061" w:type="pct"/>
            <w:tcBorders>
              <w:top w:val="nil"/>
              <w:left w:val="nil"/>
              <w:bottom w:val="nil"/>
              <w:right w:val="nil"/>
            </w:tcBorders>
          </w:tcPr>
          <w:p w14:paraId="300938D0" w14:textId="77777777"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93.22</w:t>
            </w:r>
          </w:p>
        </w:tc>
      </w:tr>
      <w:tr w:rsidR="005B7CAC" w:rsidRPr="005B7CAC" w14:paraId="3E356449" w14:textId="77777777" w:rsidTr="002D1013">
        <w:tc>
          <w:tcPr>
            <w:tcW w:w="1452" w:type="pct"/>
            <w:tcBorders>
              <w:top w:val="nil"/>
              <w:left w:val="nil"/>
              <w:bottom w:val="nil"/>
              <w:right w:val="nil"/>
            </w:tcBorders>
          </w:tcPr>
          <w:p w14:paraId="506FE9F6" w14:textId="77777777" w:rsidR="001B394E" w:rsidRPr="005B7CAC" w:rsidRDefault="001B394E" w:rsidP="001B394E">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Telecommunications</w:t>
            </w:r>
          </w:p>
        </w:tc>
        <w:tc>
          <w:tcPr>
            <w:tcW w:w="770" w:type="pct"/>
            <w:tcBorders>
              <w:top w:val="nil"/>
              <w:left w:val="nil"/>
              <w:bottom w:val="nil"/>
              <w:right w:val="nil"/>
            </w:tcBorders>
          </w:tcPr>
          <w:p w14:paraId="589DB38B" w14:textId="29404D71"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4</w:t>
            </w:r>
          </w:p>
        </w:tc>
        <w:tc>
          <w:tcPr>
            <w:tcW w:w="891" w:type="pct"/>
            <w:tcBorders>
              <w:top w:val="nil"/>
              <w:left w:val="nil"/>
              <w:bottom w:val="nil"/>
              <w:right w:val="nil"/>
            </w:tcBorders>
          </w:tcPr>
          <w:p w14:paraId="706F57B5" w14:textId="342A5F7B"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36</w:t>
            </w:r>
          </w:p>
        </w:tc>
        <w:tc>
          <w:tcPr>
            <w:tcW w:w="826" w:type="pct"/>
            <w:tcBorders>
              <w:top w:val="nil"/>
              <w:left w:val="nil"/>
              <w:bottom w:val="nil"/>
              <w:right w:val="nil"/>
            </w:tcBorders>
          </w:tcPr>
          <w:p w14:paraId="7A84B6AF" w14:textId="77777777"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2.16</w:t>
            </w:r>
          </w:p>
        </w:tc>
        <w:tc>
          <w:tcPr>
            <w:tcW w:w="1061" w:type="pct"/>
            <w:tcBorders>
              <w:top w:val="nil"/>
              <w:left w:val="nil"/>
              <w:bottom w:val="nil"/>
              <w:right w:val="nil"/>
            </w:tcBorders>
          </w:tcPr>
          <w:p w14:paraId="50614232" w14:textId="77777777"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95.38</w:t>
            </w:r>
          </w:p>
        </w:tc>
      </w:tr>
      <w:tr w:rsidR="005B7CAC" w:rsidRPr="005B7CAC" w14:paraId="1C17612E" w14:textId="77777777" w:rsidTr="002D1013">
        <w:tc>
          <w:tcPr>
            <w:tcW w:w="1452" w:type="pct"/>
            <w:tcBorders>
              <w:top w:val="nil"/>
              <w:left w:val="nil"/>
              <w:bottom w:val="single" w:sz="8" w:space="0" w:color="auto"/>
              <w:right w:val="nil"/>
            </w:tcBorders>
          </w:tcPr>
          <w:p w14:paraId="2155227B" w14:textId="77777777" w:rsidR="001B394E" w:rsidRPr="005B7CAC" w:rsidRDefault="001B394E" w:rsidP="001B394E">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Utilities</w:t>
            </w:r>
          </w:p>
        </w:tc>
        <w:tc>
          <w:tcPr>
            <w:tcW w:w="770" w:type="pct"/>
            <w:tcBorders>
              <w:top w:val="nil"/>
              <w:left w:val="nil"/>
              <w:bottom w:val="single" w:sz="8" w:space="0" w:color="auto"/>
              <w:right w:val="nil"/>
            </w:tcBorders>
          </w:tcPr>
          <w:p w14:paraId="07F0EA14" w14:textId="22E7BB26"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8</w:t>
            </w:r>
          </w:p>
        </w:tc>
        <w:tc>
          <w:tcPr>
            <w:tcW w:w="891" w:type="pct"/>
            <w:tcBorders>
              <w:top w:val="nil"/>
              <w:left w:val="nil"/>
              <w:bottom w:val="single" w:sz="8" w:space="0" w:color="auto"/>
              <w:right w:val="nil"/>
            </w:tcBorders>
          </w:tcPr>
          <w:p w14:paraId="5A1899FB" w14:textId="34FDCEBD"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77</w:t>
            </w:r>
          </w:p>
        </w:tc>
        <w:tc>
          <w:tcPr>
            <w:tcW w:w="826" w:type="pct"/>
            <w:tcBorders>
              <w:top w:val="nil"/>
              <w:left w:val="nil"/>
              <w:bottom w:val="single" w:sz="8" w:space="0" w:color="auto"/>
              <w:right w:val="nil"/>
            </w:tcBorders>
          </w:tcPr>
          <w:p w14:paraId="7CD80F17" w14:textId="77777777"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4.62</w:t>
            </w:r>
          </w:p>
        </w:tc>
        <w:tc>
          <w:tcPr>
            <w:tcW w:w="1061" w:type="pct"/>
            <w:tcBorders>
              <w:top w:val="nil"/>
              <w:left w:val="nil"/>
              <w:bottom w:val="single" w:sz="8" w:space="0" w:color="auto"/>
              <w:right w:val="nil"/>
            </w:tcBorders>
          </w:tcPr>
          <w:p w14:paraId="07C7EE8E" w14:textId="77777777"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100.00</w:t>
            </w:r>
          </w:p>
        </w:tc>
      </w:tr>
      <w:tr w:rsidR="005B7CAC" w:rsidRPr="005B7CAC" w14:paraId="0A47F8A8" w14:textId="77777777" w:rsidTr="002D1013">
        <w:tc>
          <w:tcPr>
            <w:tcW w:w="1452" w:type="pct"/>
            <w:tcBorders>
              <w:top w:val="single" w:sz="8" w:space="0" w:color="auto"/>
              <w:left w:val="nil"/>
              <w:bottom w:val="single" w:sz="12" w:space="0" w:color="auto"/>
              <w:right w:val="nil"/>
            </w:tcBorders>
          </w:tcPr>
          <w:p w14:paraId="47F7DFE7" w14:textId="77777777" w:rsidR="001B394E" w:rsidRPr="005B7CAC" w:rsidRDefault="001B394E" w:rsidP="001B394E">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rPr>
              <w:t>Total</w:t>
            </w:r>
          </w:p>
        </w:tc>
        <w:tc>
          <w:tcPr>
            <w:tcW w:w="770" w:type="pct"/>
            <w:tcBorders>
              <w:top w:val="single" w:sz="8" w:space="0" w:color="auto"/>
              <w:left w:val="nil"/>
              <w:bottom w:val="single" w:sz="12" w:space="0" w:color="auto"/>
              <w:right w:val="nil"/>
            </w:tcBorders>
          </w:tcPr>
          <w:p w14:paraId="70BD2B04" w14:textId="2F036524"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189</w:t>
            </w:r>
          </w:p>
        </w:tc>
        <w:tc>
          <w:tcPr>
            <w:tcW w:w="891" w:type="pct"/>
            <w:tcBorders>
              <w:top w:val="single" w:sz="8" w:space="0" w:color="auto"/>
              <w:left w:val="nil"/>
              <w:bottom w:val="single" w:sz="12" w:space="0" w:color="auto"/>
              <w:right w:val="nil"/>
            </w:tcBorders>
          </w:tcPr>
          <w:p w14:paraId="0B55719F" w14:textId="4050A455"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1667</w:t>
            </w:r>
          </w:p>
        </w:tc>
        <w:tc>
          <w:tcPr>
            <w:tcW w:w="826" w:type="pct"/>
            <w:tcBorders>
              <w:top w:val="single" w:sz="8" w:space="0" w:color="auto"/>
              <w:left w:val="nil"/>
              <w:bottom w:val="single" w:sz="12" w:space="0" w:color="auto"/>
              <w:right w:val="nil"/>
            </w:tcBorders>
          </w:tcPr>
          <w:p w14:paraId="67F485ED" w14:textId="77777777"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r w:rsidRPr="005B7CAC">
              <w:rPr>
                <w:rFonts w:ascii="Times New Roman" w:hAnsi="Times New Roman"/>
                <w:sz w:val="24"/>
                <w:szCs w:val="24"/>
              </w:rPr>
              <w:t>100.00</w:t>
            </w:r>
          </w:p>
        </w:tc>
        <w:tc>
          <w:tcPr>
            <w:tcW w:w="1061" w:type="pct"/>
            <w:tcBorders>
              <w:top w:val="single" w:sz="8" w:space="0" w:color="auto"/>
              <w:left w:val="nil"/>
              <w:bottom w:val="single" w:sz="12" w:space="0" w:color="auto"/>
              <w:right w:val="nil"/>
            </w:tcBorders>
          </w:tcPr>
          <w:p w14:paraId="2AC2B289" w14:textId="77777777" w:rsidR="001B394E" w:rsidRPr="005B7CAC" w:rsidRDefault="001B394E" w:rsidP="001B394E">
            <w:pPr>
              <w:widowControl w:val="0"/>
              <w:autoSpaceDE w:val="0"/>
              <w:autoSpaceDN w:val="0"/>
              <w:adjustRightInd w:val="0"/>
              <w:spacing w:after="0" w:line="240" w:lineRule="auto"/>
              <w:jc w:val="right"/>
              <w:rPr>
                <w:rFonts w:ascii="Times New Roman" w:hAnsi="Times New Roman"/>
                <w:sz w:val="24"/>
                <w:szCs w:val="24"/>
              </w:rPr>
            </w:pPr>
          </w:p>
        </w:tc>
      </w:tr>
    </w:tbl>
    <w:p w14:paraId="6DCDB670" w14:textId="5A9C3FF6" w:rsidR="002D1013" w:rsidRPr="005B7CAC" w:rsidRDefault="002D1013" w:rsidP="002D1013">
      <w:pPr>
        <w:widowControl w:val="0"/>
        <w:autoSpaceDE w:val="0"/>
        <w:autoSpaceDN w:val="0"/>
        <w:adjustRightInd w:val="0"/>
        <w:spacing w:after="0" w:line="240" w:lineRule="auto"/>
        <w:jc w:val="both"/>
        <w:rPr>
          <w:rFonts w:ascii="Times New Roman" w:hAnsi="Times New Roman"/>
          <w:iCs/>
          <w:lang w:val="en-US"/>
        </w:rPr>
      </w:pPr>
      <w:r w:rsidRPr="005B7CAC">
        <w:rPr>
          <w:rFonts w:ascii="Times New Roman" w:hAnsi="Times New Roman"/>
          <w:b/>
          <w:iCs/>
          <w:lang w:val="en-US"/>
        </w:rPr>
        <w:t>Note(s):</w:t>
      </w:r>
      <w:r w:rsidRPr="005B7CAC">
        <w:rPr>
          <w:rFonts w:ascii="Times New Roman" w:hAnsi="Times New Roman"/>
          <w:iCs/>
          <w:lang w:val="en-US"/>
        </w:rPr>
        <w:t xml:space="preserve"> This table reports the sample distribution by industry. The final sample includes 1,6</w:t>
      </w:r>
      <w:r w:rsidR="005F2627" w:rsidRPr="005B7CAC">
        <w:rPr>
          <w:rFonts w:ascii="Times New Roman" w:hAnsi="Times New Roman"/>
          <w:iCs/>
          <w:lang w:val="en-US"/>
        </w:rPr>
        <w:t>67</w:t>
      </w:r>
      <w:r w:rsidRPr="005B7CAC">
        <w:rPr>
          <w:rFonts w:ascii="Times New Roman" w:hAnsi="Times New Roman"/>
          <w:iCs/>
          <w:lang w:val="en-US"/>
        </w:rPr>
        <w:t xml:space="preserve"> firm-year observations from 189 UK-based companies operating in nine different industries.</w:t>
      </w:r>
    </w:p>
    <w:p w14:paraId="07DCE7F1" w14:textId="77777777" w:rsidR="002D1013" w:rsidRPr="005B7CAC" w:rsidRDefault="002D1013" w:rsidP="002D1013">
      <w:pPr>
        <w:widowControl w:val="0"/>
        <w:autoSpaceDE w:val="0"/>
        <w:autoSpaceDN w:val="0"/>
        <w:adjustRightInd w:val="0"/>
        <w:spacing w:after="0" w:line="240" w:lineRule="auto"/>
        <w:jc w:val="both"/>
        <w:rPr>
          <w:rFonts w:ascii="Times New Roman" w:hAnsi="Times New Roman"/>
          <w:lang w:val="en-US"/>
        </w:rPr>
      </w:pPr>
      <w:r w:rsidRPr="005B7CAC">
        <w:rPr>
          <w:rFonts w:ascii="Times New Roman" w:hAnsi="Times New Roman"/>
          <w:b/>
          <w:lang w:val="en-US"/>
        </w:rPr>
        <w:t>Source:</w:t>
      </w:r>
      <w:r w:rsidRPr="005B7CAC">
        <w:rPr>
          <w:rFonts w:ascii="Times New Roman" w:hAnsi="Times New Roman"/>
          <w:lang w:val="en-US"/>
        </w:rPr>
        <w:t xml:space="preserve"> Table prepared by the authors.</w:t>
      </w:r>
    </w:p>
    <w:p w14:paraId="3E651394" w14:textId="77777777" w:rsidR="005113E8" w:rsidRPr="005B7CAC" w:rsidRDefault="005113E8" w:rsidP="00332F44">
      <w:pPr>
        <w:widowControl w:val="0"/>
        <w:autoSpaceDE w:val="0"/>
        <w:autoSpaceDN w:val="0"/>
        <w:adjustRightInd w:val="0"/>
        <w:spacing w:after="240" w:line="240" w:lineRule="auto"/>
        <w:rPr>
          <w:rFonts w:ascii="Times New Roman" w:hAnsi="Times New Roman"/>
          <w:b/>
          <w:sz w:val="24"/>
          <w:szCs w:val="24"/>
          <w:lang w:val="en-US"/>
        </w:rPr>
      </w:pPr>
    </w:p>
    <w:p w14:paraId="46ACDC52" w14:textId="77777777" w:rsidR="005113E8" w:rsidRPr="005B7CAC" w:rsidRDefault="005113E8" w:rsidP="00332F44">
      <w:pPr>
        <w:widowControl w:val="0"/>
        <w:autoSpaceDE w:val="0"/>
        <w:autoSpaceDN w:val="0"/>
        <w:adjustRightInd w:val="0"/>
        <w:spacing w:after="240" w:line="240" w:lineRule="auto"/>
        <w:rPr>
          <w:rFonts w:ascii="Times New Roman" w:hAnsi="Times New Roman"/>
          <w:b/>
          <w:sz w:val="24"/>
          <w:szCs w:val="24"/>
          <w:lang w:val="en-US"/>
        </w:rPr>
      </w:pPr>
    </w:p>
    <w:p w14:paraId="708D2189" w14:textId="77777777" w:rsidR="005113E8" w:rsidRPr="005B7CAC" w:rsidRDefault="005113E8" w:rsidP="00332F44">
      <w:pPr>
        <w:widowControl w:val="0"/>
        <w:autoSpaceDE w:val="0"/>
        <w:autoSpaceDN w:val="0"/>
        <w:adjustRightInd w:val="0"/>
        <w:spacing w:after="240" w:line="240" w:lineRule="auto"/>
        <w:rPr>
          <w:rFonts w:ascii="Times New Roman" w:hAnsi="Times New Roman"/>
          <w:b/>
          <w:sz w:val="24"/>
          <w:szCs w:val="24"/>
          <w:lang w:val="en-US"/>
        </w:rPr>
      </w:pPr>
    </w:p>
    <w:p w14:paraId="714C6640" w14:textId="77777777" w:rsidR="005113E8" w:rsidRPr="005B7CAC" w:rsidRDefault="005113E8" w:rsidP="00332F44">
      <w:pPr>
        <w:widowControl w:val="0"/>
        <w:autoSpaceDE w:val="0"/>
        <w:autoSpaceDN w:val="0"/>
        <w:adjustRightInd w:val="0"/>
        <w:spacing w:after="240" w:line="240" w:lineRule="auto"/>
        <w:rPr>
          <w:rFonts w:ascii="Times New Roman" w:hAnsi="Times New Roman"/>
          <w:b/>
          <w:sz w:val="24"/>
          <w:szCs w:val="24"/>
          <w:lang w:val="en-US"/>
        </w:rPr>
      </w:pPr>
    </w:p>
    <w:p w14:paraId="1AFB8B3B" w14:textId="77777777" w:rsidR="005113E8" w:rsidRPr="005B7CAC" w:rsidRDefault="005113E8" w:rsidP="00332F44">
      <w:pPr>
        <w:widowControl w:val="0"/>
        <w:autoSpaceDE w:val="0"/>
        <w:autoSpaceDN w:val="0"/>
        <w:adjustRightInd w:val="0"/>
        <w:spacing w:after="240" w:line="240" w:lineRule="auto"/>
        <w:rPr>
          <w:rFonts w:ascii="Times New Roman" w:hAnsi="Times New Roman"/>
          <w:b/>
          <w:sz w:val="24"/>
          <w:szCs w:val="24"/>
          <w:lang w:val="en-US"/>
        </w:rPr>
      </w:pPr>
    </w:p>
    <w:p w14:paraId="3F191227" w14:textId="77777777" w:rsidR="005113E8" w:rsidRPr="005B7CAC" w:rsidRDefault="005113E8" w:rsidP="00332F44">
      <w:pPr>
        <w:widowControl w:val="0"/>
        <w:autoSpaceDE w:val="0"/>
        <w:autoSpaceDN w:val="0"/>
        <w:adjustRightInd w:val="0"/>
        <w:spacing w:after="240" w:line="240" w:lineRule="auto"/>
        <w:rPr>
          <w:rFonts w:ascii="Times New Roman" w:hAnsi="Times New Roman"/>
          <w:b/>
          <w:sz w:val="24"/>
          <w:szCs w:val="24"/>
          <w:lang w:val="en-US"/>
        </w:rPr>
      </w:pPr>
    </w:p>
    <w:p w14:paraId="3FDA3317" w14:textId="77777777" w:rsidR="005113E8" w:rsidRPr="005B7CAC" w:rsidRDefault="005113E8" w:rsidP="00332F44">
      <w:pPr>
        <w:widowControl w:val="0"/>
        <w:autoSpaceDE w:val="0"/>
        <w:autoSpaceDN w:val="0"/>
        <w:adjustRightInd w:val="0"/>
        <w:spacing w:after="240" w:line="240" w:lineRule="auto"/>
        <w:rPr>
          <w:rFonts w:ascii="Times New Roman" w:hAnsi="Times New Roman"/>
          <w:b/>
          <w:sz w:val="24"/>
          <w:szCs w:val="24"/>
          <w:lang w:val="en-US"/>
        </w:rPr>
      </w:pPr>
    </w:p>
    <w:p w14:paraId="30E6D9CA" w14:textId="77777777" w:rsidR="005113E8" w:rsidRPr="005B7CAC" w:rsidRDefault="005113E8" w:rsidP="00332F44">
      <w:pPr>
        <w:widowControl w:val="0"/>
        <w:autoSpaceDE w:val="0"/>
        <w:autoSpaceDN w:val="0"/>
        <w:adjustRightInd w:val="0"/>
        <w:spacing w:after="240" w:line="240" w:lineRule="auto"/>
        <w:rPr>
          <w:rFonts w:ascii="Times New Roman" w:hAnsi="Times New Roman"/>
          <w:b/>
          <w:sz w:val="24"/>
          <w:szCs w:val="24"/>
          <w:lang w:val="en-US"/>
        </w:rPr>
      </w:pPr>
    </w:p>
    <w:p w14:paraId="233DEB75" w14:textId="77777777" w:rsidR="005113E8" w:rsidRPr="005B7CAC" w:rsidRDefault="005113E8" w:rsidP="00332F44">
      <w:pPr>
        <w:widowControl w:val="0"/>
        <w:autoSpaceDE w:val="0"/>
        <w:autoSpaceDN w:val="0"/>
        <w:adjustRightInd w:val="0"/>
        <w:spacing w:after="240" w:line="240" w:lineRule="auto"/>
        <w:rPr>
          <w:rFonts w:ascii="Times New Roman" w:hAnsi="Times New Roman"/>
          <w:b/>
          <w:sz w:val="24"/>
          <w:szCs w:val="24"/>
          <w:lang w:val="en-US"/>
        </w:rPr>
      </w:pPr>
    </w:p>
    <w:p w14:paraId="197EAF83" w14:textId="77777777" w:rsidR="005113E8" w:rsidRPr="005B7CAC" w:rsidRDefault="005113E8" w:rsidP="00332F44">
      <w:pPr>
        <w:widowControl w:val="0"/>
        <w:autoSpaceDE w:val="0"/>
        <w:autoSpaceDN w:val="0"/>
        <w:adjustRightInd w:val="0"/>
        <w:spacing w:after="240" w:line="240" w:lineRule="auto"/>
        <w:rPr>
          <w:rFonts w:ascii="Times New Roman" w:hAnsi="Times New Roman"/>
          <w:b/>
          <w:sz w:val="24"/>
          <w:szCs w:val="24"/>
          <w:lang w:val="en-US"/>
        </w:rPr>
      </w:pPr>
    </w:p>
    <w:p w14:paraId="2C1FFD6C" w14:textId="77777777" w:rsidR="005113E8" w:rsidRPr="005B7CAC" w:rsidRDefault="005113E8" w:rsidP="00332F44">
      <w:pPr>
        <w:widowControl w:val="0"/>
        <w:autoSpaceDE w:val="0"/>
        <w:autoSpaceDN w:val="0"/>
        <w:adjustRightInd w:val="0"/>
        <w:spacing w:after="240" w:line="240" w:lineRule="auto"/>
        <w:rPr>
          <w:rFonts w:ascii="Times New Roman" w:hAnsi="Times New Roman"/>
          <w:b/>
          <w:sz w:val="24"/>
          <w:szCs w:val="24"/>
          <w:lang w:val="en-US"/>
        </w:rPr>
      </w:pPr>
    </w:p>
    <w:p w14:paraId="6E1CFFA0" w14:textId="77777777" w:rsidR="00341E05" w:rsidRPr="005B7CAC" w:rsidRDefault="00341E05" w:rsidP="00332F44">
      <w:pPr>
        <w:widowControl w:val="0"/>
        <w:autoSpaceDE w:val="0"/>
        <w:autoSpaceDN w:val="0"/>
        <w:adjustRightInd w:val="0"/>
        <w:spacing w:after="240" w:line="240" w:lineRule="auto"/>
        <w:rPr>
          <w:rFonts w:ascii="Times New Roman" w:hAnsi="Times New Roman"/>
          <w:b/>
          <w:sz w:val="24"/>
          <w:szCs w:val="24"/>
          <w:lang w:val="en-US"/>
        </w:rPr>
      </w:pPr>
    </w:p>
    <w:p w14:paraId="11F3798B" w14:textId="77777777" w:rsidR="00341E05" w:rsidRPr="005B7CAC" w:rsidRDefault="00341E05" w:rsidP="00332F44">
      <w:pPr>
        <w:widowControl w:val="0"/>
        <w:autoSpaceDE w:val="0"/>
        <w:autoSpaceDN w:val="0"/>
        <w:adjustRightInd w:val="0"/>
        <w:spacing w:after="240" w:line="240" w:lineRule="auto"/>
        <w:rPr>
          <w:rFonts w:ascii="Times New Roman" w:hAnsi="Times New Roman"/>
          <w:b/>
          <w:sz w:val="24"/>
          <w:szCs w:val="24"/>
          <w:lang w:val="en-US"/>
        </w:rPr>
      </w:pPr>
    </w:p>
    <w:p w14:paraId="102B4B28" w14:textId="77777777" w:rsidR="00341E05" w:rsidRPr="005B7CAC" w:rsidRDefault="00341E05" w:rsidP="00332F44">
      <w:pPr>
        <w:widowControl w:val="0"/>
        <w:autoSpaceDE w:val="0"/>
        <w:autoSpaceDN w:val="0"/>
        <w:adjustRightInd w:val="0"/>
        <w:spacing w:after="240" w:line="240" w:lineRule="auto"/>
        <w:rPr>
          <w:rFonts w:ascii="Times New Roman" w:hAnsi="Times New Roman"/>
          <w:b/>
          <w:sz w:val="24"/>
          <w:szCs w:val="24"/>
          <w:lang w:val="en-US"/>
        </w:rPr>
      </w:pPr>
    </w:p>
    <w:p w14:paraId="579A6920" w14:textId="77777777" w:rsidR="00341E05" w:rsidRPr="005B7CAC" w:rsidRDefault="00341E05" w:rsidP="00332F44">
      <w:pPr>
        <w:widowControl w:val="0"/>
        <w:autoSpaceDE w:val="0"/>
        <w:autoSpaceDN w:val="0"/>
        <w:adjustRightInd w:val="0"/>
        <w:spacing w:after="240" w:line="240" w:lineRule="auto"/>
        <w:rPr>
          <w:rFonts w:ascii="Times New Roman" w:hAnsi="Times New Roman"/>
          <w:b/>
          <w:sz w:val="24"/>
          <w:szCs w:val="24"/>
          <w:lang w:val="en-US"/>
        </w:rPr>
      </w:pPr>
    </w:p>
    <w:p w14:paraId="30C68660" w14:textId="77777777" w:rsidR="00341E05" w:rsidRPr="005B7CAC" w:rsidRDefault="00341E05" w:rsidP="00332F44">
      <w:pPr>
        <w:widowControl w:val="0"/>
        <w:autoSpaceDE w:val="0"/>
        <w:autoSpaceDN w:val="0"/>
        <w:adjustRightInd w:val="0"/>
        <w:spacing w:after="240" w:line="240" w:lineRule="auto"/>
        <w:rPr>
          <w:rFonts w:ascii="Times New Roman" w:hAnsi="Times New Roman"/>
          <w:b/>
          <w:sz w:val="24"/>
          <w:szCs w:val="24"/>
          <w:lang w:val="en-US"/>
        </w:rPr>
      </w:pPr>
    </w:p>
    <w:p w14:paraId="51C5CE10" w14:textId="77777777" w:rsidR="00341E05" w:rsidRPr="005B7CAC" w:rsidRDefault="00341E05" w:rsidP="00332F44">
      <w:pPr>
        <w:widowControl w:val="0"/>
        <w:autoSpaceDE w:val="0"/>
        <w:autoSpaceDN w:val="0"/>
        <w:adjustRightInd w:val="0"/>
        <w:spacing w:after="240" w:line="240" w:lineRule="auto"/>
        <w:rPr>
          <w:rFonts w:ascii="Times New Roman" w:hAnsi="Times New Roman"/>
          <w:b/>
          <w:sz w:val="24"/>
          <w:szCs w:val="24"/>
          <w:lang w:val="en-US"/>
        </w:rPr>
      </w:pPr>
    </w:p>
    <w:p w14:paraId="6249E0FD" w14:textId="77777777" w:rsidR="005113E8" w:rsidRPr="005B7CAC" w:rsidRDefault="005113E8" w:rsidP="00332F44">
      <w:pPr>
        <w:widowControl w:val="0"/>
        <w:autoSpaceDE w:val="0"/>
        <w:autoSpaceDN w:val="0"/>
        <w:adjustRightInd w:val="0"/>
        <w:spacing w:after="240" w:line="240" w:lineRule="auto"/>
        <w:rPr>
          <w:rFonts w:ascii="Times New Roman" w:hAnsi="Times New Roman"/>
          <w:b/>
          <w:sz w:val="24"/>
          <w:szCs w:val="24"/>
          <w:lang w:val="en-US"/>
        </w:rPr>
      </w:pPr>
    </w:p>
    <w:p w14:paraId="4749320F" w14:textId="77777777" w:rsidR="00332F44" w:rsidRPr="005B7CAC" w:rsidRDefault="00315DAE" w:rsidP="00332F44">
      <w:pPr>
        <w:widowControl w:val="0"/>
        <w:autoSpaceDE w:val="0"/>
        <w:autoSpaceDN w:val="0"/>
        <w:adjustRightInd w:val="0"/>
        <w:spacing w:after="240" w:line="240" w:lineRule="auto"/>
        <w:rPr>
          <w:rFonts w:ascii="Times New Roman" w:hAnsi="Times New Roman"/>
          <w:sz w:val="24"/>
          <w:szCs w:val="24"/>
          <w:lang w:val="en-US"/>
        </w:rPr>
      </w:pPr>
      <w:r w:rsidRPr="005B7CAC">
        <w:rPr>
          <w:rFonts w:ascii="Times New Roman" w:hAnsi="Times New Roman"/>
          <w:b/>
          <w:sz w:val="24"/>
          <w:szCs w:val="24"/>
          <w:lang w:val="en-US"/>
        </w:rPr>
        <w:lastRenderedPageBreak/>
        <w:t>Appendix 2</w:t>
      </w:r>
      <w:r w:rsidR="00332F44" w:rsidRPr="005B7CAC">
        <w:rPr>
          <w:rFonts w:ascii="Times New Roman" w:hAnsi="Times New Roman"/>
          <w:b/>
          <w:sz w:val="24"/>
          <w:szCs w:val="24"/>
          <w:lang w:val="en-US"/>
        </w:rPr>
        <w:t>.</w:t>
      </w:r>
      <w:r w:rsidR="00332F44" w:rsidRPr="005B7CAC">
        <w:rPr>
          <w:rFonts w:ascii="Times New Roman" w:hAnsi="Times New Roman"/>
          <w:sz w:val="24"/>
          <w:szCs w:val="24"/>
          <w:lang w:val="en-US"/>
        </w:rPr>
        <w:t xml:space="preserve"> Robustness tests: lag values</w:t>
      </w:r>
    </w:p>
    <w:tbl>
      <w:tblPr>
        <w:tblW w:w="5000" w:type="pct"/>
        <w:tblLook w:val="0000" w:firstRow="0" w:lastRow="0" w:firstColumn="0" w:lastColumn="0" w:noHBand="0" w:noVBand="0"/>
      </w:tblPr>
      <w:tblGrid>
        <w:gridCol w:w="3239"/>
        <w:gridCol w:w="1612"/>
        <w:gridCol w:w="1612"/>
        <w:gridCol w:w="1612"/>
        <w:gridCol w:w="1614"/>
      </w:tblGrid>
      <w:tr w:rsidR="005B7CAC" w:rsidRPr="00DE13CA" w14:paraId="75E2C253" w14:textId="77777777" w:rsidTr="005C41BC">
        <w:tc>
          <w:tcPr>
            <w:tcW w:w="5000" w:type="pct"/>
            <w:gridSpan w:val="5"/>
            <w:tcBorders>
              <w:top w:val="single" w:sz="12" w:space="0" w:color="auto"/>
              <w:left w:val="nil"/>
              <w:bottom w:val="single" w:sz="8" w:space="0" w:color="auto"/>
              <w:right w:val="nil"/>
            </w:tcBorders>
          </w:tcPr>
          <w:p w14:paraId="04EC3CBD" w14:textId="3962A4BD" w:rsidR="005C41BC" w:rsidRPr="005B7CAC" w:rsidRDefault="005C41BC" w:rsidP="005C41BC">
            <w:pPr>
              <w:widowControl w:val="0"/>
              <w:autoSpaceDE w:val="0"/>
              <w:autoSpaceDN w:val="0"/>
              <w:adjustRightInd w:val="0"/>
              <w:spacing w:after="0" w:line="240" w:lineRule="auto"/>
              <w:rPr>
                <w:rFonts w:ascii="Times New Roman" w:hAnsi="Times New Roman"/>
                <w:b/>
                <w:bCs/>
                <w:sz w:val="24"/>
                <w:szCs w:val="24"/>
                <w:lang w:val="en-US"/>
              </w:rPr>
            </w:pPr>
            <w:r w:rsidRPr="005B7CAC">
              <w:rPr>
                <w:rFonts w:ascii="Times New Roman" w:hAnsi="Times New Roman"/>
                <w:b/>
                <w:sz w:val="24"/>
                <w:szCs w:val="24"/>
                <w:lang w:val="en-US"/>
              </w:rPr>
              <w:t>Panel A: The first lag values of the independent and moderating variables</w:t>
            </w:r>
          </w:p>
        </w:tc>
      </w:tr>
      <w:tr w:rsidR="005B7CAC" w:rsidRPr="005B7CAC" w14:paraId="0D159F6B" w14:textId="77777777" w:rsidTr="005C41BC">
        <w:tc>
          <w:tcPr>
            <w:tcW w:w="1671" w:type="pct"/>
            <w:tcBorders>
              <w:top w:val="single" w:sz="8" w:space="0" w:color="auto"/>
              <w:left w:val="nil"/>
              <w:bottom w:val="nil"/>
              <w:right w:val="nil"/>
            </w:tcBorders>
          </w:tcPr>
          <w:p w14:paraId="2DC26018" w14:textId="77777777" w:rsidR="003D01E7" w:rsidRPr="005B7CAC" w:rsidRDefault="003D01E7" w:rsidP="00C90660">
            <w:pPr>
              <w:widowControl w:val="0"/>
              <w:autoSpaceDE w:val="0"/>
              <w:autoSpaceDN w:val="0"/>
              <w:adjustRightInd w:val="0"/>
              <w:spacing w:after="0" w:line="240" w:lineRule="auto"/>
              <w:rPr>
                <w:rFonts w:ascii="Times New Roman" w:hAnsi="Times New Roman"/>
                <w:b/>
                <w:bCs/>
                <w:sz w:val="24"/>
                <w:szCs w:val="24"/>
                <w:lang w:val="en-US"/>
              </w:rPr>
            </w:pPr>
          </w:p>
        </w:tc>
        <w:tc>
          <w:tcPr>
            <w:tcW w:w="832" w:type="pct"/>
            <w:tcBorders>
              <w:top w:val="single" w:sz="8" w:space="0" w:color="auto"/>
              <w:left w:val="nil"/>
              <w:bottom w:val="nil"/>
              <w:right w:val="nil"/>
            </w:tcBorders>
          </w:tcPr>
          <w:p w14:paraId="14ED47FF"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(1)</w:t>
            </w:r>
          </w:p>
        </w:tc>
        <w:tc>
          <w:tcPr>
            <w:tcW w:w="832" w:type="pct"/>
            <w:tcBorders>
              <w:top w:val="single" w:sz="8" w:space="0" w:color="auto"/>
              <w:left w:val="nil"/>
              <w:bottom w:val="nil"/>
              <w:right w:val="nil"/>
            </w:tcBorders>
          </w:tcPr>
          <w:p w14:paraId="6DEFBBDB"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(2)</w:t>
            </w:r>
          </w:p>
        </w:tc>
        <w:tc>
          <w:tcPr>
            <w:tcW w:w="832" w:type="pct"/>
            <w:tcBorders>
              <w:top w:val="single" w:sz="8" w:space="0" w:color="auto"/>
              <w:left w:val="nil"/>
              <w:bottom w:val="nil"/>
              <w:right w:val="nil"/>
            </w:tcBorders>
          </w:tcPr>
          <w:p w14:paraId="21069F92"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(3)</w:t>
            </w:r>
          </w:p>
        </w:tc>
        <w:tc>
          <w:tcPr>
            <w:tcW w:w="833" w:type="pct"/>
            <w:tcBorders>
              <w:top w:val="single" w:sz="8" w:space="0" w:color="auto"/>
              <w:left w:val="nil"/>
              <w:bottom w:val="nil"/>
              <w:right w:val="nil"/>
            </w:tcBorders>
          </w:tcPr>
          <w:p w14:paraId="162463CE"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(4)</w:t>
            </w:r>
          </w:p>
        </w:tc>
      </w:tr>
      <w:tr w:rsidR="005B7CAC" w:rsidRPr="005B7CAC" w14:paraId="5DF7DEB2" w14:textId="77777777" w:rsidTr="005C41BC">
        <w:tc>
          <w:tcPr>
            <w:tcW w:w="1671" w:type="pct"/>
            <w:tcBorders>
              <w:top w:val="nil"/>
              <w:left w:val="nil"/>
              <w:bottom w:val="nil"/>
              <w:right w:val="nil"/>
            </w:tcBorders>
          </w:tcPr>
          <w:p w14:paraId="11918D96" w14:textId="77777777" w:rsidR="003D01E7" w:rsidRPr="005B7CAC" w:rsidRDefault="003D01E7" w:rsidP="00C90660">
            <w:pPr>
              <w:widowControl w:val="0"/>
              <w:autoSpaceDE w:val="0"/>
              <w:autoSpaceDN w:val="0"/>
              <w:adjustRightInd w:val="0"/>
              <w:spacing w:after="0" w:line="240" w:lineRule="auto"/>
              <w:rPr>
                <w:rFonts w:ascii="Times New Roman" w:hAnsi="Times New Roman"/>
                <w:b/>
                <w:bCs/>
                <w:sz w:val="24"/>
                <w:szCs w:val="24"/>
              </w:rPr>
            </w:pPr>
          </w:p>
        </w:tc>
        <w:tc>
          <w:tcPr>
            <w:tcW w:w="832" w:type="pct"/>
            <w:tcBorders>
              <w:top w:val="nil"/>
              <w:left w:val="nil"/>
              <w:bottom w:val="nil"/>
              <w:right w:val="nil"/>
            </w:tcBorders>
          </w:tcPr>
          <w:p w14:paraId="17F1726F" w14:textId="4859B55E" w:rsidR="003D01E7" w:rsidRPr="005B7CAC" w:rsidRDefault="003D01E7"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Z_UK</w:t>
            </w:r>
          </w:p>
        </w:tc>
        <w:tc>
          <w:tcPr>
            <w:tcW w:w="832" w:type="pct"/>
            <w:tcBorders>
              <w:top w:val="nil"/>
              <w:left w:val="nil"/>
              <w:bottom w:val="nil"/>
              <w:right w:val="nil"/>
            </w:tcBorders>
          </w:tcPr>
          <w:p w14:paraId="24BFD5FB" w14:textId="5ED0473B" w:rsidR="003D01E7" w:rsidRPr="005B7CAC" w:rsidRDefault="003D01E7"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Z_UK</w:t>
            </w:r>
          </w:p>
        </w:tc>
        <w:tc>
          <w:tcPr>
            <w:tcW w:w="832" w:type="pct"/>
            <w:tcBorders>
              <w:top w:val="nil"/>
              <w:left w:val="nil"/>
              <w:bottom w:val="nil"/>
              <w:right w:val="nil"/>
            </w:tcBorders>
          </w:tcPr>
          <w:p w14:paraId="6E80C6DD" w14:textId="4CE4C65B" w:rsidR="003D01E7" w:rsidRPr="005B7CAC" w:rsidRDefault="003D01E7" w:rsidP="00C90660">
            <w:pPr>
              <w:widowControl w:val="0"/>
              <w:autoSpaceDE w:val="0"/>
              <w:autoSpaceDN w:val="0"/>
              <w:adjustRightInd w:val="0"/>
              <w:spacing w:after="0" w:line="240" w:lineRule="auto"/>
              <w:jc w:val="center"/>
              <w:rPr>
                <w:rFonts w:ascii="Times New Roman" w:hAnsi="Times New Roman"/>
                <w:b/>
                <w:bCs/>
                <w:sz w:val="24"/>
                <w:szCs w:val="24"/>
                <w:lang w:val="en-US"/>
              </w:rPr>
            </w:pPr>
            <w:r w:rsidRPr="005B7CAC">
              <w:rPr>
                <w:rFonts w:ascii="Times New Roman" w:hAnsi="Times New Roman"/>
                <w:b/>
                <w:bCs/>
                <w:sz w:val="24"/>
                <w:szCs w:val="24"/>
              </w:rPr>
              <w:t>Z_</w:t>
            </w:r>
            <w:r w:rsidRPr="005B7CAC">
              <w:rPr>
                <w:rFonts w:ascii="Times New Roman" w:hAnsi="Times New Roman"/>
                <w:b/>
                <w:bCs/>
                <w:sz w:val="24"/>
                <w:szCs w:val="24"/>
                <w:lang w:val="en-US"/>
              </w:rPr>
              <w:t>ALT</w:t>
            </w:r>
          </w:p>
        </w:tc>
        <w:tc>
          <w:tcPr>
            <w:tcW w:w="833" w:type="pct"/>
            <w:tcBorders>
              <w:top w:val="nil"/>
              <w:left w:val="nil"/>
              <w:bottom w:val="nil"/>
              <w:right w:val="nil"/>
            </w:tcBorders>
          </w:tcPr>
          <w:p w14:paraId="5D59ED77" w14:textId="7A7DC3A7" w:rsidR="003D01E7" w:rsidRPr="005B7CAC" w:rsidRDefault="003D01E7" w:rsidP="00C90660">
            <w:pPr>
              <w:widowControl w:val="0"/>
              <w:autoSpaceDE w:val="0"/>
              <w:autoSpaceDN w:val="0"/>
              <w:adjustRightInd w:val="0"/>
              <w:spacing w:after="0" w:line="240" w:lineRule="auto"/>
              <w:jc w:val="center"/>
              <w:rPr>
                <w:rFonts w:ascii="Times New Roman" w:hAnsi="Times New Roman"/>
                <w:b/>
                <w:bCs/>
                <w:sz w:val="24"/>
                <w:szCs w:val="24"/>
                <w:lang w:val="en-US"/>
              </w:rPr>
            </w:pPr>
            <w:r w:rsidRPr="005B7CAC">
              <w:rPr>
                <w:rFonts w:ascii="Times New Roman" w:hAnsi="Times New Roman"/>
                <w:b/>
                <w:bCs/>
                <w:sz w:val="24"/>
                <w:szCs w:val="24"/>
              </w:rPr>
              <w:t>Z_</w:t>
            </w:r>
            <w:r w:rsidRPr="005B7CAC">
              <w:rPr>
                <w:rFonts w:ascii="Times New Roman" w:hAnsi="Times New Roman"/>
                <w:b/>
                <w:bCs/>
                <w:sz w:val="24"/>
                <w:szCs w:val="24"/>
                <w:lang w:val="en-US"/>
              </w:rPr>
              <w:t>ALT</w:t>
            </w:r>
          </w:p>
        </w:tc>
      </w:tr>
      <w:tr w:rsidR="005B7CAC" w:rsidRPr="005B7CAC" w14:paraId="2768E0A7" w14:textId="77777777" w:rsidTr="005C41BC">
        <w:tc>
          <w:tcPr>
            <w:tcW w:w="1671" w:type="pct"/>
            <w:tcBorders>
              <w:top w:val="single" w:sz="4" w:space="0" w:color="auto"/>
              <w:left w:val="nil"/>
              <w:bottom w:val="nil"/>
              <w:right w:val="nil"/>
            </w:tcBorders>
          </w:tcPr>
          <w:p w14:paraId="09274528" w14:textId="52198600" w:rsidR="003D01E7" w:rsidRPr="005B7CAC" w:rsidRDefault="003D01E7" w:rsidP="00C90660">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rPr>
              <w:t>W</w:t>
            </w:r>
            <w:r w:rsidRPr="005B7CAC">
              <w:rPr>
                <w:rFonts w:ascii="Times New Roman" w:hAnsi="Times New Roman"/>
                <w:sz w:val="24"/>
                <w:szCs w:val="24"/>
                <w:lang w:val="en-US"/>
              </w:rPr>
              <w:t>AST</w:t>
            </w:r>
            <w:r w:rsidRPr="005B7CAC">
              <w:rPr>
                <w:rFonts w:ascii="Times New Roman" w:hAnsi="Times New Roman"/>
                <w:i/>
                <w:sz w:val="24"/>
                <w:szCs w:val="24"/>
                <w:vertAlign w:val="subscript"/>
                <w:lang w:val="en-US"/>
              </w:rPr>
              <w:t xml:space="preserve"> t-1</w:t>
            </w:r>
          </w:p>
        </w:tc>
        <w:tc>
          <w:tcPr>
            <w:tcW w:w="832" w:type="pct"/>
            <w:tcBorders>
              <w:top w:val="single" w:sz="4" w:space="0" w:color="auto"/>
              <w:left w:val="nil"/>
              <w:bottom w:val="nil"/>
              <w:right w:val="nil"/>
            </w:tcBorders>
          </w:tcPr>
          <w:p w14:paraId="4294D7FD"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-0.017</w:t>
            </w:r>
            <w:r w:rsidRPr="005B7CAC">
              <w:rPr>
                <w:rFonts w:ascii="Times New Roman" w:hAnsi="Times New Roman"/>
                <w:sz w:val="24"/>
                <w:szCs w:val="24"/>
                <w:vertAlign w:val="superscript"/>
              </w:rPr>
              <w:t>***</w:t>
            </w:r>
          </w:p>
        </w:tc>
        <w:tc>
          <w:tcPr>
            <w:tcW w:w="832" w:type="pct"/>
            <w:tcBorders>
              <w:top w:val="single" w:sz="4" w:space="0" w:color="auto"/>
              <w:left w:val="nil"/>
              <w:bottom w:val="nil"/>
              <w:right w:val="nil"/>
            </w:tcBorders>
          </w:tcPr>
          <w:p w14:paraId="632ED12F"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sz w:val="24"/>
                <w:szCs w:val="24"/>
              </w:rPr>
            </w:pPr>
          </w:p>
        </w:tc>
        <w:tc>
          <w:tcPr>
            <w:tcW w:w="832" w:type="pct"/>
            <w:tcBorders>
              <w:top w:val="single" w:sz="4" w:space="0" w:color="auto"/>
              <w:left w:val="nil"/>
              <w:bottom w:val="nil"/>
              <w:right w:val="nil"/>
            </w:tcBorders>
          </w:tcPr>
          <w:p w14:paraId="161BF4D5"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-0.093</w:t>
            </w:r>
            <w:r w:rsidRPr="005B7CAC">
              <w:rPr>
                <w:rFonts w:ascii="Times New Roman" w:hAnsi="Times New Roman"/>
                <w:sz w:val="24"/>
                <w:szCs w:val="24"/>
                <w:vertAlign w:val="superscript"/>
              </w:rPr>
              <w:t>***</w:t>
            </w:r>
          </w:p>
        </w:tc>
        <w:tc>
          <w:tcPr>
            <w:tcW w:w="833" w:type="pct"/>
            <w:tcBorders>
              <w:top w:val="single" w:sz="4" w:space="0" w:color="auto"/>
              <w:left w:val="nil"/>
              <w:bottom w:val="nil"/>
              <w:right w:val="nil"/>
            </w:tcBorders>
          </w:tcPr>
          <w:p w14:paraId="498C536A"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sz w:val="24"/>
                <w:szCs w:val="24"/>
              </w:rPr>
            </w:pPr>
          </w:p>
        </w:tc>
      </w:tr>
      <w:tr w:rsidR="005B7CAC" w:rsidRPr="005B7CAC" w14:paraId="7B67D694" w14:textId="77777777" w:rsidTr="005C41BC">
        <w:tc>
          <w:tcPr>
            <w:tcW w:w="1671" w:type="pct"/>
            <w:tcBorders>
              <w:top w:val="nil"/>
              <w:left w:val="nil"/>
              <w:bottom w:val="nil"/>
              <w:right w:val="nil"/>
            </w:tcBorders>
          </w:tcPr>
          <w:p w14:paraId="7D7F23A8" w14:textId="77777777" w:rsidR="003D01E7" w:rsidRPr="005B7CAC" w:rsidRDefault="003D01E7" w:rsidP="00C90660">
            <w:pPr>
              <w:widowControl w:val="0"/>
              <w:autoSpaceDE w:val="0"/>
              <w:autoSpaceDN w:val="0"/>
              <w:adjustRightInd w:val="0"/>
              <w:spacing w:after="0" w:line="240" w:lineRule="auto"/>
              <w:rPr>
                <w:rFonts w:ascii="Times New Roman" w:hAnsi="Times New Roman"/>
                <w:sz w:val="24"/>
                <w:szCs w:val="24"/>
              </w:rPr>
            </w:pPr>
          </w:p>
        </w:tc>
        <w:tc>
          <w:tcPr>
            <w:tcW w:w="832" w:type="pct"/>
            <w:tcBorders>
              <w:top w:val="nil"/>
              <w:left w:val="nil"/>
              <w:bottom w:val="nil"/>
              <w:right w:val="nil"/>
            </w:tcBorders>
          </w:tcPr>
          <w:p w14:paraId="1187DEB1"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(-3.74)</w:t>
            </w:r>
          </w:p>
        </w:tc>
        <w:tc>
          <w:tcPr>
            <w:tcW w:w="832" w:type="pct"/>
            <w:tcBorders>
              <w:top w:val="nil"/>
              <w:left w:val="nil"/>
              <w:bottom w:val="nil"/>
              <w:right w:val="nil"/>
            </w:tcBorders>
          </w:tcPr>
          <w:p w14:paraId="2476ED1E"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sz w:val="24"/>
                <w:szCs w:val="24"/>
              </w:rPr>
            </w:pPr>
          </w:p>
        </w:tc>
        <w:tc>
          <w:tcPr>
            <w:tcW w:w="832" w:type="pct"/>
            <w:tcBorders>
              <w:top w:val="nil"/>
              <w:left w:val="nil"/>
              <w:bottom w:val="nil"/>
              <w:right w:val="nil"/>
            </w:tcBorders>
          </w:tcPr>
          <w:p w14:paraId="01734FF3"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(-4.91)</w:t>
            </w:r>
          </w:p>
        </w:tc>
        <w:tc>
          <w:tcPr>
            <w:tcW w:w="833" w:type="pct"/>
            <w:tcBorders>
              <w:top w:val="nil"/>
              <w:left w:val="nil"/>
              <w:bottom w:val="nil"/>
              <w:right w:val="nil"/>
            </w:tcBorders>
          </w:tcPr>
          <w:p w14:paraId="3FCECBA9"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sz w:val="24"/>
                <w:szCs w:val="24"/>
              </w:rPr>
            </w:pPr>
          </w:p>
        </w:tc>
      </w:tr>
      <w:tr w:rsidR="005B7CAC" w:rsidRPr="005B7CAC" w14:paraId="140898E5" w14:textId="77777777" w:rsidTr="005C41BC">
        <w:tc>
          <w:tcPr>
            <w:tcW w:w="1671" w:type="pct"/>
            <w:tcBorders>
              <w:top w:val="nil"/>
              <w:left w:val="nil"/>
              <w:bottom w:val="nil"/>
              <w:right w:val="nil"/>
            </w:tcBorders>
          </w:tcPr>
          <w:p w14:paraId="599FDC4F" w14:textId="65DB7734" w:rsidR="003D01E7" w:rsidRPr="005B7CAC" w:rsidRDefault="003D01E7" w:rsidP="00C90660">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lang w:val="en-US"/>
              </w:rPr>
              <w:t>WAST</w:t>
            </w:r>
            <w:r w:rsidRPr="005B7CAC">
              <w:rPr>
                <w:rFonts w:ascii="Times New Roman" w:hAnsi="Times New Roman"/>
                <w:i/>
                <w:sz w:val="24"/>
                <w:szCs w:val="24"/>
                <w:vertAlign w:val="subscript"/>
                <w:lang w:val="en-US"/>
              </w:rPr>
              <w:t xml:space="preserve"> t-1</w:t>
            </w:r>
            <w:r w:rsidRPr="005B7CAC">
              <w:rPr>
                <w:rFonts w:ascii="Times New Roman" w:hAnsi="Times New Roman"/>
                <w:sz w:val="24"/>
                <w:szCs w:val="24"/>
                <w:lang w:val="en-US"/>
              </w:rPr>
              <w:t>*GINVs</w:t>
            </w:r>
            <w:r w:rsidRPr="005B7CAC">
              <w:rPr>
                <w:rFonts w:ascii="Times New Roman" w:hAnsi="Times New Roman"/>
                <w:i/>
                <w:sz w:val="24"/>
                <w:szCs w:val="24"/>
                <w:vertAlign w:val="subscript"/>
                <w:lang w:val="en-US"/>
              </w:rPr>
              <w:t xml:space="preserve"> t-1</w:t>
            </w:r>
          </w:p>
        </w:tc>
        <w:tc>
          <w:tcPr>
            <w:tcW w:w="832" w:type="pct"/>
            <w:tcBorders>
              <w:top w:val="nil"/>
              <w:left w:val="nil"/>
              <w:bottom w:val="nil"/>
              <w:right w:val="nil"/>
            </w:tcBorders>
          </w:tcPr>
          <w:p w14:paraId="64D395F1"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0.001</w:t>
            </w:r>
            <w:r w:rsidRPr="005B7CAC">
              <w:rPr>
                <w:rFonts w:ascii="Times New Roman" w:hAnsi="Times New Roman"/>
                <w:sz w:val="24"/>
                <w:szCs w:val="24"/>
                <w:vertAlign w:val="superscript"/>
              </w:rPr>
              <w:t>*</w:t>
            </w:r>
          </w:p>
        </w:tc>
        <w:tc>
          <w:tcPr>
            <w:tcW w:w="832" w:type="pct"/>
            <w:tcBorders>
              <w:top w:val="nil"/>
              <w:left w:val="nil"/>
              <w:bottom w:val="nil"/>
              <w:right w:val="nil"/>
            </w:tcBorders>
          </w:tcPr>
          <w:p w14:paraId="242C3730"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sz w:val="24"/>
                <w:szCs w:val="24"/>
              </w:rPr>
            </w:pPr>
          </w:p>
        </w:tc>
        <w:tc>
          <w:tcPr>
            <w:tcW w:w="832" w:type="pct"/>
            <w:tcBorders>
              <w:top w:val="nil"/>
              <w:left w:val="nil"/>
              <w:bottom w:val="nil"/>
              <w:right w:val="nil"/>
            </w:tcBorders>
          </w:tcPr>
          <w:p w14:paraId="4F4DF0D9"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0.006</w:t>
            </w:r>
            <w:r w:rsidRPr="005B7CAC">
              <w:rPr>
                <w:rFonts w:ascii="Times New Roman" w:hAnsi="Times New Roman"/>
                <w:sz w:val="24"/>
                <w:szCs w:val="24"/>
                <w:vertAlign w:val="superscript"/>
              </w:rPr>
              <w:t>***</w:t>
            </w:r>
          </w:p>
        </w:tc>
        <w:tc>
          <w:tcPr>
            <w:tcW w:w="833" w:type="pct"/>
            <w:tcBorders>
              <w:top w:val="nil"/>
              <w:left w:val="nil"/>
              <w:bottom w:val="nil"/>
              <w:right w:val="nil"/>
            </w:tcBorders>
          </w:tcPr>
          <w:p w14:paraId="7C1D8873"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sz w:val="24"/>
                <w:szCs w:val="24"/>
              </w:rPr>
            </w:pPr>
          </w:p>
        </w:tc>
      </w:tr>
      <w:tr w:rsidR="005B7CAC" w:rsidRPr="005B7CAC" w14:paraId="69FE7190" w14:textId="77777777" w:rsidTr="005C41BC">
        <w:tc>
          <w:tcPr>
            <w:tcW w:w="1671" w:type="pct"/>
            <w:tcBorders>
              <w:top w:val="nil"/>
              <w:left w:val="nil"/>
              <w:bottom w:val="nil"/>
              <w:right w:val="nil"/>
            </w:tcBorders>
          </w:tcPr>
          <w:p w14:paraId="28DE3913" w14:textId="77777777" w:rsidR="003D01E7" w:rsidRPr="005B7CAC" w:rsidRDefault="003D01E7" w:rsidP="00C90660">
            <w:pPr>
              <w:widowControl w:val="0"/>
              <w:autoSpaceDE w:val="0"/>
              <w:autoSpaceDN w:val="0"/>
              <w:adjustRightInd w:val="0"/>
              <w:spacing w:after="0" w:line="240" w:lineRule="auto"/>
              <w:rPr>
                <w:rFonts w:ascii="Times New Roman" w:hAnsi="Times New Roman"/>
                <w:sz w:val="24"/>
                <w:szCs w:val="24"/>
              </w:rPr>
            </w:pPr>
          </w:p>
        </w:tc>
        <w:tc>
          <w:tcPr>
            <w:tcW w:w="832" w:type="pct"/>
            <w:tcBorders>
              <w:top w:val="nil"/>
              <w:left w:val="nil"/>
              <w:bottom w:val="nil"/>
              <w:right w:val="nil"/>
            </w:tcBorders>
          </w:tcPr>
          <w:p w14:paraId="704043FF"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(1.96)</w:t>
            </w:r>
          </w:p>
        </w:tc>
        <w:tc>
          <w:tcPr>
            <w:tcW w:w="832" w:type="pct"/>
            <w:tcBorders>
              <w:top w:val="nil"/>
              <w:left w:val="nil"/>
              <w:bottom w:val="nil"/>
              <w:right w:val="nil"/>
            </w:tcBorders>
          </w:tcPr>
          <w:p w14:paraId="6C7D9362"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sz w:val="24"/>
                <w:szCs w:val="24"/>
              </w:rPr>
            </w:pPr>
          </w:p>
        </w:tc>
        <w:tc>
          <w:tcPr>
            <w:tcW w:w="832" w:type="pct"/>
            <w:tcBorders>
              <w:top w:val="nil"/>
              <w:left w:val="nil"/>
              <w:bottom w:val="nil"/>
              <w:right w:val="nil"/>
            </w:tcBorders>
          </w:tcPr>
          <w:p w14:paraId="288BF949"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(3.16)</w:t>
            </w:r>
          </w:p>
        </w:tc>
        <w:tc>
          <w:tcPr>
            <w:tcW w:w="833" w:type="pct"/>
            <w:tcBorders>
              <w:top w:val="nil"/>
              <w:left w:val="nil"/>
              <w:bottom w:val="nil"/>
              <w:right w:val="nil"/>
            </w:tcBorders>
          </w:tcPr>
          <w:p w14:paraId="1CE7218A"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sz w:val="24"/>
                <w:szCs w:val="24"/>
              </w:rPr>
            </w:pPr>
          </w:p>
        </w:tc>
      </w:tr>
      <w:tr w:rsidR="005B7CAC" w:rsidRPr="005B7CAC" w14:paraId="3B5D5673" w14:textId="77777777" w:rsidTr="005C41BC">
        <w:tc>
          <w:tcPr>
            <w:tcW w:w="1671" w:type="pct"/>
            <w:tcBorders>
              <w:top w:val="nil"/>
              <w:left w:val="nil"/>
              <w:bottom w:val="nil"/>
              <w:right w:val="nil"/>
            </w:tcBorders>
          </w:tcPr>
          <w:p w14:paraId="6157979F" w14:textId="4E36D78F" w:rsidR="003D01E7" w:rsidRPr="005B7CAC" w:rsidRDefault="003D01E7" w:rsidP="00C90660">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lang w:val="en-US"/>
              </w:rPr>
              <w:t>WREC</w:t>
            </w:r>
            <w:r w:rsidRPr="005B7CAC">
              <w:rPr>
                <w:rFonts w:ascii="Times New Roman" w:hAnsi="Times New Roman"/>
                <w:i/>
                <w:sz w:val="24"/>
                <w:szCs w:val="24"/>
                <w:vertAlign w:val="subscript"/>
                <w:lang w:val="en-US"/>
              </w:rPr>
              <w:t xml:space="preserve"> t-1</w:t>
            </w:r>
          </w:p>
        </w:tc>
        <w:tc>
          <w:tcPr>
            <w:tcW w:w="832" w:type="pct"/>
            <w:tcBorders>
              <w:top w:val="nil"/>
              <w:left w:val="nil"/>
              <w:bottom w:val="nil"/>
              <w:right w:val="nil"/>
            </w:tcBorders>
          </w:tcPr>
          <w:p w14:paraId="7860A7B1"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sz w:val="24"/>
                <w:szCs w:val="24"/>
              </w:rPr>
            </w:pPr>
          </w:p>
        </w:tc>
        <w:tc>
          <w:tcPr>
            <w:tcW w:w="832" w:type="pct"/>
            <w:tcBorders>
              <w:top w:val="nil"/>
              <w:left w:val="nil"/>
              <w:bottom w:val="nil"/>
              <w:right w:val="nil"/>
            </w:tcBorders>
          </w:tcPr>
          <w:p w14:paraId="2F0E37F3"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0.008</w:t>
            </w:r>
            <w:r w:rsidRPr="005B7CAC">
              <w:rPr>
                <w:rFonts w:ascii="Times New Roman" w:hAnsi="Times New Roman"/>
                <w:sz w:val="24"/>
                <w:szCs w:val="24"/>
                <w:vertAlign w:val="superscript"/>
              </w:rPr>
              <w:t>***</w:t>
            </w:r>
          </w:p>
        </w:tc>
        <w:tc>
          <w:tcPr>
            <w:tcW w:w="832" w:type="pct"/>
            <w:tcBorders>
              <w:top w:val="nil"/>
              <w:left w:val="nil"/>
              <w:bottom w:val="nil"/>
              <w:right w:val="nil"/>
            </w:tcBorders>
          </w:tcPr>
          <w:p w14:paraId="4F85287D"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sz w:val="24"/>
                <w:szCs w:val="24"/>
              </w:rPr>
            </w:pPr>
          </w:p>
        </w:tc>
        <w:tc>
          <w:tcPr>
            <w:tcW w:w="833" w:type="pct"/>
            <w:tcBorders>
              <w:top w:val="nil"/>
              <w:left w:val="nil"/>
              <w:bottom w:val="nil"/>
              <w:right w:val="nil"/>
            </w:tcBorders>
          </w:tcPr>
          <w:p w14:paraId="426F1AA0"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0.015</w:t>
            </w:r>
            <w:r w:rsidRPr="005B7CAC">
              <w:rPr>
                <w:rFonts w:ascii="Times New Roman" w:hAnsi="Times New Roman"/>
                <w:sz w:val="24"/>
                <w:szCs w:val="24"/>
                <w:vertAlign w:val="superscript"/>
              </w:rPr>
              <w:t>***</w:t>
            </w:r>
          </w:p>
        </w:tc>
      </w:tr>
      <w:tr w:rsidR="005B7CAC" w:rsidRPr="005B7CAC" w14:paraId="33F28F38" w14:textId="77777777" w:rsidTr="005C41BC">
        <w:tc>
          <w:tcPr>
            <w:tcW w:w="1671" w:type="pct"/>
            <w:tcBorders>
              <w:top w:val="nil"/>
              <w:left w:val="nil"/>
              <w:bottom w:val="nil"/>
              <w:right w:val="nil"/>
            </w:tcBorders>
          </w:tcPr>
          <w:p w14:paraId="06CA49F4" w14:textId="77777777" w:rsidR="003D01E7" w:rsidRPr="005B7CAC" w:rsidRDefault="003D01E7" w:rsidP="00C90660">
            <w:pPr>
              <w:widowControl w:val="0"/>
              <w:autoSpaceDE w:val="0"/>
              <w:autoSpaceDN w:val="0"/>
              <w:adjustRightInd w:val="0"/>
              <w:spacing w:after="0" w:line="240" w:lineRule="auto"/>
              <w:rPr>
                <w:rFonts w:ascii="Times New Roman" w:hAnsi="Times New Roman"/>
                <w:sz w:val="24"/>
                <w:szCs w:val="24"/>
              </w:rPr>
            </w:pPr>
          </w:p>
        </w:tc>
        <w:tc>
          <w:tcPr>
            <w:tcW w:w="832" w:type="pct"/>
            <w:tcBorders>
              <w:top w:val="nil"/>
              <w:left w:val="nil"/>
              <w:bottom w:val="nil"/>
              <w:right w:val="nil"/>
            </w:tcBorders>
          </w:tcPr>
          <w:p w14:paraId="1983D6C2"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sz w:val="24"/>
                <w:szCs w:val="24"/>
              </w:rPr>
            </w:pPr>
          </w:p>
        </w:tc>
        <w:tc>
          <w:tcPr>
            <w:tcW w:w="832" w:type="pct"/>
            <w:tcBorders>
              <w:top w:val="nil"/>
              <w:left w:val="nil"/>
              <w:bottom w:val="nil"/>
              <w:right w:val="nil"/>
            </w:tcBorders>
          </w:tcPr>
          <w:p w14:paraId="71D27E08"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(7.45)</w:t>
            </w:r>
          </w:p>
        </w:tc>
        <w:tc>
          <w:tcPr>
            <w:tcW w:w="832" w:type="pct"/>
            <w:tcBorders>
              <w:top w:val="nil"/>
              <w:left w:val="nil"/>
              <w:bottom w:val="nil"/>
              <w:right w:val="nil"/>
            </w:tcBorders>
          </w:tcPr>
          <w:p w14:paraId="3339E388"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sz w:val="24"/>
                <w:szCs w:val="24"/>
              </w:rPr>
            </w:pPr>
          </w:p>
        </w:tc>
        <w:tc>
          <w:tcPr>
            <w:tcW w:w="833" w:type="pct"/>
            <w:tcBorders>
              <w:top w:val="nil"/>
              <w:left w:val="nil"/>
              <w:bottom w:val="nil"/>
              <w:right w:val="nil"/>
            </w:tcBorders>
          </w:tcPr>
          <w:p w14:paraId="4EDA9E2A"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(5.78)</w:t>
            </w:r>
          </w:p>
        </w:tc>
      </w:tr>
      <w:tr w:rsidR="005B7CAC" w:rsidRPr="005B7CAC" w14:paraId="70F9362E" w14:textId="77777777" w:rsidTr="005C41BC">
        <w:tc>
          <w:tcPr>
            <w:tcW w:w="1671" w:type="pct"/>
            <w:tcBorders>
              <w:top w:val="nil"/>
              <w:left w:val="nil"/>
              <w:bottom w:val="nil"/>
              <w:right w:val="nil"/>
            </w:tcBorders>
          </w:tcPr>
          <w:p w14:paraId="7B6D28A3" w14:textId="44EB3CC5" w:rsidR="003D01E7" w:rsidRPr="005B7CAC" w:rsidRDefault="003D01E7" w:rsidP="00C90660">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lang w:val="en-US"/>
              </w:rPr>
              <w:t>WREC</w:t>
            </w:r>
            <w:r w:rsidRPr="005B7CAC">
              <w:rPr>
                <w:rFonts w:ascii="Times New Roman" w:hAnsi="Times New Roman"/>
                <w:i/>
                <w:sz w:val="24"/>
                <w:szCs w:val="24"/>
                <w:vertAlign w:val="subscript"/>
                <w:lang w:val="en-US"/>
              </w:rPr>
              <w:t xml:space="preserve"> t-1</w:t>
            </w:r>
            <w:r w:rsidRPr="005B7CAC">
              <w:rPr>
                <w:rFonts w:ascii="Times New Roman" w:hAnsi="Times New Roman"/>
                <w:sz w:val="24"/>
                <w:szCs w:val="24"/>
                <w:lang w:val="en-US"/>
              </w:rPr>
              <w:t>*GINVs</w:t>
            </w:r>
            <w:r w:rsidRPr="005B7CAC">
              <w:rPr>
                <w:rFonts w:ascii="Times New Roman" w:hAnsi="Times New Roman"/>
                <w:i/>
                <w:sz w:val="24"/>
                <w:szCs w:val="24"/>
                <w:vertAlign w:val="subscript"/>
                <w:lang w:val="en-US"/>
              </w:rPr>
              <w:t xml:space="preserve"> t-1</w:t>
            </w:r>
          </w:p>
        </w:tc>
        <w:tc>
          <w:tcPr>
            <w:tcW w:w="832" w:type="pct"/>
            <w:tcBorders>
              <w:top w:val="nil"/>
              <w:left w:val="nil"/>
              <w:bottom w:val="nil"/>
              <w:right w:val="nil"/>
            </w:tcBorders>
          </w:tcPr>
          <w:p w14:paraId="25BCF87E"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sz w:val="24"/>
                <w:szCs w:val="24"/>
                <w:lang w:val="en-US"/>
              </w:rPr>
            </w:pPr>
          </w:p>
        </w:tc>
        <w:tc>
          <w:tcPr>
            <w:tcW w:w="832" w:type="pct"/>
            <w:tcBorders>
              <w:top w:val="nil"/>
              <w:left w:val="nil"/>
              <w:bottom w:val="nil"/>
              <w:right w:val="nil"/>
            </w:tcBorders>
          </w:tcPr>
          <w:p w14:paraId="5D95B63D"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-0.001</w:t>
            </w:r>
            <w:r w:rsidRPr="005B7CAC">
              <w:rPr>
                <w:rFonts w:ascii="Times New Roman" w:hAnsi="Times New Roman"/>
                <w:sz w:val="24"/>
                <w:szCs w:val="24"/>
                <w:vertAlign w:val="superscript"/>
              </w:rPr>
              <w:t>***</w:t>
            </w:r>
          </w:p>
        </w:tc>
        <w:tc>
          <w:tcPr>
            <w:tcW w:w="832" w:type="pct"/>
            <w:tcBorders>
              <w:top w:val="nil"/>
              <w:left w:val="nil"/>
              <w:bottom w:val="nil"/>
              <w:right w:val="nil"/>
            </w:tcBorders>
          </w:tcPr>
          <w:p w14:paraId="537D3267"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sz w:val="24"/>
                <w:szCs w:val="24"/>
              </w:rPr>
            </w:pPr>
          </w:p>
        </w:tc>
        <w:tc>
          <w:tcPr>
            <w:tcW w:w="833" w:type="pct"/>
            <w:tcBorders>
              <w:top w:val="nil"/>
              <w:left w:val="nil"/>
              <w:bottom w:val="nil"/>
              <w:right w:val="nil"/>
            </w:tcBorders>
          </w:tcPr>
          <w:p w14:paraId="05037702"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-0.001</w:t>
            </w:r>
            <w:r w:rsidRPr="005B7CAC">
              <w:rPr>
                <w:rFonts w:ascii="Times New Roman" w:hAnsi="Times New Roman"/>
                <w:sz w:val="24"/>
                <w:szCs w:val="24"/>
                <w:vertAlign w:val="superscript"/>
              </w:rPr>
              <w:t>***</w:t>
            </w:r>
          </w:p>
        </w:tc>
      </w:tr>
      <w:tr w:rsidR="005B7CAC" w:rsidRPr="005B7CAC" w14:paraId="367A9D58" w14:textId="77777777" w:rsidTr="005C41BC">
        <w:tc>
          <w:tcPr>
            <w:tcW w:w="1671" w:type="pct"/>
            <w:tcBorders>
              <w:top w:val="nil"/>
              <w:left w:val="nil"/>
              <w:bottom w:val="nil"/>
              <w:right w:val="nil"/>
            </w:tcBorders>
          </w:tcPr>
          <w:p w14:paraId="23A0743B" w14:textId="77777777" w:rsidR="003D01E7" w:rsidRPr="005B7CAC" w:rsidRDefault="003D01E7" w:rsidP="00C90660">
            <w:pPr>
              <w:widowControl w:val="0"/>
              <w:autoSpaceDE w:val="0"/>
              <w:autoSpaceDN w:val="0"/>
              <w:adjustRightInd w:val="0"/>
              <w:spacing w:after="0" w:line="240" w:lineRule="auto"/>
              <w:rPr>
                <w:rFonts w:ascii="Times New Roman" w:hAnsi="Times New Roman"/>
                <w:sz w:val="24"/>
                <w:szCs w:val="24"/>
              </w:rPr>
            </w:pPr>
          </w:p>
        </w:tc>
        <w:tc>
          <w:tcPr>
            <w:tcW w:w="832" w:type="pct"/>
            <w:tcBorders>
              <w:top w:val="nil"/>
              <w:left w:val="nil"/>
              <w:bottom w:val="nil"/>
              <w:right w:val="nil"/>
            </w:tcBorders>
          </w:tcPr>
          <w:p w14:paraId="5D97B61A"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sz w:val="24"/>
                <w:szCs w:val="24"/>
              </w:rPr>
            </w:pPr>
          </w:p>
        </w:tc>
        <w:tc>
          <w:tcPr>
            <w:tcW w:w="832" w:type="pct"/>
            <w:tcBorders>
              <w:top w:val="nil"/>
              <w:left w:val="nil"/>
              <w:bottom w:val="nil"/>
              <w:right w:val="nil"/>
            </w:tcBorders>
          </w:tcPr>
          <w:p w14:paraId="2031E5E7"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(-5.38)</w:t>
            </w:r>
          </w:p>
        </w:tc>
        <w:tc>
          <w:tcPr>
            <w:tcW w:w="832" w:type="pct"/>
            <w:tcBorders>
              <w:top w:val="nil"/>
              <w:left w:val="nil"/>
              <w:bottom w:val="nil"/>
              <w:right w:val="nil"/>
            </w:tcBorders>
          </w:tcPr>
          <w:p w14:paraId="354D9C52"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sz w:val="24"/>
                <w:szCs w:val="24"/>
              </w:rPr>
            </w:pPr>
          </w:p>
        </w:tc>
        <w:tc>
          <w:tcPr>
            <w:tcW w:w="833" w:type="pct"/>
            <w:tcBorders>
              <w:top w:val="nil"/>
              <w:left w:val="nil"/>
              <w:bottom w:val="nil"/>
              <w:right w:val="nil"/>
            </w:tcBorders>
          </w:tcPr>
          <w:p w14:paraId="7D72C19D"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(-4.02)</w:t>
            </w:r>
          </w:p>
        </w:tc>
      </w:tr>
      <w:tr w:rsidR="005B7CAC" w:rsidRPr="005B7CAC" w14:paraId="1FE0D6FA" w14:textId="77777777" w:rsidTr="005C41BC">
        <w:tc>
          <w:tcPr>
            <w:tcW w:w="1671" w:type="pct"/>
            <w:tcBorders>
              <w:top w:val="nil"/>
              <w:left w:val="nil"/>
              <w:bottom w:val="nil"/>
              <w:right w:val="nil"/>
            </w:tcBorders>
          </w:tcPr>
          <w:p w14:paraId="18F315CF" w14:textId="51FD4AE8" w:rsidR="003D01E7" w:rsidRPr="005B7CAC" w:rsidRDefault="003D01E7" w:rsidP="00C90660">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lang w:val="en-US"/>
              </w:rPr>
              <w:t>GINVs</w:t>
            </w:r>
            <w:r w:rsidRPr="005B7CAC">
              <w:rPr>
                <w:rFonts w:ascii="Times New Roman" w:hAnsi="Times New Roman"/>
                <w:i/>
                <w:sz w:val="24"/>
                <w:szCs w:val="24"/>
                <w:vertAlign w:val="subscript"/>
                <w:lang w:val="en-US"/>
              </w:rPr>
              <w:t xml:space="preserve"> t-1</w:t>
            </w:r>
          </w:p>
        </w:tc>
        <w:tc>
          <w:tcPr>
            <w:tcW w:w="832" w:type="pct"/>
            <w:tcBorders>
              <w:top w:val="nil"/>
              <w:left w:val="nil"/>
              <w:bottom w:val="nil"/>
              <w:right w:val="nil"/>
            </w:tcBorders>
          </w:tcPr>
          <w:p w14:paraId="40985BB3"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0.007</w:t>
            </w:r>
            <w:r w:rsidRPr="005B7CAC">
              <w:rPr>
                <w:rFonts w:ascii="Times New Roman" w:hAnsi="Times New Roman"/>
                <w:sz w:val="24"/>
                <w:szCs w:val="24"/>
                <w:vertAlign w:val="superscript"/>
              </w:rPr>
              <w:t>**</w:t>
            </w:r>
          </w:p>
        </w:tc>
        <w:tc>
          <w:tcPr>
            <w:tcW w:w="832" w:type="pct"/>
            <w:tcBorders>
              <w:top w:val="nil"/>
              <w:left w:val="nil"/>
              <w:bottom w:val="nil"/>
              <w:right w:val="nil"/>
            </w:tcBorders>
          </w:tcPr>
          <w:p w14:paraId="3002B007"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0.038</w:t>
            </w:r>
            <w:r w:rsidRPr="005B7CAC">
              <w:rPr>
                <w:rFonts w:ascii="Times New Roman" w:hAnsi="Times New Roman"/>
                <w:sz w:val="24"/>
                <w:szCs w:val="24"/>
                <w:vertAlign w:val="superscript"/>
              </w:rPr>
              <w:t>***</w:t>
            </w:r>
          </w:p>
        </w:tc>
        <w:tc>
          <w:tcPr>
            <w:tcW w:w="832" w:type="pct"/>
            <w:tcBorders>
              <w:top w:val="nil"/>
              <w:left w:val="nil"/>
              <w:bottom w:val="nil"/>
              <w:right w:val="nil"/>
            </w:tcBorders>
          </w:tcPr>
          <w:p w14:paraId="7227D9C0"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0.023</w:t>
            </w:r>
            <w:r w:rsidRPr="005B7CAC">
              <w:rPr>
                <w:rFonts w:ascii="Times New Roman" w:hAnsi="Times New Roman"/>
                <w:sz w:val="24"/>
                <w:szCs w:val="24"/>
                <w:vertAlign w:val="superscript"/>
              </w:rPr>
              <w:t>***</w:t>
            </w:r>
          </w:p>
        </w:tc>
        <w:tc>
          <w:tcPr>
            <w:tcW w:w="833" w:type="pct"/>
            <w:tcBorders>
              <w:top w:val="nil"/>
              <w:left w:val="nil"/>
              <w:bottom w:val="nil"/>
              <w:right w:val="nil"/>
            </w:tcBorders>
          </w:tcPr>
          <w:p w14:paraId="7DD99973"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0.077</w:t>
            </w:r>
            <w:r w:rsidRPr="005B7CAC">
              <w:rPr>
                <w:rFonts w:ascii="Times New Roman" w:hAnsi="Times New Roman"/>
                <w:sz w:val="24"/>
                <w:szCs w:val="24"/>
                <w:vertAlign w:val="superscript"/>
              </w:rPr>
              <w:t>***</w:t>
            </w:r>
          </w:p>
        </w:tc>
      </w:tr>
      <w:tr w:rsidR="005B7CAC" w:rsidRPr="005B7CAC" w14:paraId="47DCB005" w14:textId="77777777" w:rsidTr="005C41BC">
        <w:tc>
          <w:tcPr>
            <w:tcW w:w="1671" w:type="pct"/>
            <w:tcBorders>
              <w:top w:val="nil"/>
              <w:left w:val="nil"/>
              <w:bottom w:val="nil"/>
              <w:right w:val="nil"/>
            </w:tcBorders>
          </w:tcPr>
          <w:p w14:paraId="0FA3F496" w14:textId="77777777" w:rsidR="003D01E7" w:rsidRPr="005B7CAC" w:rsidRDefault="003D01E7" w:rsidP="00C90660">
            <w:pPr>
              <w:widowControl w:val="0"/>
              <w:autoSpaceDE w:val="0"/>
              <w:autoSpaceDN w:val="0"/>
              <w:adjustRightInd w:val="0"/>
              <w:spacing w:after="0" w:line="240" w:lineRule="auto"/>
              <w:rPr>
                <w:rFonts w:ascii="Times New Roman" w:hAnsi="Times New Roman"/>
                <w:sz w:val="24"/>
                <w:szCs w:val="24"/>
              </w:rPr>
            </w:pPr>
          </w:p>
        </w:tc>
        <w:tc>
          <w:tcPr>
            <w:tcW w:w="832" w:type="pct"/>
            <w:tcBorders>
              <w:top w:val="nil"/>
              <w:left w:val="nil"/>
              <w:bottom w:val="nil"/>
              <w:right w:val="nil"/>
            </w:tcBorders>
          </w:tcPr>
          <w:p w14:paraId="1FEAE813"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(2.19)</w:t>
            </w:r>
          </w:p>
        </w:tc>
        <w:tc>
          <w:tcPr>
            <w:tcW w:w="832" w:type="pct"/>
            <w:tcBorders>
              <w:top w:val="nil"/>
              <w:left w:val="nil"/>
              <w:bottom w:val="nil"/>
              <w:right w:val="nil"/>
            </w:tcBorders>
          </w:tcPr>
          <w:p w14:paraId="11D5E29E"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(5.39)</w:t>
            </w:r>
          </w:p>
        </w:tc>
        <w:tc>
          <w:tcPr>
            <w:tcW w:w="832" w:type="pct"/>
            <w:tcBorders>
              <w:top w:val="nil"/>
              <w:left w:val="nil"/>
              <w:bottom w:val="nil"/>
              <w:right w:val="nil"/>
            </w:tcBorders>
          </w:tcPr>
          <w:p w14:paraId="55638656"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(3.07)</w:t>
            </w:r>
          </w:p>
        </w:tc>
        <w:tc>
          <w:tcPr>
            <w:tcW w:w="833" w:type="pct"/>
            <w:tcBorders>
              <w:top w:val="nil"/>
              <w:left w:val="nil"/>
              <w:bottom w:val="nil"/>
              <w:right w:val="nil"/>
            </w:tcBorders>
          </w:tcPr>
          <w:p w14:paraId="66258142" w14:textId="77777777" w:rsidR="003D01E7" w:rsidRPr="005B7CAC" w:rsidRDefault="003D01E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(4.17)</w:t>
            </w:r>
          </w:p>
        </w:tc>
      </w:tr>
      <w:tr w:rsidR="005B7CAC" w:rsidRPr="005B7CAC" w14:paraId="4BFACBF4" w14:textId="77777777" w:rsidTr="005C41BC">
        <w:tc>
          <w:tcPr>
            <w:tcW w:w="1671" w:type="pct"/>
            <w:tcBorders>
              <w:top w:val="nil"/>
              <w:left w:val="nil"/>
              <w:bottom w:val="nil"/>
              <w:right w:val="nil"/>
            </w:tcBorders>
          </w:tcPr>
          <w:p w14:paraId="2B76BB0D" w14:textId="5F7027B7" w:rsidR="003D01E7" w:rsidRPr="005B7CAC" w:rsidRDefault="003D01E7" w:rsidP="003D01E7">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lang w:val="en-US"/>
              </w:rPr>
              <w:t>Controls</w:t>
            </w:r>
            <w:r w:rsidRPr="005B7CAC">
              <w:rPr>
                <w:rFonts w:ascii="Times New Roman" w:hAnsi="Times New Roman"/>
                <w:i/>
                <w:sz w:val="24"/>
                <w:szCs w:val="24"/>
                <w:vertAlign w:val="subscript"/>
                <w:lang w:val="en-US"/>
              </w:rPr>
              <w:t xml:space="preserve"> t-1</w:t>
            </w:r>
          </w:p>
        </w:tc>
        <w:tc>
          <w:tcPr>
            <w:tcW w:w="832" w:type="pct"/>
            <w:tcBorders>
              <w:top w:val="nil"/>
              <w:left w:val="nil"/>
              <w:bottom w:val="nil"/>
              <w:right w:val="nil"/>
            </w:tcBorders>
          </w:tcPr>
          <w:p w14:paraId="04F2A802" w14:textId="48803379" w:rsidR="003D01E7" w:rsidRPr="005B7CAC" w:rsidRDefault="003D01E7" w:rsidP="003D01E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Included</w:t>
            </w:r>
          </w:p>
        </w:tc>
        <w:tc>
          <w:tcPr>
            <w:tcW w:w="832" w:type="pct"/>
            <w:tcBorders>
              <w:top w:val="nil"/>
              <w:left w:val="nil"/>
              <w:bottom w:val="nil"/>
              <w:right w:val="nil"/>
            </w:tcBorders>
          </w:tcPr>
          <w:p w14:paraId="6C2416BC" w14:textId="37A5E6EC" w:rsidR="003D01E7" w:rsidRPr="005B7CAC" w:rsidRDefault="003D01E7" w:rsidP="003D01E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Included</w:t>
            </w:r>
          </w:p>
        </w:tc>
        <w:tc>
          <w:tcPr>
            <w:tcW w:w="832" w:type="pct"/>
            <w:tcBorders>
              <w:top w:val="nil"/>
              <w:left w:val="nil"/>
              <w:bottom w:val="nil"/>
              <w:right w:val="nil"/>
            </w:tcBorders>
          </w:tcPr>
          <w:p w14:paraId="3F892B79" w14:textId="342CFA5E" w:rsidR="003D01E7" w:rsidRPr="005B7CAC" w:rsidRDefault="003D01E7" w:rsidP="003D01E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Included</w:t>
            </w:r>
          </w:p>
        </w:tc>
        <w:tc>
          <w:tcPr>
            <w:tcW w:w="833" w:type="pct"/>
            <w:tcBorders>
              <w:top w:val="nil"/>
              <w:left w:val="nil"/>
              <w:bottom w:val="nil"/>
              <w:right w:val="nil"/>
            </w:tcBorders>
          </w:tcPr>
          <w:p w14:paraId="0C55A07E" w14:textId="4ADBEA35" w:rsidR="003D01E7" w:rsidRPr="005B7CAC" w:rsidRDefault="003D01E7" w:rsidP="003D01E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Included</w:t>
            </w:r>
          </w:p>
        </w:tc>
      </w:tr>
      <w:tr w:rsidR="005B7CAC" w:rsidRPr="005B7CAC" w14:paraId="71ED6FB4" w14:textId="77777777" w:rsidTr="005C41BC">
        <w:tc>
          <w:tcPr>
            <w:tcW w:w="1671" w:type="pct"/>
            <w:tcBorders>
              <w:top w:val="nil"/>
              <w:left w:val="nil"/>
              <w:bottom w:val="nil"/>
              <w:right w:val="nil"/>
            </w:tcBorders>
          </w:tcPr>
          <w:p w14:paraId="2B5C8F7B" w14:textId="293765F8" w:rsidR="003D01E7" w:rsidRPr="005B7CAC" w:rsidRDefault="003D01E7" w:rsidP="003D01E7">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lang w:val="en-US"/>
              </w:rPr>
              <w:t>Year</w:t>
            </w:r>
          </w:p>
        </w:tc>
        <w:tc>
          <w:tcPr>
            <w:tcW w:w="832" w:type="pct"/>
            <w:tcBorders>
              <w:top w:val="nil"/>
              <w:left w:val="nil"/>
              <w:bottom w:val="nil"/>
              <w:right w:val="nil"/>
            </w:tcBorders>
          </w:tcPr>
          <w:p w14:paraId="18F93CA6" w14:textId="794383B1" w:rsidR="003D01E7" w:rsidRPr="005B7CAC" w:rsidRDefault="003D01E7" w:rsidP="003D01E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Yes</w:t>
            </w:r>
          </w:p>
        </w:tc>
        <w:tc>
          <w:tcPr>
            <w:tcW w:w="832" w:type="pct"/>
            <w:tcBorders>
              <w:top w:val="nil"/>
              <w:left w:val="nil"/>
              <w:bottom w:val="nil"/>
              <w:right w:val="nil"/>
            </w:tcBorders>
          </w:tcPr>
          <w:p w14:paraId="2C98736A" w14:textId="7298BCCE" w:rsidR="003D01E7" w:rsidRPr="005B7CAC" w:rsidRDefault="003D01E7" w:rsidP="003D01E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Yes</w:t>
            </w:r>
          </w:p>
        </w:tc>
        <w:tc>
          <w:tcPr>
            <w:tcW w:w="832" w:type="pct"/>
            <w:tcBorders>
              <w:top w:val="nil"/>
              <w:left w:val="nil"/>
              <w:bottom w:val="nil"/>
              <w:right w:val="nil"/>
            </w:tcBorders>
          </w:tcPr>
          <w:p w14:paraId="6F906B71" w14:textId="3C8DC7AF" w:rsidR="003D01E7" w:rsidRPr="005B7CAC" w:rsidRDefault="003D01E7" w:rsidP="003D01E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Yes</w:t>
            </w:r>
          </w:p>
        </w:tc>
        <w:tc>
          <w:tcPr>
            <w:tcW w:w="833" w:type="pct"/>
            <w:tcBorders>
              <w:top w:val="nil"/>
              <w:left w:val="nil"/>
              <w:bottom w:val="nil"/>
              <w:right w:val="nil"/>
            </w:tcBorders>
          </w:tcPr>
          <w:p w14:paraId="1276C843" w14:textId="71B4C55F" w:rsidR="003D01E7" w:rsidRPr="005B7CAC" w:rsidRDefault="003D01E7" w:rsidP="003D01E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Yes</w:t>
            </w:r>
          </w:p>
        </w:tc>
      </w:tr>
      <w:tr w:rsidR="005B7CAC" w:rsidRPr="005B7CAC" w14:paraId="0FDD0727" w14:textId="77777777" w:rsidTr="005C41BC">
        <w:tc>
          <w:tcPr>
            <w:tcW w:w="1671" w:type="pct"/>
            <w:tcBorders>
              <w:top w:val="nil"/>
              <w:left w:val="nil"/>
              <w:bottom w:val="nil"/>
              <w:right w:val="nil"/>
            </w:tcBorders>
          </w:tcPr>
          <w:p w14:paraId="15727679" w14:textId="67A33FB2" w:rsidR="003D01E7" w:rsidRPr="005B7CAC" w:rsidRDefault="003D01E7" w:rsidP="003D01E7">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lang w:val="en-US"/>
              </w:rPr>
              <w:t>Industry</w:t>
            </w:r>
          </w:p>
        </w:tc>
        <w:tc>
          <w:tcPr>
            <w:tcW w:w="832" w:type="pct"/>
            <w:tcBorders>
              <w:top w:val="nil"/>
              <w:left w:val="nil"/>
              <w:bottom w:val="nil"/>
              <w:right w:val="nil"/>
            </w:tcBorders>
          </w:tcPr>
          <w:p w14:paraId="6337AAAA" w14:textId="2E201C3B" w:rsidR="003D01E7" w:rsidRPr="005B7CAC" w:rsidRDefault="003D01E7" w:rsidP="003D01E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Yes</w:t>
            </w:r>
          </w:p>
        </w:tc>
        <w:tc>
          <w:tcPr>
            <w:tcW w:w="832" w:type="pct"/>
            <w:tcBorders>
              <w:top w:val="nil"/>
              <w:left w:val="nil"/>
              <w:bottom w:val="nil"/>
              <w:right w:val="nil"/>
            </w:tcBorders>
          </w:tcPr>
          <w:p w14:paraId="699B2A20" w14:textId="68901934" w:rsidR="003D01E7" w:rsidRPr="005B7CAC" w:rsidRDefault="003D01E7" w:rsidP="003D01E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Yes</w:t>
            </w:r>
          </w:p>
        </w:tc>
        <w:tc>
          <w:tcPr>
            <w:tcW w:w="832" w:type="pct"/>
            <w:tcBorders>
              <w:top w:val="nil"/>
              <w:left w:val="nil"/>
              <w:bottom w:val="nil"/>
              <w:right w:val="nil"/>
            </w:tcBorders>
          </w:tcPr>
          <w:p w14:paraId="00ABFCD3" w14:textId="26324EC1" w:rsidR="003D01E7" w:rsidRPr="005B7CAC" w:rsidRDefault="003D01E7" w:rsidP="003D01E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Yes</w:t>
            </w:r>
          </w:p>
        </w:tc>
        <w:tc>
          <w:tcPr>
            <w:tcW w:w="833" w:type="pct"/>
            <w:tcBorders>
              <w:top w:val="nil"/>
              <w:left w:val="nil"/>
              <w:bottom w:val="nil"/>
              <w:right w:val="nil"/>
            </w:tcBorders>
          </w:tcPr>
          <w:p w14:paraId="610ECD0B" w14:textId="3F04D0B6" w:rsidR="003D01E7" w:rsidRPr="005B7CAC" w:rsidRDefault="003D01E7" w:rsidP="003D01E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Yes</w:t>
            </w:r>
          </w:p>
        </w:tc>
      </w:tr>
      <w:tr w:rsidR="005B7CAC" w:rsidRPr="005B7CAC" w14:paraId="78AD625D" w14:textId="77777777" w:rsidTr="005C41BC">
        <w:tc>
          <w:tcPr>
            <w:tcW w:w="1671" w:type="pct"/>
            <w:tcBorders>
              <w:top w:val="single" w:sz="4" w:space="0" w:color="auto"/>
              <w:left w:val="nil"/>
              <w:bottom w:val="nil"/>
              <w:right w:val="nil"/>
            </w:tcBorders>
          </w:tcPr>
          <w:p w14:paraId="785990FF" w14:textId="66C3C798" w:rsidR="003D01E7" w:rsidRPr="005B7CAC" w:rsidRDefault="003D01E7" w:rsidP="003D01E7">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lang w:val="en-US"/>
              </w:rPr>
              <w:t>Observations</w:t>
            </w:r>
          </w:p>
        </w:tc>
        <w:tc>
          <w:tcPr>
            <w:tcW w:w="832" w:type="pct"/>
            <w:tcBorders>
              <w:top w:val="single" w:sz="4" w:space="0" w:color="auto"/>
              <w:left w:val="nil"/>
              <w:bottom w:val="nil"/>
              <w:right w:val="nil"/>
            </w:tcBorders>
          </w:tcPr>
          <w:p w14:paraId="1F1C7708" w14:textId="77777777" w:rsidR="003D01E7" w:rsidRPr="005B7CAC" w:rsidRDefault="003D01E7" w:rsidP="003D01E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1432</w:t>
            </w:r>
          </w:p>
        </w:tc>
        <w:tc>
          <w:tcPr>
            <w:tcW w:w="832" w:type="pct"/>
            <w:tcBorders>
              <w:top w:val="single" w:sz="4" w:space="0" w:color="auto"/>
              <w:left w:val="nil"/>
              <w:bottom w:val="nil"/>
              <w:right w:val="nil"/>
            </w:tcBorders>
          </w:tcPr>
          <w:p w14:paraId="220F3311" w14:textId="77777777" w:rsidR="003D01E7" w:rsidRPr="005B7CAC" w:rsidRDefault="003D01E7" w:rsidP="003D01E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1120</w:t>
            </w:r>
          </w:p>
        </w:tc>
        <w:tc>
          <w:tcPr>
            <w:tcW w:w="832" w:type="pct"/>
            <w:tcBorders>
              <w:top w:val="single" w:sz="4" w:space="0" w:color="auto"/>
              <w:left w:val="nil"/>
              <w:bottom w:val="nil"/>
              <w:right w:val="nil"/>
            </w:tcBorders>
          </w:tcPr>
          <w:p w14:paraId="3C26DFC1" w14:textId="77777777" w:rsidR="003D01E7" w:rsidRPr="005B7CAC" w:rsidRDefault="003D01E7" w:rsidP="003D01E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1432</w:t>
            </w:r>
          </w:p>
        </w:tc>
        <w:tc>
          <w:tcPr>
            <w:tcW w:w="833" w:type="pct"/>
            <w:tcBorders>
              <w:top w:val="single" w:sz="4" w:space="0" w:color="auto"/>
              <w:left w:val="nil"/>
              <w:bottom w:val="nil"/>
              <w:right w:val="nil"/>
            </w:tcBorders>
          </w:tcPr>
          <w:p w14:paraId="3A62BB04" w14:textId="77777777" w:rsidR="003D01E7" w:rsidRPr="005B7CAC" w:rsidRDefault="003D01E7" w:rsidP="003D01E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1120</w:t>
            </w:r>
          </w:p>
        </w:tc>
      </w:tr>
      <w:tr w:rsidR="005B7CAC" w:rsidRPr="005B7CAC" w14:paraId="2B4B2918" w14:textId="77777777" w:rsidTr="005C41BC">
        <w:tc>
          <w:tcPr>
            <w:tcW w:w="1671" w:type="pct"/>
            <w:tcBorders>
              <w:top w:val="nil"/>
              <w:left w:val="nil"/>
              <w:bottom w:val="single" w:sz="12" w:space="0" w:color="auto"/>
              <w:right w:val="nil"/>
            </w:tcBorders>
          </w:tcPr>
          <w:p w14:paraId="2EA388CA" w14:textId="73D7D999" w:rsidR="003D01E7" w:rsidRPr="005B7CAC" w:rsidRDefault="003D01E7" w:rsidP="003D01E7">
            <w:pPr>
              <w:widowControl w:val="0"/>
              <w:autoSpaceDE w:val="0"/>
              <w:autoSpaceDN w:val="0"/>
              <w:adjustRightInd w:val="0"/>
              <w:spacing w:after="0" w:line="240" w:lineRule="auto"/>
              <w:rPr>
                <w:rFonts w:ascii="Times New Roman" w:hAnsi="Times New Roman"/>
                <w:sz w:val="24"/>
                <w:szCs w:val="24"/>
              </w:rPr>
            </w:pPr>
            <w:r w:rsidRPr="005B7CAC">
              <w:rPr>
                <w:rFonts w:ascii="Times New Roman" w:hAnsi="Times New Roman"/>
                <w:sz w:val="24"/>
                <w:szCs w:val="24"/>
                <w:lang w:val="en-US"/>
              </w:rPr>
              <w:t>Adj. R-sq.</w:t>
            </w:r>
          </w:p>
        </w:tc>
        <w:tc>
          <w:tcPr>
            <w:tcW w:w="832" w:type="pct"/>
            <w:tcBorders>
              <w:top w:val="nil"/>
              <w:left w:val="nil"/>
              <w:bottom w:val="single" w:sz="12" w:space="0" w:color="auto"/>
              <w:right w:val="nil"/>
            </w:tcBorders>
          </w:tcPr>
          <w:p w14:paraId="52C382BA" w14:textId="77777777" w:rsidR="003D01E7" w:rsidRPr="005B7CAC" w:rsidRDefault="003D01E7" w:rsidP="003D01E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0.456</w:t>
            </w:r>
          </w:p>
        </w:tc>
        <w:tc>
          <w:tcPr>
            <w:tcW w:w="832" w:type="pct"/>
            <w:tcBorders>
              <w:top w:val="nil"/>
              <w:left w:val="nil"/>
              <w:bottom w:val="single" w:sz="12" w:space="0" w:color="auto"/>
              <w:right w:val="nil"/>
            </w:tcBorders>
          </w:tcPr>
          <w:p w14:paraId="317AEF24" w14:textId="77777777" w:rsidR="003D01E7" w:rsidRPr="005B7CAC" w:rsidRDefault="003D01E7" w:rsidP="003D01E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0.546</w:t>
            </w:r>
          </w:p>
        </w:tc>
        <w:tc>
          <w:tcPr>
            <w:tcW w:w="832" w:type="pct"/>
            <w:tcBorders>
              <w:top w:val="nil"/>
              <w:left w:val="nil"/>
              <w:bottom w:val="single" w:sz="12" w:space="0" w:color="auto"/>
              <w:right w:val="nil"/>
            </w:tcBorders>
          </w:tcPr>
          <w:p w14:paraId="5434FC30" w14:textId="77777777" w:rsidR="003D01E7" w:rsidRPr="005B7CAC" w:rsidRDefault="003D01E7" w:rsidP="003D01E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0.427</w:t>
            </w:r>
          </w:p>
        </w:tc>
        <w:tc>
          <w:tcPr>
            <w:tcW w:w="833" w:type="pct"/>
            <w:tcBorders>
              <w:top w:val="nil"/>
              <w:left w:val="nil"/>
              <w:bottom w:val="single" w:sz="12" w:space="0" w:color="auto"/>
              <w:right w:val="nil"/>
            </w:tcBorders>
          </w:tcPr>
          <w:p w14:paraId="0FBB9B8D" w14:textId="77777777" w:rsidR="003D01E7" w:rsidRPr="005B7CAC" w:rsidRDefault="003D01E7" w:rsidP="003D01E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0.488</w:t>
            </w:r>
          </w:p>
        </w:tc>
      </w:tr>
      <w:tr w:rsidR="005B7CAC" w:rsidRPr="00DE13CA" w14:paraId="5B8AC05B" w14:textId="77777777" w:rsidTr="005C41BC">
        <w:tc>
          <w:tcPr>
            <w:tcW w:w="5000" w:type="pct"/>
            <w:gridSpan w:val="5"/>
            <w:tcBorders>
              <w:top w:val="single" w:sz="12" w:space="0" w:color="auto"/>
              <w:left w:val="nil"/>
              <w:bottom w:val="single" w:sz="8" w:space="0" w:color="auto"/>
              <w:right w:val="nil"/>
            </w:tcBorders>
          </w:tcPr>
          <w:p w14:paraId="15BBAA8E" w14:textId="1001BAB7" w:rsidR="005C41BC" w:rsidRPr="005B7CAC" w:rsidRDefault="005C41BC" w:rsidP="005C41BC">
            <w:pPr>
              <w:widowControl w:val="0"/>
              <w:autoSpaceDE w:val="0"/>
              <w:autoSpaceDN w:val="0"/>
              <w:adjustRightInd w:val="0"/>
              <w:spacing w:after="0" w:line="240" w:lineRule="auto"/>
              <w:rPr>
                <w:rFonts w:ascii="Times New Roman" w:hAnsi="Times New Roman"/>
                <w:b/>
                <w:bCs/>
                <w:sz w:val="24"/>
                <w:szCs w:val="24"/>
                <w:lang w:val="en-US"/>
              </w:rPr>
            </w:pPr>
            <w:r w:rsidRPr="005B7CAC">
              <w:rPr>
                <w:rFonts w:ascii="Times New Roman" w:hAnsi="Times New Roman"/>
                <w:b/>
                <w:sz w:val="24"/>
                <w:szCs w:val="24"/>
                <w:lang w:val="en-US"/>
              </w:rPr>
              <w:t>Panel B: The second lag values of the independent and moderating variables</w:t>
            </w:r>
          </w:p>
        </w:tc>
      </w:tr>
      <w:tr w:rsidR="005B7CAC" w:rsidRPr="005B7CAC" w14:paraId="00E62E4B" w14:textId="77777777" w:rsidTr="005C41BC">
        <w:tc>
          <w:tcPr>
            <w:tcW w:w="1671" w:type="pct"/>
            <w:tcBorders>
              <w:top w:val="single" w:sz="8" w:space="0" w:color="auto"/>
              <w:left w:val="nil"/>
              <w:right w:val="nil"/>
            </w:tcBorders>
          </w:tcPr>
          <w:p w14:paraId="4A9B17CE" w14:textId="77777777" w:rsidR="00B90317" w:rsidRPr="005B7CAC" w:rsidRDefault="00B90317" w:rsidP="00C90660">
            <w:pPr>
              <w:widowControl w:val="0"/>
              <w:autoSpaceDE w:val="0"/>
              <w:autoSpaceDN w:val="0"/>
              <w:adjustRightInd w:val="0"/>
              <w:spacing w:after="0" w:line="240" w:lineRule="auto"/>
              <w:rPr>
                <w:rFonts w:ascii="Times New Roman" w:hAnsi="Times New Roman"/>
                <w:b/>
                <w:bCs/>
                <w:sz w:val="24"/>
                <w:szCs w:val="24"/>
                <w:lang w:val="en-US"/>
              </w:rPr>
            </w:pPr>
          </w:p>
        </w:tc>
        <w:tc>
          <w:tcPr>
            <w:tcW w:w="832" w:type="pct"/>
            <w:tcBorders>
              <w:top w:val="single" w:sz="8" w:space="0" w:color="auto"/>
              <w:left w:val="nil"/>
              <w:right w:val="nil"/>
            </w:tcBorders>
          </w:tcPr>
          <w:p w14:paraId="3AED0A9C"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(1)</w:t>
            </w:r>
          </w:p>
        </w:tc>
        <w:tc>
          <w:tcPr>
            <w:tcW w:w="832" w:type="pct"/>
            <w:tcBorders>
              <w:top w:val="single" w:sz="8" w:space="0" w:color="auto"/>
              <w:left w:val="nil"/>
              <w:right w:val="nil"/>
            </w:tcBorders>
          </w:tcPr>
          <w:p w14:paraId="32BCD52B"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(2)</w:t>
            </w:r>
          </w:p>
        </w:tc>
        <w:tc>
          <w:tcPr>
            <w:tcW w:w="832" w:type="pct"/>
            <w:tcBorders>
              <w:top w:val="single" w:sz="8" w:space="0" w:color="auto"/>
              <w:left w:val="nil"/>
              <w:right w:val="nil"/>
            </w:tcBorders>
          </w:tcPr>
          <w:p w14:paraId="114AABF0"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(3)</w:t>
            </w:r>
          </w:p>
        </w:tc>
        <w:tc>
          <w:tcPr>
            <w:tcW w:w="833" w:type="pct"/>
            <w:tcBorders>
              <w:top w:val="single" w:sz="8" w:space="0" w:color="auto"/>
              <w:left w:val="nil"/>
              <w:right w:val="nil"/>
            </w:tcBorders>
          </w:tcPr>
          <w:p w14:paraId="78B2DD71"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(4)</w:t>
            </w:r>
          </w:p>
        </w:tc>
      </w:tr>
      <w:tr w:rsidR="005B7CAC" w:rsidRPr="005B7CAC" w14:paraId="5478BDD3" w14:textId="77777777" w:rsidTr="005C41BC">
        <w:tc>
          <w:tcPr>
            <w:tcW w:w="1671" w:type="pct"/>
            <w:tcBorders>
              <w:left w:val="nil"/>
              <w:bottom w:val="single" w:sz="8" w:space="0" w:color="auto"/>
              <w:right w:val="nil"/>
            </w:tcBorders>
          </w:tcPr>
          <w:p w14:paraId="198A98A3" w14:textId="77777777" w:rsidR="00B90317" w:rsidRPr="005B7CAC" w:rsidRDefault="00B90317" w:rsidP="00C90660">
            <w:pPr>
              <w:widowControl w:val="0"/>
              <w:autoSpaceDE w:val="0"/>
              <w:autoSpaceDN w:val="0"/>
              <w:adjustRightInd w:val="0"/>
              <w:spacing w:after="0" w:line="240" w:lineRule="auto"/>
              <w:rPr>
                <w:rFonts w:ascii="Times New Roman" w:hAnsi="Times New Roman"/>
                <w:b/>
                <w:bCs/>
                <w:sz w:val="24"/>
                <w:szCs w:val="24"/>
                <w:lang w:val="en-US"/>
              </w:rPr>
            </w:pPr>
          </w:p>
        </w:tc>
        <w:tc>
          <w:tcPr>
            <w:tcW w:w="832" w:type="pct"/>
            <w:tcBorders>
              <w:left w:val="nil"/>
              <w:bottom w:val="single" w:sz="8" w:space="0" w:color="auto"/>
              <w:right w:val="nil"/>
            </w:tcBorders>
          </w:tcPr>
          <w:p w14:paraId="750E7131" w14:textId="5A95BE56" w:rsidR="00B90317" w:rsidRPr="005B7CAC" w:rsidRDefault="00B90317"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Z_UK</w:t>
            </w:r>
          </w:p>
        </w:tc>
        <w:tc>
          <w:tcPr>
            <w:tcW w:w="832" w:type="pct"/>
            <w:tcBorders>
              <w:left w:val="nil"/>
              <w:bottom w:val="single" w:sz="8" w:space="0" w:color="auto"/>
              <w:right w:val="nil"/>
            </w:tcBorders>
          </w:tcPr>
          <w:p w14:paraId="4619512F" w14:textId="1BAFD90E" w:rsidR="00B90317" w:rsidRPr="005B7CAC" w:rsidRDefault="00B90317" w:rsidP="00C90660">
            <w:pPr>
              <w:widowControl w:val="0"/>
              <w:autoSpaceDE w:val="0"/>
              <w:autoSpaceDN w:val="0"/>
              <w:adjustRightInd w:val="0"/>
              <w:spacing w:after="0" w:line="240" w:lineRule="auto"/>
              <w:jc w:val="center"/>
              <w:rPr>
                <w:rFonts w:ascii="Times New Roman" w:hAnsi="Times New Roman"/>
                <w:b/>
                <w:bCs/>
                <w:sz w:val="24"/>
                <w:szCs w:val="24"/>
              </w:rPr>
            </w:pPr>
            <w:r w:rsidRPr="005B7CAC">
              <w:rPr>
                <w:rFonts w:ascii="Times New Roman" w:hAnsi="Times New Roman"/>
                <w:b/>
                <w:bCs/>
                <w:sz w:val="24"/>
                <w:szCs w:val="24"/>
              </w:rPr>
              <w:t>Z_UK</w:t>
            </w:r>
          </w:p>
        </w:tc>
        <w:tc>
          <w:tcPr>
            <w:tcW w:w="832" w:type="pct"/>
            <w:tcBorders>
              <w:left w:val="nil"/>
              <w:bottom w:val="single" w:sz="8" w:space="0" w:color="auto"/>
              <w:right w:val="nil"/>
            </w:tcBorders>
          </w:tcPr>
          <w:p w14:paraId="544C5B5A" w14:textId="3FBD47C2" w:rsidR="00B90317" w:rsidRPr="005B7CAC" w:rsidRDefault="00B90317" w:rsidP="00C90660">
            <w:pPr>
              <w:widowControl w:val="0"/>
              <w:autoSpaceDE w:val="0"/>
              <w:autoSpaceDN w:val="0"/>
              <w:adjustRightInd w:val="0"/>
              <w:spacing w:after="0" w:line="240" w:lineRule="auto"/>
              <w:jc w:val="center"/>
              <w:rPr>
                <w:rFonts w:ascii="Times New Roman" w:hAnsi="Times New Roman"/>
                <w:b/>
                <w:bCs/>
                <w:sz w:val="24"/>
                <w:szCs w:val="24"/>
                <w:lang w:val="en-US"/>
              </w:rPr>
            </w:pPr>
            <w:r w:rsidRPr="005B7CAC">
              <w:rPr>
                <w:rFonts w:ascii="Times New Roman" w:hAnsi="Times New Roman"/>
                <w:b/>
                <w:bCs/>
                <w:sz w:val="24"/>
                <w:szCs w:val="24"/>
              </w:rPr>
              <w:t>Z_</w:t>
            </w:r>
            <w:r w:rsidRPr="005B7CAC">
              <w:rPr>
                <w:rFonts w:ascii="Times New Roman" w:hAnsi="Times New Roman"/>
                <w:b/>
                <w:bCs/>
                <w:sz w:val="24"/>
                <w:szCs w:val="24"/>
                <w:lang w:val="en-US"/>
              </w:rPr>
              <w:t>ALT</w:t>
            </w:r>
          </w:p>
        </w:tc>
        <w:tc>
          <w:tcPr>
            <w:tcW w:w="833" w:type="pct"/>
            <w:tcBorders>
              <w:left w:val="nil"/>
              <w:bottom w:val="single" w:sz="8" w:space="0" w:color="auto"/>
              <w:right w:val="nil"/>
            </w:tcBorders>
          </w:tcPr>
          <w:p w14:paraId="10597F63" w14:textId="2BA9560A" w:rsidR="00B90317" w:rsidRPr="005B7CAC" w:rsidRDefault="00B90317" w:rsidP="00C90660">
            <w:pPr>
              <w:widowControl w:val="0"/>
              <w:autoSpaceDE w:val="0"/>
              <w:autoSpaceDN w:val="0"/>
              <w:adjustRightInd w:val="0"/>
              <w:spacing w:after="0" w:line="240" w:lineRule="auto"/>
              <w:jc w:val="center"/>
              <w:rPr>
                <w:rFonts w:ascii="Times New Roman" w:hAnsi="Times New Roman"/>
                <w:b/>
                <w:bCs/>
                <w:sz w:val="24"/>
                <w:szCs w:val="24"/>
                <w:lang w:val="en-US"/>
              </w:rPr>
            </w:pPr>
            <w:r w:rsidRPr="005B7CAC">
              <w:rPr>
                <w:rFonts w:ascii="Times New Roman" w:hAnsi="Times New Roman"/>
                <w:b/>
                <w:bCs/>
                <w:sz w:val="24"/>
                <w:szCs w:val="24"/>
              </w:rPr>
              <w:t>Z_</w:t>
            </w:r>
            <w:r w:rsidRPr="005B7CAC">
              <w:rPr>
                <w:rFonts w:ascii="Times New Roman" w:hAnsi="Times New Roman"/>
                <w:b/>
                <w:bCs/>
                <w:sz w:val="24"/>
                <w:szCs w:val="24"/>
                <w:lang w:val="en-US"/>
              </w:rPr>
              <w:t>ALT</w:t>
            </w:r>
          </w:p>
        </w:tc>
      </w:tr>
      <w:tr w:rsidR="005B7CAC" w:rsidRPr="005B7CAC" w14:paraId="253AD31E" w14:textId="77777777" w:rsidTr="005C41BC">
        <w:tc>
          <w:tcPr>
            <w:tcW w:w="1671" w:type="pct"/>
            <w:tcBorders>
              <w:top w:val="single" w:sz="8" w:space="0" w:color="auto"/>
              <w:left w:val="nil"/>
              <w:bottom w:val="nil"/>
              <w:right w:val="nil"/>
            </w:tcBorders>
          </w:tcPr>
          <w:p w14:paraId="37171EB8" w14:textId="6D0C8FCA" w:rsidR="00B90317" w:rsidRPr="005B7CAC" w:rsidRDefault="00B90317" w:rsidP="00C90660">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lang w:val="en-US"/>
              </w:rPr>
              <w:t>WAST</w:t>
            </w:r>
            <w:r w:rsidRPr="005B7CAC">
              <w:rPr>
                <w:rFonts w:ascii="Times New Roman" w:hAnsi="Times New Roman"/>
                <w:i/>
                <w:sz w:val="24"/>
                <w:szCs w:val="24"/>
                <w:vertAlign w:val="subscript"/>
                <w:lang w:val="en-US"/>
              </w:rPr>
              <w:t xml:space="preserve"> t-2</w:t>
            </w:r>
          </w:p>
        </w:tc>
        <w:tc>
          <w:tcPr>
            <w:tcW w:w="832" w:type="pct"/>
            <w:tcBorders>
              <w:top w:val="single" w:sz="8" w:space="0" w:color="auto"/>
              <w:left w:val="nil"/>
              <w:bottom w:val="nil"/>
              <w:right w:val="nil"/>
            </w:tcBorders>
          </w:tcPr>
          <w:p w14:paraId="0D02553C"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-0.022</w:t>
            </w:r>
            <w:r w:rsidRPr="005B7CAC">
              <w:rPr>
                <w:rFonts w:ascii="Times New Roman" w:hAnsi="Times New Roman"/>
                <w:sz w:val="24"/>
                <w:szCs w:val="24"/>
                <w:vertAlign w:val="superscript"/>
              </w:rPr>
              <w:t>***</w:t>
            </w:r>
          </w:p>
        </w:tc>
        <w:tc>
          <w:tcPr>
            <w:tcW w:w="832" w:type="pct"/>
            <w:tcBorders>
              <w:top w:val="single" w:sz="8" w:space="0" w:color="auto"/>
              <w:left w:val="nil"/>
              <w:bottom w:val="nil"/>
              <w:right w:val="nil"/>
            </w:tcBorders>
          </w:tcPr>
          <w:p w14:paraId="2D8C90DA"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sz w:val="24"/>
                <w:szCs w:val="24"/>
              </w:rPr>
            </w:pPr>
          </w:p>
        </w:tc>
        <w:tc>
          <w:tcPr>
            <w:tcW w:w="832" w:type="pct"/>
            <w:tcBorders>
              <w:top w:val="single" w:sz="8" w:space="0" w:color="auto"/>
              <w:left w:val="nil"/>
              <w:bottom w:val="nil"/>
              <w:right w:val="nil"/>
            </w:tcBorders>
          </w:tcPr>
          <w:p w14:paraId="049DBB90"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-0.110</w:t>
            </w:r>
            <w:r w:rsidRPr="005B7CAC">
              <w:rPr>
                <w:rFonts w:ascii="Times New Roman" w:hAnsi="Times New Roman"/>
                <w:sz w:val="24"/>
                <w:szCs w:val="24"/>
                <w:vertAlign w:val="superscript"/>
              </w:rPr>
              <w:t>***</w:t>
            </w:r>
          </w:p>
        </w:tc>
        <w:tc>
          <w:tcPr>
            <w:tcW w:w="833" w:type="pct"/>
            <w:tcBorders>
              <w:top w:val="single" w:sz="8" w:space="0" w:color="auto"/>
              <w:left w:val="nil"/>
              <w:bottom w:val="nil"/>
              <w:right w:val="nil"/>
            </w:tcBorders>
          </w:tcPr>
          <w:p w14:paraId="323137EA"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sz w:val="24"/>
                <w:szCs w:val="24"/>
              </w:rPr>
            </w:pPr>
          </w:p>
        </w:tc>
      </w:tr>
      <w:tr w:rsidR="005B7CAC" w:rsidRPr="005B7CAC" w14:paraId="4CD003B1" w14:textId="77777777" w:rsidTr="005C41BC">
        <w:tc>
          <w:tcPr>
            <w:tcW w:w="1671" w:type="pct"/>
            <w:tcBorders>
              <w:top w:val="nil"/>
              <w:left w:val="nil"/>
              <w:bottom w:val="nil"/>
              <w:right w:val="nil"/>
            </w:tcBorders>
          </w:tcPr>
          <w:p w14:paraId="5CC1E7D5" w14:textId="77777777" w:rsidR="00B90317" w:rsidRPr="005B7CAC" w:rsidRDefault="00B90317" w:rsidP="00C90660">
            <w:pPr>
              <w:widowControl w:val="0"/>
              <w:autoSpaceDE w:val="0"/>
              <w:autoSpaceDN w:val="0"/>
              <w:adjustRightInd w:val="0"/>
              <w:spacing w:after="0" w:line="240" w:lineRule="auto"/>
              <w:rPr>
                <w:rFonts w:ascii="Times New Roman" w:hAnsi="Times New Roman"/>
                <w:sz w:val="24"/>
                <w:szCs w:val="24"/>
                <w:lang w:val="en-US"/>
              </w:rPr>
            </w:pPr>
          </w:p>
        </w:tc>
        <w:tc>
          <w:tcPr>
            <w:tcW w:w="832" w:type="pct"/>
            <w:tcBorders>
              <w:top w:val="nil"/>
              <w:left w:val="nil"/>
              <w:bottom w:val="nil"/>
              <w:right w:val="nil"/>
            </w:tcBorders>
          </w:tcPr>
          <w:p w14:paraId="15E7D097"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(-4.80)</w:t>
            </w:r>
          </w:p>
        </w:tc>
        <w:tc>
          <w:tcPr>
            <w:tcW w:w="832" w:type="pct"/>
            <w:tcBorders>
              <w:top w:val="nil"/>
              <w:left w:val="nil"/>
              <w:bottom w:val="nil"/>
              <w:right w:val="nil"/>
            </w:tcBorders>
          </w:tcPr>
          <w:p w14:paraId="7939EE25"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sz w:val="24"/>
                <w:szCs w:val="24"/>
              </w:rPr>
            </w:pPr>
          </w:p>
        </w:tc>
        <w:tc>
          <w:tcPr>
            <w:tcW w:w="832" w:type="pct"/>
            <w:tcBorders>
              <w:top w:val="nil"/>
              <w:left w:val="nil"/>
              <w:bottom w:val="nil"/>
              <w:right w:val="nil"/>
            </w:tcBorders>
          </w:tcPr>
          <w:p w14:paraId="3E71F19C"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(-6.91)</w:t>
            </w:r>
          </w:p>
        </w:tc>
        <w:tc>
          <w:tcPr>
            <w:tcW w:w="833" w:type="pct"/>
            <w:tcBorders>
              <w:top w:val="nil"/>
              <w:left w:val="nil"/>
              <w:bottom w:val="nil"/>
              <w:right w:val="nil"/>
            </w:tcBorders>
          </w:tcPr>
          <w:p w14:paraId="344EC45D"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sz w:val="24"/>
                <w:szCs w:val="24"/>
              </w:rPr>
            </w:pPr>
          </w:p>
        </w:tc>
      </w:tr>
      <w:tr w:rsidR="005B7CAC" w:rsidRPr="005B7CAC" w14:paraId="294B7384" w14:textId="77777777" w:rsidTr="005C41BC">
        <w:tc>
          <w:tcPr>
            <w:tcW w:w="1671" w:type="pct"/>
            <w:tcBorders>
              <w:top w:val="nil"/>
              <w:left w:val="nil"/>
              <w:bottom w:val="nil"/>
              <w:right w:val="nil"/>
            </w:tcBorders>
          </w:tcPr>
          <w:p w14:paraId="1DAB04BD" w14:textId="3DAAC960" w:rsidR="00B90317" w:rsidRPr="005B7CAC" w:rsidRDefault="00B90317" w:rsidP="00C90660">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lang w:val="en-US"/>
              </w:rPr>
              <w:t>WAST</w:t>
            </w:r>
            <w:r w:rsidRPr="005B7CAC">
              <w:rPr>
                <w:rFonts w:ascii="Times New Roman" w:hAnsi="Times New Roman"/>
                <w:i/>
                <w:sz w:val="24"/>
                <w:szCs w:val="24"/>
                <w:vertAlign w:val="subscript"/>
                <w:lang w:val="en-US"/>
              </w:rPr>
              <w:t xml:space="preserve"> t-2</w:t>
            </w:r>
            <w:r w:rsidRPr="005B7CAC">
              <w:rPr>
                <w:rFonts w:ascii="Times New Roman" w:hAnsi="Times New Roman"/>
                <w:sz w:val="24"/>
                <w:szCs w:val="24"/>
                <w:lang w:val="en-US"/>
              </w:rPr>
              <w:t>*GINVs</w:t>
            </w:r>
            <w:r w:rsidRPr="005B7CAC">
              <w:rPr>
                <w:rFonts w:ascii="Times New Roman" w:hAnsi="Times New Roman"/>
                <w:i/>
                <w:sz w:val="24"/>
                <w:szCs w:val="24"/>
                <w:vertAlign w:val="subscript"/>
                <w:lang w:val="en-US"/>
              </w:rPr>
              <w:t xml:space="preserve"> t-2</w:t>
            </w:r>
          </w:p>
        </w:tc>
        <w:tc>
          <w:tcPr>
            <w:tcW w:w="832" w:type="pct"/>
            <w:tcBorders>
              <w:top w:val="nil"/>
              <w:left w:val="nil"/>
              <w:bottom w:val="nil"/>
              <w:right w:val="nil"/>
            </w:tcBorders>
          </w:tcPr>
          <w:p w14:paraId="44E17724"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0.001</w:t>
            </w:r>
            <w:r w:rsidRPr="005B7CAC">
              <w:rPr>
                <w:rFonts w:ascii="Times New Roman" w:hAnsi="Times New Roman"/>
                <w:sz w:val="24"/>
                <w:szCs w:val="24"/>
                <w:vertAlign w:val="superscript"/>
              </w:rPr>
              <w:t>***</w:t>
            </w:r>
          </w:p>
        </w:tc>
        <w:tc>
          <w:tcPr>
            <w:tcW w:w="832" w:type="pct"/>
            <w:tcBorders>
              <w:top w:val="nil"/>
              <w:left w:val="nil"/>
              <w:bottom w:val="nil"/>
              <w:right w:val="nil"/>
            </w:tcBorders>
          </w:tcPr>
          <w:p w14:paraId="18A46790"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sz w:val="24"/>
                <w:szCs w:val="24"/>
              </w:rPr>
            </w:pPr>
          </w:p>
        </w:tc>
        <w:tc>
          <w:tcPr>
            <w:tcW w:w="832" w:type="pct"/>
            <w:tcBorders>
              <w:top w:val="nil"/>
              <w:left w:val="nil"/>
              <w:bottom w:val="nil"/>
              <w:right w:val="nil"/>
            </w:tcBorders>
          </w:tcPr>
          <w:p w14:paraId="7625BDBA"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0.008</w:t>
            </w:r>
            <w:r w:rsidRPr="005B7CAC">
              <w:rPr>
                <w:rFonts w:ascii="Times New Roman" w:hAnsi="Times New Roman"/>
                <w:sz w:val="24"/>
                <w:szCs w:val="24"/>
                <w:vertAlign w:val="superscript"/>
              </w:rPr>
              <w:t>***</w:t>
            </w:r>
          </w:p>
        </w:tc>
        <w:tc>
          <w:tcPr>
            <w:tcW w:w="833" w:type="pct"/>
            <w:tcBorders>
              <w:top w:val="nil"/>
              <w:left w:val="nil"/>
              <w:bottom w:val="nil"/>
              <w:right w:val="nil"/>
            </w:tcBorders>
          </w:tcPr>
          <w:p w14:paraId="20EC6E2D"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sz w:val="24"/>
                <w:szCs w:val="24"/>
              </w:rPr>
            </w:pPr>
          </w:p>
        </w:tc>
      </w:tr>
      <w:tr w:rsidR="005B7CAC" w:rsidRPr="005B7CAC" w14:paraId="0DCFB3F3" w14:textId="77777777" w:rsidTr="005C41BC">
        <w:tc>
          <w:tcPr>
            <w:tcW w:w="1671" w:type="pct"/>
            <w:tcBorders>
              <w:top w:val="nil"/>
              <w:left w:val="nil"/>
              <w:bottom w:val="nil"/>
              <w:right w:val="nil"/>
            </w:tcBorders>
          </w:tcPr>
          <w:p w14:paraId="4E9B4726" w14:textId="77777777" w:rsidR="00B90317" w:rsidRPr="005B7CAC" w:rsidRDefault="00B90317" w:rsidP="00C90660">
            <w:pPr>
              <w:widowControl w:val="0"/>
              <w:autoSpaceDE w:val="0"/>
              <w:autoSpaceDN w:val="0"/>
              <w:adjustRightInd w:val="0"/>
              <w:spacing w:after="0" w:line="240" w:lineRule="auto"/>
              <w:rPr>
                <w:rFonts w:ascii="Times New Roman" w:hAnsi="Times New Roman"/>
                <w:sz w:val="24"/>
                <w:szCs w:val="24"/>
                <w:lang w:val="en-US"/>
              </w:rPr>
            </w:pPr>
          </w:p>
        </w:tc>
        <w:tc>
          <w:tcPr>
            <w:tcW w:w="832" w:type="pct"/>
            <w:tcBorders>
              <w:top w:val="nil"/>
              <w:left w:val="nil"/>
              <w:bottom w:val="nil"/>
              <w:right w:val="nil"/>
            </w:tcBorders>
          </w:tcPr>
          <w:p w14:paraId="36055F7C"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(2.72)</w:t>
            </w:r>
          </w:p>
        </w:tc>
        <w:tc>
          <w:tcPr>
            <w:tcW w:w="832" w:type="pct"/>
            <w:tcBorders>
              <w:top w:val="nil"/>
              <w:left w:val="nil"/>
              <w:bottom w:val="nil"/>
              <w:right w:val="nil"/>
            </w:tcBorders>
          </w:tcPr>
          <w:p w14:paraId="072CFA5B"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sz w:val="24"/>
                <w:szCs w:val="24"/>
              </w:rPr>
            </w:pPr>
          </w:p>
        </w:tc>
        <w:tc>
          <w:tcPr>
            <w:tcW w:w="832" w:type="pct"/>
            <w:tcBorders>
              <w:top w:val="nil"/>
              <w:left w:val="nil"/>
              <w:bottom w:val="nil"/>
              <w:right w:val="nil"/>
            </w:tcBorders>
          </w:tcPr>
          <w:p w14:paraId="638D3485"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(4.56)</w:t>
            </w:r>
          </w:p>
        </w:tc>
        <w:tc>
          <w:tcPr>
            <w:tcW w:w="833" w:type="pct"/>
            <w:tcBorders>
              <w:top w:val="nil"/>
              <w:left w:val="nil"/>
              <w:bottom w:val="nil"/>
              <w:right w:val="nil"/>
            </w:tcBorders>
          </w:tcPr>
          <w:p w14:paraId="3B24CCC0"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sz w:val="24"/>
                <w:szCs w:val="24"/>
              </w:rPr>
            </w:pPr>
          </w:p>
        </w:tc>
      </w:tr>
      <w:tr w:rsidR="005B7CAC" w:rsidRPr="005B7CAC" w14:paraId="1001CA71" w14:textId="77777777" w:rsidTr="005C41BC">
        <w:tc>
          <w:tcPr>
            <w:tcW w:w="1671" w:type="pct"/>
            <w:tcBorders>
              <w:top w:val="nil"/>
              <w:left w:val="nil"/>
              <w:bottom w:val="nil"/>
              <w:right w:val="nil"/>
            </w:tcBorders>
          </w:tcPr>
          <w:p w14:paraId="74372EB7" w14:textId="747AFD4B" w:rsidR="00B90317" w:rsidRPr="005B7CAC" w:rsidRDefault="00B90317" w:rsidP="00C90660">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lang w:val="en-US"/>
              </w:rPr>
              <w:t>WREC</w:t>
            </w:r>
            <w:r w:rsidRPr="005B7CAC">
              <w:rPr>
                <w:rFonts w:ascii="Times New Roman" w:hAnsi="Times New Roman"/>
                <w:i/>
                <w:sz w:val="24"/>
                <w:szCs w:val="24"/>
                <w:vertAlign w:val="subscript"/>
                <w:lang w:val="en-US"/>
              </w:rPr>
              <w:t xml:space="preserve"> t-2</w:t>
            </w:r>
          </w:p>
        </w:tc>
        <w:tc>
          <w:tcPr>
            <w:tcW w:w="832" w:type="pct"/>
            <w:tcBorders>
              <w:top w:val="nil"/>
              <w:left w:val="nil"/>
              <w:bottom w:val="nil"/>
              <w:right w:val="nil"/>
            </w:tcBorders>
          </w:tcPr>
          <w:p w14:paraId="04082097"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sz w:val="24"/>
                <w:szCs w:val="24"/>
              </w:rPr>
            </w:pPr>
          </w:p>
        </w:tc>
        <w:tc>
          <w:tcPr>
            <w:tcW w:w="832" w:type="pct"/>
            <w:tcBorders>
              <w:top w:val="nil"/>
              <w:left w:val="nil"/>
              <w:bottom w:val="nil"/>
              <w:right w:val="nil"/>
            </w:tcBorders>
          </w:tcPr>
          <w:p w14:paraId="46D6E8F1"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0.008</w:t>
            </w:r>
            <w:r w:rsidRPr="005B7CAC">
              <w:rPr>
                <w:rFonts w:ascii="Times New Roman" w:hAnsi="Times New Roman"/>
                <w:sz w:val="24"/>
                <w:szCs w:val="24"/>
                <w:vertAlign w:val="superscript"/>
              </w:rPr>
              <w:t>***</w:t>
            </w:r>
          </w:p>
        </w:tc>
        <w:tc>
          <w:tcPr>
            <w:tcW w:w="832" w:type="pct"/>
            <w:tcBorders>
              <w:top w:val="nil"/>
              <w:left w:val="nil"/>
              <w:bottom w:val="nil"/>
              <w:right w:val="nil"/>
            </w:tcBorders>
          </w:tcPr>
          <w:p w14:paraId="3DB34635"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sz w:val="24"/>
                <w:szCs w:val="24"/>
              </w:rPr>
            </w:pPr>
          </w:p>
        </w:tc>
        <w:tc>
          <w:tcPr>
            <w:tcW w:w="833" w:type="pct"/>
            <w:tcBorders>
              <w:top w:val="nil"/>
              <w:left w:val="nil"/>
              <w:bottom w:val="nil"/>
              <w:right w:val="nil"/>
            </w:tcBorders>
          </w:tcPr>
          <w:p w14:paraId="2199453C"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0.014</w:t>
            </w:r>
            <w:r w:rsidRPr="005B7CAC">
              <w:rPr>
                <w:rFonts w:ascii="Times New Roman" w:hAnsi="Times New Roman"/>
                <w:sz w:val="24"/>
                <w:szCs w:val="24"/>
                <w:vertAlign w:val="superscript"/>
              </w:rPr>
              <w:t>***</w:t>
            </w:r>
          </w:p>
        </w:tc>
      </w:tr>
      <w:tr w:rsidR="005B7CAC" w:rsidRPr="005B7CAC" w14:paraId="36521BCF" w14:textId="77777777" w:rsidTr="005C41BC">
        <w:tc>
          <w:tcPr>
            <w:tcW w:w="1671" w:type="pct"/>
            <w:tcBorders>
              <w:top w:val="nil"/>
              <w:left w:val="nil"/>
              <w:bottom w:val="nil"/>
              <w:right w:val="nil"/>
            </w:tcBorders>
          </w:tcPr>
          <w:p w14:paraId="2FC01B02" w14:textId="77777777" w:rsidR="00B90317" w:rsidRPr="005B7CAC" w:rsidRDefault="00B90317" w:rsidP="00C90660">
            <w:pPr>
              <w:widowControl w:val="0"/>
              <w:autoSpaceDE w:val="0"/>
              <w:autoSpaceDN w:val="0"/>
              <w:adjustRightInd w:val="0"/>
              <w:spacing w:after="0" w:line="240" w:lineRule="auto"/>
              <w:rPr>
                <w:rFonts w:ascii="Times New Roman" w:hAnsi="Times New Roman"/>
                <w:sz w:val="24"/>
                <w:szCs w:val="24"/>
                <w:lang w:val="en-US"/>
              </w:rPr>
            </w:pPr>
          </w:p>
        </w:tc>
        <w:tc>
          <w:tcPr>
            <w:tcW w:w="832" w:type="pct"/>
            <w:tcBorders>
              <w:top w:val="nil"/>
              <w:left w:val="nil"/>
              <w:bottom w:val="nil"/>
              <w:right w:val="nil"/>
            </w:tcBorders>
          </w:tcPr>
          <w:p w14:paraId="77D8D9EA"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sz w:val="24"/>
                <w:szCs w:val="24"/>
              </w:rPr>
            </w:pPr>
          </w:p>
        </w:tc>
        <w:tc>
          <w:tcPr>
            <w:tcW w:w="832" w:type="pct"/>
            <w:tcBorders>
              <w:top w:val="nil"/>
              <w:left w:val="nil"/>
              <w:bottom w:val="nil"/>
              <w:right w:val="nil"/>
            </w:tcBorders>
          </w:tcPr>
          <w:p w14:paraId="552CDD11"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(6.65)</w:t>
            </w:r>
          </w:p>
        </w:tc>
        <w:tc>
          <w:tcPr>
            <w:tcW w:w="832" w:type="pct"/>
            <w:tcBorders>
              <w:top w:val="nil"/>
              <w:left w:val="nil"/>
              <w:bottom w:val="nil"/>
              <w:right w:val="nil"/>
            </w:tcBorders>
          </w:tcPr>
          <w:p w14:paraId="3529C725"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sz w:val="24"/>
                <w:szCs w:val="24"/>
              </w:rPr>
            </w:pPr>
          </w:p>
        </w:tc>
        <w:tc>
          <w:tcPr>
            <w:tcW w:w="833" w:type="pct"/>
            <w:tcBorders>
              <w:top w:val="nil"/>
              <w:left w:val="nil"/>
              <w:bottom w:val="nil"/>
              <w:right w:val="nil"/>
            </w:tcBorders>
          </w:tcPr>
          <w:p w14:paraId="1EC9947C"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(4.99)</w:t>
            </w:r>
          </w:p>
        </w:tc>
      </w:tr>
      <w:tr w:rsidR="005B7CAC" w:rsidRPr="005B7CAC" w14:paraId="022A40D8" w14:textId="77777777" w:rsidTr="005C41BC">
        <w:tc>
          <w:tcPr>
            <w:tcW w:w="1671" w:type="pct"/>
            <w:tcBorders>
              <w:top w:val="nil"/>
              <w:left w:val="nil"/>
              <w:bottom w:val="nil"/>
              <w:right w:val="nil"/>
            </w:tcBorders>
          </w:tcPr>
          <w:p w14:paraId="0701A7F9" w14:textId="2C5A9A04" w:rsidR="00B90317" w:rsidRPr="005B7CAC" w:rsidRDefault="00B90317" w:rsidP="00C90660">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lang w:val="en-US"/>
              </w:rPr>
              <w:t>WREC</w:t>
            </w:r>
            <w:r w:rsidRPr="005B7CAC">
              <w:rPr>
                <w:rFonts w:ascii="Times New Roman" w:hAnsi="Times New Roman"/>
                <w:i/>
                <w:sz w:val="24"/>
                <w:szCs w:val="24"/>
                <w:vertAlign w:val="subscript"/>
                <w:lang w:val="en-US"/>
              </w:rPr>
              <w:t xml:space="preserve"> t-2</w:t>
            </w:r>
            <w:r w:rsidRPr="005B7CAC">
              <w:rPr>
                <w:rFonts w:ascii="Times New Roman" w:hAnsi="Times New Roman"/>
                <w:sz w:val="24"/>
                <w:szCs w:val="24"/>
                <w:lang w:val="en-US"/>
              </w:rPr>
              <w:t>*GINVs</w:t>
            </w:r>
            <w:r w:rsidRPr="005B7CAC">
              <w:rPr>
                <w:rFonts w:ascii="Times New Roman" w:hAnsi="Times New Roman"/>
                <w:i/>
                <w:sz w:val="24"/>
                <w:szCs w:val="24"/>
                <w:vertAlign w:val="subscript"/>
                <w:lang w:val="en-US"/>
              </w:rPr>
              <w:t xml:space="preserve"> t-2</w:t>
            </w:r>
          </w:p>
        </w:tc>
        <w:tc>
          <w:tcPr>
            <w:tcW w:w="832" w:type="pct"/>
            <w:tcBorders>
              <w:top w:val="nil"/>
              <w:left w:val="nil"/>
              <w:bottom w:val="nil"/>
              <w:right w:val="nil"/>
            </w:tcBorders>
          </w:tcPr>
          <w:p w14:paraId="6595B1C7"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sz w:val="24"/>
                <w:szCs w:val="24"/>
                <w:lang w:val="en-US"/>
              </w:rPr>
            </w:pPr>
          </w:p>
        </w:tc>
        <w:tc>
          <w:tcPr>
            <w:tcW w:w="832" w:type="pct"/>
            <w:tcBorders>
              <w:top w:val="nil"/>
              <w:left w:val="nil"/>
              <w:bottom w:val="nil"/>
              <w:right w:val="nil"/>
            </w:tcBorders>
          </w:tcPr>
          <w:p w14:paraId="3AD21395"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-0.001</w:t>
            </w:r>
            <w:r w:rsidRPr="005B7CAC">
              <w:rPr>
                <w:rFonts w:ascii="Times New Roman" w:hAnsi="Times New Roman"/>
                <w:sz w:val="24"/>
                <w:szCs w:val="24"/>
                <w:vertAlign w:val="superscript"/>
              </w:rPr>
              <w:t>***</w:t>
            </w:r>
          </w:p>
        </w:tc>
        <w:tc>
          <w:tcPr>
            <w:tcW w:w="832" w:type="pct"/>
            <w:tcBorders>
              <w:top w:val="nil"/>
              <w:left w:val="nil"/>
              <w:bottom w:val="nil"/>
              <w:right w:val="nil"/>
            </w:tcBorders>
          </w:tcPr>
          <w:p w14:paraId="28461160"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sz w:val="24"/>
                <w:szCs w:val="24"/>
              </w:rPr>
            </w:pPr>
          </w:p>
        </w:tc>
        <w:tc>
          <w:tcPr>
            <w:tcW w:w="833" w:type="pct"/>
            <w:tcBorders>
              <w:top w:val="nil"/>
              <w:left w:val="nil"/>
              <w:bottom w:val="nil"/>
              <w:right w:val="nil"/>
            </w:tcBorders>
          </w:tcPr>
          <w:p w14:paraId="231545FA"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-0.001</w:t>
            </w:r>
            <w:r w:rsidRPr="005B7CAC">
              <w:rPr>
                <w:rFonts w:ascii="Times New Roman" w:hAnsi="Times New Roman"/>
                <w:sz w:val="24"/>
                <w:szCs w:val="24"/>
                <w:vertAlign w:val="superscript"/>
              </w:rPr>
              <w:t>***</w:t>
            </w:r>
          </w:p>
        </w:tc>
      </w:tr>
      <w:tr w:rsidR="005B7CAC" w:rsidRPr="005B7CAC" w14:paraId="19204C5A" w14:textId="77777777" w:rsidTr="005C41BC">
        <w:tc>
          <w:tcPr>
            <w:tcW w:w="1671" w:type="pct"/>
            <w:tcBorders>
              <w:top w:val="nil"/>
              <w:left w:val="nil"/>
              <w:bottom w:val="nil"/>
              <w:right w:val="nil"/>
            </w:tcBorders>
          </w:tcPr>
          <w:p w14:paraId="2A065AB6" w14:textId="77777777" w:rsidR="00B90317" w:rsidRPr="005B7CAC" w:rsidRDefault="00B90317" w:rsidP="00C90660">
            <w:pPr>
              <w:widowControl w:val="0"/>
              <w:autoSpaceDE w:val="0"/>
              <w:autoSpaceDN w:val="0"/>
              <w:adjustRightInd w:val="0"/>
              <w:spacing w:after="0" w:line="240" w:lineRule="auto"/>
              <w:rPr>
                <w:rFonts w:ascii="Times New Roman" w:hAnsi="Times New Roman"/>
                <w:sz w:val="24"/>
                <w:szCs w:val="24"/>
                <w:lang w:val="en-US"/>
              </w:rPr>
            </w:pPr>
          </w:p>
        </w:tc>
        <w:tc>
          <w:tcPr>
            <w:tcW w:w="832" w:type="pct"/>
            <w:tcBorders>
              <w:top w:val="nil"/>
              <w:left w:val="nil"/>
              <w:bottom w:val="nil"/>
              <w:right w:val="nil"/>
            </w:tcBorders>
          </w:tcPr>
          <w:p w14:paraId="50D2D375"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sz w:val="24"/>
                <w:szCs w:val="24"/>
              </w:rPr>
            </w:pPr>
          </w:p>
        </w:tc>
        <w:tc>
          <w:tcPr>
            <w:tcW w:w="832" w:type="pct"/>
            <w:tcBorders>
              <w:top w:val="nil"/>
              <w:left w:val="nil"/>
              <w:bottom w:val="nil"/>
              <w:right w:val="nil"/>
            </w:tcBorders>
          </w:tcPr>
          <w:p w14:paraId="43070A18"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(-5.00)</w:t>
            </w:r>
          </w:p>
        </w:tc>
        <w:tc>
          <w:tcPr>
            <w:tcW w:w="832" w:type="pct"/>
            <w:tcBorders>
              <w:top w:val="nil"/>
              <w:left w:val="nil"/>
              <w:bottom w:val="nil"/>
              <w:right w:val="nil"/>
            </w:tcBorders>
          </w:tcPr>
          <w:p w14:paraId="001B055A"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sz w:val="24"/>
                <w:szCs w:val="24"/>
              </w:rPr>
            </w:pPr>
          </w:p>
        </w:tc>
        <w:tc>
          <w:tcPr>
            <w:tcW w:w="833" w:type="pct"/>
            <w:tcBorders>
              <w:top w:val="nil"/>
              <w:left w:val="nil"/>
              <w:bottom w:val="nil"/>
              <w:right w:val="nil"/>
            </w:tcBorders>
          </w:tcPr>
          <w:p w14:paraId="27A8FDE0"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(-3.72)</w:t>
            </w:r>
          </w:p>
        </w:tc>
      </w:tr>
      <w:tr w:rsidR="005B7CAC" w:rsidRPr="005B7CAC" w14:paraId="1A5A51E3" w14:textId="77777777" w:rsidTr="005C41BC">
        <w:tc>
          <w:tcPr>
            <w:tcW w:w="1671" w:type="pct"/>
            <w:tcBorders>
              <w:top w:val="nil"/>
              <w:left w:val="nil"/>
              <w:bottom w:val="nil"/>
              <w:right w:val="nil"/>
            </w:tcBorders>
          </w:tcPr>
          <w:p w14:paraId="318D8CD0" w14:textId="06DF8E17" w:rsidR="00B90317" w:rsidRPr="005B7CAC" w:rsidRDefault="00B90317" w:rsidP="00C90660">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lang w:val="en-US"/>
              </w:rPr>
              <w:t>GINVs</w:t>
            </w:r>
            <w:r w:rsidRPr="005B7CAC">
              <w:rPr>
                <w:rFonts w:ascii="Times New Roman" w:hAnsi="Times New Roman"/>
                <w:i/>
                <w:sz w:val="24"/>
                <w:szCs w:val="24"/>
                <w:vertAlign w:val="subscript"/>
                <w:lang w:val="en-US"/>
              </w:rPr>
              <w:t xml:space="preserve"> t-2</w:t>
            </w:r>
          </w:p>
        </w:tc>
        <w:tc>
          <w:tcPr>
            <w:tcW w:w="832" w:type="pct"/>
            <w:tcBorders>
              <w:top w:val="nil"/>
              <w:left w:val="nil"/>
              <w:bottom w:val="nil"/>
              <w:right w:val="nil"/>
            </w:tcBorders>
          </w:tcPr>
          <w:p w14:paraId="1E5FCBE6"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0.007</w:t>
            </w:r>
            <w:r w:rsidRPr="005B7CAC">
              <w:rPr>
                <w:rFonts w:ascii="Times New Roman" w:hAnsi="Times New Roman"/>
                <w:sz w:val="24"/>
                <w:szCs w:val="24"/>
                <w:vertAlign w:val="superscript"/>
              </w:rPr>
              <w:t>*</w:t>
            </w:r>
          </w:p>
        </w:tc>
        <w:tc>
          <w:tcPr>
            <w:tcW w:w="832" w:type="pct"/>
            <w:tcBorders>
              <w:top w:val="nil"/>
              <w:left w:val="nil"/>
              <w:bottom w:val="nil"/>
              <w:right w:val="nil"/>
            </w:tcBorders>
          </w:tcPr>
          <w:p w14:paraId="5C1E0334"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0.038</w:t>
            </w:r>
            <w:r w:rsidRPr="005B7CAC">
              <w:rPr>
                <w:rFonts w:ascii="Times New Roman" w:hAnsi="Times New Roman"/>
                <w:sz w:val="24"/>
                <w:szCs w:val="24"/>
                <w:vertAlign w:val="superscript"/>
              </w:rPr>
              <w:t>***</w:t>
            </w:r>
          </w:p>
        </w:tc>
        <w:tc>
          <w:tcPr>
            <w:tcW w:w="832" w:type="pct"/>
            <w:tcBorders>
              <w:top w:val="nil"/>
              <w:left w:val="nil"/>
              <w:bottom w:val="nil"/>
              <w:right w:val="nil"/>
            </w:tcBorders>
          </w:tcPr>
          <w:p w14:paraId="066DDB21"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0.025</w:t>
            </w:r>
            <w:r w:rsidRPr="005B7CAC">
              <w:rPr>
                <w:rFonts w:ascii="Times New Roman" w:hAnsi="Times New Roman"/>
                <w:sz w:val="24"/>
                <w:szCs w:val="24"/>
                <w:vertAlign w:val="superscript"/>
              </w:rPr>
              <w:t>***</w:t>
            </w:r>
          </w:p>
        </w:tc>
        <w:tc>
          <w:tcPr>
            <w:tcW w:w="833" w:type="pct"/>
            <w:tcBorders>
              <w:top w:val="nil"/>
              <w:left w:val="nil"/>
              <w:bottom w:val="nil"/>
              <w:right w:val="nil"/>
            </w:tcBorders>
          </w:tcPr>
          <w:p w14:paraId="3F7C306B"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0.080</w:t>
            </w:r>
            <w:r w:rsidRPr="005B7CAC">
              <w:rPr>
                <w:rFonts w:ascii="Times New Roman" w:hAnsi="Times New Roman"/>
                <w:sz w:val="24"/>
                <w:szCs w:val="24"/>
                <w:vertAlign w:val="superscript"/>
              </w:rPr>
              <w:t>***</w:t>
            </w:r>
          </w:p>
        </w:tc>
      </w:tr>
      <w:tr w:rsidR="005B7CAC" w:rsidRPr="005B7CAC" w14:paraId="5882BA65" w14:textId="77777777" w:rsidTr="005C41BC">
        <w:tc>
          <w:tcPr>
            <w:tcW w:w="1671" w:type="pct"/>
            <w:tcBorders>
              <w:top w:val="nil"/>
              <w:left w:val="nil"/>
              <w:bottom w:val="nil"/>
              <w:right w:val="nil"/>
            </w:tcBorders>
          </w:tcPr>
          <w:p w14:paraId="16044337" w14:textId="77777777" w:rsidR="00B90317" w:rsidRPr="005B7CAC" w:rsidRDefault="00B90317" w:rsidP="00C90660">
            <w:pPr>
              <w:widowControl w:val="0"/>
              <w:autoSpaceDE w:val="0"/>
              <w:autoSpaceDN w:val="0"/>
              <w:adjustRightInd w:val="0"/>
              <w:spacing w:after="0" w:line="240" w:lineRule="auto"/>
              <w:rPr>
                <w:rFonts w:ascii="Times New Roman" w:hAnsi="Times New Roman"/>
                <w:sz w:val="24"/>
                <w:szCs w:val="24"/>
                <w:lang w:val="en-US"/>
              </w:rPr>
            </w:pPr>
          </w:p>
        </w:tc>
        <w:tc>
          <w:tcPr>
            <w:tcW w:w="832" w:type="pct"/>
            <w:tcBorders>
              <w:top w:val="nil"/>
              <w:left w:val="nil"/>
              <w:bottom w:val="nil"/>
              <w:right w:val="nil"/>
            </w:tcBorders>
          </w:tcPr>
          <w:p w14:paraId="3C934EFA"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(1.86)</w:t>
            </w:r>
          </w:p>
        </w:tc>
        <w:tc>
          <w:tcPr>
            <w:tcW w:w="832" w:type="pct"/>
            <w:tcBorders>
              <w:top w:val="nil"/>
              <w:left w:val="nil"/>
              <w:bottom w:val="nil"/>
              <w:right w:val="nil"/>
            </w:tcBorders>
          </w:tcPr>
          <w:p w14:paraId="7A4996EC"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(5.07)</w:t>
            </w:r>
          </w:p>
        </w:tc>
        <w:tc>
          <w:tcPr>
            <w:tcW w:w="832" w:type="pct"/>
            <w:tcBorders>
              <w:top w:val="nil"/>
              <w:left w:val="nil"/>
              <w:bottom w:val="nil"/>
              <w:right w:val="nil"/>
            </w:tcBorders>
          </w:tcPr>
          <w:p w14:paraId="742FCE39"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(3.01)</w:t>
            </w:r>
          </w:p>
        </w:tc>
        <w:tc>
          <w:tcPr>
            <w:tcW w:w="833" w:type="pct"/>
            <w:tcBorders>
              <w:top w:val="nil"/>
              <w:left w:val="nil"/>
              <w:bottom w:val="nil"/>
              <w:right w:val="nil"/>
            </w:tcBorders>
          </w:tcPr>
          <w:p w14:paraId="69074F86" w14:textId="77777777" w:rsidR="00B90317" w:rsidRPr="005B7CAC" w:rsidRDefault="00B90317" w:rsidP="00C90660">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(4.14)</w:t>
            </w:r>
          </w:p>
        </w:tc>
      </w:tr>
      <w:tr w:rsidR="005B7CAC" w:rsidRPr="005B7CAC" w14:paraId="6EC76183" w14:textId="77777777" w:rsidTr="005C41BC">
        <w:tc>
          <w:tcPr>
            <w:tcW w:w="1671" w:type="pct"/>
            <w:tcBorders>
              <w:top w:val="nil"/>
              <w:left w:val="nil"/>
              <w:bottom w:val="nil"/>
              <w:right w:val="nil"/>
            </w:tcBorders>
          </w:tcPr>
          <w:p w14:paraId="74DDB182" w14:textId="3AD5F5AE" w:rsidR="00B90317" w:rsidRPr="005B7CAC" w:rsidRDefault="00B90317" w:rsidP="00B90317">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lang w:val="en-US"/>
              </w:rPr>
              <w:t>Controls</w:t>
            </w:r>
            <w:r w:rsidRPr="005B7CAC">
              <w:rPr>
                <w:rFonts w:ascii="Times New Roman" w:hAnsi="Times New Roman"/>
                <w:i/>
                <w:sz w:val="24"/>
                <w:szCs w:val="24"/>
                <w:vertAlign w:val="subscript"/>
                <w:lang w:val="en-US"/>
              </w:rPr>
              <w:t xml:space="preserve"> t-2</w:t>
            </w:r>
          </w:p>
        </w:tc>
        <w:tc>
          <w:tcPr>
            <w:tcW w:w="832" w:type="pct"/>
            <w:tcBorders>
              <w:top w:val="nil"/>
              <w:left w:val="nil"/>
              <w:bottom w:val="nil"/>
              <w:right w:val="nil"/>
            </w:tcBorders>
          </w:tcPr>
          <w:p w14:paraId="77EFB6BE" w14:textId="7E538ED2" w:rsidR="00B90317" w:rsidRPr="005B7CAC" w:rsidRDefault="00B90317" w:rsidP="00B903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Included</w:t>
            </w:r>
          </w:p>
        </w:tc>
        <w:tc>
          <w:tcPr>
            <w:tcW w:w="832" w:type="pct"/>
            <w:tcBorders>
              <w:top w:val="nil"/>
              <w:left w:val="nil"/>
              <w:bottom w:val="nil"/>
              <w:right w:val="nil"/>
            </w:tcBorders>
          </w:tcPr>
          <w:p w14:paraId="4242943B" w14:textId="168EF0AC" w:rsidR="00B90317" w:rsidRPr="005B7CAC" w:rsidRDefault="00B90317" w:rsidP="00B903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Included</w:t>
            </w:r>
          </w:p>
        </w:tc>
        <w:tc>
          <w:tcPr>
            <w:tcW w:w="832" w:type="pct"/>
            <w:tcBorders>
              <w:top w:val="nil"/>
              <w:left w:val="nil"/>
              <w:bottom w:val="nil"/>
              <w:right w:val="nil"/>
            </w:tcBorders>
          </w:tcPr>
          <w:p w14:paraId="0F3D62FE" w14:textId="3CAB4BA3" w:rsidR="00B90317" w:rsidRPr="005B7CAC" w:rsidRDefault="00B90317" w:rsidP="00B903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Included</w:t>
            </w:r>
          </w:p>
        </w:tc>
        <w:tc>
          <w:tcPr>
            <w:tcW w:w="833" w:type="pct"/>
            <w:tcBorders>
              <w:top w:val="nil"/>
              <w:left w:val="nil"/>
              <w:bottom w:val="nil"/>
              <w:right w:val="nil"/>
            </w:tcBorders>
          </w:tcPr>
          <w:p w14:paraId="410B6FA8" w14:textId="0695BB7B" w:rsidR="00B90317" w:rsidRPr="005B7CAC" w:rsidRDefault="00B90317" w:rsidP="00B903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Included</w:t>
            </w:r>
          </w:p>
        </w:tc>
      </w:tr>
      <w:tr w:rsidR="005B7CAC" w:rsidRPr="005B7CAC" w14:paraId="4C2FC8AB" w14:textId="77777777" w:rsidTr="005C41BC">
        <w:tc>
          <w:tcPr>
            <w:tcW w:w="1671" w:type="pct"/>
            <w:tcBorders>
              <w:top w:val="nil"/>
              <w:left w:val="nil"/>
              <w:bottom w:val="nil"/>
              <w:right w:val="nil"/>
            </w:tcBorders>
          </w:tcPr>
          <w:p w14:paraId="0354B4DD" w14:textId="03092966" w:rsidR="00B90317" w:rsidRPr="005B7CAC" w:rsidRDefault="00B90317" w:rsidP="00B90317">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lang w:val="en-US"/>
              </w:rPr>
              <w:t>Year</w:t>
            </w:r>
          </w:p>
        </w:tc>
        <w:tc>
          <w:tcPr>
            <w:tcW w:w="832" w:type="pct"/>
            <w:tcBorders>
              <w:top w:val="nil"/>
              <w:left w:val="nil"/>
              <w:bottom w:val="nil"/>
              <w:right w:val="nil"/>
            </w:tcBorders>
          </w:tcPr>
          <w:p w14:paraId="63AB2EB8" w14:textId="669B189B" w:rsidR="00B90317" w:rsidRPr="005B7CAC" w:rsidRDefault="00B90317" w:rsidP="00B903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Yes</w:t>
            </w:r>
          </w:p>
        </w:tc>
        <w:tc>
          <w:tcPr>
            <w:tcW w:w="832" w:type="pct"/>
            <w:tcBorders>
              <w:top w:val="nil"/>
              <w:left w:val="nil"/>
              <w:bottom w:val="nil"/>
              <w:right w:val="nil"/>
            </w:tcBorders>
          </w:tcPr>
          <w:p w14:paraId="392C2EAB" w14:textId="04B3BA39" w:rsidR="00B90317" w:rsidRPr="005B7CAC" w:rsidRDefault="00B90317" w:rsidP="00B903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Yes</w:t>
            </w:r>
          </w:p>
        </w:tc>
        <w:tc>
          <w:tcPr>
            <w:tcW w:w="832" w:type="pct"/>
            <w:tcBorders>
              <w:top w:val="nil"/>
              <w:left w:val="nil"/>
              <w:bottom w:val="nil"/>
              <w:right w:val="nil"/>
            </w:tcBorders>
          </w:tcPr>
          <w:p w14:paraId="6F07228C" w14:textId="12818814" w:rsidR="00B90317" w:rsidRPr="005B7CAC" w:rsidRDefault="00B90317" w:rsidP="00B903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Yes</w:t>
            </w:r>
          </w:p>
        </w:tc>
        <w:tc>
          <w:tcPr>
            <w:tcW w:w="833" w:type="pct"/>
            <w:tcBorders>
              <w:top w:val="nil"/>
              <w:left w:val="nil"/>
              <w:bottom w:val="nil"/>
              <w:right w:val="nil"/>
            </w:tcBorders>
          </w:tcPr>
          <w:p w14:paraId="7FC5392F" w14:textId="39461FD9" w:rsidR="00B90317" w:rsidRPr="005B7CAC" w:rsidRDefault="00B90317" w:rsidP="00B903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Yes</w:t>
            </w:r>
          </w:p>
        </w:tc>
      </w:tr>
      <w:tr w:rsidR="005B7CAC" w:rsidRPr="005B7CAC" w14:paraId="6205B885" w14:textId="77777777" w:rsidTr="005C41BC">
        <w:tc>
          <w:tcPr>
            <w:tcW w:w="1671" w:type="pct"/>
            <w:tcBorders>
              <w:top w:val="nil"/>
              <w:left w:val="nil"/>
              <w:bottom w:val="single" w:sz="8" w:space="0" w:color="auto"/>
              <w:right w:val="nil"/>
            </w:tcBorders>
          </w:tcPr>
          <w:p w14:paraId="2BC5254D" w14:textId="171CB1FF" w:rsidR="00B90317" w:rsidRPr="005B7CAC" w:rsidRDefault="00B90317" w:rsidP="00B90317">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lang w:val="en-US"/>
              </w:rPr>
              <w:t>Industry</w:t>
            </w:r>
          </w:p>
        </w:tc>
        <w:tc>
          <w:tcPr>
            <w:tcW w:w="832" w:type="pct"/>
            <w:tcBorders>
              <w:top w:val="nil"/>
              <w:left w:val="nil"/>
              <w:bottom w:val="single" w:sz="8" w:space="0" w:color="auto"/>
              <w:right w:val="nil"/>
            </w:tcBorders>
          </w:tcPr>
          <w:p w14:paraId="4534D63C" w14:textId="670BD822" w:rsidR="00B90317" w:rsidRPr="005B7CAC" w:rsidRDefault="00B90317" w:rsidP="00B903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Yes</w:t>
            </w:r>
          </w:p>
        </w:tc>
        <w:tc>
          <w:tcPr>
            <w:tcW w:w="832" w:type="pct"/>
            <w:tcBorders>
              <w:top w:val="nil"/>
              <w:left w:val="nil"/>
              <w:bottom w:val="single" w:sz="8" w:space="0" w:color="auto"/>
              <w:right w:val="nil"/>
            </w:tcBorders>
          </w:tcPr>
          <w:p w14:paraId="170B9EC8" w14:textId="7DFBD7F9" w:rsidR="00B90317" w:rsidRPr="005B7CAC" w:rsidRDefault="00B90317" w:rsidP="00B903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Yes</w:t>
            </w:r>
          </w:p>
        </w:tc>
        <w:tc>
          <w:tcPr>
            <w:tcW w:w="832" w:type="pct"/>
            <w:tcBorders>
              <w:top w:val="nil"/>
              <w:left w:val="nil"/>
              <w:bottom w:val="single" w:sz="8" w:space="0" w:color="auto"/>
              <w:right w:val="nil"/>
            </w:tcBorders>
          </w:tcPr>
          <w:p w14:paraId="33D7101C" w14:textId="0E4E3545" w:rsidR="00B90317" w:rsidRPr="005B7CAC" w:rsidRDefault="00B90317" w:rsidP="00B903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Yes</w:t>
            </w:r>
          </w:p>
        </w:tc>
        <w:tc>
          <w:tcPr>
            <w:tcW w:w="833" w:type="pct"/>
            <w:tcBorders>
              <w:top w:val="nil"/>
              <w:left w:val="nil"/>
              <w:bottom w:val="single" w:sz="8" w:space="0" w:color="auto"/>
              <w:right w:val="nil"/>
            </w:tcBorders>
          </w:tcPr>
          <w:p w14:paraId="5C91D784" w14:textId="52408A38" w:rsidR="00B90317" w:rsidRPr="005B7CAC" w:rsidRDefault="00B90317" w:rsidP="00B903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lang w:val="en-US"/>
              </w:rPr>
              <w:t>Yes</w:t>
            </w:r>
          </w:p>
        </w:tc>
      </w:tr>
      <w:tr w:rsidR="005B7CAC" w:rsidRPr="005B7CAC" w14:paraId="23617231" w14:textId="77777777" w:rsidTr="005C41BC">
        <w:tc>
          <w:tcPr>
            <w:tcW w:w="1671" w:type="pct"/>
            <w:tcBorders>
              <w:top w:val="single" w:sz="8" w:space="0" w:color="auto"/>
              <w:left w:val="nil"/>
              <w:bottom w:val="nil"/>
              <w:right w:val="nil"/>
            </w:tcBorders>
          </w:tcPr>
          <w:p w14:paraId="5AD0B0EC" w14:textId="257CBA20" w:rsidR="00B90317" w:rsidRPr="005B7CAC" w:rsidRDefault="00B90317" w:rsidP="00B90317">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lang w:val="en-US"/>
              </w:rPr>
              <w:t>Observations</w:t>
            </w:r>
          </w:p>
        </w:tc>
        <w:tc>
          <w:tcPr>
            <w:tcW w:w="832" w:type="pct"/>
            <w:tcBorders>
              <w:top w:val="single" w:sz="8" w:space="0" w:color="auto"/>
              <w:left w:val="nil"/>
              <w:bottom w:val="nil"/>
              <w:right w:val="nil"/>
            </w:tcBorders>
          </w:tcPr>
          <w:p w14:paraId="132035E3" w14:textId="58FD2D9F" w:rsidR="00B90317" w:rsidRPr="005B7CAC" w:rsidRDefault="00B90317" w:rsidP="00B903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1251</w:t>
            </w:r>
          </w:p>
        </w:tc>
        <w:tc>
          <w:tcPr>
            <w:tcW w:w="832" w:type="pct"/>
            <w:tcBorders>
              <w:top w:val="single" w:sz="8" w:space="0" w:color="auto"/>
              <w:left w:val="nil"/>
              <w:bottom w:val="nil"/>
              <w:right w:val="nil"/>
            </w:tcBorders>
          </w:tcPr>
          <w:p w14:paraId="55C00B5F" w14:textId="70509AE0" w:rsidR="00B90317" w:rsidRPr="005B7CAC" w:rsidRDefault="00B90317" w:rsidP="00B903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973</w:t>
            </w:r>
          </w:p>
        </w:tc>
        <w:tc>
          <w:tcPr>
            <w:tcW w:w="832" w:type="pct"/>
            <w:tcBorders>
              <w:top w:val="single" w:sz="8" w:space="0" w:color="auto"/>
              <w:left w:val="nil"/>
              <w:bottom w:val="nil"/>
              <w:right w:val="nil"/>
            </w:tcBorders>
          </w:tcPr>
          <w:p w14:paraId="43812769" w14:textId="329F6440" w:rsidR="00B90317" w:rsidRPr="005B7CAC" w:rsidRDefault="00B90317" w:rsidP="00B903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1251</w:t>
            </w:r>
          </w:p>
        </w:tc>
        <w:tc>
          <w:tcPr>
            <w:tcW w:w="833" w:type="pct"/>
            <w:tcBorders>
              <w:top w:val="single" w:sz="8" w:space="0" w:color="auto"/>
              <w:left w:val="nil"/>
              <w:bottom w:val="nil"/>
              <w:right w:val="nil"/>
            </w:tcBorders>
          </w:tcPr>
          <w:p w14:paraId="4CD1B033" w14:textId="6449723A" w:rsidR="00B90317" w:rsidRPr="005B7CAC" w:rsidRDefault="00B90317" w:rsidP="00B903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973</w:t>
            </w:r>
          </w:p>
        </w:tc>
      </w:tr>
      <w:tr w:rsidR="005B7CAC" w:rsidRPr="005B7CAC" w14:paraId="0DFB774E" w14:textId="77777777" w:rsidTr="005C41BC">
        <w:tc>
          <w:tcPr>
            <w:tcW w:w="1671" w:type="pct"/>
            <w:tcBorders>
              <w:top w:val="nil"/>
              <w:left w:val="nil"/>
              <w:bottom w:val="single" w:sz="12" w:space="0" w:color="auto"/>
              <w:right w:val="nil"/>
            </w:tcBorders>
          </w:tcPr>
          <w:p w14:paraId="6C667739" w14:textId="5482D8BC" w:rsidR="00B90317" w:rsidRPr="005B7CAC" w:rsidRDefault="00B90317" w:rsidP="00B90317">
            <w:pPr>
              <w:widowControl w:val="0"/>
              <w:autoSpaceDE w:val="0"/>
              <w:autoSpaceDN w:val="0"/>
              <w:adjustRightInd w:val="0"/>
              <w:spacing w:after="0" w:line="240" w:lineRule="auto"/>
              <w:rPr>
                <w:rFonts w:ascii="Times New Roman" w:hAnsi="Times New Roman"/>
                <w:sz w:val="24"/>
                <w:szCs w:val="24"/>
                <w:lang w:val="en-US"/>
              </w:rPr>
            </w:pPr>
            <w:r w:rsidRPr="005B7CAC">
              <w:rPr>
                <w:rFonts w:ascii="Times New Roman" w:hAnsi="Times New Roman"/>
                <w:sz w:val="24"/>
                <w:szCs w:val="24"/>
                <w:lang w:val="en-US"/>
              </w:rPr>
              <w:t>Adj. R-sq.</w:t>
            </w:r>
          </w:p>
        </w:tc>
        <w:tc>
          <w:tcPr>
            <w:tcW w:w="832" w:type="pct"/>
            <w:tcBorders>
              <w:top w:val="nil"/>
              <w:left w:val="nil"/>
              <w:bottom w:val="single" w:sz="12" w:space="0" w:color="auto"/>
              <w:right w:val="nil"/>
            </w:tcBorders>
          </w:tcPr>
          <w:p w14:paraId="31F8B31B" w14:textId="77777777" w:rsidR="00B90317" w:rsidRPr="005B7CAC" w:rsidRDefault="00B90317" w:rsidP="00B903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0.457</w:t>
            </w:r>
          </w:p>
        </w:tc>
        <w:tc>
          <w:tcPr>
            <w:tcW w:w="832" w:type="pct"/>
            <w:tcBorders>
              <w:top w:val="nil"/>
              <w:left w:val="nil"/>
              <w:bottom w:val="single" w:sz="12" w:space="0" w:color="auto"/>
              <w:right w:val="nil"/>
            </w:tcBorders>
          </w:tcPr>
          <w:p w14:paraId="2CFBCDC7" w14:textId="77777777" w:rsidR="00B90317" w:rsidRPr="005B7CAC" w:rsidRDefault="00B90317" w:rsidP="00B903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0.539</w:t>
            </w:r>
          </w:p>
        </w:tc>
        <w:tc>
          <w:tcPr>
            <w:tcW w:w="832" w:type="pct"/>
            <w:tcBorders>
              <w:top w:val="nil"/>
              <w:left w:val="nil"/>
              <w:bottom w:val="single" w:sz="12" w:space="0" w:color="auto"/>
              <w:right w:val="nil"/>
            </w:tcBorders>
          </w:tcPr>
          <w:p w14:paraId="53122342" w14:textId="77777777" w:rsidR="00B90317" w:rsidRPr="005B7CAC" w:rsidRDefault="00B90317" w:rsidP="00B903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0.417</w:t>
            </w:r>
          </w:p>
        </w:tc>
        <w:tc>
          <w:tcPr>
            <w:tcW w:w="833" w:type="pct"/>
            <w:tcBorders>
              <w:top w:val="nil"/>
              <w:left w:val="nil"/>
              <w:bottom w:val="single" w:sz="12" w:space="0" w:color="auto"/>
              <w:right w:val="nil"/>
            </w:tcBorders>
          </w:tcPr>
          <w:p w14:paraId="79DF7E41" w14:textId="77777777" w:rsidR="00B90317" w:rsidRPr="005B7CAC" w:rsidRDefault="00B90317" w:rsidP="00B90317">
            <w:pPr>
              <w:widowControl w:val="0"/>
              <w:autoSpaceDE w:val="0"/>
              <w:autoSpaceDN w:val="0"/>
              <w:adjustRightInd w:val="0"/>
              <w:spacing w:after="0" w:line="240" w:lineRule="auto"/>
              <w:jc w:val="center"/>
              <w:rPr>
                <w:rFonts w:ascii="Times New Roman" w:hAnsi="Times New Roman"/>
                <w:sz w:val="24"/>
                <w:szCs w:val="24"/>
              </w:rPr>
            </w:pPr>
            <w:r w:rsidRPr="005B7CAC">
              <w:rPr>
                <w:rFonts w:ascii="Times New Roman" w:hAnsi="Times New Roman"/>
                <w:sz w:val="24"/>
                <w:szCs w:val="24"/>
              </w:rPr>
              <w:t>0.466</w:t>
            </w:r>
          </w:p>
        </w:tc>
      </w:tr>
    </w:tbl>
    <w:p w14:paraId="043760C4" w14:textId="77777777" w:rsidR="00451F38" w:rsidRPr="005B7CAC" w:rsidRDefault="00451F38" w:rsidP="00451F38">
      <w:pPr>
        <w:widowControl w:val="0"/>
        <w:autoSpaceDE w:val="0"/>
        <w:autoSpaceDN w:val="0"/>
        <w:adjustRightInd w:val="0"/>
        <w:spacing w:after="0" w:line="240" w:lineRule="auto"/>
        <w:jc w:val="both"/>
        <w:rPr>
          <w:rFonts w:ascii="Times New Roman" w:hAnsi="Times New Roman"/>
          <w:iCs/>
          <w:lang w:val="en-US"/>
        </w:rPr>
      </w:pPr>
      <w:r w:rsidRPr="005B7CAC">
        <w:rPr>
          <w:rFonts w:ascii="Times New Roman" w:hAnsi="Times New Roman"/>
          <w:b/>
          <w:iCs/>
          <w:lang w:val="en-US"/>
        </w:rPr>
        <w:t>Note(s):</w:t>
      </w:r>
      <w:r w:rsidRPr="005B7CAC">
        <w:rPr>
          <w:rFonts w:ascii="Times New Roman" w:hAnsi="Times New Roman"/>
          <w:iCs/>
          <w:lang w:val="en-US"/>
        </w:rPr>
        <w:t xml:space="preserve"> This table reports the links among green initiatives (</w:t>
      </w:r>
      <w:r w:rsidRPr="005B7CAC">
        <w:rPr>
          <w:rFonts w:ascii="Times New Roman" w:hAnsi="Times New Roman"/>
          <w:i/>
          <w:lang w:val="en-US"/>
        </w:rPr>
        <w:t>GINVs</w:t>
      </w:r>
      <w:r w:rsidRPr="005B7CAC">
        <w:rPr>
          <w:rFonts w:ascii="Times New Roman" w:hAnsi="Times New Roman"/>
          <w:iCs/>
          <w:lang w:val="en-US"/>
        </w:rPr>
        <w:t>), waste management (</w:t>
      </w:r>
      <w:r w:rsidRPr="005B7CAC">
        <w:rPr>
          <w:rFonts w:ascii="Times New Roman" w:hAnsi="Times New Roman"/>
          <w:i/>
          <w:lang w:val="en-US"/>
        </w:rPr>
        <w:t>WM</w:t>
      </w:r>
      <w:r w:rsidRPr="005B7CAC">
        <w:rPr>
          <w:rFonts w:ascii="Times New Roman" w:hAnsi="Times New Roman"/>
          <w:iCs/>
          <w:lang w:val="en-US"/>
        </w:rPr>
        <w:t>), and financial distress (</w:t>
      </w:r>
      <w:r w:rsidRPr="005B7CAC">
        <w:rPr>
          <w:rFonts w:ascii="Times New Roman" w:hAnsi="Times New Roman"/>
          <w:i/>
          <w:lang w:val="en-US"/>
        </w:rPr>
        <w:t>FD</w:t>
      </w:r>
      <w:r w:rsidRPr="005B7CAC">
        <w:rPr>
          <w:rFonts w:ascii="Times New Roman" w:hAnsi="Times New Roman"/>
          <w:iCs/>
          <w:lang w:val="en-US"/>
        </w:rPr>
        <w:t xml:space="preserve">) based on the first and second lag values of the independent, moderating, and control variables. </w:t>
      </w:r>
      <w:r w:rsidRPr="005B7CAC">
        <w:rPr>
          <w:rFonts w:ascii="Times New Roman" w:hAnsi="Times New Roman"/>
          <w:bCs/>
          <w:lang w:val="en-US"/>
        </w:rPr>
        <w:t xml:space="preserve">Robust </w:t>
      </w:r>
      <w:r w:rsidRPr="005B7CAC">
        <w:rPr>
          <w:rFonts w:ascii="Times New Roman" w:hAnsi="Times New Roman"/>
          <w:bCs/>
          <w:i/>
          <w:lang w:val="en-US"/>
        </w:rPr>
        <w:t>t-statistics</w:t>
      </w:r>
      <w:r w:rsidRPr="005B7CAC">
        <w:rPr>
          <w:rFonts w:ascii="Times New Roman" w:hAnsi="Times New Roman"/>
          <w:bCs/>
          <w:lang w:val="en-US"/>
        </w:rPr>
        <w:t xml:space="preserve"> are presented in parentheses. </w:t>
      </w:r>
      <w:r w:rsidRPr="005B7CAC">
        <w:rPr>
          <w:rFonts w:ascii="Times New Roman" w:hAnsi="Times New Roman"/>
          <w:lang w:val="en-US"/>
        </w:rPr>
        <w:t xml:space="preserve">All the study variables are defined in Table 1. * </w:t>
      </w:r>
      <w:r w:rsidRPr="005B7CAC">
        <w:rPr>
          <w:rFonts w:ascii="Times New Roman" w:hAnsi="Times New Roman"/>
          <w:i/>
          <w:iCs/>
          <w:lang w:val="en-US"/>
        </w:rPr>
        <w:t>p</w:t>
      </w:r>
      <w:r w:rsidRPr="005B7CAC">
        <w:rPr>
          <w:rFonts w:ascii="Times New Roman" w:hAnsi="Times New Roman"/>
          <w:lang w:val="en-US"/>
        </w:rPr>
        <w:t xml:space="preserve"> &lt; 0.1, ** </w:t>
      </w:r>
      <w:r w:rsidRPr="005B7CAC">
        <w:rPr>
          <w:rFonts w:ascii="Times New Roman" w:hAnsi="Times New Roman"/>
          <w:i/>
          <w:iCs/>
          <w:lang w:val="en-US"/>
        </w:rPr>
        <w:t>p</w:t>
      </w:r>
      <w:r w:rsidRPr="005B7CAC">
        <w:rPr>
          <w:rFonts w:ascii="Times New Roman" w:hAnsi="Times New Roman"/>
          <w:lang w:val="en-US"/>
        </w:rPr>
        <w:t xml:space="preserve"> &lt; 0.05, *** </w:t>
      </w:r>
      <w:r w:rsidRPr="005B7CAC">
        <w:rPr>
          <w:rFonts w:ascii="Times New Roman" w:hAnsi="Times New Roman"/>
          <w:i/>
          <w:iCs/>
          <w:lang w:val="en-US"/>
        </w:rPr>
        <w:t>p</w:t>
      </w:r>
      <w:r w:rsidRPr="005B7CAC">
        <w:rPr>
          <w:rFonts w:ascii="Times New Roman" w:hAnsi="Times New Roman"/>
          <w:lang w:val="en-US"/>
        </w:rPr>
        <w:t xml:space="preserve"> &lt; 0.01.</w:t>
      </w:r>
    </w:p>
    <w:p w14:paraId="5B880244" w14:textId="77777777" w:rsidR="00451F38" w:rsidRPr="005B7CAC" w:rsidRDefault="00451F38" w:rsidP="00451F38">
      <w:pPr>
        <w:widowControl w:val="0"/>
        <w:autoSpaceDE w:val="0"/>
        <w:autoSpaceDN w:val="0"/>
        <w:adjustRightInd w:val="0"/>
        <w:spacing w:after="0" w:line="240" w:lineRule="auto"/>
        <w:jc w:val="both"/>
        <w:rPr>
          <w:rFonts w:ascii="Times New Roman" w:hAnsi="Times New Roman"/>
          <w:lang w:val="en-US"/>
        </w:rPr>
      </w:pPr>
      <w:r w:rsidRPr="005B7CAC">
        <w:rPr>
          <w:rFonts w:ascii="Times New Roman" w:hAnsi="Times New Roman"/>
          <w:b/>
          <w:lang w:val="en-US"/>
        </w:rPr>
        <w:t>Source:</w:t>
      </w:r>
      <w:r w:rsidRPr="005B7CAC">
        <w:rPr>
          <w:rFonts w:ascii="Times New Roman" w:hAnsi="Times New Roman"/>
          <w:lang w:val="en-US"/>
        </w:rPr>
        <w:t xml:space="preserve"> Table prepared by the authors.</w:t>
      </w:r>
    </w:p>
    <w:p w14:paraId="0BCBBF7C" w14:textId="77777777" w:rsidR="00451F38" w:rsidRPr="005B7CAC" w:rsidRDefault="00451F38" w:rsidP="00451F38">
      <w:pPr>
        <w:widowControl w:val="0"/>
        <w:autoSpaceDE w:val="0"/>
        <w:autoSpaceDN w:val="0"/>
        <w:adjustRightInd w:val="0"/>
        <w:spacing w:after="0" w:line="240" w:lineRule="auto"/>
        <w:jc w:val="both"/>
        <w:rPr>
          <w:rFonts w:ascii="Times New Roman" w:hAnsi="Times New Roman"/>
          <w:lang w:val="en-US"/>
        </w:rPr>
      </w:pPr>
    </w:p>
    <w:p w14:paraId="63C1560B" w14:textId="77777777" w:rsidR="003D01E7" w:rsidRPr="005B7CAC" w:rsidRDefault="003D01E7" w:rsidP="00315DAE">
      <w:pPr>
        <w:widowControl w:val="0"/>
        <w:autoSpaceDE w:val="0"/>
        <w:autoSpaceDN w:val="0"/>
        <w:adjustRightInd w:val="0"/>
        <w:spacing w:after="0" w:line="240" w:lineRule="auto"/>
        <w:jc w:val="both"/>
        <w:rPr>
          <w:rFonts w:ascii="Times New Roman" w:hAnsi="Times New Roman"/>
          <w:lang w:val="en-US"/>
        </w:rPr>
      </w:pPr>
    </w:p>
    <w:p w14:paraId="52EB4601" w14:textId="77777777" w:rsidR="003D01E7" w:rsidRPr="005B7CAC" w:rsidRDefault="003D01E7" w:rsidP="00315DAE">
      <w:pPr>
        <w:widowControl w:val="0"/>
        <w:autoSpaceDE w:val="0"/>
        <w:autoSpaceDN w:val="0"/>
        <w:adjustRightInd w:val="0"/>
        <w:spacing w:after="0" w:line="240" w:lineRule="auto"/>
        <w:jc w:val="both"/>
        <w:rPr>
          <w:rFonts w:ascii="Times New Roman" w:hAnsi="Times New Roman"/>
          <w:lang w:val="en-US"/>
        </w:rPr>
      </w:pPr>
    </w:p>
    <w:p w14:paraId="64B12D00" w14:textId="77777777" w:rsidR="003D01E7" w:rsidRPr="005B7CAC" w:rsidRDefault="003D01E7" w:rsidP="00315DAE">
      <w:pPr>
        <w:widowControl w:val="0"/>
        <w:autoSpaceDE w:val="0"/>
        <w:autoSpaceDN w:val="0"/>
        <w:adjustRightInd w:val="0"/>
        <w:spacing w:after="0" w:line="240" w:lineRule="auto"/>
        <w:jc w:val="both"/>
        <w:rPr>
          <w:rFonts w:ascii="Times New Roman" w:hAnsi="Times New Roman"/>
          <w:lang w:val="en-US"/>
        </w:rPr>
      </w:pPr>
    </w:p>
    <w:p w14:paraId="49827B56" w14:textId="77777777" w:rsidR="003D01E7" w:rsidRPr="005B7CAC" w:rsidRDefault="003D01E7" w:rsidP="00315DAE">
      <w:pPr>
        <w:widowControl w:val="0"/>
        <w:autoSpaceDE w:val="0"/>
        <w:autoSpaceDN w:val="0"/>
        <w:adjustRightInd w:val="0"/>
        <w:spacing w:after="0" w:line="240" w:lineRule="auto"/>
        <w:jc w:val="both"/>
        <w:rPr>
          <w:rFonts w:ascii="Times New Roman" w:hAnsi="Times New Roman"/>
          <w:lang w:val="en-US"/>
        </w:rPr>
      </w:pPr>
    </w:p>
    <w:sectPr w:rsidR="003D01E7" w:rsidRPr="005B7CAC">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145DC" w14:textId="77777777" w:rsidR="008E1C45" w:rsidRDefault="008E1C45">
      <w:pPr>
        <w:spacing w:after="0" w:line="240" w:lineRule="auto"/>
      </w:pPr>
      <w:r>
        <w:separator/>
      </w:r>
    </w:p>
  </w:endnote>
  <w:endnote w:type="continuationSeparator" w:id="0">
    <w:p w14:paraId="1F2364A9" w14:textId="77777777" w:rsidR="008E1C45" w:rsidRDefault="008E1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A49D7" w14:textId="77777777" w:rsidR="00F94BC5" w:rsidRDefault="00F94BC5">
    <w:pPr>
      <w:widowControl w:val="0"/>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BC0B6" w14:textId="77777777" w:rsidR="008E1C45" w:rsidRDefault="008E1C45">
      <w:pPr>
        <w:spacing w:after="0" w:line="240" w:lineRule="auto"/>
      </w:pPr>
      <w:r>
        <w:separator/>
      </w:r>
    </w:p>
  </w:footnote>
  <w:footnote w:type="continuationSeparator" w:id="0">
    <w:p w14:paraId="37D135B1" w14:textId="77777777" w:rsidR="008E1C45" w:rsidRDefault="008E1C45">
      <w:pPr>
        <w:spacing w:after="0" w:line="240" w:lineRule="auto"/>
      </w:pPr>
      <w:r>
        <w:continuationSeparator/>
      </w:r>
    </w:p>
  </w:footnote>
  <w:footnote w:id="1">
    <w:p w14:paraId="099B8B28" w14:textId="6B004EC5" w:rsidR="00F94BC5" w:rsidRPr="00F728BE" w:rsidRDefault="00F94BC5" w:rsidP="007941A3">
      <w:pPr>
        <w:pStyle w:val="FootnoteText"/>
        <w:jc w:val="both"/>
        <w:rPr>
          <w:lang w:val="en-US"/>
        </w:rPr>
      </w:pPr>
      <w:r w:rsidRPr="001706A0">
        <w:rPr>
          <w:rStyle w:val="FootnoteReference"/>
          <w:rFonts w:ascii="Times New Roman" w:hAnsi="Times New Roman"/>
        </w:rPr>
        <w:footnoteRef/>
      </w:r>
      <w:r w:rsidRPr="001706A0">
        <w:rPr>
          <w:rFonts w:ascii="Times New Roman" w:hAnsi="Times New Roman"/>
          <w:lang w:val="en-US"/>
        </w:rPr>
        <w:t>Our dataset starts in 2002, when environmental data became available, and ends in 2021</w:t>
      </w:r>
      <w:r w:rsidR="00DD5C66" w:rsidRPr="001706A0">
        <w:rPr>
          <w:rFonts w:ascii="Times New Roman" w:hAnsi="Times New Roman"/>
          <w:lang w:val="en-US"/>
        </w:rPr>
        <w:t xml:space="preserve"> </w:t>
      </w:r>
      <w:r w:rsidRPr="001706A0">
        <w:rPr>
          <w:rFonts w:ascii="Times New Roman" w:hAnsi="Times New Roman"/>
          <w:lang w:val="en-US"/>
        </w:rPr>
        <w:t xml:space="preserve">because data on </w:t>
      </w:r>
      <w:r w:rsidRPr="001706A0">
        <w:rPr>
          <w:rFonts w:ascii="Times New Roman" w:hAnsi="Times New Roman"/>
          <w:i/>
          <w:iCs/>
          <w:lang w:val="en-US"/>
        </w:rPr>
        <w:t>GINVs</w:t>
      </w:r>
      <w:r w:rsidRPr="001706A0">
        <w:rPr>
          <w:rFonts w:ascii="Times New Roman" w:hAnsi="Times New Roman"/>
          <w:lang w:val="en-US"/>
        </w:rPr>
        <w:t xml:space="preserve"> and </w:t>
      </w:r>
      <w:r w:rsidRPr="001706A0">
        <w:rPr>
          <w:rFonts w:ascii="Times New Roman" w:hAnsi="Times New Roman"/>
          <w:i/>
          <w:iCs/>
          <w:lang w:val="en-US"/>
        </w:rPr>
        <w:t>WM</w:t>
      </w:r>
      <w:r w:rsidRPr="001706A0">
        <w:rPr>
          <w:rFonts w:ascii="Times New Roman" w:hAnsi="Times New Roman"/>
          <w:lang w:val="en-US"/>
        </w:rPr>
        <w:t xml:space="preserve"> were not available for the majority of firms beyond this year at the time of data collection. </w:t>
      </w:r>
    </w:p>
  </w:footnote>
  <w:footnote w:id="2">
    <w:p w14:paraId="70F0DCFE" w14:textId="738D811E" w:rsidR="00F94BC5" w:rsidRPr="001D101F" w:rsidRDefault="00F94BC5" w:rsidP="008371DE">
      <w:pPr>
        <w:pStyle w:val="FootnoteText"/>
        <w:jc w:val="both"/>
        <w:rPr>
          <w:rFonts w:ascii="Times New Roman" w:hAnsi="Times New Roman"/>
          <w:lang w:val="en-US"/>
        </w:rPr>
      </w:pPr>
      <w:r w:rsidRPr="001D101F">
        <w:rPr>
          <w:rStyle w:val="FootnoteReference"/>
          <w:rFonts w:ascii="Times New Roman" w:hAnsi="Times New Roman"/>
        </w:rPr>
        <w:footnoteRef/>
      </w:r>
      <w:r w:rsidRPr="001D101F">
        <w:rPr>
          <w:rFonts w:ascii="Times New Roman" w:hAnsi="Times New Roman"/>
          <w:lang w:val="en-US"/>
        </w:rPr>
        <w:t xml:space="preserve">We also estimate the industry-adjusted </w:t>
      </w:r>
      <w:r w:rsidRPr="004D0120">
        <w:rPr>
          <w:rFonts w:ascii="Times New Roman" w:hAnsi="Times New Roman"/>
          <w:i/>
          <w:iCs/>
          <w:lang w:val="en-US"/>
        </w:rPr>
        <w:t>GINVs</w:t>
      </w:r>
      <w:r w:rsidRPr="001D101F">
        <w:rPr>
          <w:rFonts w:ascii="Times New Roman" w:hAnsi="Times New Roman"/>
          <w:lang w:val="en-US"/>
        </w:rPr>
        <w:t xml:space="preserve"> score to use it as an alternative measure in the robustness analysis.  </w:t>
      </w:r>
    </w:p>
  </w:footnote>
  <w:footnote w:id="3">
    <w:p w14:paraId="4797FB83" w14:textId="74AFEACD" w:rsidR="001D101F" w:rsidRPr="001D101F" w:rsidRDefault="001D101F" w:rsidP="004D0120">
      <w:pPr>
        <w:pStyle w:val="FootnoteText"/>
        <w:jc w:val="both"/>
        <w:rPr>
          <w:lang w:val="en-US"/>
        </w:rPr>
      </w:pPr>
      <w:r w:rsidRPr="001706A0">
        <w:rPr>
          <w:rStyle w:val="FootnoteReference"/>
          <w:rFonts w:ascii="Times New Roman" w:hAnsi="Times New Roman"/>
        </w:rPr>
        <w:footnoteRef/>
      </w:r>
      <w:r w:rsidRPr="001706A0">
        <w:rPr>
          <w:rFonts w:ascii="Times New Roman" w:hAnsi="Times New Roman"/>
          <w:lang w:val="en-US"/>
        </w:rPr>
        <w:t xml:space="preserve">As a robustness test, we also perform an additional moderation analysis using a dummy variable for </w:t>
      </w:r>
      <w:r w:rsidRPr="001706A0">
        <w:rPr>
          <w:rFonts w:ascii="Times New Roman" w:hAnsi="Times New Roman"/>
          <w:i/>
          <w:iCs/>
          <w:lang w:val="en-US"/>
        </w:rPr>
        <w:t xml:space="preserve">GINVs </w:t>
      </w:r>
      <w:r w:rsidRPr="001706A0">
        <w:rPr>
          <w:rFonts w:ascii="Times New Roman" w:hAnsi="Times New Roman"/>
          <w:lang w:val="en-US"/>
        </w:rPr>
        <w:t>as a moderator.</w:t>
      </w:r>
    </w:p>
  </w:footnote>
  <w:footnote w:id="4">
    <w:p w14:paraId="0ADC3F18" w14:textId="169F5A88" w:rsidR="00F94BC5" w:rsidRPr="003D5418" w:rsidRDefault="00F94BC5">
      <w:pPr>
        <w:pStyle w:val="FootnoteText"/>
        <w:rPr>
          <w:rFonts w:ascii="Times New Roman" w:hAnsi="Times New Roman"/>
          <w:lang w:val="en-US"/>
        </w:rPr>
      </w:pPr>
      <w:r w:rsidRPr="003D5418">
        <w:rPr>
          <w:rStyle w:val="FootnoteReference"/>
          <w:rFonts w:ascii="Times New Roman" w:hAnsi="Times New Roman"/>
        </w:rPr>
        <w:footnoteRef/>
      </w:r>
      <w:r>
        <w:rPr>
          <w:rFonts w:ascii="Times New Roman" w:hAnsi="Times New Roman"/>
          <w:lang w:val="en-US"/>
        </w:rPr>
        <w:t xml:space="preserve">We also </w:t>
      </w:r>
      <w:r w:rsidRPr="003D5418">
        <w:rPr>
          <w:rFonts w:ascii="Times New Roman" w:hAnsi="Times New Roman"/>
          <w:bCs/>
          <w:iCs/>
          <w:lang w:val="en-US"/>
        </w:rPr>
        <w:t xml:space="preserve">winsorized </w:t>
      </w:r>
      <w:r>
        <w:rPr>
          <w:rFonts w:ascii="Times New Roman" w:hAnsi="Times New Roman"/>
          <w:bCs/>
          <w:iCs/>
          <w:lang w:val="en-US"/>
        </w:rPr>
        <w:t>a</w:t>
      </w:r>
      <w:r w:rsidRPr="003D5418">
        <w:rPr>
          <w:rFonts w:ascii="Times New Roman" w:hAnsi="Times New Roman"/>
          <w:bCs/>
          <w:iCs/>
          <w:lang w:val="en-US"/>
        </w:rPr>
        <w:t>ll the continuous variables at the 1% and 99% levels</w:t>
      </w:r>
      <w:r>
        <w:rPr>
          <w:rFonts w:ascii="Times New Roman" w:hAnsi="Times New Roman"/>
          <w:bCs/>
          <w:iCs/>
          <w:lang w:val="en-US"/>
        </w:rPr>
        <w:t xml:space="preserve"> to mitigate the effects of potential outliers</w:t>
      </w:r>
      <w:r w:rsidRPr="003D5418">
        <w:rPr>
          <w:rFonts w:ascii="Times New Roman" w:hAnsi="Times New Roman"/>
          <w:bCs/>
          <w:iCs/>
          <w:lang w:val="en-US"/>
        </w:rPr>
        <w:t>.</w:t>
      </w:r>
    </w:p>
  </w:footnote>
  <w:footnote w:id="5">
    <w:p w14:paraId="2F362060" w14:textId="3D887364" w:rsidR="00F94BC5" w:rsidRPr="00F728BE" w:rsidRDefault="00F94BC5">
      <w:pPr>
        <w:pStyle w:val="FootnoteText"/>
        <w:rPr>
          <w:lang w:val="en-US"/>
        </w:rPr>
      </w:pPr>
      <w:r w:rsidRPr="009E3E02">
        <w:rPr>
          <w:rStyle w:val="FootnoteReference"/>
          <w:rFonts w:ascii="Times New Roman" w:hAnsi="Times New Roman"/>
        </w:rPr>
        <w:footnoteRef/>
      </w:r>
      <w:r>
        <w:rPr>
          <w:rFonts w:ascii="Times New Roman" w:hAnsi="Times New Roman"/>
          <w:lang w:val="en-US"/>
        </w:rPr>
        <w:t>We</w:t>
      </w:r>
      <w:r w:rsidRPr="009E3E02">
        <w:rPr>
          <w:rFonts w:ascii="Times New Roman" w:hAnsi="Times New Roman"/>
          <w:lang w:val="en-US"/>
        </w:rPr>
        <w:t xml:space="preserve"> use </w:t>
      </w:r>
      <w:r w:rsidRPr="001706A0">
        <w:rPr>
          <w:rFonts w:ascii="Times New Roman" w:hAnsi="Times New Roman"/>
          <w:lang w:val="en-US"/>
        </w:rPr>
        <w:t xml:space="preserve">the </w:t>
      </w:r>
      <w:r w:rsidRPr="001706A0">
        <w:rPr>
          <w:rFonts w:ascii="Times New Roman" w:hAnsi="Times New Roman"/>
          <w:i/>
          <w:iCs/>
          <w:lang w:val="en-US"/>
        </w:rPr>
        <w:t>Z_UK</w:t>
      </w:r>
      <w:r w:rsidRPr="001706A0">
        <w:rPr>
          <w:rFonts w:ascii="Times New Roman" w:hAnsi="Times New Roman"/>
          <w:lang w:val="en-US"/>
        </w:rPr>
        <w:t xml:space="preserve"> and </w:t>
      </w:r>
      <w:r w:rsidRPr="001706A0">
        <w:rPr>
          <w:rFonts w:ascii="Times New Roman" w:hAnsi="Times New Roman"/>
          <w:i/>
          <w:iCs/>
          <w:lang w:val="en-US"/>
        </w:rPr>
        <w:t>Z_ALT</w:t>
      </w:r>
      <w:r w:rsidRPr="001706A0">
        <w:rPr>
          <w:rFonts w:ascii="Times New Roman" w:hAnsi="Times New Roman"/>
          <w:lang w:val="en-US"/>
        </w:rPr>
        <w:t xml:space="preserve"> scores as </w:t>
      </w:r>
      <w:r w:rsidRPr="001706A0">
        <w:rPr>
          <w:rFonts w:ascii="Times New Roman" w:hAnsi="Times New Roman"/>
          <w:i/>
          <w:iCs/>
          <w:lang w:val="en-US"/>
        </w:rPr>
        <w:t>FD</w:t>
      </w:r>
      <w:r w:rsidRPr="001706A0">
        <w:rPr>
          <w:rFonts w:ascii="Times New Roman" w:hAnsi="Times New Roman"/>
          <w:lang w:val="en-US"/>
        </w:rPr>
        <w:t xml:space="preserve"> measures. Hence, the higher </w:t>
      </w:r>
      <w:r w:rsidR="00570F93" w:rsidRPr="001706A0">
        <w:rPr>
          <w:rFonts w:ascii="Times New Roman" w:hAnsi="Times New Roman"/>
          <w:lang w:val="en-US"/>
        </w:rPr>
        <w:t xml:space="preserve">the </w:t>
      </w:r>
      <w:r w:rsidRPr="001706A0">
        <w:rPr>
          <w:rFonts w:ascii="Times New Roman" w:hAnsi="Times New Roman"/>
          <w:lang w:val="en-US"/>
        </w:rPr>
        <w:t xml:space="preserve">scores, the lower the </w:t>
      </w:r>
      <w:r w:rsidRPr="001706A0">
        <w:rPr>
          <w:rFonts w:ascii="Times New Roman" w:hAnsi="Times New Roman"/>
          <w:i/>
          <w:iCs/>
          <w:lang w:val="en-US"/>
        </w:rPr>
        <w:t>FD</w:t>
      </w:r>
      <w:r w:rsidRPr="001706A0">
        <w:rPr>
          <w:rFonts w:ascii="Times New Roman" w:hAnsi="Times New Roman"/>
          <w:lang w:val="en-US"/>
        </w:rPr>
        <w:t xml:space="preserve"> levels. </w:t>
      </w:r>
    </w:p>
  </w:footnote>
  <w:footnote w:id="6">
    <w:p w14:paraId="1FCFA8A1" w14:textId="6D981F53" w:rsidR="00F94BC5" w:rsidRPr="00C03DA3" w:rsidRDefault="00F94BC5" w:rsidP="00103418">
      <w:pPr>
        <w:pStyle w:val="FootnoteText"/>
        <w:rPr>
          <w:rFonts w:ascii="Times New Roman" w:hAnsi="Times New Roman"/>
          <w:lang w:val="en-US"/>
        </w:rPr>
      </w:pPr>
      <w:r w:rsidRPr="00C03DA3">
        <w:rPr>
          <w:rStyle w:val="FootnoteReference"/>
          <w:rFonts w:ascii="Times New Roman" w:hAnsi="Times New Roman"/>
        </w:rPr>
        <w:footnoteRef/>
      </w:r>
      <w:r>
        <w:rPr>
          <w:rFonts w:ascii="Times New Roman" w:hAnsi="Times New Roman"/>
          <w:lang w:val="en-US"/>
        </w:rPr>
        <w:t>W</w:t>
      </w:r>
      <w:r w:rsidRPr="00C03DA3">
        <w:rPr>
          <w:rFonts w:ascii="Times New Roman" w:hAnsi="Times New Roman"/>
          <w:lang w:val="en-US"/>
        </w:rPr>
        <w:t xml:space="preserve">e </w:t>
      </w:r>
      <w:r>
        <w:rPr>
          <w:rFonts w:ascii="Times New Roman" w:hAnsi="Times New Roman"/>
          <w:lang w:val="en-US"/>
        </w:rPr>
        <w:t xml:space="preserve">therefore </w:t>
      </w:r>
      <w:r w:rsidRPr="00C03DA3">
        <w:rPr>
          <w:rFonts w:ascii="Times New Roman" w:hAnsi="Times New Roman"/>
          <w:lang w:val="en-US"/>
        </w:rPr>
        <w:t xml:space="preserve">expect the coefficients of </w:t>
      </w:r>
      <w:r w:rsidRPr="0056495A">
        <w:rPr>
          <w:rFonts w:ascii="Times New Roman" w:hAnsi="Times New Roman"/>
          <w:i/>
          <w:iCs/>
          <w:lang w:val="en-US"/>
        </w:rPr>
        <w:t>WAST</w:t>
      </w:r>
      <w:r w:rsidRPr="00C03DA3">
        <w:rPr>
          <w:rFonts w:ascii="Times New Roman" w:hAnsi="Times New Roman"/>
          <w:lang w:val="en-US"/>
        </w:rPr>
        <w:t xml:space="preserve">, </w:t>
      </w:r>
      <w:r w:rsidRPr="0056495A">
        <w:rPr>
          <w:rFonts w:ascii="Times New Roman" w:hAnsi="Times New Roman"/>
          <w:i/>
          <w:iCs/>
          <w:lang w:val="en-US"/>
        </w:rPr>
        <w:t>WREC</w:t>
      </w:r>
      <w:r w:rsidRPr="00C03DA3">
        <w:rPr>
          <w:rFonts w:ascii="Times New Roman" w:hAnsi="Times New Roman"/>
          <w:lang w:val="en-US"/>
        </w:rPr>
        <w:t xml:space="preserve">, and their interactions with </w:t>
      </w:r>
      <w:r w:rsidRPr="00801D47">
        <w:rPr>
          <w:rFonts w:ascii="Times New Roman" w:hAnsi="Times New Roman"/>
          <w:i/>
          <w:iCs/>
          <w:lang w:val="en-US"/>
        </w:rPr>
        <w:t>GINV</w:t>
      </w:r>
      <w:r>
        <w:rPr>
          <w:rFonts w:ascii="Times New Roman" w:hAnsi="Times New Roman"/>
          <w:i/>
          <w:iCs/>
          <w:lang w:val="en-US"/>
        </w:rPr>
        <w:t>s</w:t>
      </w:r>
      <w:r>
        <w:rPr>
          <w:rFonts w:ascii="Times New Roman" w:hAnsi="Times New Roman"/>
          <w:lang w:val="en-US"/>
        </w:rPr>
        <w:t xml:space="preserve"> to have </w:t>
      </w:r>
      <w:r w:rsidRPr="00C03DA3">
        <w:rPr>
          <w:rFonts w:ascii="Times New Roman" w:hAnsi="Times New Roman"/>
          <w:lang w:val="en-US"/>
        </w:rPr>
        <w:t>opposite</w:t>
      </w:r>
      <w:r>
        <w:rPr>
          <w:rFonts w:ascii="Times New Roman" w:hAnsi="Times New Roman"/>
          <w:lang w:val="en-US"/>
        </w:rPr>
        <w:t xml:space="preserve"> signs</w:t>
      </w:r>
      <w:r w:rsidRPr="00C03DA3">
        <w:rPr>
          <w:rFonts w:ascii="Times New Roman" w:hAnsi="Times New Roman"/>
          <w:lang w:val="en-U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58"/>
    <w:rsid w:val="0000057E"/>
    <w:rsid w:val="0000143A"/>
    <w:rsid w:val="00002125"/>
    <w:rsid w:val="00003E33"/>
    <w:rsid w:val="00004AD4"/>
    <w:rsid w:val="00004FA3"/>
    <w:rsid w:val="0000562A"/>
    <w:rsid w:val="00007605"/>
    <w:rsid w:val="00007F1E"/>
    <w:rsid w:val="000134C6"/>
    <w:rsid w:val="00013623"/>
    <w:rsid w:val="000141FE"/>
    <w:rsid w:val="00014E03"/>
    <w:rsid w:val="00021644"/>
    <w:rsid w:val="00024284"/>
    <w:rsid w:val="00025220"/>
    <w:rsid w:val="00026585"/>
    <w:rsid w:val="00027B06"/>
    <w:rsid w:val="00027FE4"/>
    <w:rsid w:val="00034D8B"/>
    <w:rsid w:val="00035958"/>
    <w:rsid w:val="00040F39"/>
    <w:rsid w:val="00043E75"/>
    <w:rsid w:val="00053F0A"/>
    <w:rsid w:val="00054E8C"/>
    <w:rsid w:val="00056163"/>
    <w:rsid w:val="00056D9E"/>
    <w:rsid w:val="000625AF"/>
    <w:rsid w:val="00062E58"/>
    <w:rsid w:val="0006302C"/>
    <w:rsid w:val="0007036A"/>
    <w:rsid w:val="00070BAE"/>
    <w:rsid w:val="00070D2E"/>
    <w:rsid w:val="00072747"/>
    <w:rsid w:val="00072C7B"/>
    <w:rsid w:val="00072DF6"/>
    <w:rsid w:val="0007323C"/>
    <w:rsid w:val="00074E78"/>
    <w:rsid w:val="00076349"/>
    <w:rsid w:val="00081CC8"/>
    <w:rsid w:val="0009010E"/>
    <w:rsid w:val="00090625"/>
    <w:rsid w:val="00092C89"/>
    <w:rsid w:val="00092E86"/>
    <w:rsid w:val="0009352F"/>
    <w:rsid w:val="000943E5"/>
    <w:rsid w:val="000979A5"/>
    <w:rsid w:val="000A0229"/>
    <w:rsid w:val="000A141A"/>
    <w:rsid w:val="000A1707"/>
    <w:rsid w:val="000A183C"/>
    <w:rsid w:val="000A18DE"/>
    <w:rsid w:val="000A2435"/>
    <w:rsid w:val="000A545C"/>
    <w:rsid w:val="000B06C0"/>
    <w:rsid w:val="000B4864"/>
    <w:rsid w:val="000B5A09"/>
    <w:rsid w:val="000B6119"/>
    <w:rsid w:val="000C0E1E"/>
    <w:rsid w:val="000C128B"/>
    <w:rsid w:val="000C2C38"/>
    <w:rsid w:val="000C3943"/>
    <w:rsid w:val="000C4941"/>
    <w:rsid w:val="000C5064"/>
    <w:rsid w:val="000C5DC2"/>
    <w:rsid w:val="000D2319"/>
    <w:rsid w:val="000D24DA"/>
    <w:rsid w:val="000D3AF5"/>
    <w:rsid w:val="000D4E69"/>
    <w:rsid w:val="000D57A9"/>
    <w:rsid w:val="000D5E24"/>
    <w:rsid w:val="000D7C85"/>
    <w:rsid w:val="000E2425"/>
    <w:rsid w:val="000E2FB7"/>
    <w:rsid w:val="000F2622"/>
    <w:rsid w:val="000F410D"/>
    <w:rsid w:val="000F6471"/>
    <w:rsid w:val="000F7FBE"/>
    <w:rsid w:val="001008C7"/>
    <w:rsid w:val="00103418"/>
    <w:rsid w:val="001058C5"/>
    <w:rsid w:val="00106870"/>
    <w:rsid w:val="001068BC"/>
    <w:rsid w:val="00107290"/>
    <w:rsid w:val="00111706"/>
    <w:rsid w:val="00111B19"/>
    <w:rsid w:val="00111DBA"/>
    <w:rsid w:val="001120A9"/>
    <w:rsid w:val="001137AF"/>
    <w:rsid w:val="001142FB"/>
    <w:rsid w:val="001149C2"/>
    <w:rsid w:val="0011581B"/>
    <w:rsid w:val="00120463"/>
    <w:rsid w:val="00120B7E"/>
    <w:rsid w:val="001356E6"/>
    <w:rsid w:val="0013577C"/>
    <w:rsid w:val="001371CC"/>
    <w:rsid w:val="001404B4"/>
    <w:rsid w:val="00140A23"/>
    <w:rsid w:val="00142147"/>
    <w:rsid w:val="0014371C"/>
    <w:rsid w:val="00145585"/>
    <w:rsid w:val="00147759"/>
    <w:rsid w:val="00147980"/>
    <w:rsid w:val="0015065A"/>
    <w:rsid w:val="0015222F"/>
    <w:rsid w:val="00153167"/>
    <w:rsid w:val="001558FE"/>
    <w:rsid w:val="00160A76"/>
    <w:rsid w:val="00164D9B"/>
    <w:rsid w:val="00165056"/>
    <w:rsid w:val="001706A0"/>
    <w:rsid w:val="0017149C"/>
    <w:rsid w:val="00171AD9"/>
    <w:rsid w:val="00172719"/>
    <w:rsid w:val="00172ABE"/>
    <w:rsid w:val="0017325F"/>
    <w:rsid w:val="0017444A"/>
    <w:rsid w:val="00175C01"/>
    <w:rsid w:val="00180859"/>
    <w:rsid w:val="00182518"/>
    <w:rsid w:val="00183E54"/>
    <w:rsid w:val="00187931"/>
    <w:rsid w:val="00187DF8"/>
    <w:rsid w:val="00191D4C"/>
    <w:rsid w:val="00192D55"/>
    <w:rsid w:val="001938BC"/>
    <w:rsid w:val="001A0319"/>
    <w:rsid w:val="001A11A5"/>
    <w:rsid w:val="001A1CB2"/>
    <w:rsid w:val="001A251B"/>
    <w:rsid w:val="001A43BD"/>
    <w:rsid w:val="001A4905"/>
    <w:rsid w:val="001A4AAF"/>
    <w:rsid w:val="001A522A"/>
    <w:rsid w:val="001A6F3F"/>
    <w:rsid w:val="001B02C7"/>
    <w:rsid w:val="001B0C3F"/>
    <w:rsid w:val="001B25D5"/>
    <w:rsid w:val="001B2EC9"/>
    <w:rsid w:val="001B2F42"/>
    <w:rsid w:val="001B325E"/>
    <w:rsid w:val="001B394E"/>
    <w:rsid w:val="001B4E9E"/>
    <w:rsid w:val="001C06C7"/>
    <w:rsid w:val="001C1889"/>
    <w:rsid w:val="001C2D7B"/>
    <w:rsid w:val="001C4F95"/>
    <w:rsid w:val="001C6060"/>
    <w:rsid w:val="001C7A5F"/>
    <w:rsid w:val="001C7C76"/>
    <w:rsid w:val="001D101F"/>
    <w:rsid w:val="001D1EDE"/>
    <w:rsid w:val="001D65D4"/>
    <w:rsid w:val="001D7BDA"/>
    <w:rsid w:val="001D7E84"/>
    <w:rsid w:val="001E0F70"/>
    <w:rsid w:val="001E14B6"/>
    <w:rsid w:val="001E2CA1"/>
    <w:rsid w:val="001E2D11"/>
    <w:rsid w:val="001E31F9"/>
    <w:rsid w:val="001E4659"/>
    <w:rsid w:val="001E6CDB"/>
    <w:rsid w:val="001E7ADD"/>
    <w:rsid w:val="001F2C3F"/>
    <w:rsid w:val="001F2D20"/>
    <w:rsid w:val="001F5630"/>
    <w:rsid w:val="001F5E92"/>
    <w:rsid w:val="001F60ED"/>
    <w:rsid w:val="001F7529"/>
    <w:rsid w:val="002025D6"/>
    <w:rsid w:val="00202FD5"/>
    <w:rsid w:val="00205015"/>
    <w:rsid w:val="00205FF2"/>
    <w:rsid w:val="00211657"/>
    <w:rsid w:val="00211841"/>
    <w:rsid w:val="00212653"/>
    <w:rsid w:val="00212AD3"/>
    <w:rsid w:val="00212B2C"/>
    <w:rsid w:val="002132DF"/>
    <w:rsid w:val="002142E0"/>
    <w:rsid w:val="0021467A"/>
    <w:rsid w:val="00216028"/>
    <w:rsid w:val="0022593D"/>
    <w:rsid w:val="002307C8"/>
    <w:rsid w:val="00231183"/>
    <w:rsid w:val="00233966"/>
    <w:rsid w:val="00233B6D"/>
    <w:rsid w:val="002347D5"/>
    <w:rsid w:val="00234ED5"/>
    <w:rsid w:val="00236D2F"/>
    <w:rsid w:val="0023796C"/>
    <w:rsid w:val="00242436"/>
    <w:rsid w:val="002426F0"/>
    <w:rsid w:val="00244CEB"/>
    <w:rsid w:val="00245EAA"/>
    <w:rsid w:val="0024655F"/>
    <w:rsid w:val="0025693A"/>
    <w:rsid w:val="00262C96"/>
    <w:rsid w:val="00263366"/>
    <w:rsid w:val="00263592"/>
    <w:rsid w:val="00263A2A"/>
    <w:rsid w:val="00263C0F"/>
    <w:rsid w:val="002668A6"/>
    <w:rsid w:val="00267719"/>
    <w:rsid w:val="00271987"/>
    <w:rsid w:val="002729DE"/>
    <w:rsid w:val="00277DD8"/>
    <w:rsid w:val="00283A4A"/>
    <w:rsid w:val="002853D8"/>
    <w:rsid w:val="0028594E"/>
    <w:rsid w:val="00285B03"/>
    <w:rsid w:val="00286D32"/>
    <w:rsid w:val="00287FE9"/>
    <w:rsid w:val="002900C2"/>
    <w:rsid w:val="002A2473"/>
    <w:rsid w:val="002A48CA"/>
    <w:rsid w:val="002A48EB"/>
    <w:rsid w:val="002A4D73"/>
    <w:rsid w:val="002A5995"/>
    <w:rsid w:val="002A75C5"/>
    <w:rsid w:val="002B177F"/>
    <w:rsid w:val="002B28AA"/>
    <w:rsid w:val="002B2BEE"/>
    <w:rsid w:val="002B42DD"/>
    <w:rsid w:val="002B4D13"/>
    <w:rsid w:val="002B78A0"/>
    <w:rsid w:val="002C0944"/>
    <w:rsid w:val="002C3535"/>
    <w:rsid w:val="002C7F8E"/>
    <w:rsid w:val="002D09CD"/>
    <w:rsid w:val="002D0A4A"/>
    <w:rsid w:val="002D1013"/>
    <w:rsid w:val="002D1103"/>
    <w:rsid w:val="002D1EF7"/>
    <w:rsid w:val="002D3490"/>
    <w:rsid w:val="002D415A"/>
    <w:rsid w:val="002D4438"/>
    <w:rsid w:val="002D4735"/>
    <w:rsid w:val="002D563F"/>
    <w:rsid w:val="002D59D5"/>
    <w:rsid w:val="002D7319"/>
    <w:rsid w:val="002E2241"/>
    <w:rsid w:val="002E227B"/>
    <w:rsid w:val="002E3B02"/>
    <w:rsid w:val="002E41B2"/>
    <w:rsid w:val="002F4777"/>
    <w:rsid w:val="002F4AC6"/>
    <w:rsid w:val="002F6908"/>
    <w:rsid w:val="002F696A"/>
    <w:rsid w:val="003006AD"/>
    <w:rsid w:val="00301840"/>
    <w:rsid w:val="00302318"/>
    <w:rsid w:val="0030246E"/>
    <w:rsid w:val="003036A0"/>
    <w:rsid w:val="0030467F"/>
    <w:rsid w:val="0030569D"/>
    <w:rsid w:val="00306672"/>
    <w:rsid w:val="00307672"/>
    <w:rsid w:val="003127C1"/>
    <w:rsid w:val="003128A3"/>
    <w:rsid w:val="00312938"/>
    <w:rsid w:val="0031489A"/>
    <w:rsid w:val="00314B27"/>
    <w:rsid w:val="00315DAE"/>
    <w:rsid w:val="00316312"/>
    <w:rsid w:val="00320CC9"/>
    <w:rsid w:val="00321105"/>
    <w:rsid w:val="0032174C"/>
    <w:rsid w:val="00322D39"/>
    <w:rsid w:val="00325980"/>
    <w:rsid w:val="00326582"/>
    <w:rsid w:val="00327814"/>
    <w:rsid w:val="00327FFE"/>
    <w:rsid w:val="0033140C"/>
    <w:rsid w:val="003323AD"/>
    <w:rsid w:val="00332F44"/>
    <w:rsid w:val="003339E7"/>
    <w:rsid w:val="003352F3"/>
    <w:rsid w:val="00336A4D"/>
    <w:rsid w:val="00340F0A"/>
    <w:rsid w:val="00341E05"/>
    <w:rsid w:val="00343715"/>
    <w:rsid w:val="00345D8B"/>
    <w:rsid w:val="003461BE"/>
    <w:rsid w:val="00346AC0"/>
    <w:rsid w:val="00354E02"/>
    <w:rsid w:val="00356E21"/>
    <w:rsid w:val="00363AE2"/>
    <w:rsid w:val="00364D47"/>
    <w:rsid w:val="00365F20"/>
    <w:rsid w:val="003708D1"/>
    <w:rsid w:val="00373E5A"/>
    <w:rsid w:val="0038577B"/>
    <w:rsid w:val="00385FFE"/>
    <w:rsid w:val="00386A0C"/>
    <w:rsid w:val="00397836"/>
    <w:rsid w:val="003A06F7"/>
    <w:rsid w:val="003A1618"/>
    <w:rsid w:val="003A23E5"/>
    <w:rsid w:val="003A2E4E"/>
    <w:rsid w:val="003A3D55"/>
    <w:rsid w:val="003A406B"/>
    <w:rsid w:val="003A45E3"/>
    <w:rsid w:val="003A5358"/>
    <w:rsid w:val="003A78F8"/>
    <w:rsid w:val="003B152F"/>
    <w:rsid w:val="003B3676"/>
    <w:rsid w:val="003C10A0"/>
    <w:rsid w:val="003C1D63"/>
    <w:rsid w:val="003C50C5"/>
    <w:rsid w:val="003C5CE0"/>
    <w:rsid w:val="003D01E7"/>
    <w:rsid w:val="003D0F8F"/>
    <w:rsid w:val="003D22A6"/>
    <w:rsid w:val="003D2A49"/>
    <w:rsid w:val="003D3613"/>
    <w:rsid w:val="003D5418"/>
    <w:rsid w:val="003D7265"/>
    <w:rsid w:val="003E1F4F"/>
    <w:rsid w:val="003E3826"/>
    <w:rsid w:val="003E4A20"/>
    <w:rsid w:val="003E53A5"/>
    <w:rsid w:val="003E6125"/>
    <w:rsid w:val="003E6C64"/>
    <w:rsid w:val="003E70B0"/>
    <w:rsid w:val="003E789D"/>
    <w:rsid w:val="003F02A4"/>
    <w:rsid w:val="003F27C9"/>
    <w:rsid w:val="003F2C46"/>
    <w:rsid w:val="003F3069"/>
    <w:rsid w:val="003F3B50"/>
    <w:rsid w:val="003F3C76"/>
    <w:rsid w:val="003F53DD"/>
    <w:rsid w:val="003F6967"/>
    <w:rsid w:val="003F6AFD"/>
    <w:rsid w:val="003F6D7A"/>
    <w:rsid w:val="003F6DB8"/>
    <w:rsid w:val="00400148"/>
    <w:rsid w:val="00400AE5"/>
    <w:rsid w:val="00407684"/>
    <w:rsid w:val="00412D3D"/>
    <w:rsid w:val="00417E29"/>
    <w:rsid w:val="00420474"/>
    <w:rsid w:val="0042551A"/>
    <w:rsid w:val="00425952"/>
    <w:rsid w:val="00425F7E"/>
    <w:rsid w:val="00426737"/>
    <w:rsid w:val="004279FE"/>
    <w:rsid w:val="00432523"/>
    <w:rsid w:val="00437500"/>
    <w:rsid w:val="00444C5B"/>
    <w:rsid w:val="004472CF"/>
    <w:rsid w:val="004504EC"/>
    <w:rsid w:val="0045168E"/>
    <w:rsid w:val="00451F38"/>
    <w:rsid w:val="0045202E"/>
    <w:rsid w:val="004526A6"/>
    <w:rsid w:val="00454AB5"/>
    <w:rsid w:val="004578B3"/>
    <w:rsid w:val="00461F6F"/>
    <w:rsid w:val="00465D48"/>
    <w:rsid w:val="004668C3"/>
    <w:rsid w:val="004669C8"/>
    <w:rsid w:val="0046723E"/>
    <w:rsid w:val="00467EC2"/>
    <w:rsid w:val="00473950"/>
    <w:rsid w:val="0047548F"/>
    <w:rsid w:val="00480D4F"/>
    <w:rsid w:val="0048226E"/>
    <w:rsid w:val="00482F98"/>
    <w:rsid w:val="004841E6"/>
    <w:rsid w:val="00484A3F"/>
    <w:rsid w:val="004856D8"/>
    <w:rsid w:val="00485AC3"/>
    <w:rsid w:val="00486046"/>
    <w:rsid w:val="0048737B"/>
    <w:rsid w:val="004923D9"/>
    <w:rsid w:val="00492AE6"/>
    <w:rsid w:val="00494FA7"/>
    <w:rsid w:val="00496921"/>
    <w:rsid w:val="00496A76"/>
    <w:rsid w:val="00497ADE"/>
    <w:rsid w:val="004A1270"/>
    <w:rsid w:val="004A1E6F"/>
    <w:rsid w:val="004A228B"/>
    <w:rsid w:val="004A3195"/>
    <w:rsid w:val="004A360F"/>
    <w:rsid w:val="004A6773"/>
    <w:rsid w:val="004A679A"/>
    <w:rsid w:val="004A7723"/>
    <w:rsid w:val="004A78AC"/>
    <w:rsid w:val="004B01E2"/>
    <w:rsid w:val="004B1A2D"/>
    <w:rsid w:val="004B21C5"/>
    <w:rsid w:val="004B4B5D"/>
    <w:rsid w:val="004B4E5B"/>
    <w:rsid w:val="004C3F39"/>
    <w:rsid w:val="004C50F8"/>
    <w:rsid w:val="004C61E3"/>
    <w:rsid w:val="004D0120"/>
    <w:rsid w:val="004D0DDC"/>
    <w:rsid w:val="004D26B3"/>
    <w:rsid w:val="004D35C7"/>
    <w:rsid w:val="004D37E3"/>
    <w:rsid w:val="004E06B8"/>
    <w:rsid w:val="004E0A55"/>
    <w:rsid w:val="004E3D4C"/>
    <w:rsid w:val="004F0A79"/>
    <w:rsid w:val="004F12F5"/>
    <w:rsid w:val="004F2123"/>
    <w:rsid w:val="004F256B"/>
    <w:rsid w:val="004F400F"/>
    <w:rsid w:val="004F4C0A"/>
    <w:rsid w:val="004F52B6"/>
    <w:rsid w:val="004F5FD9"/>
    <w:rsid w:val="005004DC"/>
    <w:rsid w:val="0050174D"/>
    <w:rsid w:val="00504091"/>
    <w:rsid w:val="0051019E"/>
    <w:rsid w:val="0051056F"/>
    <w:rsid w:val="00510CFF"/>
    <w:rsid w:val="005113E8"/>
    <w:rsid w:val="00517DC9"/>
    <w:rsid w:val="00522942"/>
    <w:rsid w:val="00523B11"/>
    <w:rsid w:val="00524AF3"/>
    <w:rsid w:val="00524EC2"/>
    <w:rsid w:val="00525E2D"/>
    <w:rsid w:val="005315C6"/>
    <w:rsid w:val="00532341"/>
    <w:rsid w:val="00533683"/>
    <w:rsid w:val="00534D17"/>
    <w:rsid w:val="00541678"/>
    <w:rsid w:val="00544971"/>
    <w:rsid w:val="00551E32"/>
    <w:rsid w:val="005532C0"/>
    <w:rsid w:val="00553AC4"/>
    <w:rsid w:val="00553BB7"/>
    <w:rsid w:val="0055452C"/>
    <w:rsid w:val="0055632D"/>
    <w:rsid w:val="00556588"/>
    <w:rsid w:val="00560FAF"/>
    <w:rsid w:val="0056132E"/>
    <w:rsid w:val="00562144"/>
    <w:rsid w:val="0056268C"/>
    <w:rsid w:val="00562B3F"/>
    <w:rsid w:val="00563646"/>
    <w:rsid w:val="00563FA3"/>
    <w:rsid w:val="0056495A"/>
    <w:rsid w:val="00565C71"/>
    <w:rsid w:val="005668E3"/>
    <w:rsid w:val="00566DA3"/>
    <w:rsid w:val="005675B1"/>
    <w:rsid w:val="00570F93"/>
    <w:rsid w:val="0057141C"/>
    <w:rsid w:val="00573F6F"/>
    <w:rsid w:val="0057579A"/>
    <w:rsid w:val="005772A0"/>
    <w:rsid w:val="00577A36"/>
    <w:rsid w:val="00577E7C"/>
    <w:rsid w:val="005803B3"/>
    <w:rsid w:val="00582792"/>
    <w:rsid w:val="00582908"/>
    <w:rsid w:val="0058538F"/>
    <w:rsid w:val="00585745"/>
    <w:rsid w:val="00594C4C"/>
    <w:rsid w:val="00595F31"/>
    <w:rsid w:val="005961CE"/>
    <w:rsid w:val="005972B3"/>
    <w:rsid w:val="005A2804"/>
    <w:rsid w:val="005A7368"/>
    <w:rsid w:val="005B1463"/>
    <w:rsid w:val="005B1583"/>
    <w:rsid w:val="005B2497"/>
    <w:rsid w:val="005B2B7E"/>
    <w:rsid w:val="005B3B6F"/>
    <w:rsid w:val="005B3FD8"/>
    <w:rsid w:val="005B53EE"/>
    <w:rsid w:val="005B7880"/>
    <w:rsid w:val="005B793E"/>
    <w:rsid w:val="005B7CAC"/>
    <w:rsid w:val="005B7D2D"/>
    <w:rsid w:val="005C045C"/>
    <w:rsid w:val="005C1D81"/>
    <w:rsid w:val="005C1F8E"/>
    <w:rsid w:val="005C2B1D"/>
    <w:rsid w:val="005C41BC"/>
    <w:rsid w:val="005C5356"/>
    <w:rsid w:val="005C5910"/>
    <w:rsid w:val="005C5CD8"/>
    <w:rsid w:val="005C7788"/>
    <w:rsid w:val="005D0530"/>
    <w:rsid w:val="005D5807"/>
    <w:rsid w:val="005D66CE"/>
    <w:rsid w:val="005D6F40"/>
    <w:rsid w:val="005D77BE"/>
    <w:rsid w:val="005D7EE3"/>
    <w:rsid w:val="005E2925"/>
    <w:rsid w:val="005E4222"/>
    <w:rsid w:val="005E55C2"/>
    <w:rsid w:val="005E7407"/>
    <w:rsid w:val="005F00D2"/>
    <w:rsid w:val="005F2627"/>
    <w:rsid w:val="005F2DB7"/>
    <w:rsid w:val="005F2FF6"/>
    <w:rsid w:val="005F3E0B"/>
    <w:rsid w:val="005F63B8"/>
    <w:rsid w:val="005F7471"/>
    <w:rsid w:val="00602688"/>
    <w:rsid w:val="00604479"/>
    <w:rsid w:val="00604D96"/>
    <w:rsid w:val="00605A66"/>
    <w:rsid w:val="006078EB"/>
    <w:rsid w:val="006106EA"/>
    <w:rsid w:val="00612859"/>
    <w:rsid w:val="006128FE"/>
    <w:rsid w:val="00613491"/>
    <w:rsid w:val="006174DF"/>
    <w:rsid w:val="00623491"/>
    <w:rsid w:val="0062490A"/>
    <w:rsid w:val="00625498"/>
    <w:rsid w:val="006262F7"/>
    <w:rsid w:val="00626DBC"/>
    <w:rsid w:val="0062714A"/>
    <w:rsid w:val="006273A5"/>
    <w:rsid w:val="0063364A"/>
    <w:rsid w:val="00634357"/>
    <w:rsid w:val="00635D53"/>
    <w:rsid w:val="00637677"/>
    <w:rsid w:val="006404DF"/>
    <w:rsid w:val="00640AEA"/>
    <w:rsid w:val="0064278F"/>
    <w:rsid w:val="00645DEF"/>
    <w:rsid w:val="00647F70"/>
    <w:rsid w:val="00654D96"/>
    <w:rsid w:val="00655867"/>
    <w:rsid w:val="0065635C"/>
    <w:rsid w:val="00656B01"/>
    <w:rsid w:val="0065705B"/>
    <w:rsid w:val="0066010F"/>
    <w:rsid w:val="00660DD4"/>
    <w:rsid w:val="00661703"/>
    <w:rsid w:val="00663126"/>
    <w:rsid w:val="00663E67"/>
    <w:rsid w:val="00663E93"/>
    <w:rsid w:val="006646BE"/>
    <w:rsid w:val="006655EA"/>
    <w:rsid w:val="00666236"/>
    <w:rsid w:val="006666D5"/>
    <w:rsid w:val="00672B80"/>
    <w:rsid w:val="00675A29"/>
    <w:rsid w:val="0068126E"/>
    <w:rsid w:val="006820ED"/>
    <w:rsid w:val="006822EF"/>
    <w:rsid w:val="00683DA3"/>
    <w:rsid w:val="00684806"/>
    <w:rsid w:val="00684923"/>
    <w:rsid w:val="0068525D"/>
    <w:rsid w:val="00691EDD"/>
    <w:rsid w:val="006920C5"/>
    <w:rsid w:val="00692C7C"/>
    <w:rsid w:val="00693141"/>
    <w:rsid w:val="00694566"/>
    <w:rsid w:val="006969D0"/>
    <w:rsid w:val="006A3EE7"/>
    <w:rsid w:val="006B0735"/>
    <w:rsid w:val="006B195E"/>
    <w:rsid w:val="006B27AA"/>
    <w:rsid w:val="006B2FCD"/>
    <w:rsid w:val="006B3D90"/>
    <w:rsid w:val="006B4192"/>
    <w:rsid w:val="006B4209"/>
    <w:rsid w:val="006B518D"/>
    <w:rsid w:val="006B60BA"/>
    <w:rsid w:val="006C4234"/>
    <w:rsid w:val="006C6465"/>
    <w:rsid w:val="006C7F8E"/>
    <w:rsid w:val="006D2470"/>
    <w:rsid w:val="006D4181"/>
    <w:rsid w:val="006D799B"/>
    <w:rsid w:val="006E3050"/>
    <w:rsid w:val="006E3245"/>
    <w:rsid w:val="006E3C11"/>
    <w:rsid w:val="006E4CBD"/>
    <w:rsid w:val="006E7FBB"/>
    <w:rsid w:val="006F0F6B"/>
    <w:rsid w:val="006F2239"/>
    <w:rsid w:val="006F29AC"/>
    <w:rsid w:val="006F440D"/>
    <w:rsid w:val="006F53B8"/>
    <w:rsid w:val="006F6FFA"/>
    <w:rsid w:val="007013E3"/>
    <w:rsid w:val="00705A17"/>
    <w:rsid w:val="00705DCA"/>
    <w:rsid w:val="007065D3"/>
    <w:rsid w:val="007124D6"/>
    <w:rsid w:val="00713D9B"/>
    <w:rsid w:val="0071485F"/>
    <w:rsid w:val="00716EE6"/>
    <w:rsid w:val="00716FA5"/>
    <w:rsid w:val="0072445A"/>
    <w:rsid w:val="0072616D"/>
    <w:rsid w:val="00726937"/>
    <w:rsid w:val="00726F7E"/>
    <w:rsid w:val="00727275"/>
    <w:rsid w:val="007302CB"/>
    <w:rsid w:val="00731451"/>
    <w:rsid w:val="00731CDD"/>
    <w:rsid w:val="00732247"/>
    <w:rsid w:val="00734EFC"/>
    <w:rsid w:val="00740691"/>
    <w:rsid w:val="00740A7E"/>
    <w:rsid w:val="00741FED"/>
    <w:rsid w:val="00743F8F"/>
    <w:rsid w:val="00744C99"/>
    <w:rsid w:val="00745342"/>
    <w:rsid w:val="00745A19"/>
    <w:rsid w:val="00745B3E"/>
    <w:rsid w:val="007509C3"/>
    <w:rsid w:val="007510D7"/>
    <w:rsid w:val="00751397"/>
    <w:rsid w:val="00754DBF"/>
    <w:rsid w:val="00755EAF"/>
    <w:rsid w:val="0075747C"/>
    <w:rsid w:val="007579C5"/>
    <w:rsid w:val="00757E17"/>
    <w:rsid w:val="00762269"/>
    <w:rsid w:val="00762732"/>
    <w:rsid w:val="00762837"/>
    <w:rsid w:val="00764CA6"/>
    <w:rsid w:val="0076514E"/>
    <w:rsid w:val="00767C24"/>
    <w:rsid w:val="00770184"/>
    <w:rsid w:val="00771459"/>
    <w:rsid w:val="00775593"/>
    <w:rsid w:val="00775E85"/>
    <w:rsid w:val="00782CBA"/>
    <w:rsid w:val="007855C8"/>
    <w:rsid w:val="0078603A"/>
    <w:rsid w:val="00786C38"/>
    <w:rsid w:val="00787CC5"/>
    <w:rsid w:val="00790D5D"/>
    <w:rsid w:val="00790D90"/>
    <w:rsid w:val="00793437"/>
    <w:rsid w:val="0079383D"/>
    <w:rsid w:val="007939A2"/>
    <w:rsid w:val="007941A3"/>
    <w:rsid w:val="007958A6"/>
    <w:rsid w:val="007A08F8"/>
    <w:rsid w:val="007A2DA7"/>
    <w:rsid w:val="007A3592"/>
    <w:rsid w:val="007B0F51"/>
    <w:rsid w:val="007B1FE1"/>
    <w:rsid w:val="007C122C"/>
    <w:rsid w:val="007C4364"/>
    <w:rsid w:val="007C5E06"/>
    <w:rsid w:val="007C5FE3"/>
    <w:rsid w:val="007C65B0"/>
    <w:rsid w:val="007C75C5"/>
    <w:rsid w:val="007D00FF"/>
    <w:rsid w:val="007D1FAB"/>
    <w:rsid w:val="007D306E"/>
    <w:rsid w:val="007D342F"/>
    <w:rsid w:val="007D40F2"/>
    <w:rsid w:val="007D5BAA"/>
    <w:rsid w:val="007E1CC6"/>
    <w:rsid w:val="007E5769"/>
    <w:rsid w:val="007E65CE"/>
    <w:rsid w:val="007E7AE5"/>
    <w:rsid w:val="007F00AA"/>
    <w:rsid w:val="007F065F"/>
    <w:rsid w:val="007F3797"/>
    <w:rsid w:val="007F3AFC"/>
    <w:rsid w:val="007F3F6C"/>
    <w:rsid w:val="007F69BF"/>
    <w:rsid w:val="007F7766"/>
    <w:rsid w:val="008001A0"/>
    <w:rsid w:val="0080031E"/>
    <w:rsid w:val="00800D3D"/>
    <w:rsid w:val="00801D47"/>
    <w:rsid w:val="00803A1E"/>
    <w:rsid w:val="00803DE0"/>
    <w:rsid w:val="008054C9"/>
    <w:rsid w:val="00805C79"/>
    <w:rsid w:val="0081024D"/>
    <w:rsid w:val="00815136"/>
    <w:rsid w:val="00817227"/>
    <w:rsid w:val="008176FB"/>
    <w:rsid w:val="00820C54"/>
    <w:rsid w:val="00820C8E"/>
    <w:rsid w:val="008235B0"/>
    <w:rsid w:val="00824080"/>
    <w:rsid w:val="00825B7E"/>
    <w:rsid w:val="00825E9F"/>
    <w:rsid w:val="0082639E"/>
    <w:rsid w:val="008263CB"/>
    <w:rsid w:val="00827CB7"/>
    <w:rsid w:val="0083052B"/>
    <w:rsid w:val="00831D27"/>
    <w:rsid w:val="00831FCB"/>
    <w:rsid w:val="00832141"/>
    <w:rsid w:val="00832680"/>
    <w:rsid w:val="00833082"/>
    <w:rsid w:val="00834FC8"/>
    <w:rsid w:val="00836A70"/>
    <w:rsid w:val="00836DCE"/>
    <w:rsid w:val="008371DE"/>
    <w:rsid w:val="00840929"/>
    <w:rsid w:val="00841B82"/>
    <w:rsid w:val="00845739"/>
    <w:rsid w:val="00847DAA"/>
    <w:rsid w:val="00854DFB"/>
    <w:rsid w:val="008551FF"/>
    <w:rsid w:val="00857363"/>
    <w:rsid w:val="00860081"/>
    <w:rsid w:val="0086065C"/>
    <w:rsid w:val="00862E74"/>
    <w:rsid w:val="00863651"/>
    <w:rsid w:val="00864529"/>
    <w:rsid w:val="0086531B"/>
    <w:rsid w:val="00870FD0"/>
    <w:rsid w:val="00871F91"/>
    <w:rsid w:val="00873FEE"/>
    <w:rsid w:val="008769BE"/>
    <w:rsid w:val="00877F63"/>
    <w:rsid w:val="00881084"/>
    <w:rsid w:val="00882DBF"/>
    <w:rsid w:val="00883798"/>
    <w:rsid w:val="008845E0"/>
    <w:rsid w:val="00885DC3"/>
    <w:rsid w:val="0088676A"/>
    <w:rsid w:val="00893ACE"/>
    <w:rsid w:val="00894E02"/>
    <w:rsid w:val="00895785"/>
    <w:rsid w:val="008A0573"/>
    <w:rsid w:val="008A09AF"/>
    <w:rsid w:val="008A57DC"/>
    <w:rsid w:val="008A5B69"/>
    <w:rsid w:val="008A7BB2"/>
    <w:rsid w:val="008B5DF5"/>
    <w:rsid w:val="008B6B47"/>
    <w:rsid w:val="008B765C"/>
    <w:rsid w:val="008C162F"/>
    <w:rsid w:val="008C3B2C"/>
    <w:rsid w:val="008C4268"/>
    <w:rsid w:val="008C6CA3"/>
    <w:rsid w:val="008D1BCE"/>
    <w:rsid w:val="008D3638"/>
    <w:rsid w:val="008D727C"/>
    <w:rsid w:val="008E0778"/>
    <w:rsid w:val="008E0CF9"/>
    <w:rsid w:val="008E1C45"/>
    <w:rsid w:val="008E40FA"/>
    <w:rsid w:val="008E4A38"/>
    <w:rsid w:val="008E5E5C"/>
    <w:rsid w:val="008E716C"/>
    <w:rsid w:val="008E77CA"/>
    <w:rsid w:val="008F168D"/>
    <w:rsid w:val="008F1E58"/>
    <w:rsid w:val="008F2265"/>
    <w:rsid w:val="008F3C8A"/>
    <w:rsid w:val="008F4820"/>
    <w:rsid w:val="008F5453"/>
    <w:rsid w:val="008F5C5B"/>
    <w:rsid w:val="008F6E0E"/>
    <w:rsid w:val="00900E99"/>
    <w:rsid w:val="00902E1C"/>
    <w:rsid w:val="009042D8"/>
    <w:rsid w:val="00904B52"/>
    <w:rsid w:val="00904E52"/>
    <w:rsid w:val="00906045"/>
    <w:rsid w:val="00906A1E"/>
    <w:rsid w:val="00907E10"/>
    <w:rsid w:val="00910D02"/>
    <w:rsid w:val="00911A33"/>
    <w:rsid w:val="00912A4B"/>
    <w:rsid w:val="00916962"/>
    <w:rsid w:val="009170DC"/>
    <w:rsid w:val="00923D40"/>
    <w:rsid w:val="009253BE"/>
    <w:rsid w:val="00925B1C"/>
    <w:rsid w:val="00930B17"/>
    <w:rsid w:val="00931027"/>
    <w:rsid w:val="00933C04"/>
    <w:rsid w:val="009350CB"/>
    <w:rsid w:val="00936E97"/>
    <w:rsid w:val="009375E3"/>
    <w:rsid w:val="00940EA0"/>
    <w:rsid w:val="0094384B"/>
    <w:rsid w:val="00943F13"/>
    <w:rsid w:val="00944D49"/>
    <w:rsid w:val="009452D6"/>
    <w:rsid w:val="00946771"/>
    <w:rsid w:val="00946B10"/>
    <w:rsid w:val="00947F7E"/>
    <w:rsid w:val="00952DF5"/>
    <w:rsid w:val="009530F8"/>
    <w:rsid w:val="00953FAD"/>
    <w:rsid w:val="0095427D"/>
    <w:rsid w:val="009676D2"/>
    <w:rsid w:val="0097326B"/>
    <w:rsid w:val="0098075F"/>
    <w:rsid w:val="00980F21"/>
    <w:rsid w:val="00982A5F"/>
    <w:rsid w:val="00984D49"/>
    <w:rsid w:val="009860D9"/>
    <w:rsid w:val="009863F6"/>
    <w:rsid w:val="00986677"/>
    <w:rsid w:val="00991351"/>
    <w:rsid w:val="00991F6B"/>
    <w:rsid w:val="00992F5F"/>
    <w:rsid w:val="009945FF"/>
    <w:rsid w:val="009959AE"/>
    <w:rsid w:val="00995B37"/>
    <w:rsid w:val="009A0DE7"/>
    <w:rsid w:val="009A12E9"/>
    <w:rsid w:val="009A14C6"/>
    <w:rsid w:val="009A2B01"/>
    <w:rsid w:val="009A305C"/>
    <w:rsid w:val="009A4382"/>
    <w:rsid w:val="009A50EF"/>
    <w:rsid w:val="009A5915"/>
    <w:rsid w:val="009A745C"/>
    <w:rsid w:val="009B1EA7"/>
    <w:rsid w:val="009B6746"/>
    <w:rsid w:val="009B73F5"/>
    <w:rsid w:val="009B7432"/>
    <w:rsid w:val="009C11C3"/>
    <w:rsid w:val="009C18E0"/>
    <w:rsid w:val="009C3118"/>
    <w:rsid w:val="009C40B6"/>
    <w:rsid w:val="009C5156"/>
    <w:rsid w:val="009C6A4F"/>
    <w:rsid w:val="009D07E6"/>
    <w:rsid w:val="009D1859"/>
    <w:rsid w:val="009D2653"/>
    <w:rsid w:val="009D36EE"/>
    <w:rsid w:val="009D3837"/>
    <w:rsid w:val="009D5D04"/>
    <w:rsid w:val="009D5D9C"/>
    <w:rsid w:val="009D7355"/>
    <w:rsid w:val="009D7E9E"/>
    <w:rsid w:val="009E0BEC"/>
    <w:rsid w:val="009E18AA"/>
    <w:rsid w:val="009E3E02"/>
    <w:rsid w:val="009E4633"/>
    <w:rsid w:val="009E4F69"/>
    <w:rsid w:val="009F070D"/>
    <w:rsid w:val="009F3773"/>
    <w:rsid w:val="009F6C4D"/>
    <w:rsid w:val="009F785F"/>
    <w:rsid w:val="00A00873"/>
    <w:rsid w:val="00A02F00"/>
    <w:rsid w:val="00A02F3B"/>
    <w:rsid w:val="00A079BD"/>
    <w:rsid w:val="00A115AA"/>
    <w:rsid w:val="00A144A8"/>
    <w:rsid w:val="00A1628F"/>
    <w:rsid w:val="00A165C4"/>
    <w:rsid w:val="00A2256D"/>
    <w:rsid w:val="00A23134"/>
    <w:rsid w:val="00A242F4"/>
    <w:rsid w:val="00A300F0"/>
    <w:rsid w:val="00A32040"/>
    <w:rsid w:val="00A32773"/>
    <w:rsid w:val="00A336E6"/>
    <w:rsid w:val="00A37BAD"/>
    <w:rsid w:val="00A407EE"/>
    <w:rsid w:val="00A40EC5"/>
    <w:rsid w:val="00A42BF9"/>
    <w:rsid w:val="00A46CE2"/>
    <w:rsid w:val="00A47B8A"/>
    <w:rsid w:val="00A5025E"/>
    <w:rsid w:val="00A5034D"/>
    <w:rsid w:val="00A509DE"/>
    <w:rsid w:val="00A516CC"/>
    <w:rsid w:val="00A53B7C"/>
    <w:rsid w:val="00A54511"/>
    <w:rsid w:val="00A5776B"/>
    <w:rsid w:val="00A62435"/>
    <w:rsid w:val="00A64D63"/>
    <w:rsid w:val="00A656F1"/>
    <w:rsid w:val="00A70918"/>
    <w:rsid w:val="00A70F63"/>
    <w:rsid w:val="00A71971"/>
    <w:rsid w:val="00A75CBB"/>
    <w:rsid w:val="00A771A5"/>
    <w:rsid w:val="00A8064C"/>
    <w:rsid w:val="00A80843"/>
    <w:rsid w:val="00A810E9"/>
    <w:rsid w:val="00A81EBF"/>
    <w:rsid w:val="00A822FA"/>
    <w:rsid w:val="00A83587"/>
    <w:rsid w:val="00A836B8"/>
    <w:rsid w:val="00A83E4F"/>
    <w:rsid w:val="00A841F4"/>
    <w:rsid w:val="00A85791"/>
    <w:rsid w:val="00A85B31"/>
    <w:rsid w:val="00A860B0"/>
    <w:rsid w:val="00A860F0"/>
    <w:rsid w:val="00A87586"/>
    <w:rsid w:val="00A9142B"/>
    <w:rsid w:val="00A95286"/>
    <w:rsid w:val="00A95385"/>
    <w:rsid w:val="00A97865"/>
    <w:rsid w:val="00AA14D5"/>
    <w:rsid w:val="00AA1C51"/>
    <w:rsid w:val="00AA7185"/>
    <w:rsid w:val="00AB021E"/>
    <w:rsid w:val="00AB0F50"/>
    <w:rsid w:val="00AB2C36"/>
    <w:rsid w:val="00AB33B8"/>
    <w:rsid w:val="00AB4692"/>
    <w:rsid w:val="00AB6176"/>
    <w:rsid w:val="00AB663D"/>
    <w:rsid w:val="00AB7D55"/>
    <w:rsid w:val="00AC38DE"/>
    <w:rsid w:val="00AC475A"/>
    <w:rsid w:val="00AC4BC5"/>
    <w:rsid w:val="00AD0976"/>
    <w:rsid w:val="00AD2920"/>
    <w:rsid w:val="00AD2D6F"/>
    <w:rsid w:val="00AD3A6D"/>
    <w:rsid w:val="00AD585B"/>
    <w:rsid w:val="00AD607E"/>
    <w:rsid w:val="00AD78F1"/>
    <w:rsid w:val="00AE0325"/>
    <w:rsid w:val="00AE0F08"/>
    <w:rsid w:val="00AE23F3"/>
    <w:rsid w:val="00AE25EC"/>
    <w:rsid w:val="00AE4902"/>
    <w:rsid w:val="00AE62B1"/>
    <w:rsid w:val="00AE65E3"/>
    <w:rsid w:val="00AF146B"/>
    <w:rsid w:val="00AF4743"/>
    <w:rsid w:val="00B04938"/>
    <w:rsid w:val="00B04939"/>
    <w:rsid w:val="00B1018C"/>
    <w:rsid w:val="00B10520"/>
    <w:rsid w:val="00B14E91"/>
    <w:rsid w:val="00B16F9C"/>
    <w:rsid w:val="00B212D4"/>
    <w:rsid w:val="00B21765"/>
    <w:rsid w:val="00B24655"/>
    <w:rsid w:val="00B2644D"/>
    <w:rsid w:val="00B302C1"/>
    <w:rsid w:val="00B3265D"/>
    <w:rsid w:val="00B355DE"/>
    <w:rsid w:val="00B35A43"/>
    <w:rsid w:val="00B36686"/>
    <w:rsid w:val="00B37AF8"/>
    <w:rsid w:val="00B37BA9"/>
    <w:rsid w:val="00B40C36"/>
    <w:rsid w:val="00B4382A"/>
    <w:rsid w:val="00B43969"/>
    <w:rsid w:val="00B45940"/>
    <w:rsid w:val="00B5133F"/>
    <w:rsid w:val="00B531DE"/>
    <w:rsid w:val="00B57080"/>
    <w:rsid w:val="00B57255"/>
    <w:rsid w:val="00B60451"/>
    <w:rsid w:val="00B648DA"/>
    <w:rsid w:val="00B65613"/>
    <w:rsid w:val="00B6619E"/>
    <w:rsid w:val="00B6795A"/>
    <w:rsid w:val="00B70549"/>
    <w:rsid w:val="00B75373"/>
    <w:rsid w:val="00B7788C"/>
    <w:rsid w:val="00B80F9F"/>
    <w:rsid w:val="00B81C45"/>
    <w:rsid w:val="00B843AA"/>
    <w:rsid w:val="00B85636"/>
    <w:rsid w:val="00B86BCA"/>
    <w:rsid w:val="00B90317"/>
    <w:rsid w:val="00B92206"/>
    <w:rsid w:val="00B92733"/>
    <w:rsid w:val="00B9299A"/>
    <w:rsid w:val="00B92F77"/>
    <w:rsid w:val="00B949AC"/>
    <w:rsid w:val="00B94FB3"/>
    <w:rsid w:val="00B9582D"/>
    <w:rsid w:val="00B97C4D"/>
    <w:rsid w:val="00BA0892"/>
    <w:rsid w:val="00BA0BB6"/>
    <w:rsid w:val="00BA0E2E"/>
    <w:rsid w:val="00BA1E9C"/>
    <w:rsid w:val="00BA396E"/>
    <w:rsid w:val="00BA71A6"/>
    <w:rsid w:val="00BB0691"/>
    <w:rsid w:val="00BB2D35"/>
    <w:rsid w:val="00BB4571"/>
    <w:rsid w:val="00BB6BD1"/>
    <w:rsid w:val="00BB7251"/>
    <w:rsid w:val="00BC03D8"/>
    <w:rsid w:val="00BC08A6"/>
    <w:rsid w:val="00BC1DAB"/>
    <w:rsid w:val="00BC4075"/>
    <w:rsid w:val="00BC436A"/>
    <w:rsid w:val="00BC71FE"/>
    <w:rsid w:val="00BD01CB"/>
    <w:rsid w:val="00BD164E"/>
    <w:rsid w:val="00BD1C71"/>
    <w:rsid w:val="00BD3E85"/>
    <w:rsid w:val="00BD492F"/>
    <w:rsid w:val="00BD6BF3"/>
    <w:rsid w:val="00BD736E"/>
    <w:rsid w:val="00BE0D84"/>
    <w:rsid w:val="00BE13F3"/>
    <w:rsid w:val="00BE1E5A"/>
    <w:rsid w:val="00BE4F0E"/>
    <w:rsid w:val="00BE50D0"/>
    <w:rsid w:val="00BE57CF"/>
    <w:rsid w:val="00BE7548"/>
    <w:rsid w:val="00BF108C"/>
    <w:rsid w:val="00BF24F0"/>
    <w:rsid w:val="00BF35AD"/>
    <w:rsid w:val="00BF3E50"/>
    <w:rsid w:val="00BF6B08"/>
    <w:rsid w:val="00BF7920"/>
    <w:rsid w:val="00C028A6"/>
    <w:rsid w:val="00C03DA3"/>
    <w:rsid w:val="00C05136"/>
    <w:rsid w:val="00C05291"/>
    <w:rsid w:val="00C10606"/>
    <w:rsid w:val="00C11EA2"/>
    <w:rsid w:val="00C124B3"/>
    <w:rsid w:val="00C138CA"/>
    <w:rsid w:val="00C14501"/>
    <w:rsid w:val="00C17F66"/>
    <w:rsid w:val="00C204D2"/>
    <w:rsid w:val="00C21EB9"/>
    <w:rsid w:val="00C21F0E"/>
    <w:rsid w:val="00C22C0A"/>
    <w:rsid w:val="00C26AE2"/>
    <w:rsid w:val="00C27C84"/>
    <w:rsid w:val="00C31A75"/>
    <w:rsid w:val="00C31EB3"/>
    <w:rsid w:val="00C33D48"/>
    <w:rsid w:val="00C33E33"/>
    <w:rsid w:val="00C36E6D"/>
    <w:rsid w:val="00C43933"/>
    <w:rsid w:val="00C45CE0"/>
    <w:rsid w:val="00C46B48"/>
    <w:rsid w:val="00C506E5"/>
    <w:rsid w:val="00C50DDF"/>
    <w:rsid w:val="00C51EB4"/>
    <w:rsid w:val="00C52567"/>
    <w:rsid w:val="00C52626"/>
    <w:rsid w:val="00C623E3"/>
    <w:rsid w:val="00C62871"/>
    <w:rsid w:val="00C62B23"/>
    <w:rsid w:val="00C63110"/>
    <w:rsid w:val="00C6324A"/>
    <w:rsid w:val="00C656DB"/>
    <w:rsid w:val="00C66DD9"/>
    <w:rsid w:val="00C67849"/>
    <w:rsid w:val="00C70801"/>
    <w:rsid w:val="00C708B7"/>
    <w:rsid w:val="00C70DB1"/>
    <w:rsid w:val="00C70EE3"/>
    <w:rsid w:val="00C729AC"/>
    <w:rsid w:val="00C72DA4"/>
    <w:rsid w:val="00C73D0D"/>
    <w:rsid w:val="00C7420F"/>
    <w:rsid w:val="00C744DB"/>
    <w:rsid w:val="00C839AF"/>
    <w:rsid w:val="00C874F7"/>
    <w:rsid w:val="00C903D2"/>
    <w:rsid w:val="00C90660"/>
    <w:rsid w:val="00C90E94"/>
    <w:rsid w:val="00C92CA2"/>
    <w:rsid w:val="00C96B8F"/>
    <w:rsid w:val="00C96FE6"/>
    <w:rsid w:val="00CA1AA2"/>
    <w:rsid w:val="00CA208A"/>
    <w:rsid w:val="00CA5E91"/>
    <w:rsid w:val="00CA6200"/>
    <w:rsid w:val="00CA7865"/>
    <w:rsid w:val="00CB0DC7"/>
    <w:rsid w:val="00CB1302"/>
    <w:rsid w:val="00CB55FE"/>
    <w:rsid w:val="00CB58EA"/>
    <w:rsid w:val="00CB681D"/>
    <w:rsid w:val="00CB69AB"/>
    <w:rsid w:val="00CB72F9"/>
    <w:rsid w:val="00CC264C"/>
    <w:rsid w:val="00CC3931"/>
    <w:rsid w:val="00CD1167"/>
    <w:rsid w:val="00CD1B28"/>
    <w:rsid w:val="00CD446E"/>
    <w:rsid w:val="00CD48AB"/>
    <w:rsid w:val="00CD4EE3"/>
    <w:rsid w:val="00CD4FCC"/>
    <w:rsid w:val="00CD51EB"/>
    <w:rsid w:val="00CD5905"/>
    <w:rsid w:val="00CD7542"/>
    <w:rsid w:val="00CD7BB6"/>
    <w:rsid w:val="00CE2903"/>
    <w:rsid w:val="00CE2F7A"/>
    <w:rsid w:val="00CE5A1A"/>
    <w:rsid w:val="00CF13F4"/>
    <w:rsid w:val="00CF2F7E"/>
    <w:rsid w:val="00CF35AE"/>
    <w:rsid w:val="00CF38B8"/>
    <w:rsid w:val="00CF479D"/>
    <w:rsid w:val="00CF5358"/>
    <w:rsid w:val="00CF7E52"/>
    <w:rsid w:val="00D05495"/>
    <w:rsid w:val="00D06452"/>
    <w:rsid w:val="00D06AE1"/>
    <w:rsid w:val="00D07F69"/>
    <w:rsid w:val="00D11249"/>
    <w:rsid w:val="00D113D1"/>
    <w:rsid w:val="00D127EF"/>
    <w:rsid w:val="00D132D1"/>
    <w:rsid w:val="00D1438F"/>
    <w:rsid w:val="00D153E5"/>
    <w:rsid w:val="00D15E1A"/>
    <w:rsid w:val="00D16538"/>
    <w:rsid w:val="00D16E8E"/>
    <w:rsid w:val="00D24ABF"/>
    <w:rsid w:val="00D25A1F"/>
    <w:rsid w:val="00D26B3F"/>
    <w:rsid w:val="00D27767"/>
    <w:rsid w:val="00D30466"/>
    <w:rsid w:val="00D314D9"/>
    <w:rsid w:val="00D354CA"/>
    <w:rsid w:val="00D365E8"/>
    <w:rsid w:val="00D371A1"/>
    <w:rsid w:val="00D40CE1"/>
    <w:rsid w:val="00D4674C"/>
    <w:rsid w:val="00D52186"/>
    <w:rsid w:val="00D52549"/>
    <w:rsid w:val="00D54478"/>
    <w:rsid w:val="00D55FDB"/>
    <w:rsid w:val="00D603DE"/>
    <w:rsid w:val="00D60A0D"/>
    <w:rsid w:val="00D60BEB"/>
    <w:rsid w:val="00D619C0"/>
    <w:rsid w:val="00D61F25"/>
    <w:rsid w:val="00D62BDE"/>
    <w:rsid w:val="00D63009"/>
    <w:rsid w:val="00D63D26"/>
    <w:rsid w:val="00D65715"/>
    <w:rsid w:val="00D66A8A"/>
    <w:rsid w:val="00D70066"/>
    <w:rsid w:val="00D71919"/>
    <w:rsid w:val="00D736B4"/>
    <w:rsid w:val="00D75141"/>
    <w:rsid w:val="00D75C2D"/>
    <w:rsid w:val="00D76614"/>
    <w:rsid w:val="00D7760C"/>
    <w:rsid w:val="00D801D3"/>
    <w:rsid w:val="00D80351"/>
    <w:rsid w:val="00D81FF8"/>
    <w:rsid w:val="00D84316"/>
    <w:rsid w:val="00D872B6"/>
    <w:rsid w:val="00D9066D"/>
    <w:rsid w:val="00D9111F"/>
    <w:rsid w:val="00D93FD9"/>
    <w:rsid w:val="00D94B2B"/>
    <w:rsid w:val="00DA29EE"/>
    <w:rsid w:val="00DA41B6"/>
    <w:rsid w:val="00DA6B89"/>
    <w:rsid w:val="00DA6FDF"/>
    <w:rsid w:val="00DB0A16"/>
    <w:rsid w:val="00DB19AA"/>
    <w:rsid w:val="00DB32B0"/>
    <w:rsid w:val="00DB41FA"/>
    <w:rsid w:val="00DC1CF6"/>
    <w:rsid w:val="00DC1FBB"/>
    <w:rsid w:val="00DC2D09"/>
    <w:rsid w:val="00DC5D79"/>
    <w:rsid w:val="00DC6A77"/>
    <w:rsid w:val="00DC7403"/>
    <w:rsid w:val="00DC7A30"/>
    <w:rsid w:val="00DD071E"/>
    <w:rsid w:val="00DD0EDD"/>
    <w:rsid w:val="00DD1D2D"/>
    <w:rsid w:val="00DD1DEC"/>
    <w:rsid w:val="00DD281B"/>
    <w:rsid w:val="00DD5C66"/>
    <w:rsid w:val="00DD6900"/>
    <w:rsid w:val="00DD7A28"/>
    <w:rsid w:val="00DD7F2F"/>
    <w:rsid w:val="00DE0434"/>
    <w:rsid w:val="00DE0D0B"/>
    <w:rsid w:val="00DE0FD9"/>
    <w:rsid w:val="00DE13CA"/>
    <w:rsid w:val="00DE661C"/>
    <w:rsid w:val="00DE67D9"/>
    <w:rsid w:val="00DE691A"/>
    <w:rsid w:val="00DE7BF5"/>
    <w:rsid w:val="00DF09C3"/>
    <w:rsid w:val="00DF1E6E"/>
    <w:rsid w:val="00DF6F22"/>
    <w:rsid w:val="00DF753A"/>
    <w:rsid w:val="00E02001"/>
    <w:rsid w:val="00E02049"/>
    <w:rsid w:val="00E03BF6"/>
    <w:rsid w:val="00E04C20"/>
    <w:rsid w:val="00E05C69"/>
    <w:rsid w:val="00E0664F"/>
    <w:rsid w:val="00E072B2"/>
    <w:rsid w:val="00E20556"/>
    <w:rsid w:val="00E209BF"/>
    <w:rsid w:val="00E20BF8"/>
    <w:rsid w:val="00E213D7"/>
    <w:rsid w:val="00E225AA"/>
    <w:rsid w:val="00E225AB"/>
    <w:rsid w:val="00E22A47"/>
    <w:rsid w:val="00E24E2D"/>
    <w:rsid w:val="00E251DE"/>
    <w:rsid w:val="00E26BC0"/>
    <w:rsid w:val="00E26CE4"/>
    <w:rsid w:val="00E3099C"/>
    <w:rsid w:val="00E33BAD"/>
    <w:rsid w:val="00E41E1A"/>
    <w:rsid w:val="00E4796E"/>
    <w:rsid w:val="00E51CD8"/>
    <w:rsid w:val="00E5208B"/>
    <w:rsid w:val="00E5390C"/>
    <w:rsid w:val="00E53BB8"/>
    <w:rsid w:val="00E541DB"/>
    <w:rsid w:val="00E54C30"/>
    <w:rsid w:val="00E5562B"/>
    <w:rsid w:val="00E57E2B"/>
    <w:rsid w:val="00E60AC8"/>
    <w:rsid w:val="00E64F5B"/>
    <w:rsid w:val="00E64F9A"/>
    <w:rsid w:val="00E7258E"/>
    <w:rsid w:val="00E74978"/>
    <w:rsid w:val="00E80C8A"/>
    <w:rsid w:val="00E81109"/>
    <w:rsid w:val="00E8122A"/>
    <w:rsid w:val="00E8309F"/>
    <w:rsid w:val="00E856E8"/>
    <w:rsid w:val="00E86AE5"/>
    <w:rsid w:val="00E912D6"/>
    <w:rsid w:val="00E9261F"/>
    <w:rsid w:val="00E95A33"/>
    <w:rsid w:val="00E9663C"/>
    <w:rsid w:val="00EA0322"/>
    <w:rsid w:val="00EA1BD8"/>
    <w:rsid w:val="00EA230A"/>
    <w:rsid w:val="00EA31CB"/>
    <w:rsid w:val="00EA598A"/>
    <w:rsid w:val="00EA5C04"/>
    <w:rsid w:val="00EB29CD"/>
    <w:rsid w:val="00EB3F3A"/>
    <w:rsid w:val="00EB5C9B"/>
    <w:rsid w:val="00EB66C7"/>
    <w:rsid w:val="00EB77E5"/>
    <w:rsid w:val="00EC0117"/>
    <w:rsid w:val="00EC13AF"/>
    <w:rsid w:val="00EC6FD9"/>
    <w:rsid w:val="00EC76DD"/>
    <w:rsid w:val="00ED0F4D"/>
    <w:rsid w:val="00ED161B"/>
    <w:rsid w:val="00ED1A0D"/>
    <w:rsid w:val="00ED4ACE"/>
    <w:rsid w:val="00ED6AAA"/>
    <w:rsid w:val="00EE1202"/>
    <w:rsid w:val="00EE31EF"/>
    <w:rsid w:val="00EE5CBE"/>
    <w:rsid w:val="00EE669A"/>
    <w:rsid w:val="00EE6725"/>
    <w:rsid w:val="00EE6C7B"/>
    <w:rsid w:val="00EE7201"/>
    <w:rsid w:val="00EF22B8"/>
    <w:rsid w:val="00EF254C"/>
    <w:rsid w:val="00EF34BA"/>
    <w:rsid w:val="00EF3AC5"/>
    <w:rsid w:val="00EF46D5"/>
    <w:rsid w:val="00EF5446"/>
    <w:rsid w:val="00EF676B"/>
    <w:rsid w:val="00EF68D4"/>
    <w:rsid w:val="00EF68DF"/>
    <w:rsid w:val="00F01328"/>
    <w:rsid w:val="00F03D7E"/>
    <w:rsid w:val="00F04013"/>
    <w:rsid w:val="00F048E7"/>
    <w:rsid w:val="00F05814"/>
    <w:rsid w:val="00F06C69"/>
    <w:rsid w:val="00F07108"/>
    <w:rsid w:val="00F1280D"/>
    <w:rsid w:val="00F1305E"/>
    <w:rsid w:val="00F15860"/>
    <w:rsid w:val="00F17594"/>
    <w:rsid w:val="00F17A67"/>
    <w:rsid w:val="00F2035D"/>
    <w:rsid w:val="00F2267B"/>
    <w:rsid w:val="00F252F1"/>
    <w:rsid w:val="00F31DE9"/>
    <w:rsid w:val="00F33F02"/>
    <w:rsid w:val="00F348CD"/>
    <w:rsid w:val="00F35A2E"/>
    <w:rsid w:val="00F37288"/>
    <w:rsid w:val="00F37A1B"/>
    <w:rsid w:val="00F37F76"/>
    <w:rsid w:val="00F413AB"/>
    <w:rsid w:val="00F44B34"/>
    <w:rsid w:val="00F459D1"/>
    <w:rsid w:val="00F466E4"/>
    <w:rsid w:val="00F52887"/>
    <w:rsid w:val="00F54F7D"/>
    <w:rsid w:val="00F55260"/>
    <w:rsid w:val="00F6677B"/>
    <w:rsid w:val="00F7086C"/>
    <w:rsid w:val="00F70B68"/>
    <w:rsid w:val="00F716B6"/>
    <w:rsid w:val="00F72740"/>
    <w:rsid w:val="00F728BE"/>
    <w:rsid w:val="00F72E3D"/>
    <w:rsid w:val="00F73463"/>
    <w:rsid w:val="00F73BCC"/>
    <w:rsid w:val="00F75D9C"/>
    <w:rsid w:val="00F75F10"/>
    <w:rsid w:val="00F7660D"/>
    <w:rsid w:val="00F7707D"/>
    <w:rsid w:val="00F82344"/>
    <w:rsid w:val="00F86137"/>
    <w:rsid w:val="00F87462"/>
    <w:rsid w:val="00F87B25"/>
    <w:rsid w:val="00F87FCB"/>
    <w:rsid w:val="00F912B5"/>
    <w:rsid w:val="00F92A90"/>
    <w:rsid w:val="00F92D95"/>
    <w:rsid w:val="00F931CE"/>
    <w:rsid w:val="00F94BC5"/>
    <w:rsid w:val="00F95229"/>
    <w:rsid w:val="00FA1136"/>
    <w:rsid w:val="00FA18E2"/>
    <w:rsid w:val="00FA5B4C"/>
    <w:rsid w:val="00FA64DD"/>
    <w:rsid w:val="00FA79D7"/>
    <w:rsid w:val="00FB0BAD"/>
    <w:rsid w:val="00FB14F3"/>
    <w:rsid w:val="00FB3E68"/>
    <w:rsid w:val="00FB422A"/>
    <w:rsid w:val="00FC0BDF"/>
    <w:rsid w:val="00FC1C58"/>
    <w:rsid w:val="00FC1F92"/>
    <w:rsid w:val="00FC3109"/>
    <w:rsid w:val="00FC439D"/>
    <w:rsid w:val="00FD09CB"/>
    <w:rsid w:val="00FD1B0B"/>
    <w:rsid w:val="00FD2328"/>
    <w:rsid w:val="00FD37CB"/>
    <w:rsid w:val="00FD3807"/>
    <w:rsid w:val="00FD41B4"/>
    <w:rsid w:val="00FD540F"/>
    <w:rsid w:val="00FE2202"/>
    <w:rsid w:val="00FE300D"/>
    <w:rsid w:val="00FE33B2"/>
    <w:rsid w:val="00FE3B31"/>
    <w:rsid w:val="00FF0236"/>
    <w:rsid w:val="00FF0B12"/>
    <w:rsid w:val="00FF25C2"/>
    <w:rsid w:val="00FF34A3"/>
    <w:rsid w:val="00FF444B"/>
    <w:rsid w:val="00FF5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FE33A0"/>
  <w14:defaultImageDpi w14:val="0"/>
  <w15:docId w15:val="{57C0BCC8-A6D0-4DDD-9FE9-E6DD3F08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u-RU" w:eastAsia="ru-RU"/>
    </w:rPr>
  </w:style>
  <w:style w:type="paragraph" w:styleId="Heading1">
    <w:name w:val="heading 1"/>
    <w:basedOn w:val="Normal"/>
    <w:next w:val="Normal"/>
    <w:link w:val="Heading1Char"/>
    <w:uiPriority w:val="9"/>
    <w:qFormat/>
    <w:rsid w:val="009C40B6"/>
    <w:pPr>
      <w:keepNext/>
      <w:keepLines/>
      <w:spacing w:before="240" w:after="0"/>
      <w:outlineLvl w:val="0"/>
    </w:pPr>
    <w:rPr>
      <w:rFonts w:ascii="Times New Roman" w:eastAsiaTheme="majorEastAsia" w:hAnsi="Times New Roman" w:cstheme="majorBidi"/>
      <w:sz w:val="28"/>
      <w:szCs w:val="32"/>
      <w:lang w:eastAsia="en-US"/>
    </w:rPr>
  </w:style>
  <w:style w:type="paragraph" w:styleId="Heading2">
    <w:name w:val="heading 2"/>
    <w:basedOn w:val="Normal"/>
    <w:next w:val="Normal"/>
    <w:link w:val="Heading2Char"/>
    <w:uiPriority w:val="9"/>
    <w:semiHidden/>
    <w:unhideWhenUsed/>
    <w:qFormat/>
    <w:rsid w:val="009C40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9E"/>
    <w:pPr>
      <w:tabs>
        <w:tab w:val="center" w:pos="4677"/>
        <w:tab w:val="right" w:pos="9355"/>
      </w:tabs>
    </w:pPr>
  </w:style>
  <w:style w:type="character" w:customStyle="1" w:styleId="HeaderChar">
    <w:name w:val="Header Char"/>
    <w:basedOn w:val="DefaultParagraphFont"/>
    <w:link w:val="Header"/>
    <w:uiPriority w:val="99"/>
    <w:locked/>
    <w:rsid w:val="001B4E9E"/>
    <w:rPr>
      <w:rFonts w:cs="Times New Roman"/>
    </w:rPr>
  </w:style>
  <w:style w:type="paragraph" w:styleId="Footer">
    <w:name w:val="footer"/>
    <w:basedOn w:val="Normal"/>
    <w:link w:val="FooterChar"/>
    <w:uiPriority w:val="99"/>
    <w:unhideWhenUsed/>
    <w:rsid w:val="001B4E9E"/>
    <w:pPr>
      <w:tabs>
        <w:tab w:val="center" w:pos="4677"/>
        <w:tab w:val="right" w:pos="9355"/>
      </w:tabs>
    </w:pPr>
  </w:style>
  <w:style w:type="character" w:customStyle="1" w:styleId="FooterChar">
    <w:name w:val="Footer Char"/>
    <w:basedOn w:val="DefaultParagraphFont"/>
    <w:link w:val="Footer"/>
    <w:uiPriority w:val="99"/>
    <w:locked/>
    <w:rsid w:val="001B4E9E"/>
    <w:rPr>
      <w:rFonts w:cs="Times New Roman"/>
    </w:rPr>
  </w:style>
  <w:style w:type="table" w:styleId="TableGrid">
    <w:name w:val="Table Grid"/>
    <w:basedOn w:val="TableNormal"/>
    <w:uiPriority w:val="39"/>
    <w:rsid w:val="00544971"/>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3E02"/>
    <w:rPr>
      <w:sz w:val="20"/>
      <w:szCs w:val="20"/>
    </w:rPr>
  </w:style>
  <w:style w:type="character" w:customStyle="1" w:styleId="FootnoteTextChar">
    <w:name w:val="Footnote Text Char"/>
    <w:basedOn w:val="DefaultParagraphFont"/>
    <w:link w:val="FootnoteText"/>
    <w:uiPriority w:val="99"/>
    <w:semiHidden/>
    <w:locked/>
    <w:rsid w:val="009E3E02"/>
    <w:rPr>
      <w:rFonts w:cs="Times New Roman"/>
      <w:sz w:val="20"/>
      <w:szCs w:val="20"/>
      <w:lang w:val="ru-RU" w:eastAsia="ru-RU"/>
    </w:rPr>
  </w:style>
  <w:style w:type="character" w:styleId="FootnoteReference">
    <w:name w:val="footnote reference"/>
    <w:basedOn w:val="DefaultParagraphFont"/>
    <w:uiPriority w:val="99"/>
    <w:semiHidden/>
    <w:unhideWhenUsed/>
    <w:rsid w:val="009E3E02"/>
    <w:rPr>
      <w:rFonts w:cs="Times New Roman"/>
      <w:vertAlign w:val="superscript"/>
    </w:rPr>
  </w:style>
  <w:style w:type="character" w:styleId="Hyperlink">
    <w:name w:val="Hyperlink"/>
    <w:basedOn w:val="DefaultParagraphFont"/>
    <w:uiPriority w:val="99"/>
    <w:unhideWhenUsed/>
    <w:rsid w:val="00B302C1"/>
    <w:rPr>
      <w:rFonts w:cs="Times New Roman"/>
      <w:color w:val="0000FF"/>
      <w:u w:val="single"/>
    </w:rPr>
  </w:style>
  <w:style w:type="character" w:styleId="Emphasis">
    <w:name w:val="Emphasis"/>
    <w:basedOn w:val="DefaultParagraphFont"/>
    <w:uiPriority w:val="20"/>
    <w:qFormat/>
    <w:rsid w:val="00B302C1"/>
    <w:rPr>
      <w:rFonts w:cs="Times New Roman"/>
      <w:i/>
    </w:rPr>
  </w:style>
  <w:style w:type="paragraph" w:styleId="Revision">
    <w:name w:val="Revision"/>
    <w:hidden/>
    <w:uiPriority w:val="99"/>
    <w:semiHidden/>
    <w:rsid w:val="008F5453"/>
    <w:pPr>
      <w:spacing w:after="0" w:line="240" w:lineRule="auto"/>
    </w:pPr>
    <w:rPr>
      <w:lang w:val="ru-RU" w:eastAsia="ru-RU"/>
    </w:rPr>
  </w:style>
  <w:style w:type="character" w:styleId="CommentReference">
    <w:name w:val="annotation reference"/>
    <w:basedOn w:val="DefaultParagraphFont"/>
    <w:uiPriority w:val="99"/>
    <w:semiHidden/>
    <w:unhideWhenUsed/>
    <w:rsid w:val="00ED161B"/>
    <w:rPr>
      <w:sz w:val="16"/>
      <w:szCs w:val="16"/>
    </w:rPr>
  </w:style>
  <w:style w:type="paragraph" w:styleId="CommentText">
    <w:name w:val="annotation text"/>
    <w:basedOn w:val="Normal"/>
    <w:link w:val="CommentTextChar"/>
    <w:uiPriority w:val="99"/>
    <w:unhideWhenUsed/>
    <w:rsid w:val="00ED161B"/>
    <w:pPr>
      <w:spacing w:line="240" w:lineRule="auto"/>
    </w:pPr>
    <w:rPr>
      <w:sz w:val="20"/>
      <w:szCs w:val="20"/>
    </w:rPr>
  </w:style>
  <w:style w:type="character" w:customStyle="1" w:styleId="CommentTextChar">
    <w:name w:val="Comment Text Char"/>
    <w:basedOn w:val="DefaultParagraphFont"/>
    <w:link w:val="CommentText"/>
    <w:uiPriority w:val="99"/>
    <w:rsid w:val="00ED161B"/>
    <w:rPr>
      <w:sz w:val="20"/>
      <w:szCs w:val="20"/>
      <w:lang w:val="ru-RU" w:eastAsia="ru-RU"/>
    </w:rPr>
  </w:style>
  <w:style w:type="paragraph" w:styleId="CommentSubject">
    <w:name w:val="annotation subject"/>
    <w:basedOn w:val="CommentText"/>
    <w:next w:val="CommentText"/>
    <w:link w:val="CommentSubjectChar"/>
    <w:uiPriority w:val="99"/>
    <w:semiHidden/>
    <w:unhideWhenUsed/>
    <w:rsid w:val="00ED161B"/>
    <w:rPr>
      <w:b/>
      <w:bCs/>
    </w:rPr>
  </w:style>
  <w:style w:type="character" w:customStyle="1" w:styleId="CommentSubjectChar">
    <w:name w:val="Comment Subject Char"/>
    <w:basedOn w:val="CommentTextChar"/>
    <w:link w:val="CommentSubject"/>
    <w:uiPriority w:val="99"/>
    <w:semiHidden/>
    <w:rsid w:val="00ED161B"/>
    <w:rPr>
      <w:b/>
      <w:bCs/>
      <w:sz w:val="20"/>
      <w:szCs w:val="20"/>
      <w:lang w:val="ru-RU" w:eastAsia="ru-RU"/>
    </w:rPr>
  </w:style>
  <w:style w:type="character" w:customStyle="1" w:styleId="Heading1Char">
    <w:name w:val="Heading 1 Char"/>
    <w:basedOn w:val="DefaultParagraphFont"/>
    <w:link w:val="Heading1"/>
    <w:uiPriority w:val="9"/>
    <w:rsid w:val="009C40B6"/>
    <w:rPr>
      <w:rFonts w:ascii="Times New Roman" w:eastAsiaTheme="majorEastAsia" w:hAnsi="Times New Roman" w:cstheme="majorBidi"/>
      <w:sz w:val="28"/>
      <w:szCs w:val="32"/>
      <w:lang w:val="ru-RU"/>
    </w:rPr>
  </w:style>
  <w:style w:type="character" w:customStyle="1" w:styleId="Heading2Char">
    <w:name w:val="Heading 2 Char"/>
    <w:basedOn w:val="DefaultParagraphFont"/>
    <w:link w:val="Heading2"/>
    <w:uiPriority w:val="9"/>
    <w:semiHidden/>
    <w:rsid w:val="009C40B6"/>
    <w:rPr>
      <w:rFonts w:asciiTheme="majorHAnsi" w:eastAsiaTheme="majorEastAsia" w:hAnsiTheme="majorHAnsi" w:cstheme="majorBidi"/>
      <w:color w:val="2E74B5" w:themeColor="accent1" w:themeShade="BF"/>
      <w:sz w:val="26"/>
      <w:szCs w:val="26"/>
      <w:lang w:val="ru-RU" w:eastAsia="ru-RU"/>
    </w:rPr>
  </w:style>
  <w:style w:type="character" w:styleId="UnresolvedMention">
    <w:name w:val="Unresolved Mention"/>
    <w:basedOn w:val="DefaultParagraphFont"/>
    <w:uiPriority w:val="99"/>
    <w:semiHidden/>
    <w:unhideWhenUsed/>
    <w:rsid w:val="00FC4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553610">
      <w:bodyDiv w:val="1"/>
      <w:marLeft w:val="0"/>
      <w:marRight w:val="0"/>
      <w:marTop w:val="0"/>
      <w:marBottom w:val="0"/>
      <w:divBdr>
        <w:top w:val="none" w:sz="0" w:space="0" w:color="auto"/>
        <w:left w:val="none" w:sz="0" w:space="0" w:color="auto"/>
        <w:bottom w:val="none" w:sz="0" w:space="0" w:color="auto"/>
        <w:right w:val="none" w:sz="0" w:space="0" w:color="auto"/>
      </w:divBdr>
    </w:div>
    <w:div w:id="1589390125">
      <w:bodyDiv w:val="1"/>
      <w:marLeft w:val="0"/>
      <w:marRight w:val="0"/>
      <w:marTop w:val="0"/>
      <w:marBottom w:val="0"/>
      <w:divBdr>
        <w:top w:val="none" w:sz="0" w:space="0" w:color="auto"/>
        <w:left w:val="none" w:sz="0" w:space="0" w:color="auto"/>
        <w:bottom w:val="none" w:sz="0" w:space="0" w:color="auto"/>
        <w:right w:val="none" w:sz="0" w:space="0" w:color="auto"/>
      </w:divBdr>
    </w:div>
    <w:div w:id="1853445203">
      <w:marLeft w:val="0"/>
      <w:marRight w:val="0"/>
      <w:marTop w:val="0"/>
      <w:marBottom w:val="0"/>
      <w:divBdr>
        <w:top w:val="none" w:sz="0" w:space="0" w:color="auto"/>
        <w:left w:val="none" w:sz="0" w:space="0" w:color="auto"/>
        <w:bottom w:val="none" w:sz="0" w:space="0" w:color="auto"/>
        <w:right w:val="none" w:sz="0" w:space="0" w:color="auto"/>
      </w:divBdr>
    </w:div>
    <w:div w:id="202435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FA0B8-5940-43BF-8676-9A862F445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8987</Words>
  <Characters>372844</Characters>
  <Application>Microsoft Office Word</Application>
  <DocSecurity>4</DocSecurity>
  <Lines>3107</Lines>
  <Paragraphs>762</Paragraphs>
  <ScaleCrop>false</ScaleCrop>
  <HeadingPairs>
    <vt:vector size="2" baseType="variant">
      <vt:variant>
        <vt:lpstr>Title</vt:lpstr>
      </vt:variant>
      <vt:variant>
        <vt:i4>1</vt:i4>
      </vt:variant>
    </vt:vector>
  </HeadingPairs>
  <TitlesOfParts>
    <vt:vector size="1" baseType="lpstr">
      <vt:lpstr>.</vt:lpstr>
    </vt:vector>
  </TitlesOfParts>
  <Company>.</Company>
  <LinksUpToDate>false</LinksUpToDate>
  <CharactersWithSpaces>381069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dc:description/>
  <cp:lastModifiedBy>Collins Ntim</cp:lastModifiedBy>
  <cp:revision>2</cp:revision>
  <cp:lastPrinted>2024-11-01T14:49:00Z</cp:lastPrinted>
  <dcterms:created xsi:type="dcterms:W3CDTF">2025-01-15T21:42:00Z</dcterms:created>
  <dcterms:modified xsi:type="dcterms:W3CDTF">2025-01-15T21:42:00Z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http://www.zotero.org/styles/apa-6th-edition</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http://www.zotero.org/styles/emerald-harvard</vt:lpwstr>
  </property>
  <property fmtid="{D5CDD505-2E9C-101B-9397-08002B2CF9AE}" pid="11" name="Mendeley Recent Style Name 4_1">
    <vt:lpwstr>Emerald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http://www.zotero.org/styles/international-review-of-financial-analysis</vt:lpwstr>
  </property>
  <property fmtid="{D5CDD505-2E9C-101B-9397-08002B2CF9AE}" pid="15" name="Mendeley Recent Style Name 6_1">
    <vt:lpwstr>International Review of Financial Analysis</vt:lpwstr>
  </property>
  <property fmtid="{D5CDD505-2E9C-101B-9397-08002B2CF9AE}" pid="16" name="Mendeley Recent Style Id 7_1">
    <vt:lpwstr>http://www.zotero.org/styles/journal-of-environmental-management</vt:lpwstr>
  </property>
  <property fmtid="{D5CDD505-2E9C-101B-9397-08002B2CF9AE}" pid="17" name="Mendeley Recent Style Name 7_1">
    <vt:lpwstr>Journal of Environmental Management</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http://www.zotero.org/styles/springer-humanities-brackets</vt:lpwstr>
  </property>
  <property fmtid="{D5CDD505-2E9C-101B-9397-08002B2CF9AE}" pid="21" name="Mendeley Recent Style Name 9_1">
    <vt:lpwstr>Springer - Humanities (numeric, brackets)</vt:lpwstr>
  </property>
  <property fmtid="{D5CDD505-2E9C-101B-9397-08002B2CF9AE}" pid="22" name="Mendeley Document_1">
    <vt:lpwstr>True</vt:lpwstr>
  </property>
  <property fmtid="{D5CDD505-2E9C-101B-9397-08002B2CF9AE}" pid="23" name="Mendeley Unique User Id_1">
    <vt:lpwstr>cff584a7-821b-3161-af93-1ab60addadb8</vt:lpwstr>
  </property>
  <property fmtid="{D5CDD505-2E9C-101B-9397-08002B2CF9AE}" pid="24" name="Mendeley Citation Style_1">
    <vt:lpwstr>http://www.zotero.org/styles/emerald-harvard</vt:lpwstr>
  </property>
</Properties>
</file>