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46CB" w14:textId="2345BC37" w:rsidR="007E63DB" w:rsidRPr="00DA48E2" w:rsidRDefault="007E63DB" w:rsidP="00DA48E2">
      <w:pPr>
        <w:spacing w:before="240" w:after="360"/>
        <w:jc w:val="center"/>
        <w:rPr>
          <w:b/>
          <w:sz w:val="32"/>
          <w:szCs w:val="32"/>
          <w:lang w:val="en-CA"/>
        </w:rPr>
      </w:pPr>
      <w:r w:rsidRPr="00DA48E2">
        <w:rPr>
          <w:b/>
          <w:sz w:val="32"/>
          <w:szCs w:val="32"/>
          <w:lang w:val="en-CA"/>
        </w:rPr>
        <w:t xml:space="preserve">Requirements </w:t>
      </w:r>
      <w:r w:rsidR="00597B4C">
        <w:rPr>
          <w:b/>
          <w:sz w:val="32"/>
          <w:szCs w:val="32"/>
          <w:lang w:val="en-CA"/>
        </w:rPr>
        <w:t xml:space="preserve">and Special Considerations </w:t>
      </w:r>
      <w:r w:rsidRPr="00DA48E2">
        <w:rPr>
          <w:b/>
          <w:sz w:val="32"/>
          <w:szCs w:val="32"/>
          <w:lang w:val="en-CA"/>
        </w:rPr>
        <w:t xml:space="preserve">for Drug Trials </w:t>
      </w:r>
      <w:r w:rsidR="00105F2C">
        <w:rPr>
          <w:b/>
          <w:sz w:val="32"/>
          <w:szCs w:val="32"/>
          <w:lang w:val="en-CA"/>
        </w:rPr>
        <w:t xml:space="preserve">with Children </w:t>
      </w:r>
      <w:r w:rsidRPr="00DA48E2">
        <w:rPr>
          <w:b/>
          <w:sz w:val="32"/>
          <w:szCs w:val="32"/>
          <w:lang w:val="en-CA"/>
        </w:rPr>
        <w:t xml:space="preserve">Across Six Jurisdictions: 2. Ethics Review </w:t>
      </w:r>
      <w:r w:rsidR="00A622B3" w:rsidRPr="00DA48E2">
        <w:rPr>
          <w:b/>
          <w:sz w:val="32"/>
          <w:szCs w:val="32"/>
          <w:lang w:val="en-CA"/>
        </w:rPr>
        <w:t xml:space="preserve">in the Regulatory </w:t>
      </w:r>
      <w:r w:rsidRPr="00DA48E2">
        <w:rPr>
          <w:b/>
          <w:sz w:val="32"/>
          <w:szCs w:val="32"/>
          <w:lang w:val="en-CA"/>
        </w:rPr>
        <w:t>Approval</w:t>
      </w:r>
      <w:r w:rsidR="00A622B3" w:rsidRPr="00DA48E2">
        <w:rPr>
          <w:b/>
          <w:sz w:val="32"/>
          <w:szCs w:val="32"/>
          <w:lang w:val="en-CA"/>
        </w:rPr>
        <w:t xml:space="preserve"> Process</w:t>
      </w:r>
    </w:p>
    <w:p w14:paraId="48A17EF3" w14:textId="1D81F51F" w:rsidR="001B63C1" w:rsidRPr="000F4047" w:rsidRDefault="001B63C1" w:rsidP="001B63C1">
      <w:pPr>
        <w:rPr>
          <w:rFonts w:eastAsia="Times New Roman"/>
          <w:b/>
          <w:bCs/>
          <w:lang w:val="en-CA" w:eastAsia="en-CA"/>
        </w:rPr>
      </w:pPr>
      <w:bookmarkStart w:id="0" w:name="_Hlk180136507"/>
      <w:r w:rsidRPr="674BE71D">
        <w:rPr>
          <w:b/>
          <w:bCs/>
          <w:color w:val="3B3838" w:themeColor="background2" w:themeShade="40"/>
          <w:lang w:val="en-CA"/>
        </w:rPr>
        <w:t>Breanne Stewart</w:t>
      </w:r>
      <w:r w:rsidRPr="674BE71D">
        <w:rPr>
          <w:b/>
          <w:bCs/>
          <w:color w:val="3B3838" w:themeColor="background2" w:themeShade="40"/>
          <w:vertAlign w:val="superscript"/>
        </w:rPr>
        <w:t>1</w:t>
      </w:r>
      <w:r w:rsidRPr="674BE71D">
        <w:rPr>
          <w:b/>
          <w:bCs/>
          <w:color w:val="3B3838" w:themeColor="background2" w:themeShade="40"/>
          <w:lang w:val="en-CA"/>
        </w:rPr>
        <w:t xml:space="preserve">, </w:t>
      </w:r>
      <w:proofErr w:type="spellStart"/>
      <w:r w:rsidRPr="674BE71D">
        <w:rPr>
          <w:b/>
          <w:bCs/>
          <w:color w:val="3B3838" w:themeColor="background2" w:themeShade="40"/>
          <w:lang w:val="en-CA"/>
        </w:rPr>
        <w:t>Pirkko</w:t>
      </w:r>
      <w:proofErr w:type="spellEnd"/>
      <w:r w:rsidRPr="674BE71D">
        <w:rPr>
          <w:b/>
          <w:bCs/>
          <w:color w:val="3B3838" w:themeColor="background2" w:themeShade="40"/>
          <w:lang w:val="en-CA"/>
        </w:rPr>
        <w:t xml:space="preserve"> Lepola</w:t>
      </w:r>
      <w:r w:rsidRPr="674BE71D">
        <w:rPr>
          <w:b/>
          <w:bCs/>
          <w:color w:val="3B3838" w:themeColor="background2" w:themeShade="40"/>
          <w:vertAlign w:val="superscript"/>
          <w:lang w:val="en-CA"/>
        </w:rPr>
        <w:t>2</w:t>
      </w:r>
      <w:r w:rsidRPr="674BE71D">
        <w:rPr>
          <w:b/>
          <w:bCs/>
          <w:color w:val="3B3838" w:themeColor="background2" w:themeShade="40"/>
          <w:lang w:val="en-CA"/>
        </w:rPr>
        <w:t>, Gunter F. Egger</w:t>
      </w:r>
      <w:r w:rsidRPr="674BE71D">
        <w:rPr>
          <w:b/>
          <w:bCs/>
          <w:color w:val="3B3838" w:themeColor="background2" w:themeShade="40"/>
          <w:vertAlign w:val="superscript"/>
          <w:lang w:val="en-CA"/>
        </w:rPr>
        <w:t>3</w:t>
      </w:r>
      <w:r w:rsidRPr="674BE71D">
        <w:rPr>
          <w:b/>
          <w:bCs/>
          <w:color w:val="3B3838" w:themeColor="background2" w:themeShade="40"/>
          <w:lang w:val="en-CA"/>
        </w:rPr>
        <w:t>, Fahimeda Ali</w:t>
      </w:r>
      <w:r w:rsidRPr="674BE71D">
        <w:rPr>
          <w:b/>
          <w:bCs/>
          <w:color w:val="3B3838" w:themeColor="background2" w:themeShade="40"/>
          <w:vertAlign w:val="superscript"/>
          <w:lang w:val="en-CA"/>
        </w:rPr>
        <w:t>4</w:t>
      </w:r>
      <w:r w:rsidRPr="674BE71D">
        <w:rPr>
          <w:rFonts w:ascii="Helvetica" w:hAnsi="Helvetica"/>
          <w:color w:val="282828"/>
          <w:vertAlign w:val="superscript"/>
        </w:rPr>
        <w:t>†</w:t>
      </w:r>
      <w:r w:rsidRPr="674BE71D">
        <w:rPr>
          <w:b/>
          <w:bCs/>
          <w:color w:val="3B3838" w:themeColor="background2" w:themeShade="40"/>
          <w:lang w:val="en-CA"/>
        </w:rPr>
        <w:t>, Albert J. Allen</w:t>
      </w:r>
      <w:r w:rsidRPr="674BE71D">
        <w:rPr>
          <w:b/>
          <w:bCs/>
          <w:color w:val="3B3838" w:themeColor="background2" w:themeShade="40"/>
          <w:vertAlign w:val="superscript"/>
          <w:lang w:val="en-CA"/>
        </w:rPr>
        <w:t>5</w:t>
      </w:r>
      <w:r w:rsidRPr="674BE71D">
        <w:rPr>
          <w:rFonts w:ascii="Helvetica" w:hAnsi="Helvetica"/>
          <w:color w:val="282828"/>
          <w:vertAlign w:val="superscript"/>
        </w:rPr>
        <w:t>†</w:t>
      </w:r>
      <w:r w:rsidRPr="674BE71D">
        <w:rPr>
          <w:b/>
          <w:bCs/>
          <w:color w:val="3B3838" w:themeColor="background2" w:themeShade="40"/>
          <w:lang w:val="en-CA"/>
        </w:rPr>
        <w:t>, Alysha K</w:t>
      </w:r>
      <w:r>
        <w:rPr>
          <w:b/>
          <w:bCs/>
          <w:color w:val="3B3838" w:themeColor="background2" w:themeShade="40"/>
          <w:lang w:val="en-CA"/>
        </w:rPr>
        <w:t>.</w:t>
      </w:r>
      <w:r w:rsidRPr="674BE71D">
        <w:rPr>
          <w:b/>
          <w:bCs/>
          <w:color w:val="3B3838" w:themeColor="background2" w:themeShade="40"/>
          <w:lang w:val="en-CA"/>
        </w:rPr>
        <w:t xml:space="preserve"> Croker</w:t>
      </w:r>
      <w:r w:rsidRPr="674BE71D">
        <w:rPr>
          <w:b/>
          <w:bCs/>
          <w:color w:val="3B3838" w:themeColor="background2" w:themeShade="40"/>
          <w:vertAlign w:val="superscript"/>
          <w:lang w:val="en-CA"/>
        </w:rPr>
        <w:t>6</w:t>
      </w:r>
      <w:r w:rsidRPr="674BE71D">
        <w:rPr>
          <w:rFonts w:ascii="Helvetica" w:hAnsi="Helvetica"/>
          <w:color w:val="282828"/>
          <w:vertAlign w:val="superscript"/>
        </w:rPr>
        <w:t>†</w:t>
      </w:r>
      <w:r w:rsidRPr="674BE71D">
        <w:rPr>
          <w:b/>
          <w:bCs/>
          <w:color w:val="3B3838" w:themeColor="background2" w:themeShade="40"/>
          <w:lang w:val="en-CA"/>
        </w:rPr>
        <w:t xml:space="preserve">, Andrew </w:t>
      </w:r>
      <w:r>
        <w:rPr>
          <w:b/>
          <w:bCs/>
          <w:color w:val="3B3838" w:themeColor="background2" w:themeShade="40"/>
          <w:lang w:val="en-CA"/>
        </w:rPr>
        <w:t>J.</w:t>
      </w:r>
      <w:r w:rsidRPr="674BE71D">
        <w:rPr>
          <w:b/>
          <w:bCs/>
          <w:color w:val="3B3838" w:themeColor="background2" w:themeShade="40"/>
          <w:lang w:val="en-CA"/>
        </w:rPr>
        <w:t>Davidson</w:t>
      </w:r>
      <w:r w:rsidRPr="674BE71D">
        <w:rPr>
          <w:b/>
          <w:bCs/>
          <w:color w:val="3B3838" w:themeColor="background2" w:themeShade="40"/>
          <w:vertAlign w:val="superscript"/>
          <w:lang w:val="en-CA"/>
        </w:rPr>
        <w:t>7</w:t>
      </w:r>
      <w:r w:rsidRPr="674BE71D">
        <w:rPr>
          <w:rFonts w:ascii="Helvetica" w:hAnsi="Helvetica"/>
          <w:color w:val="282828"/>
          <w:vertAlign w:val="superscript"/>
        </w:rPr>
        <w:t>†</w:t>
      </w:r>
      <w:r w:rsidRPr="674BE71D">
        <w:rPr>
          <w:b/>
          <w:bCs/>
          <w:color w:val="3B3838" w:themeColor="background2" w:themeShade="40"/>
          <w:lang w:val="en-CA"/>
        </w:rPr>
        <w:t>, Pamela Dicks</w:t>
      </w:r>
      <w:r w:rsidRPr="674BE71D">
        <w:rPr>
          <w:b/>
          <w:bCs/>
          <w:color w:val="3B3838" w:themeColor="background2" w:themeShade="40"/>
          <w:vertAlign w:val="superscript"/>
          <w:lang w:val="en-CA"/>
        </w:rPr>
        <w:t>8</w:t>
      </w:r>
      <w:r w:rsidRPr="674BE71D">
        <w:rPr>
          <w:rFonts w:ascii="Helvetica" w:hAnsi="Helvetica"/>
          <w:color w:val="282828"/>
          <w:vertAlign w:val="superscript"/>
        </w:rPr>
        <w:t>†</w:t>
      </w:r>
      <w:r w:rsidRPr="674BE71D">
        <w:rPr>
          <w:b/>
          <w:bCs/>
          <w:color w:val="3B3838" w:themeColor="background2" w:themeShade="40"/>
          <w:lang w:val="en-CA"/>
        </w:rPr>
        <w:t>, Saul N. Faust</w:t>
      </w:r>
      <w:r w:rsidRPr="674BE71D">
        <w:rPr>
          <w:b/>
          <w:bCs/>
          <w:color w:val="3B3838" w:themeColor="background2" w:themeShade="40"/>
          <w:vertAlign w:val="superscript"/>
          <w:lang w:val="en-CA"/>
        </w:rPr>
        <w:t>9</w:t>
      </w:r>
      <w:bookmarkStart w:id="1" w:name="_Hlk181621526"/>
      <w:r w:rsidRPr="674BE71D">
        <w:rPr>
          <w:rFonts w:ascii="Helvetica" w:hAnsi="Helvetica"/>
          <w:color w:val="282828"/>
          <w:vertAlign w:val="superscript"/>
        </w:rPr>
        <w:t>†</w:t>
      </w:r>
      <w:bookmarkEnd w:id="1"/>
      <w:r w:rsidRPr="674BE71D">
        <w:rPr>
          <w:b/>
          <w:bCs/>
          <w:color w:val="3B3838" w:themeColor="background2" w:themeShade="40"/>
          <w:lang w:val="en-CA"/>
        </w:rPr>
        <w:t>, Dionna Green</w:t>
      </w:r>
      <w:r w:rsidRPr="674BE71D">
        <w:rPr>
          <w:b/>
          <w:bCs/>
          <w:color w:val="3B3838" w:themeColor="background2" w:themeShade="40"/>
          <w:vertAlign w:val="superscript"/>
          <w:lang w:val="en-CA"/>
        </w:rPr>
        <w:t>10</w:t>
      </w:r>
      <w:r w:rsidRPr="674BE71D">
        <w:rPr>
          <w:rFonts w:ascii="Helvetica" w:hAnsi="Helvetica"/>
          <w:color w:val="282828"/>
          <w:vertAlign w:val="superscript"/>
        </w:rPr>
        <w:t>†</w:t>
      </w:r>
      <w:r w:rsidRPr="674BE71D">
        <w:rPr>
          <w:b/>
          <w:bCs/>
          <w:color w:val="3B3838" w:themeColor="background2" w:themeShade="40"/>
          <w:lang w:val="en-CA"/>
        </w:rPr>
        <w:t>,  Collin Hovinga</w:t>
      </w:r>
      <w:r w:rsidRPr="674BE71D">
        <w:rPr>
          <w:b/>
          <w:bCs/>
          <w:color w:val="3B3838" w:themeColor="background2" w:themeShade="40"/>
          <w:vertAlign w:val="superscript"/>
          <w:lang w:val="en-CA"/>
        </w:rPr>
        <w:t>5</w:t>
      </w:r>
      <w:r w:rsidRPr="674BE71D">
        <w:rPr>
          <w:rFonts w:ascii="Helvetica" w:hAnsi="Helvetica"/>
          <w:color w:val="282828"/>
          <w:vertAlign w:val="superscript"/>
        </w:rPr>
        <w:t>†</w:t>
      </w:r>
      <w:r w:rsidRPr="674BE71D">
        <w:rPr>
          <w:b/>
          <w:bCs/>
          <w:color w:val="3B3838" w:themeColor="background2" w:themeShade="40"/>
          <w:lang w:val="en-CA"/>
        </w:rPr>
        <w:t>, Agnes V Klein</w:t>
      </w:r>
      <w:r w:rsidRPr="674BE71D">
        <w:rPr>
          <w:b/>
          <w:bCs/>
          <w:color w:val="3B3838" w:themeColor="background2" w:themeShade="40"/>
          <w:vertAlign w:val="superscript"/>
          <w:lang w:val="en-CA"/>
        </w:rPr>
        <w:t>6</w:t>
      </w:r>
      <w:r w:rsidRPr="674BE71D">
        <w:rPr>
          <w:rFonts w:ascii="Helvetica" w:hAnsi="Helvetica"/>
          <w:color w:val="282828"/>
          <w:vertAlign w:val="superscript"/>
        </w:rPr>
        <w:t>†</w:t>
      </w:r>
      <w:r w:rsidRPr="674BE71D">
        <w:rPr>
          <w:b/>
          <w:bCs/>
          <w:color w:val="3B3838" w:themeColor="background2" w:themeShade="40"/>
          <w:lang w:val="en-CA"/>
        </w:rPr>
        <w:t>, Robyn Langham</w:t>
      </w:r>
      <w:r w:rsidRPr="674BE71D">
        <w:rPr>
          <w:b/>
          <w:bCs/>
          <w:color w:val="3B3838" w:themeColor="background2" w:themeShade="40"/>
          <w:vertAlign w:val="superscript"/>
          <w:lang w:val="en-CA"/>
        </w:rPr>
        <w:t>11</w:t>
      </w:r>
      <w:r w:rsidRPr="674BE71D">
        <w:rPr>
          <w:rFonts w:ascii="Helvetica" w:hAnsi="Helvetica"/>
          <w:color w:val="282828"/>
          <w:vertAlign w:val="superscript"/>
        </w:rPr>
        <w:t>†</w:t>
      </w:r>
      <w:r w:rsidRPr="674BE71D">
        <w:rPr>
          <w:b/>
          <w:bCs/>
          <w:color w:val="3B3838" w:themeColor="background2" w:themeShade="40"/>
          <w:lang w:val="en-CA"/>
        </w:rPr>
        <w:t xml:space="preserve">, </w:t>
      </w:r>
      <w:proofErr w:type="spellStart"/>
      <w:r w:rsidRPr="674BE71D">
        <w:rPr>
          <w:b/>
          <w:bCs/>
          <w:color w:val="3B3838" w:themeColor="background2" w:themeShade="40"/>
          <w:lang w:val="en-CA"/>
        </w:rPr>
        <w:t>Hide</w:t>
      </w:r>
      <w:r w:rsidR="006824BD">
        <w:rPr>
          <w:b/>
          <w:bCs/>
          <w:color w:val="3B3838" w:themeColor="background2" w:themeShade="40"/>
          <w:lang w:val="en-CA"/>
        </w:rPr>
        <w:t>fumi</w:t>
      </w:r>
      <w:proofErr w:type="spellEnd"/>
      <w:r w:rsidRPr="674BE71D">
        <w:rPr>
          <w:b/>
          <w:bCs/>
          <w:color w:val="3B3838" w:themeColor="background2" w:themeShade="40"/>
          <w:lang w:val="en-CA"/>
        </w:rPr>
        <w:t xml:space="preserve"> Nakamura</w:t>
      </w:r>
      <w:r w:rsidRPr="674BE71D">
        <w:rPr>
          <w:b/>
          <w:bCs/>
          <w:color w:val="3B3838" w:themeColor="background2" w:themeShade="40"/>
          <w:vertAlign w:val="superscript"/>
          <w:lang w:val="en-CA"/>
        </w:rPr>
        <w:t>12</w:t>
      </w:r>
      <w:r w:rsidRPr="674BE71D">
        <w:rPr>
          <w:rFonts w:ascii="Helvetica" w:hAnsi="Helvetica"/>
          <w:color w:val="282828"/>
          <w:vertAlign w:val="superscript"/>
        </w:rPr>
        <w:t>†</w:t>
      </w:r>
      <w:r w:rsidRPr="674BE71D">
        <w:rPr>
          <w:b/>
          <w:bCs/>
          <w:color w:val="3B3838" w:themeColor="background2" w:themeShade="40"/>
          <w:lang w:val="en-CA"/>
        </w:rPr>
        <w:t>, Laura Pioppo</w:t>
      </w:r>
      <w:r w:rsidRPr="674BE71D">
        <w:rPr>
          <w:b/>
          <w:bCs/>
          <w:color w:val="3B3838" w:themeColor="background2" w:themeShade="40"/>
          <w:vertAlign w:val="superscript"/>
          <w:lang w:val="en-CA"/>
        </w:rPr>
        <w:t>3</w:t>
      </w:r>
      <w:r w:rsidRPr="674BE71D">
        <w:rPr>
          <w:rFonts w:ascii="Helvetica" w:hAnsi="Helvetica"/>
          <w:color w:val="282828"/>
          <w:vertAlign w:val="superscript"/>
        </w:rPr>
        <w:t>†</w:t>
      </w:r>
      <w:r w:rsidRPr="674BE71D">
        <w:rPr>
          <w:b/>
          <w:bCs/>
          <w:color w:val="3B3838" w:themeColor="background2" w:themeShade="40"/>
          <w:lang w:val="en-CA"/>
        </w:rPr>
        <w:t>, Shiva Ramroop</w:t>
      </w:r>
      <w:r w:rsidRPr="674BE71D">
        <w:rPr>
          <w:b/>
          <w:bCs/>
          <w:color w:val="3B3838" w:themeColor="background2" w:themeShade="40"/>
          <w:vertAlign w:val="superscript"/>
          <w:lang w:val="en-CA"/>
        </w:rPr>
        <w:t>4</w:t>
      </w:r>
      <w:r w:rsidRPr="674BE71D">
        <w:rPr>
          <w:rFonts w:ascii="Helvetica" w:hAnsi="Helvetica"/>
          <w:color w:val="282828"/>
          <w:vertAlign w:val="superscript"/>
        </w:rPr>
        <w:t>†</w:t>
      </w:r>
      <w:r w:rsidRPr="674BE71D">
        <w:rPr>
          <w:b/>
          <w:bCs/>
          <w:color w:val="3B3838" w:themeColor="background2" w:themeShade="40"/>
          <w:lang w:val="en-CA"/>
        </w:rPr>
        <w:t>, Michiyo Sakiyama</w:t>
      </w:r>
      <w:r w:rsidRPr="674BE71D">
        <w:rPr>
          <w:b/>
          <w:bCs/>
          <w:color w:val="3B3838" w:themeColor="background2" w:themeShade="40"/>
          <w:vertAlign w:val="superscript"/>
          <w:lang w:val="en-CA"/>
        </w:rPr>
        <w:t>1</w:t>
      </w:r>
      <w:r>
        <w:rPr>
          <w:b/>
          <w:bCs/>
          <w:color w:val="3B3838" w:themeColor="background2" w:themeShade="40"/>
          <w:vertAlign w:val="superscript"/>
          <w:lang w:val="en-CA"/>
        </w:rPr>
        <w:t>3</w:t>
      </w:r>
      <w:r w:rsidRPr="000F4047">
        <w:rPr>
          <w:rFonts w:ascii="Helvetica" w:hAnsi="Helvetica"/>
          <w:vertAlign w:val="superscript"/>
        </w:rPr>
        <w:t>†</w:t>
      </w:r>
      <w:r w:rsidRPr="000F4047">
        <w:rPr>
          <w:b/>
          <w:bCs/>
          <w:lang w:val="en-CA"/>
        </w:rPr>
        <w:t>, Isabel Sanchez Vigil de la Villa</w:t>
      </w:r>
      <w:r w:rsidRPr="000F4047">
        <w:rPr>
          <w:b/>
          <w:bCs/>
          <w:vertAlign w:val="superscript"/>
          <w:lang w:val="en-CA"/>
        </w:rPr>
        <w:t>3</w:t>
      </w:r>
      <w:r w:rsidRPr="000F4047">
        <w:rPr>
          <w:rFonts w:ascii="Helvetica" w:hAnsi="Helvetica"/>
          <w:vertAlign w:val="superscript"/>
        </w:rPr>
        <w:t>†</w:t>
      </w:r>
      <w:r w:rsidRPr="000F4047">
        <w:rPr>
          <w:b/>
          <w:bCs/>
          <w:lang w:val="en-CA"/>
        </w:rPr>
        <w:t>, Junko Sato</w:t>
      </w:r>
      <w:r w:rsidRPr="000F4047">
        <w:rPr>
          <w:b/>
          <w:bCs/>
          <w:vertAlign w:val="superscript"/>
          <w:lang w:val="en-CA"/>
        </w:rPr>
        <w:t>13</w:t>
      </w:r>
      <w:r w:rsidRPr="000F4047">
        <w:rPr>
          <w:rFonts w:ascii="Helvetica" w:hAnsi="Helvetica"/>
          <w:vertAlign w:val="superscript"/>
        </w:rPr>
        <w:t>†</w:t>
      </w:r>
      <w:r w:rsidRPr="000F4047">
        <w:rPr>
          <w:b/>
          <w:bCs/>
          <w:lang w:val="en-CA"/>
        </w:rPr>
        <w:t>, Donna L. Snyder</w:t>
      </w:r>
      <w:r w:rsidRPr="000F4047">
        <w:rPr>
          <w:b/>
          <w:bCs/>
          <w:vertAlign w:val="superscript"/>
          <w:lang w:val="en-CA"/>
        </w:rPr>
        <w:t>14</w:t>
      </w:r>
      <w:r w:rsidRPr="000F4047">
        <w:rPr>
          <w:rFonts w:ascii="Helvetica" w:hAnsi="Helvetica"/>
          <w:vertAlign w:val="superscript"/>
        </w:rPr>
        <w:t>†</w:t>
      </w:r>
      <w:r w:rsidRPr="000F4047">
        <w:rPr>
          <w:b/>
          <w:bCs/>
          <w:lang w:val="en-CA"/>
        </w:rPr>
        <w:t>, Mark A. Turner</w:t>
      </w:r>
      <w:r w:rsidRPr="000F4047">
        <w:rPr>
          <w:b/>
          <w:bCs/>
          <w:vertAlign w:val="superscript"/>
          <w:lang w:val="en-CA"/>
        </w:rPr>
        <w:t>15</w:t>
      </w:r>
      <w:r w:rsidRPr="000F4047">
        <w:rPr>
          <w:rFonts w:ascii="Helvetica" w:hAnsi="Helvetica"/>
          <w:vertAlign w:val="superscript"/>
        </w:rPr>
        <w:t>†</w:t>
      </w:r>
      <w:r w:rsidRPr="000F4047">
        <w:rPr>
          <w:b/>
          <w:bCs/>
          <w:lang w:val="en-CA"/>
        </w:rPr>
        <w:t>, Sarah Zaidi</w:t>
      </w:r>
      <w:r w:rsidRPr="000F4047">
        <w:rPr>
          <w:b/>
          <w:bCs/>
          <w:vertAlign w:val="superscript"/>
          <w:lang w:val="en-CA"/>
        </w:rPr>
        <w:t>10</w:t>
      </w:r>
      <w:r w:rsidRPr="000F4047">
        <w:rPr>
          <w:rFonts w:ascii="Helvetica" w:hAnsi="Helvetica"/>
          <w:vertAlign w:val="superscript"/>
        </w:rPr>
        <w:t>†</w:t>
      </w:r>
      <w:r w:rsidRPr="000F4047">
        <w:rPr>
          <w:b/>
          <w:bCs/>
          <w:lang w:val="en-CA"/>
        </w:rPr>
        <w:t xml:space="preserve">, </w:t>
      </w:r>
      <w:proofErr w:type="spellStart"/>
      <w:r w:rsidRPr="000F4047">
        <w:rPr>
          <w:b/>
          <w:bCs/>
          <w:lang w:val="en-CA"/>
        </w:rPr>
        <w:t>Kanecia</w:t>
      </w:r>
      <w:proofErr w:type="spellEnd"/>
      <w:r w:rsidRPr="000F4047">
        <w:rPr>
          <w:b/>
          <w:bCs/>
          <w:lang w:val="en-CA"/>
        </w:rPr>
        <w:t xml:space="preserve"> Zimmerman</w:t>
      </w:r>
      <w:r w:rsidRPr="000F4047">
        <w:rPr>
          <w:b/>
          <w:bCs/>
          <w:vertAlign w:val="superscript"/>
          <w:lang w:val="en-CA"/>
        </w:rPr>
        <w:t>16</w:t>
      </w:r>
      <w:r w:rsidRPr="000F4047">
        <w:rPr>
          <w:rFonts w:ascii="Helvetica" w:hAnsi="Helvetica"/>
          <w:vertAlign w:val="superscript"/>
        </w:rPr>
        <w:t>†</w:t>
      </w:r>
      <w:r w:rsidRPr="000F4047">
        <w:rPr>
          <w:b/>
          <w:bCs/>
          <w:lang w:val="en-CA"/>
        </w:rPr>
        <w:t>, Thierry Lacaze-Masmonteil</w:t>
      </w:r>
      <w:r w:rsidRPr="000F4047">
        <w:rPr>
          <w:b/>
          <w:bCs/>
          <w:vertAlign w:val="superscript"/>
          <w:lang w:val="en-CA"/>
        </w:rPr>
        <w:t xml:space="preserve">1* </w:t>
      </w:r>
      <w:r w:rsidRPr="000F4047">
        <w:rPr>
          <w:rFonts w:eastAsia="Times New Roman"/>
          <w:b/>
          <w:bCs/>
          <w:lang w:val="en-CA" w:eastAsia="en-CA"/>
        </w:rPr>
        <w:t xml:space="preserve">on behalf of </w:t>
      </w:r>
      <w:r w:rsidR="009D0CDA" w:rsidRPr="000F4047">
        <w:rPr>
          <w:rFonts w:eastAsia="Times New Roman"/>
          <w:b/>
          <w:bCs/>
          <w:lang w:val="en-CA" w:eastAsia="en-CA"/>
        </w:rPr>
        <w:t xml:space="preserve">the Working Group on International Collaborations of </w:t>
      </w:r>
      <w:r w:rsidRPr="000F4047">
        <w:rPr>
          <w:rFonts w:eastAsia="Times New Roman"/>
          <w:b/>
          <w:bCs/>
          <w:lang w:val="en-CA" w:eastAsia="en-CA"/>
        </w:rPr>
        <w:t>the European Network of Paediatric Research at the European Medicines Agency (</w:t>
      </w:r>
      <w:proofErr w:type="spellStart"/>
      <w:r w:rsidRPr="000F4047">
        <w:rPr>
          <w:rFonts w:eastAsia="Times New Roman"/>
          <w:b/>
          <w:bCs/>
          <w:lang w:val="en-CA" w:eastAsia="en-CA"/>
        </w:rPr>
        <w:t>Enpr</w:t>
      </w:r>
      <w:proofErr w:type="spellEnd"/>
      <w:r w:rsidRPr="000F4047">
        <w:rPr>
          <w:rFonts w:eastAsia="Times New Roman"/>
          <w:b/>
          <w:bCs/>
          <w:lang w:val="en-CA" w:eastAsia="en-CA"/>
        </w:rPr>
        <w:t>-EMA)</w:t>
      </w:r>
    </w:p>
    <w:p w14:paraId="7690023F" w14:textId="77777777" w:rsidR="001B63C1" w:rsidRPr="000F4047" w:rsidRDefault="001B63C1" w:rsidP="001B63C1">
      <w:pPr>
        <w:rPr>
          <w:rFonts w:eastAsia="Times New Roman"/>
          <w:b/>
          <w:bCs/>
          <w:lang w:val="en-CA" w:eastAsia="en-CA"/>
        </w:rPr>
      </w:pPr>
    </w:p>
    <w:p w14:paraId="0DB32027" w14:textId="77777777" w:rsidR="001B63C1" w:rsidRPr="000F4047" w:rsidRDefault="001B63C1" w:rsidP="001B63C1">
      <w:pPr>
        <w:rPr>
          <w:rFonts w:eastAsia="Times New Roman"/>
          <w:b/>
          <w:bCs/>
          <w:i/>
          <w:iCs/>
          <w:lang w:val="en-CA" w:eastAsia="en-CA"/>
        </w:rPr>
      </w:pPr>
      <w:r w:rsidRPr="000F4047">
        <w:rPr>
          <w:rFonts w:eastAsia="Times New Roman"/>
          <w:i/>
          <w:iCs/>
        </w:rPr>
        <w:t>†: these authors contributed equally</w:t>
      </w:r>
    </w:p>
    <w:p w14:paraId="2BE535FC" w14:textId="77777777" w:rsidR="001B63C1" w:rsidRPr="000F4047" w:rsidRDefault="001B63C1" w:rsidP="001B63C1">
      <w:pPr>
        <w:spacing w:before="240"/>
        <w:ind w:right="-420"/>
        <w:jc w:val="both"/>
      </w:pPr>
      <w:r w:rsidRPr="000F4047">
        <w:rPr>
          <w:vertAlign w:val="superscript"/>
        </w:rPr>
        <w:t>1</w:t>
      </w:r>
      <w:r w:rsidRPr="000F4047">
        <w:t xml:space="preserve">Maternal Infant Child and Youth Research Network (MICYRN), Vancouver, BC, Canada </w:t>
      </w:r>
    </w:p>
    <w:p w14:paraId="1354D8C5" w14:textId="77777777" w:rsidR="001B63C1" w:rsidRPr="000F4047" w:rsidRDefault="001B63C1" w:rsidP="001B63C1">
      <w:pPr>
        <w:spacing w:before="240"/>
        <w:ind w:right="-420"/>
        <w:jc w:val="both"/>
        <w:rPr>
          <w:rFonts w:eastAsia="Times New Roman"/>
          <w:lang w:val="en-GB" w:eastAsia="zh-CN"/>
        </w:rPr>
      </w:pPr>
      <w:r w:rsidRPr="000F4047">
        <w:rPr>
          <w:rFonts w:eastAsia="Times New Roman"/>
          <w:vertAlign w:val="superscript"/>
          <w:lang w:val="en-GB" w:eastAsia="zh-CN"/>
        </w:rPr>
        <w:t>2</w:t>
      </w:r>
      <w:r w:rsidRPr="000F4047">
        <w:rPr>
          <w:rFonts w:eastAsia="Times New Roman"/>
          <w:lang w:val="en-GB" w:eastAsia="zh-CN"/>
        </w:rPr>
        <w:t>University of Helsinki and Helsinki University Hospital, Helsinki, Finland</w:t>
      </w:r>
    </w:p>
    <w:p w14:paraId="390CB756" w14:textId="77777777" w:rsidR="001B63C1" w:rsidRPr="000F4047" w:rsidRDefault="001B63C1" w:rsidP="001B63C1">
      <w:pPr>
        <w:pStyle w:val="paragraph"/>
        <w:spacing w:before="240" w:beforeAutospacing="0" w:after="0" w:afterAutospacing="0"/>
        <w:ind w:right="-420"/>
        <w:jc w:val="both"/>
        <w:textAlignment w:val="baseline"/>
      </w:pPr>
      <w:r w:rsidRPr="000F4047">
        <w:rPr>
          <w:vertAlign w:val="superscript"/>
        </w:rPr>
        <w:t>3</w:t>
      </w:r>
      <w:r w:rsidRPr="000F4047">
        <w:rPr>
          <w:rStyle w:val="normaltextrun"/>
        </w:rPr>
        <w:t>Pediatric Medicine Office and Data Analytics and Methods Task Force, European Medicines Agency (EMA), Amsterdam, The Netherlands</w:t>
      </w:r>
    </w:p>
    <w:p w14:paraId="37E239CE" w14:textId="77777777" w:rsidR="001B63C1" w:rsidRPr="000F4047" w:rsidRDefault="001B63C1" w:rsidP="001B63C1">
      <w:pPr>
        <w:spacing w:before="240"/>
        <w:ind w:right="-420"/>
        <w:jc w:val="both"/>
      </w:pPr>
      <w:r w:rsidRPr="000F4047">
        <w:rPr>
          <w:vertAlign w:val="superscript"/>
        </w:rPr>
        <w:t>4</w:t>
      </w:r>
      <w:r w:rsidRPr="000F4047">
        <w:t>Paediatrics – Innovative Medicines, Healthcare Quality &amp; Access, MHRA, London, UK</w:t>
      </w:r>
    </w:p>
    <w:p w14:paraId="7CD06C53" w14:textId="77777777" w:rsidR="001B63C1" w:rsidRPr="000F4047" w:rsidRDefault="001B63C1" w:rsidP="001B63C1">
      <w:pPr>
        <w:spacing w:before="240"/>
        <w:ind w:right="-420"/>
        <w:jc w:val="both"/>
        <w:rPr>
          <w:rFonts w:eastAsia="Times New Roman"/>
          <w:lang w:val="en-GB" w:eastAsia="zh-CN"/>
        </w:rPr>
      </w:pPr>
      <w:r w:rsidRPr="000F4047">
        <w:rPr>
          <w:vertAlign w:val="superscript"/>
        </w:rPr>
        <w:t>5</w:t>
      </w:r>
      <w:r w:rsidRPr="000F4047">
        <w:rPr>
          <w:rStyle w:val="normaltextrun"/>
          <w:rFonts w:eastAsia="Times New Roman"/>
          <w:lang w:val="en-GB" w:eastAsia="zh-CN"/>
        </w:rPr>
        <w:t>Institute for Advances Clinical Trials for Children, Rockville, MD, USA; Critical Path Institute, Tucson, AZ, USA</w:t>
      </w:r>
    </w:p>
    <w:p w14:paraId="62D899D8" w14:textId="77777777" w:rsidR="001B63C1" w:rsidRPr="000F4047" w:rsidRDefault="001B63C1" w:rsidP="001B63C1">
      <w:pPr>
        <w:pStyle w:val="paragraph"/>
        <w:spacing w:before="240" w:beforeAutospacing="0" w:after="0" w:afterAutospacing="0"/>
        <w:ind w:right="-420"/>
        <w:jc w:val="both"/>
        <w:textAlignment w:val="baseline"/>
      </w:pPr>
      <w:r w:rsidRPr="000F4047">
        <w:rPr>
          <w:vertAlign w:val="superscript"/>
        </w:rPr>
        <w:t>6</w:t>
      </w:r>
      <w:r w:rsidRPr="000F4047">
        <w:t>Biologic and Radiopharmaceutical Drugs Directorate, Health Products and Food Branch, Health Canada, Ottawa, ON, Canada</w:t>
      </w:r>
    </w:p>
    <w:p w14:paraId="2A92F0AD" w14:textId="77777777" w:rsidR="001B63C1" w:rsidRPr="000F4047" w:rsidRDefault="001B63C1" w:rsidP="001B63C1">
      <w:pPr>
        <w:pStyle w:val="paragraph"/>
        <w:spacing w:before="240" w:beforeAutospacing="0" w:after="120" w:afterAutospacing="0"/>
        <w:ind w:right="-420"/>
        <w:jc w:val="both"/>
        <w:textAlignment w:val="baseline"/>
      </w:pPr>
      <w:bookmarkStart w:id="2" w:name="_Hlk175572850"/>
      <w:r w:rsidRPr="000F4047">
        <w:rPr>
          <w:vertAlign w:val="superscript"/>
        </w:rPr>
        <w:t>7</w:t>
      </w:r>
      <w:r w:rsidRPr="000F4047">
        <w:rPr>
          <w:rStyle w:val="normaltextrun"/>
        </w:rPr>
        <w:t>Melbourne Children’s Trials Centre, Murdoch Children’s Research Institute, Melbourne, VIC, Australia</w:t>
      </w:r>
    </w:p>
    <w:bookmarkEnd w:id="2"/>
    <w:p w14:paraId="6227E454" w14:textId="77777777" w:rsidR="001B63C1" w:rsidRPr="000F4047" w:rsidRDefault="001B63C1" w:rsidP="001B63C1">
      <w:pPr>
        <w:spacing w:before="240" w:after="120"/>
        <w:ind w:right="-420"/>
        <w:jc w:val="both"/>
        <w:rPr>
          <w:rStyle w:val="normaltextrun"/>
          <w:rFonts w:eastAsia="Times New Roman"/>
          <w:lang w:val="en-GB" w:eastAsia="zh-CN"/>
        </w:rPr>
      </w:pPr>
      <w:r w:rsidRPr="000F4047">
        <w:rPr>
          <w:rFonts w:eastAsia="Times New Roman"/>
          <w:vertAlign w:val="superscript"/>
          <w:lang w:val="en-GB" w:eastAsia="zh-CN"/>
        </w:rPr>
        <w:t>8</w:t>
      </w:r>
      <w:r w:rsidRPr="000F4047">
        <w:rPr>
          <w:rStyle w:val="normaltextrun"/>
          <w:rFonts w:eastAsia="Times New Roman"/>
          <w:lang w:val="en-GB" w:eastAsia="zh-CN"/>
        </w:rPr>
        <w:t>NHS Scottish Children’s Research Network, Royal Aberdeen Children’s Hospital, Scotland, UK</w:t>
      </w:r>
    </w:p>
    <w:p w14:paraId="2F6F4F4C" w14:textId="77777777" w:rsidR="001B63C1" w:rsidRPr="000F4047" w:rsidRDefault="001B63C1" w:rsidP="001B63C1">
      <w:pPr>
        <w:spacing w:after="120"/>
        <w:ind w:right="-421"/>
        <w:jc w:val="both"/>
        <w:rPr>
          <w:rStyle w:val="normaltextrun"/>
          <w:rFonts w:eastAsia="Times New Roman"/>
          <w:lang w:val="en-GB" w:eastAsia="zh-CN"/>
        </w:rPr>
      </w:pPr>
      <w:r w:rsidRPr="000F4047">
        <w:rPr>
          <w:rStyle w:val="normaltextrun"/>
          <w:vertAlign w:val="superscript"/>
        </w:rPr>
        <w:t>9</w:t>
      </w:r>
      <w:r w:rsidRPr="000F4047">
        <w:rPr>
          <w:rStyle w:val="normaltextrun"/>
          <w:rFonts w:eastAsia="Times New Roman"/>
          <w:lang w:val="en-GB" w:eastAsia="zh-CN"/>
        </w:rPr>
        <w:t>NIHR Southampton Clinical Research Facility and Biomedical Research Centre, University Hospital Southampton NHS Foundation Trust, Southampton, UK; and Faculty of Medicine and Institute for Life Sciences, University of Southampton; Southampton, UK</w:t>
      </w:r>
    </w:p>
    <w:p w14:paraId="5C41D5D9" w14:textId="77777777" w:rsidR="001B63C1" w:rsidRPr="000F4047" w:rsidRDefault="001B63C1" w:rsidP="001B63C1">
      <w:pPr>
        <w:spacing w:before="240" w:after="120"/>
        <w:ind w:right="-420"/>
        <w:jc w:val="both"/>
        <w:rPr>
          <w:rStyle w:val="eop"/>
        </w:rPr>
      </w:pPr>
      <w:r w:rsidRPr="000F4047">
        <w:rPr>
          <w:rStyle w:val="normaltextrun"/>
          <w:vertAlign w:val="superscript"/>
        </w:rPr>
        <w:t>10</w:t>
      </w:r>
      <w:r w:rsidRPr="000F4047">
        <w:rPr>
          <w:rStyle w:val="normaltextrun"/>
        </w:rPr>
        <w:t>Off</w:t>
      </w:r>
      <w:r w:rsidRPr="000F4047">
        <w:rPr>
          <w:rStyle w:val="normaltextrun"/>
          <w:rFonts w:eastAsia="Times New Roman"/>
          <w:lang w:val="en-GB" w:eastAsia="zh-CN"/>
        </w:rPr>
        <w:t xml:space="preserve">ice of </w:t>
      </w:r>
      <w:proofErr w:type="spellStart"/>
      <w:r w:rsidRPr="000F4047">
        <w:rPr>
          <w:rStyle w:val="normaltextrun"/>
          <w:rFonts w:eastAsia="Times New Roman"/>
          <w:lang w:val="en-GB" w:eastAsia="zh-CN"/>
        </w:rPr>
        <w:t>Pediatric</w:t>
      </w:r>
      <w:proofErr w:type="spellEnd"/>
      <w:r w:rsidRPr="000F4047">
        <w:rPr>
          <w:rStyle w:val="normaltextrun"/>
          <w:rFonts w:eastAsia="Times New Roman"/>
          <w:lang w:val="en-GB" w:eastAsia="zh-CN"/>
        </w:rPr>
        <w:t xml:space="preserve"> Therapeutics, Office of the Commissioner, United</w:t>
      </w:r>
      <w:r w:rsidRPr="000F4047">
        <w:t xml:space="preserve"> States Food and Drug Administration, Silver Spring, MD, USA</w:t>
      </w:r>
    </w:p>
    <w:p w14:paraId="64B5CB5C" w14:textId="41669C62" w:rsidR="001B63C1" w:rsidRPr="000F4047" w:rsidRDefault="001B63C1" w:rsidP="001B63C1">
      <w:pPr>
        <w:spacing w:before="240"/>
        <w:ind w:right="-420"/>
        <w:jc w:val="both"/>
      </w:pPr>
      <w:r w:rsidRPr="000F4047">
        <w:rPr>
          <w:rFonts w:eastAsia="Times New Roman"/>
          <w:vertAlign w:val="superscript"/>
          <w:lang w:val="en-GB" w:eastAsia="zh-CN"/>
        </w:rPr>
        <w:t>11</w:t>
      </w:r>
      <w:r w:rsidRPr="000F4047">
        <w:rPr>
          <w:rStyle w:val="normaltextrun"/>
        </w:rPr>
        <w:t xml:space="preserve">Therapeutic Goods Administration, </w:t>
      </w:r>
      <w:r w:rsidR="00613661" w:rsidRPr="000F4047">
        <w:rPr>
          <w:rStyle w:val="normaltextrun"/>
        </w:rPr>
        <w:t xml:space="preserve">Australian Government </w:t>
      </w:r>
      <w:r w:rsidRPr="000F4047">
        <w:rPr>
          <w:rStyle w:val="normaltextrun"/>
        </w:rPr>
        <w:t>Department of Health</w:t>
      </w:r>
      <w:r w:rsidR="00613661" w:rsidRPr="000F4047">
        <w:rPr>
          <w:rStyle w:val="normaltextrun"/>
        </w:rPr>
        <w:t xml:space="preserve"> and Aged Care</w:t>
      </w:r>
      <w:r w:rsidRPr="000F4047">
        <w:rPr>
          <w:rStyle w:val="normaltextrun"/>
        </w:rPr>
        <w:t xml:space="preserve">, </w:t>
      </w:r>
      <w:proofErr w:type="spellStart"/>
      <w:r w:rsidRPr="000F4047">
        <w:rPr>
          <w:rStyle w:val="normaltextrun"/>
        </w:rPr>
        <w:t>Woden</w:t>
      </w:r>
      <w:proofErr w:type="spellEnd"/>
      <w:r w:rsidRPr="000F4047">
        <w:rPr>
          <w:rStyle w:val="normaltextrun"/>
        </w:rPr>
        <w:t>, ACT, Australia</w:t>
      </w:r>
    </w:p>
    <w:p w14:paraId="210402DB" w14:textId="77777777" w:rsidR="006824BD" w:rsidRPr="000F4047" w:rsidRDefault="006824BD" w:rsidP="006824BD">
      <w:pPr>
        <w:spacing w:before="240"/>
        <w:ind w:right="-420"/>
        <w:jc w:val="both"/>
      </w:pPr>
      <w:r w:rsidRPr="000F4047">
        <w:rPr>
          <w:rFonts w:eastAsia="Times New Roman"/>
          <w:vertAlign w:val="superscript"/>
          <w:lang w:val="en-GB" w:eastAsia="zh-CN"/>
        </w:rPr>
        <w:lastRenderedPageBreak/>
        <w:t>12</w:t>
      </w:r>
      <w:r w:rsidRPr="000F4047">
        <w:rPr>
          <w:rStyle w:val="normaltextrun"/>
          <w:rFonts w:eastAsia="Times New Roman"/>
          <w:lang w:val="en-GB" w:eastAsia="zh-CN"/>
        </w:rPr>
        <w:t xml:space="preserve">National Centre for Child Health and Development – </w:t>
      </w:r>
      <w:r w:rsidRPr="000F4047">
        <w:rPr>
          <w:rFonts w:eastAsia="Times New Roman"/>
          <w:lang w:val="en-GB"/>
        </w:rPr>
        <w:t>Department of Research and Development Supervision</w:t>
      </w:r>
      <w:r w:rsidRPr="000F4047">
        <w:rPr>
          <w:rStyle w:val="normaltextrun"/>
          <w:rFonts w:eastAsia="Times New Roman"/>
          <w:lang w:val="en-GB" w:eastAsia="zh-CN"/>
        </w:rPr>
        <w:t>, Tokyo, Japan</w:t>
      </w:r>
    </w:p>
    <w:p w14:paraId="27468DDE" w14:textId="77777777" w:rsidR="001B63C1" w:rsidRPr="000F4047" w:rsidRDefault="001B63C1" w:rsidP="001B63C1">
      <w:pPr>
        <w:spacing w:before="240"/>
        <w:ind w:right="-420"/>
        <w:jc w:val="both"/>
      </w:pPr>
      <w:r w:rsidRPr="000F4047">
        <w:rPr>
          <w:vertAlign w:val="superscript"/>
        </w:rPr>
        <w:t>13</w:t>
      </w:r>
      <w:r w:rsidRPr="000F4047">
        <w:t>Pediatric Drug Working Group, Pharmaceuticals and Medical Devices Agency, Tokyo, Japan</w:t>
      </w:r>
    </w:p>
    <w:p w14:paraId="58BD3997" w14:textId="77777777" w:rsidR="001B63C1" w:rsidRPr="000F4047" w:rsidRDefault="001B63C1" w:rsidP="001B63C1">
      <w:pPr>
        <w:spacing w:before="240"/>
        <w:ind w:right="-420"/>
        <w:jc w:val="both"/>
      </w:pPr>
      <w:r w:rsidRPr="000F4047">
        <w:rPr>
          <w:vertAlign w:val="superscript"/>
        </w:rPr>
        <w:t>14</w:t>
      </w:r>
      <w:r w:rsidRPr="000F4047">
        <w:rPr>
          <w:rStyle w:val="normaltextrun"/>
        </w:rPr>
        <w:t>WCG Clinical, Princeton NJ, USA</w:t>
      </w:r>
    </w:p>
    <w:p w14:paraId="6E573BAE" w14:textId="77777777" w:rsidR="001B63C1" w:rsidRPr="000F4047" w:rsidRDefault="001B63C1" w:rsidP="001B63C1">
      <w:pPr>
        <w:spacing w:before="240"/>
        <w:ind w:right="-420"/>
      </w:pPr>
      <w:r w:rsidRPr="000F4047">
        <w:rPr>
          <w:rFonts w:eastAsia="Times New Roman"/>
          <w:vertAlign w:val="superscript"/>
          <w:lang w:val="en-GB" w:eastAsia="zh-CN"/>
        </w:rPr>
        <w:t>15</w:t>
      </w:r>
      <w:r w:rsidRPr="000F4047">
        <w:rPr>
          <w:rStyle w:val="normaltextrun"/>
          <w:rFonts w:eastAsia="Times New Roman"/>
          <w:lang w:val="en-GB" w:eastAsia="zh-CN"/>
        </w:rPr>
        <w:t xml:space="preserve">Department of Women’s and Children’s Health, University of Liverpool, Liverpool, UK; conect4children </w:t>
      </w:r>
      <w:proofErr w:type="spellStart"/>
      <w:r w:rsidRPr="000F4047">
        <w:t>Stichting</w:t>
      </w:r>
      <w:proofErr w:type="spellEnd"/>
      <w:r w:rsidRPr="000F4047">
        <w:t>, Utrecht, Netherlands</w:t>
      </w:r>
    </w:p>
    <w:p w14:paraId="1A4EF7B9" w14:textId="13038A5E" w:rsidR="001B63C1" w:rsidRPr="000F4047" w:rsidRDefault="001B63C1" w:rsidP="001B63C1">
      <w:pPr>
        <w:spacing w:before="120"/>
        <w:ind w:right="-420"/>
        <w:rPr>
          <w:b/>
        </w:rPr>
      </w:pPr>
      <w:r w:rsidRPr="000F4047">
        <w:rPr>
          <w:vertAlign w:val="superscript"/>
        </w:rPr>
        <w:t>16</w:t>
      </w:r>
      <w:r w:rsidRPr="000F4047">
        <w:t>Duke Clinical Research Institute, Duke University School of Medicine, Durham, NC, USA; Department of Pediatrics, Duke University School of Medicine, Durham, NC, USA</w:t>
      </w:r>
      <w:bookmarkEnd w:id="0"/>
    </w:p>
    <w:p w14:paraId="566A17DF" w14:textId="5DDA49D2" w:rsidR="00D22A7A" w:rsidRPr="000F4047" w:rsidRDefault="00D22A7A" w:rsidP="001B63C1">
      <w:pPr>
        <w:spacing w:before="120"/>
        <w:ind w:right="-420"/>
        <w:rPr>
          <w:rFonts w:eastAsia="Times New Roman"/>
          <w:lang w:val="en-GB" w:eastAsia="zh-CN"/>
        </w:rPr>
      </w:pPr>
      <w:r w:rsidRPr="000F4047">
        <w:rPr>
          <w:b/>
        </w:rPr>
        <w:t xml:space="preserve">* Correspondence: </w:t>
      </w:r>
      <w:r w:rsidRPr="000F4047">
        <w:rPr>
          <w:b/>
        </w:rPr>
        <w:br/>
      </w:r>
      <w:r w:rsidRPr="000F4047">
        <w:rPr>
          <w:lang w:val="en-CA"/>
        </w:rPr>
        <w:t xml:space="preserve">Thierry </w:t>
      </w:r>
      <w:proofErr w:type="spellStart"/>
      <w:r w:rsidRPr="000F4047">
        <w:rPr>
          <w:lang w:val="en-CA"/>
        </w:rPr>
        <w:t>Lacaze-Masmonteil</w:t>
      </w:r>
      <w:proofErr w:type="spellEnd"/>
    </w:p>
    <w:p w14:paraId="3F22AF36" w14:textId="77777777" w:rsidR="00D22A7A" w:rsidRPr="000F4047" w:rsidRDefault="00D22A7A" w:rsidP="00D22A7A">
      <w:pPr>
        <w:rPr>
          <w:vertAlign w:val="superscript"/>
          <w:lang w:val="en-CA"/>
        </w:rPr>
      </w:pPr>
      <w:r w:rsidRPr="000F4047">
        <w:rPr>
          <w:lang w:val="en-CA"/>
        </w:rPr>
        <w:t>thierry.lacaze@micyrn.ca</w:t>
      </w:r>
    </w:p>
    <w:p w14:paraId="6E6963E4" w14:textId="1EE7D37D" w:rsidR="00775BB4" w:rsidRPr="000F4047" w:rsidRDefault="00775BB4" w:rsidP="00DA48E2">
      <w:pPr>
        <w:spacing w:before="240" w:after="240"/>
        <w:ind w:right="-420"/>
        <w:rPr>
          <w:b/>
          <w:bCs/>
          <w:lang w:val="en-CA"/>
        </w:rPr>
      </w:pPr>
      <w:r w:rsidRPr="000F4047">
        <w:rPr>
          <w:b/>
          <w:bCs/>
          <w:lang w:val="en-CA"/>
        </w:rPr>
        <w:t>Keywords: pediatrics</w:t>
      </w:r>
      <w:r w:rsidR="00D561A4" w:rsidRPr="000F4047">
        <w:rPr>
          <w:b/>
          <w:bCs/>
          <w:lang w:val="en-CA"/>
        </w:rPr>
        <w:t xml:space="preserve">, </w:t>
      </w:r>
      <w:r w:rsidRPr="000F4047">
        <w:rPr>
          <w:b/>
          <w:bCs/>
          <w:lang w:val="en-CA"/>
        </w:rPr>
        <w:t>clinical trials, regulatory science, research ethics review, research ethics commi</w:t>
      </w:r>
      <w:r w:rsidR="00685CC2" w:rsidRPr="000F4047">
        <w:rPr>
          <w:b/>
          <w:bCs/>
          <w:lang w:val="en-CA"/>
        </w:rPr>
        <w:t>ttee, institutional review board</w:t>
      </w:r>
    </w:p>
    <w:p w14:paraId="2E327376" w14:textId="2B47E077" w:rsidR="00541624" w:rsidRPr="000F4047" w:rsidRDefault="00D22A7A" w:rsidP="003F6009">
      <w:pPr>
        <w:spacing w:line="276" w:lineRule="auto"/>
        <w:ind w:right="-421"/>
        <w:rPr>
          <w:rFonts w:ascii="Times" w:hAnsi="Times"/>
          <w:b/>
          <w:bCs/>
          <w:lang w:val="en-CA"/>
        </w:rPr>
      </w:pPr>
      <w:r w:rsidRPr="000F4047">
        <w:rPr>
          <w:rFonts w:ascii="Times" w:hAnsi="Times"/>
          <w:b/>
          <w:bCs/>
          <w:lang w:val="en-CA"/>
        </w:rPr>
        <w:t>Abstract</w:t>
      </w:r>
    </w:p>
    <w:p w14:paraId="60843435" w14:textId="3A3A34E9" w:rsidR="00541624" w:rsidRPr="000F4047" w:rsidRDefault="00541624" w:rsidP="00541624">
      <w:pPr>
        <w:spacing w:before="120"/>
        <w:ind w:right="-420"/>
        <w:rPr>
          <w:rFonts w:ascii="Times" w:hAnsi="Times"/>
        </w:rPr>
      </w:pPr>
      <w:r w:rsidRPr="000F4047">
        <w:rPr>
          <w:rFonts w:ascii="Times" w:hAnsi="Times"/>
          <w:b/>
          <w:bCs/>
          <w:lang w:val="en-CA"/>
        </w:rPr>
        <w:t>Background:</w:t>
      </w:r>
      <w:r w:rsidRPr="000F4047">
        <w:rPr>
          <w:rFonts w:ascii="Times" w:hAnsi="Times"/>
          <w:lang w:val="en-CA"/>
        </w:rPr>
        <w:t xml:space="preserve">  Conducting clinical</w:t>
      </w:r>
      <w:r w:rsidR="009D0CDA" w:rsidRPr="000F4047">
        <w:rPr>
          <w:rFonts w:ascii="Times" w:hAnsi="Times"/>
          <w:lang w:val="en-CA"/>
        </w:rPr>
        <w:t xml:space="preserve"> drug</w:t>
      </w:r>
      <w:r w:rsidRPr="000F4047">
        <w:rPr>
          <w:rFonts w:ascii="Times" w:hAnsi="Times"/>
          <w:lang w:val="en-CA"/>
        </w:rPr>
        <w:t xml:space="preserve"> trials (CTs) with children presents several challenges. A major challenge is the need to enrol participants at multiple sites across different jurisdictions. Recruiting the required number of children within a reasonable timeframe requires the study to be reviewed by Research Ethics Boards (REB) or Institutional Review Boards (IRB) at multiple sites across various jurisdictions</w:t>
      </w:r>
      <w:r w:rsidRPr="000F4047">
        <w:rPr>
          <w:rFonts w:ascii="Times" w:eastAsia="Times New Roman" w:hAnsi="Times"/>
        </w:rPr>
        <w:t>.</w:t>
      </w:r>
      <w:r w:rsidRPr="000F4047">
        <w:rPr>
          <w:rFonts w:ascii="Times" w:hAnsi="Times"/>
        </w:rPr>
        <w:t xml:space="preserve"> This work, undertaken by the Working Group (WG) on International Collaborations at the </w:t>
      </w:r>
      <w:r w:rsidRPr="000F4047">
        <w:rPr>
          <w:rFonts w:ascii="Times" w:hAnsi="Times"/>
          <w:lang w:val="en-CA"/>
        </w:rPr>
        <w:t>European Network of Paediatric Research at the European Medicines Agency (</w:t>
      </w:r>
      <w:proofErr w:type="spellStart"/>
      <w:r w:rsidRPr="000F4047">
        <w:rPr>
          <w:rFonts w:ascii="Times" w:hAnsi="Times"/>
          <w:lang w:val="en-CA"/>
        </w:rPr>
        <w:t>Enpr</w:t>
      </w:r>
      <w:proofErr w:type="spellEnd"/>
      <w:r w:rsidRPr="000F4047">
        <w:rPr>
          <w:rFonts w:ascii="Times" w:hAnsi="Times"/>
          <w:lang w:val="en-CA"/>
        </w:rPr>
        <w:t>-EMA) a</w:t>
      </w:r>
      <w:proofErr w:type="spellStart"/>
      <w:r w:rsidRPr="000F4047">
        <w:rPr>
          <w:rFonts w:ascii="Times" w:hAnsi="Times"/>
        </w:rPr>
        <w:t>ims</w:t>
      </w:r>
      <w:proofErr w:type="spellEnd"/>
      <w:r w:rsidRPr="000F4047">
        <w:rPr>
          <w:rFonts w:ascii="Times" w:hAnsi="Times"/>
        </w:rPr>
        <w:t xml:space="preserve"> to describe the research ethics review requirements including any pediatric specific requirements, as well as current or upcoming changes across six jurisdictions – the European Union (EU), United Kingdom (UK), United States of America (USA), Canada, Japan, and Australia. </w:t>
      </w:r>
    </w:p>
    <w:p w14:paraId="4AD3B3E3" w14:textId="77777777" w:rsidR="00541624" w:rsidRPr="000F4047" w:rsidRDefault="00541624" w:rsidP="00541624">
      <w:pPr>
        <w:spacing w:before="120"/>
        <w:ind w:right="-420"/>
        <w:rPr>
          <w:rFonts w:ascii="Times" w:hAnsi="Times"/>
          <w:lang w:val="en-CA"/>
        </w:rPr>
      </w:pPr>
      <w:r w:rsidRPr="000F4047">
        <w:rPr>
          <w:rFonts w:ascii="Times" w:hAnsi="Times"/>
          <w:b/>
          <w:bCs/>
        </w:rPr>
        <w:t>Methods:</w:t>
      </w:r>
      <w:r w:rsidRPr="000F4047">
        <w:rPr>
          <w:rFonts w:ascii="Times" w:hAnsi="Times"/>
        </w:rPr>
        <w:t xml:space="preserve"> </w:t>
      </w:r>
      <w:r w:rsidRPr="000F4047">
        <w:rPr>
          <w:rFonts w:ascii="Times" w:hAnsi="Times"/>
          <w:lang w:val="en-CA"/>
        </w:rPr>
        <w:t xml:space="preserve">An open questionnaire developed by the WG and directed at both the Competent Authorities (CA) and the national pediatric clinical trial networks arranged by jurisdictions. </w:t>
      </w:r>
    </w:p>
    <w:p w14:paraId="0AD037B9" w14:textId="055EEA32" w:rsidR="00541624" w:rsidRPr="000F4047" w:rsidRDefault="00541624" w:rsidP="003F6009">
      <w:pPr>
        <w:spacing w:before="120" w:after="120"/>
        <w:ind w:right="-420"/>
        <w:rPr>
          <w:b/>
        </w:rPr>
      </w:pPr>
      <w:r w:rsidRPr="000F4047">
        <w:rPr>
          <w:rFonts w:ascii="Times" w:hAnsi="Times"/>
          <w:b/>
          <w:bCs/>
          <w:lang w:val="en-CA"/>
        </w:rPr>
        <w:t>Results:</w:t>
      </w:r>
      <w:r w:rsidRPr="000F4047">
        <w:rPr>
          <w:rFonts w:ascii="Times" w:hAnsi="Times"/>
          <w:lang w:val="en-CA"/>
        </w:rPr>
        <w:t xml:space="preserve"> </w:t>
      </w:r>
      <w:r w:rsidRPr="000F4047">
        <w:t>A synopsis of the current regulatory requirements covers centralized versus independent review, comparisons between investigator initiated and industry sponsored clinical trials, timelines, review board members requirements and the consenting/assent process for clinical trial (CT) applications, application submission processes and application requirements for each of the six jurisdictions. It also describes changes currently or soon to be implemented in some jurisdictions.</w:t>
      </w:r>
      <w:r w:rsidRPr="000F4047">
        <w:rPr>
          <w:b/>
        </w:rPr>
        <w:t xml:space="preserve"> </w:t>
      </w:r>
    </w:p>
    <w:p w14:paraId="5378AFE2" w14:textId="5C01C42B" w:rsidR="00D22A7A" w:rsidRPr="000F4047" w:rsidRDefault="00541624" w:rsidP="000730FE">
      <w:pPr>
        <w:pStyle w:val="xmsonormal"/>
        <w:spacing w:before="0" w:beforeAutospacing="0" w:after="0" w:afterAutospacing="0"/>
        <w:ind w:right="-421"/>
        <w:rPr>
          <w:rFonts w:ascii="Times" w:hAnsi="Times"/>
          <w:b/>
          <w:lang w:val="en-CA"/>
        </w:rPr>
      </w:pPr>
      <w:r w:rsidRPr="000F4047">
        <w:rPr>
          <w:b/>
          <w:bCs/>
        </w:rPr>
        <w:t>Conclusions:</w:t>
      </w:r>
      <w:r w:rsidRPr="000F4047">
        <w:t xml:space="preserve"> This environmental scan highlights the differences in ethics review for CTs in pediatric medicine development across six jurisdictions. While there is a growing trend for centralized ethics review, it is not universally permitted due to institutional, state/provincial, or national policies. Even where central review is allowed, local review may still be required for vulnerable populations like children. Harmonized and centralized ethics reviews offer advantages such as expert pediatric reviewers and efficient and consistent evaluations.</w:t>
      </w:r>
    </w:p>
    <w:p w14:paraId="05FFC2FF" w14:textId="60F52993" w:rsidR="00B04CF4" w:rsidRPr="000F4047" w:rsidRDefault="005E5ED2" w:rsidP="00DA48E2">
      <w:pPr>
        <w:pStyle w:val="Heading1"/>
        <w:rPr>
          <w:bCs w:val="0"/>
          <w:lang w:val="en-CA"/>
        </w:rPr>
      </w:pPr>
      <w:r w:rsidRPr="000F4047">
        <w:rPr>
          <w:bCs w:val="0"/>
        </w:rPr>
        <w:t>Introduction</w:t>
      </w:r>
    </w:p>
    <w:p w14:paraId="363EF206" w14:textId="12E6CC2A" w:rsidR="004A6945" w:rsidRPr="000F4047" w:rsidRDefault="00B0517B" w:rsidP="00DA48E2">
      <w:pPr>
        <w:pStyle w:val="BodyText1"/>
      </w:pPr>
      <w:bookmarkStart w:id="3" w:name="_Hlk131348208"/>
      <w:r w:rsidRPr="000F4047">
        <w:lastRenderedPageBreak/>
        <w:t>Clinical</w:t>
      </w:r>
      <w:r w:rsidR="009D0CDA" w:rsidRPr="000F4047">
        <w:t xml:space="preserve"> drug</w:t>
      </w:r>
      <w:r w:rsidRPr="000F4047">
        <w:t xml:space="preserve"> trials (CTs) in children are often conducted as multi</w:t>
      </w:r>
      <w:r w:rsidR="004F2337" w:rsidRPr="000F4047">
        <w:t>-jurisdictional</w:t>
      </w:r>
      <w:r w:rsidRPr="000F4047">
        <w:t xml:space="preserve">, </w:t>
      </w:r>
      <w:proofErr w:type="spellStart"/>
      <w:r w:rsidRPr="000F4047">
        <w:t>multicentre</w:t>
      </w:r>
      <w:proofErr w:type="spellEnd"/>
      <w:r w:rsidRPr="000F4047">
        <w:t xml:space="preserve"> trials</w:t>
      </w:r>
      <w:r w:rsidR="00F6557C" w:rsidRPr="000F4047">
        <w:t xml:space="preserve">. </w:t>
      </w:r>
      <w:r w:rsidRPr="000F4047">
        <w:t xml:space="preserve"> </w:t>
      </w:r>
      <w:r w:rsidR="00F6557C" w:rsidRPr="000F4047">
        <w:t xml:space="preserve">This is necessary due to the </w:t>
      </w:r>
      <w:r w:rsidRPr="000F4047">
        <w:t xml:space="preserve">small patient populations, </w:t>
      </w:r>
      <w:r w:rsidR="00E17B0A" w:rsidRPr="000F4047">
        <w:t xml:space="preserve">the </w:t>
      </w:r>
      <w:r w:rsidRPr="000F4047">
        <w:t xml:space="preserve">rarity of </w:t>
      </w:r>
      <w:r w:rsidR="00F6557C" w:rsidRPr="000F4047">
        <w:t xml:space="preserve">the </w:t>
      </w:r>
      <w:r w:rsidRPr="000F4047">
        <w:t>disease</w:t>
      </w:r>
      <w:r w:rsidR="00F6557C" w:rsidRPr="000F4047">
        <w:t>s</w:t>
      </w:r>
      <w:r w:rsidRPr="000F4047">
        <w:t xml:space="preserve"> and limited special</w:t>
      </w:r>
      <w:r w:rsidR="00E17B0A" w:rsidRPr="000F4047">
        <w:t>ty</w:t>
      </w:r>
      <w:r w:rsidRPr="000F4047">
        <w:t xml:space="preserve"> facilities. </w:t>
      </w:r>
      <w:r w:rsidR="00D5311C" w:rsidRPr="000F4047">
        <w:t>These m</w:t>
      </w:r>
      <w:r w:rsidR="00BA2683" w:rsidRPr="000F4047">
        <w:t xml:space="preserve">ulti-site and multi-jurisdictional studies provide the opportunity to execute well-powered </w:t>
      </w:r>
      <w:r w:rsidR="004A7456" w:rsidRPr="000F4047">
        <w:t>trials</w:t>
      </w:r>
      <w:r w:rsidR="00E17B0A" w:rsidRPr="000F4047">
        <w:t xml:space="preserve">; </w:t>
      </w:r>
      <w:proofErr w:type="gramStart"/>
      <w:r w:rsidR="00E17B0A" w:rsidRPr="000F4047">
        <w:t>however</w:t>
      </w:r>
      <w:proofErr w:type="gramEnd"/>
      <w:r w:rsidR="00E17B0A" w:rsidRPr="000F4047">
        <w:t xml:space="preserve"> they</w:t>
      </w:r>
      <w:r w:rsidR="00BA2683" w:rsidRPr="000F4047">
        <w:t xml:space="preserve"> require significant expertise and resources. </w:t>
      </w:r>
      <w:r w:rsidR="00A94F93" w:rsidRPr="000F4047">
        <w:t>Additionally</w:t>
      </w:r>
      <w:r w:rsidR="00840189" w:rsidRPr="000F4047">
        <w:t>, C</w:t>
      </w:r>
      <w:r w:rsidR="00BA2683" w:rsidRPr="000F4047">
        <w:t>Ts need a separate competent authority (CA</w:t>
      </w:r>
      <w:r w:rsidR="00F93307" w:rsidRPr="000F4047">
        <w:t xml:space="preserve"> or Regulatory Authority</w:t>
      </w:r>
      <w:r w:rsidR="00BA2683" w:rsidRPr="000F4047">
        <w:t xml:space="preserve">) and at least one (and often multiple) ethics committee (EC) </w:t>
      </w:r>
      <w:r w:rsidR="004A7456" w:rsidRPr="000F4047">
        <w:t>reviews</w:t>
      </w:r>
      <w:r w:rsidR="00BA2683" w:rsidRPr="000F4047">
        <w:t xml:space="preserve"> in each participating jurisdiction. </w:t>
      </w:r>
      <w:r w:rsidR="00D5311C" w:rsidRPr="000F4047">
        <w:t xml:space="preserve">Assessment of the CT by ECs is crucial to guarantee the safety and well-being of the participants, particularly of vulnerable populations like children. </w:t>
      </w:r>
      <w:r w:rsidR="00D5311C" w:rsidRPr="000F4047">
        <w:rPr>
          <w:lang w:val="en-CA"/>
        </w:rPr>
        <w:t>However, m</w:t>
      </w:r>
      <w:r w:rsidR="00840189" w:rsidRPr="000F4047">
        <w:rPr>
          <w:lang w:val="en-CA"/>
        </w:rPr>
        <w:t>ulti-site studies requiring</w:t>
      </w:r>
      <w:r w:rsidR="00D5311C" w:rsidRPr="000F4047">
        <w:rPr>
          <w:lang w:val="en-CA"/>
        </w:rPr>
        <w:t xml:space="preserve"> at times </w:t>
      </w:r>
      <w:r w:rsidR="00840189" w:rsidRPr="000F4047">
        <w:rPr>
          <w:lang w:val="en-CA"/>
        </w:rPr>
        <w:t xml:space="preserve">applications to each local EC for the exact same protocol adds to </w:t>
      </w:r>
      <w:r w:rsidR="00A94F93" w:rsidRPr="000F4047">
        <w:rPr>
          <w:lang w:val="en-CA"/>
        </w:rPr>
        <w:t xml:space="preserve">the </w:t>
      </w:r>
      <w:r w:rsidR="00840189" w:rsidRPr="000F4047">
        <w:rPr>
          <w:lang w:val="en-CA"/>
        </w:rPr>
        <w:t xml:space="preserve">overall costs and </w:t>
      </w:r>
      <w:r w:rsidR="00053638" w:rsidRPr="000F4047">
        <w:rPr>
          <w:lang w:val="en-CA"/>
        </w:rPr>
        <w:t>delays the initiation of</w:t>
      </w:r>
      <w:r w:rsidR="00840189" w:rsidRPr="000F4047">
        <w:rPr>
          <w:lang w:val="en-CA"/>
        </w:rPr>
        <w:t xml:space="preserve"> CTs.</w:t>
      </w:r>
      <w:r w:rsidR="00BA2683" w:rsidRPr="000F4047">
        <w:t xml:space="preserve"> </w:t>
      </w:r>
      <w:r w:rsidR="008D5508" w:rsidRPr="000F4047">
        <w:t>The same study undergoing rev</w:t>
      </w:r>
      <w:r w:rsidR="00840189" w:rsidRPr="000F4047">
        <w:t>iew by multiple EC</w:t>
      </w:r>
      <w:r w:rsidR="00F6557C" w:rsidRPr="000F4047">
        <w:t>s</w:t>
      </w:r>
      <w:r w:rsidR="00840189" w:rsidRPr="000F4047">
        <w:t xml:space="preserve"> has </w:t>
      </w:r>
      <w:r w:rsidR="00C34282" w:rsidRPr="000F4047">
        <w:t xml:space="preserve">consistently </w:t>
      </w:r>
      <w:r w:rsidR="00053638" w:rsidRPr="000F4047">
        <w:t xml:space="preserve">been </w:t>
      </w:r>
      <w:r w:rsidR="00C34282" w:rsidRPr="000F4047">
        <w:t xml:space="preserve">reported as an impediment to </w:t>
      </w:r>
      <w:r w:rsidR="00E17B0A" w:rsidRPr="000F4047">
        <w:t xml:space="preserve">the </w:t>
      </w:r>
      <w:r w:rsidR="00C34282" w:rsidRPr="000F4047">
        <w:t xml:space="preserve">efficiency and </w:t>
      </w:r>
      <w:r w:rsidR="00E17B0A" w:rsidRPr="000F4047">
        <w:t xml:space="preserve">the </w:t>
      </w:r>
      <w:r w:rsidR="00C34282" w:rsidRPr="000F4047">
        <w:t>consistency</w:t>
      </w:r>
      <w:r w:rsidR="00E17B0A" w:rsidRPr="000F4047">
        <w:t xml:space="preserve"> of the process</w:t>
      </w:r>
      <w:r w:rsidR="003B2A95" w:rsidRPr="000F4047">
        <w:t xml:space="preserve"> (</w:t>
      </w:r>
      <w:r w:rsidR="00F20C8C" w:rsidRPr="000F4047">
        <w:fldChar w:fldCharType="begin"/>
      </w:r>
      <w:r w:rsidR="00F20C8C" w:rsidRPr="000F4047">
        <w:instrText xml:space="preserve"> REF _Ref179194178 \r \h </w:instrText>
      </w:r>
      <w:r w:rsidR="00F20C8C" w:rsidRPr="000F4047">
        <w:fldChar w:fldCharType="separate"/>
      </w:r>
      <w:r w:rsidR="00DA1E53" w:rsidRPr="000F4047">
        <w:t>1</w:t>
      </w:r>
      <w:r w:rsidR="00F20C8C" w:rsidRPr="000F4047">
        <w:fldChar w:fldCharType="end"/>
      </w:r>
      <w:r w:rsidR="007C62B9" w:rsidRPr="000F4047">
        <w:t>,</w:t>
      </w:r>
      <w:r w:rsidR="00F20C8C" w:rsidRPr="000F4047">
        <w:fldChar w:fldCharType="begin"/>
      </w:r>
      <w:r w:rsidR="00F20C8C" w:rsidRPr="000F4047">
        <w:instrText xml:space="preserve"> REF _Ref179194189 \r \h </w:instrText>
      </w:r>
      <w:r w:rsidR="00F20C8C" w:rsidRPr="000F4047">
        <w:fldChar w:fldCharType="separate"/>
      </w:r>
      <w:r w:rsidR="00DA1E53" w:rsidRPr="000F4047">
        <w:t>2</w:t>
      </w:r>
      <w:r w:rsidR="00F20C8C" w:rsidRPr="000F4047">
        <w:fldChar w:fldCharType="end"/>
      </w:r>
      <w:r w:rsidR="003B2A95" w:rsidRPr="000F4047">
        <w:t>).</w:t>
      </w:r>
      <w:r w:rsidR="006038F0" w:rsidRPr="000F4047">
        <w:t xml:space="preserve"> </w:t>
      </w:r>
      <w:r w:rsidR="00AA02B4" w:rsidRPr="000F4047">
        <w:t xml:space="preserve">In addition to </w:t>
      </w:r>
      <w:r w:rsidR="00593A4B" w:rsidRPr="000F4047">
        <w:t>increased global multi-stakeholder collaboration, sustainable trials infrastructure with pediatric expertise, integration of trial</w:t>
      </w:r>
      <w:r w:rsidR="008B073D" w:rsidRPr="000F4047">
        <w:t xml:space="preserve">s as part of clinical care, </w:t>
      </w:r>
      <w:r w:rsidR="00AA02B4" w:rsidRPr="000F4047">
        <w:t xml:space="preserve">and </w:t>
      </w:r>
      <w:r w:rsidR="00593A4B" w:rsidRPr="000F4047">
        <w:t xml:space="preserve">alignment of the pediatric research agenda </w:t>
      </w:r>
      <w:r w:rsidR="006038F0" w:rsidRPr="000F4047">
        <w:t>with</w:t>
      </w:r>
      <w:r w:rsidR="00593A4B" w:rsidRPr="000F4047">
        <w:t xml:space="preserve"> health priorities,</w:t>
      </w:r>
      <w:r w:rsidR="008B073D" w:rsidRPr="000F4047">
        <w:t xml:space="preserve"> </w:t>
      </w:r>
      <w:r w:rsidR="001E5AA4" w:rsidRPr="000F4047">
        <w:t>h</w:t>
      </w:r>
      <w:r w:rsidR="00C34282" w:rsidRPr="000F4047">
        <w:t>armonization</w:t>
      </w:r>
      <w:r w:rsidR="00FD41AE" w:rsidRPr="000F4047">
        <w:t xml:space="preserve"> of </w:t>
      </w:r>
      <w:r w:rsidR="00C34282" w:rsidRPr="000F4047">
        <w:t xml:space="preserve">regulatory </w:t>
      </w:r>
      <w:r w:rsidR="009D6629" w:rsidRPr="000F4047">
        <w:t>reviews</w:t>
      </w:r>
      <w:r w:rsidR="00AA02B4" w:rsidRPr="000F4047">
        <w:t xml:space="preserve"> is recognized as critical to enhance the global capacity to conduct pediatric CTs</w:t>
      </w:r>
      <w:r w:rsidR="001E5AA4" w:rsidRPr="000F4047">
        <w:t xml:space="preserve"> </w:t>
      </w:r>
      <w:r w:rsidR="007C62B9" w:rsidRPr="000F4047">
        <w:t>(</w:t>
      </w:r>
      <w:r w:rsidR="00F20C8C" w:rsidRPr="000F4047">
        <w:fldChar w:fldCharType="begin"/>
      </w:r>
      <w:r w:rsidR="00F20C8C" w:rsidRPr="000F4047">
        <w:instrText xml:space="preserve"> REF _Ref179194202 \r \h </w:instrText>
      </w:r>
      <w:r w:rsidR="00F20C8C" w:rsidRPr="000F4047">
        <w:fldChar w:fldCharType="separate"/>
      </w:r>
      <w:r w:rsidR="00DA1E53" w:rsidRPr="000F4047">
        <w:t>3</w:t>
      </w:r>
      <w:r w:rsidR="00F20C8C" w:rsidRPr="000F4047">
        <w:fldChar w:fldCharType="end"/>
      </w:r>
      <w:r w:rsidR="007C62B9" w:rsidRPr="000F4047">
        <w:t>)</w:t>
      </w:r>
      <w:r w:rsidR="003B3F07" w:rsidRPr="000F4047">
        <w:t>.</w:t>
      </w:r>
    </w:p>
    <w:p w14:paraId="312CA08F" w14:textId="3F4BA897" w:rsidR="0015031C" w:rsidRPr="000F4047" w:rsidRDefault="00BA2683" w:rsidP="00DA48E2">
      <w:pPr>
        <w:pStyle w:val="BodyText1"/>
      </w:pPr>
      <w:bookmarkStart w:id="4" w:name="_Hlk131348235"/>
      <w:bookmarkEnd w:id="3"/>
      <w:r w:rsidRPr="000F4047">
        <w:t>To streamline th</w:t>
      </w:r>
      <w:r w:rsidR="00A94F93" w:rsidRPr="000F4047">
        <w:t>e research ethics review</w:t>
      </w:r>
      <w:r w:rsidRPr="000F4047">
        <w:t xml:space="preserve"> process, several</w:t>
      </w:r>
      <w:r w:rsidR="004F2337" w:rsidRPr="000F4047">
        <w:t xml:space="preserve"> </w:t>
      </w:r>
      <w:r w:rsidRPr="000F4047">
        <w:t>jurisdictions have recently modernized or are</w:t>
      </w:r>
      <w:r w:rsidR="004F2337" w:rsidRPr="000F4047">
        <w:t xml:space="preserve"> </w:t>
      </w:r>
      <w:r w:rsidR="00A94F93" w:rsidRPr="000F4047">
        <w:t xml:space="preserve">in the process of </w:t>
      </w:r>
      <w:r w:rsidRPr="000F4047">
        <w:t>moderniz</w:t>
      </w:r>
      <w:r w:rsidR="004F2337" w:rsidRPr="000F4047">
        <w:t>ing</w:t>
      </w:r>
      <w:r w:rsidRPr="000F4047">
        <w:t xml:space="preserve"> their </w:t>
      </w:r>
      <w:r w:rsidR="00A94F93" w:rsidRPr="000F4047">
        <w:t>approaches</w:t>
      </w:r>
      <w:r w:rsidRPr="000F4047">
        <w:t xml:space="preserve">. </w:t>
      </w:r>
      <w:r w:rsidR="00B04CF4" w:rsidRPr="000F4047">
        <w:t>A</w:t>
      </w:r>
      <w:r w:rsidR="00AA02B4" w:rsidRPr="000F4047">
        <w:t>n accompanying</w:t>
      </w:r>
      <w:r w:rsidR="00CB03D0" w:rsidRPr="000F4047">
        <w:t xml:space="preserve"> article </w:t>
      </w:r>
      <w:r w:rsidR="00B04CF4" w:rsidRPr="000F4047">
        <w:t>in the same issue of this journal describes</w:t>
      </w:r>
      <w:r w:rsidR="00CB03D0" w:rsidRPr="000F4047">
        <w:t xml:space="preserve"> the Clinical Trial Application </w:t>
      </w:r>
      <w:r w:rsidR="00A94F93" w:rsidRPr="000F4047">
        <w:t xml:space="preserve">process </w:t>
      </w:r>
      <w:r w:rsidR="00CB03D0" w:rsidRPr="000F4047">
        <w:t xml:space="preserve">and the respective jurisdictional </w:t>
      </w:r>
      <w:r w:rsidR="001A4994" w:rsidRPr="000F4047">
        <w:t xml:space="preserve">regulatory </w:t>
      </w:r>
      <w:r w:rsidR="00CB03D0" w:rsidRPr="000F4047">
        <w:t xml:space="preserve">requirements </w:t>
      </w:r>
      <w:r w:rsidR="001F1347" w:rsidRPr="000F4047">
        <w:t>from</w:t>
      </w:r>
      <w:r w:rsidR="00CB03D0" w:rsidRPr="000F4047">
        <w:t xml:space="preserve"> a child hea</w:t>
      </w:r>
      <w:r w:rsidR="00B04CF4" w:rsidRPr="000F4047">
        <w:t>lth perspective</w:t>
      </w:r>
      <w:r w:rsidR="00B45231" w:rsidRPr="000F4047">
        <w:t xml:space="preserve"> (</w:t>
      </w:r>
      <w:r w:rsidR="00F20C8C" w:rsidRPr="000F4047">
        <w:fldChar w:fldCharType="begin"/>
      </w:r>
      <w:r w:rsidR="00F20C8C" w:rsidRPr="000F4047">
        <w:instrText xml:space="preserve"> REF _Ref179194215 \r \h </w:instrText>
      </w:r>
      <w:r w:rsidR="00F20C8C" w:rsidRPr="000F4047">
        <w:fldChar w:fldCharType="separate"/>
      </w:r>
      <w:r w:rsidR="00DA1E53" w:rsidRPr="000F4047">
        <w:t>4</w:t>
      </w:r>
      <w:r w:rsidR="00F20C8C" w:rsidRPr="000F4047">
        <w:fldChar w:fldCharType="end"/>
      </w:r>
      <w:r w:rsidR="00B45231" w:rsidRPr="000F4047">
        <w:t>)</w:t>
      </w:r>
      <w:r w:rsidR="00B04CF4" w:rsidRPr="000F4047">
        <w:t>. This second article focuses on</w:t>
      </w:r>
      <w:r w:rsidR="00CB03D0" w:rsidRPr="000F4047">
        <w:t xml:space="preserve"> the similarities and differences</w:t>
      </w:r>
      <w:r w:rsidR="00A94F93" w:rsidRPr="000F4047">
        <w:t>,</w:t>
      </w:r>
      <w:r w:rsidR="00CB03D0" w:rsidRPr="000F4047">
        <w:t xml:space="preserve"> as well as the jurisdiction</w:t>
      </w:r>
      <w:r w:rsidR="00A94F93" w:rsidRPr="000F4047">
        <w:t>-</w:t>
      </w:r>
      <w:r w:rsidR="00CB03D0" w:rsidRPr="000F4047">
        <w:t>specific guidance for the research ethics review process</w:t>
      </w:r>
      <w:r w:rsidR="00053638" w:rsidRPr="000F4047">
        <w:t xml:space="preserve"> </w:t>
      </w:r>
      <w:r w:rsidR="00E95987" w:rsidRPr="000F4047">
        <w:t>for</w:t>
      </w:r>
      <w:r w:rsidR="00053638" w:rsidRPr="000F4047">
        <w:t xml:space="preserve"> pediatrics</w:t>
      </w:r>
      <w:r w:rsidR="00E95987" w:rsidRPr="000F4047">
        <w:t xml:space="preserve"> CTs</w:t>
      </w:r>
      <w:r w:rsidR="00CB03D0" w:rsidRPr="000F4047">
        <w:t xml:space="preserve">. </w:t>
      </w:r>
      <w:r w:rsidR="00FD7566" w:rsidRPr="000F4047">
        <w:t>It presents r</w:t>
      </w:r>
      <w:r w:rsidR="00B04CF4" w:rsidRPr="000F4047">
        <w:t xml:space="preserve">ecent or </w:t>
      </w:r>
      <w:r w:rsidR="009D6629" w:rsidRPr="000F4047">
        <w:t>anticipated</w:t>
      </w:r>
      <w:r w:rsidR="00B04CF4" w:rsidRPr="000F4047">
        <w:t xml:space="preserve"> changes in legislation</w:t>
      </w:r>
      <w:r w:rsidR="00A94F93" w:rsidRPr="000F4047">
        <w:t xml:space="preserve"> / regulation</w:t>
      </w:r>
      <w:r w:rsidR="00B04CF4" w:rsidRPr="000F4047">
        <w:t xml:space="preserve"> and expected implementation</w:t>
      </w:r>
      <w:r w:rsidR="0014532F" w:rsidRPr="000F4047">
        <w:t xml:space="preserve"> timeli</w:t>
      </w:r>
      <w:r w:rsidR="00E17B0A" w:rsidRPr="000F4047">
        <w:t>n</w:t>
      </w:r>
      <w:r w:rsidR="0014532F" w:rsidRPr="000F4047">
        <w:t>es</w:t>
      </w:r>
      <w:r w:rsidR="00B04CF4" w:rsidRPr="000F4047">
        <w:t xml:space="preserve"> </w:t>
      </w:r>
      <w:r w:rsidR="00FD7566" w:rsidRPr="000F4047">
        <w:t>and</w:t>
      </w:r>
      <w:r w:rsidR="00367EDE" w:rsidRPr="000F4047">
        <w:t xml:space="preserve"> recommendations from the </w:t>
      </w:r>
      <w:proofErr w:type="spellStart"/>
      <w:r w:rsidR="00367EDE" w:rsidRPr="000F4047">
        <w:t>Enpr</w:t>
      </w:r>
      <w:proofErr w:type="spellEnd"/>
      <w:r w:rsidR="00367EDE" w:rsidRPr="000F4047">
        <w:t>-E</w:t>
      </w:r>
      <w:r w:rsidR="005019EF" w:rsidRPr="000F4047">
        <w:t xml:space="preserve">MA </w:t>
      </w:r>
      <w:r w:rsidR="00367EDE" w:rsidRPr="000F4047">
        <w:t>Working Group</w:t>
      </w:r>
      <w:r w:rsidR="005019EF" w:rsidRPr="000F4047">
        <w:t xml:space="preserve"> on international collaborations</w:t>
      </w:r>
      <w:r w:rsidR="00367EDE" w:rsidRPr="000F4047">
        <w:t xml:space="preserve">. </w:t>
      </w:r>
      <w:bookmarkEnd w:id="4"/>
      <w:r w:rsidR="00FD7566" w:rsidRPr="000F4047">
        <w:t>The article has three main objectives: to assist investigators and industry sponsors in conducting multi-jurisdictional CTs in children, to identify regulatory and ethical challenges in conducting these trials on an international scale and to foster and enhance international collaboration.</w:t>
      </w:r>
    </w:p>
    <w:p w14:paraId="695A2D44" w14:textId="39EA939A" w:rsidR="00685CC2" w:rsidRPr="000F4047" w:rsidRDefault="00D22A7A" w:rsidP="00DA48E2">
      <w:pPr>
        <w:pStyle w:val="Heading1"/>
      </w:pPr>
      <w:r w:rsidRPr="000F4047">
        <w:t>Materials and Methods</w:t>
      </w:r>
    </w:p>
    <w:p w14:paraId="275DA599" w14:textId="2D8B38E9" w:rsidR="00C472F3" w:rsidRPr="000F4047" w:rsidRDefault="00C472F3" w:rsidP="00C472F3">
      <w:pPr>
        <w:pStyle w:val="BodyText1"/>
        <w:rPr>
          <w:rFonts w:ascii="Times" w:hAnsi="Times"/>
          <w:lang w:val="en-CA"/>
        </w:rPr>
      </w:pPr>
      <w:bookmarkStart w:id="5" w:name="_Hlk131348306"/>
      <w:r w:rsidRPr="000F4047">
        <w:t xml:space="preserve">In 2007, the Pediatric Cluster was established by the European Medicines Agency (EMA) in the EU and the US Food and Drug Administration (FDA), as a forum to discuss the approach to pediatric development, pertaining to specific products, product classes or therapeutic areas to enhance the science of pediatric CTs and inform the pediatric development plans submitted to both agencies. Over the following years, the Pharmaceuticals and Medical Devices Agency (PMDA), Japan, Health Canada (HC), and the Therapeutic Goods Administration (TGA), Australia, joined the Pediatric Cluster. The five CAs meet on at least a monthly basis to discuss all aspects of pediatric development, including trial design, ethics, safety, and pediatric study feasibility. In 2018, building on this long-standing international collaborative exchange, the </w:t>
      </w:r>
      <w:r w:rsidRPr="000F4047">
        <w:rPr>
          <w:rFonts w:ascii="Times" w:hAnsi="Times"/>
          <w:lang w:val="en-CA"/>
        </w:rPr>
        <w:t>European Network of Paediatric Research at the European Medicines Agency (</w:t>
      </w:r>
      <w:proofErr w:type="spellStart"/>
      <w:r w:rsidRPr="000F4047">
        <w:rPr>
          <w:rFonts w:ascii="Times" w:hAnsi="Times"/>
          <w:lang w:val="en-CA"/>
        </w:rPr>
        <w:t>Enpr</w:t>
      </w:r>
      <w:proofErr w:type="spellEnd"/>
      <w:r w:rsidRPr="000F4047">
        <w:rPr>
          <w:rFonts w:ascii="Times" w:hAnsi="Times"/>
          <w:lang w:val="en-CA"/>
        </w:rPr>
        <w:t>-EMA) established a Working Group (WG) on international collaboration</w:t>
      </w:r>
      <w:r w:rsidR="005019EF" w:rsidRPr="000F4047">
        <w:rPr>
          <w:rFonts w:ascii="Times" w:hAnsi="Times"/>
          <w:lang w:val="en-CA"/>
        </w:rPr>
        <w:t>s</w:t>
      </w:r>
      <w:r w:rsidRPr="000F4047">
        <w:rPr>
          <w:rFonts w:ascii="Times" w:hAnsi="Times"/>
          <w:lang w:val="en-CA"/>
        </w:rPr>
        <w:t xml:space="preserve"> made of the same five CAs and the national pediatrics clinical trials networks of the corresponding jurisdictions with the specific aim to facilitate the unique needs of pediatric studies in a multi-country, multisite and multijurisdictional setting. In addition, after the United Kingdom (UK) left the EU on the 31st of January 2020, the UK regulator (Medicines and Healthcare Products Regulatory Agency, MHRA) and two UK pediatric research national networks joined the working group.</w:t>
      </w:r>
    </w:p>
    <w:p w14:paraId="4EA6A5FD" w14:textId="77777777" w:rsidR="00C472F3" w:rsidRPr="000F4047" w:rsidRDefault="00C472F3" w:rsidP="00C472F3">
      <w:pPr>
        <w:pStyle w:val="BodyText1"/>
        <w:rPr>
          <w:rFonts w:ascii="Times" w:hAnsi="Times"/>
          <w:lang w:val="en-CA"/>
        </w:rPr>
      </w:pPr>
      <w:r w:rsidRPr="000F4047">
        <w:rPr>
          <w:rFonts w:ascii="Times" w:hAnsi="Times"/>
          <w:lang w:val="en-CA"/>
        </w:rPr>
        <w:lastRenderedPageBreak/>
        <w:t>The following networks participated in the survey:</w:t>
      </w:r>
    </w:p>
    <w:p w14:paraId="6A3AB8B8" w14:textId="77777777" w:rsidR="00C472F3" w:rsidRPr="000F4047" w:rsidRDefault="00C472F3" w:rsidP="00C472F3">
      <w:pPr>
        <w:pStyle w:val="xmsonormal"/>
        <w:numPr>
          <w:ilvl w:val="0"/>
          <w:numId w:val="23"/>
        </w:numPr>
        <w:spacing w:before="120" w:beforeAutospacing="0" w:after="0" w:afterAutospacing="0"/>
        <w:ind w:left="567" w:hanging="567"/>
        <w:rPr>
          <w:rFonts w:ascii="Times" w:hAnsi="Times"/>
          <w:lang w:val="en-CA"/>
        </w:rPr>
      </w:pPr>
      <w:r w:rsidRPr="000F4047">
        <w:rPr>
          <w:rFonts w:ascii="Times" w:hAnsi="Times"/>
          <w:lang w:val="en-CA"/>
        </w:rPr>
        <w:t xml:space="preserve">EU: </w:t>
      </w:r>
      <w:proofErr w:type="spellStart"/>
      <w:r w:rsidRPr="000F4047">
        <w:rPr>
          <w:rFonts w:ascii="Times" w:hAnsi="Times"/>
          <w:lang w:val="en-CA"/>
        </w:rPr>
        <w:t>Enpr</w:t>
      </w:r>
      <w:proofErr w:type="spellEnd"/>
      <w:r w:rsidRPr="000F4047">
        <w:rPr>
          <w:rFonts w:ascii="Times" w:hAnsi="Times"/>
          <w:lang w:val="en-CA"/>
        </w:rPr>
        <w:t xml:space="preserve">-EMA and Conect4Children (one of the </w:t>
      </w:r>
      <w:proofErr w:type="spellStart"/>
      <w:r w:rsidRPr="000F4047">
        <w:rPr>
          <w:rFonts w:ascii="Times" w:hAnsi="Times"/>
          <w:lang w:val="en-CA"/>
        </w:rPr>
        <w:t>Enpr</w:t>
      </w:r>
      <w:proofErr w:type="spellEnd"/>
      <w:r w:rsidRPr="000F4047">
        <w:rPr>
          <w:rFonts w:ascii="Times" w:hAnsi="Times"/>
          <w:lang w:val="en-CA"/>
        </w:rPr>
        <w:t>-EMA member networks)</w:t>
      </w:r>
    </w:p>
    <w:p w14:paraId="69CD5491" w14:textId="77777777" w:rsidR="00C472F3" w:rsidRPr="000F4047" w:rsidRDefault="00C472F3" w:rsidP="00C472F3">
      <w:pPr>
        <w:pStyle w:val="xmsonormal"/>
        <w:numPr>
          <w:ilvl w:val="0"/>
          <w:numId w:val="23"/>
        </w:numPr>
        <w:spacing w:before="120" w:beforeAutospacing="0" w:after="0" w:afterAutospacing="0"/>
        <w:ind w:left="567" w:hanging="567"/>
        <w:rPr>
          <w:rFonts w:ascii="Times" w:hAnsi="Times"/>
          <w:lang w:val="en-CA"/>
        </w:rPr>
      </w:pPr>
      <w:r w:rsidRPr="000F4047">
        <w:rPr>
          <w:rFonts w:ascii="Times" w:hAnsi="Times"/>
          <w:lang w:val="en-CA"/>
        </w:rPr>
        <w:t>USA: Pediatric Trials Network at Duke University and I-ACT (Institute for Advanced Clinical Trials in Children)</w:t>
      </w:r>
    </w:p>
    <w:p w14:paraId="053223D5" w14:textId="77777777" w:rsidR="00C472F3" w:rsidRPr="000F4047" w:rsidRDefault="00C472F3" w:rsidP="00C472F3">
      <w:pPr>
        <w:pStyle w:val="xmsonormal"/>
        <w:numPr>
          <w:ilvl w:val="0"/>
          <w:numId w:val="23"/>
        </w:numPr>
        <w:spacing w:before="120" w:beforeAutospacing="0" w:after="0" w:afterAutospacing="0"/>
        <w:ind w:left="567" w:hanging="567"/>
        <w:rPr>
          <w:rFonts w:ascii="Times" w:hAnsi="Times"/>
          <w:lang w:val="en-CA"/>
        </w:rPr>
      </w:pPr>
      <w:r w:rsidRPr="000F4047">
        <w:rPr>
          <w:rFonts w:ascii="Times" w:hAnsi="Times"/>
          <w:lang w:val="en-CA"/>
        </w:rPr>
        <w:t>Australia: Australian Network of Paediatric Trial Centres (ANPTC)</w:t>
      </w:r>
    </w:p>
    <w:p w14:paraId="6F955E18" w14:textId="77777777" w:rsidR="00C472F3" w:rsidRPr="000F4047" w:rsidRDefault="00C472F3" w:rsidP="00C472F3">
      <w:pPr>
        <w:pStyle w:val="xmsonormal"/>
        <w:numPr>
          <w:ilvl w:val="0"/>
          <w:numId w:val="23"/>
        </w:numPr>
        <w:spacing w:before="120" w:beforeAutospacing="0" w:after="0" w:afterAutospacing="0"/>
        <w:ind w:left="567" w:hanging="567"/>
        <w:rPr>
          <w:rFonts w:ascii="Times" w:hAnsi="Times"/>
          <w:lang w:val="en-CA"/>
        </w:rPr>
      </w:pPr>
      <w:r w:rsidRPr="000F4047">
        <w:rPr>
          <w:rFonts w:ascii="Times" w:hAnsi="Times"/>
          <w:lang w:val="en-CA"/>
        </w:rPr>
        <w:t>Japan: Japanese Pediatric Society Drug Development Network (</w:t>
      </w:r>
      <w:proofErr w:type="spellStart"/>
      <w:r w:rsidRPr="000F4047">
        <w:rPr>
          <w:rFonts w:ascii="Times" w:hAnsi="Times"/>
          <w:lang w:val="en-CA"/>
        </w:rPr>
        <w:t>JPedNet</w:t>
      </w:r>
      <w:proofErr w:type="spellEnd"/>
      <w:r w:rsidRPr="000F4047">
        <w:rPr>
          <w:rFonts w:ascii="Times" w:hAnsi="Times"/>
          <w:lang w:val="en-CA"/>
        </w:rPr>
        <w:t>)</w:t>
      </w:r>
    </w:p>
    <w:p w14:paraId="3F23C320" w14:textId="77777777" w:rsidR="00AC16F4" w:rsidRPr="000F4047" w:rsidRDefault="00C472F3" w:rsidP="00AC16F4">
      <w:pPr>
        <w:pStyle w:val="xmsonormal"/>
        <w:numPr>
          <w:ilvl w:val="0"/>
          <w:numId w:val="23"/>
        </w:numPr>
        <w:spacing w:before="120" w:beforeAutospacing="0" w:after="0" w:afterAutospacing="0"/>
        <w:ind w:left="567" w:hanging="567"/>
        <w:rPr>
          <w:rFonts w:ascii="Times" w:hAnsi="Times"/>
          <w:lang w:val="en-CA"/>
        </w:rPr>
      </w:pPr>
      <w:r w:rsidRPr="000F4047">
        <w:rPr>
          <w:rFonts w:ascii="Times" w:hAnsi="Times"/>
          <w:lang w:val="en-CA"/>
        </w:rPr>
        <w:t xml:space="preserve">Canada: Maternal Infant Child and Youth Research Network (MICYRN). </w:t>
      </w:r>
    </w:p>
    <w:p w14:paraId="61E7F0B8" w14:textId="21687380" w:rsidR="00AC16F4" w:rsidRPr="000F4047" w:rsidRDefault="00AC16F4" w:rsidP="00AC16F4">
      <w:pPr>
        <w:pStyle w:val="xmsonormal"/>
        <w:numPr>
          <w:ilvl w:val="0"/>
          <w:numId w:val="23"/>
        </w:numPr>
        <w:spacing w:before="120" w:beforeAutospacing="0" w:after="0" w:afterAutospacing="0"/>
        <w:ind w:left="567" w:hanging="567"/>
        <w:rPr>
          <w:rFonts w:ascii="Times" w:hAnsi="Times"/>
          <w:lang w:val="en-CA"/>
        </w:rPr>
      </w:pPr>
      <w:r w:rsidRPr="000F4047">
        <w:rPr>
          <w:rFonts w:ascii="Times" w:hAnsi="Times"/>
          <w:lang w:val="en-CA"/>
        </w:rPr>
        <w:t xml:space="preserve">UK: (National Institute for Health Research Clinical Research Network-Children, NIHR CRN-Children, and the National Health Services Scottish Children’s Research Network, NHS </w:t>
      </w:r>
      <w:proofErr w:type="spellStart"/>
      <w:r w:rsidRPr="000F4047">
        <w:rPr>
          <w:rFonts w:ascii="Times" w:hAnsi="Times"/>
          <w:lang w:val="en-CA"/>
        </w:rPr>
        <w:t>Sco</w:t>
      </w:r>
      <w:proofErr w:type="spellEnd"/>
      <w:r w:rsidRPr="000F4047">
        <w:rPr>
          <w:rFonts w:ascii="Times" w:hAnsi="Times"/>
          <w:lang w:val="en-CA"/>
        </w:rPr>
        <w:t xml:space="preserve"> CRN)</w:t>
      </w:r>
    </w:p>
    <w:p w14:paraId="6A1E24CB" w14:textId="77777777" w:rsidR="00C472F3" w:rsidRPr="000F4047" w:rsidRDefault="00C472F3" w:rsidP="00C472F3">
      <w:pPr>
        <w:pStyle w:val="BodyText1"/>
        <w:rPr>
          <w:lang w:val="en-CA"/>
        </w:rPr>
      </w:pPr>
      <w:r w:rsidRPr="000F4047">
        <w:rPr>
          <w:lang w:val="en-CA"/>
        </w:rPr>
        <w:t xml:space="preserve">This </w:t>
      </w:r>
      <w:proofErr w:type="spellStart"/>
      <w:r w:rsidRPr="000F4047">
        <w:rPr>
          <w:lang w:val="en-CA"/>
        </w:rPr>
        <w:t>Enpr</w:t>
      </w:r>
      <w:proofErr w:type="spellEnd"/>
      <w:r w:rsidRPr="000F4047">
        <w:rPr>
          <w:lang w:val="en-CA"/>
        </w:rPr>
        <w:t>-EMA WG conducted an environmental global scan across jurisdictions using an open questionnaire directed at both the CA and the Networks arranged by jurisdictions under the following four headings (the first three are addressed in the accompanying article in the same issue of this journal).</w:t>
      </w:r>
    </w:p>
    <w:p w14:paraId="2176772F" w14:textId="77777777" w:rsidR="00C472F3" w:rsidRPr="000F4047" w:rsidRDefault="00C472F3" w:rsidP="00C472F3">
      <w:pPr>
        <w:pStyle w:val="ListParagraph"/>
        <w:numPr>
          <w:ilvl w:val="0"/>
          <w:numId w:val="24"/>
        </w:numPr>
        <w:spacing w:before="120" w:after="0" w:line="240" w:lineRule="auto"/>
        <w:ind w:left="567" w:hanging="567"/>
        <w:contextualSpacing w:val="0"/>
        <w:rPr>
          <w:rFonts w:ascii="Times" w:eastAsiaTheme="minorHAnsi" w:hAnsi="Times" w:cs="Times New Roman"/>
          <w:sz w:val="24"/>
          <w:szCs w:val="24"/>
          <w:lang w:val="en-CA"/>
        </w:rPr>
      </w:pPr>
      <w:r w:rsidRPr="000F4047">
        <w:rPr>
          <w:rFonts w:ascii="Times" w:eastAsiaTheme="minorHAnsi" w:hAnsi="Times" w:cs="Times New Roman"/>
          <w:sz w:val="24"/>
          <w:szCs w:val="24"/>
          <w:lang w:val="en-CA"/>
        </w:rPr>
        <w:t>Clinical Trial Regulatory Requirements</w:t>
      </w:r>
    </w:p>
    <w:p w14:paraId="58C70E14" w14:textId="77777777" w:rsidR="00C472F3" w:rsidRPr="000F4047" w:rsidRDefault="00C472F3" w:rsidP="00C472F3">
      <w:pPr>
        <w:pStyle w:val="ListParagraph"/>
        <w:numPr>
          <w:ilvl w:val="0"/>
          <w:numId w:val="24"/>
        </w:numPr>
        <w:spacing w:before="120" w:after="0" w:line="240" w:lineRule="auto"/>
        <w:ind w:left="567" w:hanging="567"/>
        <w:contextualSpacing w:val="0"/>
        <w:rPr>
          <w:rFonts w:ascii="Times" w:eastAsiaTheme="minorHAnsi" w:hAnsi="Times" w:cs="Times New Roman"/>
          <w:sz w:val="24"/>
          <w:szCs w:val="24"/>
          <w:lang w:val="en-CA"/>
        </w:rPr>
      </w:pPr>
      <w:r w:rsidRPr="000F4047">
        <w:rPr>
          <w:rFonts w:ascii="Times" w:eastAsiaTheme="minorHAnsi" w:hAnsi="Times" w:cs="Times New Roman"/>
          <w:sz w:val="24"/>
          <w:szCs w:val="24"/>
          <w:lang w:val="en-CA"/>
        </w:rPr>
        <w:t>Clinical Trial Application Submission Process</w:t>
      </w:r>
    </w:p>
    <w:p w14:paraId="67740475" w14:textId="77777777" w:rsidR="00C472F3" w:rsidRPr="000F4047" w:rsidRDefault="00C472F3" w:rsidP="00C472F3">
      <w:pPr>
        <w:pStyle w:val="ListParagraph"/>
        <w:numPr>
          <w:ilvl w:val="0"/>
          <w:numId w:val="24"/>
        </w:numPr>
        <w:spacing w:before="120" w:after="0" w:line="240" w:lineRule="auto"/>
        <w:ind w:left="567" w:hanging="567"/>
        <w:contextualSpacing w:val="0"/>
        <w:rPr>
          <w:rFonts w:ascii="Times" w:eastAsiaTheme="minorHAnsi" w:hAnsi="Times" w:cs="Times New Roman"/>
          <w:sz w:val="24"/>
          <w:szCs w:val="24"/>
          <w:lang w:val="en-CA"/>
        </w:rPr>
      </w:pPr>
      <w:r w:rsidRPr="000F4047">
        <w:rPr>
          <w:rFonts w:ascii="Times" w:eastAsiaTheme="minorHAnsi" w:hAnsi="Times" w:cs="Times New Roman"/>
          <w:sz w:val="24"/>
          <w:szCs w:val="24"/>
          <w:lang w:val="en-CA"/>
        </w:rPr>
        <w:t>Clinical Trial Application Requirements</w:t>
      </w:r>
    </w:p>
    <w:p w14:paraId="68DBEB9F" w14:textId="77777777" w:rsidR="00C472F3" w:rsidRPr="000F4047" w:rsidRDefault="00C472F3" w:rsidP="00C472F3">
      <w:pPr>
        <w:pStyle w:val="ListParagraph"/>
        <w:numPr>
          <w:ilvl w:val="0"/>
          <w:numId w:val="24"/>
        </w:numPr>
        <w:spacing w:before="120" w:after="0" w:line="240" w:lineRule="auto"/>
        <w:ind w:left="567" w:hanging="567"/>
        <w:contextualSpacing w:val="0"/>
        <w:rPr>
          <w:rFonts w:ascii="Times" w:eastAsiaTheme="minorHAnsi" w:hAnsi="Times" w:cs="Times New Roman"/>
          <w:sz w:val="24"/>
          <w:szCs w:val="24"/>
          <w:lang w:val="en-CA"/>
        </w:rPr>
      </w:pPr>
      <w:r w:rsidRPr="000F4047">
        <w:rPr>
          <w:rFonts w:ascii="Times" w:eastAsiaTheme="minorHAnsi" w:hAnsi="Times" w:cs="Times New Roman"/>
          <w:sz w:val="24"/>
          <w:szCs w:val="24"/>
          <w:lang w:val="en-CA"/>
        </w:rPr>
        <w:t>Clinical Trial Research Ethics Review Requirements</w:t>
      </w:r>
    </w:p>
    <w:p w14:paraId="717448EA" w14:textId="77777777" w:rsidR="00C472F3" w:rsidRPr="000F4047" w:rsidRDefault="00C472F3" w:rsidP="00C472F3">
      <w:pPr>
        <w:pStyle w:val="xmsonormal"/>
        <w:spacing w:before="120" w:beforeAutospacing="0" w:after="240" w:afterAutospacing="0"/>
        <w:rPr>
          <w:lang w:val="en-CA"/>
        </w:rPr>
      </w:pPr>
      <w:r w:rsidRPr="000F4047">
        <w:rPr>
          <w:lang w:val="en-CA"/>
        </w:rPr>
        <w:t>The WG conducted an environmental scan across jurisdictions using an open questionnaire directed at both the CA and the networks organized by jurisdictions. In addition to topics like clinical trial regulatory requirements and the application submission process (results presented in accompanying article), the questionnaire included questions related to clinical trial site ethics requirements.</w:t>
      </w:r>
    </w:p>
    <w:p w14:paraId="151E24E8" w14:textId="77777777" w:rsidR="00C472F3" w:rsidRPr="000F4047" w:rsidRDefault="00C472F3" w:rsidP="00C472F3">
      <w:pPr>
        <w:pStyle w:val="BodyText1"/>
        <w:rPr>
          <w:lang w:val="en-CA"/>
        </w:rPr>
      </w:pPr>
      <w:r w:rsidRPr="000F4047">
        <w:rPr>
          <w:lang w:val="en-CA"/>
        </w:rPr>
        <w:t>The topics surveyed were chosen to address the core elements of clinical trial authorization processes across different jurisdictions. Including these areas enabled the working group to analyze critical regulatory and procedural similarities and differences that could impact the implementation and harmonization of pediatric clinical trials internationally. Insights gained from the survey responses could help inform strategies for streamlining cross-border approvals, and assess the feasibility of adopting risk-based approaches to regulation. It took approximately two years to complete and obtain the survey (2020/21). The delay in survey completion was the result of the high-level clearance that was required from the CAs for some of the jurisdictions, compounded by the fact that the survey was being completed in the initial parts of the pandemic. After the UK left the EU, the same questionnaire was completed by the UK regulator (MHRA) and the two UK Pediatric research national networks. All responses were reviewed together by the respective jurisdiction’s CA and pediatric trial network(s) to ensure agreement in responses. In drafting this manuscript, participants were repolled (2024) to confirm any new updates or changes in status of planned updates to their jurisdiction’s practices.</w:t>
      </w:r>
    </w:p>
    <w:p w14:paraId="1D9B0713" w14:textId="475DD03A" w:rsidR="00685CC2" w:rsidRPr="000F4047" w:rsidRDefault="00C472F3" w:rsidP="00DA48E2">
      <w:pPr>
        <w:pStyle w:val="BodyText1"/>
        <w:rPr>
          <w:lang w:val="en-CA"/>
        </w:rPr>
      </w:pPr>
      <w:r w:rsidRPr="000F4047">
        <w:rPr>
          <w:lang w:val="en-CA"/>
        </w:rPr>
        <w:lastRenderedPageBreak/>
        <w:t xml:space="preserve">For each of the jurisdictions, a summary of the status is provided, as well as changes currently being implemented or to be implemented in the near future. </w:t>
      </w:r>
      <w:bookmarkEnd w:id="5"/>
    </w:p>
    <w:p w14:paraId="6655E7F2" w14:textId="08B02395" w:rsidR="00685CC2" w:rsidRPr="000F4047" w:rsidRDefault="00685CC2" w:rsidP="00DA48E2">
      <w:pPr>
        <w:pStyle w:val="Heading1"/>
        <w:rPr>
          <w:lang w:val="en-CA"/>
        </w:rPr>
      </w:pPr>
      <w:r w:rsidRPr="000F4047">
        <w:t>Results</w:t>
      </w:r>
    </w:p>
    <w:p w14:paraId="27139D30" w14:textId="5F0BB0E7" w:rsidR="0015031C" w:rsidRPr="000F4047" w:rsidRDefault="00871658" w:rsidP="00DA48E2">
      <w:pPr>
        <w:pStyle w:val="Heading2"/>
        <w:rPr>
          <w:rStyle w:val="Heading3Char"/>
          <w:b/>
        </w:rPr>
      </w:pPr>
      <w:r w:rsidRPr="000F4047">
        <w:rPr>
          <w:rStyle w:val="Heading3Char"/>
          <w:b/>
        </w:rPr>
        <w:t xml:space="preserve">Clinical </w:t>
      </w:r>
      <w:r w:rsidR="00C55966" w:rsidRPr="000F4047">
        <w:rPr>
          <w:rStyle w:val="Heading3Char"/>
          <w:b/>
        </w:rPr>
        <w:t>Trials</w:t>
      </w:r>
      <w:r w:rsidRPr="000F4047">
        <w:rPr>
          <w:rStyle w:val="Heading3Char"/>
          <w:b/>
        </w:rPr>
        <w:t xml:space="preserve"> Ethics Requirements</w:t>
      </w:r>
    </w:p>
    <w:p w14:paraId="50F0DC29" w14:textId="525234F4" w:rsidR="00871658" w:rsidRPr="000F4047" w:rsidRDefault="00871658" w:rsidP="00DA48E2">
      <w:pPr>
        <w:pStyle w:val="BodyText1"/>
      </w:pPr>
      <w:r w:rsidRPr="000F4047">
        <w:t xml:space="preserve">A synopsis of the </w:t>
      </w:r>
      <w:proofErr w:type="gramStart"/>
      <w:r w:rsidRPr="000F4047">
        <w:t>current status</w:t>
      </w:r>
      <w:proofErr w:type="gramEnd"/>
      <w:r w:rsidRPr="000F4047">
        <w:t xml:space="preserve"> of the ethic review in each jurisdiction</w:t>
      </w:r>
      <w:r w:rsidR="00A24F9C" w:rsidRPr="000F4047">
        <w:t xml:space="preserve"> is provided in </w:t>
      </w:r>
      <w:hyperlink w:anchor="table" w:history="1">
        <w:r w:rsidR="00A24F9C" w:rsidRPr="000F4047">
          <w:rPr>
            <w:rStyle w:val="Hyperlink"/>
            <w:color w:val="auto"/>
            <w:u w:val="none"/>
          </w:rPr>
          <w:t>Table 1</w:t>
        </w:r>
      </w:hyperlink>
      <w:r w:rsidR="004F6B1D" w:rsidRPr="000F4047">
        <w:rPr>
          <w:rStyle w:val="Hyperlink"/>
          <w:color w:val="auto"/>
          <w:u w:val="none"/>
        </w:rPr>
        <w:t xml:space="preserve"> and 2</w:t>
      </w:r>
      <w:r w:rsidR="00A24F9C" w:rsidRPr="000F4047">
        <w:t>. The summary</w:t>
      </w:r>
      <w:r w:rsidRPr="000F4047">
        <w:t xml:space="preserve"> includ</w:t>
      </w:r>
      <w:r w:rsidR="00A24F9C" w:rsidRPr="000F4047">
        <w:t>es information regarding:</w:t>
      </w:r>
      <w:r w:rsidRPr="000F4047">
        <w:t xml:space="preserve"> centralized vs. independent review, comparisons between investigator initiated vs. industry sponsored clinical trials, timelines, requirements of review board members and the consenting/assent proces</w:t>
      </w:r>
      <w:r w:rsidR="00A24F9C" w:rsidRPr="000F4047">
        <w:t>s.</w:t>
      </w:r>
      <w:r w:rsidRPr="000F4047">
        <w:t xml:space="preserve"> </w:t>
      </w:r>
    </w:p>
    <w:p w14:paraId="73FC0682" w14:textId="3BF739A1" w:rsidR="0015031C" w:rsidRPr="000F4047" w:rsidRDefault="00871658" w:rsidP="00DA48E2">
      <w:pPr>
        <w:pStyle w:val="Heading2"/>
      </w:pPr>
      <w:r w:rsidRPr="000F4047">
        <w:t xml:space="preserve">Changes currently </w:t>
      </w:r>
      <w:r w:rsidR="00C55966" w:rsidRPr="000F4047">
        <w:t xml:space="preserve">ongoing </w:t>
      </w:r>
      <w:r w:rsidRPr="000F4047">
        <w:t xml:space="preserve">or soon to be implemented </w:t>
      </w:r>
      <w:r w:rsidR="00573917" w:rsidRPr="000F4047">
        <w:t>in some jurisdictions</w:t>
      </w:r>
    </w:p>
    <w:p w14:paraId="4643605B" w14:textId="53E617AC" w:rsidR="00871658" w:rsidRPr="000F4047" w:rsidRDefault="00B447D3" w:rsidP="00DA48E2">
      <w:pPr>
        <w:pStyle w:val="BodyText1"/>
      </w:pPr>
      <w:r w:rsidRPr="000F4047">
        <w:t>Several jurisdictions have recently modernized their laws, regulations and policies to streamline research ethics review</w:t>
      </w:r>
      <w:r w:rsidR="00A24F9C" w:rsidRPr="000F4047">
        <w:t>.</w:t>
      </w:r>
      <w:r w:rsidR="00701FE5" w:rsidRPr="000F4047">
        <w:t xml:space="preserve"> For instance, the EU has implemented the Clinical Trials Information System (CTIS), and Health Canada is exploring a proportional risk-based framework. In the UK, combined review processes expedite ethics and regulatory approvals. These changes aim to support innovative trial designs, enable rapid responses to public health needs, and encourage global trial harmonization, ultimately fostering faster access to pediatric treatments</w:t>
      </w:r>
      <w:r w:rsidRPr="000F4047">
        <w:t>.</w:t>
      </w:r>
      <w:r w:rsidR="00871658" w:rsidRPr="000F4047">
        <w:t xml:space="preserve"> </w:t>
      </w:r>
    </w:p>
    <w:p w14:paraId="1F6A8CA5" w14:textId="21B19348" w:rsidR="0015031C" w:rsidRPr="000F4047" w:rsidRDefault="00871658" w:rsidP="00DA48E2">
      <w:pPr>
        <w:pStyle w:val="Heading3"/>
        <w:rPr>
          <w:lang w:val="en-CA"/>
        </w:rPr>
      </w:pPr>
      <w:r w:rsidRPr="000F4047">
        <w:rPr>
          <w:lang w:val="en-CA"/>
        </w:rPr>
        <w:t>European Union</w:t>
      </w:r>
    </w:p>
    <w:p w14:paraId="44C32390" w14:textId="2C6C10FC" w:rsidR="00C55966" w:rsidRPr="000F4047" w:rsidRDefault="00C55966" w:rsidP="00DA48E2">
      <w:pPr>
        <w:pStyle w:val="BodyText1"/>
      </w:pPr>
      <w:r w:rsidRPr="000F4047">
        <w:rPr>
          <w:rFonts w:ascii="Times" w:hAnsi="Times"/>
          <w:lang w:val="en-CA"/>
        </w:rPr>
        <w:t>The EU</w:t>
      </w:r>
      <w:r w:rsidRPr="000F4047">
        <w:t xml:space="preserve"> has taken measures to support the streamlined review of pharmaceutical clinical trials. Until recently, multi-EU-country CTs required </w:t>
      </w:r>
      <w:r w:rsidR="003B113A" w:rsidRPr="000F4047">
        <w:t>submission of a clinical trial application to</w:t>
      </w:r>
      <w:r w:rsidRPr="000F4047">
        <w:t xml:space="preserve"> at least one certified research EC in each country, with committees accredited under national/regional legislation. A centralized process was adopted in 2014 and came into application on </w:t>
      </w:r>
      <w:r w:rsidR="00622DD8" w:rsidRPr="000F4047">
        <w:t xml:space="preserve">the </w:t>
      </w:r>
      <w:r w:rsidRPr="000F4047">
        <w:t>31</w:t>
      </w:r>
      <w:r w:rsidRPr="000F4047">
        <w:rPr>
          <w:vertAlign w:val="superscript"/>
        </w:rPr>
        <w:t>st</w:t>
      </w:r>
      <w:r w:rsidRPr="000F4047">
        <w:t xml:space="preserve"> </w:t>
      </w:r>
      <w:r w:rsidR="00622DD8" w:rsidRPr="000F4047">
        <w:t xml:space="preserve">of </w:t>
      </w:r>
      <w:r w:rsidRPr="000F4047">
        <w:t xml:space="preserve">January 2022, with the launch of the EU portal and database, </w:t>
      </w:r>
      <w:r w:rsidR="001C351E" w:rsidRPr="000F4047">
        <w:t xml:space="preserve">named as the </w:t>
      </w:r>
      <w:r w:rsidRPr="000F4047">
        <w:t>Clinical Trial Information System (CTIS)</w:t>
      </w:r>
      <w:r w:rsidR="00E16969" w:rsidRPr="000F4047">
        <w:t xml:space="preserve"> </w:t>
      </w:r>
      <w:r w:rsidRPr="000F4047">
        <w:t xml:space="preserve">for the </w:t>
      </w:r>
      <w:r w:rsidR="004D3675" w:rsidRPr="000F4047">
        <w:t xml:space="preserve">CTA </w:t>
      </w:r>
      <w:r w:rsidRPr="000F4047">
        <w:t xml:space="preserve">submission, </w:t>
      </w:r>
      <w:r w:rsidR="001C351E" w:rsidRPr="000F4047">
        <w:t>supervis</w:t>
      </w:r>
      <w:r w:rsidR="004D3675" w:rsidRPr="000F4047">
        <w:t xml:space="preserve">ion, </w:t>
      </w:r>
      <w:r w:rsidR="00F07ACC" w:rsidRPr="000F4047">
        <w:t xml:space="preserve">and </w:t>
      </w:r>
      <w:r w:rsidR="004D3675" w:rsidRPr="000F4047">
        <w:t>authorization</w:t>
      </w:r>
      <w:r w:rsidR="001C351E" w:rsidRPr="000F4047">
        <w:t xml:space="preserve">, </w:t>
      </w:r>
      <w:r w:rsidRPr="000F4047">
        <w:t>a</w:t>
      </w:r>
      <w:r w:rsidR="0082393D" w:rsidRPr="000F4047">
        <w:t>s well as</w:t>
      </w:r>
      <w:r w:rsidRPr="000F4047">
        <w:t xml:space="preserve"> communication of clinical trial information</w:t>
      </w:r>
      <w:r w:rsidR="00F07ACC" w:rsidRPr="000F4047">
        <w:t>,</w:t>
      </w:r>
      <w:r w:rsidR="004D3675" w:rsidRPr="000F4047">
        <w:t xml:space="preserve"> for both commercial and non-commercial sponsors</w:t>
      </w:r>
      <w:r w:rsidR="00E16969" w:rsidRPr="000F4047">
        <w:t xml:space="preserve"> (</w:t>
      </w:r>
      <w:r w:rsidR="00163CDF" w:rsidRPr="000F4047">
        <w:fldChar w:fldCharType="begin"/>
      </w:r>
      <w:r w:rsidR="00163CDF" w:rsidRPr="000F4047">
        <w:instrText xml:space="preserve"> REF _Ref183510290 \r \h </w:instrText>
      </w:r>
      <w:r w:rsidR="00163CDF" w:rsidRPr="000F4047">
        <w:fldChar w:fldCharType="separate"/>
      </w:r>
      <w:r w:rsidR="00DA1E53" w:rsidRPr="000F4047">
        <w:t>5</w:t>
      </w:r>
      <w:r w:rsidR="00163CDF" w:rsidRPr="000F4047">
        <w:fldChar w:fldCharType="end"/>
      </w:r>
      <w:r w:rsidR="00E16969" w:rsidRPr="000F4047">
        <w:t>).</w:t>
      </w:r>
    </w:p>
    <w:p w14:paraId="1FBC781C" w14:textId="60BA7C36" w:rsidR="0015031C" w:rsidRPr="000F4047" w:rsidRDefault="00C55966" w:rsidP="00DA48E2">
      <w:pPr>
        <w:pStyle w:val="BodyText1"/>
      </w:pPr>
      <w:r w:rsidRPr="000F4047">
        <w:t>The application process includes the submission of two parts</w:t>
      </w:r>
      <w:r w:rsidR="00E16969" w:rsidRPr="000F4047">
        <w:t xml:space="preserve"> (</w:t>
      </w:r>
      <w:r w:rsidR="00163CDF" w:rsidRPr="000F4047">
        <w:fldChar w:fldCharType="begin"/>
      </w:r>
      <w:r w:rsidR="00163CDF" w:rsidRPr="000F4047">
        <w:instrText xml:space="preserve"> REF _Ref184198899 \r \h </w:instrText>
      </w:r>
      <w:r w:rsidR="00163CDF" w:rsidRPr="000F4047">
        <w:fldChar w:fldCharType="separate"/>
      </w:r>
      <w:r w:rsidR="00DA1E53" w:rsidRPr="000F4047">
        <w:t>6</w:t>
      </w:r>
      <w:r w:rsidR="00163CDF" w:rsidRPr="000F4047">
        <w:fldChar w:fldCharType="end"/>
      </w:r>
      <w:r w:rsidR="00E16969" w:rsidRPr="000F4047">
        <w:t>)</w:t>
      </w:r>
      <w:r w:rsidRPr="000F4047">
        <w:t>; Part I of the clinical trial application dossier consisting of the product monograph, scientific rationale, protocol, and therapeutic and safety aspects which is assessed jointly by the EU</w:t>
      </w:r>
      <w:r w:rsidR="00FE3836" w:rsidRPr="000F4047">
        <w:t>/EEA</w:t>
      </w:r>
      <w:r w:rsidRPr="000F4047">
        <w:t xml:space="preserve"> </w:t>
      </w:r>
      <w:r w:rsidR="00FE63B3" w:rsidRPr="000F4047">
        <w:t>Member States concerned,</w:t>
      </w:r>
      <w:r w:rsidRPr="000F4047">
        <w:t xml:space="preserve"> </w:t>
      </w:r>
      <w:r w:rsidR="00FE63B3" w:rsidRPr="000F4047">
        <w:t xml:space="preserve">and </w:t>
      </w:r>
      <w:r w:rsidR="009D0CDA" w:rsidRPr="000F4047">
        <w:t>coordinated by</w:t>
      </w:r>
      <w:r w:rsidR="00FE63B3" w:rsidRPr="000F4047">
        <w:t xml:space="preserve"> one reference</w:t>
      </w:r>
      <w:r w:rsidRPr="000F4047">
        <w:t xml:space="preserve"> member state (RMS). </w:t>
      </w:r>
      <w:r w:rsidR="003111F2" w:rsidRPr="000F4047">
        <w:t xml:space="preserve">The European Economic Area (EEA) include the 27 EU countries and also Iceland, </w:t>
      </w:r>
      <w:r w:rsidR="00074791" w:rsidRPr="000F4047">
        <w:t xml:space="preserve">Liechtenstein </w:t>
      </w:r>
      <w:r w:rsidR="003111F2" w:rsidRPr="000F4047">
        <w:t>and Norway</w:t>
      </w:r>
      <w:r w:rsidR="002E3370" w:rsidRPr="000F4047">
        <w:t xml:space="preserve"> (</w:t>
      </w:r>
      <w:proofErr w:type="spellStart"/>
      <w:r w:rsidR="002E3370" w:rsidRPr="000F4047">
        <w:t>Switzeland</w:t>
      </w:r>
      <w:proofErr w:type="spellEnd"/>
      <w:r w:rsidR="002E3370" w:rsidRPr="000F4047">
        <w:t xml:space="preserve"> is not an EU and EEA country </w:t>
      </w:r>
      <w:r w:rsidR="00074791" w:rsidRPr="000F4047">
        <w:t>but i</w:t>
      </w:r>
      <w:r w:rsidR="002E3370" w:rsidRPr="000F4047">
        <w:t>s part of the single market under the European Free Trade Association)</w:t>
      </w:r>
      <w:r w:rsidR="003111F2" w:rsidRPr="000F4047">
        <w:t xml:space="preserve">. </w:t>
      </w:r>
      <w:r w:rsidRPr="000F4047">
        <w:t xml:space="preserve">Part II of the dossier includes </w:t>
      </w:r>
      <w:r w:rsidR="00FE3836" w:rsidRPr="000F4047">
        <w:t xml:space="preserve">nationally </w:t>
      </w:r>
      <w:r w:rsidRPr="000F4047">
        <w:t xml:space="preserve">required documentation of ethical nature (patient information, informed consent, suitability of investigator and investigational site), and is assessed individually by each Member State </w:t>
      </w:r>
      <w:r w:rsidR="00622DD8" w:rsidRPr="000F4047">
        <w:t>c</w:t>
      </w:r>
      <w:r w:rsidRPr="000F4047">
        <w:t>oncerned</w:t>
      </w:r>
      <w:r w:rsidR="00622DD8" w:rsidRPr="000F4047">
        <w:t>,</w:t>
      </w:r>
      <w:r w:rsidRPr="000F4047">
        <w:t xml:space="preserve"> for </w:t>
      </w:r>
      <w:r w:rsidR="00622DD8" w:rsidRPr="000F4047">
        <w:t>each</w:t>
      </w:r>
      <w:r w:rsidRPr="000F4047">
        <w:t xml:space="preserve"> trial. The conclusions for both part I and part II are required within a defined timeline and constitute the basis for the Member States decision (individual decision) on the </w:t>
      </w:r>
      <w:proofErr w:type="spellStart"/>
      <w:r w:rsidRPr="000F4047">
        <w:t>authorisation</w:t>
      </w:r>
      <w:proofErr w:type="spellEnd"/>
      <w:r w:rsidRPr="000F4047">
        <w:t xml:space="preserve"> of the </w:t>
      </w:r>
      <w:r w:rsidR="00FE3836" w:rsidRPr="000F4047">
        <w:t xml:space="preserve">trial </w:t>
      </w:r>
      <w:r w:rsidRPr="000F4047">
        <w:t xml:space="preserve">application. </w:t>
      </w:r>
      <w:r w:rsidR="00FE3836" w:rsidRPr="000F4047">
        <w:t>T</w:t>
      </w:r>
      <w:r w:rsidRPr="000F4047">
        <w:t xml:space="preserve">he Clinical Trial Regulation does not specify which part of the application is reviewed and assessed by </w:t>
      </w:r>
      <w:r w:rsidR="009D69A1" w:rsidRPr="000F4047">
        <w:t xml:space="preserve">the national </w:t>
      </w:r>
      <w:r w:rsidRPr="000F4047">
        <w:t xml:space="preserve">CA or </w:t>
      </w:r>
      <w:proofErr w:type="gramStart"/>
      <w:r w:rsidRPr="000F4047">
        <w:t>EC,</w:t>
      </w:r>
      <w:proofErr w:type="gramEnd"/>
      <w:r w:rsidRPr="000F4047">
        <w:t xml:space="preserve"> it is up to </w:t>
      </w:r>
      <w:r w:rsidR="00FE3836" w:rsidRPr="000F4047">
        <w:t xml:space="preserve">each EU/EEA country </w:t>
      </w:r>
      <w:r w:rsidRPr="000F4047">
        <w:t>to coordinate the assessment</w:t>
      </w:r>
      <w:r w:rsidR="00FE3836" w:rsidRPr="000F4047">
        <w:t xml:space="preserve"> at </w:t>
      </w:r>
      <w:r w:rsidR="00622DD8" w:rsidRPr="000F4047">
        <w:t xml:space="preserve">the </w:t>
      </w:r>
      <w:r w:rsidR="00FE3836" w:rsidRPr="000F4047">
        <w:t>national level</w:t>
      </w:r>
      <w:r w:rsidR="008B392D" w:rsidRPr="000F4047">
        <w:t xml:space="preserve"> </w:t>
      </w:r>
      <w:r w:rsidR="00DA48E2" w:rsidRPr="000F4047">
        <w:t>(</w:t>
      </w:r>
      <w:r w:rsidR="006B416D" w:rsidRPr="000F4047">
        <w:fldChar w:fldCharType="begin"/>
      </w:r>
      <w:r w:rsidR="006B416D" w:rsidRPr="000F4047">
        <w:instrText xml:space="preserve"> REF _Ref183510290 \r \h </w:instrText>
      </w:r>
      <w:r w:rsidR="006B416D" w:rsidRPr="000F4047">
        <w:fldChar w:fldCharType="separate"/>
      </w:r>
      <w:r w:rsidR="00DA1E53" w:rsidRPr="000F4047">
        <w:t>5</w:t>
      </w:r>
      <w:r w:rsidR="006B416D" w:rsidRPr="000F4047">
        <w:fldChar w:fldCharType="end"/>
      </w:r>
      <w:r w:rsidR="006B416D" w:rsidRPr="000F4047">
        <w:t>)</w:t>
      </w:r>
      <w:r w:rsidRPr="000F4047">
        <w:t>.</w:t>
      </w:r>
      <w:r w:rsidR="009D69A1" w:rsidRPr="000F4047">
        <w:t xml:space="preserve"> </w:t>
      </w:r>
      <w:r w:rsidR="00622DD8" w:rsidRPr="000F4047">
        <w:t xml:space="preserve">The </w:t>
      </w:r>
      <w:r w:rsidRPr="000F4047">
        <w:t>CTIS is maintained by the E</w:t>
      </w:r>
      <w:r w:rsidR="009D69A1" w:rsidRPr="000F4047">
        <w:t>MA</w:t>
      </w:r>
      <w:r w:rsidRPr="000F4047">
        <w:t>.</w:t>
      </w:r>
    </w:p>
    <w:p w14:paraId="07348526" w14:textId="6AA94D39" w:rsidR="00C81328" w:rsidRPr="000F4047" w:rsidRDefault="00245167" w:rsidP="00DA48E2">
      <w:pPr>
        <w:pStyle w:val="BodyText1"/>
      </w:pPr>
      <w:r w:rsidRPr="000F4047">
        <w:lastRenderedPageBreak/>
        <w:t>CTs involving pediatric participants in the EU are subject to specific ethical requirements and regulatory considerations distinct from those applied to adult trials. These requirements are designed to protect the heightened vulnerability and unique needs of children and adolescents in clinical research. For pediatric trials, a more stringent consent process is mandated. Informed consent must be obtained from the legal guardian(s) of the child, but the child must also be involved in the decision process in an age-appropriate way. Assent (agreement to participate) should be sought from children who are able to understand the trial in a developmentally appropriate manner. This process respects the autonomy of children by allowing them to be part of the decision. The risk-benefit analysis for pediatric participants is stricter than for adults. Clinical trials involving children can only proceed if they present a direct benefit to the children participating, and minimal risk levels are generally expected unless justified by potential direct benefits to the child. Finally, pediatric trials require review by ethics committees that include expertise in pediatric medicine or child-specific ethics. This requirement ensures that the specific needs, risks, and ethical concerns for children are adequately considered.</w:t>
      </w:r>
    </w:p>
    <w:p w14:paraId="28598A00" w14:textId="2D06B8CA" w:rsidR="0015031C" w:rsidRPr="000F4047" w:rsidRDefault="00871658" w:rsidP="0002423A">
      <w:pPr>
        <w:pStyle w:val="Heading3"/>
        <w:ind w:left="567" w:hanging="567"/>
        <w:rPr>
          <w:lang w:val="en-CA"/>
        </w:rPr>
      </w:pPr>
      <w:r w:rsidRPr="000F4047">
        <w:rPr>
          <w:iCs w:val="0"/>
          <w:lang w:val="en-CA"/>
        </w:rPr>
        <w:t>Canada</w:t>
      </w:r>
    </w:p>
    <w:p w14:paraId="654E2138" w14:textId="2512ABB8" w:rsidR="00AD1A4C" w:rsidRPr="000F4047" w:rsidRDefault="00B447D3" w:rsidP="00DA48E2">
      <w:pPr>
        <w:pStyle w:val="BodyText1"/>
      </w:pPr>
      <w:r w:rsidRPr="000F4047">
        <w:rPr>
          <w:lang w:val="en-CA"/>
        </w:rPr>
        <w:t>R</w:t>
      </w:r>
      <w:r w:rsidR="00BB2978" w:rsidRPr="000F4047">
        <w:rPr>
          <w:lang w:val="en-CA"/>
        </w:rPr>
        <w:t>esearch Ethics Board</w:t>
      </w:r>
      <w:r w:rsidRPr="000F4047">
        <w:rPr>
          <w:lang w:val="en-CA"/>
        </w:rPr>
        <w:t>s</w:t>
      </w:r>
      <w:r w:rsidR="00BB2978" w:rsidRPr="000F4047">
        <w:rPr>
          <w:lang w:val="en-CA"/>
        </w:rPr>
        <w:t xml:space="preserve"> (REB)</w:t>
      </w:r>
      <w:r w:rsidRPr="000F4047">
        <w:rPr>
          <w:lang w:val="en-CA"/>
        </w:rPr>
        <w:t xml:space="preserve"> in Canada have historically been located within each institution rather than centrally. To help reduce </w:t>
      </w:r>
      <w:r w:rsidR="00E06E7F" w:rsidRPr="000F4047">
        <w:rPr>
          <w:lang w:val="en-CA"/>
        </w:rPr>
        <w:t>disparities</w:t>
      </w:r>
      <w:r w:rsidRPr="000F4047">
        <w:rPr>
          <w:lang w:val="en-CA"/>
        </w:rPr>
        <w:t xml:space="preserve"> amongst REB outcomes and standardize REB review </w:t>
      </w:r>
      <w:r w:rsidR="00573917" w:rsidRPr="000F4047">
        <w:rPr>
          <w:lang w:val="en-CA"/>
        </w:rPr>
        <w:t>processes, there have been several</w:t>
      </w:r>
      <w:r w:rsidR="00E06E7F" w:rsidRPr="000F4047">
        <w:rPr>
          <w:lang w:val="en-CA"/>
        </w:rPr>
        <w:t xml:space="preserve"> </w:t>
      </w:r>
      <w:r w:rsidRPr="000F4047">
        <w:rPr>
          <w:lang w:val="en-CA"/>
        </w:rPr>
        <w:t>proposals to initiate or explore a national program of accreditation (</w:t>
      </w:r>
      <w:r w:rsidR="00DA48E2" w:rsidRPr="000F4047">
        <w:rPr>
          <w:lang w:val="en-CA"/>
        </w:rPr>
        <w:fldChar w:fldCharType="begin"/>
      </w:r>
      <w:r w:rsidR="00DA48E2" w:rsidRPr="000F4047">
        <w:rPr>
          <w:lang w:val="en-CA"/>
        </w:rPr>
        <w:instrText xml:space="preserve"> REF _Ref179192714 \r \h </w:instrText>
      </w:r>
      <w:r w:rsidR="00DA48E2" w:rsidRPr="000F4047">
        <w:rPr>
          <w:lang w:val="en-CA"/>
        </w:rPr>
      </w:r>
      <w:r w:rsidR="00DA48E2" w:rsidRPr="000F4047">
        <w:rPr>
          <w:lang w:val="en-CA"/>
        </w:rPr>
        <w:fldChar w:fldCharType="separate"/>
      </w:r>
      <w:r w:rsidR="00DA1E53" w:rsidRPr="000F4047">
        <w:rPr>
          <w:lang w:val="en-CA"/>
        </w:rPr>
        <w:t>7</w:t>
      </w:r>
      <w:r w:rsidR="00DA48E2" w:rsidRPr="000F4047">
        <w:rPr>
          <w:lang w:val="en-CA"/>
        </w:rPr>
        <w:fldChar w:fldCharType="end"/>
      </w:r>
      <w:r w:rsidR="00DA48E2" w:rsidRPr="000F4047">
        <w:rPr>
          <w:lang w:val="en-CA"/>
        </w:rPr>
        <w:t>,</w:t>
      </w:r>
      <w:r w:rsidR="00DA48E2" w:rsidRPr="000F4047">
        <w:rPr>
          <w:lang w:val="en-CA"/>
        </w:rPr>
        <w:fldChar w:fldCharType="begin"/>
      </w:r>
      <w:r w:rsidR="00DA48E2" w:rsidRPr="000F4047">
        <w:rPr>
          <w:lang w:val="en-CA"/>
        </w:rPr>
        <w:instrText xml:space="preserve"> REF _Ref179192722 \r \h </w:instrText>
      </w:r>
      <w:r w:rsidR="00DA48E2" w:rsidRPr="000F4047">
        <w:rPr>
          <w:lang w:val="en-CA"/>
        </w:rPr>
      </w:r>
      <w:r w:rsidR="00DA48E2" w:rsidRPr="000F4047">
        <w:rPr>
          <w:lang w:val="en-CA"/>
        </w:rPr>
        <w:fldChar w:fldCharType="separate"/>
      </w:r>
      <w:r w:rsidR="00DA1E53" w:rsidRPr="000F4047">
        <w:rPr>
          <w:lang w:val="en-CA"/>
        </w:rPr>
        <w:t>8</w:t>
      </w:r>
      <w:r w:rsidR="00DA48E2" w:rsidRPr="000F4047">
        <w:rPr>
          <w:lang w:val="en-CA"/>
        </w:rPr>
        <w:fldChar w:fldCharType="end"/>
      </w:r>
      <w:r w:rsidR="00DA48E2" w:rsidRPr="000F4047">
        <w:rPr>
          <w:lang w:val="en-CA"/>
        </w:rPr>
        <w:t>,</w:t>
      </w:r>
      <w:r w:rsidR="00DA48E2" w:rsidRPr="000F4047">
        <w:rPr>
          <w:lang w:val="en-CA"/>
        </w:rPr>
        <w:fldChar w:fldCharType="begin"/>
      </w:r>
      <w:r w:rsidR="00DA48E2" w:rsidRPr="000F4047">
        <w:rPr>
          <w:lang w:val="en-CA"/>
        </w:rPr>
        <w:instrText xml:space="preserve"> REF _Ref179192727 \r \h </w:instrText>
      </w:r>
      <w:r w:rsidR="00DA48E2" w:rsidRPr="000F4047">
        <w:rPr>
          <w:lang w:val="en-CA"/>
        </w:rPr>
      </w:r>
      <w:r w:rsidR="00DA48E2" w:rsidRPr="000F4047">
        <w:rPr>
          <w:lang w:val="en-CA"/>
        </w:rPr>
        <w:fldChar w:fldCharType="separate"/>
      </w:r>
      <w:r w:rsidR="00DA1E53" w:rsidRPr="000F4047">
        <w:rPr>
          <w:lang w:val="en-CA"/>
        </w:rPr>
        <w:t>9</w:t>
      </w:r>
      <w:r w:rsidR="00DA48E2" w:rsidRPr="000F4047">
        <w:rPr>
          <w:lang w:val="en-CA"/>
        </w:rPr>
        <w:fldChar w:fldCharType="end"/>
      </w:r>
      <w:r w:rsidR="00DA48E2" w:rsidRPr="000F4047">
        <w:rPr>
          <w:lang w:val="en-CA"/>
        </w:rPr>
        <w:t>,</w:t>
      </w:r>
      <w:r w:rsidR="00DA48E2" w:rsidRPr="000F4047">
        <w:rPr>
          <w:lang w:val="en-CA"/>
        </w:rPr>
        <w:fldChar w:fldCharType="begin"/>
      </w:r>
      <w:r w:rsidR="00DA48E2" w:rsidRPr="000F4047">
        <w:rPr>
          <w:lang w:val="en-CA"/>
        </w:rPr>
        <w:instrText xml:space="preserve"> REF _Ref179192728 \r \h </w:instrText>
      </w:r>
      <w:r w:rsidR="00DA48E2" w:rsidRPr="000F4047">
        <w:rPr>
          <w:lang w:val="en-CA"/>
        </w:rPr>
      </w:r>
      <w:r w:rsidR="00DA48E2" w:rsidRPr="000F4047">
        <w:rPr>
          <w:lang w:val="en-CA"/>
        </w:rPr>
        <w:fldChar w:fldCharType="separate"/>
      </w:r>
      <w:r w:rsidR="00DA1E53" w:rsidRPr="000F4047">
        <w:rPr>
          <w:lang w:val="en-CA"/>
        </w:rPr>
        <w:t>10</w:t>
      </w:r>
      <w:r w:rsidR="00DA48E2" w:rsidRPr="000F4047">
        <w:rPr>
          <w:lang w:val="en-CA"/>
        </w:rPr>
        <w:fldChar w:fldCharType="end"/>
      </w:r>
      <w:r w:rsidR="00AA089E" w:rsidRPr="000F4047">
        <w:rPr>
          <w:lang w:val="en-CA"/>
        </w:rPr>
        <w:t xml:space="preserve">). </w:t>
      </w:r>
      <w:r w:rsidRPr="000F4047">
        <w:rPr>
          <w:lang w:val="en-CA"/>
        </w:rPr>
        <w:t>Although several provinces</w:t>
      </w:r>
      <w:r w:rsidR="00AA089E" w:rsidRPr="000F4047">
        <w:rPr>
          <w:lang w:val="en-CA"/>
        </w:rPr>
        <w:t xml:space="preserve"> (Ontario, Quebec, Alberta)</w:t>
      </w:r>
      <w:r w:rsidRPr="000F4047">
        <w:rPr>
          <w:lang w:val="en-CA"/>
        </w:rPr>
        <w:t xml:space="preserve"> have made significant progress in streamlining research ethics review</w:t>
      </w:r>
      <w:r w:rsidR="00AA089E" w:rsidRPr="000F4047">
        <w:rPr>
          <w:lang w:val="en-CA"/>
        </w:rPr>
        <w:t xml:space="preserve"> within their </w:t>
      </w:r>
      <w:r w:rsidR="00622DD8" w:rsidRPr="000F4047">
        <w:rPr>
          <w:lang w:val="en-CA"/>
        </w:rPr>
        <w:t>jurisdictions</w:t>
      </w:r>
      <w:r w:rsidRPr="000F4047">
        <w:rPr>
          <w:lang w:val="en-CA"/>
        </w:rPr>
        <w:t xml:space="preserve">, very little progress towards a </w:t>
      </w:r>
      <w:r w:rsidR="00E06E7F" w:rsidRPr="000F4047">
        <w:rPr>
          <w:lang w:val="en-CA"/>
        </w:rPr>
        <w:t>single</w:t>
      </w:r>
      <w:r w:rsidRPr="000F4047">
        <w:rPr>
          <w:lang w:val="en-CA"/>
        </w:rPr>
        <w:t xml:space="preserve"> research ethics review across Canada </w:t>
      </w:r>
      <w:proofErr w:type="spellStart"/>
      <w:r w:rsidRPr="000F4047">
        <w:rPr>
          <w:lang w:val="en-CA"/>
        </w:rPr>
        <w:t>occured</w:t>
      </w:r>
      <w:proofErr w:type="spellEnd"/>
      <w:r w:rsidRPr="000F4047">
        <w:rPr>
          <w:lang w:val="en-CA"/>
        </w:rPr>
        <w:t xml:space="preserve"> until a recent effort </w:t>
      </w:r>
      <w:r w:rsidR="00622DD8" w:rsidRPr="000F4047">
        <w:rPr>
          <w:lang w:val="en-CA"/>
        </w:rPr>
        <w:t>initiated by</w:t>
      </w:r>
      <w:r w:rsidRPr="000F4047">
        <w:rPr>
          <w:lang w:val="en-CA"/>
        </w:rPr>
        <w:t xml:space="preserve"> </w:t>
      </w:r>
      <w:r w:rsidR="00BB2978" w:rsidRPr="000F4047">
        <w:rPr>
          <w:lang w:val="en-CA"/>
        </w:rPr>
        <w:t>the Canadian Institute for Health Research (CIHR</w:t>
      </w:r>
      <w:r w:rsidR="00E06E7F" w:rsidRPr="000F4047">
        <w:rPr>
          <w:lang w:val="en-CA"/>
        </w:rPr>
        <w:t>)</w:t>
      </w:r>
      <w:r w:rsidR="008F47EA" w:rsidRPr="000F4047">
        <w:rPr>
          <w:lang w:val="en-CA"/>
        </w:rPr>
        <w:t>, the federal health research funder</w:t>
      </w:r>
      <w:r w:rsidR="00E06E7F" w:rsidRPr="000F4047">
        <w:rPr>
          <w:lang w:val="en-CA"/>
        </w:rPr>
        <w:t>, resulting in the development of</w:t>
      </w:r>
      <w:r w:rsidR="00EC5331" w:rsidRPr="000F4047">
        <w:rPr>
          <w:lang w:val="en-CA"/>
        </w:rPr>
        <w:t xml:space="preserve"> </w:t>
      </w:r>
      <w:proofErr w:type="spellStart"/>
      <w:r w:rsidR="00EC5331" w:rsidRPr="000F4047">
        <w:rPr>
          <w:lang w:val="en-CA"/>
        </w:rPr>
        <w:t>t</w:t>
      </w:r>
      <w:r w:rsidR="00A144B8" w:rsidRPr="000F4047">
        <w:rPr>
          <w:lang w:val="en-CA"/>
        </w:rPr>
        <w:t>h</w:t>
      </w:r>
      <w:proofErr w:type="spellEnd"/>
      <w:r w:rsidR="00BB2978" w:rsidRPr="000F4047">
        <w:t>e</w:t>
      </w:r>
      <w:r w:rsidR="00A144B8" w:rsidRPr="000F4047">
        <w:t xml:space="preserve"> Canadian Collaboration for Child Health: Efficiency and Excellence in the Ethics Review of Research</w:t>
      </w:r>
      <w:r w:rsidR="00BB2978" w:rsidRPr="000F4047">
        <w:t xml:space="preserve"> (CHEER)</w:t>
      </w:r>
      <w:r w:rsidR="00AA089E" w:rsidRPr="000F4047">
        <w:t xml:space="preserve"> (</w:t>
      </w:r>
      <w:r w:rsidR="004A5338" w:rsidRPr="000F4047">
        <w:fldChar w:fldCharType="begin"/>
      </w:r>
      <w:r w:rsidR="004A5338" w:rsidRPr="000F4047">
        <w:instrText xml:space="preserve"> REF _Ref179192782 \r \h </w:instrText>
      </w:r>
      <w:r w:rsidR="004A5338" w:rsidRPr="000F4047">
        <w:fldChar w:fldCharType="separate"/>
      </w:r>
      <w:r w:rsidR="00DA1E53" w:rsidRPr="000F4047">
        <w:t>11</w:t>
      </w:r>
      <w:r w:rsidR="004A5338" w:rsidRPr="000F4047">
        <w:fldChar w:fldCharType="end"/>
      </w:r>
      <w:r w:rsidR="00AA089E" w:rsidRPr="000F4047">
        <w:t>)</w:t>
      </w:r>
      <w:r w:rsidR="00A144B8" w:rsidRPr="000F4047">
        <w:t xml:space="preserve">. </w:t>
      </w:r>
      <w:r w:rsidR="00AE460A" w:rsidRPr="000F4047">
        <w:t xml:space="preserve">By the end of this national grant </w:t>
      </w:r>
      <w:r w:rsidR="00E06E7F" w:rsidRPr="000F4047">
        <w:t xml:space="preserve">in </w:t>
      </w:r>
      <w:r w:rsidR="00AE460A" w:rsidRPr="000F4047">
        <w:t>2026,</w:t>
      </w:r>
      <w:r w:rsidR="00757410" w:rsidRPr="000F4047">
        <w:t xml:space="preserve"> </w:t>
      </w:r>
      <w:r w:rsidR="00E06E7F" w:rsidRPr="000F4047">
        <w:t xml:space="preserve">the </w:t>
      </w:r>
      <w:r w:rsidR="00757410" w:rsidRPr="000F4047">
        <w:t xml:space="preserve">CHEER collaboration </w:t>
      </w:r>
      <w:r w:rsidR="00622DD8" w:rsidRPr="000F4047">
        <w:t>is expected to</w:t>
      </w:r>
      <w:r w:rsidR="00EC5331" w:rsidRPr="000F4047">
        <w:t xml:space="preserve"> develop</w:t>
      </w:r>
      <w:r w:rsidR="00757410" w:rsidRPr="000F4047">
        <w:t xml:space="preserve"> a cross-province streamlined ethics review process for multi-site studies </w:t>
      </w:r>
      <w:r w:rsidR="00E06E7F" w:rsidRPr="000F4047">
        <w:t>aiming to</w:t>
      </w:r>
      <w:r w:rsidR="00757410" w:rsidRPr="000F4047">
        <w:t xml:space="preserve"> achiev</w:t>
      </w:r>
      <w:r w:rsidR="00E06E7F" w:rsidRPr="000F4047">
        <w:t>e</w:t>
      </w:r>
      <w:r w:rsidR="00757410" w:rsidRPr="000F4047">
        <w:t xml:space="preserve"> a single ethics review for </w:t>
      </w:r>
      <w:r w:rsidR="00622DD8" w:rsidRPr="000F4047">
        <w:t>pediatric clinical trials</w:t>
      </w:r>
      <w:r w:rsidR="00757410" w:rsidRPr="000F4047">
        <w:t xml:space="preserve"> in Canada. The CHEER project has </w:t>
      </w:r>
      <w:r w:rsidR="00E06E7F" w:rsidRPr="000F4047">
        <w:t>several</w:t>
      </w:r>
      <w:r w:rsidR="00AA089E" w:rsidRPr="000F4047">
        <w:t xml:space="preserve"> </w:t>
      </w:r>
      <w:r w:rsidR="00757410" w:rsidRPr="000F4047">
        <w:t>deliverables: 1) Canada-wide streamlined research ethics review platform</w:t>
      </w:r>
      <w:r w:rsidR="00E06E7F" w:rsidRPr="000F4047">
        <w:t>s</w:t>
      </w:r>
      <w:r w:rsidR="00757410" w:rsidRPr="000F4047">
        <w:t xml:space="preserve"> customized to support the needs of the child health research community, considering different states of readiness and legislative and structural particularities</w:t>
      </w:r>
      <w:r w:rsidR="00A4121B" w:rsidRPr="000F4047">
        <w:t>;</w:t>
      </w:r>
      <w:r w:rsidR="00757410" w:rsidRPr="000F4047">
        <w:t xml:space="preserve"> 2) </w:t>
      </w:r>
      <w:r w:rsidR="00E06E7F" w:rsidRPr="000F4047">
        <w:t xml:space="preserve">an </w:t>
      </w:r>
      <w:r w:rsidR="00757410" w:rsidRPr="000F4047">
        <w:t>REB assessment program to ensure quality and consistency in research ethics review and engender trust across the REB and institutional communities</w:t>
      </w:r>
      <w:r w:rsidR="00A4121B" w:rsidRPr="000F4047">
        <w:t>;</w:t>
      </w:r>
      <w:r w:rsidR="00757410" w:rsidRPr="000F4047">
        <w:t xml:space="preserve"> </w:t>
      </w:r>
      <w:r w:rsidR="00E06E7F" w:rsidRPr="000F4047">
        <w:t xml:space="preserve">and </w:t>
      </w:r>
      <w:r w:rsidR="00757410" w:rsidRPr="000F4047">
        <w:t xml:space="preserve">3) </w:t>
      </w:r>
      <w:r w:rsidR="00E06E7F" w:rsidRPr="000F4047">
        <w:t>e</w:t>
      </w:r>
      <w:r w:rsidR="00757410" w:rsidRPr="000F4047">
        <w:t>ducational resources to advance the ethical conduct of child health research and support efficiency, quality and consistency in research ethics reviews</w:t>
      </w:r>
      <w:r w:rsidR="00AA089E" w:rsidRPr="000F4047">
        <w:t xml:space="preserve">. </w:t>
      </w:r>
      <w:r w:rsidR="0061731B" w:rsidRPr="000F4047">
        <w:t xml:space="preserve">Streamlining ethics review in Canada is also one of </w:t>
      </w:r>
      <w:r w:rsidR="00E06E7F" w:rsidRPr="000F4047">
        <w:t xml:space="preserve">the objectives of </w:t>
      </w:r>
      <w:r w:rsidR="0061731B" w:rsidRPr="000F4047">
        <w:t xml:space="preserve">the Accelerating Clinical Trials (ACT) Canada Consortium. </w:t>
      </w:r>
      <w:r w:rsidR="00E06E7F" w:rsidRPr="000F4047">
        <w:t xml:space="preserve">Although </w:t>
      </w:r>
      <w:proofErr w:type="gramStart"/>
      <w:r w:rsidR="00E06E7F" w:rsidRPr="000F4047">
        <w:t>n</w:t>
      </w:r>
      <w:r w:rsidR="008F47EA" w:rsidRPr="000F4047">
        <w:t>on exclusively</w:t>
      </w:r>
      <w:proofErr w:type="gramEnd"/>
      <w:r w:rsidR="008F47EA" w:rsidRPr="000F4047">
        <w:t xml:space="preserve"> focused on pediatric trials, t</w:t>
      </w:r>
      <w:r w:rsidR="0061731B" w:rsidRPr="000F4047">
        <w:t xml:space="preserve">he mandate of ACT, a </w:t>
      </w:r>
      <w:r w:rsidR="00E06E7F" w:rsidRPr="000F4047">
        <w:t xml:space="preserve">3-year (2022-2025) </w:t>
      </w:r>
      <w:r w:rsidR="0061731B" w:rsidRPr="000F4047">
        <w:t xml:space="preserve">$39 </w:t>
      </w:r>
      <w:proofErr w:type="spellStart"/>
      <w:r w:rsidR="0061731B" w:rsidRPr="000F4047">
        <w:t>milion</w:t>
      </w:r>
      <w:proofErr w:type="spellEnd"/>
      <w:r w:rsidR="0061731B" w:rsidRPr="000F4047">
        <w:t xml:space="preserve"> CIHR investment, is to accelerate, optimize, and facilitate the conduct, implementation and results translation from high</w:t>
      </w:r>
      <w:r w:rsidR="00E06E7F" w:rsidRPr="000F4047">
        <w:t>-</w:t>
      </w:r>
      <w:r w:rsidR="0061731B" w:rsidRPr="000F4047">
        <w:t>quality high</w:t>
      </w:r>
      <w:r w:rsidR="00E06E7F" w:rsidRPr="000F4047">
        <w:t>-</w:t>
      </w:r>
      <w:r w:rsidR="0061731B" w:rsidRPr="000F4047">
        <w:t>impact randomized controlled trials (</w:t>
      </w:r>
      <w:r w:rsidR="004A5338" w:rsidRPr="000F4047">
        <w:fldChar w:fldCharType="begin"/>
      </w:r>
      <w:r w:rsidR="004A5338" w:rsidRPr="000F4047">
        <w:instrText xml:space="preserve"> REF _Ref179192812 \r \h </w:instrText>
      </w:r>
      <w:r w:rsidR="004A5338" w:rsidRPr="000F4047">
        <w:fldChar w:fldCharType="separate"/>
      </w:r>
      <w:r w:rsidR="00DA1E53" w:rsidRPr="000F4047">
        <w:t>12</w:t>
      </w:r>
      <w:r w:rsidR="004A5338" w:rsidRPr="000F4047">
        <w:fldChar w:fldCharType="end"/>
      </w:r>
      <w:r w:rsidR="0061731B" w:rsidRPr="000F4047">
        <w:t xml:space="preserve">). </w:t>
      </w:r>
      <w:r w:rsidR="00C46745" w:rsidRPr="000F4047">
        <w:t xml:space="preserve">The ACT consortium is funding </w:t>
      </w:r>
      <w:proofErr w:type="spellStart"/>
      <w:r w:rsidR="00C46745" w:rsidRPr="000F4047">
        <w:t>CanReview</w:t>
      </w:r>
      <w:proofErr w:type="spellEnd"/>
      <w:r w:rsidR="00C46745" w:rsidRPr="000F4047">
        <w:t xml:space="preserve">, </w:t>
      </w:r>
      <w:r w:rsidR="006B3483" w:rsidRPr="000F4047">
        <w:t xml:space="preserve">a multi-stakeholder group tasked to set up and run a pan-Canadian, distributive, single REB review and approval process with strict timelines for the initiation and conduct of </w:t>
      </w:r>
      <w:proofErr w:type="spellStart"/>
      <w:r w:rsidR="006B3483" w:rsidRPr="000F4047">
        <w:t>multicentre</w:t>
      </w:r>
      <w:proofErr w:type="spellEnd"/>
      <w:r w:rsidR="006B3483" w:rsidRPr="000F4047">
        <w:t xml:space="preserve"> CTs (</w:t>
      </w:r>
      <w:r w:rsidR="006B416D" w:rsidRPr="000F4047">
        <w:fldChar w:fldCharType="begin"/>
      </w:r>
      <w:r w:rsidR="006B416D" w:rsidRPr="000F4047">
        <w:instrText xml:space="preserve"> REF _Ref179192812 \r \h </w:instrText>
      </w:r>
      <w:r w:rsidR="006B416D" w:rsidRPr="000F4047">
        <w:fldChar w:fldCharType="separate"/>
      </w:r>
      <w:r w:rsidR="00DA1E53" w:rsidRPr="000F4047">
        <w:t>12</w:t>
      </w:r>
      <w:r w:rsidR="006B416D" w:rsidRPr="000F4047">
        <w:fldChar w:fldCharType="end"/>
      </w:r>
      <w:r w:rsidR="006B416D" w:rsidRPr="000F4047">
        <w:t>)</w:t>
      </w:r>
      <w:r w:rsidR="006B3483" w:rsidRPr="000F4047">
        <w:t xml:space="preserve">. </w:t>
      </w:r>
    </w:p>
    <w:p w14:paraId="3DD8CF07" w14:textId="38B4B2DF" w:rsidR="0015031C" w:rsidRPr="000F4047" w:rsidRDefault="00871658" w:rsidP="00DA48E2">
      <w:pPr>
        <w:pStyle w:val="Heading3"/>
        <w:rPr>
          <w:lang w:eastAsia="en-CA"/>
        </w:rPr>
      </w:pPr>
      <w:r w:rsidRPr="000F4047">
        <w:rPr>
          <w:lang w:eastAsia="en-CA"/>
        </w:rPr>
        <w:t>United Kingdom</w:t>
      </w:r>
    </w:p>
    <w:p w14:paraId="015D4980" w14:textId="13C38FCB" w:rsidR="00AD1A4C" w:rsidRPr="000F4047" w:rsidRDefault="00B447D3" w:rsidP="00DA48E2">
      <w:pPr>
        <w:pStyle w:val="BodyText1"/>
      </w:pPr>
      <w:r w:rsidRPr="000F4047">
        <w:t>The MHRA and the Department of Health in Northern Ireland, working closely with the Health Research Authority (HR</w:t>
      </w:r>
      <w:r w:rsidR="00A144B8" w:rsidRPr="000F4047">
        <w:t>A</w:t>
      </w:r>
      <w:r w:rsidRPr="000F4047">
        <w:t xml:space="preserve">), consulted on a set of proposals to update, improve and strengthen the </w:t>
      </w:r>
      <w:r w:rsidRPr="000F4047">
        <w:lastRenderedPageBreak/>
        <w:t>UK legislation that underpins the regulation of clinical trials. The outcome of the consultation and the government’s proposals were published in March 2023 (</w:t>
      </w:r>
      <w:r w:rsidR="004A5338" w:rsidRPr="000F4047">
        <w:fldChar w:fldCharType="begin"/>
      </w:r>
      <w:r w:rsidR="004A5338" w:rsidRPr="000F4047">
        <w:instrText xml:space="preserve"> REF _Ref179192826 \r \h </w:instrText>
      </w:r>
      <w:r w:rsidR="004A5338" w:rsidRPr="000F4047">
        <w:fldChar w:fldCharType="separate"/>
      </w:r>
      <w:r w:rsidR="00DA1E53" w:rsidRPr="000F4047">
        <w:t>13</w:t>
      </w:r>
      <w:r w:rsidR="004A5338" w:rsidRPr="000F4047">
        <w:fldChar w:fldCharType="end"/>
      </w:r>
      <w:proofErr w:type="gramStart"/>
      <w:r w:rsidR="00D0560B" w:rsidRPr="000F4047">
        <w:t>)</w:t>
      </w:r>
      <w:r w:rsidRPr="000F4047">
        <w:t xml:space="preserve"> .</w:t>
      </w:r>
      <w:proofErr w:type="gramEnd"/>
      <w:r w:rsidRPr="000F4047">
        <w:t xml:space="preserve"> A key proposal </w:t>
      </w:r>
      <w:r w:rsidR="00467563" w:rsidRPr="000F4047">
        <w:t>was</w:t>
      </w:r>
      <w:r w:rsidRPr="000F4047">
        <w:t xml:space="preserve"> to introduce a combined regulatory and ethics approval process into legislation, </w:t>
      </w:r>
      <w:r w:rsidR="008A6124" w:rsidRPr="000F4047">
        <w:t>while</w:t>
      </w:r>
      <w:r w:rsidRPr="000F4047">
        <w:t xml:space="preserve"> keep</w:t>
      </w:r>
      <w:r w:rsidR="008A6124" w:rsidRPr="000F4047">
        <w:t>ing</w:t>
      </w:r>
      <w:r w:rsidRPr="000F4047">
        <w:t xml:space="preserve"> the option for independent submissions available </w:t>
      </w:r>
      <w:r w:rsidR="008A6124" w:rsidRPr="000F4047">
        <w:t>for</w:t>
      </w:r>
      <w:r w:rsidRPr="000F4047">
        <w:t xml:space="preserve"> rare exceptions. This </w:t>
      </w:r>
      <w:r w:rsidR="008A6124" w:rsidRPr="000F4047">
        <w:t>approach aims to</w:t>
      </w:r>
      <w:r w:rsidRPr="000F4047">
        <w:t xml:space="preserve"> create a proportionate and flexible regulatory environment that is streamlined, agile and respon</w:t>
      </w:r>
      <w:r w:rsidR="00312DB0" w:rsidRPr="000F4047">
        <w:t xml:space="preserve">sive </w:t>
      </w:r>
      <w:r w:rsidR="00312DB0" w:rsidRPr="000F4047">
        <w:rPr>
          <w:rFonts w:ascii="Times" w:hAnsi="Times" w:cs="Times"/>
          <w:bCs/>
          <w:szCs w:val="24"/>
          <w:lang w:val="en-GB" w:eastAsia="en-CA"/>
        </w:rPr>
        <w:t>to innovation, while assuring</w:t>
      </w:r>
      <w:r w:rsidRPr="000F4047">
        <w:rPr>
          <w:rFonts w:ascii="Times" w:hAnsi="Times" w:cs="Times"/>
          <w:bCs/>
          <w:szCs w:val="24"/>
          <w:lang w:val="en-GB" w:eastAsia="en-CA"/>
        </w:rPr>
        <w:t xml:space="preserve"> participant safety.</w:t>
      </w:r>
      <w:r w:rsidR="007008EF" w:rsidRPr="000F4047">
        <w:rPr>
          <w:rFonts w:ascii="Times" w:hAnsi="Times" w:cs="Times"/>
          <w:bCs/>
          <w:szCs w:val="24"/>
          <w:lang w:val="en-GB" w:eastAsia="en-CA"/>
        </w:rPr>
        <w:t xml:space="preserve"> The MHRA will continue to make enhancements with </w:t>
      </w:r>
      <w:hyperlink r:id="rId8" w:history="1">
        <w:r w:rsidR="007008EF" w:rsidRPr="000F4047">
          <w:t>new legislative measures</w:t>
        </w:r>
      </w:hyperlink>
      <w:r w:rsidR="007008EF" w:rsidRPr="000F4047">
        <w:rPr>
          <w:rFonts w:ascii="Times" w:hAnsi="Times" w:cs="Times"/>
          <w:bCs/>
          <w:szCs w:val="24"/>
          <w:lang w:val="en-GB" w:eastAsia="en-CA"/>
        </w:rPr>
        <w:t xml:space="preserve"> to make it easier and faster for applicants to gain approvals and to ensure the UK remains a prime destination for clinical trials (</w:t>
      </w:r>
      <w:r w:rsidR="007008EF" w:rsidRPr="000F4047">
        <w:rPr>
          <w:rFonts w:ascii="Times" w:hAnsi="Times" w:cs="Times"/>
          <w:bCs/>
          <w:szCs w:val="24"/>
          <w:lang w:val="en-GB" w:eastAsia="en-CA"/>
        </w:rPr>
        <w:fldChar w:fldCharType="begin"/>
      </w:r>
      <w:r w:rsidR="007008EF" w:rsidRPr="000F4047">
        <w:rPr>
          <w:rFonts w:ascii="Times" w:hAnsi="Times" w:cs="Times"/>
          <w:bCs/>
          <w:szCs w:val="24"/>
          <w:lang w:val="en-GB" w:eastAsia="en-CA"/>
        </w:rPr>
        <w:instrText xml:space="preserve"> REF _Ref181953196 \r \h </w:instrText>
      </w:r>
      <w:r w:rsidR="000435A2" w:rsidRPr="000F4047">
        <w:rPr>
          <w:rFonts w:ascii="Times" w:hAnsi="Times" w:cs="Times"/>
          <w:bCs/>
          <w:szCs w:val="24"/>
          <w:lang w:val="en-GB" w:eastAsia="en-CA"/>
        </w:rPr>
        <w:instrText xml:space="preserve"> \* MERGEFORMAT </w:instrText>
      </w:r>
      <w:r w:rsidR="007008EF" w:rsidRPr="000F4047">
        <w:rPr>
          <w:rFonts w:ascii="Times" w:hAnsi="Times" w:cs="Times"/>
          <w:bCs/>
          <w:szCs w:val="24"/>
          <w:lang w:val="en-GB" w:eastAsia="en-CA"/>
        </w:rPr>
      </w:r>
      <w:r w:rsidR="007008EF" w:rsidRPr="000F4047">
        <w:rPr>
          <w:rFonts w:ascii="Times" w:hAnsi="Times" w:cs="Times"/>
          <w:bCs/>
          <w:szCs w:val="24"/>
          <w:lang w:val="en-GB" w:eastAsia="en-CA"/>
        </w:rPr>
        <w:fldChar w:fldCharType="separate"/>
      </w:r>
      <w:r w:rsidR="00DA1E53" w:rsidRPr="000F4047">
        <w:rPr>
          <w:rFonts w:ascii="Times" w:hAnsi="Times" w:cs="Times"/>
          <w:bCs/>
          <w:szCs w:val="24"/>
          <w:lang w:val="en-GB" w:eastAsia="en-CA"/>
        </w:rPr>
        <w:t>14</w:t>
      </w:r>
      <w:r w:rsidR="007008EF" w:rsidRPr="000F4047">
        <w:rPr>
          <w:rFonts w:ascii="Times" w:hAnsi="Times" w:cs="Times"/>
          <w:bCs/>
          <w:szCs w:val="24"/>
          <w:lang w:val="en-GB" w:eastAsia="en-CA"/>
        </w:rPr>
        <w:fldChar w:fldCharType="end"/>
      </w:r>
      <w:r w:rsidR="007008EF" w:rsidRPr="000F4047">
        <w:rPr>
          <w:rFonts w:ascii="Times" w:hAnsi="Times" w:cs="Times"/>
          <w:bCs/>
          <w:szCs w:val="24"/>
          <w:lang w:val="en-GB" w:eastAsia="en-CA"/>
        </w:rPr>
        <w:t xml:space="preserve">). More detailed information on the planned overhaul of UK clinical trials regulations </w:t>
      </w:r>
      <w:r w:rsidR="000435A2" w:rsidRPr="000F4047">
        <w:rPr>
          <w:rFonts w:ascii="Times" w:hAnsi="Times" w:cs="Times"/>
          <w:bCs/>
          <w:szCs w:val="24"/>
          <w:lang w:val="en-GB" w:eastAsia="en-CA"/>
        </w:rPr>
        <w:t>were recently (December 2024) made available</w:t>
      </w:r>
      <w:r w:rsidR="004F6B1D" w:rsidRPr="000F4047">
        <w:rPr>
          <w:rFonts w:ascii="Times" w:hAnsi="Times" w:cs="Times"/>
          <w:bCs/>
          <w:szCs w:val="24"/>
          <w:lang w:val="en-GB" w:eastAsia="en-CA"/>
        </w:rPr>
        <w:t xml:space="preserve"> </w:t>
      </w:r>
      <w:r w:rsidR="00F03A14" w:rsidRPr="000F4047">
        <w:rPr>
          <w:rFonts w:ascii="Times" w:hAnsi="Times" w:cs="Times"/>
          <w:bCs/>
          <w:szCs w:val="24"/>
          <w:lang w:val="en-GB" w:eastAsia="en-CA"/>
        </w:rPr>
        <w:t>(</w:t>
      </w:r>
      <w:r w:rsidR="00F03A14" w:rsidRPr="000F4047">
        <w:rPr>
          <w:rFonts w:ascii="Times" w:hAnsi="Times" w:cs="Times"/>
          <w:bCs/>
          <w:szCs w:val="24"/>
          <w:lang w:val="en-GB" w:eastAsia="en-CA"/>
        </w:rPr>
        <w:fldChar w:fldCharType="begin"/>
      </w:r>
      <w:r w:rsidR="00F03A14" w:rsidRPr="000F4047">
        <w:rPr>
          <w:rFonts w:ascii="Times" w:hAnsi="Times" w:cs="Times"/>
          <w:bCs/>
          <w:szCs w:val="24"/>
          <w:lang w:val="en-GB" w:eastAsia="en-CA"/>
        </w:rPr>
        <w:instrText xml:space="preserve"> REF _Ref187655251 \r \h </w:instrText>
      </w:r>
      <w:r w:rsidR="00F03A14" w:rsidRPr="000F4047">
        <w:rPr>
          <w:rFonts w:ascii="Times" w:hAnsi="Times" w:cs="Times"/>
          <w:bCs/>
          <w:szCs w:val="24"/>
          <w:lang w:val="en-GB" w:eastAsia="en-CA"/>
        </w:rPr>
      </w:r>
      <w:r w:rsidR="00F03A14" w:rsidRPr="000F4047">
        <w:rPr>
          <w:rFonts w:ascii="Times" w:hAnsi="Times" w:cs="Times"/>
          <w:bCs/>
          <w:szCs w:val="24"/>
          <w:lang w:val="en-GB" w:eastAsia="en-CA"/>
        </w:rPr>
        <w:fldChar w:fldCharType="separate"/>
      </w:r>
      <w:r w:rsidR="00DA1E53" w:rsidRPr="000F4047">
        <w:rPr>
          <w:rFonts w:ascii="Times" w:hAnsi="Times" w:cs="Times"/>
          <w:bCs/>
          <w:szCs w:val="24"/>
          <w:lang w:val="en-GB" w:eastAsia="en-CA"/>
        </w:rPr>
        <w:t>15</w:t>
      </w:r>
      <w:r w:rsidR="00F03A14" w:rsidRPr="000F4047">
        <w:rPr>
          <w:rFonts w:ascii="Times" w:hAnsi="Times" w:cs="Times"/>
          <w:bCs/>
          <w:szCs w:val="24"/>
          <w:lang w:val="en-GB" w:eastAsia="en-CA"/>
        </w:rPr>
        <w:fldChar w:fldCharType="end"/>
      </w:r>
      <w:r w:rsidR="00F03A14" w:rsidRPr="000F4047">
        <w:rPr>
          <w:rFonts w:ascii="Times" w:hAnsi="Times" w:cs="Times"/>
          <w:bCs/>
          <w:szCs w:val="24"/>
          <w:lang w:val="en-GB" w:eastAsia="en-CA"/>
        </w:rPr>
        <w:t>)</w:t>
      </w:r>
      <w:r w:rsidR="004F6B1D" w:rsidRPr="000F4047">
        <w:rPr>
          <w:rFonts w:ascii="Times" w:hAnsi="Times" w:cs="Times"/>
          <w:bCs/>
          <w:szCs w:val="24"/>
          <w:lang w:val="en-GB" w:eastAsia="en-CA"/>
        </w:rPr>
        <w:t>.</w:t>
      </w:r>
    </w:p>
    <w:p w14:paraId="049E265E" w14:textId="6E34C949" w:rsidR="0015031C" w:rsidRPr="000F4047" w:rsidRDefault="00B447D3" w:rsidP="00DA48E2">
      <w:pPr>
        <w:pStyle w:val="Heading3"/>
      </w:pPr>
      <w:r w:rsidRPr="000F4047">
        <w:t>Unite</w:t>
      </w:r>
      <w:r w:rsidR="00A21022" w:rsidRPr="000F4047">
        <w:t>d</w:t>
      </w:r>
      <w:r w:rsidRPr="000F4047">
        <w:t xml:space="preserve"> Sta</w:t>
      </w:r>
      <w:r w:rsidR="00A21022" w:rsidRPr="000F4047">
        <w:t>t</w:t>
      </w:r>
      <w:r w:rsidRPr="000F4047">
        <w:t>es of America</w:t>
      </w:r>
    </w:p>
    <w:p w14:paraId="63F2CE72" w14:textId="5CBD495F" w:rsidR="00E855F6" w:rsidRPr="000F4047" w:rsidRDefault="00E855F6" w:rsidP="00E855F6">
      <w:pPr>
        <w:pStyle w:val="BodyText1"/>
      </w:pPr>
      <w:r w:rsidRPr="000F4047">
        <w:t>In recent years, the U.S. government has introduced several important changes aimed at modernizing, strengthening, and streamlining the research ethics review process. These changes impact multi-site research involving children and reflect the growing complexity and scale of clinical investigations. Through updated regulations, policies, and guidance, federal departments and agencies have sought to improve efficiency, promote ethical standards, and ensure that human subjects in research, including children, are adequately protected. Key updates from the U.S. Department of Human Health and Services (HHS), the National Institutes of Health (NIH), and FDA, illustrate the evolving landscape of research oversight in the U.S.</w:t>
      </w:r>
    </w:p>
    <w:p w14:paraId="6DE08FA5" w14:textId="03A57750" w:rsidR="00A21022" w:rsidRPr="000F4047" w:rsidRDefault="00A21022" w:rsidP="00DA48E2">
      <w:pPr>
        <w:pStyle w:val="BodyText1"/>
      </w:pPr>
      <w:r w:rsidRPr="000F4047">
        <w:t xml:space="preserve">In January 2017, the </w:t>
      </w:r>
      <w:r w:rsidR="00E855F6" w:rsidRPr="000F4047">
        <w:t xml:space="preserve">HHS </w:t>
      </w:r>
      <w:r w:rsidRPr="000F4047">
        <w:t xml:space="preserve">and 15 other U.S. federal </w:t>
      </w:r>
      <w:r w:rsidR="00E855F6" w:rsidRPr="000F4047">
        <w:t xml:space="preserve">departments and </w:t>
      </w:r>
      <w:r w:rsidRPr="000F4047">
        <w:t>agencies issued a final rule</w:t>
      </w:r>
      <w:r w:rsidR="009D6629" w:rsidRPr="000F4047">
        <w:t>, that was further amended on the 22</w:t>
      </w:r>
      <w:r w:rsidR="009D6629" w:rsidRPr="000F4047">
        <w:rPr>
          <w:vertAlign w:val="superscript"/>
        </w:rPr>
        <w:t>nd</w:t>
      </w:r>
      <w:r w:rsidR="009D6629" w:rsidRPr="000F4047">
        <w:t xml:space="preserve"> of January and 19</w:t>
      </w:r>
      <w:r w:rsidR="009D6629" w:rsidRPr="000F4047">
        <w:rPr>
          <w:vertAlign w:val="superscript"/>
        </w:rPr>
        <w:t>th</w:t>
      </w:r>
      <w:r w:rsidR="009D6629" w:rsidRPr="000F4047">
        <w:t xml:space="preserve"> of June 2018,</w:t>
      </w:r>
      <w:r w:rsidRPr="000F4047">
        <w:t xml:space="preserve"> to update the Federal Policy for the Protection of Human Subjects, also known as the Common Rule</w:t>
      </w:r>
      <w:r w:rsidR="009505A5" w:rsidRPr="000F4047">
        <w:t xml:space="preserve"> (</w:t>
      </w:r>
      <w:r w:rsidR="004A5338" w:rsidRPr="000F4047">
        <w:fldChar w:fldCharType="begin"/>
      </w:r>
      <w:r w:rsidR="004A5338" w:rsidRPr="000F4047">
        <w:instrText xml:space="preserve"> REF _Ref179192846 \r \h </w:instrText>
      </w:r>
      <w:r w:rsidR="004A5338" w:rsidRPr="000F4047">
        <w:fldChar w:fldCharType="separate"/>
      </w:r>
      <w:r w:rsidR="00DA1E53" w:rsidRPr="000F4047">
        <w:t>16</w:t>
      </w:r>
      <w:r w:rsidR="004A5338" w:rsidRPr="000F4047">
        <w:fldChar w:fldCharType="end"/>
      </w:r>
      <w:r w:rsidR="001C0AAA" w:rsidRPr="000F4047">
        <w:t>,</w:t>
      </w:r>
      <w:r w:rsidR="001C0AAA" w:rsidRPr="000F4047">
        <w:fldChar w:fldCharType="begin"/>
      </w:r>
      <w:r w:rsidR="001C0AAA" w:rsidRPr="000F4047">
        <w:instrText xml:space="preserve"> REF _Ref183676410 \r \h </w:instrText>
      </w:r>
      <w:r w:rsidR="001C0AAA" w:rsidRPr="000F4047">
        <w:fldChar w:fldCharType="separate"/>
      </w:r>
      <w:r w:rsidR="00DA1E53" w:rsidRPr="000F4047">
        <w:t>17</w:t>
      </w:r>
      <w:r w:rsidR="001C0AAA" w:rsidRPr="000F4047">
        <w:fldChar w:fldCharType="end"/>
      </w:r>
      <w:r w:rsidR="001C0AAA" w:rsidRPr="000F4047">
        <w:t>,</w:t>
      </w:r>
      <w:r w:rsidR="001C0AAA" w:rsidRPr="000F4047">
        <w:fldChar w:fldCharType="begin"/>
      </w:r>
      <w:r w:rsidR="001C0AAA" w:rsidRPr="000F4047">
        <w:instrText xml:space="preserve"> REF _Ref183676413 \r \h </w:instrText>
      </w:r>
      <w:r w:rsidR="001C0AAA" w:rsidRPr="000F4047">
        <w:fldChar w:fldCharType="separate"/>
      </w:r>
      <w:r w:rsidR="00DA1E53" w:rsidRPr="000F4047">
        <w:t>18</w:t>
      </w:r>
      <w:r w:rsidR="001C0AAA" w:rsidRPr="000F4047">
        <w:fldChar w:fldCharType="end"/>
      </w:r>
      <w:r w:rsidR="009505A5" w:rsidRPr="000F4047">
        <w:t>)</w:t>
      </w:r>
      <w:r w:rsidRPr="000F4047">
        <w:t>. The revisions to the Common Rule included a new requirement that any institution located in the U.S. that is engaged in cooperative research (i.e., multi-site research) conducted or supported by a Federal department or agency</w:t>
      </w:r>
      <w:r w:rsidR="00E855F6" w:rsidRPr="000F4047">
        <w:t xml:space="preserve"> subject to the Common Rule</w:t>
      </w:r>
      <w:r w:rsidRPr="000F4047">
        <w:t xml:space="preserve"> rely upon approval by a single</w:t>
      </w:r>
      <w:r w:rsidR="00E855F6" w:rsidRPr="000F4047">
        <w:t xml:space="preserve"> Institutional Review Board</w:t>
      </w:r>
      <w:r w:rsidRPr="000F4047">
        <w:t xml:space="preserve"> </w:t>
      </w:r>
      <w:r w:rsidR="00E855F6" w:rsidRPr="000F4047">
        <w:t>(</w:t>
      </w:r>
      <w:r w:rsidRPr="000F4047">
        <w:t>IRB</w:t>
      </w:r>
      <w:r w:rsidR="00E855F6" w:rsidRPr="000F4047">
        <w:t>)</w:t>
      </w:r>
      <w:r w:rsidRPr="000F4047">
        <w:t xml:space="preserve"> for that portion of the research that is conducted in the U.S., with some exceptions</w:t>
      </w:r>
      <w:r w:rsidR="002728DC" w:rsidRPr="000F4047">
        <w:t xml:space="preserve"> </w:t>
      </w:r>
      <w:r w:rsidR="00BD726C" w:rsidRPr="000F4047">
        <w:t>(</w:t>
      </w:r>
      <w:r w:rsidR="004A5338" w:rsidRPr="000F4047">
        <w:fldChar w:fldCharType="begin"/>
      </w:r>
      <w:r w:rsidR="004A5338" w:rsidRPr="000F4047">
        <w:instrText xml:space="preserve"> REF _Ref179192859 \r \h </w:instrText>
      </w:r>
      <w:r w:rsidR="004A5338" w:rsidRPr="000F4047">
        <w:fldChar w:fldCharType="separate"/>
      </w:r>
      <w:r w:rsidR="00DA1E53" w:rsidRPr="000F4047">
        <w:t>19</w:t>
      </w:r>
      <w:r w:rsidR="004A5338" w:rsidRPr="000F4047">
        <w:fldChar w:fldCharType="end"/>
      </w:r>
      <w:r w:rsidR="00BD726C" w:rsidRPr="000F4047">
        <w:t>)</w:t>
      </w:r>
      <w:r w:rsidRPr="000F4047">
        <w:t>. The compliance date for the single IRB review requirement for cooperative research</w:t>
      </w:r>
      <w:r w:rsidR="00E13301" w:rsidRPr="000F4047">
        <w:t xml:space="preserve"> (for both pediatric and/or adult populations)</w:t>
      </w:r>
      <w:r w:rsidRPr="000F4047">
        <w:t xml:space="preserve"> was </w:t>
      </w:r>
      <w:r w:rsidR="00E855F6" w:rsidRPr="000F4047">
        <w:t>the 20</w:t>
      </w:r>
      <w:r w:rsidR="00E855F6" w:rsidRPr="000F4047">
        <w:rPr>
          <w:vertAlign w:val="superscript"/>
        </w:rPr>
        <w:t>th</w:t>
      </w:r>
      <w:r w:rsidR="00E855F6" w:rsidRPr="000F4047">
        <w:t xml:space="preserve"> of </w:t>
      </w:r>
      <w:r w:rsidRPr="000F4047">
        <w:t>January 2020.</w:t>
      </w:r>
    </w:p>
    <w:p w14:paraId="0C21B599" w14:textId="5E3F7A9A" w:rsidR="00BA34C1" w:rsidRPr="000F4047" w:rsidRDefault="00A21022" w:rsidP="00DA48E2">
      <w:pPr>
        <w:pStyle w:val="BodyText1"/>
      </w:pPr>
      <w:r w:rsidRPr="000F4047">
        <w:t xml:space="preserve">On </w:t>
      </w:r>
      <w:r w:rsidR="00E855F6" w:rsidRPr="000F4047">
        <w:t>the 25</w:t>
      </w:r>
      <w:r w:rsidR="00E855F6" w:rsidRPr="000F4047">
        <w:rPr>
          <w:vertAlign w:val="superscript"/>
        </w:rPr>
        <w:t>th</w:t>
      </w:r>
      <w:r w:rsidR="00E855F6" w:rsidRPr="000F4047">
        <w:t xml:space="preserve"> of </w:t>
      </w:r>
      <w:r w:rsidRPr="000F4047">
        <w:t>Januar</w:t>
      </w:r>
      <w:r w:rsidR="00E855F6" w:rsidRPr="000F4047">
        <w:t xml:space="preserve">y </w:t>
      </w:r>
      <w:r w:rsidRPr="000F4047">
        <w:t xml:space="preserve">2018, the U.S. National Institutes of Health (NIH) implemented a policy </w:t>
      </w:r>
      <w:r w:rsidR="009D6629" w:rsidRPr="000F4047">
        <w:t>establishing the expectation</w:t>
      </w:r>
      <w:r w:rsidRPr="000F4047">
        <w:t xml:space="preserve"> that all domestic</w:t>
      </w:r>
      <w:r w:rsidR="00E855F6" w:rsidRPr="000F4047">
        <w:t xml:space="preserve"> sites of</w:t>
      </w:r>
      <w:r w:rsidRPr="000F4047">
        <w:t xml:space="preserve"> </w:t>
      </w:r>
      <w:r w:rsidR="00E855F6" w:rsidRPr="000F4047">
        <w:t xml:space="preserve">multi-site </w:t>
      </w:r>
      <w:r w:rsidRPr="000F4047">
        <w:t xml:space="preserve">studies funded by the NIH and </w:t>
      </w:r>
      <w:r w:rsidR="009D6629" w:rsidRPr="000F4047">
        <w:t xml:space="preserve">conducting the same protocol </w:t>
      </w:r>
      <w:r w:rsidRPr="000F4047">
        <w:t xml:space="preserve">involving </w:t>
      </w:r>
      <w:r w:rsidR="009D6629" w:rsidRPr="000F4047">
        <w:t xml:space="preserve">non-exempt </w:t>
      </w:r>
      <w:r w:rsidRPr="000F4047">
        <w:t xml:space="preserve">human subjects </w:t>
      </w:r>
      <w:r w:rsidR="009D6629" w:rsidRPr="000F4047">
        <w:t xml:space="preserve">research </w:t>
      </w:r>
      <w:r w:rsidRPr="000F4047">
        <w:t>be reviewed by a single IRB, with some exceptions</w:t>
      </w:r>
      <w:r w:rsidR="002728DC" w:rsidRPr="000F4047">
        <w:t xml:space="preserve"> (</w:t>
      </w:r>
      <w:r w:rsidR="004A5338" w:rsidRPr="000F4047">
        <w:fldChar w:fldCharType="begin"/>
      </w:r>
      <w:r w:rsidR="004A5338" w:rsidRPr="000F4047">
        <w:instrText xml:space="preserve"> REF _Ref179192871 \r \h </w:instrText>
      </w:r>
      <w:r w:rsidR="004A5338" w:rsidRPr="000F4047">
        <w:fldChar w:fldCharType="separate"/>
      </w:r>
      <w:r w:rsidR="00DA1E53" w:rsidRPr="000F4047">
        <w:t>20</w:t>
      </w:r>
      <w:r w:rsidR="004A5338" w:rsidRPr="000F4047">
        <w:fldChar w:fldCharType="end"/>
      </w:r>
      <w:r w:rsidR="002728DC" w:rsidRPr="000F4047">
        <w:t>)</w:t>
      </w:r>
      <w:r w:rsidRPr="000F4047">
        <w:t xml:space="preserve">. The NIH is not involved in the selection of the IRB, which may be a single IRB (usually already existing) selected on a study-by-study basis, a central IRB established for a specific purpose/projects, or an independent “commercial” (or private) IRB. The plan for </w:t>
      </w:r>
      <w:r w:rsidR="00E855F6" w:rsidRPr="000F4047">
        <w:t xml:space="preserve">single </w:t>
      </w:r>
      <w:r w:rsidRPr="000F4047">
        <w:t xml:space="preserve">IRB review is expected to be included in the application for funding and agreed to by all participants through reliance agreements. An NIH-funded multi-site study </w:t>
      </w:r>
      <w:r w:rsidR="00E855F6" w:rsidRPr="000F4047">
        <w:t xml:space="preserve">being conducted at more than one domestic site </w:t>
      </w:r>
      <w:r w:rsidRPr="000F4047">
        <w:t>may be subject to the NIH Single IRB policy and/or the Common Rule's cooperative research provision</w:t>
      </w:r>
      <w:r w:rsidR="00BA34C1" w:rsidRPr="000F4047">
        <w:t xml:space="preserve"> (</w:t>
      </w:r>
      <w:r w:rsidR="004A5338" w:rsidRPr="000F4047">
        <w:fldChar w:fldCharType="begin"/>
      </w:r>
      <w:r w:rsidR="004A5338" w:rsidRPr="000F4047">
        <w:instrText xml:space="preserve"> REF _Ref179193070 \r \h </w:instrText>
      </w:r>
      <w:r w:rsidR="004A5338" w:rsidRPr="000F4047">
        <w:fldChar w:fldCharType="separate"/>
      </w:r>
      <w:r w:rsidR="00DA1E53" w:rsidRPr="000F4047">
        <w:t>21</w:t>
      </w:r>
      <w:r w:rsidR="004A5338" w:rsidRPr="000F4047">
        <w:fldChar w:fldCharType="end"/>
      </w:r>
      <w:r w:rsidR="004A5338" w:rsidRPr="000F4047">
        <w:t>).</w:t>
      </w:r>
    </w:p>
    <w:p w14:paraId="4D2D0577" w14:textId="32796F39" w:rsidR="00A21022" w:rsidRPr="000F4047" w:rsidRDefault="00BA34C1" w:rsidP="00DA48E2">
      <w:pPr>
        <w:pStyle w:val="BodyText1"/>
      </w:pPr>
      <w:r w:rsidRPr="000F4047">
        <w:t xml:space="preserve">To ease common challenges associated with </w:t>
      </w:r>
      <w:proofErr w:type="spellStart"/>
      <w:r w:rsidRPr="000F4047">
        <w:t>initating</w:t>
      </w:r>
      <w:proofErr w:type="spellEnd"/>
      <w:r w:rsidRPr="000F4047">
        <w:t xml:space="preserve"> the single IRB review process in the U.S., the NIH National Center for Advancing Translational Sciences funded a project to establish a national IRB reliance network that would support national adoption of a single IRB review. The Streamline, Multisite, Accelerated Resources for Trials (SMART) IRB platform was launched in </w:t>
      </w:r>
      <w:r w:rsidRPr="000F4047">
        <w:lastRenderedPageBreak/>
        <w:t>2016. More than 1200 institutions have voluntarily joined SMART IRB’s Master Common Reciprocal IRB Authorization Agreement and use the SMART platform to support inter IRB arrangements. The platform also provides supportive tools and resources to aid institutions in complying with single IRB review (</w:t>
      </w:r>
      <w:r w:rsidR="00F20C8C" w:rsidRPr="000F4047">
        <w:fldChar w:fldCharType="begin"/>
      </w:r>
      <w:r w:rsidR="00F20C8C" w:rsidRPr="000F4047">
        <w:instrText xml:space="preserve"> REF _Ref179194405 \r \h </w:instrText>
      </w:r>
      <w:r w:rsidR="00F20C8C" w:rsidRPr="000F4047">
        <w:fldChar w:fldCharType="separate"/>
      </w:r>
      <w:r w:rsidR="00DA1E53" w:rsidRPr="000F4047">
        <w:t>22</w:t>
      </w:r>
      <w:r w:rsidR="00F20C8C" w:rsidRPr="000F4047">
        <w:fldChar w:fldCharType="end"/>
      </w:r>
      <w:r w:rsidRPr="000F4047">
        <w:t xml:space="preserve">). </w:t>
      </w:r>
    </w:p>
    <w:p w14:paraId="1671FF19" w14:textId="6B47DF75" w:rsidR="00A21022" w:rsidRPr="000F4047" w:rsidRDefault="00A21022" w:rsidP="00DA48E2">
      <w:pPr>
        <w:pStyle w:val="BodyText1"/>
      </w:pPr>
      <w:r w:rsidRPr="000F4047">
        <w:t xml:space="preserve">On </w:t>
      </w:r>
      <w:r w:rsidR="008A6124" w:rsidRPr="000F4047">
        <w:t>the 28</w:t>
      </w:r>
      <w:r w:rsidR="008A6124" w:rsidRPr="000F4047">
        <w:rPr>
          <w:vertAlign w:val="superscript"/>
        </w:rPr>
        <w:t>th</w:t>
      </w:r>
      <w:r w:rsidR="008A6124" w:rsidRPr="000F4047">
        <w:t xml:space="preserve"> of </w:t>
      </w:r>
      <w:r w:rsidRPr="000F4047">
        <w:t>September 2022, FDA published two proposed rules that, if finalized, would harmonize certain sections of FDA’s regulations on human subject protection and IRBs, to the extent practicable and consistent with other statutory provisions, with the revised Common Rule. One of the proposed rules (</w:t>
      </w:r>
      <w:r w:rsidR="00F20C8C" w:rsidRPr="000F4047">
        <w:fldChar w:fldCharType="begin"/>
      </w:r>
      <w:r w:rsidR="00F20C8C" w:rsidRPr="000F4047">
        <w:instrText xml:space="preserve"> REF _Ref179194585 \r \h </w:instrText>
      </w:r>
      <w:r w:rsidR="00F20C8C" w:rsidRPr="000F4047">
        <w:fldChar w:fldCharType="separate"/>
      </w:r>
      <w:r w:rsidR="00DA1E53" w:rsidRPr="000F4047">
        <w:t>23</w:t>
      </w:r>
      <w:r w:rsidR="00F20C8C" w:rsidRPr="000F4047">
        <w:fldChar w:fldCharType="end"/>
      </w:r>
      <w:r w:rsidRPr="000F4047">
        <w:t xml:space="preserve">) </w:t>
      </w:r>
      <w:r w:rsidR="00507161" w:rsidRPr="000F4047">
        <w:t>includes</w:t>
      </w:r>
      <w:r w:rsidRPr="000F4047">
        <w:t xml:space="preserve"> potential changes to FDA's regulations regarding obtaining and documenting informed consent from research participants, and IRB membership and functions, including continuing review. The other proposed rule (</w:t>
      </w:r>
      <w:r w:rsidR="00F20C8C" w:rsidRPr="000F4047">
        <w:fldChar w:fldCharType="begin"/>
      </w:r>
      <w:r w:rsidR="00F20C8C" w:rsidRPr="000F4047">
        <w:instrText xml:space="preserve"> REF _Ref179193315 \r \h </w:instrText>
      </w:r>
      <w:r w:rsidR="00F20C8C" w:rsidRPr="000F4047">
        <w:fldChar w:fldCharType="separate"/>
      </w:r>
      <w:r w:rsidR="00DA1E53" w:rsidRPr="000F4047">
        <w:t>24</w:t>
      </w:r>
      <w:r w:rsidR="00F20C8C" w:rsidRPr="000F4047">
        <w:fldChar w:fldCharType="end"/>
      </w:r>
      <w:r w:rsidRPr="000F4047">
        <w:t>) concerns a potential change to FDA’s regulations that would require any institution located in the U.S. participating in FDA-regulated multi-site research to rely on approval by a single IRB for that portion of the research that is conducted in the U.S., with some exceptions. Although the proposed rules would harmonize FDA’s human subject protection requirements</w:t>
      </w:r>
      <w:r w:rsidR="00507161" w:rsidRPr="000F4047">
        <w:t>,</w:t>
      </w:r>
      <w:r w:rsidRPr="000F4047">
        <w:t xml:space="preserve"> to the extent practicable </w:t>
      </w:r>
      <w:r w:rsidR="00507161" w:rsidRPr="000F4047">
        <w:t xml:space="preserve">and consistent with </w:t>
      </w:r>
      <w:proofErr w:type="spellStart"/>
      <w:r w:rsidR="00507161" w:rsidRPr="000F4047">
        <w:t>statutatory</w:t>
      </w:r>
      <w:proofErr w:type="spellEnd"/>
      <w:r w:rsidR="00507161" w:rsidRPr="000F4047">
        <w:t xml:space="preserve"> provisions, </w:t>
      </w:r>
      <w:r w:rsidRPr="000F4047">
        <w:t>with those of the revised Common Rule, some aspects of the proposed rules are necessarily different from the revised Common Rule due to the different scope of research that FDA regulates. For example, FDA has proposed several exceptions from the single IRB review requirement that are different from the exceptions to the revised Common Rule’s single IRB review requirement (</w:t>
      </w:r>
      <w:r w:rsidR="009E1E39" w:rsidRPr="000F4047">
        <w:fldChar w:fldCharType="begin"/>
      </w:r>
      <w:r w:rsidR="009E1E39" w:rsidRPr="000F4047">
        <w:instrText xml:space="preserve"> REF _Ref179193315 \r \h </w:instrText>
      </w:r>
      <w:r w:rsidR="009E1E39" w:rsidRPr="000F4047">
        <w:fldChar w:fldCharType="separate"/>
      </w:r>
      <w:r w:rsidR="00DA1E53" w:rsidRPr="000F4047">
        <w:t>24</w:t>
      </w:r>
      <w:r w:rsidR="009E1E39" w:rsidRPr="000F4047">
        <w:fldChar w:fldCharType="end"/>
      </w:r>
      <w:r w:rsidRPr="000F4047">
        <w:t xml:space="preserve">). </w:t>
      </w:r>
      <w:r w:rsidR="00507161" w:rsidRPr="000F4047">
        <w:t>In the preamble to the proposed rule, FDA explained that t</w:t>
      </w:r>
      <w:r w:rsidRPr="000F4047">
        <w:t xml:space="preserve">he different </w:t>
      </w:r>
      <w:r w:rsidR="00507161" w:rsidRPr="000F4047">
        <w:t xml:space="preserve">proposed </w:t>
      </w:r>
      <w:r w:rsidRPr="000F4047">
        <w:t>exceptions reflect circumstances for which FDA believes requiring the use of a single IRB for oversight of multi-site research may not be appropriate for FDA-regulated research.</w:t>
      </w:r>
      <w:r w:rsidR="00BA34C1" w:rsidRPr="000F4047">
        <w:t xml:space="preserve"> Recognizing the unique ethical challenges of pediatric research, FDA release a draft guidance in September 2022, entitled “Ethical Considerations for Clinical Investigations of Medical Products Involving Children.” The draft guidance describes the ethical framework in FDA’s regulations for clinical investigations in</w:t>
      </w:r>
      <w:r w:rsidR="00507161" w:rsidRPr="000F4047">
        <w:t>volving</w:t>
      </w:r>
      <w:r w:rsidR="00BA34C1" w:rsidRPr="000F4047">
        <w:t xml:space="preserve"> children and describes the application of Title 21 of the Code of Federal Regulations (CFR) part 50, subpart D to pediatric clinical investigations</w:t>
      </w:r>
      <w:r w:rsidR="00507161" w:rsidRPr="000F4047">
        <w:t xml:space="preserve"> regulated by FDA</w:t>
      </w:r>
      <w:r w:rsidR="00BA34C1" w:rsidRPr="000F4047">
        <w:t>. When finalized, the draft guidance will represent FDA’s current thinking regarding ethical considerations for clinical investigations of drugs, biological products, and medical devices involving children (</w:t>
      </w:r>
      <w:r w:rsidR="001558CC" w:rsidRPr="000F4047">
        <w:fldChar w:fldCharType="begin"/>
      </w:r>
      <w:r w:rsidR="001558CC" w:rsidRPr="000F4047">
        <w:instrText xml:space="preserve"> REF _Ref179193524 \r \h </w:instrText>
      </w:r>
      <w:r w:rsidR="001558CC" w:rsidRPr="000F4047">
        <w:fldChar w:fldCharType="separate"/>
      </w:r>
      <w:r w:rsidR="00DA1E53" w:rsidRPr="000F4047">
        <w:t>25</w:t>
      </w:r>
      <w:r w:rsidR="001558CC" w:rsidRPr="000F4047">
        <w:fldChar w:fldCharType="end"/>
      </w:r>
      <w:r w:rsidR="001558CC" w:rsidRPr="000F4047">
        <w:t>).</w:t>
      </w:r>
    </w:p>
    <w:p w14:paraId="4BEAE183" w14:textId="1B6476FF" w:rsidR="005F3357" w:rsidRPr="000F4047" w:rsidRDefault="005F3357" w:rsidP="00507161">
      <w:pPr>
        <w:pStyle w:val="BodyText1"/>
        <w:spacing w:before="240"/>
      </w:pPr>
      <w:r w:rsidRPr="000F4047">
        <w:t>Efforts to ensure</w:t>
      </w:r>
      <w:r w:rsidR="00507161" w:rsidRPr="000F4047">
        <w:t xml:space="preserve"> that</w:t>
      </w:r>
      <w:r w:rsidRPr="000F4047">
        <w:t xml:space="preserve"> informed consent documents and consent process in FDA-regulated studies satisfy the FDA regulatory requirements were further reinforced in August 2023, with the issuance of a new guidance for IRBs, clinical investigators, and sponsors. The guidance provides the Agency's current recommendations regarding informed consent and describes FDA regulatory requirements</w:t>
      </w:r>
      <w:r w:rsidR="00507161" w:rsidRPr="000F4047">
        <w:t xml:space="preserve"> for informed consent and addresses frequent questions, including those related to enrolling children in clinical investigations</w:t>
      </w:r>
      <w:r w:rsidRPr="000F4047">
        <w:t xml:space="preserve"> (</w:t>
      </w:r>
      <w:r w:rsidR="001558CC" w:rsidRPr="000F4047">
        <w:fldChar w:fldCharType="begin"/>
      </w:r>
      <w:r w:rsidR="001558CC" w:rsidRPr="000F4047">
        <w:instrText xml:space="preserve"> REF _Ref179193666 \r \h </w:instrText>
      </w:r>
      <w:r w:rsidR="001558CC" w:rsidRPr="000F4047">
        <w:fldChar w:fldCharType="separate"/>
      </w:r>
      <w:r w:rsidR="00DA1E53" w:rsidRPr="000F4047">
        <w:t>26</w:t>
      </w:r>
      <w:r w:rsidR="001558CC" w:rsidRPr="000F4047">
        <w:fldChar w:fldCharType="end"/>
      </w:r>
      <w:r w:rsidRPr="000F4047">
        <w:t xml:space="preserve">, </w:t>
      </w:r>
      <w:r w:rsidR="001558CC" w:rsidRPr="000F4047">
        <w:fldChar w:fldCharType="begin"/>
      </w:r>
      <w:r w:rsidR="001558CC" w:rsidRPr="000F4047">
        <w:instrText xml:space="preserve"> REF _Ref179193710 \r \h </w:instrText>
      </w:r>
      <w:r w:rsidR="001558CC" w:rsidRPr="000F4047">
        <w:fldChar w:fldCharType="separate"/>
      </w:r>
      <w:r w:rsidR="00DA1E53" w:rsidRPr="000F4047">
        <w:t>27</w:t>
      </w:r>
      <w:r w:rsidR="001558CC" w:rsidRPr="000F4047">
        <w:fldChar w:fldCharType="end"/>
      </w:r>
      <w:r w:rsidR="001558CC" w:rsidRPr="000F4047">
        <w:t>)</w:t>
      </w:r>
      <w:r w:rsidRPr="000F4047">
        <w:t>.</w:t>
      </w:r>
      <w:r w:rsidR="00507161" w:rsidRPr="000F4047">
        <w:t xml:space="preserve"> Collectively, the actions taken by the FDA, and future planned actions, are intended to contribute to making informed consent documents and the consent process more informative, fit for purposes, and participant centered/partnered. </w:t>
      </w:r>
    </w:p>
    <w:p w14:paraId="115F0997" w14:textId="44531ACD" w:rsidR="005F3357" w:rsidRPr="000F4047" w:rsidRDefault="005F3357" w:rsidP="00DA48E2">
      <w:pPr>
        <w:pStyle w:val="BodyText1"/>
      </w:pPr>
      <w:r w:rsidRPr="000F4047">
        <w:t>As part of its efforts to implement provisions of the 21</w:t>
      </w:r>
      <w:r w:rsidRPr="000F4047">
        <w:rPr>
          <w:vertAlign w:val="superscript"/>
        </w:rPr>
        <w:t>st</w:t>
      </w:r>
      <w:r w:rsidRPr="000F4047">
        <w:t xml:space="preserve"> Century Cures Act, FDA issued a final rule in December 2023 that amends its regulations to allow an exception from the requirement to obtain informed consent when a clinical investigation poses no more than minimal risk to the human subject and includes appropriate safeguards to protect the rights, safety, and welfare of human subjects. The final rule permits an IRB to waive or alter certain informed consent elements or to waive the requirement to obtain informed consent, under limited conditions, for </w:t>
      </w:r>
      <w:r w:rsidRPr="000F4047">
        <w:lastRenderedPageBreak/>
        <w:t>certain FDA-regulated minimal risk clinical investigations including those involving children (</w:t>
      </w:r>
      <w:r w:rsidR="001558CC" w:rsidRPr="000F4047">
        <w:fldChar w:fldCharType="begin"/>
      </w:r>
      <w:r w:rsidR="001558CC" w:rsidRPr="000F4047">
        <w:instrText xml:space="preserve"> REF _Ref179193838 \r \h </w:instrText>
      </w:r>
      <w:r w:rsidR="001558CC" w:rsidRPr="000F4047">
        <w:fldChar w:fldCharType="separate"/>
      </w:r>
      <w:r w:rsidR="00DA1E53" w:rsidRPr="000F4047">
        <w:t>27</w:t>
      </w:r>
      <w:r w:rsidR="001558CC" w:rsidRPr="000F4047">
        <w:fldChar w:fldCharType="end"/>
      </w:r>
      <w:r w:rsidR="001558CC" w:rsidRPr="000F4047">
        <w:t>).</w:t>
      </w:r>
    </w:p>
    <w:p w14:paraId="0B999D1D" w14:textId="53854A76" w:rsidR="00B35753" w:rsidRPr="000F4047" w:rsidRDefault="00906AE4" w:rsidP="0015031C">
      <w:pPr>
        <w:pStyle w:val="Heading3"/>
        <w:rPr>
          <w:rFonts w:eastAsia="MS Mincho" w:cs="Times New Roman"/>
        </w:rPr>
      </w:pPr>
      <w:r w:rsidRPr="000F4047">
        <w:rPr>
          <w:rFonts w:cs="Times New Roman"/>
        </w:rPr>
        <w:t>Japan</w:t>
      </w:r>
    </w:p>
    <w:p w14:paraId="4ECBA967" w14:textId="18A881D0" w:rsidR="0031025B" w:rsidRPr="000F4047" w:rsidRDefault="005B5363" w:rsidP="00DA48E2">
      <w:pPr>
        <w:pStyle w:val="BodyText1"/>
        <w:rPr>
          <w:highlight w:val="yellow"/>
        </w:rPr>
      </w:pPr>
      <w:r w:rsidRPr="000F4047">
        <w:t>C</w:t>
      </w:r>
      <w:r w:rsidR="00BB5DDA" w:rsidRPr="000F4047">
        <w:t>linical trials for drug approvals</w:t>
      </w:r>
      <w:r w:rsidRPr="000F4047">
        <w:t xml:space="preserve"> (“</w:t>
      </w:r>
      <w:proofErr w:type="spellStart"/>
      <w:r w:rsidR="00EF45B4" w:rsidRPr="000F4047">
        <w:t>Chiken</w:t>
      </w:r>
      <w:proofErr w:type="spellEnd"/>
      <w:r w:rsidRPr="000F4047">
        <w:t>”</w:t>
      </w:r>
      <w:r w:rsidR="00856BF8" w:rsidRPr="000F4047">
        <w:t xml:space="preserve"> in Japa</w:t>
      </w:r>
      <w:r w:rsidR="008F47EA" w:rsidRPr="000F4047">
        <w:t>n</w:t>
      </w:r>
      <w:r w:rsidR="00856BF8" w:rsidRPr="000F4047">
        <w:t>ese</w:t>
      </w:r>
      <w:r w:rsidR="00BB5DDA" w:rsidRPr="000F4047">
        <w:t>)</w:t>
      </w:r>
      <w:r w:rsidR="00B32878" w:rsidRPr="000F4047">
        <w:t xml:space="preserve"> </w:t>
      </w:r>
      <w:r w:rsidR="007B776D" w:rsidRPr="000F4047">
        <w:t>must</w:t>
      </w:r>
      <w:r w:rsidR="00BC451E" w:rsidRPr="000F4047">
        <w:t xml:space="preserve"> be </w:t>
      </w:r>
      <w:r w:rsidR="00843B7C" w:rsidRPr="000F4047">
        <w:t>pe</w:t>
      </w:r>
      <w:r w:rsidR="007D1E53" w:rsidRPr="000F4047">
        <w:t>r</w:t>
      </w:r>
      <w:r w:rsidR="00843B7C" w:rsidRPr="000F4047">
        <w:t xml:space="preserve">formed under the </w:t>
      </w:r>
      <w:r w:rsidRPr="000F4047">
        <w:t xml:space="preserve">Japanese </w:t>
      </w:r>
      <w:r w:rsidR="00843B7C" w:rsidRPr="000F4047">
        <w:t>Pharmaceutical and Medica</w:t>
      </w:r>
      <w:r w:rsidRPr="000F4047">
        <w:t>l</w:t>
      </w:r>
      <w:r w:rsidR="00843B7C" w:rsidRPr="000F4047">
        <w:t xml:space="preserve"> Devices Act.</w:t>
      </w:r>
      <w:r w:rsidR="006626CE" w:rsidRPr="000F4047">
        <w:t xml:space="preserve"> </w:t>
      </w:r>
      <w:r w:rsidR="00EF45B4" w:rsidRPr="000F4047">
        <w:t xml:space="preserve">There is a clear distinction between </w:t>
      </w:r>
      <w:r w:rsidRPr="000F4047">
        <w:t>“</w:t>
      </w:r>
      <w:proofErr w:type="spellStart"/>
      <w:r w:rsidR="00EF45B4" w:rsidRPr="000F4047">
        <w:t>Chiken</w:t>
      </w:r>
      <w:proofErr w:type="spellEnd"/>
      <w:r w:rsidRPr="000F4047">
        <w:t>”</w:t>
      </w:r>
      <w:r w:rsidR="00760938" w:rsidRPr="000F4047">
        <w:t xml:space="preserve"> and other types of research (</w:t>
      </w:r>
      <w:r w:rsidR="001558CC" w:rsidRPr="000F4047">
        <w:fldChar w:fldCharType="begin"/>
      </w:r>
      <w:r w:rsidR="001558CC" w:rsidRPr="000F4047">
        <w:instrText xml:space="preserve"> REF _Ref179193906 \r \h </w:instrText>
      </w:r>
      <w:r w:rsidR="001558CC" w:rsidRPr="000F4047">
        <w:fldChar w:fldCharType="separate"/>
      </w:r>
      <w:r w:rsidR="00DA1E53" w:rsidRPr="000F4047">
        <w:t>28</w:t>
      </w:r>
      <w:r w:rsidR="001558CC" w:rsidRPr="000F4047">
        <w:fldChar w:fldCharType="end"/>
      </w:r>
      <w:r w:rsidR="001558CC" w:rsidRPr="000F4047">
        <w:t xml:space="preserve">). </w:t>
      </w:r>
      <w:r w:rsidR="00FA141A" w:rsidRPr="000F4047">
        <w:t>P</w:t>
      </w:r>
      <w:r w:rsidRPr="000F4047">
        <w:t xml:space="preserve">reviously </w:t>
      </w:r>
      <w:r w:rsidR="00445C87" w:rsidRPr="000F4047">
        <w:t>separate</w:t>
      </w:r>
      <w:r w:rsidR="001B216D" w:rsidRPr="000F4047">
        <w:t xml:space="preserve"> guidelines and laws</w:t>
      </w:r>
      <w:r w:rsidR="00445C87" w:rsidRPr="000F4047">
        <w:t xml:space="preserve"> </w:t>
      </w:r>
      <w:r w:rsidR="00FA141A" w:rsidRPr="000F4047">
        <w:t>were</w:t>
      </w:r>
      <w:r w:rsidR="00801E91" w:rsidRPr="000F4047">
        <w:t xml:space="preserve"> integrated </w:t>
      </w:r>
      <w:r w:rsidR="00FA141A" w:rsidRPr="000F4047">
        <w:t>in</w:t>
      </w:r>
      <w:r w:rsidR="008F47EA" w:rsidRPr="000F4047">
        <w:t>to</w:t>
      </w:r>
      <w:r w:rsidR="00FA141A" w:rsidRPr="000F4047">
        <w:t xml:space="preserve"> </w:t>
      </w:r>
      <w:r w:rsidR="004D6ABF" w:rsidRPr="000F4047">
        <w:t>the new Ethical Guideli</w:t>
      </w:r>
      <w:r w:rsidR="00DB7CE6" w:rsidRPr="000F4047">
        <w:t xml:space="preserve">nes for </w:t>
      </w:r>
      <w:r w:rsidR="00503350" w:rsidRPr="000F4047">
        <w:t>M</w:t>
      </w:r>
      <w:r w:rsidR="00DB7CE6" w:rsidRPr="000F4047">
        <w:t>edical and Biological Research Involving Human Subjects in June 202</w:t>
      </w:r>
      <w:r w:rsidR="00794BD3" w:rsidRPr="000F4047">
        <w:t>1</w:t>
      </w:r>
      <w:r w:rsidR="003A6BE5" w:rsidRPr="000F4047">
        <w:t xml:space="preserve">, </w:t>
      </w:r>
      <w:r w:rsidR="00A43F4C" w:rsidRPr="000F4047">
        <w:t>and three</w:t>
      </w:r>
      <w:r w:rsidR="00BB7F72" w:rsidRPr="000F4047">
        <w:t xml:space="preserve"> major changes</w:t>
      </w:r>
      <w:r w:rsidR="000F4EE3" w:rsidRPr="000F4047">
        <w:t xml:space="preserve"> w</w:t>
      </w:r>
      <w:r w:rsidR="005A6397" w:rsidRPr="000F4047">
        <w:t>ere</w:t>
      </w:r>
      <w:r w:rsidR="000F4EE3" w:rsidRPr="000F4047">
        <w:t xml:space="preserve"> introduced</w:t>
      </w:r>
      <w:r w:rsidR="00EC146F" w:rsidRPr="000F4047">
        <w:t>: centralized review</w:t>
      </w:r>
      <w:r w:rsidR="00445C87" w:rsidRPr="000F4047">
        <w:t xml:space="preserve"> of clinical trial applications</w:t>
      </w:r>
      <w:r w:rsidR="00EC146F" w:rsidRPr="000F4047">
        <w:t xml:space="preserve">, </w:t>
      </w:r>
      <w:r w:rsidR="00445C87" w:rsidRPr="000F4047">
        <w:t xml:space="preserve">electronic </w:t>
      </w:r>
      <w:r w:rsidR="00EC146F" w:rsidRPr="000F4047">
        <w:t>informed consent</w:t>
      </w:r>
      <w:r w:rsidR="00445C87" w:rsidRPr="000F4047">
        <w:t>,</w:t>
      </w:r>
      <w:r w:rsidR="00EC146F" w:rsidRPr="000F4047">
        <w:t xml:space="preserve"> and research cooperat</w:t>
      </w:r>
      <w:r w:rsidR="00FA141A" w:rsidRPr="000F4047">
        <w:t>ing</w:t>
      </w:r>
      <w:r w:rsidR="00EC146F" w:rsidRPr="000F4047">
        <w:t xml:space="preserve"> </w:t>
      </w:r>
      <w:r w:rsidR="0071284A" w:rsidRPr="000F4047">
        <w:t>organization (</w:t>
      </w:r>
      <w:r w:rsidR="001558CC" w:rsidRPr="000F4047">
        <w:fldChar w:fldCharType="begin"/>
      </w:r>
      <w:r w:rsidR="001558CC" w:rsidRPr="000F4047">
        <w:instrText xml:space="preserve"> REF _Ref179193925 \r \h </w:instrText>
      </w:r>
      <w:r w:rsidR="001558CC" w:rsidRPr="000F4047">
        <w:fldChar w:fldCharType="separate"/>
      </w:r>
      <w:r w:rsidR="00DA1E53" w:rsidRPr="000F4047">
        <w:t>29</w:t>
      </w:r>
      <w:r w:rsidR="001558CC" w:rsidRPr="000F4047">
        <w:fldChar w:fldCharType="end"/>
      </w:r>
      <w:r w:rsidR="0071284A" w:rsidRPr="000F4047">
        <w:t>)</w:t>
      </w:r>
      <w:r w:rsidR="00884E79" w:rsidRPr="000F4047">
        <w:t>. Central</w:t>
      </w:r>
      <w:r w:rsidR="00987642" w:rsidRPr="000F4047">
        <w:t>ized</w:t>
      </w:r>
      <w:r w:rsidR="00884E79" w:rsidRPr="000F4047">
        <w:t xml:space="preserve"> review is not mandated in th</w:t>
      </w:r>
      <w:r w:rsidR="00503350" w:rsidRPr="000F4047">
        <w:t>ese</w:t>
      </w:r>
      <w:r w:rsidR="00884E79" w:rsidRPr="000F4047">
        <w:t xml:space="preserve"> guideline</w:t>
      </w:r>
      <w:r w:rsidR="004E77E6" w:rsidRPr="000F4047">
        <w:t>s</w:t>
      </w:r>
      <w:r w:rsidR="00884E79" w:rsidRPr="000F4047">
        <w:t xml:space="preserve">. </w:t>
      </w:r>
      <w:r w:rsidR="00870DC4" w:rsidRPr="000F4047">
        <w:t>On the other</w:t>
      </w:r>
      <w:r w:rsidR="00445C87" w:rsidRPr="000F4047">
        <w:t xml:space="preserve"> </w:t>
      </w:r>
      <w:r w:rsidR="00870DC4" w:rsidRPr="000F4047">
        <w:t>hand, there are two laws</w:t>
      </w:r>
      <w:r w:rsidR="004527CB" w:rsidRPr="000F4047">
        <w:t xml:space="preserve"> that mandate </w:t>
      </w:r>
      <w:r w:rsidR="00BB0D77" w:rsidRPr="000F4047">
        <w:t>central</w:t>
      </w:r>
      <w:r w:rsidR="008831A2" w:rsidRPr="000F4047">
        <w:t>ized</w:t>
      </w:r>
      <w:r w:rsidR="00BB0D77" w:rsidRPr="000F4047">
        <w:t xml:space="preserve"> review</w:t>
      </w:r>
      <w:r w:rsidR="00D62963" w:rsidRPr="000F4047">
        <w:t xml:space="preserve"> for certain types of clinical tr</w:t>
      </w:r>
      <w:r w:rsidR="00503350" w:rsidRPr="000F4047">
        <w:t>i</w:t>
      </w:r>
      <w:r w:rsidR="00D62963" w:rsidRPr="000F4047">
        <w:t>als. The Act on the Safety of Regenerative Medicine mandate</w:t>
      </w:r>
      <w:r w:rsidR="009F7C22" w:rsidRPr="000F4047">
        <w:t>s</w:t>
      </w:r>
      <w:r w:rsidR="00D62963" w:rsidRPr="000F4047">
        <w:t xml:space="preserve"> central</w:t>
      </w:r>
      <w:r w:rsidR="008831A2" w:rsidRPr="000F4047">
        <w:t>ized</w:t>
      </w:r>
      <w:r w:rsidR="00D62963" w:rsidRPr="000F4047">
        <w:t xml:space="preserve"> review </w:t>
      </w:r>
      <w:r w:rsidR="00CA771E" w:rsidRPr="000F4047">
        <w:t>for clinical trials</w:t>
      </w:r>
      <w:r w:rsidR="00BA22B9" w:rsidRPr="000F4047">
        <w:t xml:space="preserve"> or treatment</w:t>
      </w:r>
      <w:r w:rsidR="00CA771E" w:rsidRPr="000F4047">
        <w:t xml:space="preserve"> </w:t>
      </w:r>
      <w:r w:rsidR="00CE2388" w:rsidRPr="000F4047">
        <w:t xml:space="preserve">using unapproved or off-label </w:t>
      </w:r>
      <w:r w:rsidR="00CA771E" w:rsidRPr="000F4047">
        <w:t>regenerative medicine</w:t>
      </w:r>
      <w:r w:rsidR="00B2570E" w:rsidRPr="000F4047">
        <w:t>s</w:t>
      </w:r>
      <w:r w:rsidR="00F6763B" w:rsidRPr="000F4047">
        <w:rPr>
          <w:rFonts w:hint="eastAsia"/>
        </w:rPr>
        <w:t xml:space="preserve"> </w:t>
      </w:r>
      <w:r w:rsidR="00F6763B" w:rsidRPr="000F4047">
        <w:t>(</w:t>
      </w:r>
      <w:r w:rsidR="001558CC" w:rsidRPr="000F4047">
        <w:fldChar w:fldCharType="begin"/>
      </w:r>
      <w:r w:rsidR="001558CC" w:rsidRPr="000F4047">
        <w:instrText xml:space="preserve"> REF _Ref179193948 \r \h </w:instrText>
      </w:r>
      <w:r w:rsidR="001558CC" w:rsidRPr="000F4047">
        <w:fldChar w:fldCharType="separate"/>
      </w:r>
      <w:r w:rsidR="00DA1E53" w:rsidRPr="000F4047">
        <w:t>30</w:t>
      </w:r>
      <w:r w:rsidR="001558CC" w:rsidRPr="000F4047">
        <w:fldChar w:fldCharType="end"/>
      </w:r>
      <w:r w:rsidR="000512C7" w:rsidRPr="000F4047">
        <w:t>)</w:t>
      </w:r>
      <w:r w:rsidR="00F6763B" w:rsidRPr="000F4047">
        <w:rPr>
          <w:rFonts w:hint="eastAsia"/>
        </w:rPr>
        <w:t>.</w:t>
      </w:r>
      <w:r w:rsidR="005A4EB2" w:rsidRPr="000F4047">
        <w:t>T</w:t>
      </w:r>
      <w:r w:rsidR="009F7C22" w:rsidRPr="000F4047">
        <w:t>he Clinical Trials Act mandates central</w:t>
      </w:r>
      <w:r w:rsidR="00945DC4" w:rsidRPr="000F4047">
        <w:t>ized</w:t>
      </w:r>
      <w:r w:rsidR="009F7C22" w:rsidRPr="000F4047">
        <w:t xml:space="preserve"> review for </w:t>
      </w:r>
      <w:r w:rsidR="00913542" w:rsidRPr="000F4047">
        <w:t>specified clinic</w:t>
      </w:r>
      <w:r w:rsidR="000F4EE3" w:rsidRPr="000F4047">
        <w:t>al</w:t>
      </w:r>
      <w:r w:rsidR="00913542" w:rsidRPr="000F4047">
        <w:t xml:space="preserve"> trial</w:t>
      </w:r>
      <w:r w:rsidR="00B2570E" w:rsidRPr="000F4047">
        <w:t>s</w:t>
      </w:r>
      <w:r w:rsidR="008E7217" w:rsidRPr="000F4047">
        <w:t xml:space="preserve"> </w:t>
      </w:r>
      <w:r w:rsidR="000F4B83" w:rsidRPr="000F4047">
        <w:t xml:space="preserve">that either use </w:t>
      </w:r>
      <w:r w:rsidR="005F44BC" w:rsidRPr="000F4047">
        <w:t xml:space="preserve">1) </w:t>
      </w:r>
      <w:r w:rsidR="000F4B83" w:rsidRPr="000F4047">
        <w:t>unapproved or off-labe</w:t>
      </w:r>
      <w:r w:rsidR="00CE2388" w:rsidRPr="000F4047">
        <w:t>l</w:t>
      </w:r>
      <w:r w:rsidR="000F4B83" w:rsidRPr="000F4047">
        <w:t xml:space="preserve"> </w:t>
      </w:r>
      <w:r w:rsidR="00362544" w:rsidRPr="000F4047">
        <w:t>medicines</w:t>
      </w:r>
      <w:r w:rsidR="000F4B83" w:rsidRPr="000F4047">
        <w:t xml:space="preserve"> or </w:t>
      </w:r>
      <w:r w:rsidR="005F44BC" w:rsidRPr="000F4047">
        <w:t xml:space="preserve">2) </w:t>
      </w:r>
      <w:r w:rsidR="000F4B83" w:rsidRPr="000F4047">
        <w:t>the investigators receive research fund</w:t>
      </w:r>
      <w:r w:rsidR="00945DC4" w:rsidRPr="000F4047">
        <w:t>s</w:t>
      </w:r>
      <w:r w:rsidR="000F4B83" w:rsidRPr="000F4047">
        <w:t xml:space="preserve"> </w:t>
      </w:r>
      <w:r w:rsidR="00C1690F" w:rsidRPr="000F4047">
        <w:t xml:space="preserve">or other benefits from </w:t>
      </w:r>
      <w:r w:rsidR="007A7E8F" w:rsidRPr="000F4047">
        <w:t>the</w:t>
      </w:r>
      <w:r w:rsidR="00C1690F" w:rsidRPr="000F4047">
        <w:t xml:space="preserve"> manufacturer that holds marketing approval</w:t>
      </w:r>
      <w:r w:rsidR="006A145F" w:rsidRPr="000F4047">
        <w:rPr>
          <w:rFonts w:hint="eastAsia"/>
        </w:rPr>
        <w:t xml:space="preserve"> </w:t>
      </w:r>
      <w:r w:rsidR="006A145F" w:rsidRPr="000F4047">
        <w:t>of the study drug</w:t>
      </w:r>
      <w:r w:rsidR="007D6ED5" w:rsidRPr="000F4047">
        <w:t xml:space="preserve"> (</w:t>
      </w:r>
      <w:r w:rsidR="001558CC" w:rsidRPr="000F4047">
        <w:fldChar w:fldCharType="begin"/>
      </w:r>
      <w:r w:rsidR="001558CC" w:rsidRPr="000F4047">
        <w:instrText xml:space="preserve"> REF _Ref179193964 \r \h </w:instrText>
      </w:r>
      <w:r w:rsidR="001558CC" w:rsidRPr="000F4047">
        <w:fldChar w:fldCharType="separate"/>
      </w:r>
      <w:r w:rsidR="00DA1E53" w:rsidRPr="000F4047">
        <w:t>31</w:t>
      </w:r>
      <w:r w:rsidR="001558CC" w:rsidRPr="000F4047">
        <w:fldChar w:fldCharType="end"/>
      </w:r>
      <w:r w:rsidR="007D6ED5" w:rsidRPr="000F4047">
        <w:t>)</w:t>
      </w:r>
      <w:r w:rsidR="003736B4" w:rsidRPr="000F4047">
        <w:t>.</w:t>
      </w:r>
      <w:r w:rsidR="00D62963" w:rsidRPr="000F4047">
        <w:t xml:space="preserve"> </w:t>
      </w:r>
    </w:p>
    <w:p w14:paraId="06FAD79F" w14:textId="7F46A171" w:rsidR="0031025B" w:rsidRPr="000F4047" w:rsidRDefault="00E1457B" w:rsidP="00DA48E2">
      <w:pPr>
        <w:pStyle w:val="BodyText1"/>
      </w:pPr>
      <w:r w:rsidRPr="000F4047">
        <w:t xml:space="preserve">Central review boards mandated by the Act on the Safety of Regenerative Medicine </w:t>
      </w:r>
      <w:r w:rsidR="00E6289C" w:rsidRPr="000F4047">
        <w:t>are different from the ones mandated by</w:t>
      </w:r>
      <w:r w:rsidRPr="000F4047">
        <w:t xml:space="preserve"> the Clinical Trials Act</w:t>
      </w:r>
      <w:r w:rsidR="00E6289C" w:rsidRPr="000F4047">
        <w:t>, and they</w:t>
      </w:r>
      <w:r w:rsidRPr="000F4047">
        <w:t xml:space="preserve"> are different from </w:t>
      </w:r>
      <w:r w:rsidR="00FE0ACF" w:rsidRPr="000F4047">
        <w:t xml:space="preserve">the </w:t>
      </w:r>
      <w:r w:rsidR="009A12E9" w:rsidRPr="000F4047">
        <w:t>ethics review boards</w:t>
      </w:r>
      <w:r w:rsidR="00FE0ACF" w:rsidRPr="000F4047">
        <w:t xml:space="preserve"> for </w:t>
      </w:r>
      <w:r w:rsidR="00945DC4" w:rsidRPr="000F4047">
        <w:t>“</w:t>
      </w:r>
      <w:proofErr w:type="spellStart"/>
      <w:r w:rsidRPr="000F4047">
        <w:t>Chiken</w:t>
      </w:r>
      <w:proofErr w:type="spellEnd"/>
      <w:r w:rsidR="00945DC4" w:rsidRPr="000F4047">
        <w:t>”</w:t>
      </w:r>
      <w:r w:rsidRPr="000F4047">
        <w:t xml:space="preserve"> </w:t>
      </w:r>
      <w:r w:rsidR="00E61B4E" w:rsidRPr="000F4047">
        <w:t>or</w:t>
      </w:r>
      <w:r w:rsidRPr="000F4047">
        <w:t xml:space="preserve"> other clinical trials. </w:t>
      </w:r>
      <w:r w:rsidR="00D43272" w:rsidRPr="000F4047">
        <w:t>Furthermore, e</w:t>
      </w:r>
      <w:r w:rsidR="00D14739" w:rsidRPr="000F4047">
        <w:t xml:space="preserve">thics review </w:t>
      </w:r>
      <w:r w:rsidR="00C05CEC" w:rsidRPr="000F4047">
        <w:t>board</w:t>
      </w:r>
      <w:r w:rsidR="00671E4A" w:rsidRPr="000F4047">
        <w:t>s</w:t>
      </w:r>
      <w:r w:rsidR="00D14739" w:rsidRPr="000F4047">
        <w:t xml:space="preserve"> for </w:t>
      </w:r>
      <w:r w:rsidR="00945DC4" w:rsidRPr="000F4047">
        <w:t>“</w:t>
      </w:r>
      <w:proofErr w:type="spellStart"/>
      <w:r w:rsidR="00D14739" w:rsidRPr="000F4047">
        <w:t>Chiken</w:t>
      </w:r>
      <w:proofErr w:type="spellEnd"/>
      <w:r w:rsidR="00945DC4" w:rsidRPr="000F4047">
        <w:t>”</w:t>
      </w:r>
      <w:r w:rsidR="00D14739" w:rsidRPr="000F4047">
        <w:t xml:space="preserve"> </w:t>
      </w:r>
      <w:r w:rsidR="00671E4A" w:rsidRPr="000F4047">
        <w:t>are</w:t>
      </w:r>
      <w:r w:rsidR="00D14739" w:rsidRPr="000F4047">
        <w:t xml:space="preserve"> </w:t>
      </w:r>
      <w:r w:rsidR="00C05CEC" w:rsidRPr="000F4047">
        <w:t xml:space="preserve">different from </w:t>
      </w:r>
      <w:r w:rsidR="00671E4A" w:rsidRPr="000F4047">
        <w:t xml:space="preserve">the ones for </w:t>
      </w:r>
      <w:r w:rsidR="00C05CEC" w:rsidRPr="000F4047">
        <w:t>other clinical trials</w:t>
      </w:r>
      <w:r w:rsidRPr="000F4047">
        <w:t xml:space="preserve"> </w:t>
      </w:r>
      <w:r w:rsidR="0044134B" w:rsidRPr="000F4047">
        <w:t>governed by the Ethical Guidelines for Medical and Biological Research Involving Human Subjects</w:t>
      </w:r>
      <w:r w:rsidR="00C05CEC" w:rsidRPr="000F4047">
        <w:t>.</w:t>
      </w:r>
      <w:r w:rsidR="00C02CB4" w:rsidRPr="000F4047">
        <w:t xml:space="preserve"> </w:t>
      </w:r>
      <w:r w:rsidR="00945DC4" w:rsidRPr="000F4047">
        <w:t xml:space="preserve">This is </w:t>
      </w:r>
      <w:r w:rsidR="001A4E72" w:rsidRPr="000F4047">
        <w:rPr>
          <w:rFonts w:hint="eastAsia"/>
        </w:rPr>
        <w:t>p</w:t>
      </w:r>
      <w:r w:rsidR="001A4E72" w:rsidRPr="000F4047">
        <w:t>robably</w:t>
      </w:r>
      <w:r w:rsidR="00091C62" w:rsidRPr="000F4047">
        <w:t xml:space="preserve"> the reason why Japan has </w:t>
      </w:r>
      <w:r w:rsidR="00067760" w:rsidRPr="000F4047">
        <w:t xml:space="preserve">so many ethics </w:t>
      </w:r>
      <w:r w:rsidR="00AD6F1C" w:rsidRPr="000F4047">
        <w:t xml:space="preserve">review </w:t>
      </w:r>
      <w:r w:rsidR="00067760" w:rsidRPr="000F4047">
        <w:t>boards compared to other countries (</w:t>
      </w:r>
      <w:r w:rsidR="001558CC" w:rsidRPr="000F4047">
        <w:fldChar w:fldCharType="begin"/>
      </w:r>
      <w:r w:rsidR="001558CC" w:rsidRPr="000F4047">
        <w:instrText xml:space="preserve"> REF _Ref179193981 \r \h </w:instrText>
      </w:r>
      <w:r w:rsidR="001558CC" w:rsidRPr="000F4047">
        <w:fldChar w:fldCharType="separate"/>
      </w:r>
      <w:r w:rsidR="00DA1E53" w:rsidRPr="000F4047">
        <w:t>32</w:t>
      </w:r>
      <w:r w:rsidR="001558CC" w:rsidRPr="000F4047">
        <w:fldChar w:fldCharType="end"/>
      </w:r>
      <w:r w:rsidR="005A36AC" w:rsidRPr="000F4047">
        <w:t>)</w:t>
      </w:r>
      <w:r w:rsidR="00AD6F1C" w:rsidRPr="000F4047">
        <w:t>.</w:t>
      </w:r>
    </w:p>
    <w:p w14:paraId="0353408F" w14:textId="593AAFFF" w:rsidR="004E7DCA" w:rsidRPr="000F4047" w:rsidRDefault="007A7E8F" w:rsidP="00DA48E2">
      <w:pPr>
        <w:pStyle w:val="BodyText1"/>
      </w:pPr>
      <w:r w:rsidRPr="000F4047">
        <w:t xml:space="preserve">There is currently ongoing discussion </w:t>
      </w:r>
      <w:r w:rsidR="00945DC4" w:rsidRPr="000F4047">
        <w:t>regarding a</w:t>
      </w:r>
      <w:r w:rsidRPr="000F4047">
        <w:t xml:space="preserve"> revision of the </w:t>
      </w:r>
      <w:r w:rsidR="00615D93" w:rsidRPr="000F4047">
        <w:t>Clinical Trials Act.</w:t>
      </w:r>
      <w:r w:rsidR="005274CD" w:rsidRPr="000F4047">
        <w:rPr>
          <w:rFonts w:ascii="MS Mincho" w:eastAsia="MS Mincho" w:hAnsi="MS Mincho" w:cs="MS Mincho"/>
          <w:lang w:eastAsia="ja-JP"/>
        </w:rPr>
        <w:t xml:space="preserve"> </w:t>
      </w:r>
      <w:r w:rsidR="00F256A8" w:rsidRPr="000F4047">
        <w:t>One of the major discussion points</w:t>
      </w:r>
      <w:r w:rsidR="005274CD" w:rsidRPr="000F4047">
        <w:t xml:space="preserve"> related to pediatrics</w:t>
      </w:r>
      <w:r w:rsidR="00F256A8" w:rsidRPr="000F4047">
        <w:t xml:space="preserve"> is </w:t>
      </w:r>
      <w:r w:rsidR="00E714C7" w:rsidRPr="000F4047">
        <w:t>the definition of “off-label</w:t>
      </w:r>
      <w:r w:rsidR="002C5382" w:rsidRPr="000F4047">
        <w:t>”</w:t>
      </w:r>
      <w:r w:rsidR="00E714C7" w:rsidRPr="000F4047">
        <w:t xml:space="preserve"> </w:t>
      </w:r>
      <w:r w:rsidR="00266688" w:rsidRPr="000F4047">
        <w:t>medicines</w:t>
      </w:r>
      <w:r w:rsidR="000250A7" w:rsidRPr="000F4047">
        <w:t xml:space="preserve"> </w:t>
      </w:r>
      <w:r w:rsidR="00CD3F88" w:rsidRPr="000F4047">
        <w:t>in relation</w:t>
      </w:r>
      <w:r w:rsidR="009A11D5" w:rsidRPr="000F4047">
        <w:t xml:space="preserve"> to </w:t>
      </w:r>
      <w:r w:rsidR="00CD3F88" w:rsidRPr="000F4047">
        <w:t xml:space="preserve">the designation of </w:t>
      </w:r>
      <w:r w:rsidR="009A11D5" w:rsidRPr="000F4047">
        <w:t>specified clinical trial</w:t>
      </w:r>
      <w:r w:rsidR="00CD3F88" w:rsidRPr="000F4047">
        <w:t>s</w:t>
      </w:r>
      <w:r w:rsidR="008C533A" w:rsidRPr="000F4047">
        <w:t xml:space="preserve">. </w:t>
      </w:r>
      <w:r w:rsidR="00362544" w:rsidRPr="000F4047">
        <w:t xml:space="preserve">In </w:t>
      </w:r>
      <w:r w:rsidR="00E80033" w:rsidRPr="000F4047">
        <w:t xml:space="preserve">the </w:t>
      </w:r>
      <w:r w:rsidR="00CB1F8B" w:rsidRPr="000F4047">
        <w:t>recent</w:t>
      </w:r>
      <w:r w:rsidR="00E80033" w:rsidRPr="000F4047">
        <w:t xml:space="preserve"> discussion in </w:t>
      </w:r>
      <w:r w:rsidR="00484644" w:rsidRPr="000F4047">
        <w:t>Japan</w:t>
      </w:r>
      <w:r w:rsidR="00362544" w:rsidRPr="000F4047">
        <w:t xml:space="preserve">, </w:t>
      </w:r>
      <w:r w:rsidR="002C5382" w:rsidRPr="000F4047">
        <w:t>“</w:t>
      </w:r>
      <w:r w:rsidR="00362544" w:rsidRPr="000F4047">
        <w:t>off-labe</w:t>
      </w:r>
      <w:r w:rsidR="00B249A5" w:rsidRPr="000F4047">
        <w:t>l</w:t>
      </w:r>
      <w:r w:rsidR="002C5382" w:rsidRPr="000F4047">
        <w:t>”</w:t>
      </w:r>
      <w:r w:rsidR="00362544" w:rsidRPr="000F4047">
        <w:t xml:space="preserve"> use </w:t>
      </w:r>
      <w:r w:rsidR="00484644" w:rsidRPr="000F4047">
        <w:t xml:space="preserve">in a strict sense </w:t>
      </w:r>
      <w:r w:rsidR="00A62E59" w:rsidRPr="000F4047">
        <w:t xml:space="preserve">is </w:t>
      </w:r>
      <w:r w:rsidR="0011028E" w:rsidRPr="000F4047">
        <w:t xml:space="preserve">considered to be </w:t>
      </w:r>
      <w:r w:rsidR="00A62E59" w:rsidRPr="000F4047">
        <w:t xml:space="preserve">the use outside the approved indication and/or </w:t>
      </w:r>
      <w:r w:rsidR="00B832C9" w:rsidRPr="000F4047">
        <w:t xml:space="preserve">in contraindicated conditions. </w:t>
      </w:r>
      <w:r w:rsidR="00945DC4" w:rsidRPr="000F4047">
        <w:t xml:space="preserve">However, </w:t>
      </w:r>
      <w:r w:rsidR="00F96412" w:rsidRPr="000F4047">
        <w:t xml:space="preserve">some </w:t>
      </w:r>
      <w:r w:rsidR="0011028E" w:rsidRPr="000F4047">
        <w:t xml:space="preserve">ethics </w:t>
      </w:r>
      <w:r w:rsidR="00F96412" w:rsidRPr="000F4047">
        <w:t>review boards consider</w:t>
      </w:r>
      <w:r w:rsidR="004F0DEC" w:rsidRPr="000F4047">
        <w:t xml:space="preserve"> the study drugs</w:t>
      </w:r>
      <w:r w:rsidR="001D5B60" w:rsidRPr="000F4047">
        <w:t xml:space="preserve"> </w:t>
      </w:r>
      <w:r w:rsidR="00F96412" w:rsidRPr="000F4047">
        <w:t xml:space="preserve">“off-label” </w:t>
      </w:r>
      <w:r w:rsidR="001D5B60" w:rsidRPr="000F4047">
        <w:t xml:space="preserve">in a broader sense </w:t>
      </w:r>
      <w:r w:rsidR="00F96412" w:rsidRPr="000F4047">
        <w:t xml:space="preserve">when </w:t>
      </w:r>
      <w:r w:rsidR="0081416A" w:rsidRPr="000F4047">
        <w:t>the safety of the drug has not been e</w:t>
      </w:r>
      <w:r w:rsidR="00B87DB3" w:rsidRPr="000F4047">
        <w:t>stablished</w:t>
      </w:r>
      <w:r w:rsidR="0081416A" w:rsidRPr="000F4047">
        <w:t xml:space="preserve"> in certain age group</w:t>
      </w:r>
      <w:r w:rsidR="0001430C" w:rsidRPr="000F4047">
        <w:t>s</w:t>
      </w:r>
      <w:r w:rsidR="0081416A" w:rsidRPr="000F4047">
        <w:t xml:space="preserve"> and/or there is no </w:t>
      </w:r>
      <w:r w:rsidR="005B79FE" w:rsidRPr="000F4047">
        <w:t>clear pediatric dosage on the label</w:t>
      </w:r>
      <w:r w:rsidR="00A62B42" w:rsidRPr="000F4047">
        <w:rPr>
          <w:rFonts w:ascii="MS Mincho" w:eastAsia="MS Mincho" w:hAnsi="MS Mincho" w:cs="MS Mincho" w:hint="eastAsia"/>
          <w:lang w:eastAsia="ja-JP"/>
        </w:rPr>
        <w:t>,</w:t>
      </w:r>
      <w:r w:rsidR="00201E45" w:rsidRPr="000F4047">
        <w:t xml:space="preserve"> even </w:t>
      </w:r>
      <w:r w:rsidR="00D8497C" w:rsidRPr="000F4047">
        <w:t>when</w:t>
      </w:r>
      <w:r w:rsidR="00201E45" w:rsidRPr="000F4047">
        <w:t xml:space="preserve"> the drugs</w:t>
      </w:r>
      <w:r w:rsidR="00A82E6D" w:rsidRPr="000F4047">
        <w:rPr>
          <w:rFonts w:ascii="MS Mincho" w:eastAsia="MS Mincho" w:hAnsi="MS Mincho" w:cs="MS Mincho" w:hint="eastAsia"/>
          <w:lang w:eastAsia="ja-JP"/>
        </w:rPr>
        <w:t xml:space="preserve"> </w:t>
      </w:r>
      <w:r w:rsidR="0008590E" w:rsidRPr="000F4047">
        <w:rPr>
          <w:rFonts w:hint="eastAsia"/>
        </w:rPr>
        <w:t>a</w:t>
      </w:r>
      <w:r w:rsidR="0008590E" w:rsidRPr="000F4047">
        <w:t xml:space="preserve">re </w:t>
      </w:r>
      <w:r w:rsidR="00201E45" w:rsidRPr="000F4047">
        <w:t>commonly prescribed in children.</w:t>
      </w:r>
      <w:r w:rsidR="005B79FE" w:rsidRPr="000F4047">
        <w:t xml:space="preserve"> </w:t>
      </w:r>
      <w:r w:rsidR="003C02BA" w:rsidRPr="000F4047">
        <w:t xml:space="preserve">In that case the clinical trials with these drugs </w:t>
      </w:r>
      <w:r w:rsidR="00DF6C1D" w:rsidRPr="000F4047">
        <w:t>must</w:t>
      </w:r>
      <w:r w:rsidR="003C02BA" w:rsidRPr="000F4047">
        <w:t xml:space="preserve"> be </w:t>
      </w:r>
      <w:r w:rsidR="009C50F8" w:rsidRPr="000F4047">
        <w:t xml:space="preserve">conducted under the </w:t>
      </w:r>
      <w:r w:rsidR="00556128" w:rsidRPr="000F4047">
        <w:t xml:space="preserve">Clinical Trials Act. </w:t>
      </w:r>
      <w:r w:rsidR="006A4B1B" w:rsidRPr="000F4047">
        <w:t xml:space="preserve">Some </w:t>
      </w:r>
      <w:r w:rsidR="00B114BD" w:rsidRPr="000F4047">
        <w:t xml:space="preserve">measures </w:t>
      </w:r>
      <w:r w:rsidR="00922174" w:rsidRPr="000F4047">
        <w:t>are expected to</w:t>
      </w:r>
      <w:r w:rsidR="00B114BD" w:rsidRPr="000F4047">
        <w:t xml:space="preserve"> be introduced to eliminate variation in judgments </w:t>
      </w:r>
      <w:r w:rsidR="00922174" w:rsidRPr="000F4047">
        <w:t>on</w:t>
      </w:r>
      <w:r w:rsidR="00B114BD" w:rsidRPr="000F4047">
        <w:t xml:space="preserve"> </w:t>
      </w:r>
      <w:r w:rsidR="006E4542" w:rsidRPr="000F4047">
        <w:t>“</w:t>
      </w:r>
      <w:r w:rsidR="00B114BD" w:rsidRPr="000F4047">
        <w:t>off-label</w:t>
      </w:r>
      <w:r w:rsidR="006E4542" w:rsidRPr="000F4047">
        <w:t>”</w:t>
      </w:r>
      <w:r w:rsidR="00B114BD" w:rsidRPr="000F4047">
        <w:t xml:space="preserve"> use</w:t>
      </w:r>
      <w:r w:rsidR="00FA1259" w:rsidRPr="000F4047">
        <w:rPr>
          <w:rFonts w:hint="eastAsia"/>
        </w:rPr>
        <w:t xml:space="preserve"> </w:t>
      </w:r>
      <w:r w:rsidR="00FA1259" w:rsidRPr="000F4047">
        <w:t>in the forthcoming revision of the Act.</w:t>
      </w:r>
    </w:p>
    <w:p w14:paraId="5A204723" w14:textId="77777777" w:rsidR="007008EF" w:rsidRPr="000F4047" w:rsidRDefault="007008EF" w:rsidP="007008EF">
      <w:pPr>
        <w:pStyle w:val="Heading3"/>
      </w:pPr>
      <w:r w:rsidRPr="000F4047">
        <w:t>Australia</w:t>
      </w:r>
    </w:p>
    <w:p w14:paraId="2521F33A" w14:textId="69D9EA0E" w:rsidR="00DC08C3" w:rsidRPr="000F4047" w:rsidRDefault="00DC08C3" w:rsidP="00DC08C3">
      <w:pPr>
        <w:rPr>
          <w:lang w:val="en-AU"/>
        </w:rPr>
      </w:pPr>
      <w:r w:rsidRPr="000F4047">
        <w:rPr>
          <w:lang w:val="en-AU"/>
        </w:rPr>
        <w:t>Clinical trials involving ‘unapproved’ therapeutic goods must be conducted in accordance wit</w:t>
      </w:r>
      <w:r w:rsidR="00822D94" w:rsidRPr="000F4047">
        <w:rPr>
          <w:lang w:val="en-AU"/>
        </w:rPr>
        <w:t>h</w:t>
      </w:r>
      <w:r w:rsidRPr="000F4047">
        <w:rPr>
          <w:lang w:val="en-AU"/>
        </w:rPr>
        <w:t xml:space="preserve"> the requirements of the therapeutic goods legislation (the Therapeutic Goods Act</w:t>
      </w:r>
      <w:r w:rsidR="005E3DB9" w:rsidRPr="000F4047">
        <w:rPr>
          <w:lang w:val="en-AU"/>
        </w:rPr>
        <w:t xml:space="preserve"> 1989</w:t>
      </w:r>
      <w:r w:rsidRPr="000F4047">
        <w:rPr>
          <w:lang w:val="en-AU"/>
        </w:rPr>
        <w:t>), the principles that have their origin in the World Medical Association Declaration of Helsinki,  the Australian National Statement on Ethical Conduct in Human Research (the National Statement) as in force from time to time</w:t>
      </w:r>
      <w:r w:rsidR="006B416D" w:rsidRPr="000F4047">
        <w:rPr>
          <w:lang w:val="en-AU"/>
        </w:rPr>
        <w:t xml:space="preserve">, </w:t>
      </w:r>
      <w:r w:rsidRPr="000F4047">
        <w:rPr>
          <w:lang w:val="en-AU"/>
        </w:rPr>
        <w:t>the relevant Good Clinical Practice (GCP) guideline, other relevant requirements of Commonwealth and/or state and territory legislation as well as site specific requirements</w:t>
      </w:r>
      <w:r w:rsidR="006B416D" w:rsidRPr="000F4047">
        <w:rPr>
          <w:lang w:val="en-AU"/>
        </w:rPr>
        <w:t xml:space="preserve"> (</w:t>
      </w:r>
      <w:r w:rsidR="006B416D" w:rsidRPr="000F4047">
        <w:rPr>
          <w:lang w:val="en-AU"/>
        </w:rPr>
        <w:fldChar w:fldCharType="begin"/>
      </w:r>
      <w:r w:rsidR="006B416D" w:rsidRPr="000F4047">
        <w:rPr>
          <w:lang w:val="en-AU"/>
        </w:rPr>
        <w:instrText xml:space="preserve"> REF _Ref183510582 \r \h </w:instrText>
      </w:r>
      <w:r w:rsidR="006B416D" w:rsidRPr="000F4047">
        <w:rPr>
          <w:lang w:val="en-AU"/>
        </w:rPr>
      </w:r>
      <w:r w:rsidR="006B416D" w:rsidRPr="000F4047">
        <w:rPr>
          <w:lang w:val="en-AU"/>
        </w:rPr>
        <w:fldChar w:fldCharType="separate"/>
      </w:r>
      <w:r w:rsidR="00DA1E53" w:rsidRPr="000F4047">
        <w:rPr>
          <w:lang w:val="en-AU"/>
        </w:rPr>
        <w:t>33</w:t>
      </w:r>
      <w:r w:rsidR="006B416D" w:rsidRPr="000F4047">
        <w:rPr>
          <w:lang w:val="en-AU"/>
        </w:rPr>
        <w:fldChar w:fldCharType="end"/>
      </w:r>
      <w:r w:rsidR="006B416D" w:rsidRPr="000F4047">
        <w:rPr>
          <w:lang w:val="en-AU"/>
        </w:rPr>
        <w:t>)</w:t>
      </w:r>
      <w:r w:rsidRPr="000F4047">
        <w:rPr>
          <w:lang w:val="en-AU"/>
        </w:rPr>
        <w:t xml:space="preserve">. </w:t>
      </w:r>
      <w:r w:rsidR="00822D94" w:rsidRPr="000F4047">
        <w:rPr>
          <w:lang w:val="en-AU"/>
        </w:rPr>
        <w:t>Human Research Ethics Committees (</w:t>
      </w:r>
      <w:r w:rsidRPr="000F4047">
        <w:rPr>
          <w:lang w:val="en-AU"/>
        </w:rPr>
        <w:t>HRECs</w:t>
      </w:r>
      <w:r w:rsidR="00822D94" w:rsidRPr="000F4047">
        <w:rPr>
          <w:lang w:val="en-AU"/>
        </w:rPr>
        <w:t>)</w:t>
      </w:r>
      <w:r w:rsidRPr="000F4047">
        <w:rPr>
          <w:lang w:val="en-AU"/>
        </w:rPr>
        <w:t xml:space="preserve"> are required to be registered, and to comply with the requirements as set out in the National </w:t>
      </w:r>
      <w:r w:rsidR="00822D94" w:rsidRPr="000F4047">
        <w:rPr>
          <w:lang w:val="en-AU"/>
        </w:rPr>
        <w:t>S</w:t>
      </w:r>
      <w:r w:rsidRPr="000F4047">
        <w:rPr>
          <w:lang w:val="en-AU"/>
        </w:rPr>
        <w:t xml:space="preserve">tatement, with additional criteria </w:t>
      </w:r>
      <w:r w:rsidRPr="000F4047">
        <w:rPr>
          <w:lang w:val="en-AU"/>
        </w:rPr>
        <w:lastRenderedPageBreak/>
        <w:t>for paediatric HRECs</w:t>
      </w:r>
      <w:r w:rsidR="00100CF3" w:rsidRPr="000F4047">
        <w:rPr>
          <w:lang w:val="en-AU"/>
        </w:rPr>
        <w:t xml:space="preserve"> (</w:t>
      </w:r>
      <w:r w:rsidR="00100CF3" w:rsidRPr="000F4047">
        <w:rPr>
          <w:lang w:val="en-AU"/>
        </w:rPr>
        <w:fldChar w:fldCharType="begin"/>
      </w:r>
      <w:r w:rsidR="00100CF3" w:rsidRPr="000F4047">
        <w:rPr>
          <w:lang w:val="en-AU"/>
        </w:rPr>
        <w:instrText xml:space="preserve"> REF _Ref183510582 \r \h </w:instrText>
      </w:r>
      <w:r w:rsidR="00100CF3" w:rsidRPr="000F4047">
        <w:rPr>
          <w:lang w:val="en-AU"/>
        </w:rPr>
      </w:r>
      <w:r w:rsidR="00100CF3" w:rsidRPr="000F4047">
        <w:rPr>
          <w:lang w:val="en-AU"/>
        </w:rPr>
        <w:fldChar w:fldCharType="separate"/>
      </w:r>
      <w:r w:rsidR="00DA1E53" w:rsidRPr="000F4047">
        <w:rPr>
          <w:lang w:val="en-AU"/>
        </w:rPr>
        <w:t>33</w:t>
      </w:r>
      <w:r w:rsidR="00100CF3" w:rsidRPr="000F4047">
        <w:rPr>
          <w:lang w:val="en-AU"/>
        </w:rPr>
        <w:fldChar w:fldCharType="end"/>
      </w:r>
      <w:r w:rsidR="00100CF3" w:rsidRPr="000F4047">
        <w:rPr>
          <w:lang w:val="en-AU"/>
        </w:rPr>
        <w:t>)</w:t>
      </w:r>
      <w:r w:rsidRPr="000F4047">
        <w:rPr>
          <w:lang w:val="en-AU"/>
        </w:rPr>
        <w:t xml:space="preserve">. Future development of the </w:t>
      </w:r>
      <w:r w:rsidR="00822D94" w:rsidRPr="000F4047">
        <w:rPr>
          <w:lang w:val="en-AU"/>
        </w:rPr>
        <w:t>n</w:t>
      </w:r>
      <w:r w:rsidRPr="000F4047">
        <w:rPr>
          <w:lang w:val="en-AU"/>
        </w:rPr>
        <w:t xml:space="preserve">ational one-stop shop will enable streamlined clinical trial cross-jurisdictional conduct. The aim is to better enable </w:t>
      </w:r>
      <w:r w:rsidRPr="000F4047">
        <w:t>patients, researchers, industry representatives and sponsors to find, conduct, participate and invest in high quality and ethical research in Australia (</w:t>
      </w:r>
      <w:r w:rsidR="00C82D1E" w:rsidRPr="000F4047">
        <w:fldChar w:fldCharType="begin"/>
      </w:r>
      <w:r w:rsidR="00C82D1E" w:rsidRPr="000F4047">
        <w:instrText xml:space="preserve"> REF _Ref183510729 \r \h </w:instrText>
      </w:r>
      <w:r w:rsidR="00C82D1E" w:rsidRPr="000F4047">
        <w:fldChar w:fldCharType="separate"/>
      </w:r>
      <w:r w:rsidR="00DA1E53" w:rsidRPr="000F4047">
        <w:t>34</w:t>
      </w:r>
      <w:r w:rsidR="00C82D1E" w:rsidRPr="000F4047">
        <w:fldChar w:fldCharType="end"/>
      </w:r>
      <w:r w:rsidR="00C82D1E" w:rsidRPr="000F4047">
        <w:t>).</w:t>
      </w:r>
      <w:r w:rsidRPr="000F4047">
        <w:t xml:space="preserve"> </w:t>
      </w:r>
    </w:p>
    <w:p w14:paraId="49B5743C" w14:textId="306833A8" w:rsidR="000831E9" w:rsidRPr="000F4047" w:rsidRDefault="00C54458" w:rsidP="00DA48E2">
      <w:pPr>
        <w:pStyle w:val="Heading2"/>
        <w:rPr>
          <w:lang w:eastAsia="en-CA"/>
        </w:rPr>
      </w:pPr>
      <w:r w:rsidRPr="000F4047">
        <w:rPr>
          <w:lang w:eastAsia="en-CA"/>
        </w:rPr>
        <w:t>Discussion</w:t>
      </w:r>
    </w:p>
    <w:p w14:paraId="378675DA" w14:textId="77777777" w:rsidR="004C3E83" w:rsidRPr="000F4047" w:rsidRDefault="004C3E83" w:rsidP="004C3E83">
      <w:pPr>
        <w:pStyle w:val="BodyText1"/>
      </w:pPr>
      <w:r w:rsidRPr="000F4047">
        <w:t xml:space="preserve">Identifying areas where there might be agreement in policies and where standards might be defined has the potential to improve the ethics review process for CTs involving children, thereby expediting access to these trials. The survey highlighted the differences between ethics review for CTs in pediatric medicine development among six jurisdictions (Australia, Canada, EU, Japan, UK, US). </w:t>
      </w:r>
    </w:p>
    <w:p w14:paraId="63907838" w14:textId="04174CF8" w:rsidR="004C3E83" w:rsidRPr="000F4047" w:rsidRDefault="004C3E83" w:rsidP="004C3E83">
      <w:pPr>
        <w:pStyle w:val="BodyText1"/>
      </w:pPr>
      <w:r w:rsidRPr="000F4047">
        <w:t>Most jurisdictions, including the EU (at national level of each Member State), USA, UK, Japan, and Australia (via the National Mutual Acceptance (NMA) system), have some form of centralized ethics review, though Canada’s system is still largely provincial. Canada is working toward a national harmonized process for multi-site studies, while the US</w:t>
      </w:r>
      <w:r w:rsidR="0063730A" w:rsidRPr="000F4047">
        <w:t>A</w:t>
      </w:r>
      <w:r w:rsidRPr="000F4047">
        <w:t xml:space="preserve"> and UK are advancing streamlined review procedures.</w:t>
      </w:r>
      <w:r w:rsidR="00631ADA" w:rsidRPr="000F4047">
        <w:t xml:space="preserve"> </w:t>
      </w:r>
      <w:r w:rsidRPr="000F4047">
        <w:t xml:space="preserve">Although there is a growing trend for ethics review to be performed centrally, this is not universally permitted. Furthermore, within some jurisdictions, the use of centralized ethics review may not be allowed because of institutional or national policies. In cases where central review is permitted, clinical sites may require local review for vulnerable populations (e.g., children). </w:t>
      </w:r>
      <w:r w:rsidR="00040316" w:rsidRPr="000F4047">
        <w:t xml:space="preserve">The WG highly recommends the use of central ethics reviews, noting that centralized ethics reviews have some clear advantages such as the availability of expert pediatric reviewers and the efficiency and consistency of the review, for example. </w:t>
      </w:r>
    </w:p>
    <w:p w14:paraId="3860EE3C" w14:textId="1101F462" w:rsidR="004C3E83" w:rsidRPr="000F4047" w:rsidRDefault="004C3E83" w:rsidP="004C3E83">
      <w:pPr>
        <w:pStyle w:val="BodyText1"/>
      </w:pPr>
      <w:r w:rsidRPr="000F4047">
        <w:t>Informed consent provided by a parent, guardian and/or legally authorized representative is universally required in all jurisdictions (</w:t>
      </w:r>
      <w:r w:rsidRPr="000F4047">
        <w:fldChar w:fldCharType="begin"/>
      </w:r>
      <w:r w:rsidRPr="000F4047">
        <w:instrText xml:space="preserve"> REF _Ref179194046 \r \h </w:instrText>
      </w:r>
      <w:r w:rsidRPr="000F4047">
        <w:fldChar w:fldCharType="separate"/>
      </w:r>
      <w:r w:rsidR="00DA1E53" w:rsidRPr="000F4047">
        <w:t>35</w:t>
      </w:r>
      <w:r w:rsidRPr="000F4047">
        <w:fldChar w:fldCharType="end"/>
      </w:r>
      <w:r w:rsidRPr="000F4047">
        <w:t xml:space="preserve">). Regarding assent, most jurisdictions acknowledge the importance of obtaining it from children who can understand the trial. The practice of assent, whereby children developmentally capable of understanding the trial must receive age-appropriate information from trained professionals, and their explicit wishes to refuse or withdraw from participation must be respected is unique to pediatric populations and is derived from the important ethical principle of autonomy. </w:t>
      </w:r>
      <w:r w:rsidR="00833ADC" w:rsidRPr="000F4047">
        <w:t xml:space="preserve">In Europe, the Part II assessment in the CTIS is dependent on each </w:t>
      </w:r>
      <w:r w:rsidR="00E13301" w:rsidRPr="000F4047">
        <w:t>Concerned Member State</w:t>
      </w:r>
      <w:r w:rsidR="009D0CDA" w:rsidRPr="000F4047">
        <w:t>,</w:t>
      </w:r>
      <w:r w:rsidR="00833ADC" w:rsidRPr="000F4047">
        <w:t xml:space="preserve"> having its own national legislation and detailed requirements for the ethical assessment documents. This variation can create some extra work or delays for sponsors, if there is a need for document adaptation or amendments for several countries. To tackle these ethical issues and to support sponsors, </w:t>
      </w:r>
      <w:proofErr w:type="spellStart"/>
      <w:r w:rsidR="00833ADC" w:rsidRPr="000F4047">
        <w:t>Enpr</w:t>
      </w:r>
      <w:proofErr w:type="spellEnd"/>
      <w:r w:rsidR="00833ADC" w:rsidRPr="000F4047">
        <w:t>-EMA have developed specific guidance for pediatric trials (</w:t>
      </w:r>
      <w:r w:rsidR="00833ADC" w:rsidRPr="000F4047">
        <w:rPr>
          <w:highlight w:val="yellow"/>
        </w:rPr>
        <w:fldChar w:fldCharType="begin"/>
      </w:r>
      <w:r w:rsidR="00833ADC" w:rsidRPr="000F4047">
        <w:instrText xml:space="preserve"> REF _Ref184110549 \r \h </w:instrText>
      </w:r>
      <w:r w:rsidR="00833ADC" w:rsidRPr="000F4047">
        <w:rPr>
          <w:highlight w:val="yellow"/>
        </w:rPr>
      </w:r>
      <w:r w:rsidR="00833ADC" w:rsidRPr="000F4047">
        <w:rPr>
          <w:highlight w:val="yellow"/>
        </w:rPr>
        <w:fldChar w:fldCharType="separate"/>
      </w:r>
      <w:r w:rsidR="00DA1E53" w:rsidRPr="000F4047">
        <w:t>36</w:t>
      </w:r>
      <w:r w:rsidR="00833ADC" w:rsidRPr="000F4047">
        <w:rPr>
          <w:highlight w:val="yellow"/>
        </w:rPr>
        <w:fldChar w:fldCharType="end"/>
      </w:r>
      <w:r w:rsidR="00833ADC" w:rsidRPr="000F4047">
        <w:t xml:space="preserve">). </w:t>
      </w:r>
      <w:r w:rsidRPr="000F4047">
        <w:t>The importance of recognizing patient voices and rights is increasingly emphasized in clinical trials, with special attention to including the perspectives of pediatric participants</w:t>
      </w:r>
      <w:r w:rsidR="00833ADC" w:rsidRPr="000F4047">
        <w:t xml:space="preserve"> </w:t>
      </w:r>
      <w:r w:rsidRPr="000F4047">
        <w:t>(</w:t>
      </w:r>
      <w:r w:rsidRPr="000F4047">
        <w:fldChar w:fldCharType="begin"/>
      </w:r>
      <w:r w:rsidRPr="000F4047">
        <w:instrText xml:space="preserve"> REF _Ref179194067 \r \h </w:instrText>
      </w:r>
      <w:r w:rsidRPr="000F4047">
        <w:fldChar w:fldCharType="separate"/>
      </w:r>
      <w:r w:rsidR="00DA1E53" w:rsidRPr="000F4047">
        <w:t>37</w:t>
      </w:r>
      <w:r w:rsidRPr="000F4047">
        <w:fldChar w:fldCharType="end"/>
      </w:r>
      <w:r w:rsidRPr="000F4047">
        <w:t>). It is notable that assent is typically legally required (EU, UK, USA and Canada) or strongly encouraged (Australia, Japan) across all jurisdictions. The general recommendation is to obtain assent f</w:t>
      </w:r>
      <w:r w:rsidR="009D0CDA" w:rsidRPr="000F4047">
        <w:t>rom</w:t>
      </w:r>
      <w:r w:rsidRPr="000F4047">
        <w:t xml:space="preserve"> children aged 7 years and older. Given the importance of respecting the rights of children, the WG strongly recommends obtaining assent from pediatric trial participants who are developmentally capable to do so.</w:t>
      </w:r>
    </w:p>
    <w:p w14:paraId="4C8FE23A" w14:textId="166C0D3B" w:rsidR="00C54458" w:rsidRPr="000F4047" w:rsidRDefault="004C3E83" w:rsidP="0015031C">
      <w:pPr>
        <w:pStyle w:val="BodyText1"/>
      </w:pPr>
      <w:r w:rsidRPr="000F4047">
        <w:t xml:space="preserve">In summary, while the ethics review processes and requirements for pediatric trials vary globally, the WG emphasizes the importance of centralized review systems, pediatric expertise, </w:t>
      </w:r>
      <w:r w:rsidRPr="000F4047">
        <w:lastRenderedPageBreak/>
        <w:t>and child assent in ways that aim to protect young trial participants while respecting their emerging autonomy. Each country’s approach reflects a balance between ensuring safety and supporting efficient research practices, with ongoing efforts in several jurisdictions to streamline and harmonize ethics review for pediatric clinical trials.</w:t>
      </w:r>
    </w:p>
    <w:p w14:paraId="605E7D28" w14:textId="77777777" w:rsidR="0015031C" w:rsidRPr="000F4047" w:rsidRDefault="0015031C" w:rsidP="00DA48E2">
      <w:pPr>
        <w:pStyle w:val="Heading1"/>
        <w:rPr>
          <w:rFonts w:ascii="Times" w:hAnsi="Times"/>
          <w:b w:val="0"/>
          <w:bCs w:val="0"/>
          <w:lang w:val="en-CA"/>
        </w:rPr>
      </w:pPr>
      <w:r w:rsidRPr="000F4047">
        <w:rPr>
          <w:rStyle w:val="Heading1Char"/>
          <w:b/>
          <w:bCs/>
        </w:rPr>
        <w:t>Conflict of interest</w:t>
      </w:r>
    </w:p>
    <w:p w14:paraId="0E562602" w14:textId="5F749686" w:rsidR="0015031C" w:rsidRPr="000F4047" w:rsidRDefault="0015031C" w:rsidP="00DA48E2">
      <w:pPr>
        <w:pStyle w:val="BodyText1"/>
      </w:pPr>
      <w:r w:rsidRPr="000F4047">
        <w:t xml:space="preserve">All authors have no relevant conflicts of interest. </w:t>
      </w:r>
    </w:p>
    <w:p w14:paraId="0DD4E8EE" w14:textId="77777777" w:rsidR="0015031C" w:rsidRPr="000F4047" w:rsidRDefault="00D22A7A" w:rsidP="00DA48E2">
      <w:pPr>
        <w:pStyle w:val="Heading1"/>
        <w:rPr>
          <w:rFonts w:ascii="Times" w:hAnsi="Times"/>
          <w:b w:val="0"/>
          <w:bCs w:val="0"/>
          <w:lang w:val="en-CA"/>
        </w:rPr>
      </w:pPr>
      <w:r w:rsidRPr="000F4047">
        <w:rPr>
          <w:iCs w:val="0"/>
        </w:rPr>
        <w:t>Aut</w:t>
      </w:r>
      <w:r w:rsidRPr="000F4047">
        <w:rPr>
          <w:rStyle w:val="Heading1Char"/>
          <w:b/>
          <w:bCs/>
        </w:rPr>
        <w:t>hor Contributions</w:t>
      </w:r>
    </w:p>
    <w:p w14:paraId="07C0CFE2" w14:textId="15E503F1" w:rsidR="00D22A7A" w:rsidRPr="000F4047" w:rsidRDefault="00D22A7A" w:rsidP="00DA48E2">
      <w:pPr>
        <w:pStyle w:val="BodyText1"/>
      </w:pPr>
      <w:r w:rsidRPr="000F4047">
        <w:t xml:space="preserve">All authors contributed to data collection, manuscript drafting and revision. They approved the final version. </w:t>
      </w:r>
    </w:p>
    <w:p w14:paraId="6E1049B7" w14:textId="77777777" w:rsidR="0015031C" w:rsidRPr="000F4047" w:rsidRDefault="0015031C" w:rsidP="00DA48E2">
      <w:pPr>
        <w:pStyle w:val="Heading1"/>
      </w:pPr>
      <w:r w:rsidRPr="000F4047">
        <w:t>F</w:t>
      </w:r>
      <w:r w:rsidR="00D22A7A" w:rsidRPr="000F4047">
        <w:t>unding</w:t>
      </w:r>
    </w:p>
    <w:p w14:paraId="4381822E" w14:textId="30454FB9" w:rsidR="00D22A7A" w:rsidRPr="000F4047" w:rsidRDefault="00D22A7A" w:rsidP="00DA48E2">
      <w:pPr>
        <w:pStyle w:val="BodyText1"/>
        <w:rPr>
          <w:rFonts w:ascii="Times" w:hAnsi="Times" w:cs="Times"/>
        </w:rPr>
      </w:pPr>
      <w:r w:rsidRPr="000F4047">
        <w:rPr>
          <w:rFonts w:ascii="Times" w:hAnsi="Times" w:cs="Times"/>
        </w:rPr>
        <w:t xml:space="preserve">The conect4children (c4c) initiative is a project funded under the public–private partnership Innovative Medicines Initiative 2 (IMI 2) Joint Understanding, Grant Agreement 777389. MICYRN is primarily funded by the network member research organizations with supplemental funding provided through cost recovery contracts set-up with research projects funded by the Canadian Institute for Health Research (CIHR) and Genome Canada. I-ACT for Children is supported through a grant (U18 FD006297-05) funded by the Food and Drug Administration (FDA) of the U.S. Department of Health and Human Services (HHS). </w:t>
      </w:r>
    </w:p>
    <w:p w14:paraId="162ECBDF" w14:textId="421FB9BC" w:rsidR="004A31A1" w:rsidRPr="000F4047" w:rsidRDefault="004A31A1" w:rsidP="00DA48E2">
      <w:pPr>
        <w:pStyle w:val="Heading1"/>
        <w:rPr>
          <w:rFonts w:cs="Times"/>
          <w:lang w:eastAsia="en-CA"/>
        </w:rPr>
      </w:pPr>
      <w:r w:rsidRPr="000F4047">
        <w:rPr>
          <w:rFonts w:cs="Times"/>
          <w:lang w:eastAsia="en-CA"/>
        </w:rPr>
        <w:t>Acknowledgment</w:t>
      </w:r>
    </w:p>
    <w:p w14:paraId="124CEF6C" w14:textId="60E7C3A0" w:rsidR="0015031C" w:rsidRPr="000F4047" w:rsidRDefault="004C3E83" w:rsidP="00DA48E2">
      <w:pPr>
        <w:pStyle w:val="BodyText1"/>
        <w:rPr>
          <w:rFonts w:cs="Times New Roman"/>
          <w:lang w:val="en-CA"/>
        </w:rPr>
      </w:pPr>
      <w:r w:rsidRPr="000F4047">
        <w:rPr>
          <w:rFonts w:eastAsia="Times New Roman" w:cs="Times New Roman"/>
        </w:rPr>
        <w:t>The views expressed in this article are the personal views of the authors and may not be understood or quoted as being made on behalf of or reflecting the position of EMA, FDA, HC, PMDA, TGA, and MHRA, including also the views of the c4c Consortium: none of the c4c project funders IMI, the European Union or EFPIA are liable for any use that may be made of the information contained herein (Project funding Call: H2020-JTI-IMI2-2016-10. Proposal: 77738).</w:t>
      </w:r>
      <w:r w:rsidR="00621147" w:rsidRPr="000F4047">
        <w:rPr>
          <w:rFonts w:ascii="Times" w:hAnsi="Times"/>
          <w:lang w:val="en-GB"/>
        </w:rPr>
        <w:t xml:space="preserve"> We would like to thank Ralph </w:t>
      </w:r>
      <w:proofErr w:type="spellStart"/>
      <w:r w:rsidR="00621147" w:rsidRPr="000F4047">
        <w:rPr>
          <w:rFonts w:ascii="Times" w:hAnsi="Times"/>
          <w:lang w:val="en-GB"/>
        </w:rPr>
        <w:t>Bax</w:t>
      </w:r>
      <w:proofErr w:type="spellEnd"/>
      <w:r w:rsidR="00621147" w:rsidRPr="000F4047">
        <w:rPr>
          <w:rFonts w:ascii="Times" w:hAnsi="Times"/>
          <w:lang w:val="en-GB"/>
        </w:rPr>
        <w:t xml:space="preserve"> and Giacomo Capone from Paediatric Medicine Office and Data Analytics and Methods Task Force, European Medicines Agency (EMA) for their valuable contributions, input and review of this manuscript.</w:t>
      </w:r>
    </w:p>
    <w:p w14:paraId="3662A3C6" w14:textId="533E49FF" w:rsidR="00894EAB" w:rsidRPr="000F4047" w:rsidRDefault="0015031C" w:rsidP="00DA48E2">
      <w:pPr>
        <w:pStyle w:val="Heading1"/>
        <w:rPr>
          <w:lang w:val="en-CA"/>
        </w:rPr>
      </w:pPr>
      <w:r w:rsidRPr="000F4047">
        <w:rPr>
          <w:lang w:val="en-CA"/>
        </w:rPr>
        <w:t>References</w:t>
      </w:r>
    </w:p>
    <w:p w14:paraId="01694843" w14:textId="1C164BE6" w:rsidR="003B2A95" w:rsidRPr="000F4047" w:rsidRDefault="003B2A95" w:rsidP="00DA48E2">
      <w:pPr>
        <w:pStyle w:val="BodyText1"/>
        <w:numPr>
          <w:ilvl w:val="0"/>
          <w:numId w:val="53"/>
        </w:numPr>
        <w:ind w:left="284" w:hanging="142"/>
        <w:rPr>
          <w:rFonts w:cs="Times New Roman"/>
          <w:szCs w:val="24"/>
          <w:lang w:val="en-CA"/>
        </w:rPr>
      </w:pPr>
      <w:bookmarkStart w:id="6" w:name="one"/>
      <w:bookmarkStart w:id="7" w:name="_Ref179194178"/>
      <w:bookmarkEnd w:id="6"/>
      <w:r w:rsidRPr="000F4047">
        <w:rPr>
          <w:rFonts w:cs="Times New Roman"/>
          <w:szCs w:val="24"/>
          <w:lang w:val="en-CA"/>
        </w:rPr>
        <w:t xml:space="preserve">Needham AC, </w:t>
      </w:r>
      <w:proofErr w:type="spellStart"/>
      <w:r w:rsidRPr="000F4047">
        <w:rPr>
          <w:rFonts w:cs="Times New Roman"/>
          <w:szCs w:val="24"/>
          <w:lang w:val="en-CA"/>
        </w:rPr>
        <w:t>Zapadia</w:t>
      </w:r>
      <w:proofErr w:type="spellEnd"/>
      <w:r w:rsidRPr="000F4047">
        <w:rPr>
          <w:rFonts w:cs="Times New Roman"/>
          <w:szCs w:val="24"/>
          <w:lang w:val="en-CA"/>
        </w:rPr>
        <w:t xml:space="preserve"> MZ, </w:t>
      </w:r>
      <w:proofErr w:type="spellStart"/>
      <w:r w:rsidRPr="000F4047">
        <w:rPr>
          <w:rFonts w:cs="Times New Roman"/>
          <w:szCs w:val="24"/>
          <w:lang w:val="en-CA"/>
        </w:rPr>
        <w:t>Offringa</w:t>
      </w:r>
      <w:proofErr w:type="spellEnd"/>
      <w:r w:rsidRPr="000F4047">
        <w:rPr>
          <w:rFonts w:cs="Times New Roman"/>
          <w:szCs w:val="24"/>
          <w:lang w:val="en-CA"/>
        </w:rPr>
        <w:t xml:space="preserve"> M. Ethics review of pediatric multi-center drug trials. </w:t>
      </w:r>
      <w:proofErr w:type="spellStart"/>
      <w:r w:rsidRPr="000F4047">
        <w:rPr>
          <w:rFonts w:cs="Times New Roman"/>
          <w:szCs w:val="24"/>
          <w:lang w:val="en-CA"/>
        </w:rPr>
        <w:t>Pediatr</w:t>
      </w:r>
      <w:proofErr w:type="spellEnd"/>
      <w:r w:rsidRPr="000F4047">
        <w:rPr>
          <w:rFonts w:cs="Times New Roman"/>
          <w:szCs w:val="24"/>
          <w:lang w:val="en-CA"/>
        </w:rPr>
        <w:t xml:space="preserve"> Drugs (2015) 17: 23-30</w:t>
      </w:r>
      <w:r w:rsidR="0097493A" w:rsidRPr="000F4047">
        <w:rPr>
          <w:rFonts w:cs="Times New Roman"/>
          <w:szCs w:val="24"/>
          <w:lang w:val="en-CA"/>
        </w:rPr>
        <w:t>.</w:t>
      </w:r>
      <w:bookmarkEnd w:id="7"/>
    </w:p>
    <w:p w14:paraId="4837CA6D" w14:textId="1F714B38" w:rsidR="0085726E" w:rsidRPr="000F4047" w:rsidRDefault="00A662AC" w:rsidP="00DA48E2">
      <w:pPr>
        <w:pStyle w:val="BodyText1"/>
        <w:numPr>
          <w:ilvl w:val="0"/>
          <w:numId w:val="53"/>
        </w:numPr>
        <w:ind w:left="284" w:hanging="142"/>
        <w:rPr>
          <w:rFonts w:cs="Times New Roman"/>
          <w:szCs w:val="24"/>
          <w:lang w:val="en-CA"/>
        </w:rPr>
      </w:pPr>
      <w:bookmarkStart w:id="8" w:name="two"/>
      <w:bookmarkStart w:id="9" w:name="_Ref179194189"/>
      <w:bookmarkEnd w:id="8"/>
      <w:proofErr w:type="spellStart"/>
      <w:r w:rsidRPr="000F4047">
        <w:rPr>
          <w:rFonts w:cs="Times New Roman"/>
          <w:szCs w:val="24"/>
          <w:lang w:val="en-CA"/>
        </w:rPr>
        <w:t>Lemyre</w:t>
      </w:r>
      <w:proofErr w:type="spellEnd"/>
      <w:r w:rsidRPr="000F4047">
        <w:rPr>
          <w:rFonts w:cs="Times New Roman"/>
          <w:szCs w:val="24"/>
          <w:lang w:val="en-CA"/>
        </w:rPr>
        <w:t xml:space="preserve"> B, </w:t>
      </w:r>
      <w:proofErr w:type="spellStart"/>
      <w:r w:rsidRPr="000F4047">
        <w:rPr>
          <w:rFonts w:cs="Times New Roman"/>
          <w:szCs w:val="24"/>
          <w:lang w:val="en-CA"/>
        </w:rPr>
        <w:t>Bodani</w:t>
      </w:r>
      <w:proofErr w:type="spellEnd"/>
      <w:r w:rsidRPr="000F4047">
        <w:rPr>
          <w:rFonts w:cs="Times New Roman"/>
          <w:szCs w:val="24"/>
          <w:lang w:val="en-CA"/>
        </w:rPr>
        <w:t xml:space="preserve"> JP, Doucette S, Dunn MS, Louis D, </w:t>
      </w:r>
      <w:proofErr w:type="spellStart"/>
      <w:r w:rsidRPr="000F4047">
        <w:rPr>
          <w:rFonts w:cs="Times New Roman"/>
          <w:szCs w:val="24"/>
          <w:lang w:val="en-CA"/>
        </w:rPr>
        <w:t>Monterrosa</w:t>
      </w:r>
      <w:proofErr w:type="spellEnd"/>
      <w:r w:rsidRPr="000F4047">
        <w:rPr>
          <w:rFonts w:cs="Times New Roman"/>
          <w:szCs w:val="24"/>
          <w:lang w:val="en-CA"/>
        </w:rPr>
        <w:t xml:space="preserve"> L, Mukerji A, </w:t>
      </w:r>
      <w:proofErr w:type="spellStart"/>
      <w:r w:rsidRPr="000F4047">
        <w:rPr>
          <w:rFonts w:cs="Times New Roman"/>
          <w:szCs w:val="24"/>
          <w:lang w:val="en-CA"/>
        </w:rPr>
        <w:t>Schmolzer</w:t>
      </w:r>
      <w:proofErr w:type="spellEnd"/>
      <w:r w:rsidRPr="000F4047">
        <w:rPr>
          <w:rFonts w:cs="Times New Roman"/>
          <w:szCs w:val="24"/>
          <w:lang w:val="en-CA"/>
        </w:rPr>
        <w:t xml:space="preserve"> GM, Shah P, Singh B, Wong J, </w:t>
      </w:r>
      <w:proofErr w:type="spellStart"/>
      <w:r w:rsidRPr="000F4047">
        <w:rPr>
          <w:rFonts w:cs="Times New Roman"/>
          <w:szCs w:val="24"/>
          <w:lang w:val="en-CA"/>
        </w:rPr>
        <w:t>Lacaze-Masmonteil</w:t>
      </w:r>
      <w:proofErr w:type="spellEnd"/>
      <w:r w:rsidRPr="000F4047">
        <w:rPr>
          <w:rFonts w:cs="Times New Roman"/>
          <w:szCs w:val="24"/>
          <w:lang w:val="en-CA"/>
        </w:rPr>
        <w:t xml:space="preserve"> T, </w:t>
      </w:r>
      <w:proofErr w:type="spellStart"/>
      <w:r w:rsidRPr="000F4047">
        <w:rPr>
          <w:rFonts w:cs="Times New Roman"/>
          <w:szCs w:val="24"/>
          <w:lang w:val="en-CA"/>
        </w:rPr>
        <w:t>Offringa</w:t>
      </w:r>
      <w:proofErr w:type="spellEnd"/>
      <w:r w:rsidRPr="000F4047">
        <w:rPr>
          <w:rFonts w:cs="Times New Roman"/>
          <w:szCs w:val="24"/>
          <w:lang w:val="en-CA"/>
        </w:rPr>
        <w:t xml:space="preserve"> M. A call for a streamlined ethics review process for multijurisdictional, child health research studies. </w:t>
      </w:r>
      <w:proofErr w:type="spellStart"/>
      <w:r w:rsidRPr="000F4047">
        <w:rPr>
          <w:rFonts w:cs="Times New Roman"/>
          <w:szCs w:val="24"/>
          <w:lang w:val="en-CA"/>
        </w:rPr>
        <w:t>Paediatr</w:t>
      </w:r>
      <w:proofErr w:type="spellEnd"/>
      <w:r w:rsidRPr="000F4047">
        <w:rPr>
          <w:rFonts w:cs="Times New Roman"/>
          <w:szCs w:val="24"/>
          <w:lang w:val="en-CA"/>
        </w:rPr>
        <w:t xml:space="preserve"> Child Health (2020) 25: 406-</w:t>
      </w:r>
      <w:r w:rsidR="0097493A" w:rsidRPr="000F4047">
        <w:rPr>
          <w:rFonts w:cs="Times New Roman"/>
          <w:szCs w:val="24"/>
          <w:lang w:val="en-CA"/>
        </w:rPr>
        <w:t>40</w:t>
      </w:r>
      <w:r w:rsidRPr="000F4047">
        <w:rPr>
          <w:rFonts w:cs="Times New Roman"/>
          <w:szCs w:val="24"/>
          <w:lang w:val="en-CA"/>
        </w:rPr>
        <w:t>8</w:t>
      </w:r>
      <w:r w:rsidR="0097493A" w:rsidRPr="000F4047">
        <w:rPr>
          <w:rFonts w:cs="Times New Roman"/>
          <w:szCs w:val="24"/>
          <w:lang w:val="en-CA"/>
        </w:rPr>
        <w:t>.</w:t>
      </w:r>
      <w:bookmarkEnd w:id="9"/>
    </w:p>
    <w:p w14:paraId="4AFF0F7C" w14:textId="17FF05E3" w:rsidR="00A662AC" w:rsidRPr="000F4047" w:rsidRDefault="00A02328" w:rsidP="00DA48E2">
      <w:pPr>
        <w:pStyle w:val="BodyText1"/>
        <w:numPr>
          <w:ilvl w:val="0"/>
          <w:numId w:val="53"/>
        </w:numPr>
        <w:ind w:left="284" w:hanging="142"/>
        <w:rPr>
          <w:rFonts w:cs="Times New Roman"/>
          <w:szCs w:val="24"/>
          <w:lang w:val="en-CA"/>
        </w:rPr>
      </w:pPr>
      <w:bookmarkStart w:id="10" w:name="three"/>
      <w:bookmarkStart w:id="11" w:name="_Ref179194202"/>
      <w:bookmarkEnd w:id="10"/>
      <w:r w:rsidRPr="000F4047">
        <w:rPr>
          <w:rFonts w:cs="Times New Roman"/>
          <w:szCs w:val="24"/>
          <w:lang w:val="en-CA"/>
        </w:rPr>
        <w:t>Joseph PD, Craig JC, Tong A,</w:t>
      </w:r>
      <w:r w:rsidR="00EF1CDA" w:rsidRPr="000F4047">
        <w:rPr>
          <w:rFonts w:cs="Times New Roman"/>
          <w:szCs w:val="24"/>
          <w:lang w:val="en-CA"/>
        </w:rPr>
        <w:t xml:space="preserve"> Caldwell PYH. Researchers’, regulators’, and sponsors’ views on pediatric clinical trials: A multinational study. Pediatrics (2016) 138: e20161171</w:t>
      </w:r>
      <w:r w:rsidR="0097493A" w:rsidRPr="000F4047">
        <w:rPr>
          <w:rFonts w:cs="Times New Roman"/>
          <w:szCs w:val="24"/>
          <w:lang w:val="en-CA"/>
        </w:rPr>
        <w:t>.</w:t>
      </w:r>
      <w:bookmarkEnd w:id="11"/>
    </w:p>
    <w:p w14:paraId="0946D6A5" w14:textId="34CFE7AD" w:rsidR="001326A6" w:rsidRPr="000F4047" w:rsidRDefault="00105F2C" w:rsidP="00A173A5">
      <w:pPr>
        <w:pStyle w:val="BodyText1"/>
        <w:numPr>
          <w:ilvl w:val="0"/>
          <w:numId w:val="53"/>
        </w:numPr>
        <w:ind w:left="284" w:hanging="142"/>
        <w:rPr>
          <w:rFonts w:cs="Times New Roman"/>
          <w:szCs w:val="24"/>
          <w:lang w:val="en-CA"/>
        </w:rPr>
      </w:pPr>
      <w:bookmarkStart w:id="12" w:name="four"/>
      <w:bookmarkStart w:id="13" w:name="_Ref179194215"/>
      <w:bookmarkStart w:id="14" w:name="_Hlk176263058"/>
      <w:bookmarkEnd w:id="12"/>
      <w:r w:rsidRPr="000F4047">
        <w:rPr>
          <w:bCs/>
          <w:lang w:val="en-CA"/>
        </w:rPr>
        <w:lastRenderedPageBreak/>
        <w:t xml:space="preserve">Stewart B, </w:t>
      </w:r>
      <w:proofErr w:type="spellStart"/>
      <w:r w:rsidRPr="000F4047">
        <w:rPr>
          <w:bCs/>
          <w:lang w:val="en-CA"/>
        </w:rPr>
        <w:t>Lepola</w:t>
      </w:r>
      <w:proofErr w:type="spellEnd"/>
      <w:r w:rsidRPr="000F4047">
        <w:rPr>
          <w:bCs/>
          <w:lang w:val="en-CA"/>
        </w:rPr>
        <w:t xml:space="preserve"> P, Egger GF, Ali F, Allen AJ, Croker AK</w:t>
      </w:r>
      <w:r w:rsidR="001326A6" w:rsidRPr="000F4047">
        <w:rPr>
          <w:rFonts w:cs="Times New Roman"/>
          <w:bCs/>
          <w:szCs w:val="24"/>
          <w:lang w:val="en-CA"/>
        </w:rPr>
        <w:t>,</w:t>
      </w:r>
      <w:r w:rsidR="009C1DED" w:rsidRPr="000F4047">
        <w:rPr>
          <w:rFonts w:cs="Times New Roman"/>
          <w:bCs/>
          <w:szCs w:val="24"/>
          <w:lang w:val="en-CA"/>
        </w:rPr>
        <w:t xml:space="preserve"> et al. Requirements</w:t>
      </w:r>
      <w:r w:rsidRPr="000F4047">
        <w:rPr>
          <w:rFonts w:cs="Times New Roman"/>
          <w:bCs/>
          <w:szCs w:val="24"/>
          <w:lang w:val="en-CA"/>
        </w:rPr>
        <w:t xml:space="preserve"> and special considerations for drug trials across s</w:t>
      </w:r>
      <w:r w:rsidR="009C1DED" w:rsidRPr="000F4047">
        <w:rPr>
          <w:rFonts w:cs="Times New Roman"/>
          <w:bCs/>
          <w:szCs w:val="24"/>
          <w:lang w:val="en-CA"/>
        </w:rPr>
        <w:t xml:space="preserve">ix </w:t>
      </w:r>
      <w:proofErr w:type="gramStart"/>
      <w:r w:rsidRPr="000F4047">
        <w:rPr>
          <w:rFonts w:cs="Times New Roman"/>
          <w:bCs/>
          <w:szCs w:val="24"/>
          <w:lang w:val="en-CA"/>
        </w:rPr>
        <w:t>jurisdictio</w:t>
      </w:r>
      <w:r w:rsidR="009C1DED" w:rsidRPr="000F4047">
        <w:rPr>
          <w:rFonts w:cs="Times New Roman"/>
          <w:bCs/>
          <w:szCs w:val="24"/>
          <w:lang w:val="en-CA"/>
        </w:rPr>
        <w:t>n</w:t>
      </w:r>
      <w:proofErr w:type="gramEnd"/>
      <w:r w:rsidR="009C1DED" w:rsidRPr="000F4047">
        <w:rPr>
          <w:rFonts w:cs="Times New Roman"/>
          <w:bCs/>
          <w:szCs w:val="24"/>
          <w:lang w:val="en-CA"/>
        </w:rPr>
        <w:t>: 1. Clinical Trial Application Review in the Regulatory Approval Process (</w:t>
      </w:r>
      <w:r w:rsidRPr="000F4047">
        <w:rPr>
          <w:rFonts w:cs="Times New Roman"/>
          <w:bCs/>
          <w:szCs w:val="24"/>
          <w:lang w:val="en-CA"/>
        </w:rPr>
        <w:t>2024). Manuscript submitted for publication</w:t>
      </w:r>
      <w:bookmarkEnd w:id="13"/>
      <w:r w:rsidRPr="000F4047">
        <w:rPr>
          <w:rFonts w:cs="Times New Roman"/>
          <w:bCs/>
          <w:szCs w:val="24"/>
          <w:lang w:val="en-CA"/>
        </w:rPr>
        <w:t>.</w:t>
      </w:r>
    </w:p>
    <w:p w14:paraId="64DE4E66" w14:textId="6B907E66" w:rsidR="006B416D" w:rsidRPr="000F4047" w:rsidRDefault="006B416D" w:rsidP="006B416D">
      <w:pPr>
        <w:pStyle w:val="BodyText1"/>
        <w:numPr>
          <w:ilvl w:val="0"/>
          <w:numId w:val="53"/>
        </w:numPr>
        <w:ind w:left="284" w:hanging="142"/>
        <w:rPr>
          <w:rFonts w:cs="Times New Roman"/>
          <w:szCs w:val="24"/>
          <w:lang w:val="en-CA"/>
        </w:rPr>
      </w:pPr>
      <w:bookmarkStart w:id="15" w:name="five"/>
      <w:bookmarkStart w:id="16" w:name="six"/>
      <w:bookmarkStart w:id="17" w:name="_Ref183510290"/>
      <w:bookmarkStart w:id="18" w:name="_Ref179194251"/>
      <w:bookmarkEnd w:id="14"/>
      <w:bookmarkEnd w:id="15"/>
      <w:bookmarkEnd w:id="16"/>
      <w:r w:rsidRPr="000F4047">
        <w:rPr>
          <w:rFonts w:cs="Times New Roman"/>
          <w:szCs w:val="24"/>
          <w:lang w:val="en-CA"/>
        </w:rPr>
        <w:t>Regulation (EU) No 536/2014 of the European Parliament and of the Council of 16 April 2014 on clinical trials on medicinal products for human use, repealing Directive 2001/20/EC. (2022</w:t>
      </w:r>
      <w:proofErr w:type="gramStart"/>
      <w:r w:rsidRPr="000F4047">
        <w:rPr>
          <w:rFonts w:cs="Times New Roman"/>
          <w:szCs w:val="24"/>
          <w:lang w:val="en-CA"/>
        </w:rPr>
        <w:t xml:space="preserve">)  </w:t>
      </w:r>
      <w:r w:rsidRPr="000F4047">
        <w:rPr>
          <w:lang w:val="en-CA"/>
        </w:rPr>
        <w:t>https://eur-lex.europa.eu/legal-content/EN/TXT/PDF/?uri=CELEX:02014R0536-20221205</w:t>
      </w:r>
      <w:proofErr w:type="gramEnd"/>
      <w:r w:rsidRPr="000F4047">
        <w:rPr>
          <w:rFonts w:cs="Times New Roman"/>
          <w:szCs w:val="24"/>
          <w:lang w:val="en-CA"/>
        </w:rPr>
        <w:t xml:space="preserve"> [Accessed October 2024].</w:t>
      </w:r>
      <w:bookmarkEnd w:id="17"/>
    </w:p>
    <w:p w14:paraId="3C190574" w14:textId="3638E2D8" w:rsidR="00E16969" w:rsidRPr="000F4047" w:rsidRDefault="00E16969" w:rsidP="00DA48E2">
      <w:pPr>
        <w:pStyle w:val="BodyText1"/>
        <w:numPr>
          <w:ilvl w:val="0"/>
          <w:numId w:val="53"/>
        </w:numPr>
        <w:ind w:left="284" w:hanging="142"/>
        <w:rPr>
          <w:rStyle w:val="Hyperlink"/>
          <w:rFonts w:cs="Times New Roman"/>
          <w:color w:val="auto"/>
          <w:szCs w:val="24"/>
          <w:u w:val="none"/>
          <w:lang w:val="en-CA"/>
        </w:rPr>
      </w:pPr>
      <w:bookmarkStart w:id="19" w:name="_Ref184198899"/>
      <w:proofErr w:type="spellStart"/>
      <w:r w:rsidRPr="000F4047">
        <w:rPr>
          <w:rFonts w:cs="Times New Roman"/>
          <w:szCs w:val="24"/>
          <w:lang w:val="en-CA"/>
        </w:rPr>
        <w:t>Clinial</w:t>
      </w:r>
      <w:proofErr w:type="spellEnd"/>
      <w:r w:rsidRPr="000F4047">
        <w:rPr>
          <w:rFonts w:cs="Times New Roman"/>
          <w:szCs w:val="24"/>
          <w:lang w:val="en-CA"/>
        </w:rPr>
        <w:t xml:space="preserve"> Trial Information System (CTMS) Evaluation timelines: training programme, version 2.0 </w:t>
      </w:r>
      <w:r w:rsidR="00093C0C" w:rsidRPr="000F4047">
        <w:rPr>
          <w:rFonts w:cs="Times New Roman"/>
          <w:szCs w:val="24"/>
          <w:lang w:val="en-CA"/>
        </w:rPr>
        <w:t>-</w:t>
      </w:r>
      <w:r w:rsidRPr="000F4047">
        <w:rPr>
          <w:rFonts w:cs="Times New Roman"/>
          <w:szCs w:val="24"/>
          <w:lang w:val="en-CA"/>
        </w:rPr>
        <w:t xml:space="preserve"> February 2024.</w:t>
      </w:r>
      <w:r w:rsidR="00F4424E" w:rsidRPr="000F4047">
        <w:rPr>
          <w:rFonts w:cs="Times New Roman"/>
          <w:szCs w:val="24"/>
          <w:lang w:val="en-CA"/>
        </w:rPr>
        <w:t xml:space="preserve"> </w:t>
      </w:r>
      <w:r w:rsidR="00A173A5" w:rsidRPr="000F4047">
        <w:rPr>
          <w:rFonts w:cs="Times New Roman"/>
          <w:szCs w:val="24"/>
          <w:lang w:val="en-CA"/>
        </w:rPr>
        <w:t>(2024</w:t>
      </w:r>
      <w:r w:rsidR="00A173A5" w:rsidRPr="000F4047">
        <w:t>).</w:t>
      </w:r>
      <w:r w:rsidRPr="000F4047">
        <w:t xml:space="preserve"> </w:t>
      </w:r>
      <w:hyperlink r:id="rId9" w:history="1">
        <w:r w:rsidRPr="000F4047">
          <w:t>https://www.ema.europa.eu/en/documents/other/clinical-trial-information-system-ctis-evaluation-timelines_en.pdf</w:t>
        </w:r>
      </w:hyperlink>
      <w:r w:rsidR="00A173A5" w:rsidRPr="000F4047">
        <w:t xml:space="preserve"> [Accessed</w:t>
      </w:r>
      <w:r w:rsidR="00A173A5" w:rsidRPr="000F4047">
        <w:rPr>
          <w:rStyle w:val="Hyperlink"/>
          <w:rFonts w:cs="Times New Roman"/>
          <w:color w:val="auto"/>
          <w:szCs w:val="24"/>
          <w:u w:val="none"/>
          <w:lang w:val="en-CA"/>
        </w:rPr>
        <w:t xml:space="preserve"> September, 2024].</w:t>
      </w:r>
      <w:bookmarkEnd w:id="18"/>
      <w:bookmarkEnd w:id="19"/>
    </w:p>
    <w:p w14:paraId="39775622" w14:textId="3B95C749" w:rsidR="004E6B38" w:rsidRPr="000F4047" w:rsidRDefault="00DC7B4C" w:rsidP="00DA48E2">
      <w:pPr>
        <w:pStyle w:val="BodyText1"/>
        <w:widowControl w:val="0"/>
        <w:numPr>
          <w:ilvl w:val="0"/>
          <w:numId w:val="53"/>
        </w:numPr>
        <w:ind w:left="284" w:hanging="142"/>
        <w:rPr>
          <w:rFonts w:cs="Times New Roman"/>
          <w:szCs w:val="24"/>
          <w:lang w:val="en-CA"/>
        </w:rPr>
      </w:pPr>
      <w:bookmarkStart w:id="20" w:name="seven"/>
      <w:bookmarkStart w:id="21" w:name="_Ref179192714"/>
      <w:bookmarkEnd w:id="20"/>
      <w:r w:rsidRPr="000F4047">
        <w:rPr>
          <w:rFonts w:cs="Times New Roman"/>
          <w:szCs w:val="24"/>
          <w:lang w:val="en-CA"/>
        </w:rPr>
        <w:t xml:space="preserve">Canada, Parliament, Senate, Standing Committee on Social </w:t>
      </w:r>
      <w:proofErr w:type="spellStart"/>
      <w:r w:rsidRPr="000F4047">
        <w:rPr>
          <w:rFonts w:cs="Times New Roman"/>
          <w:szCs w:val="24"/>
          <w:lang w:val="en-CA"/>
        </w:rPr>
        <w:t>Affairs.Science</w:t>
      </w:r>
      <w:proofErr w:type="spellEnd"/>
      <w:r w:rsidRPr="000F4047">
        <w:rPr>
          <w:rFonts w:cs="Times New Roman"/>
          <w:szCs w:val="24"/>
          <w:lang w:val="en-CA"/>
        </w:rPr>
        <w:t xml:space="preserve">, and Technology. Canada’s Clinical </w:t>
      </w:r>
      <w:r w:rsidRPr="000F4047">
        <w:t xml:space="preserve">Trial Infrastructure: A Prescription for Improved Access to New Medicines. </w:t>
      </w:r>
      <w:r w:rsidRPr="000F4047">
        <w:rPr>
          <w:rFonts w:cs="Times New Roman"/>
          <w:szCs w:val="24"/>
          <w:lang w:val="en-CA"/>
        </w:rPr>
        <w:t>November</w:t>
      </w:r>
      <w:r w:rsidR="00A173A5" w:rsidRPr="000F4047">
        <w:rPr>
          <w:rFonts w:cs="Times New Roman"/>
          <w:szCs w:val="24"/>
          <w:lang w:val="en-CA"/>
        </w:rPr>
        <w:t xml:space="preserve"> </w:t>
      </w:r>
      <w:r w:rsidR="00F4424E" w:rsidRPr="000F4047">
        <w:rPr>
          <w:rFonts w:cs="Times New Roman"/>
          <w:szCs w:val="24"/>
          <w:lang w:val="en-CA"/>
        </w:rPr>
        <w:t xml:space="preserve">2012. (2012) https://sencanada.ca/en/content/sen/committee/411/soci/dpk/01nov12/home-e </w:t>
      </w:r>
      <w:r w:rsidR="00F4424E" w:rsidRPr="000F4047">
        <w:t>[Assessed September, 2024].</w:t>
      </w:r>
      <w:bookmarkEnd w:id="21"/>
    </w:p>
    <w:p w14:paraId="545CFA57" w14:textId="7C0B022C" w:rsidR="001E506A" w:rsidRPr="000F4047" w:rsidRDefault="001E506A" w:rsidP="00DA48E2">
      <w:pPr>
        <w:pStyle w:val="BodyText1"/>
        <w:numPr>
          <w:ilvl w:val="0"/>
          <w:numId w:val="53"/>
        </w:numPr>
        <w:ind w:left="284" w:hanging="142"/>
        <w:rPr>
          <w:rFonts w:cs="Times New Roman"/>
          <w:szCs w:val="24"/>
          <w:lang w:val="en-CA"/>
        </w:rPr>
      </w:pPr>
      <w:bookmarkStart w:id="22" w:name="eight"/>
      <w:bookmarkStart w:id="23" w:name="_Ref179192722"/>
      <w:bookmarkEnd w:id="22"/>
      <w:r w:rsidRPr="000F4047">
        <w:rPr>
          <w:rFonts w:cs="Times New Roman"/>
          <w:szCs w:val="24"/>
          <w:lang w:val="en-CA"/>
        </w:rPr>
        <w:t>CAREB-ACCER</w:t>
      </w:r>
      <w:r w:rsidR="00F4424E" w:rsidRPr="000F4047">
        <w:rPr>
          <w:rFonts w:cs="Times New Roman"/>
          <w:szCs w:val="24"/>
          <w:lang w:val="en-CA"/>
        </w:rPr>
        <w:t xml:space="preserve">. </w:t>
      </w:r>
      <w:r w:rsidR="00F4424E" w:rsidRPr="000F4047">
        <w:t>CCTCC Research Ethics Board Accreditation Working Group Final Recommendations.</w:t>
      </w:r>
      <w:r w:rsidRPr="000F4047">
        <w:t xml:space="preserve"> </w:t>
      </w:r>
      <w:r w:rsidR="00F4424E" w:rsidRPr="000F4047">
        <w:t>(2017).</w:t>
      </w:r>
      <w:r w:rsidRPr="000F4047">
        <w:t xml:space="preserve"> </w:t>
      </w:r>
      <w:hyperlink r:id="rId10" w:history="1">
        <w:r w:rsidR="00F4424E" w:rsidRPr="000F4047">
          <w:t>https://careb-accer.org/cctcc-research-ethics-board-accreditation-working-group-final-recomendations/</w:t>
        </w:r>
      </w:hyperlink>
      <w:r w:rsidR="00F4424E" w:rsidRPr="000F4047">
        <w:t xml:space="preserve"> [Accessed</w:t>
      </w:r>
      <w:r w:rsidR="00F4424E" w:rsidRPr="000F4047">
        <w:rPr>
          <w:rFonts w:cs="Times New Roman"/>
          <w:szCs w:val="24"/>
          <w:lang w:val="en-CA"/>
        </w:rPr>
        <w:t xml:space="preserve"> September, 2024].</w:t>
      </w:r>
      <w:bookmarkEnd w:id="23"/>
    </w:p>
    <w:p w14:paraId="7D343F4A" w14:textId="048D94E4" w:rsidR="004E6B38" w:rsidRPr="000F4047" w:rsidRDefault="004E6B38" w:rsidP="00DA48E2">
      <w:pPr>
        <w:pStyle w:val="BodyText1"/>
        <w:numPr>
          <w:ilvl w:val="0"/>
          <w:numId w:val="53"/>
        </w:numPr>
        <w:ind w:left="284" w:hanging="142"/>
        <w:rPr>
          <w:rFonts w:cs="Times New Roman"/>
          <w:szCs w:val="24"/>
          <w:lang w:val="en-CA"/>
        </w:rPr>
      </w:pPr>
      <w:bookmarkStart w:id="24" w:name="nine"/>
      <w:bookmarkStart w:id="25" w:name="_Ref179192727"/>
      <w:bookmarkEnd w:id="24"/>
      <w:r w:rsidRPr="000F4047">
        <w:rPr>
          <w:rFonts w:cs="Times New Roman"/>
          <w:szCs w:val="24"/>
          <w:lang w:val="en-CA"/>
        </w:rPr>
        <w:t xml:space="preserve">Nicholls SG, Morin K, Evans L, Longstaff H. Call for a pan-Canadian approach to ethics review in </w:t>
      </w:r>
      <w:proofErr w:type="spellStart"/>
      <w:r w:rsidRPr="000F4047">
        <w:rPr>
          <w:rFonts w:cs="Times New Roman"/>
          <w:szCs w:val="24"/>
          <w:lang w:val="en-CA"/>
        </w:rPr>
        <w:t>Canada.CMAJ</w:t>
      </w:r>
      <w:proofErr w:type="spellEnd"/>
      <w:r w:rsidRPr="000F4047">
        <w:rPr>
          <w:rFonts w:cs="Times New Roman"/>
          <w:szCs w:val="24"/>
          <w:lang w:val="en-CA"/>
        </w:rPr>
        <w:t xml:space="preserve"> 2018; 190: E553-E555</w:t>
      </w:r>
      <w:r w:rsidR="00F4424E" w:rsidRPr="000F4047">
        <w:rPr>
          <w:rFonts w:cs="Times New Roman"/>
          <w:szCs w:val="24"/>
          <w:lang w:val="en-CA"/>
        </w:rPr>
        <w:t>.</w:t>
      </w:r>
      <w:bookmarkEnd w:id="25"/>
    </w:p>
    <w:p w14:paraId="586CF344" w14:textId="593C75A4" w:rsidR="004E6B38" w:rsidRPr="000F4047" w:rsidRDefault="004E6B38" w:rsidP="00DA48E2">
      <w:pPr>
        <w:pStyle w:val="BodyText1"/>
        <w:numPr>
          <w:ilvl w:val="0"/>
          <w:numId w:val="53"/>
        </w:numPr>
        <w:ind w:left="284" w:hanging="142"/>
        <w:rPr>
          <w:rFonts w:cs="Times New Roman"/>
          <w:szCs w:val="24"/>
          <w:lang w:val="en-CA"/>
        </w:rPr>
      </w:pPr>
      <w:bookmarkStart w:id="26" w:name="ten"/>
      <w:bookmarkStart w:id="27" w:name="_Ref179192728"/>
      <w:bookmarkEnd w:id="26"/>
      <w:r w:rsidRPr="000F4047">
        <w:rPr>
          <w:rFonts w:cs="Times New Roman"/>
          <w:szCs w:val="24"/>
          <w:lang w:val="en-CA"/>
        </w:rPr>
        <w:t xml:space="preserve">Lucas B, </w:t>
      </w:r>
      <w:proofErr w:type="spellStart"/>
      <w:r w:rsidRPr="000F4047">
        <w:rPr>
          <w:rFonts w:cs="Times New Roman"/>
          <w:szCs w:val="24"/>
          <w:lang w:val="en-CA"/>
        </w:rPr>
        <w:t>Flamenbaum</w:t>
      </w:r>
      <w:proofErr w:type="spellEnd"/>
      <w:r w:rsidRPr="000F4047">
        <w:rPr>
          <w:rFonts w:cs="Times New Roman"/>
          <w:szCs w:val="24"/>
          <w:lang w:val="en-CA"/>
        </w:rPr>
        <w:t xml:space="preserve"> J, Longstaff H, Murthy S, </w:t>
      </w:r>
      <w:proofErr w:type="spellStart"/>
      <w:r w:rsidRPr="000F4047">
        <w:rPr>
          <w:rFonts w:cs="Times New Roman"/>
          <w:szCs w:val="24"/>
          <w:lang w:val="en-CA"/>
        </w:rPr>
        <w:t>Schichter</w:t>
      </w:r>
      <w:proofErr w:type="spellEnd"/>
      <w:r w:rsidRPr="000F4047">
        <w:rPr>
          <w:rFonts w:cs="Times New Roman"/>
          <w:szCs w:val="24"/>
          <w:lang w:val="en-CA"/>
        </w:rPr>
        <w:t xml:space="preserve"> B. Research Ethics </w:t>
      </w:r>
      <w:proofErr w:type="spellStart"/>
      <w:r w:rsidRPr="000F4047">
        <w:rPr>
          <w:rFonts w:cs="Times New Roman"/>
          <w:szCs w:val="24"/>
          <w:lang w:val="en-CA"/>
        </w:rPr>
        <w:t>Oversignt</w:t>
      </w:r>
      <w:proofErr w:type="spellEnd"/>
      <w:r w:rsidRPr="000F4047">
        <w:rPr>
          <w:rFonts w:cs="Times New Roman"/>
          <w:szCs w:val="24"/>
          <w:lang w:val="en-CA"/>
        </w:rPr>
        <w:t xml:space="preserve"> for Multi-jurisdictional Clinical Trials in Canada: A historical Perspective to Inform Future Direction. Can J </w:t>
      </w:r>
      <w:proofErr w:type="spellStart"/>
      <w:r w:rsidRPr="000F4047">
        <w:rPr>
          <w:rFonts w:cs="Times New Roman"/>
          <w:szCs w:val="24"/>
          <w:lang w:val="en-CA"/>
        </w:rPr>
        <w:t>Bioeth</w:t>
      </w:r>
      <w:proofErr w:type="spellEnd"/>
      <w:r w:rsidRPr="000F4047">
        <w:rPr>
          <w:rFonts w:cs="Times New Roman"/>
          <w:szCs w:val="24"/>
          <w:lang w:val="en-CA"/>
        </w:rPr>
        <w:t xml:space="preserve"> 2024; 7: 23-32</w:t>
      </w:r>
      <w:r w:rsidR="00F4424E" w:rsidRPr="000F4047">
        <w:rPr>
          <w:rFonts w:cs="Times New Roman"/>
          <w:szCs w:val="24"/>
          <w:lang w:val="en-CA"/>
        </w:rPr>
        <w:t>.</w:t>
      </w:r>
      <w:bookmarkEnd w:id="27"/>
    </w:p>
    <w:p w14:paraId="236DE53A" w14:textId="0AD9EB20" w:rsidR="004E6B38" w:rsidRPr="000F4047" w:rsidRDefault="004E6B38" w:rsidP="00DA48E2">
      <w:pPr>
        <w:pStyle w:val="BodyText1"/>
        <w:numPr>
          <w:ilvl w:val="0"/>
          <w:numId w:val="53"/>
        </w:numPr>
        <w:ind w:left="284" w:hanging="142"/>
        <w:rPr>
          <w:rFonts w:cs="Times New Roman"/>
          <w:szCs w:val="24"/>
          <w:lang w:val="en-CA"/>
        </w:rPr>
      </w:pPr>
      <w:bookmarkStart w:id="28" w:name="eleven"/>
      <w:bookmarkStart w:id="29" w:name="_Ref179192782"/>
      <w:bookmarkEnd w:id="28"/>
      <w:r w:rsidRPr="000F4047">
        <w:rPr>
          <w:rFonts w:cs="Times New Roman"/>
          <w:szCs w:val="24"/>
          <w:lang w:val="en-CA"/>
        </w:rPr>
        <w:t>CHEER</w:t>
      </w:r>
      <w:r w:rsidR="00F4424E" w:rsidRPr="000F4047">
        <w:rPr>
          <w:rFonts w:cs="Times New Roman"/>
          <w:szCs w:val="24"/>
          <w:lang w:val="en-CA"/>
        </w:rPr>
        <w:t xml:space="preserve"> (2024).</w:t>
      </w:r>
      <w:r w:rsidR="001B6E6A" w:rsidRPr="000F4047">
        <w:rPr>
          <w:rFonts w:cs="Times New Roman"/>
          <w:szCs w:val="24"/>
          <w:lang w:val="en-CA"/>
        </w:rPr>
        <w:t xml:space="preserve"> </w:t>
      </w:r>
      <w:hyperlink r:id="rId11" w:history="1">
        <w:r w:rsidR="00F4424E" w:rsidRPr="000F4047">
          <w:rPr>
            <w:rStyle w:val="Hyperlink"/>
            <w:rFonts w:cs="Times New Roman"/>
            <w:color w:val="auto"/>
            <w:szCs w:val="24"/>
            <w:u w:val="none"/>
            <w:lang w:val="en-CA"/>
          </w:rPr>
          <w:t>https://cheerchildhealth.ca/</w:t>
        </w:r>
      </w:hyperlink>
      <w:r w:rsidR="00F4424E" w:rsidRPr="000F4047">
        <w:rPr>
          <w:rFonts w:cs="Times New Roman"/>
          <w:szCs w:val="24"/>
          <w:lang w:val="en-CA"/>
        </w:rPr>
        <w:t xml:space="preserve"> [Accessed September, 2024].</w:t>
      </w:r>
      <w:bookmarkEnd w:id="29"/>
    </w:p>
    <w:p w14:paraId="62C77B0F" w14:textId="1F353AAA" w:rsidR="003E7BE5" w:rsidRPr="000F4047" w:rsidRDefault="003E7BE5" w:rsidP="00DA48E2">
      <w:pPr>
        <w:pStyle w:val="BodyText1"/>
        <w:numPr>
          <w:ilvl w:val="0"/>
          <w:numId w:val="53"/>
        </w:numPr>
        <w:ind w:left="284" w:hanging="142"/>
        <w:rPr>
          <w:rFonts w:cs="Times New Roman"/>
          <w:szCs w:val="24"/>
          <w:lang w:val="en-CA"/>
        </w:rPr>
      </w:pPr>
      <w:bookmarkStart w:id="30" w:name="twelve"/>
      <w:bookmarkStart w:id="31" w:name="_Ref179192812"/>
      <w:bookmarkEnd w:id="30"/>
      <w:r w:rsidRPr="000F4047">
        <w:rPr>
          <w:rFonts w:cs="Times New Roman"/>
          <w:szCs w:val="24"/>
          <w:lang w:val="en-CA"/>
        </w:rPr>
        <w:t>ACT</w:t>
      </w:r>
      <w:r w:rsidR="00F4424E" w:rsidRPr="000F4047">
        <w:rPr>
          <w:rFonts w:cs="Times New Roman"/>
          <w:szCs w:val="24"/>
          <w:lang w:val="en-CA"/>
        </w:rPr>
        <w:t xml:space="preserve"> AEC (2024).</w:t>
      </w:r>
      <w:r w:rsidR="008C5B3F" w:rsidRPr="000F4047">
        <w:rPr>
          <w:rFonts w:cs="Times New Roman"/>
          <w:szCs w:val="24"/>
          <w:lang w:val="en-CA"/>
        </w:rPr>
        <w:t xml:space="preserve"> </w:t>
      </w:r>
      <w:hyperlink r:id="rId12" w:history="1">
        <w:r w:rsidR="00D0560B" w:rsidRPr="000F4047">
          <w:rPr>
            <w:rStyle w:val="Hyperlink"/>
            <w:rFonts w:cs="Times New Roman"/>
            <w:color w:val="auto"/>
            <w:szCs w:val="24"/>
            <w:u w:val="none"/>
            <w:lang w:val="en-CA"/>
          </w:rPr>
          <w:t>https://act-aec.ca/</w:t>
        </w:r>
      </w:hyperlink>
      <w:r w:rsidR="00F4424E" w:rsidRPr="000F4047">
        <w:rPr>
          <w:rStyle w:val="Hyperlink"/>
          <w:rFonts w:cs="Times New Roman"/>
          <w:color w:val="auto"/>
          <w:szCs w:val="24"/>
          <w:u w:val="none"/>
          <w:lang w:val="en-CA"/>
        </w:rPr>
        <w:t xml:space="preserve"> [Accessed September, 2024].</w:t>
      </w:r>
      <w:bookmarkEnd w:id="31"/>
    </w:p>
    <w:p w14:paraId="5E7A9AFF" w14:textId="13E01796" w:rsidR="00081041" w:rsidRPr="000F4047" w:rsidRDefault="00D0560B" w:rsidP="00DA48E2">
      <w:pPr>
        <w:pStyle w:val="BodyText1"/>
        <w:numPr>
          <w:ilvl w:val="0"/>
          <w:numId w:val="53"/>
        </w:numPr>
        <w:ind w:left="284" w:hanging="142"/>
        <w:rPr>
          <w:rFonts w:cs="Times New Roman"/>
          <w:szCs w:val="24"/>
          <w:lang w:val="en-CA"/>
        </w:rPr>
      </w:pPr>
      <w:bookmarkStart w:id="32" w:name="thirteen"/>
      <w:bookmarkStart w:id="33" w:name="_Ref179192826"/>
      <w:bookmarkEnd w:id="32"/>
      <w:r w:rsidRPr="000F4047">
        <w:rPr>
          <w:rFonts w:cs="Times New Roman"/>
          <w:szCs w:val="24"/>
        </w:rPr>
        <w:t xml:space="preserve">Consultation on proposals for legislative changes for clinical trials. </w:t>
      </w:r>
      <w:proofErr w:type="spellStart"/>
      <w:r w:rsidRPr="000F4047">
        <w:rPr>
          <w:rFonts w:cs="Times New Roman"/>
          <w:szCs w:val="24"/>
        </w:rPr>
        <w:t>Governement</w:t>
      </w:r>
      <w:proofErr w:type="spellEnd"/>
      <w:r w:rsidRPr="000F4047">
        <w:rPr>
          <w:rFonts w:cs="Times New Roman"/>
          <w:szCs w:val="24"/>
        </w:rPr>
        <w:t xml:space="preserve"> of UK. </w:t>
      </w:r>
      <w:r w:rsidR="00F4424E" w:rsidRPr="000F4047">
        <w:rPr>
          <w:rFonts w:cs="Times New Roman"/>
          <w:szCs w:val="24"/>
        </w:rPr>
        <w:t xml:space="preserve">(2023). </w:t>
      </w:r>
      <w:hyperlink r:id="rId13" w:history="1">
        <w:r w:rsidR="00F4424E" w:rsidRPr="000F4047">
          <w:rPr>
            <w:rStyle w:val="Hyperlink"/>
            <w:rFonts w:cs="Times New Roman"/>
            <w:color w:val="auto"/>
            <w:szCs w:val="24"/>
            <w:u w:val="none"/>
          </w:rPr>
          <w:t>https://www.gov.uk/government/consultations/consultation-on-proposals-for-legislative-changes-for-clinical-trials</w:t>
        </w:r>
      </w:hyperlink>
      <w:r w:rsidRPr="000F4047">
        <w:rPr>
          <w:rFonts w:cs="Times New Roman"/>
          <w:szCs w:val="24"/>
        </w:rPr>
        <w:t xml:space="preserve"> </w:t>
      </w:r>
      <w:r w:rsidR="00F4424E" w:rsidRPr="000F4047">
        <w:rPr>
          <w:rFonts w:cs="Times New Roman"/>
          <w:szCs w:val="24"/>
        </w:rPr>
        <w:t xml:space="preserve">[Accessed </w:t>
      </w:r>
      <w:r w:rsidRPr="000F4047">
        <w:rPr>
          <w:rFonts w:cs="Times New Roman"/>
          <w:szCs w:val="24"/>
        </w:rPr>
        <w:t>March 21</w:t>
      </w:r>
      <w:r w:rsidR="00F4424E" w:rsidRPr="000F4047">
        <w:rPr>
          <w:rFonts w:cs="Times New Roman"/>
          <w:szCs w:val="24"/>
        </w:rPr>
        <w:t>,</w:t>
      </w:r>
      <w:r w:rsidRPr="000F4047">
        <w:rPr>
          <w:rFonts w:cs="Times New Roman"/>
          <w:szCs w:val="24"/>
        </w:rPr>
        <w:t xml:space="preserve"> 2023</w:t>
      </w:r>
      <w:r w:rsidR="00F4424E" w:rsidRPr="000F4047">
        <w:rPr>
          <w:rFonts w:cs="Times New Roman"/>
          <w:szCs w:val="24"/>
        </w:rPr>
        <w:t>]</w:t>
      </w:r>
      <w:r w:rsidRPr="000F4047">
        <w:rPr>
          <w:rFonts w:cs="Times New Roman"/>
          <w:szCs w:val="24"/>
        </w:rPr>
        <w:t>.</w:t>
      </w:r>
      <w:bookmarkEnd w:id="33"/>
      <w:r w:rsidRPr="000F4047">
        <w:rPr>
          <w:rFonts w:cs="Times New Roman"/>
          <w:szCs w:val="24"/>
        </w:rPr>
        <w:t xml:space="preserve"> </w:t>
      </w:r>
    </w:p>
    <w:p w14:paraId="055148D8" w14:textId="654CAEA4" w:rsidR="007008EF" w:rsidRPr="000F4047" w:rsidRDefault="007008EF" w:rsidP="007008EF">
      <w:pPr>
        <w:pStyle w:val="CommentText"/>
        <w:numPr>
          <w:ilvl w:val="0"/>
          <w:numId w:val="53"/>
        </w:numPr>
        <w:spacing w:before="240" w:after="200"/>
        <w:ind w:left="284" w:hanging="142"/>
        <w:rPr>
          <w:rStyle w:val="Hyperlink"/>
          <w:rFonts w:ascii="Times New Roman" w:hAnsi="Times New Roman" w:cs="Times New Roman"/>
          <w:color w:val="auto"/>
          <w:sz w:val="24"/>
          <w:szCs w:val="24"/>
          <w:u w:val="none"/>
        </w:rPr>
      </w:pPr>
      <w:bookmarkStart w:id="34" w:name="_Ref181953196"/>
      <w:r w:rsidRPr="000F4047">
        <w:rPr>
          <w:rStyle w:val="Hyperlink"/>
          <w:rFonts w:ascii="Times New Roman" w:hAnsi="Times New Roman" w:cs="Times New Roman"/>
          <w:color w:val="auto"/>
          <w:sz w:val="24"/>
          <w:szCs w:val="24"/>
          <w:u w:val="none"/>
        </w:rPr>
        <w:t xml:space="preserve">Government of the United Kingdom. MHRA to streamline clinical trial approvals in biggest overhaul of trial regulation in 20 years. (2024) </w:t>
      </w:r>
      <w:hyperlink r:id="rId14" w:history="1">
        <w:r w:rsidRPr="000F4047">
          <w:rPr>
            <w:rStyle w:val="Hyperlink"/>
            <w:rFonts w:ascii="Times New Roman" w:hAnsi="Times New Roman" w:cs="Times New Roman"/>
            <w:color w:val="auto"/>
            <w:sz w:val="24"/>
            <w:szCs w:val="24"/>
            <w:u w:val="none"/>
          </w:rPr>
          <w:t>https://www.gov.uk/government/news/mhra-to-streamline-clinical-trial-approvals-in-biggest-overhaul-of-trial-regulation-in-20-years</w:t>
        </w:r>
      </w:hyperlink>
      <w:r w:rsidRPr="000F4047">
        <w:rPr>
          <w:rStyle w:val="Hyperlink"/>
          <w:rFonts w:ascii="Times New Roman" w:hAnsi="Times New Roman" w:cs="Times New Roman"/>
          <w:color w:val="auto"/>
          <w:sz w:val="24"/>
          <w:szCs w:val="24"/>
          <w:u w:val="none"/>
        </w:rPr>
        <w:t xml:space="preserve"> [Accessed November 2024].</w:t>
      </w:r>
      <w:bookmarkEnd w:id="34"/>
    </w:p>
    <w:p w14:paraId="4A31BA9A" w14:textId="5EA3ED7E" w:rsidR="00F03A14" w:rsidRPr="000F4047" w:rsidRDefault="00F03A14" w:rsidP="007008EF">
      <w:pPr>
        <w:pStyle w:val="CommentText"/>
        <w:numPr>
          <w:ilvl w:val="0"/>
          <w:numId w:val="53"/>
        </w:numPr>
        <w:spacing w:before="240" w:after="200"/>
        <w:ind w:left="284" w:hanging="142"/>
        <w:rPr>
          <w:rFonts w:ascii="Times New Roman" w:hAnsi="Times New Roman" w:cs="Times New Roman"/>
          <w:sz w:val="24"/>
          <w:szCs w:val="24"/>
        </w:rPr>
      </w:pPr>
      <w:bookmarkStart w:id="35" w:name="_Ref187655251"/>
      <w:r w:rsidRPr="000F4047">
        <w:rPr>
          <w:rFonts w:ascii="Times New Roman" w:hAnsi="Times New Roman" w:cs="Times New Roman"/>
          <w:sz w:val="24"/>
          <w:szCs w:val="24"/>
        </w:rPr>
        <w:t>Government of the United Kingdom. Patients, the NHS and the life sciences sector set to benefit from new clinical trials framework being laid in Parliament today. Government of UK. (2024). https://www.gov.uk/government/news/patients-the-nhs-and-the-life-sciences-sector-set-to-benefit-from-new-clinical-trials-framework-being-laid-in-parliament-today [Accessed January 2025].</w:t>
      </w:r>
      <w:bookmarkEnd w:id="35"/>
    </w:p>
    <w:p w14:paraId="523C3C4B" w14:textId="5EEA74A6" w:rsidR="00081041" w:rsidRPr="001C0AAA" w:rsidRDefault="00697C44" w:rsidP="00DA48E2">
      <w:pPr>
        <w:pStyle w:val="BodyText1"/>
        <w:numPr>
          <w:ilvl w:val="0"/>
          <w:numId w:val="53"/>
        </w:numPr>
        <w:ind w:left="284" w:hanging="142"/>
        <w:rPr>
          <w:rFonts w:cs="Times New Roman"/>
          <w:szCs w:val="24"/>
          <w:lang w:val="en-CA"/>
        </w:rPr>
      </w:pPr>
      <w:bookmarkStart w:id="36" w:name="fourteen"/>
      <w:bookmarkStart w:id="37" w:name="_Ref179192846"/>
      <w:bookmarkEnd w:id="36"/>
      <w:r w:rsidRPr="00B35753">
        <w:rPr>
          <w:rFonts w:cs="Times New Roman"/>
          <w:szCs w:val="24"/>
        </w:rPr>
        <w:lastRenderedPageBreak/>
        <w:t>82</w:t>
      </w:r>
      <w:r w:rsidR="00DF3904">
        <w:rPr>
          <w:rFonts w:cs="Times New Roman"/>
          <w:szCs w:val="24"/>
        </w:rPr>
        <w:t xml:space="preserve"> </w:t>
      </w:r>
      <w:r w:rsidRPr="00B35753">
        <w:rPr>
          <w:rFonts w:cs="Times New Roman"/>
          <w:szCs w:val="24"/>
        </w:rPr>
        <w:t>FR</w:t>
      </w:r>
      <w:r w:rsidR="00DF3904">
        <w:rPr>
          <w:rFonts w:cs="Times New Roman"/>
          <w:szCs w:val="24"/>
        </w:rPr>
        <w:t xml:space="preserve"> </w:t>
      </w:r>
      <w:r w:rsidRPr="00B35753">
        <w:rPr>
          <w:rFonts w:cs="Times New Roman"/>
          <w:szCs w:val="24"/>
        </w:rPr>
        <w:t>7149 – Federal Policy for the Protection of Human Subjects</w:t>
      </w:r>
      <w:r w:rsidR="00F4424E">
        <w:rPr>
          <w:rFonts w:cs="Times New Roman"/>
          <w:szCs w:val="24"/>
        </w:rPr>
        <w:t>. (</w:t>
      </w:r>
      <w:r w:rsidR="00EE519E">
        <w:rPr>
          <w:rFonts w:cs="Times New Roman"/>
          <w:szCs w:val="24"/>
        </w:rPr>
        <w:t>2017</w:t>
      </w:r>
      <w:r w:rsidR="00DF3904">
        <w:rPr>
          <w:rFonts w:cs="Times New Roman"/>
          <w:szCs w:val="24"/>
        </w:rPr>
        <w:t>).</w:t>
      </w:r>
      <w:r w:rsidRPr="00B35753">
        <w:rPr>
          <w:rFonts w:cs="Times New Roman"/>
          <w:szCs w:val="24"/>
        </w:rPr>
        <w:t xml:space="preserve"> </w:t>
      </w:r>
      <w:hyperlink r:id="rId15" w:history="1">
        <w:r w:rsidR="00DF3904" w:rsidRPr="00DF3904">
          <w:rPr>
            <w:rStyle w:val="Hyperlink"/>
            <w:rFonts w:cs="Times New Roman"/>
            <w:color w:val="auto"/>
            <w:szCs w:val="24"/>
            <w:u w:val="none"/>
          </w:rPr>
          <w:t>https://www.govinfo.gov/app/details/FR-2017-01-19/2017-01058/summary</w:t>
        </w:r>
      </w:hyperlink>
      <w:r w:rsidR="00DF3904" w:rsidRPr="00DF3904">
        <w:rPr>
          <w:rFonts w:cs="Times New Roman"/>
          <w:szCs w:val="24"/>
        </w:rPr>
        <w:t xml:space="preserve"> [Accessed September, 2024].</w:t>
      </w:r>
      <w:bookmarkEnd w:id="37"/>
    </w:p>
    <w:p w14:paraId="74CD3FB2" w14:textId="13A20B0A" w:rsidR="001C0AAA" w:rsidRDefault="001C0AAA" w:rsidP="00DA48E2">
      <w:pPr>
        <w:pStyle w:val="BodyText1"/>
        <w:numPr>
          <w:ilvl w:val="0"/>
          <w:numId w:val="53"/>
        </w:numPr>
        <w:ind w:left="284" w:hanging="142"/>
        <w:rPr>
          <w:rFonts w:cs="Times New Roman"/>
          <w:szCs w:val="24"/>
        </w:rPr>
      </w:pPr>
      <w:bookmarkStart w:id="38" w:name="_Ref183676410"/>
      <w:r w:rsidRPr="001C0AAA">
        <w:rPr>
          <w:rFonts w:cs="Times New Roman"/>
          <w:szCs w:val="24"/>
        </w:rPr>
        <w:t xml:space="preserve">U.S. Federal Communications Commission. 2018-01-22. Promoting the Availability of Diverse and Affordable Telecommunications Services for Low-Income Consumers. Federal Register. 83(14):2892-2898. </w:t>
      </w:r>
      <w:hyperlink r:id="rId16" w:history="1">
        <w:r w:rsidRPr="001C0AAA">
          <w:t>https://www.govinfo.gov/content/pkg/FR-2018-01-22/pdf/2018-00997.pdf</w:t>
        </w:r>
      </w:hyperlink>
      <w:bookmarkEnd w:id="38"/>
    </w:p>
    <w:p w14:paraId="0AFBA555" w14:textId="78B74E67" w:rsidR="001C0AAA" w:rsidRPr="001C0AAA" w:rsidRDefault="001C0AAA" w:rsidP="001C0AAA">
      <w:pPr>
        <w:pStyle w:val="BodyText1"/>
        <w:numPr>
          <w:ilvl w:val="0"/>
          <w:numId w:val="53"/>
        </w:numPr>
        <w:ind w:left="284" w:hanging="142"/>
        <w:rPr>
          <w:lang w:val="en-CA"/>
        </w:rPr>
      </w:pPr>
      <w:bookmarkStart w:id="39" w:name="_Ref183676413"/>
      <w:r w:rsidRPr="001C0AAA">
        <w:rPr>
          <w:lang w:val="en-CA"/>
        </w:rPr>
        <w:t xml:space="preserve">U.S. Federal Communications Commission. 2018-06-19. Promoting the Availability of Diverse and Affordable Telecommunications Services for Low-Income Consumers. Federal Register. 83(118):28578-28582. </w:t>
      </w:r>
      <w:hyperlink r:id="rId17" w:tgtFrame="_new" w:history="1">
        <w:r w:rsidRPr="001C0AAA">
          <w:rPr>
            <w:lang w:val="en-CA"/>
          </w:rPr>
          <w:t>https://www.govinfo.gov/content/pkg/FR-2018-06-19/pdf/2018-13187.pdf</w:t>
        </w:r>
      </w:hyperlink>
      <w:bookmarkEnd w:id="39"/>
    </w:p>
    <w:p w14:paraId="6BE1E5A2" w14:textId="582C0388" w:rsidR="00081041" w:rsidRPr="00B35753" w:rsidRDefault="00F31A28" w:rsidP="00DA48E2">
      <w:pPr>
        <w:pStyle w:val="BodyText1"/>
        <w:numPr>
          <w:ilvl w:val="0"/>
          <w:numId w:val="53"/>
        </w:numPr>
        <w:ind w:left="284" w:hanging="142"/>
        <w:rPr>
          <w:rFonts w:cs="Times New Roman"/>
          <w:szCs w:val="24"/>
          <w:lang w:val="en-CA"/>
        </w:rPr>
      </w:pPr>
      <w:bookmarkStart w:id="40" w:name="fifteen"/>
      <w:bookmarkStart w:id="41" w:name="_Ref179192859"/>
      <w:bookmarkEnd w:id="40"/>
      <w:r w:rsidRPr="00B35753">
        <w:rPr>
          <w:rFonts w:cs="Times New Roman"/>
          <w:szCs w:val="24"/>
        </w:rPr>
        <w:t>45 CFR 46.114</w:t>
      </w:r>
      <w:r w:rsidR="002728DC" w:rsidRPr="00B35753">
        <w:rPr>
          <w:rFonts w:cs="Times New Roman"/>
          <w:szCs w:val="24"/>
        </w:rPr>
        <w:t xml:space="preserve"> – Code of Federal Regulations </w:t>
      </w:r>
      <w:r w:rsidR="00DF3904">
        <w:rPr>
          <w:rFonts w:cs="Times New Roman"/>
          <w:szCs w:val="24"/>
        </w:rPr>
        <w:t>§</w:t>
      </w:r>
      <w:r w:rsidR="002728DC" w:rsidRPr="00B35753">
        <w:rPr>
          <w:rFonts w:cs="Times New Roman"/>
          <w:szCs w:val="24"/>
        </w:rPr>
        <w:t>46.114 Cooperative research</w:t>
      </w:r>
      <w:r w:rsidR="00012D71">
        <w:rPr>
          <w:rFonts w:cs="Times New Roman"/>
          <w:szCs w:val="24"/>
        </w:rPr>
        <w:t>.</w:t>
      </w:r>
      <w:r w:rsidR="00DF3904">
        <w:rPr>
          <w:rFonts w:cs="Times New Roman"/>
          <w:szCs w:val="24"/>
        </w:rPr>
        <w:t xml:space="preserve"> (2024). </w:t>
      </w:r>
      <w:hyperlink r:id="rId18" w:history="1">
        <w:r w:rsidR="00DF3904" w:rsidRPr="009C1DED">
          <w:rPr>
            <w:rStyle w:val="Hyperlink"/>
            <w:rFonts w:cs="Times New Roman"/>
            <w:color w:val="auto"/>
            <w:szCs w:val="24"/>
            <w:u w:val="none"/>
          </w:rPr>
          <w:t>https://www.ecfr.gov/current/title-45/subtitle-A/subchapter-A/part-46/subpart-A/section-46.114</w:t>
        </w:r>
      </w:hyperlink>
      <w:r w:rsidR="00DF3904" w:rsidRPr="009C1DED">
        <w:rPr>
          <w:rFonts w:cs="Times New Roman"/>
          <w:szCs w:val="24"/>
        </w:rPr>
        <w:t xml:space="preserve"> [Accessed </w:t>
      </w:r>
      <w:r w:rsidR="00DF3904">
        <w:rPr>
          <w:rFonts w:cs="Times New Roman"/>
          <w:szCs w:val="24"/>
        </w:rPr>
        <w:t>September, 2024].</w:t>
      </w:r>
      <w:bookmarkEnd w:id="41"/>
    </w:p>
    <w:p w14:paraId="150E6506" w14:textId="5D8FEB73" w:rsidR="00E2734A" w:rsidRPr="004A5338" w:rsidRDefault="00247163" w:rsidP="00E2734A">
      <w:pPr>
        <w:pStyle w:val="BodyText1"/>
        <w:numPr>
          <w:ilvl w:val="0"/>
          <w:numId w:val="53"/>
        </w:numPr>
        <w:ind w:left="284" w:hanging="142"/>
        <w:rPr>
          <w:rFonts w:cs="Times New Roman"/>
          <w:szCs w:val="24"/>
          <w:lang w:val="en-CA"/>
        </w:rPr>
      </w:pPr>
      <w:bookmarkStart w:id="42" w:name="sixteen"/>
      <w:bookmarkStart w:id="43" w:name="_Ref179192871"/>
      <w:bookmarkEnd w:id="42"/>
      <w:r w:rsidRPr="00B35753">
        <w:rPr>
          <w:rFonts w:cs="Times New Roman"/>
          <w:szCs w:val="24"/>
        </w:rPr>
        <w:t xml:space="preserve">Final NIH Policy on the Use of a Single Institutional Review Board for Multi-Site Research. NIH Single IRB </w:t>
      </w:r>
      <w:proofErr w:type="gramStart"/>
      <w:r w:rsidRPr="00B35753">
        <w:rPr>
          <w:rFonts w:cs="Times New Roman"/>
          <w:szCs w:val="24"/>
        </w:rPr>
        <w:t>Policy</w:t>
      </w:r>
      <w:r w:rsidR="00012D71">
        <w:rPr>
          <w:rFonts w:cs="Times New Roman"/>
          <w:szCs w:val="24"/>
        </w:rPr>
        <w:t>.(</w:t>
      </w:r>
      <w:proofErr w:type="gramEnd"/>
      <w:r w:rsidR="00012D71">
        <w:rPr>
          <w:rFonts w:cs="Times New Roman"/>
          <w:szCs w:val="24"/>
        </w:rPr>
        <w:t>2018</w:t>
      </w:r>
      <w:r w:rsidR="00012D71" w:rsidRPr="009C1DED">
        <w:t>).</w:t>
      </w:r>
      <w:r w:rsidRPr="009C1DED">
        <w:t xml:space="preserve"> </w:t>
      </w:r>
      <w:hyperlink r:id="rId19" w:history="1">
        <w:r w:rsidRPr="00DA48E2">
          <w:t>https://grants.nih.gov/grants/guide/notice-files/NOT-OD-16-094.html</w:t>
        </w:r>
      </w:hyperlink>
      <w:r w:rsidR="00E2734A" w:rsidRPr="00DA48E2">
        <w:t xml:space="preserve"> </w:t>
      </w:r>
      <w:r w:rsidR="00E2734A" w:rsidRPr="009C1DED">
        <w:t>[Accessed September, 2</w:t>
      </w:r>
      <w:r w:rsidR="00E2734A">
        <w:rPr>
          <w:rFonts w:cs="Times New Roman"/>
          <w:szCs w:val="24"/>
        </w:rPr>
        <w:t>024].</w:t>
      </w:r>
      <w:bookmarkEnd w:id="43"/>
    </w:p>
    <w:p w14:paraId="63F6E3E2" w14:textId="62B8E140" w:rsidR="004A5338" w:rsidRPr="004A5338" w:rsidRDefault="004A5338" w:rsidP="004A5338">
      <w:pPr>
        <w:pStyle w:val="BodyText1"/>
        <w:numPr>
          <w:ilvl w:val="0"/>
          <w:numId w:val="53"/>
        </w:numPr>
        <w:ind w:left="284" w:hanging="142"/>
        <w:rPr>
          <w:rFonts w:cs="Times New Roman"/>
          <w:szCs w:val="24"/>
          <w:lang w:val="en-CA"/>
        </w:rPr>
      </w:pPr>
      <w:bookmarkStart w:id="44" w:name="_Ref179193070"/>
      <w:r w:rsidRPr="004A5338">
        <w:rPr>
          <w:rFonts w:cs="Times New Roman"/>
          <w:szCs w:val="24"/>
          <w:lang w:val="en-CA"/>
        </w:rPr>
        <w:t>National Institutes of Health. Single IRB for multi-site or cooperative research</w:t>
      </w:r>
      <w:r>
        <w:rPr>
          <w:rFonts w:cs="Times New Roman"/>
          <w:szCs w:val="24"/>
          <w:lang w:val="en-CA"/>
        </w:rPr>
        <w:t>. (2024).</w:t>
      </w:r>
      <w:r w:rsidRPr="004A5338">
        <w:rPr>
          <w:rFonts w:cs="Times New Roman"/>
          <w:szCs w:val="24"/>
          <w:lang w:val="en-CA"/>
        </w:rPr>
        <w:t xml:space="preserve"> </w:t>
      </w:r>
      <w:hyperlink r:id="rId20" w:history="1">
        <w:r w:rsidRPr="004A5338">
          <w:rPr>
            <w:lang w:val="en-CA"/>
          </w:rPr>
          <w:t>https://grants.nih.gov/policy-and-compliance/policy-topics/human-subjects/single-irb-policy-multi-site-research</w:t>
        </w:r>
      </w:hyperlink>
      <w:r>
        <w:rPr>
          <w:rFonts w:cs="Times New Roman"/>
          <w:szCs w:val="24"/>
          <w:lang w:val="en-CA"/>
        </w:rPr>
        <w:t xml:space="preserve"> </w:t>
      </w:r>
      <w:r w:rsidRPr="004A5338">
        <w:rPr>
          <w:rFonts w:cs="Times New Roman"/>
          <w:szCs w:val="24"/>
          <w:lang w:val="en-CA"/>
        </w:rPr>
        <w:t>[Accessed</w:t>
      </w:r>
      <w:r>
        <w:rPr>
          <w:rFonts w:cs="Times New Roman"/>
          <w:szCs w:val="24"/>
        </w:rPr>
        <w:t xml:space="preserve"> October, 2024]</w:t>
      </w:r>
      <w:bookmarkEnd w:id="44"/>
    </w:p>
    <w:p w14:paraId="5FF9033C" w14:textId="77777777" w:rsidR="00F20C8C" w:rsidRPr="00B35753" w:rsidRDefault="00F20C8C" w:rsidP="00F20C8C">
      <w:pPr>
        <w:pStyle w:val="BodyText1"/>
        <w:numPr>
          <w:ilvl w:val="0"/>
          <w:numId w:val="53"/>
        </w:numPr>
        <w:ind w:left="284" w:hanging="142"/>
        <w:rPr>
          <w:rFonts w:cs="Times New Roman"/>
          <w:szCs w:val="24"/>
          <w:lang w:val="en-CA"/>
        </w:rPr>
      </w:pPr>
      <w:bookmarkStart w:id="45" w:name="seventeen"/>
      <w:bookmarkStart w:id="46" w:name="_Ref179194405"/>
      <w:bookmarkStart w:id="47" w:name="_Ref179193296"/>
      <w:bookmarkEnd w:id="45"/>
      <w:r w:rsidRPr="00B35753">
        <w:rPr>
          <w:rFonts w:cs="Times New Roman"/>
          <w:szCs w:val="24"/>
          <w:lang w:val="en-CA"/>
        </w:rPr>
        <w:t xml:space="preserve">Cobb N, Witte E, </w:t>
      </w:r>
      <w:proofErr w:type="spellStart"/>
      <w:r w:rsidRPr="00B35753">
        <w:rPr>
          <w:rFonts w:cs="Times New Roman"/>
          <w:szCs w:val="24"/>
          <w:lang w:val="en-CA"/>
        </w:rPr>
        <w:t>Cervone</w:t>
      </w:r>
      <w:proofErr w:type="spellEnd"/>
      <w:r w:rsidRPr="00B35753">
        <w:rPr>
          <w:rFonts w:cs="Times New Roman"/>
          <w:szCs w:val="24"/>
          <w:lang w:val="en-CA"/>
        </w:rPr>
        <w:t xml:space="preserve"> M, Kirby A, </w:t>
      </w:r>
      <w:proofErr w:type="spellStart"/>
      <w:r w:rsidRPr="00B35753">
        <w:rPr>
          <w:rFonts w:cs="Times New Roman"/>
          <w:szCs w:val="24"/>
          <w:lang w:val="en-CA"/>
        </w:rPr>
        <w:t>MacFadden</w:t>
      </w:r>
      <w:proofErr w:type="spellEnd"/>
      <w:r w:rsidRPr="00B35753">
        <w:rPr>
          <w:rFonts w:cs="Times New Roman"/>
          <w:szCs w:val="24"/>
          <w:lang w:val="en-CA"/>
        </w:rPr>
        <w:t xml:space="preserve"> D, Nadler L, </w:t>
      </w:r>
      <w:proofErr w:type="spellStart"/>
      <w:r w:rsidRPr="00B35753">
        <w:rPr>
          <w:rFonts w:cs="Times New Roman"/>
          <w:szCs w:val="24"/>
          <w:lang w:val="en-CA"/>
        </w:rPr>
        <w:t>Bierer</w:t>
      </w:r>
      <w:proofErr w:type="spellEnd"/>
      <w:r w:rsidRPr="00B35753">
        <w:rPr>
          <w:rFonts w:cs="Times New Roman"/>
          <w:szCs w:val="24"/>
          <w:lang w:val="en-CA"/>
        </w:rPr>
        <w:t xml:space="preserve"> BE. The SMART IRB Platform: A national Resource for IRB Review for Multisite Studies. Journal of Clinical and Translational Science</w:t>
      </w:r>
      <w:r>
        <w:rPr>
          <w:rFonts w:cs="Times New Roman"/>
          <w:szCs w:val="24"/>
          <w:lang w:val="en-CA"/>
        </w:rPr>
        <w:t>. (</w:t>
      </w:r>
      <w:r w:rsidRPr="00B35753">
        <w:rPr>
          <w:rFonts w:cs="Times New Roman"/>
          <w:szCs w:val="24"/>
          <w:lang w:val="en-CA"/>
        </w:rPr>
        <w:t>2019</w:t>
      </w:r>
      <w:r>
        <w:rPr>
          <w:rFonts w:cs="Times New Roman"/>
          <w:szCs w:val="24"/>
          <w:lang w:val="en-CA"/>
        </w:rPr>
        <w:t>)</w:t>
      </w:r>
      <w:r w:rsidRPr="00B35753">
        <w:rPr>
          <w:rFonts w:cs="Times New Roman"/>
          <w:szCs w:val="24"/>
          <w:lang w:val="en-CA"/>
        </w:rPr>
        <w:t xml:space="preserve"> 3: 129-139</w:t>
      </w:r>
      <w:r>
        <w:rPr>
          <w:rFonts w:cs="Times New Roman"/>
          <w:szCs w:val="24"/>
          <w:lang w:val="en-CA"/>
        </w:rPr>
        <w:t>.</w:t>
      </w:r>
      <w:bookmarkEnd w:id="46"/>
    </w:p>
    <w:p w14:paraId="646644AB" w14:textId="714F331D" w:rsidR="00E2734A" w:rsidRPr="00B35753" w:rsidRDefault="00012D71" w:rsidP="00E2734A">
      <w:pPr>
        <w:pStyle w:val="BodyText1"/>
        <w:numPr>
          <w:ilvl w:val="0"/>
          <w:numId w:val="53"/>
        </w:numPr>
        <w:ind w:left="284" w:hanging="142"/>
        <w:rPr>
          <w:rFonts w:cs="Times New Roman"/>
          <w:szCs w:val="24"/>
          <w:lang w:val="en-CA"/>
        </w:rPr>
      </w:pPr>
      <w:bookmarkStart w:id="48" w:name="_Ref179194585"/>
      <w:r>
        <w:rPr>
          <w:rFonts w:cs="Times New Roman"/>
          <w:szCs w:val="24"/>
          <w:lang w:val="en-CA"/>
        </w:rPr>
        <w:t xml:space="preserve">Federal Register. </w:t>
      </w:r>
      <w:r w:rsidR="000771DD" w:rsidRPr="00B35753">
        <w:rPr>
          <w:rFonts w:cs="Times New Roman"/>
          <w:szCs w:val="24"/>
          <w:lang w:val="en-CA"/>
        </w:rPr>
        <w:t xml:space="preserve">87 FR 58733: protection of Human Subjects and Institutional Review </w:t>
      </w:r>
      <w:proofErr w:type="gramStart"/>
      <w:r w:rsidR="000771DD" w:rsidRPr="00B35753">
        <w:rPr>
          <w:rFonts w:cs="Times New Roman"/>
          <w:szCs w:val="24"/>
          <w:lang w:val="en-CA"/>
        </w:rPr>
        <w:t>Boards.</w:t>
      </w:r>
      <w:r>
        <w:rPr>
          <w:rFonts w:cs="Times New Roman"/>
          <w:szCs w:val="24"/>
          <w:lang w:val="en-CA"/>
        </w:rPr>
        <w:t>(</w:t>
      </w:r>
      <w:proofErr w:type="gramEnd"/>
      <w:r>
        <w:rPr>
          <w:rFonts w:cs="Times New Roman"/>
          <w:szCs w:val="24"/>
          <w:lang w:val="en-CA"/>
        </w:rPr>
        <w:t>2022</w:t>
      </w:r>
      <w:r w:rsidRPr="00DA48E2">
        <w:t>).</w:t>
      </w:r>
      <w:r w:rsidR="000771DD" w:rsidRPr="00DA48E2">
        <w:t xml:space="preserve"> </w:t>
      </w:r>
      <w:hyperlink r:id="rId21" w:history="1">
        <w:r w:rsidR="006C4A79" w:rsidRPr="00DA48E2">
          <w:t>https://www.federalregister.gov/documents/2022/09/28/2022-21088/protection-of-human-subjects-and-institutional-review-boards</w:t>
        </w:r>
      </w:hyperlink>
      <w:r w:rsidR="00E2734A" w:rsidRPr="00DA48E2">
        <w:rPr>
          <w:rStyle w:val="Hyperlink"/>
          <w:rFonts w:cs="Times New Roman"/>
          <w:color w:val="000000" w:themeColor="text1"/>
          <w:szCs w:val="24"/>
          <w:u w:val="none"/>
          <w:lang w:val="en-CA"/>
        </w:rPr>
        <w:t xml:space="preserve"> </w:t>
      </w:r>
      <w:r w:rsidR="00E2734A" w:rsidRPr="00DA48E2">
        <w:rPr>
          <w:rFonts w:cs="Times New Roman"/>
          <w:color w:val="000000" w:themeColor="text1"/>
          <w:szCs w:val="24"/>
        </w:rPr>
        <w:t>[Acc</w:t>
      </w:r>
      <w:r w:rsidR="00E2734A">
        <w:rPr>
          <w:rFonts w:cs="Times New Roman"/>
          <w:szCs w:val="24"/>
        </w:rPr>
        <w:t>essed September, 2024].</w:t>
      </w:r>
      <w:bookmarkEnd w:id="47"/>
      <w:bookmarkEnd w:id="48"/>
    </w:p>
    <w:p w14:paraId="10268D20" w14:textId="32762B98" w:rsidR="00E2734A" w:rsidRPr="00DA48E2" w:rsidRDefault="00012D71" w:rsidP="00E2734A">
      <w:pPr>
        <w:pStyle w:val="BodyText1"/>
        <w:numPr>
          <w:ilvl w:val="0"/>
          <w:numId w:val="53"/>
        </w:numPr>
        <w:ind w:left="284" w:hanging="142"/>
      </w:pPr>
      <w:bookmarkStart w:id="49" w:name="eighteen"/>
      <w:bookmarkStart w:id="50" w:name="_Ref179193315"/>
      <w:bookmarkEnd w:id="49"/>
      <w:r>
        <w:rPr>
          <w:rFonts w:cs="Times New Roman"/>
          <w:szCs w:val="24"/>
          <w:lang w:val="en-CA"/>
        </w:rPr>
        <w:t xml:space="preserve">Federal Register. </w:t>
      </w:r>
      <w:r w:rsidR="00A06D02" w:rsidRPr="00B35753">
        <w:rPr>
          <w:rFonts w:cs="Times New Roman"/>
          <w:szCs w:val="24"/>
          <w:lang w:val="en-CA"/>
        </w:rPr>
        <w:t xml:space="preserve">87 FR 58752 </w:t>
      </w:r>
      <w:r>
        <w:rPr>
          <w:rFonts w:cs="Times New Roman"/>
          <w:szCs w:val="24"/>
          <w:lang w:val="en-CA"/>
        </w:rPr>
        <w:t>(2022</w:t>
      </w:r>
      <w:r w:rsidRPr="00DA48E2">
        <w:t>).</w:t>
      </w:r>
      <w:r w:rsidR="00A06D02" w:rsidRPr="00DA48E2">
        <w:t xml:space="preserve"> </w:t>
      </w:r>
      <w:hyperlink r:id="rId22" w:history="1">
        <w:r w:rsidR="00CE2A34" w:rsidRPr="00DA48E2">
          <w:t>https://www.federalregister.gov/citation/87-FR-58752</w:t>
        </w:r>
      </w:hyperlink>
      <w:r w:rsidR="00E2734A" w:rsidRPr="00DA48E2">
        <w:t xml:space="preserve"> </w:t>
      </w:r>
      <w:r w:rsidR="00E2734A" w:rsidRPr="009C1DED">
        <w:t>[Accessed September, 2024].</w:t>
      </w:r>
      <w:bookmarkEnd w:id="50"/>
    </w:p>
    <w:p w14:paraId="77F0F0C9" w14:textId="4893EA08" w:rsidR="001558CC" w:rsidRDefault="001558CC" w:rsidP="00DA48E2">
      <w:pPr>
        <w:pStyle w:val="BodyText1"/>
        <w:numPr>
          <w:ilvl w:val="0"/>
          <w:numId w:val="53"/>
        </w:numPr>
        <w:ind w:left="284" w:hanging="142"/>
      </w:pPr>
      <w:bookmarkStart w:id="51" w:name="ninteen"/>
      <w:bookmarkStart w:id="52" w:name="rqwnty"/>
      <w:bookmarkStart w:id="53" w:name="_Ref179193524"/>
      <w:bookmarkEnd w:id="51"/>
      <w:bookmarkEnd w:id="52"/>
      <w:r w:rsidRPr="001558CC">
        <w:t xml:space="preserve">U.S. Food and Drug Administration. Ethical considerations for clinical investigations of medical products involving children: draft guidance for industry, sponsors, and IRBs. </w:t>
      </w:r>
      <w:r>
        <w:t>(</w:t>
      </w:r>
      <w:r w:rsidRPr="001558CC">
        <w:t>2022</w:t>
      </w:r>
      <w:r>
        <w:t>).</w:t>
      </w:r>
      <w:r w:rsidRPr="001558CC">
        <w:t xml:space="preserve"> </w:t>
      </w:r>
      <w:hyperlink r:id="rId23" w:history="1">
        <w:r w:rsidRPr="001558CC">
          <w:t>https://www.fda.gov/regulatory-information/search-fda-guidance-documents/ethical-considerations-clinical-investigations-medical-products-involving-children</w:t>
        </w:r>
      </w:hyperlink>
      <w:r>
        <w:t xml:space="preserve"> [Accessed October, 2024]</w:t>
      </w:r>
      <w:bookmarkEnd w:id="53"/>
    </w:p>
    <w:p w14:paraId="44C774F2" w14:textId="77777777" w:rsidR="001558CC" w:rsidRDefault="001558CC" w:rsidP="001558CC">
      <w:pPr>
        <w:pStyle w:val="BodyText1"/>
        <w:numPr>
          <w:ilvl w:val="0"/>
          <w:numId w:val="53"/>
        </w:numPr>
        <w:ind w:left="284" w:hanging="142"/>
      </w:pPr>
      <w:bookmarkStart w:id="54" w:name="_Ref179193666"/>
      <w:r>
        <w:t xml:space="preserve">U.S. Food and Drug Administration. Informed consent: guidance for IRBs, clinical investigators, and sponsors. (2023). </w:t>
      </w:r>
      <w:hyperlink r:id="rId24" w:tgtFrame="_new" w:history="1">
        <w:r w:rsidRPr="001558CC">
          <w:t>https://www.fda.gov/media/88915/download</w:t>
        </w:r>
      </w:hyperlink>
      <w:r>
        <w:t xml:space="preserve"> [Accessed October, 2024]</w:t>
      </w:r>
      <w:bookmarkEnd w:id="54"/>
    </w:p>
    <w:p w14:paraId="4F390614" w14:textId="1639A303" w:rsidR="001558CC" w:rsidRPr="00DA48E2" w:rsidRDefault="001558CC" w:rsidP="001558CC">
      <w:pPr>
        <w:pStyle w:val="BodyText1"/>
        <w:numPr>
          <w:ilvl w:val="0"/>
          <w:numId w:val="53"/>
        </w:numPr>
        <w:ind w:left="284" w:hanging="142"/>
      </w:pPr>
      <w:bookmarkStart w:id="55" w:name="_Ref179193838"/>
      <w:bookmarkStart w:id="56" w:name="_Ref179193710"/>
      <w:r>
        <w:lastRenderedPageBreak/>
        <w:t xml:space="preserve">U.S. Department of Health and Human Services. Institutional Review Board waiver or alteration of informed consent for minimal risk clinical investigations. (2023). </w:t>
      </w:r>
      <w:hyperlink r:id="rId25" w:tgtFrame="_new" w:history="1">
        <w:r w:rsidRPr="001558CC">
          <w:t>https://www.federalregister.gov/documents/2023/12/21/2023-27935/institutional-review-board-waiver-or-alteration-of-informed-consent-for-minimal-risk-clinical</w:t>
        </w:r>
      </w:hyperlink>
      <w:r>
        <w:t xml:space="preserve"> [Accessed October, 2024]</w:t>
      </w:r>
      <w:bookmarkEnd w:id="55"/>
    </w:p>
    <w:p w14:paraId="571BE0CE" w14:textId="225B0A4C" w:rsidR="00FD096E" w:rsidRPr="00B35753" w:rsidRDefault="00FD096E" w:rsidP="00DA48E2">
      <w:pPr>
        <w:pStyle w:val="BodyText1"/>
        <w:numPr>
          <w:ilvl w:val="0"/>
          <w:numId w:val="53"/>
        </w:numPr>
        <w:ind w:left="284" w:hanging="142"/>
        <w:rPr>
          <w:rStyle w:val="Hyperlink"/>
          <w:rFonts w:eastAsiaTheme="minorEastAsia"/>
          <w:color w:val="auto"/>
          <w:u w:val="none"/>
          <w:lang w:eastAsia="ja-JP"/>
        </w:rPr>
      </w:pPr>
      <w:bookmarkStart w:id="57" w:name="twentyone"/>
      <w:bookmarkStart w:id="58" w:name="_Ref179193906"/>
      <w:bookmarkEnd w:id="56"/>
      <w:bookmarkEnd w:id="57"/>
      <w:r w:rsidRPr="00B35753">
        <w:rPr>
          <w:rStyle w:val="Hyperlink"/>
          <w:rFonts w:eastAsiaTheme="minorEastAsia" w:cs="Times New Roman"/>
          <w:color w:val="auto"/>
          <w:szCs w:val="24"/>
          <w:u w:val="none"/>
          <w:lang w:eastAsia="ja-JP"/>
        </w:rPr>
        <w:t xml:space="preserve">Tashiro S. Unintended consequences of “soft” regulations: The social control of human biomedical research </w:t>
      </w:r>
      <w:proofErr w:type="spellStart"/>
      <w:r w:rsidRPr="00B35753">
        <w:rPr>
          <w:rStyle w:val="Hyperlink"/>
          <w:rFonts w:eastAsiaTheme="minorEastAsia" w:cs="Times New Roman"/>
          <w:color w:val="auto"/>
          <w:szCs w:val="24"/>
          <w:u w:val="none"/>
          <w:lang w:eastAsia="ja-JP"/>
        </w:rPr>
        <w:t>inb</w:t>
      </w:r>
      <w:proofErr w:type="spellEnd"/>
      <w:r w:rsidRPr="00B35753">
        <w:rPr>
          <w:rStyle w:val="Hyperlink"/>
          <w:rFonts w:eastAsiaTheme="minorEastAsia" w:cs="Times New Roman"/>
          <w:color w:val="auto"/>
          <w:szCs w:val="24"/>
          <w:u w:val="none"/>
          <w:lang w:eastAsia="ja-JP"/>
        </w:rPr>
        <w:t xml:space="preserve"> Japan. Int J Jap </w:t>
      </w:r>
      <w:proofErr w:type="spellStart"/>
      <w:r w:rsidRPr="00B35753">
        <w:rPr>
          <w:rStyle w:val="Hyperlink"/>
          <w:rFonts w:eastAsiaTheme="minorEastAsia" w:cs="Times New Roman"/>
          <w:color w:val="auto"/>
          <w:szCs w:val="24"/>
          <w:u w:val="none"/>
          <w:lang w:eastAsia="ja-JP"/>
        </w:rPr>
        <w:t>Sociol</w:t>
      </w:r>
      <w:proofErr w:type="spellEnd"/>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 xml:space="preserve"> </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2010</w:t>
      </w:r>
      <w:r w:rsidR="00E2734A">
        <w:rPr>
          <w:rStyle w:val="Hyperlink"/>
          <w:rFonts w:eastAsiaTheme="minorEastAsia" w:cs="Times New Roman"/>
          <w:color w:val="auto"/>
          <w:szCs w:val="24"/>
          <w:u w:val="none"/>
          <w:lang w:eastAsia="ja-JP"/>
        </w:rPr>
        <w:t xml:space="preserve">) </w:t>
      </w:r>
      <w:r w:rsidRPr="00B35753">
        <w:rPr>
          <w:rStyle w:val="Hyperlink"/>
          <w:rFonts w:eastAsiaTheme="minorEastAsia" w:cs="Times New Roman"/>
          <w:color w:val="auto"/>
          <w:szCs w:val="24"/>
          <w:u w:val="none"/>
          <w:lang w:eastAsia="ja-JP"/>
        </w:rPr>
        <w:t xml:space="preserve">19:4-17. </w:t>
      </w:r>
      <w:proofErr w:type="spellStart"/>
      <w:r w:rsidRPr="00B35753">
        <w:rPr>
          <w:rStyle w:val="Hyperlink"/>
          <w:rFonts w:eastAsiaTheme="minorEastAsia" w:cs="Times New Roman"/>
          <w:color w:val="auto"/>
          <w:szCs w:val="24"/>
          <w:u w:val="none"/>
          <w:lang w:eastAsia="ja-JP"/>
        </w:rPr>
        <w:t>doi</w:t>
      </w:r>
      <w:proofErr w:type="spellEnd"/>
      <w:r w:rsidRPr="00B35753">
        <w:rPr>
          <w:rStyle w:val="Hyperlink"/>
          <w:rFonts w:eastAsiaTheme="minorEastAsia" w:cs="Times New Roman"/>
          <w:color w:val="auto"/>
          <w:szCs w:val="24"/>
          <w:u w:val="none"/>
          <w:lang w:eastAsia="ja-JP"/>
        </w:rPr>
        <w:t>. 10.1111/j.1475-6781.</w:t>
      </w:r>
      <w:proofErr w:type="gramStart"/>
      <w:r w:rsidRPr="00B35753">
        <w:rPr>
          <w:rStyle w:val="Hyperlink"/>
          <w:rFonts w:eastAsiaTheme="minorEastAsia" w:cs="Times New Roman"/>
          <w:color w:val="auto"/>
          <w:szCs w:val="24"/>
          <w:u w:val="none"/>
          <w:lang w:eastAsia="ja-JP"/>
        </w:rPr>
        <w:t>2010.01127.x</w:t>
      </w:r>
      <w:bookmarkEnd w:id="58"/>
      <w:proofErr w:type="gramEnd"/>
    </w:p>
    <w:p w14:paraId="6414463E" w14:textId="2C033392" w:rsidR="00FD096E" w:rsidRPr="00B35753" w:rsidRDefault="00FD096E" w:rsidP="00DA48E2">
      <w:pPr>
        <w:pStyle w:val="BodyText1"/>
        <w:numPr>
          <w:ilvl w:val="0"/>
          <w:numId w:val="53"/>
        </w:numPr>
        <w:ind w:left="284" w:hanging="142"/>
        <w:rPr>
          <w:rFonts w:eastAsiaTheme="minorEastAsia"/>
          <w:lang w:eastAsia="ja-JP"/>
        </w:rPr>
      </w:pPr>
      <w:bookmarkStart w:id="59" w:name="twentytwo"/>
      <w:bookmarkStart w:id="60" w:name="_Ref179193925"/>
      <w:bookmarkEnd w:id="59"/>
      <w:proofErr w:type="spellStart"/>
      <w:r w:rsidRPr="00B35753">
        <w:rPr>
          <w:rFonts w:eastAsiaTheme="minorEastAsia" w:cs="Times New Roman"/>
          <w:szCs w:val="24"/>
          <w:lang w:eastAsia="ja-JP"/>
        </w:rPr>
        <w:t>Eba</w:t>
      </w:r>
      <w:proofErr w:type="spellEnd"/>
      <w:r w:rsidRPr="00B35753">
        <w:rPr>
          <w:rFonts w:eastAsiaTheme="minorEastAsia" w:cs="Times New Roman"/>
          <w:szCs w:val="24"/>
          <w:lang w:eastAsia="ja-JP"/>
        </w:rPr>
        <w:t xml:space="preserve"> J, Nakamura K. Overview of the ethical guidelines for medical and biological research involving human subjects in Japan. </w:t>
      </w:r>
      <w:proofErr w:type="spellStart"/>
      <w:r w:rsidRPr="00B35753">
        <w:rPr>
          <w:rFonts w:eastAsiaTheme="minorEastAsia" w:cs="Times New Roman"/>
          <w:szCs w:val="24"/>
          <w:lang w:eastAsia="ja-JP"/>
        </w:rPr>
        <w:t>Jpn</w:t>
      </w:r>
      <w:proofErr w:type="spellEnd"/>
      <w:r w:rsidRPr="00B35753">
        <w:rPr>
          <w:rFonts w:eastAsiaTheme="minorEastAsia" w:cs="Times New Roman"/>
          <w:szCs w:val="24"/>
          <w:lang w:eastAsia="ja-JP"/>
        </w:rPr>
        <w:t xml:space="preserve"> J Clin Oncol</w:t>
      </w:r>
      <w:r w:rsidR="00E2734A">
        <w:rPr>
          <w:rFonts w:eastAsiaTheme="minorEastAsia" w:cs="Times New Roman"/>
          <w:szCs w:val="24"/>
          <w:lang w:eastAsia="ja-JP"/>
        </w:rPr>
        <w:t>. (</w:t>
      </w:r>
      <w:r w:rsidRPr="00B35753">
        <w:rPr>
          <w:rFonts w:eastAsiaTheme="minorEastAsia" w:cs="Times New Roman"/>
          <w:szCs w:val="24"/>
          <w:lang w:eastAsia="ja-JP"/>
        </w:rPr>
        <w:t>2022</w:t>
      </w:r>
      <w:r w:rsidR="00E2734A">
        <w:rPr>
          <w:rFonts w:eastAsiaTheme="minorEastAsia" w:cs="Times New Roman"/>
          <w:szCs w:val="24"/>
          <w:lang w:eastAsia="ja-JP"/>
        </w:rPr>
        <w:t>)</w:t>
      </w:r>
      <w:r w:rsidRPr="00B35753">
        <w:rPr>
          <w:rFonts w:eastAsiaTheme="minorEastAsia" w:cs="Times New Roman"/>
          <w:szCs w:val="24"/>
          <w:lang w:eastAsia="ja-JP"/>
        </w:rPr>
        <w:t xml:space="preserve"> 52(6): 539-544. </w:t>
      </w:r>
      <w:hyperlink r:id="rId26" w:history="1">
        <w:proofErr w:type="spellStart"/>
        <w:r w:rsidRPr="00B35753">
          <w:rPr>
            <w:rFonts w:eastAsiaTheme="minorEastAsia" w:cs="Times New Roman"/>
            <w:szCs w:val="24"/>
            <w:lang w:eastAsia="ja-JP"/>
          </w:rPr>
          <w:t>doi</w:t>
        </w:r>
        <w:proofErr w:type="spellEnd"/>
        <w:r w:rsidRPr="00B35753">
          <w:rPr>
            <w:rFonts w:eastAsiaTheme="minorEastAsia" w:cs="Times New Roman"/>
            <w:szCs w:val="24"/>
            <w:lang w:eastAsia="ja-JP"/>
          </w:rPr>
          <w:t>. 10.1093/</w:t>
        </w:r>
        <w:proofErr w:type="spellStart"/>
        <w:r w:rsidRPr="00B35753">
          <w:rPr>
            <w:rFonts w:eastAsiaTheme="minorEastAsia" w:cs="Times New Roman"/>
            <w:szCs w:val="24"/>
            <w:lang w:eastAsia="ja-JP"/>
          </w:rPr>
          <w:t>jjco</w:t>
        </w:r>
        <w:proofErr w:type="spellEnd"/>
        <w:r w:rsidRPr="00B35753">
          <w:rPr>
            <w:rFonts w:eastAsiaTheme="minorEastAsia" w:cs="Times New Roman"/>
            <w:szCs w:val="24"/>
            <w:lang w:eastAsia="ja-JP"/>
          </w:rPr>
          <w:t>/hyac034</w:t>
        </w:r>
      </w:hyperlink>
      <w:bookmarkEnd w:id="60"/>
    </w:p>
    <w:p w14:paraId="71DE5E95" w14:textId="1513D79D" w:rsidR="00FD096E" w:rsidRPr="00B35753" w:rsidRDefault="00FD096E" w:rsidP="00DA48E2">
      <w:pPr>
        <w:pStyle w:val="BodyText1"/>
        <w:numPr>
          <w:ilvl w:val="0"/>
          <w:numId w:val="53"/>
        </w:numPr>
        <w:ind w:left="284" w:hanging="142"/>
        <w:rPr>
          <w:rFonts w:eastAsiaTheme="minorEastAsia"/>
          <w:lang w:eastAsia="ja-JP"/>
        </w:rPr>
      </w:pPr>
      <w:bookmarkStart w:id="61" w:name="twentythree"/>
      <w:bookmarkStart w:id="62" w:name="_Ref179193948"/>
      <w:bookmarkEnd w:id="61"/>
      <w:proofErr w:type="spellStart"/>
      <w:r w:rsidRPr="00B35753">
        <w:rPr>
          <w:rFonts w:eastAsiaTheme="minorEastAsia" w:cs="Times New Roman"/>
          <w:szCs w:val="24"/>
          <w:lang w:eastAsia="ja-JP"/>
        </w:rPr>
        <w:t>Tobita</w:t>
      </w:r>
      <w:proofErr w:type="spellEnd"/>
      <w:r w:rsidRPr="00B35753">
        <w:rPr>
          <w:rFonts w:eastAsiaTheme="minorEastAsia" w:cs="Times New Roman"/>
          <w:szCs w:val="24"/>
          <w:lang w:eastAsia="ja-JP"/>
        </w:rPr>
        <w:t xml:space="preserve"> M, Konomi K, </w:t>
      </w:r>
      <w:proofErr w:type="spellStart"/>
      <w:r w:rsidRPr="00B35753">
        <w:rPr>
          <w:rFonts w:eastAsiaTheme="minorEastAsia" w:cs="Times New Roman"/>
          <w:szCs w:val="24"/>
          <w:lang w:eastAsia="ja-JP"/>
        </w:rPr>
        <w:t>Torashima</w:t>
      </w:r>
      <w:proofErr w:type="spellEnd"/>
      <w:r w:rsidRPr="00B35753">
        <w:rPr>
          <w:rFonts w:eastAsiaTheme="minorEastAsia" w:cs="Times New Roman"/>
          <w:szCs w:val="24"/>
          <w:lang w:eastAsia="ja-JP"/>
        </w:rPr>
        <w:t xml:space="preserve"> Y, Kimura K, </w:t>
      </w:r>
      <w:proofErr w:type="spellStart"/>
      <w:r w:rsidRPr="00B35753">
        <w:rPr>
          <w:rFonts w:eastAsiaTheme="minorEastAsia" w:cs="Times New Roman"/>
          <w:szCs w:val="24"/>
          <w:lang w:eastAsia="ja-JP"/>
        </w:rPr>
        <w:t>Taoka</w:t>
      </w:r>
      <w:proofErr w:type="spellEnd"/>
      <w:r w:rsidRPr="00B35753">
        <w:rPr>
          <w:rFonts w:eastAsiaTheme="minorEastAsia" w:cs="Times New Roman"/>
          <w:szCs w:val="24"/>
          <w:lang w:eastAsia="ja-JP"/>
        </w:rPr>
        <w:t xml:space="preserve"> M, </w:t>
      </w:r>
      <w:proofErr w:type="spellStart"/>
      <w:r w:rsidRPr="00B35753">
        <w:rPr>
          <w:rFonts w:eastAsiaTheme="minorEastAsia" w:cs="Times New Roman"/>
          <w:szCs w:val="24"/>
          <w:lang w:eastAsia="ja-JP"/>
        </w:rPr>
        <w:t>Kaminota</w:t>
      </w:r>
      <w:proofErr w:type="spellEnd"/>
      <w:r w:rsidRPr="00B35753">
        <w:rPr>
          <w:rFonts w:eastAsiaTheme="minorEastAsia" w:cs="Times New Roman"/>
          <w:szCs w:val="24"/>
          <w:lang w:eastAsia="ja-JP"/>
        </w:rPr>
        <w:t xml:space="preserve"> M. Japan's challenges of translational regenerative medicine: Act on the safety of regenerative medicine. Regen </w:t>
      </w:r>
      <w:proofErr w:type="spellStart"/>
      <w:r w:rsidRPr="00B35753">
        <w:rPr>
          <w:rFonts w:eastAsiaTheme="minorEastAsia" w:cs="Times New Roman"/>
          <w:szCs w:val="24"/>
          <w:lang w:eastAsia="ja-JP"/>
        </w:rPr>
        <w:t>Ther</w:t>
      </w:r>
      <w:proofErr w:type="spellEnd"/>
      <w:r w:rsidR="00E2734A">
        <w:rPr>
          <w:rFonts w:eastAsiaTheme="minorEastAsia" w:cs="Times New Roman"/>
          <w:szCs w:val="24"/>
          <w:lang w:eastAsia="ja-JP"/>
        </w:rPr>
        <w:t>. (</w:t>
      </w:r>
      <w:r w:rsidRPr="00B35753">
        <w:rPr>
          <w:rFonts w:eastAsiaTheme="minorEastAsia" w:cs="Times New Roman"/>
          <w:szCs w:val="24"/>
          <w:lang w:eastAsia="ja-JP"/>
        </w:rPr>
        <w:t>2016</w:t>
      </w:r>
      <w:r w:rsidR="00E2734A">
        <w:rPr>
          <w:rFonts w:eastAsiaTheme="minorEastAsia" w:cs="Times New Roman"/>
          <w:szCs w:val="24"/>
          <w:lang w:eastAsia="ja-JP"/>
        </w:rPr>
        <w:t xml:space="preserve">) </w:t>
      </w:r>
      <w:r w:rsidRPr="00B35753">
        <w:rPr>
          <w:rFonts w:eastAsiaTheme="minorEastAsia" w:cs="Times New Roman"/>
          <w:szCs w:val="24"/>
          <w:lang w:eastAsia="ja-JP"/>
        </w:rPr>
        <w:t xml:space="preserve">4:78-81. </w:t>
      </w:r>
      <w:proofErr w:type="spellStart"/>
      <w:r w:rsidRPr="00B35753">
        <w:rPr>
          <w:rFonts w:eastAsiaTheme="minorEastAsia" w:cs="Times New Roman"/>
          <w:szCs w:val="24"/>
          <w:lang w:eastAsia="ja-JP"/>
        </w:rPr>
        <w:t>doi</w:t>
      </w:r>
      <w:proofErr w:type="spellEnd"/>
      <w:r w:rsidRPr="00B35753">
        <w:rPr>
          <w:rFonts w:eastAsiaTheme="minorEastAsia" w:cs="Times New Roman"/>
          <w:szCs w:val="24"/>
          <w:lang w:eastAsia="ja-JP"/>
        </w:rPr>
        <w:t>. 10.1016/j.reth.2016.04.001</w:t>
      </w:r>
      <w:bookmarkEnd w:id="62"/>
    </w:p>
    <w:p w14:paraId="4F7188A3" w14:textId="74C9A206" w:rsidR="00095E38" w:rsidRPr="00DA48E2" w:rsidRDefault="00FD096E" w:rsidP="00DA48E2">
      <w:pPr>
        <w:pStyle w:val="BodyText1"/>
        <w:numPr>
          <w:ilvl w:val="0"/>
          <w:numId w:val="53"/>
        </w:numPr>
        <w:ind w:left="284" w:hanging="142"/>
        <w:rPr>
          <w:rStyle w:val="Hyperlink"/>
          <w:rFonts w:cs="Times New Roman"/>
          <w:color w:val="auto"/>
          <w:szCs w:val="24"/>
          <w:u w:val="none"/>
          <w:lang w:val="en-CA"/>
        </w:rPr>
      </w:pPr>
      <w:bookmarkStart w:id="63" w:name="twentyfour"/>
      <w:bookmarkStart w:id="64" w:name="_Ref179193964"/>
      <w:bookmarkEnd w:id="63"/>
      <w:r w:rsidRPr="00B35753">
        <w:rPr>
          <w:rFonts w:cs="Times New Roman"/>
          <w:szCs w:val="24"/>
          <w:lang w:eastAsia="ja-JP"/>
        </w:rPr>
        <w:t xml:space="preserve">Nakamura K, Shibata T. Regulatory changes after the enforcement of the new Clinical Trials Act in Japan. </w:t>
      </w:r>
      <w:proofErr w:type="spellStart"/>
      <w:r w:rsidRPr="00B35753">
        <w:rPr>
          <w:rFonts w:cs="Times New Roman"/>
          <w:szCs w:val="24"/>
          <w:lang w:eastAsia="ja-JP"/>
        </w:rPr>
        <w:t>Jpn</w:t>
      </w:r>
      <w:proofErr w:type="spellEnd"/>
      <w:r w:rsidRPr="00B35753">
        <w:rPr>
          <w:rFonts w:cs="Times New Roman"/>
          <w:szCs w:val="24"/>
          <w:lang w:eastAsia="ja-JP"/>
        </w:rPr>
        <w:t xml:space="preserve"> J Clin Oncol</w:t>
      </w:r>
      <w:r w:rsidR="00E2734A">
        <w:rPr>
          <w:rFonts w:cs="Times New Roman"/>
          <w:szCs w:val="24"/>
          <w:lang w:eastAsia="ja-JP"/>
        </w:rPr>
        <w:t>.</w:t>
      </w:r>
      <w:r w:rsidRPr="00B35753">
        <w:rPr>
          <w:rFonts w:cs="Times New Roman"/>
          <w:szCs w:val="24"/>
          <w:lang w:eastAsia="ja-JP"/>
        </w:rPr>
        <w:t xml:space="preserve"> </w:t>
      </w:r>
      <w:r w:rsidR="00E2734A">
        <w:rPr>
          <w:rFonts w:cs="Times New Roman"/>
          <w:szCs w:val="24"/>
          <w:lang w:eastAsia="ja-JP"/>
        </w:rPr>
        <w:t>(</w:t>
      </w:r>
      <w:r w:rsidRPr="00B35753">
        <w:rPr>
          <w:rFonts w:cs="Times New Roman"/>
          <w:szCs w:val="24"/>
          <w:lang w:eastAsia="ja-JP"/>
        </w:rPr>
        <w:t>2020</w:t>
      </w:r>
      <w:r w:rsidR="00E2734A">
        <w:rPr>
          <w:rFonts w:cs="Times New Roman"/>
          <w:szCs w:val="24"/>
          <w:lang w:eastAsia="ja-JP"/>
        </w:rPr>
        <w:t xml:space="preserve">) </w:t>
      </w:r>
      <w:r w:rsidRPr="00B35753">
        <w:rPr>
          <w:rFonts w:cs="Times New Roman"/>
          <w:szCs w:val="24"/>
          <w:lang w:eastAsia="ja-JP"/>
        </w:rPr>
        <w:t xml:space="preserve">50(4):399-404. </w:t>
      </w:r>
      <w:hyperlink r:id="rId27" w:history="1">
        <w:proofErr w:type="spellStart"/>
        <w:r w:rsidRPr="00B35753">
          <w:rPr>
            <w:rStyle w:val="Hyperlink"/>
            <w:rFonts w:cs="Times New Roman"/>
            <w:color w:val="000000" w:themeColor="text1"/>
            <w:szCs w:val="24"/>
            <w:u w:val="none"/>
            <w:lang w:eastAsia="ja-JP"/>
          </w:rPr>
          <w:t>doi</w:t>
        </w:r>
        <w:proofErr w:type="spellEnd"/>
        <w:r w:rsidRPr="00B35753">
          <w:rPr>
            <w:rStyle w:val="Hyperlink"/>
            <w:rFonts w:cs="Times New Roman"/>
            <w:color w:val="000000" w:themeColor="text1"/>
            <w:szCs w:val="24"/>
            <w:u w:val="none"/>
            <w:lang w:eastAsia="ja-JP"/>
          </w:rPr>
          <w:t>. 10.1093/</w:t>
        </w:r>
        <w:proofErr w:type="spellStart"/>
        <w:r w:rsidRPr="00B35753">
          <w:rPr>
            <w:rStyle w:val="Hyperlink"/>
            <w:rFonts w:cs="Times New Roman"/>
            <w:color w:val="000000" w:themeColor="text1"/>
            <w:szCs w:val="24"/>
            <w:u w:val="none"/>
            <w:lang w:eastAsia="ja-JP"/>
          </w:rPr>
          <w:t>jjco</w:t>
        </w:r>
        <w:proofErr w:type="spellEnd"/>
        <w:r w:rsidRPr="00B35753">
          <w:rPr>
            <w:rStyle w:val="Hyperlink"/>
            <w:rFonts w:cs="Times New Roman"/>
            <w:color w:val="000000" w:themeColor="text1"/>
            <w:szCs w:val="24"/>
            <w:u w:val="none"/>
            <w:lang w:eastAsia="ja-JP"/>
          </w:rPr>
          <w:t>/hyaa028</w:t>
        </w:r>
      </w:hyperlink>
      <w:bookmarkEnd w:id="64"/>
    </w:p>
    <w:p w14:paraId="71D025CB" w14:textId="7659BA4F" w:rsidR="005D1745" w:rsidRPr="006B416D" w:rsidRDefault="005D1745" w:rsidP="00DA48E2">
      <w:pPr>
        <w:pStyle w:val="BodyText1"/>
        <w:numPr>
          <w:ilvl w:val="0"/>
          <w:numId w:val="53"/>
        </w:numPr>
        <w:ind w:left="284" w:hanging="142"/>
        <w:rPr>
          <w:rStyle w:val="Hyperlink"/>
          <w:rFonts w:eastAsiaTheme="minorEastAsia"/>
          <w:color w:val="auto"/>
          <w:u w:val="none"/>
          <w:lang w:eastAsia="ja-JP"/>
        </w:rPr>
      </w:pPr>
      <w:bookmarkStart w:id="65" w:name="twentyfive"/>
      <w:bookmarkStart w:id="66" w:name="_Ref179193981"/>
      <w:bookmarkEnd w:id="65"/>
      <w:r w:rsidRPr="00B35753">
        <w:rPr>
          <w:rStyle w:val="Hyperlink"/>
          <w:rFonts w:eastAsiaTheme="minorEastAsia" w:cs="Times New Roman"/>
          <w:color w:val="auto"/>
          <w:szCs w:val="24"/>
          <w:u w:val="none"/>
          <w:lang w:eastAsia="ja-JP"/>
        </w:rPr>
        <w:t xml:space="preserve">Nakada H, </w:t>
      </w:r>
      <w:proofErr w:type="spellStart"/>
      <w:r w:rsidRPr="00B35753">
        <w:rPr>
          <w:rStyle w:val="Hyperlink"/>
          <w:rFonts w:eastAsiaTheme="minorEastAsia" w:cs="Times New Roman"/>
          <w:color w:val="auto"/>
          <w:szCs w:val="24"/>
          <w:u w:val="none"/>
          <w:lang w:eastAsia="ja-JP"/>
        </w:rPr>
        <w:t>Hasthorpe</w:t>
      </w:r>
      <w:proofErr w:type="spellEnd"/>
      <w:r w:rsidRPr="00B35753">
        <w:rPr>
          <w:rStyle w:val="Hyperlink"/>
          <w:rFonts w:eastAsiaTheme="minorEastAsia" w:cs="Times New Roman"/>
          <w:color w:val="auto"/>
          <w:szCs w:val="24"/>
          <w:u w:val="none"/>
          <w:lang w:eastAsia="ja-JP"/>
        </w:rPr>
        <w:t xml:space="preserve"> S, </w:t>
      </w:r>
      <w:proofErr w:type="spellStart"/>
      <w:r w:rsidRPr="00B35753">
        <w:rPr>
          <w:rStyle w:val="Hyperlink"/>
          <w:rFonts w:eastAsiaTheme="minorEastAsia" w:cs="Times New Roman"/>
          <w:color w:val="auto"/>
          <w:szCs w:val="24"/>
          <w:u w:val="none"/>
          <w:lang w:eastAsia="ja-JP"/>
        </w:rPr>
        <w:t>IJsselmuiden</w:t>
      </w:r>
      <w:proofErr w:type="spellEnd"/>
      <w:r w:rsidRPr="00B35753">
        <w:rPr>
          <w:rStyle w:val="Hyperlink"/>
          <w:rFonts w:eastAsiaTheme="minorEastAsia" w:cs="Times New Roman"/>
          <w:color w:val="auto"/>
          <w:szCs w:val="24"/>
          <w:u w:val="none"/>
          <w:lang w:eastAsia="ja-JP"/>
        </w:rPr>
        <w:t xml:space="preserve"> C, </w:t>
      </w:r>
      <w:proofErr w:type="spellStart"/>
      <w:r w:rsidRPr="00B35753">
        <w:rPr>
          <w:rStyle w:val="Hyperlink"/>
          <w:rFonts w:eastAsiaTheme="minorEastAsia" w:cs="Times New Roman"/>
          <w:color w:val="auto"/>
          <w:szCs w:val="24"/>
          <w:u w:val="none"/>
          <w:lang w:eastAsia="ja-JP"/>
        </w:rPr>
        <w:t>Kombe</w:t>
      </w:r>
      <w:proofErr w:type="spellEnd"/>
      <w:r w:rsidRPr="00B35753">
        <w:rPr>
          <w:rStyle w:val="Hyperlink"/>
          <w:rFonts w:eastAsiaTheme="minorEastAsia" w:cs="Times New Roman"/>
          <w:color w:val="auto"/>
          <w:szCs w:val="24"/>
          <w:u w:val="none"/>
          <w:lang w:eastAsia="ja-JP"/>
        </w:rPr>
        <w:t xml:space="preserve"> F, Ba M, </w:t>
      </w:r>
      <w:proofErr w:type="spellStart"/>
      <w:r w:rsidRPr="00B35753">
        <w:rPr>
          <w:rStyle w:val="Hyperlink"/>
          <w:rFonts w:eastAsiaTheme="minorEastAsia" w:cs="Times New Roman"/>
          <w:color w:val="auto"/>
          <w:szCs w:val="24"/>
          <w:u w:val="none"/>
          <w:lang w:eastAsia="ja-JP"/>
        </w:rPr>
        <w:t>Matei</w:t>
      </w:r>
      <w:proofErr w:type="spellEnd"/>
      <w:r w:rsidRPr="00B35753">
        <w:rPr>
          <w:rStyle w:val="Hyperlink"/>
          <w:rFonts w:eastAsiaTheme="minorEastAsia" w:cs="Times New Roman"/>
          <w:color w:val="auto"/>
          <w:szCs w:val="24"/>
          <w:u w:val="none"/>
          <w:lang w:eastAsia="ja-JP"/>
        </w:rPr>
        <w:t xml:space="preserve"> M, Nakamura K, </w:t>
      </w:r>
      <w:proofErr w:type="spellStart"/>
      <w:r w:rsidRPr="00B35753">
        <w:rPr>
          <w:rStyle w:val="Hyperlink"/>
          <w:rFonts w:eastAsiaTheme="minorEastAsia" w:cs="Times New Roman"/>
          <w:color w:val="auto"/>
          <w:szCs w:val="24"/>
          <w:u w:val="none"/>
          <w:lang w:eastAsia="ja-JP"/>
        </w:rPr>
        <w:t>Ushirozawa</w:t>
      </w:r>
      <w:proofErr w:type="spellEnd"/>
      <w:r w:rsidRPr="00B35753">
        <w:rPr>
          <w:rStyle w:val="Hyperlink"/>
          <w:rFonts w:eastAsiaTheme="minorEastAsia" w:cs="Times New Roman"/>
          <w:color w:val="auto"/>
          <w:szCs w:val="24"/>
          <w:u w:val="none"/>
          <w:lang w:eastAsia="ja-JP"/>
        </w:rPr>
        <w:t xml:space="preserve"> N, Fujiwara Y, Tashiro S. Developing World </w:t>
      </w:r>
      <w:proofErr w:type="spellStart"/>
      <w:r w:rsidRPr="00B35753">
        <w:rPr>
          <w:rStyle w:val="Hyperlink"/>
          <w:rFonts w:eastAsiaTheme="minorEastAsia" w:cs="Times New Roman"/>
          <w:color w:val="auto"/>
          <w:szCs w:val="24"/>
          <w:u w:val="none"/>
          <w:lang w:eastAsia="ja-JP"/>
        </w:rPr>
        <w:t>Bioeth</w:t>
      </w:r>
      <w:proofErr w:type="spellEnd"/>
      <w:r w:rsidRPr="00B35753">
        <w:rPr>
          <w:rStyle w:val="Hyperlink"/>
          <w:rFonts w:eastAsiaTheme="minorEastAsia" w:cs="Times New Roman"/>
          <w:color w:val="auto"/>
          <w:szCs w:val="24"/>
          <w:u w:val="none"/>
          <w:lang w:eastAsia="ja-JP"/>
        </w:rPr>
        <w:t xml:space="preserve">., </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2019</w:t>
      </w:r>
      <w:r w:rsidR="00E2734A">
        <w:rPr>
          <w:rStyle w:val="Hyperlink"/>
          <w:rFonts w:eastAsiaTheme="minorEastAsia" w:cs="Times New Roman"/>
          <w:color w:val="auto"/>
          <w:szCs w:val="24"/>
          <w:u w:val="none"/>
          <w:lang w:eastAsia="ja-JP"/>
        </w:rPr>
        <w:t xml:space="preserve">) </w:t>
      </w:r>
      <w:r w:rsidRPr="00B35753">
        <w:rPr>
          <w:rStyle w:val="Hyperlink"/>
          <w:rFonts w:eastAsiaTheme="minorEastAsia" w:cs="Times New Roman"/>
          <w:color w:val="auto"/>
          <w:szCs w:val="24"/>
          <w:u w:val="none"/>
          <w:lang w:eastAsia="ja-JP"/>
        </w:rPr>
        <w:t xml:space="preserve">19:192-195. </w:t>
      </w:r>
      <w:proofErr w:type="spellStart"/>
      <w:r w:rsidRPr="00B35753">
        <w:rPr>
          <w:rStyle w:val="Hyperlink"/>
          <w:rFonts w:eastAsiaTheme="minorEastAsia" w:cs="Times New Roman"/>
          <w:color w:val="auto"/>
          <w:szCs w:val="24"/>
          <w:u w:val="none"/>
          <w:lang w:eastAsia="ja-JP"/>
        </w:rPr>
        <w:t>doi</w:t>
      </w:r>
      <w:proofErr w:type="spellEnd"/>
      <w:r w:rsidRPr="00B35753">
        <w:rPr>
          <w:rStyle w:val="Hyperlink"/>
          <w:rFonts w:eastAsiaTheme="minorEastAsia" w:cs="Times New Roman"/>
          <w:color w:val="auto"/>
          <w:szCs w:val="24"/>
          <w:u w:val="none"/>
          <w:lang w:eastAsia="ja-JP"/>
        </w:rPr>
        <w:t>. 10.1111/dewb.12245</w:t>
      </w:r>
      <w:bookmarkEnd w:id="66"/>
    </w:p>
    <w:p w14:paraId="3E0EC5BE" w14:textId="2C5BB9F9" w:rsidR="006B416D" w:rsidRDefault="006B416D" w:rsidP="006B416D">
      <w:pPr>
        <w:pStyle w:val="BodyText1"/>
        <w:numPr>
          <w:ilvl w:val="0"/>
          <w:numId w:val="53"/>
        </w:numPr>
        <w:ind w:left="284" w:hanging="142"/>
      </w:pPr>
      <w:bookmarkStart w:id="67" w:name="_Ref183510582"/>
      <w:r w:rsidRPr="006B416D">
        <w:rPr>
          <w:rStyle w:val="Hyperlink"/>
          <w:rFonts w:eastAsiaTheme="minorEastAsia"/>
          <w:color w:val="auto"/>
          <w:u w:val="none"/>
          <w:lang w:eastAsia="ja-JP"/>
        </w:rPr>
        <w:t>National Health and Medical Research Council. National statement on ethical conduct in human research 2007 (updated 2018). Canberra: National Health and Medical Research Council</w:t>
      </w:r>
      <w:r>
        <w:rPr>
          <w:rStyle w:val="Hyperlink"/>
          <w:rFonts w:eastAsiaTheme="minorEastAsia"/>
          <w:color w:val="auto"/>
          <w:u w:val="none"/>
          <w:lang w:eastAsia="ja-JP"/>
        </w:rPr>
        <w:t xml:space="preserve"> (</w:t>
      </w:r>
      <w:r w:rsidRPr="006B416D">
        <w:rPr>
          <w:rStyle w:val="Hyperlink"/>
          <w:rFonts w:eastAsiaTheme="minorEastAsia"/>
          <w:color w:val="auto"/>
          <w:u w:val="none"/>
          <w:lang w:eastAsia="ja-JP"/>
        </w:rPr>
        <w:t>2018</w:t>
      </w:r>
      <w:r>
        <w:rPr>
          <w:rStyle w:val="Hyperlink"/>
          <w:rFonts w:eastAsiaTheme="minorEastAsia"/>
          <w:color w:val="auto"/>
          <w:u w:val="none"/>
          <w:lang w:eastAsia="ja-JP"/>
        </w:rPr>
        <w:t>)</w:t>
      </w:r>
      <w:r w:rsidRPr="006B416D">
        <w:rPr>
          <w:rStyle w:val="Hyperlink"/>
          <w:rFonts w:eastAsiaTheme="minorEastAsia"/>
          <w:color w:val="auto"/>
          <w:u w:val="none"/>
          <w:lang w:eastAsia="ja-JP"/>
        </w:rPr>
        <w:t xml:space="preserve">. </w:t>
      </w:r>
      <w:hyperlink r:id="rId28" w:history="1">
        <w:r w:rsidRPr="006B416D">
          <w:rPr>
            <w:rStyle w:val="Hyperlink"/>
            <w:rFonts w:eastAsiaTheme="minorEastAsia"/>
            <w:color w:val="auto"/>
            <w:u w:val="none"/>
            <w:lang w:eastAsia="ja-JP"/>
          </w:rPr>
          <w:t>https://www.nhmrc.gov.au/about-us/publications/national-statement-ethical-conduct-human-research-2007-updated-2018</w:t>
        </w:r>
      </w:hyperlink>
      <w:r>
        <w:rPr>
          <w:rStyle w:val="Hyperlink"/>
          <w:rFonts w:eastAsiaTheme="minorEastAsia"/>
          <w:color w:val="auto"/>
          <w:u w:val="none"/>
          <w:lang w:eastAsia="ja-JP"/>
        </w:rPr>
        <w:t xml:space="preserve"> </w:t>
      </w:r>
      <w:r w:rsidRPr="006B416D">
        <w:rPr>
          <w:rStyle w:val="Hyperlink"/>
          <w:rFonts w:eastAsiaTheme="minorEastAsia"/>
          <w:color w:val="auto"/>
          <w:u w:val="none"/>
          <w:lang w:eastAsia="ja-JP"/>
        </w:rPr>
        <w:t>[Accessed</w:t>
      </w:r>
      <w:r>
        <w:t xml:space="preserve"> November, 2024]</w:t>
      </w:r>
      <w:bookmarkEnd w:id="67"/>
    </w:p>
    <w:p w14:paraId="1DA7D6A2" w14:textId="1D079AB4" w:rsidR="00C82D1E" w:rsidRPr="006B416D" w:rsidRDefault="00C82D1E" w:rsidP="006B416D">
      <w:pPr>
        <w:pStyle w:val="BodyText1"/>
        <w:numPr>
          <w:ilvl w:val="0"/>
          <w:numId w:val="53"/>
        </w:numPr>
        <w:ind w:left="284" w:hanging="142"/>
        <w:rPr>
          <w:rStyle w:val="Hyperlink"/>
          <w:color w:val="auto"/>
          <w:u w:val="none"/>
        </w:rPr>
      </w:pPr>
      <w:bookmarkStart w:id="68" w:name="_Ref183510729"/>
      <w:r>
        <w:t xml:space="preserve">Australian Commission on Safety and Quality in Health Care. National one-stop shop: National platform for health-related human research. Sydney: Australian Commission on Safety and Quality in Health Care (2023). </w:t>
      </w:r>
      <w:hyperlink r:id="rId29" w:tgtFrame="_new" w:history="1">
        <w:r w:rsidRPr="00C82D1E">
          <w:t>https://www.safetyandquality.gov.au/our-work/health-and-human-research/national-one-stop-shop-national-platform-health-related-human-research</w:t>
        </w:r>
      </w:hyperlink>
      <w:r>
        <w:t xml:space="preserve"> </w:t>
      </w:r>
      <w:r w:rsidRPr="00C82D1E">
        <w:t>[Accessed</w:t>
      </w:r>
      <w:r>
        <w:t xml:space="preserve"> November, 2024]</w:t>
      </w:r>
      <w:bookmarkEnd w:id="68"/>
    </w:p>
    <w:p w14:paraId="748C6523" w14:textId="6B4D6BE5" w:rsidR="00616403" w:rsidRPr="00833ADC" w:rsidRDefault="00616403" w:rsidP="00DA48E2">
      <w:pPr>
        <w:pStyle w:val="BodyText1"/>
        <w:numPr>
          <w:ilvl w:val="0"/>
          <w:numId w:val="53"/>
        </w:numPr>
        <w:ind w:left="284" w:hanging="142"/>
        <w:rPr>
          <w:rStyle w:val="Hyperlink"/>
          <w:rFonts w:eastAsiaTheme="minorEastAsia"/>
          <w:color w:val="auto"/>
          <w:u w:val="none"/>
          <w:lang w:eastAsia="ja-JP"/>
        </w:rPr>
      </w:pPr>
      <w:bookmarkStart w:id="69" w:name="twentysix"/>
      <w:bookmarkStart w:id="70" w:name="_Ref179194046"/>
      <w:bookmarkEnd w:id="69"/>
      <w:proofErr w:type="spellStart"/>
      <w:r w:rsidRPr="00B35753">
        <w:rPr>
          <w:rStyle w:val="Hyperlink"/>
          <w:rFonts w:eastAsiaTheme="minorEastAsia" w:cs="Times New Roman"/>
          <w:color w:val="auto"/>
          <w:szCs w:val="24"/>
          <w:u w:val="none"/>
          <w:lang w:eastAsia="ja-JP"/>
        </w:rPr>
        <w:t>Lepola</w:t>
      </w:r>
      <w:proofErr w:type="spellEnd"/>
      <w:r w:rsidRPr="00B35753">
        <w:rPr>
          <w:rStyle w:val="Hyperlink"/>
          <w:rFonts w:eastAsiaTheme="minorEastAsia" w:cs="Times New Roman"/>
          <w:color w:val="auto"/>
          <w:szCs w:val="24"/>
          <w:u w:val="none"/>
          <w:lang w:eastAsia="ja-JP"/>
        </w:rPr>
        <w:t xml:space="preserve"> P, Needham A, </w:t>
      </w:r>
      <w:proofErr w:type="spellStart"/>
      <w:r w:rsidRPr="00B35753">
        <w:rPr>
          <w:rStyle w:val="Hyperlink"/>
          <w:rFonts w:eastAsiaTheme="minorEastAsia" w:cs="Times New Roman"/>
          <w:color w:val="auto"/>
          <w:szCs w:val="24"/>
          <w:u w:val="none"/>
          <w:lang w:eastAsia="ja-JP"/>
        </w:rPr>
        <w:t>Mendum</w:t>
      </w:r>
      <w:proofErr w:type="spellEnd"/>
      <w:r w:rsidRPr="00B35753">
        <w:rPr>
          <w:rStyle w:val="Hyperlink"/>
          <w:rFonts w:eastAsiaTheme="minorEastAsia" w:cs="Times New Roman"/>
          <w:color w:val="auto"/>
          <w:szCs w:val="24"/>
          <w:u w:val="none"/>
          <w:lang w:eastAsia="ja-JP"/>
        </w:rPr>
        <w:t xml:space="preserve"> J, </w:t>
      </w:r>
      <w:proofErr w:type="spellStart"/>
      <w:r w:rsidRPr="00B35753">
        <w:rPr>
          <w:rStyle w:val="Hyperlink"/>
          <w:rFonts w:eastAsiaTheme="minorEastAsia" w:cs="Times New Roman"/>
          <w:color w:val="auto"/>
          <w:szCs w:val="24"/>
          <w:u w:val="none"/>
          <w:lang w:eastAsia="ja-JP"/>
        </w:rPr>
        <w:t>Sallabank</w:t>
      </w:r>
      <w:proofErr w:type="spellEnd"/>
      <w:r w:rsidRPr="00B35753">
        <w:rPr>
          <w:rStyle w:val="Hyperlink"/>
          <w:rFonts w:eastAsiaTheme="minorEastAsia" w:cs="Times New Roman"/>
          <w:color w:val="auto"/>
          <w:szCs w:val="24"/>
          <w:u w:val="none"/>
          <w:lang w:eastAsia="ja-JP"/>
        </w:rPr>
        <w:t xml:space="preserve"> P, Neubauer D, de </w:t>
      </w:r>
      <w:proofErr w:type="spellStart"/>
      <w:r w:rsidRPr="00B35753">
        <w:rPr>
          <w:rStyle w:val="Hyperlink"/>
          <w:rFonts w:eastAsiaTheme="minorEastAsia" w:cs="Times New Roman"/>
          <w:color w:val="auto"/>
          <w:szCs w:val="24"/>
          <w:u w:val="none"/>
          <w:lang w:eastAsia="ja-JP"/>
        </w:rPr>
        <w:t>Wildt</w:t>
      </w:r>
      <w:proofErr w:type="spellEnd"/>
      <w:r w:rsidRPr="00B35753">
        <w:rPr>
          <w:rStyle w:val="Hyperlink"/>
          <w:rFonts w:eastAsiaTheme="minorEastAsia" w:cs="Times New Roman"/>
          <w:color w:val="auto"/>
          <w:szCs w:val="24"/>
          <w:u w:val="none"/>
          <w:lang w:eastAsia="ja-JP"/>
        </w:rPr>
        <w:t xml:space="preserve"> S. Informed consent for </w:t>
      </w:r>
      <w:proofErr w:type="spellStart"/>
      <w:r w:rsidRPr="00B35753">
        <w:rPr>
          <w:rStyle w:val="Hyperlink"/>
          <w:rFonts w:eastAsiaTheme="minorEastAsia" w:cs="Times New Roman"/>
          <w:color w:val="auto"/>
          <w:szCs w:val="24"/>
          <w:u w:val="none"/>
          <w:lang w:eastAsia="ja-JP"/>
        </w:rPr>
        <w:t>paediatric</w:t>
      </w:r>
      <w:proofErr w:type="spellEnd"/>
      <w:r w:rsidRPr="00B35753">
        <w:rPr>
          <w:rStyle w:val="Hyperlink"/>
          <w:rFonts w:eastAsiaTheme="minorEastAsia" w:cs="Times New Roman"/>
          <w:color w:val="auto"/>
          <w:szCs w:val="24"/>
          <w:u w:val="none"/>
          <w:lang w:eastAsia="ja-JP"/>
        </w:rPr>
        <w:t xml:space="preserve"> clinical trials in Europe. Arch Dis Child</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 xml:space="preserve"> </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2016</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 xml:space="preserve"> 101</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1017-</w:t>
      </w:r>
      <w:r w:rsidR="00E2734A">
        <w:rPr>
          <w:rStyle w:val="Hyperlink"/>
          <w:rFonts w:eastAsiaTheme="minorEastAsia" w:cs="Times New Roman"/>
          <w:color w:val="auto"/>
          <w:szCs w:val="24"/>
          <w:u w:val="none"/>
          <w:lang w:eastAsia="ja-JP"/>
        </w:rPr>
        <w:t>10</w:t>
      </w:r>
      <w:r w:rsidRPr="00B35753">
        <w:rPr>
          <w:rStyle w:val="Hyperlink"/>
          <w:rFonts w:eastAsiaTheme="minorEastAsia" w:cs="Times New Roman"/>
          <w:color w:val="auto"/>
          <w:szCs w:val="24"/>
          <w:u w:val="none"/>
          <w:lang w:eastAsia="ja-JP"/>
        </w:rPr>
        <w:t>25</w:t>
      </w:r>
      <w:r w:rsidR="00E2734A">
        <w:rPr>
          <w:rStyle w:val="Hyperlink"/>
          <w:rFonts w:eastAsiaTheme="minorEastAsia" w:cs="Times New Roman"/>
          <w:color w:val="auto"/>
          <w:szCs w:val="24"/>
          <w:u w:val="none"/>
          <w:lang w:eastAsia="ja-JP"/>
        </w:rPr>
        <w:t>.</w:t>
      </w:r>
      <w:bookmarkEnd w:id="70"/>
    </w:p>
    <w:p w14:paraId="4B371237" w14:textId="3F78E8F5" w:rsidR="00833ADC" w:rsidRPr="00833ADC" w:rsidRDefault="00833ADC" w:rsidP="00DA48E2">
      <w:pPr>
        <w:pStyle w:val="BodyText1"/>
        <w:numPr>
          <w:ilvl w:val="0"/>
          <w:numId w:val="53"/>
        </w:numPr>
        <w:ind w:left="284" w:hanging="142"/>
        <w:rPr>
          <w:rStyle w:val="Hyperlink"/>
          <w:rFonts w:eastAsiaTheme="minorEastAsia" w:cs="Times New Roman"/>
          <w:color w:val="auto"/>
          <w:szCs w:val="24"/>
          <w:u w:val="none"/>
          <w:lang w:eastAsia="ja-JP"/>
        </w:rPr>
      </w:pPr>
      <w:bookmarkStart w:id="71" w:name="_Ref184110549"/>
      <w:proofErr w:type="spellStart"/>
      <w:r w:rsidRPr="00833ADC">
        <w:rPr>
          <w:rStyle w:val="Hyperlink"/>
          <w:rFonts w:eastAsiaTheme="minorEastAsia" w:cs="Times New Roman"/>
          <w:color w:val="auto"/>
          <w:szCs w:val="24"/>
          <w:u w:val="none"/>
          <w:lang w:eastAsia="ja-JP"/>
        </w:rPr>
        <w:t>Lepola</w:t>
      </w:r>
      <w:proofErr w:type="spellEnd"/>
      <w:r w:rsidRPr="00833ADC">
        <w:rPr>
          <w:rStyle w:val="Hyperlink"/>
          <w:rFonts w:eastAsiaTheme="minorEastAsia" w:cs="Times New Roman"/>
          <w:color w:val="auto"/>
          <w:szCs w:val="24"/>
          <w:u w:val="none"/>
          <w:lang w:eastAsia="ja-JP"/>
        </w:rPr>
        <w:t xml:space="preserve"> P., Kindred M., </w:t>
      </w:r>
      <w:proofErr w:type="spellStart"/>
      <w:r w:rsidRPr="00833ADC">
        <w:rPr>
          <w:rStyle w:val="Hyperlink"/>
          <w:rFonts w:eastAsiaTheme="minorEastAsia" w:cs="Times New Roman"/>
          <w:color w:val="auto"/>
          <w:szCs w:val="24"/>
          <w:u w:val="none"/>
          <w:lang w:eastAsia="ja-JP"/>
        </w:rPr>
        <w:t>Giannuzzi</w:t>
      </w:r>
      <w:proofErr w:type="spellEnd"/>
      <w:r w:rsidRPr="00833ADC">
        <w:rPr>
          <w:rStyle w:val="Hyperlink"/>
          <w:rFonts w:eastAsiaTheme="minorEastAsia" w:cs="Times New Roman"/>
          <w:color w:val="auto"/>
          <w:szCs w:val="24"/>
          <w:u w:val="none"/>
          <w:lang w:eastAsia="ja-JP"/>
        </w:rPr>
        <w:t xml:space="preserve"> V., </w:t>
      </w:r>
      <w:proofErr w:type="spellStart"/>
      <w:r w:rsidRPr="00833ADC">
        <w:rPr>
          <w:rStyle w:val="Hyperlink"/>
          <w:rFonts w:eastAsiaTheme="minorEastAsia" w:cs="Times New Roman"/>
          <w:color w:val="auto"/>
          <w:szCs w:val="24"/>
          <w:u w:val="none"/>
          <w:lang w:eastAsia="ja-JP"/>
        </w:rPr>
        <w:t>Glosli</w:t>
      </w:r>
      <w:proofErr w:type="spellEnd"/>
      <w:r w:rsidRPr="00833ADC">
        <w:rPr>
          <w:rStyle w:val="Hyperlink"/>
          <w:rFonts w:eastAsiaTheme="minorEastAsia" w:cs="Times New Roman"/>
          <w:color w:val="auto"/>
          <w:szCs w:val="24"/>
          <w:u w:val="none"/>
          <w:lang w:eastAsia="ja-JP"/>
        </w:rPr>
        <w:t xml:space="preserve"> H., </w:t>
      </w:r>
      <w:proofErr w:type="spellStart"/>
      <w:r w:rsidRPr="00833ADC">
        <w:rPr>
          <w:rStyle w:val="Hyperlink"/>
          <w:rFonts w:eastAsiaTheme="minorEastAsia" w:cs="Times New Roman"/>
          <w:color w:val="auto"/>
          <w:szCs w:val="24"/>
          <w:u w:val="none"/>
          <w:lang w:eastAsia="ja-JP"/>
        </w:rPr>
        <w:t>Dehlinger</w:t>
      </w:r>
      <w:proofErr w:type="spellEnd"/>
      <w:r w:rsidRPr="00833ADC">
        <w:rPr>
          <w:rStyle w:val="Hyperlink"/>
          <w:rFonts w:eastAsiaTheme="minorEastAsia" w:cs="Times New Roman"/>
          <w:color w:val="auto"/>
          <w:szCs w:val="24"/>
          <w:u w:val="none"/>
          <w:lang w:eastAsia="ja-JP"/>
        </w:rPr>
        <w:t xml:space="preserve">-Kremer M., Dalrymple H., Neubauer D., Boylan G., Conway J., Dewhurst J., Hoffman D. Informed Consent and Assent Guide for </w:t>
      </w:r>
      <w:proofErr w:type="spellStart"/>
      <w:r w:rsidRPr="00833ADC">
        <w:rPr>
          <w:rStyle w:val="Hyperlink"/>
          <w:rFonts w:eastAsiaTheme="minorEastAsia" w:cs="Times New Roman"/>
          <w:color w:val="auto"/>
          <w:szCs w:val="24"/>
          <w:u w:val="none"/>
          <w:lang w:eastAsia="ja-JP"/>
        </w:rPr>
        <w:t>Paediatric</w:t>
      </w:r>
      <w:proofErr w:type="spellEnd"/>
      <w:r w:rsidRPr="00833ADC">
        <w:rPr>
          <w:rStyle w:val="Hyperlink"/>
          <w:rFonts w:eastAsiaTheme="minorEastAsia" w:cs="Times New Roman"/>
          <w:color w:val="auto"/>
          <w:szCs w:val="24"/>
          <w:u w:val="none"/>
          <w:lang w:eastAsia="ja-JP"/>
        </w:rPr>
        <w:t xml:space="preserve"> Clinical Trials in Europe. Arch Dis Child. December 01, 2021. </w:t>
      </w:r>
      <w:proofErr w:type="spellStart"/>
      <w:r w:rsidRPr="00833ADC">
        <w:rPr>
          <w:rStyle w:val="Hyperlink"/>
          <w:rFonts w:eastAsiaTheme="minorEastAsia" w:cs="Times New Roman"/>
          <w:color w:val="auto"/>
          <w:szCs w:val="24"/>
          <w:u w:val="none"/>
          <w:lang w:eastAsia="ja-JP"/>
        </w:rPr>
        <w:t>doi</w:t>
      </w:r>
      <w:proofErr w:type="spellEnd"/>
      <w:r w:rsidRPr="00833ADC">
        <w:rPr>
          <w:rStyle w:val="Hyperlink"/>
          <w:rFonts w:eastAsiaTheme="minorEastAsia" w:cs="Times New Roman"/>
          <w:color w:val="auto"/>
          <w:szCs w:val="24"/>
          <w:u w:val="none"/>
          <w:lang w:eastAsia="ja-JP"/>
        </w:rPr>
        <w:t>: 10.1136/archdischild-2021-322798</w:t>
      </w:r>
      <w:bookmarkEnd w:id="71"/>
    </w:p>
    <w:p w14:paraId="68557E16" w14:textId="6AA52873" w:rsidR="00773E6D" w:rsidRPr="00451D97" w:rsidRDefault="00C1287E" w:rsidP="00451D97">
      <w:pPr>
        <w:pStyle w:val="BodyText1"/>
        <w:numPr>
          <w:ilvl w:val="0"/>
          <w:numId w:val="53"/>
        </w:numPr>
        <w:ind w:left="284" w:hanging="142"/>
        <w:rPr>
          <w:rStyle w:val="Hyperlink"/>
          <w:rFonts w:eastAsiaTheme="minorEastAsia" w:cs="Times New Roman"/>
          <w:color w:val="auto"/>
          <w:szCs w:val="24"/>
          <w:u w:val="none"/>
          <w:lang w:eastAsia="ja-JP"/>
        </w:rPr>
      </w:pPr>
      <w:bookmarkStart w:id="72" w:name="twentyseven"/>
      <w:bookmarkStart w:id="73" w:name="_Ref179194067"/>
      <w:bookmarkEnd w:id="72"/>
      <w:r w:rsidRPr="00B35753">
        <w:rPr>
          <w:rStyle w:val="Hyperlink"/>
          <w:rFonts w:eastAsiaTheme="minorEastAsia" w:cs="Times New Roman"/>
          <w:color w:val="auto"/>
          <w:szCs w:val="24"/>
          <w:u w:val="none"/>
          <w:lang w:eastAsia="ja-JP"/>
        </w:rPr>
        <w:t xml:space="preserve">Martin EG, Rasiah J, Claassen CS, </w:t>
      </w:r>
      <w:proofErr w:type="spellStart"/>
      <w:r w:rsidRPr="00B35753">
        <w:rPr>
          <w:rStyle w:val="Hyperlink"/>
          <w:rFonts w:eastAsiaTheme="minorEastAsia" w:cs="Times New Roman"/>
          <w:color w:val="auto"/>
          <w:szCs w:val="24"/>
          <w:u w:val="none"/>
          <w:lang w:eastAsia="ja-JP"/>
        </w:rPr>
        <w:t>Waywitka</w:t>
      </w:r>
      <w:proofErr w:type="spellEnd"/>
      <w:r w:rsidRPr="00B35753">
        <w:rPr>
          <w:rStyle w:val="Hyperlink"/>
          <w:rFonts w:eastAsiaTheme="minorEastAsia" w:cs="Times New Roman"/>
          <w:color w:val="auto"/>
          <w:szCs w:val="24"/>
          <w:u w:val="none"/>
          <w:lang w:eastAsia="ja-JP"/>
        </w:rPr>
        <w:t xml:space="preserve"> J, Merritt AM, </w:t>
      </w:r>
      <w:proofErr w:type="spellStart"/>
      <w:r w:rsidRPr="00B35753">
        <w:rPr>
          <w:rStyle w:val="Hyperlink"/>
          <w:rFonts w:eastAsiaTheme="minorEastAsia" w:cs="Times New Roman"/>
          <w:color w:val="auto"/>
          <w:szCs w:val="24"/>
          <w:u w:val="none"/>
          <w:lang w:eastAsia="ja-JP"/>
        </w:rPr>
        <w:t>Pringsheim</w:t>
      </w:r>
      <w:proofErr w:type="spellEnd"/>
      <w:r w:rsidRPr="00B35753">
        <w:rPr>
          <w:rStyle w:val="Hyperlink"/>
          <w:rFonts w:eastAsiaTheme="minorEastAsia" w:cs="Times New Roman"/>
          <w:color w:val="auto"/>
          <w:szCs w:val="24"/>
          <w:u w:val="none"/>
          <w:lang w:eastAsia="ja-JP"/>
        </w:rPr>
        <w:t xml:space="preserve"> TM, Shearer KA, Tsang VWL, Stevens KE, Sheehan-Klassen CE, Suddaby P, Orr SL. Engaging youth and parents in clinical pediatric research: A case-based example. Ped Child Health</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 xml:space="preserve"> </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2023</w:t>
      </w:r>
      <w:r w:rsidR="00E2734A">
        <w:rPr>
          <w:rStyle w:val="Hyperlink"/>
          <w:rFonts w:eastAsiaTheme="minorEastAsia" w:cs="Times New Roman"/>
          <w:color w:val="auto"/>
          <w:szCs w:val="24"/>
          <w:u w:val="none"/>
          <w:lang w:eastAsia="ja-JP"/>
        </w:rPr>
        <w:t>)</w:t>
      </w:r>
      <w:r w:rsidRPr="00B35753">
        <w:rPr>
          <w:rStyle w:val="Hyperlink"/>
          <w:rFonts w:eastAsiaTheme="minorEastAsia" w:cs="Times New Roman"/>
          <w:color w:val="auto"/>
          <w:szCs w:val="24"/>
          <w:u w:val="none"/>
          <w:lang w:eastAsia="ja-JP"/>
        </w:rPr>
        <w:t xml:space="preserve"> 28: 235-</w:t>
      </w:r>
      <w:r w:rsidR="00E2734A">
        <w:rPr>
          <w:rStyle w:val="Hyperlink"/>
          <w:rFonts w:eastAsiaTheme="minorEastAsia" w:cs="Times New Roman"/>
          <w:color w:val="auto"/>
          <w:szCs w:val="24"/>
          <w:u w:val="none"/>
          <w:lang w:eastAsia="ja-JP"/>
        </w:rPr>
        <w:t>2</w:t>
      </w:r>
      <w:r w:rsidRPr="00B35753">
        <w:rPr>
          <w:rStyle w:val="Hyperlink"/>
          <w:rFonts w:eastAsiaTheme="minorEastAsia" w:cs="Times New Roman"/>
          <w:color w:val="auto"/>
          <w:szCs w:val="24"/>
          <w:u w:val="none"/>
          <w:lang w:eastAsia="ja-JP"/>
        </w:rPr>
        <w:t>40</w:t>
      </w:r>
      <w:bookmarkStart w:id="74" w:name="table"/>
      <w:bookmarkEnd w:id="73"/>
      <w:bookmarkEnd w:id="74"/>
    </w:p>
    <w:tbl>
      <w:tblPr>
        <w:tblStyle w:val="TableGrid"/>
        <w:tblW w:w="10348" w:type="dxa"/>
        <w:tblInd w:w="-572" w:type="dxa"/>
        <w:tblLook w:val="04A0" w:firstRow="1" w:lastRow="0" w:firstColumn="1" w:lastColumn="0" w:noHBand="0" w:noVBand="1"/>
      </w:tblPr>
      <w:tblGrid>
        <w:gridCol w:w="857"/>
        <w:gridCol w:w="1354"/>
        <w:gridCol w:w="1354"/>
        <w:gridCol w:w="1685"/>
        <w:gridCol w:w="3542"/>
        <w:gridCol w:w="1556"/>
      </w:tblGrid>
      <w:tr w:rsidR="00773E6D" w:rsidRPr="007C2E93" w14:paraId="400D0363" w14:textId="77777777" w:rsidTr="00BA3F96">
        <w:trPr>
          <w:trHeight w:val="713"/>
        </w:trPr>
        <w:tc>
          <w:tcPr>
            <w:tcW w:w="10348" w:type="dxa"/>
            <w:gridSpan w:val="6"/>
            <w:tcBorders>
              <w:top w:val="nil"/>
              <w:left w:val="nil"/>
              <w:bottom w:val="single" w:sz="4" w:space="0" w:color="auto"/>
              <w:right w:val="nil"/>
            </w:tcBorders>
            <w:shd w:val="clear" w:color="auto" w:fill="auto"/>
          </w:tcPr>
          <w:p w14:paraId="234242E5" w14:textId="1F13FFED" w:rsidR="00773E6D" w:rsidRPr="00DA48E2" w:rsidRDefault="00773E6D" w:rsidP="00BA3F96">
            <w:pPr>
              <w:pStyle w:val="BodyText1"/>
              <w:rPr>
                <w:b/>
                <w:bCs/>
              </w:rPr>
            </w:pPr>
            <w:r w:rsidRPr="00DA48E2">
              <w:rPr>
                <w:rFonts w:cs="Times New Roman"/>
                <w:b/>
                <w:bCs/>
                <w:lang w:val="en-CA"/>
              </w:rPr>
              <w:lastRenderedPageBreak/>
              <w:t>Table 1</w:t>
            </w:r>
            <w:r w:rsidR="004F6B1D">
              <w:rPr>
                <w:rFonts w:cs="Times New Roman"/>
                <w:b/>
                <w:bCs/>
                <w:lang w:val="en-CA"/>
              </w:rPr>
              <w:t>.</w:t>
            </w:r>
            <w:r w:rsidR="00451D97">
              <w:rPr>
                <w:rFonts w:cs="Times New Roman"/>
                <w:b/>
                <w:bCs/>
                <w:lang w:val="en-CA"/>
              </w:rPr>
              <w:t xml:space="preserve"> </w:t>
            </w:r>
            <w:r w:rsidRPr="00DA48E2">
              <w:rPr>
                <w:rFonts w:cs="Times New Roman"/>
                <w:b/>
                <w:bCs/>
              </w:rPr>
              <w:t xml:space="preserve">Ethics Requirements for Participation as a Pediatric Clinical Trial Site  </w:t>
            </w:r>
          </w:p>
        </w:tc>
      </w:tr>
      <w:tr w:rsidR="000F512E" w:rsidRPr="000F512E" w14:paraId="5F45CD86" w14:textId="77777777" w:rsidTr="00451D97">
        <w:trPr>
          <w:trHeight w:val="1029"/>
        </w:trPr>
        <w:tc>
          <w:tcPr>
            <w:tcW w:w="857" w:type="dxa"/>
            <w:shd w:val="clear" w:color="auto" w:fill="D0CECE" w:themeFill="background2" w:themeFillShade="E6"/>
          </w:tcPr>
          <w:p w14:paraId="4E47CFA5" w14:textId="77777777" w:rsidR="00773E6D" w:rsidRPr="00451D97" w:rsidRDefault="00773E6D" w:rsidP="00451D97">
            <w:pPr>
              <w:pStyle w:val="BodyText1"/>
              <w:spacing w:before="0" w:after="0"/>
              <w:rPr>
                <w:rFonts w:asciiTheme="majorHAnsi" w:hAnsiTheme="majorHAnsi"/>
                <w:b/>
                <w:color w:val="FFFFFF" w:themeColor="background1"/>
                <w:sz w:val="16"/>
                <w:szCs w:val="16"/>
              </w:rPr>
            </w:pPr>
            <w:r w:rsidRPr="00451D97">
              <w:rPr>
                <w:rFonts w:asciiTheme="majorHAnsi" w:hAnsiTheme="majorHAnsi" w:cs="Times New Roman"/>
                <w:b/>
                <w:color w:val="FFFFFF" w:themeColor="background1"/>
                <w:sz w:val="16"/>
                <w:szCs w:val="16"/>
              </w:rPr>
              <w:t>Country</w:t>
            </w:r>
          </w:p>
        </w:tc>
        <w:tc>
          <w:tcPr>
            <w:tcW w:w="1354" w:type="dxa"/>
            <w:shd w:val="clear" w:color="auto" w:fill="D0CECE" w:themeFill="background2" w:themeFillShade="E6"/>
          </w:tcPr>
          <w:p w14:paraId="33F5CF40" w14:textId="77777777" w:rsidR="00773E6D" w:rsidRPr="00451D97" w:rsidRDefault="00773E6D" w:rsidP="00451D97">
            <w:pPr>
              <w:pStyle w:val="BodyText1"/>
              <w:spacing w:before="0" w:after="0"/>
              <w:rPr>
                <w:rFonts w:asciiTheme="majorHAnsi" w:hAnsiTheme="majorHAnsi"/>
                <w:b/>
                <w:color w:val="FFFFFF" w:themeColor="background1"/>
                <w:sz w:val="16"/>
                <w:szCs w:val="16"/>
              </w:rPr>
            </w:pPr>
            <w:r w:rsidRPr="00451D97">
              <w:rPr>
                <w:rFonts w:asciiTheme="majorHAnsi" w:hAnsiTheme="majorHAnsi" w:cs="Times New Roman"/>
                <w:b/>
                <w:color w:val="FFFFFF" w:themeColor="background1"/>
                <w:sz w:val="16"/>
                <w:szCs w:val="16"/>
              </w:rPr>
              <w:t>Centralized Ethics Review Process- Investigator-Initiated Clinical Trials</w:t>
            </w:r>
          </w:p>
        </w:tc>
        <w:tc>
          <w:tcPr>
            <w:tcW w:w="1354" w:type="dxa"/>
            <w:shd w:val="clear" w:color="auto" w:fill="D0CECE" w:themeFill="background2" w:themeFillShade="E6"/>
          </w:tcPr>
          <w:p w14:paraId="781C89B6" w14:textId="77777777" w:rsidR="00773E6D" w:rsidRPr="00451D97" w:rsidRDefault="00773E6D" w:rsidP="00451D97">
            <w:pPr>
              <w:pStyle w:val="BodyText1"/>
              <w:spacing w:before="0" w:after="0"/>
              <w:rPr>
                <w:rFonts w:asciiTheme="majorHAnsi" w:hAnsiTheme="majorHAnsi"/>
                <w:b/>
                <w:color w:val="FFFFFF" w:themeColor="background1"/>
                <w:sz w:val="16"/>
                <w:szCs w:val="16"/>
              </w:rPr>
            </w:pPr>
            <w:r w:rsidRPr="00451D97">
              <w:rPr>
                <w:rFonts w:asciiTheme="majorHAnsi" w:hAnsiTheme="majorHAnsi" w:cs="Times New Roman"/>
                <w:b/>
                <w:color w:val="FFFFFF" w:themeColor="background1"/>
                <w:sz w:val="16"/>
                <w:szCs w:val="16"/>
              </w:rPr>
              <w:t>Centralized Ethics Review Process- Industry-Sponsored Clinical Trials</w:t>
            </w:r>
          </w:p>
        </w:tc>
        <w:tc>
          <w:tcPr>
            <w:tcW w:w="1685" w:type="dxa"/>
            <w:shd w:val="clear" w:color="auto" w:fill="D0CECE" w:themeFill="background2" w:themeFillShade="E6"/>
          </w:tcPr>
          <w:p w14:paraId="79DC058C" w14:textId="77777777" w:rsidR="00773E6D" w:rsidRPr="00451D97" w:rsidRDefault="00773E6D" w:rsidP="00451D97">
            <w:pPr>
              <w:pStyle w:val="BodyText1"/>
              <w:spacing w:before="0" w:after="0"/>
              <w:rPr>
                <w:rFonts w:asciiTheme="majorHAnsi" w:hAnsiTheme="majorHAnsi"/>
                <w:b/>
                <w:color w:val="FFFFFF" w:themeColor="background1"/>
                <w:sz w:val="16"/>
                <w:szCs w:val="16"/>
              </w:rPr>
            </w:pPr>
            <w:r w:rsidRPr="00451D97">
              <w:rPr>
                <w:rFonts w:asciiTheme="majorHAnsi" w:hAnsiTheme="majorHAnsi" w:cs="Times New Roman"/>
                <w:b/>
                <w:color w:val="FFFFFF" w:themeColor="background1"/>
                <w:sz w:val="16"/>
                <w:szCs w:val="16"/>
              </w:rPr>
              <w:t>Ethics Harmonization Process</w:t>
            </w:r>
          </w:p>
        </w:tc>
        <w:tc>
          <w:tcPr>
            <w:tcW w:w="3542" w:type="dxa"/>
            <w:shd w:val="clear" w:color="auto" w:fill="D0CECE" w:themeFill="background2" w:themeFillShade="E6"/>
          </w:tcPr>
          <w:p w14:paraId="08CDC493" w14:textId="77777777" w:rsidR="00773E6D" w:rsidRPr="00451D97" w:rsidRDefault="00773E6D" w:rsidP="00451D97">
            <w:pPr>
              <w:pStyle w:val="BodyText1"/>
              <w:spacing w:before="0" w:after="0"/>
              <w:rPr>
                <w:rFonts w:asciiTheme="majorHAnsi" w:hAnsiTheme="majorHAnsi"/>
                <w:b/>
                <w:color w:val="FFFFFF" w:themeColor="background1"/>
                <w:sz w:val="16"/>
                <w:szCs w:val="16"/>
              </w:rPr>
            </w:pPr>
            <w:r w:rsidRPr="00451D97">
              <w:rPr>
                <w:rFonts w:asciiTheme="majorHAnsi" w:hAnsiTheme="majorHAnsi"/>
                <w:b/>
                <w:color w:val="FFFFFF" w:themeColor="background1"/>
                <w:sz w:val="16"/>
                <w:szCs w:val="16"/>
              </w:rPr>
              <w:t>Proposed Changes to Ethics Review Process in the Future</w:t>
            </w:r>
          </w:p>
        </w:tc>
        <w:tc>
          <w:tcPr>
            <w:tcW w:w="1556" w:type="dxa"/>
            <w:shd w:val="clear" w:color="auto" w:fill="D0CECE" w:themeFill="background2" w:themeFillShade="E6"/>
          </w:tcPr>
          <w:p w14:paraId="58FAE07E" w14:textId="77777777" w:rsidR="00773E6D" w:rsidRPr="00451D97" w:rsidRDefault="00773E6D" w:rsidP="00451D97">
            <w:pPr>
              <w:pStyle w:val="BodyText1"/>
              <w:spacing w:before="0" w:after="0"/>
              <w:rPr>
                <w:rFonts w:asciiTheme="majorHAnsi" w:hAnsiTheme="majorHAnsi"/>
                <w:b/>
                <w:color w:val="FFFFFF" w:themeColor="background1"/>
                <w:sz w:val="16"/>
                <w:szCs w:val="16"/>
              </w:rPr>
            </w:pPr>
            <w:r w:rsidRPr="00451D97">
              <w:rPr>
                <w:rFonts w:asciiTheme="majorHAnsi" w:hAnsiTheme="majorHAnsi" w:cs="Times New Roman"/>
                <w:b/>
                <w:color w:val="FFFFFF" w:themeColor="background1"/>
                <w:sz w:val="16"/>
                <w:szCs w:val="16"/>
              </w:rPr>
              <w:t>Ethics Review Timelines for Clinical Trial Approval</w:t>
            </w:r>
          </w:p>
          <w:p w14:paraId="2B83183E" w14:textId="77777777" w:rsidR="00773E6D" w:rsidRPr="00451D97" w:rsidRDefault="00773E6D" w:rsidP="00451D97">
            <w:pPr>
              <w:pStyle w:val="BodyText1"/>
              <w:spacing w:before="0" w:after="0"/>
              <w:rPr>
                <w:rFonts w:asciiTheme="majorHAnsi" w:hAnsiTheme="majorHAnsi"/>
                <w:b/>
                <w:color w:val="FFFFFF" w:themeColor="background1"/>
                <w:sz w:val="16"/>
                <w:szCs w:val="16"/>
              </w:rPr>
            </w:pPr>
            <w:r w:rsidRPr="00451D97">
              <w:rPr>
                <w:rFonts w:asciiTheme="majorHAnsi" w:hAnsiTheme="majorHAnsi" w:cs="Times New Roman"/>
                <w:b/>
                <w:color w:val="FFFFFF" w:themeColor="background1"/>
                <w:sz w:val="16"/>
                <w:szCs w:val="16"/>
              </w:rPr>
              <w:t>(Number of Days)</w:t>
            </w:r>
          </w:p>
        </w:tc>
      </w:tr>
      <w:tr w:rsidR="000F512E" w:rsidRPr="000F512E" w14:paraId="3F0C3543" w14:textId="77777777" w:rsidTr="00451D97">
        <w:trPr>
          <w:trHeight w:val="273"/>
        </w:trPr>
        <w:tc>
          <w:tcPr>
            <w:tcW w:w="857" w:type="dxa"/>
          </w:tcPr>
          <w:p w14:paraId="13EA8711" w14:textId="77777777" w:rsidR="00773E6D" w:rsidRPr="00451D97" w:rsidRDefault="00773E6D" w:rsidP="00451D97">
            <w:pPr>
              <w:pStyle w:val="BodyText1"/>
              <w:spacing w:before="0" w:after="0"/>
              <w:rPr>
                <w:b/>
                <w:sz w:val="16"/>
                <w:szCs w:val="16"/>
              </w:rPr>
            </w:pPr>
            <w:r w:rsidRPr="00451D97">
              <w:rPr>
                <w:rFonts w:cs="Times New Roman"/>
                <w:b/>
                <w:sz w:val="16"/>
                <w:szCs w:val="16"/>
              </w:rPr>
              <w:t>Australia</w:t>
            </w:r>
          </w:p>
        </w:tc>
        <w:tc>
          <w:tcPr>
            <w:tcW w:w="1354" w:type="dxa"/>
          </w:tcPr>
          <w:p w14:paraId="274C548B" w14:textId="77777777" w:rsidR="00773E6D" w:rsidRPr="00451D97" w:rsidRDefault="00773E6D" w:rsidP="000F512E">
            <w:pPr>
              <w:rPr>
                <w:sz w:val="16"/>
                <w:szCs w:val="16"/>
              </w:rPr>
            </w:pPr>
            <w:r w:rsidRPr="00451D97">
              <w:rPr>
                <w:rFonts w:eastAsia="Verdana"/>
                <w:sz w:val="16"/>
                <w:szCs w:val="16"/>
                <w:lang w:eastAsia="en-GB"/>
              </w:rPr>
              <w:t>National Mutual Acceptance (NMA) for 6 participating states/territories</w:t>
            </w:r>
          </w:p>
        </w:tc>
        <w:tc>
          <w:tcPr>
            <w:tcW w:w="1354" w:type="dxa"/>
          </w:tcPr>
          <w:p w14:paraId="36542945" w14:textId="77777777" w:rsidR="00773E6D" w:rsidRPr="00451D97" w:rsidRDefault="00773E6D" w:rsidP="00451D97">
            <w:pPr>
              <w:pStyle w:val="BodyText1"/>
              <w:spacing w:before="0" w:after="0"/>
              <w:rPr>
                <w:sz w:val="16"/>
                <w:szCs w:val="16"/>
              </w:rPr>
            </w:pPr>
            <w:r w:rsidRPr="00451D97">
              <w:rPr>
                <w:rFonts w:cs="Times New Roman"/>
                <w:sz w:val="16"/>
                <w:szCs w:val="16"/>
              </w:rPr>
              <w:t>NMA</w:t>
            </w:r>
          </w:p>
        </w:tc>
        <w:tc>
          <w:tcPr>
            <w:tcW w:w="1685" w:type="dxa"/>
          </w:tcPr>
          <w:p w14:paraId="55C00E90" w14:textId="77777777" w:rsidR="00773E6D" w:rsidRPr="00451D97" w:rsidRDefault="00773E6D" w:rsidP="00451D97">
            <w:pPr>
              <w:pStyle w:val="BodyText1"/>
              <w:spacing w:before="0" w:after="0"/>
              <w:rPr>
                <w:b/>
                <w:sz w:val="16"/>
                <w:szCs w:val="16"/>
                <w:u w:val="single"/>
              </w:rPr>
            </w:pPr>
            <w:r w:rsidRPr="00451D97">
              <w:rPr>
                <w:rFonts w:cs="Times New Roman"/>
                <w:sz w:val="16"/>
                <w:szCs w:val="16"/>
              </w:rPr>
              <w:t>National Mutual Acceptance (NMA) for 6 participating states/territories</w:t>
            </w:r>
          </w:p>
        </w:tc>
        <w:tc>
          <w:tcPr>
            <w:tcW w:w="3542" w:type="dxa"/>
          </w:tcPr>
          <w:p w14:paraId="43FB83A1" w14:textId="77777777" w:rsidR="00773E6D" w:rsidRPr="00451D97" w:rsidRDefault="00773E6D" w:rsidP="00451D97">
            <w:pPr>
              <w:pStyle w:val="BodyText1"/>
              <w:spacing w:before="0" w:after="0"/>
              <w:rPr>
                <w:sz w:val="16"/>
                <w:szCs w:val="16"/>
              </w:rPr>
            </w:pPr>
            <w:r w:rsidRPr="00451D97">
              <w:rPr>
                <w:rFonts w:cs="Times New Roman"/>
                <w:sz w:val="16"/>
                <w:szCs w:val="16"/>
              </w:rPr>
              <w:t>Yes: one stop shop plans for National trial acceptance and coordination</w:t>
            </w:r>
          </w:p>
        </w:tc>
        <w:tc>
          <w:tcPr>
            <w:tcW w:w="1556" w:type="dxa"/>
          </w:tcPr>
          <w:p w14:paraId="22F57EBF" w14:textId="77777777" w:rsidR="00773E6D" w:rsidRPr="00451D97" w:rsidRDefault="00773E6D" w:rsidP="00451D97">
            <w:pPr>
              <w:pStyle w:val="BodyText1"/>
              <w:spacing w:before="0" w:after="0"/>
              <w:rPr>
                <w:b/>
                <w:sz w:val="16"/>
                <w:szCs w:val="16"/>
                <w:u w:val="single"/>
              </w:rPr>
            </w:pPr>
          </w:p>
        </w:tc>
      </w:tr>
      <w:tr w:rsidR="000F512E" w:rsidRPr="000F512E" w14:paraId="287068C5" w14:textId="77777777" w:rsidTr="00451D97">
        <w:trPr>
          <w:trHeight w:val="273"/>
        </w:trPr>
        <w:tc>
          <w:tcPr>
            <w:tcW w:w="857" w:type="dxa"/>
          </w:tcPr>
          <w:p w14:paraId="526416F1" w14:textId="77777777" w:rsidR="00773E6D" w:rsidRPr="00451D97" w:rsidRDefault="00773E6D" w:rsidP="00451D97">
            <w:pPr>
              <w:pStyle w:val="BodyText1"/>
              <w:spacing w:before="0" w:after="0"/>
              <w:rPr>
                <w:b/>
                <w:sz w:val="16"/>
                <w:szCs w:val="16"/>
              </w:rPr>
            </w:pPr>
            <w:r w:rsidRPr="00451D97">
              <w:rPr>
                <w:rFonts w:cs="Times New Roman"/>
                <w:b/>
                <w:sz w:val="16"/>
                <w:szCs w:val="16"/>
              </w:rPr>
              <w:t>Canada</w:t>
            </w:r>
          </w:p>
        </w:tc>
        <w:tc>
          <w:tcPr>
            <w:tcW w:w="1354" w:type="dxa"/>
          </w:tcPr>
          <w:p w14:paraId="64D0FFF4" w14:textId="77777777" w:rsidR="00773E6D" w:rsidRPr="00451D97" w:rsidRDefault="00773E6D" w:rsidP="00451D97">
            <w:pPr>
              <w:pStyle w:val="BodyText1"/>
              <w:spacing w:before="0" w:after="0"/>
              <w:rPr>
                <w:sz w:val="16"/>
                <w:szCs w:val="16"/>
              </w:rPr>
            </w:pPr>
            <w:r w:rsidRPr="00451D97">
              <w:rPr>
                <w:rFonts w:cs="Times New Roman"/>
                <w:sz w:val="16"/>
                <w:szCs w:val="16"/>
              </w:rPr>
              <w:t>No</w:t>
            </w:r>
          </w:p>
        </w:tc>
        <w:tc>
          <w:tcPr>
            <w:tcW w:w="1354" w:type="dxa"/>
          </w:tcPr>
          <w:p w14:paraId="40F81CC4" w14:textId="77777777" w:rsidR="00773E6D" w:rsidRPr="00451D97" w:rsidRDefault="00773E6D" w:rsidP="00451D97">
            <w:pPr>
              <w:pStyle w:val="BodyText1"/>
              <w:spacing w:before="0" w:after="0"/>
              <w:rPr>
                <w:sz w:val="16"/>
                <w:szCs w:val="16"/>
              </w:rPr>
            </w:pPr>
            <w:r w:rsidRPr="00451D97">
              <w:rPr>
                <w:rFonts w:cs="Times New Roman"/>
                <w:sz w:val="16"/>
                <w:szCs w:val="16"/>
              </w:rPr>
              <w:t>No</w:t>
            </w:r>
          </w:p>
        </w:tc>
        <w:tc>
          <w:tcPr>
            <w:tcW w:w="1685" w:type="dxa"/>
          </w:tcPr>
          <w:p w14:paraId="09745EFA" w14:textId="77777777" w:rsidR="00773E6D" w:rsidRPr="00451D97" w:rsidRDefault="00773E6D" w:rsidP="00451D97">
            <w:pPr>
              <w:pStyle w:val="BodyText1"/>
              <w:spacing w:before="0" w:after="0"/>
              <w:rPr>
                <w:b/>
                <w:sz w:val="16"/>
                <w:szCs w:val="16"/>
                <w:u w:val="single"/>
              </w:rPr>
            </w:pPr>
            <w:r w:rsidRPr="00451D97">
              <w:rPr>
                <w:rFonts w:cs="Times New Roman"/>
                <w:sz w:val="16"/>
                <w:szCs w:val="16"/>
              </w:rPr>
              <w:t>Provinces of Quebec, Ontario, Alberta, and British Columbia have intra-provincial ethics review processes with interinstitutional agreement for delegation of review</w:t>
            </w:r>
          </w:p>
        </w:tc>
        <w:tc>
          <w:tcPr>
            <w:tcW w:w="3542" w:type="dxa"/>
          </w:tcPr>
          <w:p w14:paraId="506C5325" w14:textId="77777777" w:rsidR="00773E6D" w:rsidRPr="00451D97" w:rsidRDefault="00773E6D" w:rsidP="00451D97">
            <w:pPr>
              <w:pStyle w:val="BodyText1"/>
              <w:spacing w:before="0" w:after="0"/>
              <w:rPr>
                <w:b/>
                <w:sz w:val="16"/>
                <w:szCs w:val="16"/>
                <w:u w:val="single"/>
              </w:rPr>
            </w:pPr>
            <w:r w:rsidRPr="00451D97">
              <w:rPr>
                <w:rFonts w:cs="Times New Roman"/>
                <w:sz w:val="16"/>
                <w:szCs w:val="16"/>
                <w:lang w:val="en-CA"/>
              </w:rPr>
              <w:t>Canadian Institutes of Health Research (CIHR) has recently put forward a grant to fund a 5-year national ethics harmonization process for multi-province, multi-site studies with the goal of achieving a single ethics review for pediatric research studies</w:t>
            </w:r>
          </w:p>
        </w:tc>
        <w:tc>
          <w:tcPr>
            <w:tcW w:w="1556" w:type="dxa"/>
          </w:tcPr>
          <w:p w14:paraId="66BE805D" w14:textId="77777777" w:rsidR="00773E6D" w:rsidRPr="00451D97" w:rsidRDefault="00773E6D" w:rsidP="00451D97">
            <w:pPr>
              <w:pStyle w:val="BodyText1"/>
              <w:spacing w:before="0" w:after="0"/>
              <w:rPr>
                <w:sz w:val="16"/>
                <w:szCs w:val="16"/>
              </w:rPr>
            </w:pPr>
            <w:r w:rsidRPr="00451D97">
              <w:rPr>
                <w:sz w:val="16"/>
                <w:szCs w:val="16"/>
              </w:rPr>
              <w:t>Average 10-12 weeks for provinces without centralized review process.</w:t>
            </w:r>
          </w:p>
          <w:p w14:paraId="354F6C64" w14:textId="77777777" w:rsidR="00773E6D" w:rsidRPr="00451D97" w:rsidRDefault="00773E6D" w:rsidP="00451D97">
            <w:pPr>
              <w:pStyle w:val="BodyText1"/>
              <w:spacing w:before="0" w:after="0"/>
              <w:rPr>
                <w:sz w:val="16"/>
                <w:szCs w:val="16"/>
              </w:rPr>
            </w:pPr>
            <w:r w:rsidRPr="00451D97">
              <w:rPr>
                <w:sz w:val="16"/>
                <w:szCs w:val="16"/>
              </w:rPr>
              <w:t xml:space="preserve">Ontario centralized stream: less than 1 </w:t>
            </w:r>
            <w:proofErr w:type="gramStart"/>
            <w:r w:rsidRPr="00451D97">
              <w:rPr>
                <w:sz w:val="16"/>
                <w:szCs w:val="16"/>
              </w:rPr>
              <w:t>month</w:t>
            </w:r>
            <w:proofErr w:type="gramEnd"/>
            <w:r w:rsidRPr="00451D97">
              <w:rPr>
                <w:sz w:val="16"/>
                <w:szCs w:val="16"/>
              </w:rPr>
              <w:t xml:space="preserve"> </w:t>
            </w:r>
          </w:p>
          <w:p w14:paraId="42FE14CA" w14:textId="77777777" w:rsidR="00773E6D" w:rsidRPr="00451D97" w:rsidRDefault="00773E6D" w:rsidP="00451D97">
            <w:pPr>
              <w:pStyle w:val="BodyText1"/>
              <w:spacing w:before="0" w:after="0"/>
              <w:rPr>
                <w:b/>
                <w:sz w:val="16"/>
                <w:szCs w:val="16"/>
                <w:u w:val="single"/>
              </w:rPr>
            </w:pPr>
            <w:r w:rsidRPr="00451D97">
              <w:rPr>
                <w:rFonts w:cs="Times New Roman"/>
                <w:sz w:val="16"/>
                <w:szCs w:val="16"/>
              </w:rPr>
              <w:t>Quebec: average 74 days</w:t>
            </w:r>
          </w:p>
        </w:tc>
      </w:tr>
      <w:tr w:rsidR="000F512E" w:rsidRPr="000F512E" w14:paraId="6982F34A" w14:textId="77777777" w:rsidTr="00451D97">
        <w:trPr>
          <w:trHeight w:val="257"/>
        </w:trPr>
        <w:tc>
          <w:tcPr>
            <w:tcW w:w="857" w:type="dxa"/>
          </w:tcPr>
          <w:p w14:paraId="7B7009CE" w14:textId="77777777" w:rsidR="00773E6D" w:rsidRPr="00451D97" w:rsidRDefault="00773E6D" w:rsidP="00451D97">
            <w:pPr>
              <w:pStyle w:val="BodyText1"/>
              <w:spacing w:before="0" w:after="0"/>
              <w:rPr>
                <w:b/>
                <w:sz w:val="16"/>
                <w:szCs w:val="16"/>
              </w:rPr>
            </w:pPr>
            <w:r w:rsidRPr="00451D97">
              <w:rPr>
                <w:rFonts w:cs="Times New Roman"/>
                <w:b/>
                <w:sz w:val="16"/>
                <w:szCs w:val="16"/>
              </w:rPr>
              <w:t>EU</w:t>
            </w:r>
          </w:p>
        </w:tc>
        <w:tc>
          <w:tcPr>
            <w:tcW w:w="1354" w:type="dxa"/>
          </w:tcPr>
          <w:p w14:paraId="1435258A" w14:textId="77777777" w:rsidR="00773E6D" w:rsidRPr="00451D97" w:rsidRDefault="00773E6D" w:rsidP="00451D97">
            <w:pPr>
              <w:pStyle w:val="BodyText1"/>
              <w:spacing w:before="0" w:after="0"/>
              <w:rPr>
                <w:sz w:val="16"/>
                <w:szCs w:val="16"/>
              </w:rPr>
            </w:pPr>
            <w:r w:rsidRPr="00451D97">
              <w:rPr>
                <w:rFonts w:cs="Times New Roman"/>
                <w:sz w:val="16"/>
                <w:szCs w:val="16"/>
              </w:rPr>
              <w:t>Yes (at National/Member State level)</w:t>
            </w:r>
          </w:p>
        </w:tc>
        <w:tc>
          <w:tcPr>
            <w:tcW w:w="1354" w:type="dxa"/>
          </w:tcPr>
          <w:p w14:paraId="55EDE2CB" w14:textId="77777777" w:rsidR="00773E6D" w:rsidRPr="00451D97" w:rsidRDefault="00773E6D" w:rsidP="00451D97">
            <w:pPr>
              <w:pStyle w:val="BodyText1"/>
              <w:spacing w:before="0" w:after="0"/>
              <w:rPr>
                <w:color w:val="000000" w:themeColor="text1"/>
                <w:sz w:val="16"/>
                <w:szCs w:val="16"/>
              </w:rPr>
            </w:pPr>
            <w:r w:rsidRPr="00451D97">
              <w:rPr>
                <w:rFonts w:cs="Times New Roman"/>
                <w:sz w:val="16"/>
                <w:szCs w:val="16"/>
              </w:rPr>
              <w:t>Yes (at National/Member State level)</w:t>
            </w:r>
          </w:p>
        </w:tc>
        <w:tc>
          <w:tcPr>
            <w:tcW w:w="1685" w:type="dxa"/>
          </w:tcPr>
          <w:p w14:paraId="22226069" w14:textId="77777777" w:rsidR="00773E6D" w:rsidRPr="00451D97" w:rsidRDefault="00773E6D" w:rsidP="00451D97">
            <w:pPr>
              <w:pStyle w:val="BodyText1"/>
              <w:spacing w:before="0" w:after="0"/>
              <w:rPr>
                <w:sz w:val="16"/>
                <w:szCs w:val="16"/>
              </w:rPr>
            </w:pPr>
            <w:r w:rsidRPr="00451D97">
              <w:rPr>
                <w:rFonts w:cs="Times New Roman"/>
                <w:sz w:val="16"/>
                <w:szCs w:val="16"/>
              </w:rPr>
              <w:t>Centralized review of Clinical Trial Application. Ethics review is coordinated by each Member State at national level.</w:t>
            </w:r>
          </w:p>
          <w:p w14:paraId="1BD96DBE" w14:textId="77777777" w:rsidR="00773E6D" w:rsidRPr="00451D97" w:rsidRDefault="00773E6D" w:rsidP="00451D97">
            <w:pPr>
              <w:pStyle w:val="BodyText1"/>
              <w:spacing w:before="0" w:after="0"/>
              <w:rPr>
                <w:color w:val="000000" w:themeColor="text1"/>
                <w:sz w:val="16"/>
                <w:szCs w:val="16"/>
              </w:rPr>
            </w:pPr>
            <w:r w:rsidRPr="00451D97">
              <w:rPr>
                <w:sz w:val="16"/>
                <w:szCs w:val="16"/>
              </w:rPr>
              <w:t>Ethics committees are mostly involved in the part II assessment that remain of competence of the individual Member States concerned for the trial</w:t>
            </w:r>
          </w:p>
        </w:tc>
        <w:tc>
          <w:tcPr>
            <w:tcW w:w="3542" w:type="dxa"/>
          </w:tcPr>
          <w:p w14:paraId="7F53E471" w14:textId="77777777" w:rsidR="00773E6D" w:rsidRPr="00451D97" w:rsidRDefault="00773E6D" w:rsidP="00451D97">
            <w:pPr>
              <w:pStyle w:val="BodyText1"/>
              <w:spacing w:before="0" w:after="0"/>
              <w:rPr>
                <w:b/>
                <w:sz w:val="16"/>
                <w:szCs w:val="16"/>
                <w:u w:val="single"/>
              </w:rPr>
            </w:pPr>
            <w:r w:rsidRPr="00451D97">
              <w:rPr>
                <w:rFonts w:cs="Times New Roman"/>
                <w:sz w:val="16"/>
                <w:szCs w:val="16"/>
                <w:lang w:val="en-CA"/>
              </w:rPr>
              <w:t xml:space="preserve">The Clinical Trial Regulation (CTR) </w:t>
            </w:r>
            <w:r w:rsidRPr="00451D97">
              <w:rPr>
                <w:rFonts w:cs="Times New Roman"/>
                <w:sz w:val="16"/>
                <w:szCs w:val="16"/>
                <w:lang w:val="en-GB"/>
              </w:rPr>
              <w:t xml:space="preserve">No 536/2014 came </w:t>
            </w:r>
            <w:proofErr w:type="gramStart"/>
            <w:r w:rsidRPr="00451D97">
              <w:rPr>
                <w:rFonts w:cs="Times New Roman"/>
                <w:sz w:val="16"/>
                <w:szCs w:val="16"/>
                <w:lang w:val="en-GB"/>
              </w:rPr>
              <w:t>into  application</w:t>
            </w:r>
            <w:proofErr w:type="gramEnd"/>
            <w:r w:rsidRPr="00451D97">
              <w:rPr>
                <w:rFonts w:cs="Times New Roman"/>
                <w:sz w:val="16"/>
                <w:szCs w:val="16"/>
                <w:lang w:val="en-GB"/>
              </w:rPr>
              <w:t xml:space="preserve"> on 31 January 2022,  repealing CT Directive 2001/20/EC</w:t>
            </w:r>
            <w:r w:rsidRPr="00451D97" w:rsidDel="00755D7E">
              <w:rPr>
                <w:rFonts w:cs="Times New Roman"/>
                <w:sz w:val="16"/>
                <w:szCs w:val="16"/>
                <w:lang w:val="en-CA"/>
              </w:rPr>
              <w:t xml:space="preserve"> </w:t>
            </w:r>
          </w:p>
        </w:tc>
        <w:tc>
          <w:tcPr>
            <w:tcW w:w="1556" w:type="dxa"/>
          </w:tcPr>
          <w:p w14:paraId="506FBBC2" w14:textId="77777777" w:rsidR="00773E6D" w:rsidRPr="00451D97" w:rsidRDefault="00773E6D" w:rsidP="00451D97">
            <w:pPr>
              <w:pStyle w:val="BodyText1"/>
              <w:spacing w:before="0" w:after="0"/>
              <w:rPr>
                <w:sz w:val="16"/>
                <w:szCs w:val="16"/>
              </w:rPr>
            </w:pPr>
            <w:r w:rsidRPr="00451D97">
              <w:rPr>
                <w:rFonts w:cs="Times New Roman"/>
                <w:sz w:val="16"/>
                <w:szCs w:val="16"/>
              </w:rPr>
              <w:t xml:space="preserve">CTR sets common timelines for evaluation across all Member States, which is min.45 days.  </w:t>
            </w:r>
          </w:p>
        </w:tc>
      </w:tr>
      <w:tr w:rsidR="000F512E" w:rsidRPr="000F512E" w14:paraId="58725171" w14:textId="77777777" w:rsidTr="00451D97">
        <w:trPr>
          <w:trHeight w:val="1227"/>
        </w:trPr>
        <w:tc>
          <w:tcPr>
            <w:tcW w:w="857" w:type="dxa"/>
          </w:tcPr>
          <w:p w14:paraId="5FBC5AB6" w14:textId="77777777" w:rsidR="00773E6D" w:rsidRPr="00451D97" w:rsidRDefault="00773E6D" w:rsidP="00451D97">
            <w:pPr>
              <w:pStyle w:val="BodyText1"/>
              <w:spacing w:before="0" w:after="0"/>
              <w:rPr>
                <w:b/>
                <w:sz w:val="16"/>
                <w:szCs w:val="16"/>
              </w:rPr>
            </w:pPr>
            <w:r w:rsidRPr="00451D97">
              <w:rPr>
                <w:rFonts w:cs="Times New Roman"/>
                <w:b/>
                <w:sz w:val="16"/>
                <w:szCs w:val="16"/>
              </w:rPr>
              <w:t>Japan</w:t>
            </w:r>
          </w:p>
        </w:tc>
        <w:tc>
          <w:tcPr>
            <w:tcW w:w="1354" w:type="dxa"/>
          </w:tcPr>
          <w:p w14:paraId="57F0E97C" w14:textId="77777777" w:rsidR="00773E6D" w:rsidRPr="00451D97" w:rsidRDefault="00773E6D" w:rsidP="00451D97">
            <w:pPr>
              <w:pStyle w:val="BodyText1"/>
              <w:spacing w:before="0" w:after="0"/>
              <w:rPr>
                <w:sz w:val="16"/>
                <w:szCs w:val="16"/>
                <w:lang w:eastAsia="ja-JP"/>
              </w:rPr>
            </w:pPr>
            <w:r w:rsidRPr="00451D97">
              <w:rPr>
                <w:rFonts w:cs="Times New Roman"/>
                <w:sz w:val="16"/>
                <w:szCs w:val="16"/>
              </w:rPr>
              <w:t>Yes</w:t>
            </w:r>
            <w:r w:rsidRPr="00451D97">
              <w:rPr>
                <w:rFonts w:eastAsiaTheme="minorEastAsia" w:cs="Times New Roman"/>
                <w:sz w:val="16"/>
                <w:szCs w:val="16"/>
              </w:rPr>
              <w:t xml:space="preserve">, but there are still </w:t>
            </w:r>
            <w:r w:rsidRPr="00451D97">
              <w:rPr>
                <w:rFonts w:cs="Times New Roman"/>
                <w:sz w:val="16"/>
                <w:szCs w:val="16"/>
              </w:rPr>
              <w:t xml:space="preserve">many </w:t>
            </w:r>
            <w:r w:rsidRPr="00451D97">
              <w:rPr>
                <w:rFonts w:eastAsiaTheme="minorEastAsia" w:cs="Times New Roman"/>
                <w:sz w:val="16"/>
                <w:szCs w:val="16"/>
              </w:rPr>
              <w:t>institutions that only allow their own ethics review.</w:t>
            </w:r>
          </w:p>
        </w:tc>
        <w:tc>
          <w:tcPr>
            <w:tcW w:w="1354" w:type="dxa"/>
          </w:tcPr>
          <w:p w14:paraId="503A0D11" w14:textId="77777777" w:rsidR="00773E6D" w:rsidRPr="00451D97" w:rsidRDefault="00773E6D" w:rsidP="00451D97">
            <w:pPr>
              <w:pStyle w:val="BodyText1"/>
              <w:spacing w:before="0" w:after="0"/>
              <w:rPr>
                <w:sz w:val="16"/>
                <w:szCs w:val="16"/>
              </w:rPr>
            </w:pPr>
            <w:r w:rsidRPr="00451D97">
              <w:rPr>
                <w:rFonts w:cs="Times New Roman"/>
                <w:sz w:val="16"/>
                <w:szCs w:val="16"/>
              </w:rPr>
              <w:t>Yes</w:t>
            </w:r>
            <w:r w:rsidRPr="00451D97">
              <w:rPr>
                <w:rFonts w:eastAsiaTheme="minorEastAsia" w:cs="Times New Roman"/>
                <w:sz w:val="16"/>
                <w:szCs w:val="16"/>
              </w:rPr>
              <w:t xml:space="preserve">, but there are still </w:t>
            </w:r>
            <w:r w:rsidRPr="00451D97">
              <w:rPr>
                <w:rFonts w:cs="Times New Roman"/>
                <w:sz w:val="16"/>
                <w:szCs w:val="16"/>
              </w:rPr>
              <w:t xml:space="preserve">many </w:t>
            </w:r>
            <w:r w:rsidRPr="00451D97">
              <w:rPr>
                <w:rFonts w:eastAsiaTheme="minorEastAsia" w:cs="Times New Roman"/>
                <w:sz w:val="16"/>
                <w:szCs w:val="16"/>
              </w:rPr>
              <w:t>institutions that only allow their own ethics review.</w:t>
            </w:r>
          </w:p>
        </w:tc>
        <w:tc>
          <w:tcPr>
            <w:tcW w:w="1685" w:type="dxa"/>
          </w:tcPr>
          <w:p w14:paraId="5E1428E7" w14:textId="77777777" w:rsidR="00773E6D" w:rsidRPr="00451D97" w:rsidRDefault="00773E6D" w:rsidP="00451D97">
            <w:pPr>
              <w:pStyle w:val="BodyText1"/>
              <w:spacing w:before="0" w:after="0"/>
              <w:rPr>
                <w:sz w:val="16"/>
                <w:szCs w:val="16"/>
              </w:rPr>
            </w:pPr>
            <w:r w:rsidRPr="00451D97">
              <w:rPr>
                <w:rFonts w:eastAsiaTheme="minorEastAsia" w:cs="Times New Roman"/>
                <w:sz w:val="16"/>
                <w:szCs w:val="16"/>
              </w:rPr>
              <w:t xml:space="preserve">The Ministry of Health, </w:t>
            </w:r>
            <w:proofErr w:type="spellStart"/>
            <w:r w:rsidRPr="00451D97">
              <w:rPr>
                <w:rFonts w:eastAsiaTheme="minorEastAsia" w:cs="Times New Roman"/>
                <w:sz w:val="16"/>
                <w:szCs w:val="16"/>
              </w:rPr>
              <w:t>Labour</w:t>
            </w:r>
            <w:proofErr w:type="spellEnd"/>
            <w:r w:rsidRPr="00451D97">
              <w:rPr>
                <w:rFonts w:eastAsiaTheme="minorEastAsia" w:cs="Times New Roman"/>
                <w:sz w:val="16"/>
                <w:szCs w:val="16"/>
              </w:rPr>
              <w:t xml:space="preserve"> and Welfare encourages central</w:t>
            </w:r>
            <w:r w:rsidRPr="00451D97">
              <w:rPr>
                <w:rFonts w:cs="Times New Roman"/>
                <w:sz w:val="16"/>
                <w:szCs w:val="16"/>
              </w:rPr>
              <w:t>ized</w:t>
            </w:r>
            <w:r w:rsidRPr="00451D97">
              <w:rPr>
                <w:rFonts w:eastAsiaTheme="minorEastAsia" w:cs="Times New Roman"/>
                <w:sz w:val="16"/>
                <w:szCs w:val="16"/>
              </w:rPr>
              <w:t xml:space="preserve"> review.</w:t>
            </w:r>
          </w:p>
        </w:tc>
        <w:tc>
          <w:tcPr>
            <w:tcW w:w="3542" w:type="dxa"/>
          </w:tcPr>
          <w:p w14:paraId="46721D0E" w14:textId="77777777" w:rsidR="00773E6D" w:rsidRPr="00451D97" w:rsidRDefault="00773E6D" w:rsidP="00451D97">
            <w:pPr>
              <w:pStyle w:val="BodyText1"/>
              <w:spacing w:before="0" w:after="0"/>
              <w:rPr>
                <w:sz w:val="16"/>
                <w:szCs w:val="16"/>
              </w:rPr>
            </w:pPr>
            <w:r w:rsidRPr="00451D97">
              <w:rPr>
                <w:rFonts w:cs="Times New Roman"/>
                <w:sz w:val="16"/>
                <w:szCs w:val="16"/>
              </w:rPr>
              <w:t>No</w:t>
            </w:r>
          </w:p>
        </w:tc>
        <w:tc>
          <w:tcPr>
            <w:tcW w:w="1556" w:type="dxa"/>
          </w:tcPr>
          <w:p w14:paraId="22D17496" w14:textId="77777777" w:rsidR="00773E6D" w:rsidRPr="00451D97" w:rsidRDefault="00773E6D" w:rsidP="00451D97">
            <w:pPr>
              <w:pStyle w:val="BodyText1"/>
              <w:spacing w:before="0" w:after="0"/>
              <w:rPr>
                <w:rFonts w:eastAsia="MS Mincho" w:cs="Times New Roman"/>
                <w:sz w:val="16"/>
                <w:szCs w:val="16"/>
                <w:lang w:eastAsia="ja-JP"/>
              </w:rPr>
            </w:pPr>
            <w:r w:rsidRPr="00451D97">
              <w:rPr>
                <w:rFonts w:cs="Times New Roman"/>
                <w:sz w:val="16"/>
                <w:szCs w:val="16"/>
              </w:rPr>
              <w:t>Ethics review timeline of the Pediatric Clinical Trial Network, Japan is within 30 days. It var</w:t>
            </w:r>
            <w:r w:rsidRPr="00451D97">
              <w:rPr>
                <w:rFonts w:eastAsiaTheme="minorEastAsia" w:cs="Times New Roman"/>
                <w:sz w:val="16"/>
                <w:szCs w:val="16"/>
              </w:rPr>
              <w:t>ies</w:t>
            </w:r>
            <w:r w:rsidRPr="00451D97">
              <w:rPr>
                <w:rFonts w:cs="Times New Roman"/>
                <w:sz w:val="16"/>
                <w:szCs w:val="16"/>
              </w:rPr>
              <w:t xml:space="preserve"> in other review boards.</w:t>
            </w:r>
          </w:p>
        </w:tc>
      </w:tr>
      <w:tr w:rsidR="000F512E" w:rsidRPr="000F512E" w14:paraId="092EB44B" w14:textId="77777777" w:rsidTr="00451D97">
        <w:trPr>
          <w:trHeight w:val="1457"/>
        </w:trPr>
        <w:tc>
          <w:tcPr>
            <w:tcW w:w="857" w:type="dxa"/>
          </w:tcPr>
          <w:p w14:paraId="34AB49AC" w14:textId="77777777" w:rsidR="00773E6D" w:rsidRPr="00451D97" w:rsidRDefault="00773E6D" w:rsidP="00451D97">
            <w:pPr>
              <w:pStyle w:val="BodyText1"/>
              <w:spacing w:before="0" w:after="0"/>
              <w:rPr>
                <w:b/>
                <w:sz w:val="16"/>
                <w:szCs w:val="16"/>
              </w:rPr>
            </w:pPr>
            <w:r w:rsidRPr="00451D97">
              <w:rPr>
                <w:rFonts w:cs="Times New Roman"/>
                <w:b/>
                <w:sz w:val="16"/>
                <w:szCs w:val="16"/>
              </w:rPr>
              <w:t>United States</w:t>
            </w:r>
          </w:p>
        </w:tc>
        <w:tc>
          <w:tcPr>
            <w:tcW w:w="1354" w:type="dxa"/>
          </w:tcPr>
          <w:p w14:paraId="2A361B5C" w14:textId="77777777" w:rsidR="00773E6D" w:rsidRPr="00451D97" w:rsidRDefault="00773E6D" w:rsidP="00451D97">
            <w:pPr>
              <w:pStyle w:val="BodyText1"/>
              <w:spacing w:before="0" w:after="0"/>
              <w:rPr>
                <w:sz w:val="16"/>
                <w:szCs w:val="16"/>
              </w:rPr>
            </w:pPr>
            <w:r w:rsidRPr="00451D97">
              <w:rPr>
                <w:rFonts w:cs="Times New Roman"/>
                <w:sz w:val="16"/>
                <w:szCs w:val="16"/>
              </w:rPr>
              <w:t>Yes (for certain federally conducted or supported research)</w:t>
            </w:r>
          </w:p>
        </w:tc>
        <w:tc>
          <w:tcPr>
            <w:tcW w:w="1354" w:type="dxa"/>
          </w:tcPr>
          <w:p w14:paraId="78C46405" w14:textId="77777777" w:rsidR="00773E6D" w:rsidRPr="00451D97" w:rsidRDefault="00773E6D" w:rsidP="00451D97">
            <w:pPr>
              <w:pStyle w:val="BodyText1"/>
              <w:spacing w:before="0" w:after="0"/>
              <w:rPr>
                <w:sz w:val="16"/>
                <w:szCs w:val="16"/>
              </w:rPr>
            </w:pPr>
            <w:r w:rsidRPr="00451D97">
              <w:rPr>
                <w:rFonts w:cs="Times New Roman"/>
                <w:sz w:val="16"/>
                <w:szCs w:val="16"/>
              </w:rPr>
              <w:t>Yes (for certain federally conducted or supported research)</w:t>
            </w:r>
          </w:p>
        </w:tc>
        <w:tc>
          <w:tcPr>
            <w:tcW w:w="1685" w:type="dxa"/>
          </w:tcPr>
          <w:p w14:paraId="213E1E96" w14:textId="77777777" w:rsidR="00773E6D" w:rsidRPr="00451D97" w:rsidRDefault="00773E6D" w:rsidP="00451D97">
            <w:pPr>
              <w:pStyle w:val="BodyText1"/>
              <w:spacing w:before="0" w:after="0"/>
              <w:rPr>
                <w:sz w:val="16"/>
                <w:szCs w:val="16"/>
              </w:rPr>
            </w:pPr>
            <w:r w:rsidRPr="00451D97">
              <w:rPr>
                <w:rFonts w:cs="Times New Roman"/>
                <w:sz w:val="16"/>
                <w:szCs w:val="16"/>
              </w:rPr>
              <w:t xml:space="preserve">Centralized Review by a single IRB of certain federally conducted or supported multi-site research conducted in the US, with some exceptions. </w:t>
            </w:r>
          </w:p>
        </w:tc>
        <w:tc>
          <w:tcPr>
            <w:tcW w:w="3542" w:type="dxa"/>
          </w:tcPr>
          <w:p w14:paraId="67282340" w14:textId="77777777" w:rsidR="00773E6D" w:rsidRPr="00451D97" w:rsidRDefault="00773E6D" w:rsidP="00451D97">
            <w:pPr>
              <w:pStyle w:val="BodyText1"/>
              <w:spacing w:before="0" w:after="0"/>
              <w:rPr>
                <w:sz w:val="16"/>
                <w:szCs w:val="16"/>
              </w:rPr>
            </w:pPr>
            <w:r w:rsidRPr="00451D97">
              <w:rPr>
                <w:rFonts w:cs="Times New Roman"/>
                <w:sz w:val="16"/>
                <w:szCs w:val="16"/>
              </w:rPr>
              <w:t>FDA has published two proposed rules that, if finalized, would include changes to the agency’s regulations regarding obtaining and documenting informed consent from research participants, amend the regulations governing institutional review board (IRB) membership and functions, and require the use of a single IRB review process for FDA-regulated multi-site research conducted in the U.S., with some exceptions. (ref below)</w:t>
            </w:r>
          </w:p>
        </w:tc>
        <w:tc>
          <w:tcPr>
            <w:tcW w:w="1556" w:type="dxa"/>
          </w:tcPr>
          <w:p w14:paraId="09DD4863" w14:textId="77777777" w:rsidR="00773E6D" w:rsidRPr="00451D97" w:rsidRDefault="00773E6D" w:rsidP="00451D97">
            <w:pPr>
              <w:pStyle w:val="BodyText1"/>
              <w:spacing w:before="0" w:after="0"/>
              <w:rPr>
                <w:sz w:val="16"/>
                <w:szCs w:val="16"/>
              </w:rPr>
            </w:pPr>
            <w:r w:rsidRPr="00451D97">
              <w:rPr>
                <w:rFonts w:cs="Times New Roman"/>
                <w:sz w:val="16"/>
                <w:szCs w:val="16"/>
              </w:rPr>
              <w:t>IRB approval times are variable and typically range from 30 to 120 days</w:t>
            </w:r>
          </w:p>
        </w:tc>
      </w:tr>
      <w:tr w:rsidR="000F512E" w:rsidRPr="000F512E" w14:paraId="24747F8C" w14:textId="77777777" w:rsidTr="00451D97">
        <w:trPr>
          <w:trHeight w:val="1457"/>
        </w:trPr>
        <w:tc>
          <w:tcPr>
            <w:tcW w:w="857" w:type="dxa"/>
          </w:tcPr>
          <w:p w14:paraId="5FC748CE" w14:textId="77777777" w:rsidR="00773E6D" w:rsidRPr="00451D97" w:rsidRDefault="00773E6D" w:rsidP="00451D97">
            <w:pPr>
              <w:pStyle w:val="BodyText1"/>
              <w:spacing w:before="0" w:after="0"/>
              <w:rPr>
                <w:b/>
                <w:sz w:val="16"/>
                <w:szCs w:val="16"/>
              </w:rPr>
            </w:pPr>
            <w:r w:rsidRPr="00451D97">
              <w:rPr>
                <w:rFonts w:cs="Times New Roman"/>
                <w:b/>
                <w:sz w:val="16"/>
                <w:szCs w:val="16"/>
              </w:rPr>
              <w:t>UK</w:t>
            </w:r>
          </w:p>
        </w:tc>
        <w:tc>
          <w:tcPr>
            <w:tcW w:w="1354" w:type="dxa"/>
          </w:tcPr>
          <w:p w14:paraId="7B410370" w14:textId="77777777" w:rsidR="00773E6D" w:rsidRPr="00451D97" w:rsidRDefault="00773E6D" w:rsidP="00451D97">
            <w:pPr>
              <w:pStyle w:val="BodyText1"/>
              <w:spacing w:before="0" w:after="0"/>
              <w:rPr>
                <w:sz w:val="16"/>
                <w:szCs w:val="16"/>
              </w:rPr>
            </w:pPr>
            <w:r w:rsidRPr="00451D97">
              <w:rPr>
                <w:rFonts w:cs="Times New Roman"/>
                <w:sz w:val="16"/>
                <w:szCs w:val="16"/>
              </w:rPr>
              <w:t>Yes</w:t>
            </w:r>
          </w:p>
        </w:tc>
        <w:tc>
          <w:tcPr>
            <w:tcW w:w="1354" w:type="dxa"/>
          </w:tcPr>
          <w:p w14:paraId="082DE284" w14:textId="77777777" w:rsidR="00773E6D" w:rsidRPr="00451D97" w:rsidRDefault="00773E6D" w:rsidP="00451D97">
            <w:pPr>
              <w:pStyle w:val="BodyText1"/>
              <w:spacing w:before="0" w:after="0"/>
              <w:rPr>
                <w:sz w:val="16"/>
                <w:szCs w:val="16"/>
              </w:rPr>
            </w:pPr>
            <w:r w:rsidRPr="00451D97">
              <w:rPr>
                <w:rFonts w:cs="Times New Roman"/>
                <w:sz w:val="16"/>
                <w:szCs w:val="16"/>
              </w:rPr>
              <w:t>Yes</w:t>
            </w:r>
          </w:p>
        </w:tc>
        <w:tc>
          <w:tcPr>
            <w:tcW w:w="1685" w:type="dxa"/>
          </w:tcPr>
          <w:p w14:paraId="63579B1F" w14:textId="77777777" w:rsidR="00773E6D" w:rsidRPr="00451D97" w:rsidRDefault="00773E6D" w:rsidP="00451D97">
            <w:pPr>
              <w:pStyle w:val="BodyText1"/>
              <w:spacing w:before="0" w:after="0"/>
              <w:rPr>
                <w:sz w:val="16"/>
                <w:szCs w:val="16"/>
              </w:rPr>
            </w:pPr>
            <w:r w:rsidRPr="00451D97">
              <w:rPr>
                <w:rFonts w:cs="Times New Roman"/>
                <w:sz w:val="16"/>
                <w:szCs w:val="16"/>
              </w:rPr>
              <w:t>Centralized Review</w:t>
            </w:r>
          </w:p>
        </w:tc>
        <w:tc>
          <w:tcPr>
            <w:tcW w:w="3542" w:type="dxa"/>
          </w:tcPr>
          <w:p w14:paraId="32E6E4CE" w14:textId="77777777" w:rsidR="00773E6D" w:rsidRPr="00451D97" w:rsidRDefault="00773E6D" w:rsidP="00451D97">
            <w:pPr>
              <w:pStyle w:val="BodyText1"/>
              <w:spacing w:before="0" w:after="0"/>
              <w:rPr>
                <w:sz w:val="16"/>
                <w:szCs w:val="16"/>
              </w:rPr>
            </w:pPr>
            <w:r w:rsidRPr="00451D97">
              <w:rPr>
                <w:sz w:val="16"/>
                <w:szCs w:val="16"/>
              </w:rPr>
              <w:t xml:space="preserve">Following public consultation on legislative proposals for clinical trials, </w:t>
            </w:r>
            <w:r w:rsidRPr="00451D97">
              <w:rPr>
                <w:rFonts w:cs="Times New Roman"/>
                <w:sz w:val="16"/>
                <w:szCs w:val="16"/>
              </w:rPr>
              <w:t>published 21 March 2023, there is a commitment to introduce more streamlined and efficient application processes, making it easier to apply for trials in the UK but without compromising on safety standards, by legislating for a combined MHRA/research ethics review, with internationally competitive approval timelines and more flexibility for sponsors to respond to questions raised by regulators.</w:t>
            </w:r>
          </w:p>
          <w:p w14:paraId="5EE485EE" w14:textId="77777777" w:rsidR="00773E6D" w:rsidRPr="00451D97" w:rsidRDefault="00773E6D" w:rsidP="00451D97">
            <w:pPr>
              <w:pStyle w:val="BodyText1"/>
              <w:spacing w:before="0" w:after="0"/>
              <w:rPr>
                <w:sz w:val="16"/>
                <w:szCs w:val="16"/>
              </w:rPr>
            </w:pPr>
            <w:r w:rsidRPr="00451D97">
              <w:rPr>
                <w:rFonts w:cs="Times New Roman"/>
                <w:sz w:val="16"/>
                <w:szCs w:val="16"/>
              </w:rPr>
              <w:t xml:space="preserve">Yes, the </w:t>
            </w:r>
            <w:proofErr w:type="gramStart"/>
            <w:r w:rsidRPr="00451D97">
              <w:rPr>
                <w:rFonts w:cs="Times New Roman"/>
                <w:sz w:val="16"/>
                <w:szCs w:val="16"/>
              </w:rPr>
              <w:t>current  Medicine</w:t>
            </w:r>
            <w:proofErr w:type="gramEnd"/>
            <w:r w:rsidRPr="00451D97">
              <w:rPr>
                <w:rFonts w:cs="Times New Roman"/>
                <w:sz w:val="16"/>
                <w:szCs w:val="16"/>
              </w:rPr>
              <w:t xml:space="preserve"> for Human Use (CT Regs) 2004 as amended UK being revised for a more streamlined process</w:t>
            </w:r>
          </w:p>
        </w:tc>
        <w:tc>
          <w:tcPr>
            <w:tcW w:w="1556" w:type="dxa"/>
          </w:tcPr>
          <w:p w14:paraId="7FF2E628" w14:textId="77777777" w:rsidR="00773E6D" w:rsidRPr="00451D97" w:rsidRDefault="00773E6D" w:rsidP="00451D97">
            <w:pPr>
              <w:pStyle w:val="BodyText1"/>
              <w:spacing w:before="0" w:after="0"/>
              <w:rPr>
                <w:sz w:val="16"/>
                <w:szCs w:val="16"/>
              </w:rPr>
            </w:pPr>
            <w:r w:rsidRPr="00451D97">
              <w:rPr>
                <w:rFonts w:cs="Times New Roman"/>
                <w:sz w:val="16"/>
                <w:szCs w:val="16"/>
              </w:rPr>
              <w:t>Maximum time from submission to outcome from Ethics and MHRA is 60 days, unless the user asks for more time.</w:t>
            </w:r>
          </w:p>
        </w:tc>
      </w:tr>
    </w:tbl>
    <w:p w14:paraId="484CDCC6" w14:textId="77777777" w:rsidR="00451D97" w:rsidRDefault="00451D97" w:rsidP="00451D97">
      <w:pPr>
        <w:pStyle w:val="BodyText1"/>
        <w:rPr>
          <w:rFonts w:eastAsia="Times New Roman"/>
          <w:b/>
          <w:bCs/>
          <w:lang w:val="en-CA" w:eastAsia="en-CA"/>
        </w:rPr>
      </w:pPr>
    </w:p>
    <w:p w14:paraId="5D1BEB99" w14:textId="1A0790BE" w:rsidR="00773E6D" w:rsidRPr="00451D97" w:rsidRDefault="00773E6D" w:rsidP="00451D97">
      <w:pPr>
        <w:pStyle w:val="BodyText1"/>
        <w:rPr>
          <w:b/>
          <w:bCs/>
        </w:rPr>
      </w:pPr>
      <w:r w:rsidRPr="00F24DAA">
        <w:rPr>
          <w:rFonts w:eastAsia="Times New Roman"/>
          <w:b/>
          <w:bCs/>
          <w:lang w:val="en-CA" w:eastAsia="en-CA"/>
        </w:rPr>
        <w:lastRenderedPageBreak/>
        <w:t xml:space="preserve">Table </w:t>
      </w:r>
      <w:r w:rsidR="004F6B1D">
        <w:rPr>
          <w:rFonts w:eastAsia="Times New Roman"/>
          <w:b/>
          <w:bCs/>
          <w:lang w:val="en-CA" w:eastAsia="en-CA"/>
        </w:rPr>
        <w:t>2.</w:t>
      </w:r>
      <w:r w:rsidR="000F512E" w:rsidRPr="00DA48E2">
        <w:rPr>
          <w:rFonts w:cs="Times New Roman"/>
          <w:b/>
          <w:bCs/>
          <w:lang w:val="en-CA"/>
        </w:rPr>
        <w:t xml:space="preserve"> </w:t>
      </w:r>
      <w:r w:rsidR="000F512E" w:rsidRPr="00DA48E2">
        <w:rPr>
          <w:rFonts w:cs="Times New Roman"/>
          <w:b/>
          <w:bCs/>
        </w:rPr>
        <w:t xml:space="preserve">Ethics Requirements for Participation as a Pediatric Clinical Trial Site  </w:t>
      </w:r>
    </w:p>
    <w:tbl>
      <w:tblPr>
        <w:tblW w:w="1035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6"/>
        <w:gridCol w:w="1701"/>
        <w:gridCol w:w="1694"/>
        <w:gridCol w:w="1712"/>
        <w:gridCol w:w="2214"/>
        <w:gridCol w:w="1751"/>
      </w:tblGrid>
      <w:tr w:rsidR="00773E6D" w:rsidRPr="000F512E" w14:paraId="14EAFE9A" w14:textId="77777777" w:rsidTr="00BA3F96">
        <w:trPr>
          <w:trHeight w:val="300"/>
        </w:trPr>
        <w:tc>
          <w:tcPr>
            <w:tcW w:w="1286" w:type="dxa"/>
            <w:tcBorders>
              <w:top w:val="single" w:sz="6" w:space="0" w:color="auto"/>
              <w:left w:val="single" w:sz="6" w:space="0" w:color="auto"/>
              <w:bottom w:val="single" w:sz="6" w:space="0" w:color="auto"/>
              <w:right w:val="single" w:sz="6" w:space="0" w:color="auto"/>
            </w:tcBorders>
            <w:shd w:val="clear" w:color="auto" w:fill="D0CECE"/>
            <w:hideMark/>
          </w:tcPr>
          <w:p w14:paraId="132A217B" w14:textId="77777777" w:rsidR="00773E6D" w:rsidRPr="00451D97" w:rsidRDefault="00773E6D" w:rsidP="00BA3F96">
            <w:pPr>
              <w:textAlignment w:val="baseline"/>
              <w:rPr>
                <w:rFonts w:asciiTheme="majorHAnsi" w:eastAsia="Times New Roman" w:hAnsiTheme="majorHAnsi" w:cstheme="majorHAnsi"/>
                <w:sz w:val="16"/>
                <w:szCs w:val="16"/>
                <w:lang w:val="en-CA" w:eastAsia="en-CA"/>
              </w:rPr>
            </w:pPr>
            <w:r w:rsidRPr="00451D97">
              <w:rPr>
                <w:rFonts w:asciiTheme="majorHAnsi" w:eastAsia="Times New Roman" w:hAnsiTheme="majorHAnsi" w:cstheme="majorHAnsi"/>
                <w:b/>
                <w:bCs/>
                <w:color w:val="FFFFFF"/>
                <w:sz w:val="16"/>
                <w:szCs w:val="16"/>
                <w:lang w:eastAsia="en-CA"/>
              </w:rPr>
              <w:t>Country</w:t>
            </w:r>
            <w:r w:rsidRPr="00451D97">
              <w:rPr>
                <w:rFonts w:asciiTheme="majorHAnsi" w:eastAsia="Times New Roman" w:hAnsiTheme="majorHAnsi" w:cstheme="majorHAnsi"/>
                <w:color w:val="FFFFFF"/>
                <w:sz w:val="16"/>
                <w:szCs w:val="16"/>
                <w:lang w:val="en-CA" w:eastAsia="en-CA"/>
              </w:rPr>
              <w:t> </w:t>
            </w:r>
          </w:p>
        </w:tc>
        <w:tc>
          <w:tcPr>
            <w:tcW w:w="1701" w:type="dxa"/>
            <w:tcBorders>
              <w:top w:val="single" w:sz="6" w:space="0" w:color="auto"/>
              <w:left w:val="single" w:sz="6" w:space="0" w:color="auto"/>
              <w:bottom w:val="single" w:sz="6" w:space="0" w:color="auto"/>
              <w:right w:val="single" w:sz="6" w:space="0" w:color="auto"/>
            </w:tcBorders>
            <w:shd w:val="clear" w:color="auto" w:fill="D0CECE"/>
            <w:hideMark/>
          </w:tcPr>
          <w:p w14:paraId="52531771" w14:textId="1CB55F6A" w:rsidR="00773E6D" w:rsidRPr="00451D97" w:rsidRDefault="00F03A14" w:rsidP="00BA3F96">
            <w:pPr>
              <w:textAlignment w:val="baseline"/>
              <w:rPr>
                <w:rFonts w:asciiTheme="majorHAnsi" w:eastAsia="Times New Roman" w:hAnsiTheme="majorHAnsi" w:cstheme="majorHAnsi"/>
                <w:sz w:val="16"/>
                <w:szCs w:val="16"/>
                <w:lang w:val="en-CA" w:eastAsia="en-CA"/>
              </w:rPr>
            </w:pPr>
            <w:r w:rsidRPr="00451D97">
              <w:rPr>
                <w:rFonts w:asciiTheme="majorHAnsi" w:eastAsia="Times New Roman" w:hAnsiTheme="majorHAnsi" w:cstheme="majorHAnsi"/>
                <w:b/>
                <w:bCs/>
                <w:color w:val="FFFFFF"/>
                <w:sz w:val="16"/>
                <w:szCs w:val="16"/>
                <w:lang w:eastAsia="en-CA"/>
              </w:rPr>
              <w:t>Country Acceptance of For-Profit Commercial Ethics Review Board</w:t>
            </w:r>
          </w:p>
        </w:tc>
        <w:tc>
          <w:tcPr>
            <w:tcW w:w="1694" w:type="dxa"/>
            <w:tcBorders>
              <w:top w:val="single" w:sz="6" w:space="0" w:color="auto"/>
              <w:left w:val="single" w:sz="6" w:space="0" w:color="auto"/>
              <w:bottom w:val="single" w:sz="6" w:space="0" w:color="auto"/>
              <w:right w:val="single" w:sz="6" w:space="0" w:color="auto"/>
            </w:tcBorders>
            <w:shd w:val="clear" w:color="auto" w:fill="D0CECE"/>
            <w:hideMark/>
          </w:tcPr>
          <w:p w14:paraId="58B726E3" w14:textId="77777777" w:rsidR="00773E6D" w:rsidRPr="00451D97" w:rsidRDefault="00773E6D" w:rsidP="00BA3F96">
            <w:pPr>
              <w:textAlignment w:val="baseline"/>
              <w:rPr>
                <w:rFonts w:asciiTheme="majorHAnsi" w:eastAsia="Times New Roman" w:hAnsiTheme="majorHAnsi" w:cstheme="majorHAnsi"/>
                <w:sz w:val="16"/>
                <w:szCs w:val="16"/>
                <w:lang w:val="en-CA" w:eastAsia="en-CA"/>
              </w:rPr>
            </w:pPr>
            <w:r w:rsidRPr="00451D97">
              <w:rPr>
                <w:rFonts w:asciiTheme="majorHAnsi" w:eastAsia="Times New Roman" w:hAnsiTheme="majorHAnsi" w:cstheme="majorHAnsi"/>
                <w:b/>
                <w:bCs/>
                <w:color w:val="FFFFFF"/>
                <w:sz w:val="16"/>
                <w:szCs w:val="16"/>
                <w:lang w:eastAsia="en-CA"/>
              </w:rPr>
              <w:t>Review Process for Publicly vs. Privately Funded Clinical Trials</w:t>
            </w:r>
            <w:r w:rsidRPr="00451D97">
              <w:rPr>
                <w:rFonts w:asciiTheme="majorHAnsi" w:eastAsia="Times New Roman" w:hAnsiTheme="majorHAnsi" w:cstheme="majorHAnsi"/>
                <w:color w:val="FFFFFF"/>
                <w:sz w:val="16"/>
                <w:szCs w:val="16"/>
                <w:lang w:val="en-CA" w:eastAsia="en-CA"/>
              </w:rPr>
              <w:t> </w:t>
            </w:r>
          </w:p>
        </w:tc>
        <w:tc>
          <w:tcPr>
            <w:tcW w:w="1712" w:type="dxa"/>
            <w:tcBorders>
              <w:top w:val="single" w:sz="6" w:space="0" w:color="auto"/>
              <w:left w:val="single" w:sz="6" w:space="0" w:color="auto"/>
              <w:bottom w:val="single" w:sz="6" w:space="0" w:color="auto"/>
              <w:right w:val="single" w:sz="6" w:space="0" w:color="auto"/>
            </w:tcBorders>
            <w:shd w:val="clear" w:color="auto" w:fill="D0CECE"/>
            <w:hideMark/>
          </w:tcPr>
          <w:p w14:paraId="055BAE55" w14:textId="06769F20" w:rsidR="00773E6D" w:rsidRPr="00451D97" w:rsidRDefault="00AA0EBC" w:rsidP="00BA3F96">
            <w:pPr>
              <w:textAlignment w:val="baseline"/>
              <w:rPr>
                <w:rFonts w:asciiTheme="majorHAnsi" w:eastAsia="Times New Roman" w:hAnsiTheme="majorHAnsi" w:cstheme="majorHAnsi"/>
                <w:sz w:val="16"/>
                <w:szCs w:val="16"/>
                <w:lang w:val="en-CA" w:eastAsia="en-CA"/>
              </w:rPr>
            </w:pPr>
            <w:r w:rsidRPr="00451D97">
              <w:rPr>
                <w:rFonts w:asciiTheme="majorHAnsi" w:eastAsia="Times New Roman" w:hAnsiTheme="majorHAnsi" w:cstheme="majorHAnsi"/>
                <w:b/>
                <w:bCs/>
                <w:color w:val="FFFFFF"/>
                <w:sz w:val="16"/>
                <w:szCs w:val="16"/>
                <w:lang w:eastAsia="en-CA"/>
              </w:rPr>
              <w:t xml:space="preserve">Inclusion of at least one member knowledgeable in Pediatrics/Child Health </w:t>
            </w:r>
            <w:r w:rsidRPr="00451D97">
              <w:rPr>
                <w:rFonts w:asciiTheme="majorHAnsi" w:eastAsia="Times New Roman" w:hAnsiTheme="majorHAnsi" w:cstheme="majorHAnsi"/>
                <w:color w:val="FFFFFF"/>
                <w:sz w:val="16"/>
                <w:szCs w:val="16"/>
                <w:lang w:val="en-CA" w:eastAsia="en-CA"/>
              </w:rPr>
              <w:t xml:space="preserve"> </w:t>
            </w:r>
          </w:p>
        </w:tc>
        <w:tc>
          <w:tcPr>
            <w:tcW w:w="2214" w:type="dxa"/>
            <w:tcBorders>
              <w:top w:val="single" w:sz="6" w:space="0" w:color="auto"/>
              <w:left w:val="single" w:sz="6" w:space="0" w:color="auto"/>
              <w:bottom w:val="single" w:sz="6" w:space="0" w:color="auto"/>
              <w:right w:val="single" w:sz="6" w:space="0" w:color="auto"/>
            </w:tcBorders>
            <w:shd w:val="clear" w:color="auto" w:fill="D0CECE"/>
            <w:hideMark/>
          </w:tcPr>
          <w:p w14:paraId="293B9A85" w14:textId="52699E7E" w:rsidR="00773E6D" w:rsidRPr="00451D97" w:rsidRDefault="00F03A14" w:rsidP="00BA3F96">
            <w:pPr>
              <w:textAlignment w:val="baseline"/>
              <w:rPr>
                <w:rFonts w:asciiTheme="majorHAnsi" w:eastAsia="Times New Roman" w:hAnsiTheme="majorHAnsi" w:cstheme="majorHAnsi"/>
                <w:sz w:val="16"/>
                <w:szCs w:val="16"/>
                <w:lang w:val="en-CA" w:eastAsia="en-CA"/>
              </w:rPr>
            </w:pPr>
            <w:r w:rsidRPr="00451D97">
              <w:rPr>
                <w:rFonts w:asciiTheme="majorHAnsi" w:eastAsia="Times New Roman" w:hAnsiTheme="majorHAnsi" w:cstheme="majorHAnsi"/>
                <w:b/>
                <w:bCs/>
                <w:color w:val="FFFFFF"/>
                <w:sz w:val="16"/>
                <w:szCs w:val="16"/>
                <w:lang w:eastAsia="en-CA"/>
              </w:rPr>
              <w:t>Assent requirements for included children</w:t>
            </w:r>
          </w:p>
        </w:tc>
        <w:tc>
          <w:tcPr>
            <w:tcW w:w="1751" w:type="dxa"/>
            <w:tcBorders>
              <w:top w:val="single" w:sz="6" w:space="0" w:color="auto"/>
              <w:left w:val="single" w:sz="6" w:space="0" w:color="auto"/>
              <w:bottom w:val="single" w:sz="6" w:space="0" w:color="auto"/>
              <w:right w:val="single" w:sz="6" w:space="0" w:color="auto"/>
            </w:tcBorders>
            <w:shd w:val="clear" w:color="auto" w:fill="D0CECE"/>
            <w:hideMark/>
          </w:tcPr>
          <w:p w14:paraId="6EA39729" w14:textId="77777777" w:rsidR="00773E6D" w:rsidRPr="00451D97" w:rsidRDefault="00773E6D" w:rsidP="00BA3F96">
            <w:pPr>
              <w:textAlignment w:val="baseline"/>
              <w:rPr>
                <w:rFonts w:asciiTheme="majorHAnsi" w:eastAsia="Times New Roman" w:hAnsiTheme="majorHAnsi" w:cstheme="majorHAnsi"/>
                <w:sz w:val="16"/>
                <w:szCs w:val="16"/>
                <w:lang w:val="en-CA" w:eastAsia="en-CA"/>
              </w:rPr>
            </w:pPr>
            <w:r w:rsidRPr="00451D97">
              <w:rPr>
                <w:rFonts w:asciiTheme="majorHAnsi" w:eastAsia="Times New Roman" w:hAnsiTheme="majorHAnsi" w:cstheme="majorHAnsi"/>
                <w:b/>
                <w:bCs/>
                <w:color w:val="FFFFFF"/>
                <w:sz w:val="16"/>
                <w:szCs w:val="16"/>
                <w:lang w:eastAsia="en-CA"/>
              </w:rPr>
              <w:t>Dual Signatures for Consent/Assent Forms</w:t>
            </w:r>
            <w:r w:rsidRPr="00451D97">
              <w:rPr>
                <w:rFonts w:asciiTheme="majorHAnsi" w:eastAsia="Times New Roman" w:hAnsiTheme="majorHAnsi" w:cstheme="majorHAnsi"/>
                <w:color w:val="FFFFFF"/>
                <w:sz w:val="16"/>
                <w:szCs w:val="16"/>
                <w:lang w:val="en-CA" w:eastAsia="en-CA"/>
              </w:rPr>
              <w:t> </w:t>
            </w:r>
          </w:p>
        </w:tc>
      </w:tr>
      <w:tr w:rsidR="00773E6D" w:rsidRPr="000F512E" w14:paraId="5CF0252C" w14:textId="77777777" w:rsidTr="00BA3F96">
        <w:trPr>
          <w:trHeight w:val="300"/>
        </w:trPr>
        <w:tc>
          <w:tcPr>
            <w:tcW w:w="1286" w:type="dxa"/>
            <w:tcBorders>
              <w:top w:val="single" w:sz="6" w:space="0" w:color="auto"/>
              <w:left w:val="single" w:sz="6" w:space="0" w:color="auto"/>
              <w:bottom w:val="single" w:sz="6" w:space="0" w:color="auto"/>
              <w:right w:val="single" w:sz="6" w:space="0" w:color="auto"/>
            </w:tcBorders>
            <w:shd w:val="clear" w:color="auto" w:fill="auto"/>
            <w:hideMark/>
          </w:tcPr>
          <w:p w14:paraId="1636136B"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b/>
                <w:bCs/>
                <w:sz w:val="16"/>
                <w:szCs w:val="16"/>
                <w:lang w:eastAsia="en-CA"/>
              </w:rPr>
              <w:t>Australia</w:t>
            </w:r>
            <w:r w:rsidRPr="00451D97">
              <w:rPr>
                <w:rFonts w:eastAsia="Times New Roman"/>
                <w:sz w:val="16"/>
                <w:szCs w:val="16"/>
                <w:lang w:val="en-CA" w:eastAsia="en-CA"/>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393AF90"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No, NMA currently applies to publicly funded health services across jurisdictions. No for profit HRECs currently registered for pediatric studies</w:t>
            </w:r>
            <w:r w:rsidRPr="00451D97">
              <w:rPr>
                <w:rFonts w:eastAsia="Times New Roman"/>
                <w:sz w:val="16"/>
                <w:szCs w:val="16"/>
                <w:lang w:val="en-CA" w:eastAsia="en-CA"/>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43C2E9ED"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Same</w:t>
            </w:r>
            <w:r w:rsidRPr="00451D97">
              <w:rPr>
                <w:rFonts w:eastAsia="Times New Roman"/>
                <w:sz w:val="16"/>
                <w:szCs w:val="16"/>
                <w:lang w:val="en-CA" w:eastAsia="en-CA"/>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2794EEEF"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Human Research Ethics Board must be accredited and registered for pediatric research</w:t>
            </w:r>
            <w:r w:rsidRPr="00451D97">
              <w:rPr>
                <w:rFonts w:eastAsia="Times New Roman"/>
                <w:sz w:val="16"/>
                <w:szCs w:val="16"/>
                <w:lang w:val="en-CA" w:eastAsia="en-CA"/>
              </w:rPr>
              <w:t>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179F0564"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Not applicable</w:t>
            </w:r>
            <w:r w:rsidRPr="00451D97">
              <w:rPr>
                <w:rFonts w:eastAsia="Times New Roman"/>
                <w:sz w:val="16"/>
                <w:szCs w:val="16"/>
                <w:lang w:val="en-CA" w:eastAsia="en-CA"/>
              </w:rPr>
              <w:t> </w:t>
            </w:r>
          </w:p>
          <w:p w14:paraId="4A9E9A81"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“Assent” not recognized by the National Statement </w:t>
            </w:r>
            <w:r w:rsidRPr="00451D97">
              <w:rPr>
                <w:rFonts w:eastAsia="Times New Roman"/>
                <w:sz w:val="16"/>
                <w:szCs w:val="16"/>
                <w:lang w:val="en-CA" w:eastAsia="en-CA"/>
              </w:rPr>
              <w:t> </w:t>
            </w:r>
          </w:p>
          <w:p w14:paraId="419A2426"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Most institutions require consent if the mature minor parallel with parental/carer consent</w:t>
            </w:r>
            <w:r w:rsidRPr="00451D97">
              <w:rPr>
                <w:rFonts w:eastAsia="Times New Roman"/>
                <w:sz w:val="16"/>
                <w:szCs w:val="16"/>
                <w:lang w:val="en-CA" w:eastAsia="en-CA"/>
              </w:rPr>
              <w:t> </w:t>
            </w:r>
          </w:p>
        </w:tc>
        <w:tc>
          <w:tcPr>
            <w:tcW w:w="1751" w:type="dxa"/>
            <w:tcBorders>
              <w:top w:val="single" w:sz="6" w:space="0" w:color="auto"/>
              <w:left w:val="single" w:sz="6" w:space="0" w:color="auto"/>
              <w:bottom w:val="single" w:sz="6" w:space="0" w:color="auto"/>
              <w:right w:val="single" w:sz="6" w:space="0" w:color="auto"/>
            </w:tcBorders>
            <w:shd w:val="clear" w:color="auto" w:fill="auto"/>
            <w:hideMark/>
          </w:tcPr>
          <w:p w14:paraId="5169A51D"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Only if determined by the review body. Most will adopt a family centric approach.</w:t>
            </w:r>
            <w:r w:rsidRPr="00451D97">
              <w:rPr>
                <w:rFonts w:eastAsia="Times New Roman"/>
                <w:sz w:val="16"/>
                <w:szCs w:val="16"/>
                <w:lang w:val="en-CA" w:eastAsia="en-CA"/>
              </w:rPr>
              <w:t> </w:t>
            </w:r>
          </w:p>
        </w:tc>
      </w:tr>
      <w:tr w:rsidR="00773E6D" w:rsidRPr="000F512E" w14:paraId="2E05EA83" w14:textId="77777777" w:rsidTr="00BA3F96">
        <w:trPr>
          <w:trHeight w:val="300"/>
        </w:trPr>
        <w:tc>
          <w:tcPr>
            <w:tcW w:w="1286" w:type="dxa"/>
            <w:tcBorders>
              <w:top w:val="single" w:sz="6" w:space="0" w:color="auto"/>
              <w:left w:val="single" w:sz="6" w:space="0" w:color="auto"/>
              <w:bottom w:val="single" w:sz="6" w:space="0" w:color="auto"/>
              <w:right w:val="single" w:sz="6" w:space="0" w:color="auto"/>
            </w:tcBorders>
            <w:shd w:val="clear" w:color="auto" w:fill="auto"/>
            <w:hideMark/>
          </w:tcPr>
          <w:p w14:paraId="03CEE872"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b/>
                <w:bCs/>
                <w:sz w:val="16"/>
                <w:szCs w:val="16"/>
                <w:lang w:eastAsia="en-CA"/>
              </w:rPr>
              <w:t>Canada</w:t>
            </w:r>
            <w:r w:rsidRPr="00451D97">
              <w:rPr>
                <w:rFonts w:eastAsia="Times New Roman"/>
                <w:sz w:val="16"/>
                <w:szCs w:val="16"/>
                <w:lang w:val="en-CA" w:eastAsia="en-CA"/>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3B820A0"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No</w:t>
            </w:r>
            <w:r w:rsidRPr="00451D97">
              <w:rPr>
                <w:rFonts w:eastAsia="Times New Roman"/>
                <w:sz w:val="16"/>
                <w:szCs w:val="16"/>
                <w:lang w:val="en-CA" w:eastAsia="en-CA"/>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39C87158"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Same</w:t>
            </w:r>
            <w:r w:rsidRPr="00451D97">
              <w:rPr>
                <w:rFonts w:eastAsia="Times New Roman"/>
                <w:sz w:val="16"/>
                <w:szCs w:val="16"/>
                <w:lang w:val="en-CA" w:eastAsia="en-CA"/>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59B100ED"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No</w:t>
            </w:r>
            <w:r w:rsidRPr="00451D97">
              <w:rPr>
                <w:rFonts w:eastAsia="Times New Roman"/>
                <w:sz w:val="16"/>
                <w:szCs w:val="16"/>
                <w:lang w:val="en-CA" w:eastAsia="en-CA"/>
              </w:rPr>
              <w:t>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767D7AA2"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 xml:space="preserve">No formal requirement, typical administration for ages 7-14 but can vary depending on </w:t>
            </w:r>
            <w:proofErr w:type="gramStart"/>
            <w:r w:rsidRPr="00451D97">
              <w:rPr>
                <w:rFonts w:eastAsia="Times New Roman"/>
                <w:sz w:val="16"/>
                <w:szCs w:val="16"/>
                <w:lang w:eastAsia="en-CA"/>
              </w:rPr>
              <w:t>the  province</w:t>
            </w:r>
            <w:proofErr w:type="gramEnd"/>
            <w:r w:rsidRPr="00451D97">
              <w:rPr>
                <w:rFonts w:eastAsia="Times New Roman"/>
                <w:sz w:val="16"/>
                <w:szCs w:val="16"/>
                <w:lang w:val="en-CA" w:eastAsia="en-CA"/>
              </w:rPr>
              <w:t> </w:t>
            </w:r>
          </w:p>
        </w:tc>
        <w:tc>
          <w:tcPr>
            <w:tcW w:w="1751" w:type="dxa"/>
            <w:tcBorders>
              <w:top w:val="single" w:sz="6" w:space="0" w:color="auto"/>
              <w:left w:val="single" w:sz="6" w:space="0" w:color="auto"/>
              <w:bottom w:val="single" w:sz="6" w:space="0" w:color="auto"/>
              <w:right w:val="single" w:sz="6" w:space="0" w:color="auto"/>
            </w:tcBorders>
            <w:shd w:val="clear" w:color="auto" w:fill="auto"/>
            <w:hideMark/>
          </w:tcPr>
          <w:p w14:paraId="46D68054"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No</w:t>
            </w:r>
            <w:r w:rsidRPr="00451D97">
              <w:rPr>
                <w:rFonts w:eastAsia="Times New Roman"/>
                <w:sz w:val="16"/>
                <w:szCs w:val="16"/>
                <w:lang w:val="en-CA" w:eastAsia="en-CA"/>
              </w:rPr>
              <w:t> </w:t>
            </w:r>
          </w:p>
        </w:tc>
      </w:tr>
      <w:tr w:rsidR="00773E6D" w:rsidRPr="000F512E" w14:paraId="575249DE" w14:textId="77777777" w:rsidTr="00BA3F96">
        <w:trPr>
          <w:trHeight w:val="300"/>
        </w:trPr>
        <w:tc>
          <w:tcPr>
            <w:tcW w:w="1286" w:type="dxa"/>
            <w:tcBorders>
              <w:top w:val="single" w:sz="6" w:space="0" w:color="auto"/>
              <w:left w:val="single" w:sz="6" w:space="0" w:color="auto"/>
              <w:bottom w:val="single" w:sz="6" w:space="0" w:color="auto"/>
              <w:right w:val="single" w:sz="6" w:space="0" w:color="auto"/>
            </w:tcBorders>
            <w:shd w:val="clear" w:color="auto" w:fill="auto"/>
            <w:hideMark/>
          </w:tcPr>
          <w:p w14:paraId="34026ED2"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b/>
                <w:bCs/>
                <w:sz w:val="16"/>
                <w:szCs w:val="16"/>
                <w:lang w:eastAsia="en-CA"/>
              </w:rPr>
              <w:t>EU</w:t>
            </w:r>
            <w:r w:rsidRPr="00451D97">
              <w:rPr>
                <w:rFonts w:eastAsia="Times New Roman"/>
                <w:sz w:val="16"/>
                <w:szCs w:val="16"/>
                <w:lang w:val="en-CA" w:eastAsia="en-CA"/>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C622FDA"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No</w:t>
            </w:r>
            <w:r w:rsidRPr="00451D97">
              <w:rPr>
                <w:rFonts w:eastAsia="Times New Roman"/>
                <w:sz w:val="16"/>
                <w:szCs w:val="16"/>
                <w:lang w:val="en-CA" w:eastAsia="en-CA"/>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3DD29590"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Same</w:t>
            </w:r>
            <w:r w:rsidRPr="00451D97">
              <w:rPr>
                <w:rFonts w:eastAsia="Times New Roman"/>
                <w:sz w:val="16"/>
                <w:szCs w:val="16"/>
                <w:lang w:val="en-CA" w:eastAsia="en-CA"/>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52C08735"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Yes</w:t>
            </w:r>
            <w:r w:rsidRPr="00451D97">
              <w:rPr>
                <w:rFonts w:eastAsia="Times New Roman"/>
                <w:sz w:val="16"/>
                <w:szCs w:val="16"/>
                <w:lang w:val="en-CA" w:eastAsia="en-CA"/>
              </w:rPr>
              <w:t>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3F0FEA8C"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Varies depending on country</w:t>
            </w:r>
            <w:r w:rsidRPr="00451D97">
              <w:rPr>
                <w:rFonts w:eastAsia="Times New Roman"/>
                <w:sz w:val="16"/>
                <w:szCs w:val="16"/>
                <w:lang w:val="en-CA" w:eastAsia="en-CA"/>
              </w:rPr>
              <w:t> </w:t>
            </w:r>
          </w:p>
        </w:tc>
        <w:tc>
          <w:tcPr>
            <w:tcW w:w="1751" w:type="dxa"/>
            <w:tcBorders>
              <w:top w:val="single" w:sz="6" w:space="0" w:color="auto"/>
              <w:left w:val="single" w:sz="6" w:space="0" w:color="auto"/>
              <w:bottom w:val="single" w:sz="6" w:space="0" w:color="auto"/>
              <w:right w:val="single" w:sz="6" w:space="0" w:color="auto"/>
            </w:tcBorders>
            <w:shd w:val="clear" w:color="auto" w:fill="auto"/>
            <w:hideMark/>
          </w:tcPr>
          <w:p w14:paraId="60A5E515"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Varies depending on country </w:t>
            </w:r>
            <w:r w:rsidRPr="00451D97">
              <w:rPr>
                <w:rFonts w:eastAsia="Times New Roman"/>
                <w:sz w:val="16"/>
                <w:szCs w:val="16"/>
                <w:lang w:val="en-CA" w:eastAsia="en-CA"/>
              </w:rPr>
              <w:t> </w:t>
            </w:r>
          </w:p>
        </w:tc>
      </w:tr>
      <w:tr w:rsidR="00773E6D" w:rsidRPr="000F512E" w14:paraId="3A652C2F" w14:textId="77777777" w:rsidTr="00BA3F96">
        <w:trPr>
          <w:trHeight w:val="300"/>
        </w:trPr>
        <w:tc>
          <w:tcPr>
            <w:tcW w:w="1286" w:type="dxa"/>
            <w:tcBorders>
              <w:top w:val="single" w:sz="6" w:space="0" w:color="auto"/>
              <w:left w:val="single" w:sz="6" w:space="0" w:color="auto"/>
              <w:bottom w:val="single" w:sz="6" w:space="0" w:color="auto"/>
              <w:right w:val="single" w:sz="6" w:space="0" w:color="auto"/>
            </w:tcBorders>
            <w:shd w:val="clear" w:color="auto" w:fill="auto"/>
            <w:hideMark/>
          </w:tcPr>
          <w:p w14:paraId="0AE8B16D"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b/>
                <w:bCs/>
                <w:sz w:val="16"/>
                <w:szCs w:val="16"/>
                <w:lang w:eastAsia="en-CA"/>
              </w:rPr>
              <w:t>Japan</w:t>
            </w:r>
            <w:r w:rsidRPr="00451D97">
              <w:rPr>
                <w:rFonts w:eastAsia="Times New Roman"/>
                <w:sz w:val="16"/>
                <w:szCs w:val="16"/>
                <w:lang w:val="en-CA" w:eastAsia="en-CA"/>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1BEB6C08"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 xml:space="preserve">Not common. Some site management organization </w:t>
            </w:r>
            <w:proofErr w:type="gramStart"/>
            <w:r w:rsidRPr="00451D97">
              <w:rPr>
                <w:rFonts w:eastAsia="Times New Roman"/>
                <w:sz w:val="16"/>
                <w:szCs w:val="16"/>
                <w:lang w:eastAsia="en-CA"/>
              </w:rPr>
              <w:t>have  for</w:t>
            </w:r>
            <w:proofErr w:type="gramEnd"/>
            <w:r w:rsidRPr="00451D97">
              <w:rPr>
                <w:rFonts w:eastAsia="Times New Roman"/>
                <w:sz w:val="16"/>
                <w:szCs w:val="16"/>
                <w:lang w:eastAsia="en-CA"/>
              </w:rPr>
              <w:t>-profit ethics review boards.</w:t>
            </w:r>
            <w:r w:rsidRPr="00451D97">
              <w:rPr>
                <w:rFonts w:eastAsia="Times New Roman"/>
                <w:sz w:val="16"/>
                <w:szCs w:val="16"/>
                <w:lang w:val="en-CA" w:eastAsia="en-CA"/>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319C22AF"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Same. The review process for clinical trials intended for regulatory approval differs from the review process for other clinical trials.</w:t>
            </w:r>
            <w:r w:rsidRPr="00451D97">
              <w:rPr>
                <w:rFonts w:eastAsia="Times New Roman"/>
                <w:sz w:val="16"/>
                <w:szCs w:val="16"/>
                <w:lang w:val="en-CA" w:eastAsia="en-CA"/>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4DEB5AC1"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Not a regulatory requirement.</w:t>
            </w:r>
            <w:r w:rsidRPr="00451D97">
              <w:rPr>
                <w:rFonts w:eastAsia="Times New Roman"/>
                <w:sz w:val="16"/>
                <w:szCs w:val="16"/>
                <w:lang w:val="en-CA" w:eastAsia="en-CA"/>
              </w:rPr>
              <w:t>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59058D61"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 xml:space="preserve">Not required, but recommended. School age </w:t>
            </w:r>
            <w:proofErr w:type="gramStart"/>
            <w:r w:rsidRPr="00451D97">
              <w:rPr>
                <w:rFonts w:eastAsia="Times New Roman"/>
                <w:sz w:val="16"/>
                <w:szCs w:val="16"/>
                <w:lang w:eastAsia="en-CA"/>
              </w:rPr>
              <w:t>children  and</w:t>
            </w:r>
            <w:proofErr w:type="gramEnd"/>
            <w:r w:rsidRPr="00451D97">
              <w:rPr>
                <w:rFonts w:eastAsia="Times New Roman"/>
                <w:sz w:val="16"/>
                <w:szCs w:val="16"/>
                <w:lang w:eastAsia="en-CA"/>
              </w:rPr>
              <w:t xml:space="preserve"> older (7 years and older) based on the Q&amp;A for ICH E-11.</w:t>
            </w:r>
            <w:r w:rsidRPr="00451D97">
              <w:rPr>
                <w:rFonts w:eastAsia="Times New Roman"/>
                <w:sz w:val="16"/>
                <w:szCs w:val="16"/>
                <w:lang w:val="en-CA" w:eastAsia="en-CA"/>
              </w:rPr>
              <w:t> </w:t>
            </w:r>
          </w:p>
        </w:tc>
        <w:tc>
          <w:tcPr>
            <w:tcW w:w="1751" w:type="dxa"/>
            <w:tcBorders>
              <w:top w:val="single" w:sz="6" w:space="0" w:color="auto"/>
              <w:left w:val="single" w:sz="6" w:space="0" w:color="auto"/>
              <w:bottom w:val="single" w:sz="6" w:space="0" w:color="auto"/>
              <w:right w:val="single" w:sz="6" w:space="0" w:color="auto"/>
            </w:tcBorders>
            <w:shd w:val="clear" w:color="auto" w:fill="auto"/>
            <w:hideMark/>
          </w:tcPr>
          <w:p w14:paraId="450DB853" w14:textId="77777777" w:rsidR="00773E6D" w:rsidRPr="00451D97" w:rsidRDefault="00773E6D" w:rsidP="00BA3F96">
            <w:pPr>
              <w:textAlignment w:val="baseline"/>
              <w:rPr>
                <w:rFonts w:eastAsia="Times New Roman"/>
                <w:sz w:val="16"/>
                <w:szCs w:val="16"/>
                <w:lang w:val="en-CA" w:eastAsia="en-CA"/>
              </w:rPr>
            </w:pPr>
            <w:proofErr w:type="gramStart"/>
            <w:r w:rsidRPr="00451D97">
              <w:rPr>
                <w:rFonts w:eastAsia="Times New Roman"/>
                <w:sz w:val="16"/>
                <w:szCs w:val="16"/>
                <w:lang w:eastAsia="en-CA"/>
              </w:rPr>
              <w:t>Generally</w:t>
            </w:r>
            <w:proofErr w:type="gramEnd"/>
            <w:r w:rsidRPr="00451D97">
              <w:rPr>
                <w:rFonts w:eastAsia="Times New Roman"/>
                <w:sz w:val="16"/>
                <w:szCs w:val="16"/>
                <w:lang w:eastAsia="en-CA"/>
              </w:rPr>
              <w:t xml:space="preserve"> no. Only if determined by the review body </w:t>
            </w:r>
            <w:r w:rsidRPr="00451D97">
              <w:rPr>
                <w:rFonts w:eastAsia="Times New Roman"/>
                <w:sz w:val="16"/>
                <w:szCs w:val="16"/>
                <w:lang w:val="en-CA" w:eastAsia="en-CA"/>
              </w:rPr>
              <w:t> </w:t>
            </w:r>
          </w:p>
        </w:tc>
      </w:tr>
      <w:tr w:rsidR="00773E6D" w:rsidRPr="000F512E" w14:paraId="00FB89AD" w14:textId="77777777" w:rsidTr="00BA3F96">
        <w:trPr>
          <w:trHeight w:val="300"/>
        </w:trPr>
        <w:tc>
          <w:tcPr>
            <w:tcW w:w="1286" w:type="dxa"/>
            <w:tcBorders>
              <w:top w:val="single" w:sz="6" w:space="0" w:color="auto"/>
              <w:left w:val="single" w:sz="6" w:space="0" w:color="auto"/>
              <w:bottom w:val="single" w:sz="6" w:space="0" w:color="auto"/>
              <w:right w:val="single" w:sz="6" w:space="0" w:color="auto"/>
            </w:tcBorders>
            <w:shd w:val="clear" w:color="auto" w:fill="auto"/>
            <w:hideMark/>
          </w:tcPr>
          <w:p w14:paraId="565CCD5B"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b/>
                <w:bCs/>
                <w:sz w:val="16"/>
                <w:szCs w:val="16"/>
                <w:lang w:eastAsia="en-CA"/>
              </w:rPr>
              <w:t>United States</w:t>
            </w:r>
            <w:r w:rsidRPr="00451D97">
              <w:rPr>
                <w:rFonts w:eastAsia="Times New Roman"/>
                <w:sz w:val="16"/>
                <w:szCs w:val="16"/>
                <w:lang w:val="en-CA" w:eastAsia="en-CA"/>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13F046F"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Yes. The review and approval of research by for-profit commercial IRBs is permitted </w:t>
            </w:r>
            <w:r w:rsidRPr="00451D97">
              <w:rPr>
                <w:rFonts w:eastAsia="Times New Roman"/>
                <w:sz w:val="16"/>
                <w:szCs w:val="16"/>
                <w:lang w:val="en-CA" w:eastAsia="en-CA"/>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2999F124"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 xml:space="preserve">Non-exempt federally conducted or supported research subject to the Common </w:t>
            </w:r>
            <w:proofErr w:type="gramStart"/>
            <w:r w:rsidRPr="00451D97">
              <w:rPr>
                <w:rFonts w:eastAsia="Times New Roman"/>
                <w:sz w:val="16"/>
                <w:szCs w:val="16"/>
                <w:lang w:eastAsia="en-CA"/>
              </w:rPr>
              <w:t>Rule  must</w:t>
            </w:r>
            <w:proofErr w:type="gramEnd"/>
            <w:r w:rsidRPr="00451D97">
              <w:rPr>
                <w:rFonts w:eastAsia="Times New Roman"/>
                <w:sz w:val="16"/>
                <w:szCs w:val="16"/>
                <w:lang w:eastAsia="en-CA"/>
              </w:rPr>
              <w:t xml:space="preserve"> go through an IRB registered with the federal government and follow the regulations at 45 CFR part 46 (or analogous regulations, depending on the federal department or agency conducting or supporting the research).  FDA-regulated clinical investigations must go through a registered IRB and follow applicable regulations, including, 21 CFR parts, 50, 56, 312, and/or </w:t>
            </w:r>
            <w:proofErr w:type="gramStart"/>
            <w:r w:rsidRPr="00451D97">
              <w:rPr>
                <w:rFonts w:eastAsia="Times New Roman"/>
                <w:sz w:val="16"/>
                <w:szCs w:val="16"/>
                <w:lang w:eastAsia="en-CA"/>
              </w:rPr>
              <w:t>812 .</w:t>
            </w:r>
            <w:proofErr w:type="gramEnd"/>
            <w:r w:rsidRPr="00451D97">
              <w:rPr>
                <w:rFonts w:eastAsia="Times New Roman"/>
                <w:sz w:val="16"/>
                <w:szCs w:val="16"/>
                <w:lang w:val="en-CA" w:eastAsia="en-CA"/>
              </w:rPr>
              <w:t> </w:t>
            </w:r>
          </w:p>
          <w:p w14:paraId="11C4AB40"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If a study is both federally conducted or supported and involves an FDA-regulated product, it may be subject to both FDA regulations and the Common Rule.</w:t>
            </w:r>
            <w:r w:rsidRPr="00451D97">
              <w:rPr>
                <w:rFonts w:eastAsia="Times New Roman"/>
                <w:sz w:val="16"/>
                <w:szCs w:val="16"/>
                <w:lang w:val="en-CA" w:eastAsia="en-CA"/>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40EA806E"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FDA regulations and the Common Rule require that the IRB be sufficiently qualified, including through the expertise and experience of its members to promote respect for its advice and counsel in safeguarding participants. If an IRB regularly reviews research that involves a vulnerable category of subjects, such as children, consideration must be given to the inclusion of one or more individuals who are knowledgeable about and experienced in working with those subjects. </w:t>
            </w:r>
            <w:r w:rsidRPr="00451D97">
              <w:rPr>
                <w:rFonts w:eastAsia="Times New Roman"/>
                <w:sz w:val="16"/>
                <w:szCs w:val="16"/>
                <w:lang w:val="en-CA" w:eastAsia="en-CA"/>
              </w:rPr>
              <w:t>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7F4DCF0E"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Need for assent determined by the IRB and based on the capability of the child </w:t>
            </w:r>
            <w:r w:rsidRPr="00451D97">
              <w:rPr>
                <w:rFonts w:eastAsia="Times New Roman"/>
                <w:sz w:val="16"/>
                <w:szCs w:val="16"/>
                <w:lang w:val="en-CA" w:eastAsia="en-CA"/>
              </w:rPr>
              <w:t> </w:t>
            </w:r>
          </w:p>
        </w:tc>
        <w:tc>
          <w:tcPr>
            <w:tcW w:w="1751" w:type="dxa"/>
            <w:tcBorders>
              <w:top w:val="single" w:sz="6" w:space="0" w:color="auto"/>
              <w:left w:val="single" w:sz="6" w:space="0" w:color="auto"/>
              <w:bottom w:val="single" w:sz="6" w:space="0" w:color="auto"/>
              <w:right w:val="single" w:sz="6" w:space="0" w:color="auto"/>
            </w:tcBorders>
            <w:shd w:val="clear" w:color="auto" w:fill="auto"/>
            <w:hideMark/>
          </w:tcPr>
          <w:p w14:paraId="670D36C8"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For studies with greater than minimal risk that offer no prospect of direct benefit to the individual child, the permission of both parents is generally required. IRBs may determine that the permission of one parent is sufficient for studies involving no greater than minimal risk or that offer the prospect of direct benefit.</w:t>
            </w:r>
            <w:r w:rsidRPr="00451D97">
              <w:rPr>
                <w:rFonts w:eastAsia="Times New Roman"/>
                <w:sz w:val="16"/>
                <w:szCs w:val="16"/>
                <w:lang w:val="en-CA" w:eastAsia="en-CA"/>
              </w:rPr>
              <w:t> </w:t>
            </w:r>
          </w:p>
        </w:tc>
      </w:tr>
      <w:tr w:rsidR="00773E6D" w:rsidRPr="000F512E" w14:paraId="177B4672" w14:textId="77777777" w:rsidTr="004F6B1D">
        <w:trPr>
          <w:trHeight w:val="468"/>
        </w:trPr>
        <w:tc>
          <w:tcPr>
            <w:tcW w:w="1286" w:type="dxa"/>
            <w:tcBorders>
              <w:top w:val="single" w:sz="6" w:space="0" w:color="auto"/>
              <w:left w:val="single" w:sz="6" w:space="0" w:color="auto"/>
              <w:bottom w:val="single" w:sz="6" w:space="0" w:color="auto"/>
              <w:right w:val="single" w:sz="6" w:space="0" w:color="auto"/>
            </w:tcBorders>
            <w:shd w:val="clear" w:color="auto" w:fill="auto"/>
            <w:hideMark/>
          </w:tcPr>
          <w:p w14:paraId="4CDD5E5B"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b/>
                <w:bCs/>
                <w:sz w:val="16"/>
                <w:szCs w:val="16"/>
                <w:lang w:eastAsia="en-CA"/>
              </w:rPr>
              <w:t>UK</w:t>
            </w:r>
            <w:r w:rsidRPr="00451D97">
              <w:rPr>
                <w:rFonts w:eastAsia="Times New Roman"/>
                <w:sz w:val="16"/>
                <w:szCs w:val="16"/>
                <w:lang w:val="en-CA" w:eastAsia="en-CA"/>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63799EDA"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Yes</w:t>
            </w:r>
            <w:r w:rsidRPr="00451D97">
              <w:rPr>
                <w:rFonts w:eastAsia="Times New Roman"/>
                <w:sz w:val="16"/>
                <w:szCs w:val="16"/>
                <w:lang w:val="en-CA" w:eastAsia="en-CA"/>
              </w:rPr>
              <w:t>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4BCFF5AC"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Same</w:t>
            </w:r>
            <w:r w:rsidRPr="00451D97">
              <w:rPr>
                <w:rFonts w:eastAsia="Times New Roman"/>
                <w:sz w:val="16"/>
                <w:szCs w:val="16"/>
                <w:lang w:val="en-CA" w:eastAsia="en-CA"/>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0410B795"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Yes</w:t>
            </w:r>
            <w:r w:rsidRPr="00451D97">
              <w:rPr>
                <w:rFonts w:eastAsia="Times New Roman"/>
                <w:sz w:val="16"/>
                <w:szCs w:val="16"/>
                <w:lang w:val="en-CA" w:eastAsia="en-CA"/>
              </w:rPr>
              <w:t>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105F786B"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eastAsia="en-CA"/>
              </w:rPr>
              <w:t>From approximately 7 years to 15 years </w:t>
            </w:r>
            <w:r w:rsidRPr="00451D97">
              <w:rPr>
                <w:rFonts w:eastAsia="Times New Roman"/>
                <w:sz w:val="16"/>
                <w:szCs w:val="16"/>
                <w:lang w:val="en-CA" w:eastAsia="en-CA"/>
              </w:rPr>
              <w:t> </w:t>
            </w:r>
          </w:p>
        </w:tc>
        <w:tc>
          <w:tcPr>
            <w:tcW w:w="1751" w:type="dxa"/>
            <w:tcBorders>
              <w:top w:val="single" w:sz="6" w:space="0" w:color="auto"/>
              <w:left w:val="single" w:sz="6" w:space="0" w:color="auto"/>
              <w:bottom w:val="single" w:sz="6" w:space="0" w:color="auto"/>
              <w:right w:val="single" w:sz="6" w:space="0" w:color="auto"/>
            </w:tcBorders>
            <w:shd w:val="clear" w:color="auto" w:fill="auto"/>
            <w:hideMark/>
          </w:tcPr>
          <w:p w14:paraId="399B5792" w14:textId="77777777" w:rsidR="00773E6D" w:rsidRPr="00451D97" w:rsidRDefault="00773E6D" w:rsidP="00BA3F96">
            <w:pPr>
              <w:textAlignment w:val="baseline"/>
              <w:rPr>
                <w:rFonts w:eastAsia="Times New Roman"/>
                <w:sz w:val="16"/>
                <w:szCs w:val="16"/>
                <w:lang w:val="en-CA" w:eastAsia="en-CA"/>
              </w:rPr>
            </w:pPr>
            <w:r w:rsidRPr="00451D97">
              <w:rPr>
                <w:rFonts w:eastAsia="Times New Roman"/>
                <w:sz w:val="16"/>
                <w:szCs w:val="16"/>
                <w:lang w:val="en-CA" w:eastAsia="en-CA"/>
              </w:rPr>
              <w:t> </w:t>
            </w:r>
          </w:p>
        </w:tc>
      </w:tr>
    </w:tbl>
    <w:p w14:paraId="6F4A450C" w14:textId="77777777" w:rsidR="00773E6D" w:rsidRPr="00451D97" w:rsidRDefault="00773E6D" w:rsidP="00773E6D">
      <w:pPr>
        <w:ind w:right="-435"/>
        <w:textAlignment w:val="baseline"/>
        <w:rPr>
          <w:rFonts w:ascii="Segoe UI" w:eastAsia="Times New Roman" w:hAnsi="Segoe UI" w:cs="Segoe UI"/>
          <w:sz w:val="16"/>
          <w:szCs w:val="16"/>
          <w:lang w:val="en-CA" w:eastAsia="en-CA"/>
        </w:rPr>
      </w:pPr>
      <w:r w:rsidRPr="00451D97">
        <w:rPr>
          <w:rFonts w:eastAsia="Times New Roman"/>
          <w:sz w:val="16"/>
          <w:szCs w:val="16"/>
          <w:lang w:val="en-CA" w:eastAsia="en-CA"/>
        </w:rPr>
        <w:t> </w:t>
      </w:r>
    </w:p>
    <w:p w14:paraId="5658DE4F" w14:textId="77777777" w:rsidR="00773E6D" w:rsidRPr="00451D97" w:rsidRDefault="00773E6D" w:rsidP="00773E6D">
      <w:pPr>
        <w:pStyle w:val="BodyText1"/>
        <w:rPr>
          <w:rFonts w:eastAsiaTheme="minorEastAsia" w:cs="Times New Roman"/>
          <w:sz w:val="14"/>
          <w:szCs w:val="14"/>
          <w:lang w:eastAsia="ja-JP"/>
        </w:rPr>
      </w:pPr>
    </w:p>
    <w:sectPr w:rsidR="00773E6D" w:rsidRPr="00451D97" w:rsidSect="00DA48E2">
      <w:footerReference w:type="even" r:id="rId30"/>
      <w:footerReference w:type="default" r:id="rId31"/>
      <w:footerReference w:type="first" r:id="rId32"/>
      <w:pgSz w:w="12240" w:h="15840"/>
      <w:pgMar w:top="1440" w:right="1440" w:bottom="1440" w:left="1440" w:header="708" w:footer="708" w:gutter="0"/>
      <w:lnNumType w:countBy="1" w:restart="continuous"/>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58A4" w14:textId="77777777" w:rsidR="00FE0C5D" w:rsidRDefault="00FE0C5D" w:rsidP="00F66EFD">
      <w:r>
        <w:separator/>
      </w:r>
    </w:p>
  </w:endnote>
  <w:endnote w:type="continuationSeparator" w:id="0">
    <w:p w14:paraId="390D8CC3" w14:textId="77777777" w:rsidR="00FE0C5D" w:rsidRDefault="00FE0C5D" w:rsidP="00F6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DEFC" w14:textId="77777777" w:rsidR="00E06E7F" w:rsidRDefault="00E06E7F" w:rsidP="00256B4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6AF6A" w14:textId="77777777" w:rsidR="00E06E7F" w:rsidRDefault="00E06E7F" w:rsidP="00F66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2CA" w14:textId="58F95965" w:rsidR="00E06E7F" w:rsidRDefault="00E06E7F" w:rsidP="00256B4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869">
      <w:rPr>
        <w:rStyle w:val="PageNumber"/>
        <w:noProof/>
      </w:rPr>
      <w:t>- 6 -</w:t>
    </w:r>
    <w:r>
      <w:rPr>
        <w:rStyle w:val="PageNumber"/>
      </w:rPr>
      <w:fldChar w:fldCharType="end"/>
    </w:r>
  </w:p>
  <w:p w14:paraId="59B548BA" w14:textId="77777777" w:rsidR="00E06E7F" w:rsidRDefault="00E06E7F" w:rsidP="00F66E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153584"/>
      <w:docPartObj>
        <w:docPartGallery w:val="Page Numbers (Bottom of Page)"/>
        <w:docPartUnique/>
      </w:docPartObj>
    </w:sdtPr>
    <w:sdtEndPr>
      <w:rPr>
        <w:noProof/>
      </w:rPr>
    </w:sdtEndPr>
    <w:sdtContent>
      <w:p w14:paraId="497A6561" w14:textId="060DE28D" w:rsidR="00E06E7F" w:rsidRDefault="00E06E7F" w:rsidP="0015031C">
        <w:pPr>
          <w:pStyle w:val="Footer"/>
          <w:jc w:val="right"/>
          <w:rPr>
            <w:noProof/>
          </w:rPr>
        </w:pPr>
        <w:r>
          <w:fldChar w:fldCharType="begin"/>
        </w:r>
        <w:r>
          <w:instrText xml:space="preserve"> PAGE   \* MERGEFORMAT </w:instrText>
        </w:r>
        <w:r>
          <w:fldChar w:fldCharType="separate"/>
        </w:r>
        <w:r w:rsidR="000435A2">
          <w:rPr>
            <w:noProof/>
          </w:rPr>
          <w:t>- 1 -</w:t>
        </w:r>
        <w:r>
          <w:rPr>
            <w:noProof/>
          </w:rPr>
          <w:fldChar w:fldCharType="end"/>
        </w:r>
      </w:p>
    </w:sdtContent>
  </w:sdt>
  <w:p w14:paraId="02FFF42E" w14:textId="504E8F58" w:rsidR="00E06E7F" w:rsidRDefault="00E06E7F" w:rsidP="00DA48E2">
    <w:pPr>
      <w:pStyle w:val="Footer"/>
      <w:ind w:firstLine="0"/>
    </w:pPr>
    <w:r>
      <w:t>Number of Words:</w:t>
    </w:r>
    <w:r w:rsidR="003F6009">
      <w:t>4171</w:t>
    </w:r>
    <w:r>
      <w:tab/>
      <w:t>Number of Tables:1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D7EF" w14:textId="77777777" w:rsidR="00FE0C5D" w:rsidRDefault="00FE0C5D" w:rsidP="00F66EFD">
      <w:r>
        <w:separator/>
      </w:r>
    </w:p>
  </w:footnote>
  <w:footnote w:type="continuationSeparator" w:id="0">
    <w:p w14:paraId="3BD1FEBE" w14:textId="77777777" w:rsidR="00FE0C5D" w:rsidRDefault="00FE0C5D" w:rsidP="00F66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C1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015E9"/>
    <w:multiLevelType w:val="hybridMultilevel"/>
    <w:tmpl w:val="BDA4F2C2"/>
    <w:lvl w:ilvl="0" w:tplc="36327F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012C"/>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720389"/>
    <w:multiLevelType w:val="multilevel"/>
    <w:tmpl w:val="B1C8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20E1E"/>
    <w:multiLevelType w:val="hybridMultilevel"/>
    <w:tmpl w:val="7378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752EB"/>
    <w:multiLevelType w:val="hybridMultilevel"/>
    <w:tmpl w:val="4FA87716"/>
    <w:lvl w:ilvl="0" w:tplc="D414B9BE">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15:restartNumberingAfterBreak="0">
    <w:nsid w:val="12F023F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442AE9"/>
    <w:multiLevelType w:val="hybridMultilevel"/>
    <w:tmpl w:val="97589280"/>
    <w:lvl w:ilvl="0" w:tplc="1E527640">
      <w:start w:val="1"/>
      <w:numFmt w:val="decimal"/>
      <w:lvlText w:val="%1."/>
      <w:lvlJc w:val="right"/>
      <w:pPr>
        <w:ind w:left="567" w:hanging="283"/>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55325D"/>
    <w:multiLevelType w:val="hybridMultilevel"/>
    <w:tmpl w:val="35661158"/>
    <w:lvl w:ilvl="0" w:tplc="04090011">
      <w:start w:val="1"/>
      <w:numFmt w:val="decimal"/>
      <w:lvlText w:val="%1)"/>
      <w:lvlJc w:val="left"/>
      <w:pPr>
        <w:ind w:left="720" w:hanging="360"/>
      </w:pPr>
      <w:rPr>
        <w:rFonts w:hint="default"/>
      </w:rPr>
    </w:lvl>
    <w:lvl w:ilvl="1" w:tplc="04090019">
      <w:start w:val="1"/>
      <w:numFmt w:val="lowerLetter"/>
      <w:lvlText w:val="%2."/>
      <w:lvlJc w:val="left"/>
      <w:pPr>
        <w:ind w:left="1353"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D28CA"/>
    <w:multiLevelType w:val="multilevel"/>
    <w:tmpl w:val="09FE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E5E59"/>
    <w:multiLevelType w:val="hybridMultilevel"/>
    <w:tmpl w:val="638AFAEC"/>
    <w:lvl w:ilvl="0" w:tplc="C40EF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8511D"/>
    <w:multiLevelType w:val="hybridMultilevel"/>
    <w:tmpl w:val="E9EC830C"/>
    <w:lvl w:ilvl="0" w:tplc="81AE6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94113"/>
    <w:multiLevelType w:val="hybridMultilevel"/>
    <w:tmpl w:val="53D468D6"/>
    <w:lvl w:ilvl="0" w:tplc="0409001B">
      <w:start w:val="1"/>
      <w:numFmt w:val="lowerRoman"/>
      <w:lvlText w:val="%1."/>
      <w:lvlJc w:val="righ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3EE29B1"/>
    <w:multiLevelType w:val="multilevel"/>
    <w:tmpl w:val="40042A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2E05D5"/>
    <w:multiLevelType w:val="hybridMultilevel"/>
    <w:tmpl w:val="BBB4829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ADB496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6D60C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F36D6F"/>
    <w:multiLevelType w:val="hybridMultilevel"/>
    <w:tmpl w:val="217A894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32F939C2"/>
    <w:multiLevelType w:val="multilevel"/>
    <w:tmpl w:val="486A9DCA"/>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3520A5B"/>
    <w:multiLevelType w:val="hybridMultilevel"/>
    <w:tmpl w:val="3496AEBC"/>
    <w:lvl w:ilvl="0" w:tplc="02E44292">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49F022D"/>
    <w:multiLevelType w:val="multilevel"/>
    <w:tmpl w:val="40F0C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614517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7B0377"/>
    <w:multiLevelType w:val="multilevel"/>
    <w:tmpl w:val="1B481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9D732EC"/>
    <w:multiLevelType w:val="hybridMultilevel"/>
    <w:tmpl w:val="2A0A3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658B3"/>
    <w:multiLevelType w:val="multilevel"/>
    <w:tmpl w:val="2F1468FA"/>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996912"/>
    <w:multiLevelType w:val="hybridMultilevel"/>
    <w:tmpl w:val="4C1658D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6305EE"/>
    <w:multiLevelType w:val="hybridMultilevel"/>
    <w:tmpl w:val="55D4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80DED"/>
    <w:multiLevelType w:val="hybridMultilevel"/>
    <w:tmpl w:val="8376A812"/>
    <w:lvl w:ilvl="0" w:tplc="EE3CFD28">
      <w:start w:val="1"/>
      <w:numFmt w:val="decimal"/>
      <w:lvlText w:val="%1"/>
      <w:lvlJc w:val="righ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66D73D7"/>
    <w:multiLevelType w:val="hybridMultilevel"/>
    <w:tmpl w:val="A418BC0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8D507A"/>
    <w:multiLevelType w:val="hybridMultilevel"/>
    <w:tmpl w:val="45CE4722"/>
    <w:lvl w:ilvl="0" w:tplc="030EAEEC">
      <w:start w:val="2"/>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E1E0C44"/>
    <w:multiLevelType w:val="multilevel"/>
    <w:tmpl w:val="941A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8B5EA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9D64FE"/>
    <w:multiLevelType w:val="multilevel"/>
    <w:tmpl w:val="2F1468FA"/>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F97B0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317AAE"/>
    <w:multiLevelType w:val="hybridMultilevel"/>
    <w:tmpl w:val="83E428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A175F4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662CB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9F0F16"/>
    <w:multiLevelType w:val="hybridMultilevel"/>
    <w:tmpl w:val="7EFAC7A2"/>
    <w:lvl w:ilvl="0" w:tplc="8B026370">
      <w:start w:val="1"/>
      <w:numFmt w:val="decimal"/>
      <w:suff w:val="space"/>
      <w:lvlText w:val="%1."/>
      <w:lvlJc w:val="left"/>
      <w:pPr>
        <w:ind w:left="567" w:hanging="283"/>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F464479"/>
    <w:multiLevelType w:val="hybridMultilevel"/>
    <w:tmpl w:val="1ABE4238"/>
    <w:lvl w:ilvl="0" w:tplc="8280D558">
      <w:start w:val="30"/>
      <w:numFmt w:val="bullet"/>
      <w:lvlText w:val="-"/>
      <w:lvlJc w:val="left"/>
      <w:pPr>
        <w:ind w:left="360" w:hanging="360"/>
      </w:pPr>
      <w:rPr>
        <w:rFonts w:ascii="Times" w:eastAsiaTheme="minorHAnsi"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767CF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CA223E"/>
    <w:multiLevelType w:val="multilevel"/>
    <w:tmpl w:val="BC602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616D6DE1"/>
    <w:multiLevelType w:val="hybridMultilevel"/>
    <w:tmpl w:val="20E6813E"/>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2" w15:restartNumberingAfterBreak="0">
    <w:nsid w:val="624F41E8"/>
    <w:multiLevelType w:val="hybridMultilevel"/>
    <w:tmpl w:val="3490D9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0937CE"/>
    <w:multiLevelType w:val="hybridMultilevel"/>
    <w:tmpl w:val="3DD8D22E"/>
    <w:lvl w:ilvl="0" w:tplc="1E527640">
      <w:start w:val="1"/>
      <w:numFmt w:val="decimal"/>
      <w:lvlText w:val="%1."/>
      <w:lvlJc w:val="right"/>
      <w:pPr>
        <w:ind w:left="567" w:hanging="283"/>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8926A93"/>
    <w:multiLevelType w:val="hybridMultilevel"/>
    <w:tmpl w:val="D0E0B17A"/>
    <w:lvl w:ilvl="0" w:tplc="B42A31EC">
      <w:start w:val="1"/>
      <w:numFmt w:val="decimal"/>
      <w:lvlText w:val="%1."/>
      <w:lvlJc w:val="righ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5" w15:restartNumberingAfterBreak="0">
    <w:nsid w:val="697D2718"/>
    <w:multiLevelType w:val="hybridMultilevel"/>
    <w:tmpl w:val="53DC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F044D2"/>
    <w:multiLevelType w:val="hybridMultilevel"/>
    <w:tmpl w:val="F72A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3678AD"/>
    <w:multiLevelType w:val="hybridMultilevel"/>
    <w:tmpl w:val="37C03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3CE6A0B"/>
    <w:multiLevelType w:val="hybridMultilevel"/>
    <w:tmpl w:val="E3BC63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9295B7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C35060"/>
    <w:multiLevelType w:val="hybridMultilevel"/>
    <w:tmpl w:val="668A5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04639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DD4A33"/>
    <w:multiLevelType w:val="hybridMultilevel"/>
    <w:tmpl w:val="DC1E2DF0"/>
    <w:lvl w:ilvl="0" w:tplc="B42A31EC">
      <w:start w:val="1"/>
      <w:numFmt w:val="decimal"/>
      <w:lvlText w:val="%1."/>
      <w:lvlJc w:val="right"/>
      <w:pPr>
        <w:ind w:left="567" w:hanging="28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6869472">
    <w:abstractNumId w:val="8"/>
  </w:num>
  <w:num w:numId="2" w16cid:durableId="403531692">
    <w:abstractNumId w:val="50"/>
  </w:num>
  <w:num w:numId="3" w16cid:durableId="887298952">
    <w:abstractNumId w:val="51"/>
  </w:num>
  <w:num w:numId="4" w16cid:durableId="1302543975">
    <w:abstractNumId w:val="14"/>
  </w:num>
  <w:num w:numId="5" w16cid:durableId="651060456">
    <w:abstractNumId w:val="47"/>
  </w:num>
  <w:num w:numId="6" w16cid:durableId="674965574">
    <w:abstractNumId w:val="34"/>
  </w:num>
  <w:num w:numId="7" w16cid:durableId="1437478219">
    <w:abstractNumId w:val="17"/>
  </w:num>
  <w:num w:numId="8" w16cid:durableId="335883656">
    <w:abstractNumId w:val="12"/>
  </w:num>
  <w:num w:numId="9" w16cid:durableId="1725249956">
    <w:abstractNumId w:val="25"/>
  </w:num>
  <w:num w:numId="10" w16cid:durableId="914898184">
    <w:abstractNumId w:val="48"/>
  </w:num>
  <w:num w:numId="11" w16cid:durableId="1254624757">
    <w:abstractNumId w:val="41"/>
  </w:num>
  <w:num w:numId="12" w16cid:durableId="849567890">
    <w:abstractNumId w:val="5"/>
  </w:num>
  <w:num w:numId="13" w16cid:durableId="702480642">
    <w:abstractNumId w:val="28"/>
  </w:num>
  <w:num w:numId="14" w16cid:durableId="1538816901">
    <w:abstractNumId w:val="42"/>
  </w:num>
  <w:num w:numId="15" w16cid:durableId="1344668380">
    <w:abstractNumId w:val="22"/>
  </w:num>
  <w:num w:numId="16" w16cid:durableId="439954495">
    <w:abstractNumId w:val="13"/>
  </w:num>
  <w:num w:numId="17" w16cid:durableId="200829898">
    <w:abstractNumId w:val="40"/>
  </w:num>
  <w:num w:numId="18" w16cid:durableId="1044522485">
    <w:abstractNumId w:val="3"/>
  </w:num>
  <w:num w:numId="19" w16cid:durableId="1443450645">
    <w:abstractNumId w:val="20"/>
  </w:num>
  <w:num w:numId="20" w16cid:durableId="1186794962">
    <w:abstractNumId w:val="30"/>
  </w:num>
  <w:num w:numId="21" w16cid:durableId="1647051845">
    <w:abstractNumId w:val="9"/>
  </w:num>
  <w:num w:numId="22" w16cid:durableId="1277441298">
    <w:abstractNumId w:val="15"/>
  </w:num>
  <w:num w:numId="23" w16cid:durableId="62073561">
    <w:abstractNumId w:val="46"/>
  </w:num>
  <w:num w:numId="24" w16cid:durableId="671025573">
    <w:abstractNumId w:val="4"/>
  </w:num>
  <w:num w:numId="25" w16cid:durableId="1908295206">
    <w:abstractNumId w:val="26"/>
  </w:num>
  <w:num w:numId="26" w16cid:durableId="2136215416">
    <w:abstractNumId w:val="38"/>
  </w:num>
  <w:num w:numId="27" w16cid:durableId="2059862995">
    <w:abstractNumId w:val="11"/>
  </w:num>
  <w:num w:numId="28" w16cid:durableId="711688035">
    <w:abstractNumId w:val="10"/>
  </w:num>
  <w:num w:numId="29" w16cid:durableId="1466653399">
    <w:abstractNumId w:val="1"/>
  </w:num>
  <w:num w:numId="30" w16cid:durableId="2016220934">
    <w:abstractNumId w:val="45"/>
  </w:num>
  <w:num w:numId="31" w16cid:durableId="1412317825">
    <w:abstractNumId w:val="29"/>
  </w:num>
  <w:num w:numId="32" w16cid:durableId="619146332">
    <w:abstractNumId w:val="23"/>
  </w:num>
  <w:num w:numId="33" w16cid:durableId="58138466">
    <w:abstractNumId w:val="49"/>
  </w:num>
  <w:num w:numId="34" w16cid:durableId="1606425001">
    <w:abstractNumId w:val="32"/>
  </w:num>
  <w:num w:numId="35" w16cid:durableId="190723678">
    <w:abstractNumId w:val="24"/>
  </w:num>
  <w:num w:numId="36" w16cid:durableId="397172818">
    <w:abstractNumId w:val="7"/>
  </w:num>
  <w:num w:numId="37" w16cid:durableId="1242444760">
    <w:abstractNumId w:val="43"/>
  </w:num>
  <w:num w:numId="38" w16cid:durableId="1183595836">
    <w:abstractNumId w:val="36"/>
  </w:num>
  <w:num w:numId="39" w16cid:durableId="917207609">
    <w:abstractNumId w:val="16"/>
  </w:num>
  <w:num w:numId="40" w16cid:durableId="1761950124">
    <w:abstractNumId w:val="35"/>
  </w:num>
  <w:num w:numId="41" w16cid:durableId="346058779">
    <w:abstractNumId w:val="6"/>
  </w:num>
  <w:num w:numId="42" w16cid:durableId="757750090">
    <w:abstractNumId w:val="44"/>
  </w:num>
  <w:num w:numId="43" w16cid:durableId="943460697">
    <w:abstractNumId w:val="33"/>
  </w:num>
  <w:num w:numId="44" w16cid:durableId="1416778010">
    <w:abstractNumId w:val="21"/>
  </w:num>
  <w:num w:numId="45" w16cid:durableId="1592277600">
    <w:abstractNumId w:val="52"/>
  </w:num>
  <w:num w:numId="46" w16cid:durableId="710149499">
    <w:abstractNumId w:val="0"/>
  </w:num>
  <w:num w:numId="47" w16cid:durableId="1072234819">
    <w:abstractNumId w:val="39"/>
  </w:num>
  <w:num w:numId="48" w16cid:durableId="1136679223">
    <w:abstractNumId w:val="27"/>
  </w:num>
  <w:num w:numId="49" w16cid:durableId="771821518">
    <w:abstractNumId w:val="19"/>
  </w:num>
  <w:num w:numId="50" w16cid:durableId="336542366">
    <w:abstractNumId w:val="31"/>
  </w:num>
  <w:num w:numId="51" w16cid:durableId="1244216257">
    <w:abstractNumId w:val="2"/>
  </w:num>
  <w:num w:numId="52" w16cid:durableId="599416474">
    <w:abstractNumId w:val="18"/>
  </w:num>
  <w:num w:numId="53" w16cid:durableId="299697609">
    <w:abstractNumId w:val="53"/>
  </w:num>
  <w:num w:numId="54" w16cid:durableId="1496264218">
    <w:abstractNumId w:val="18"/>
  </w:num>
  <w:num w:numId="55" w16cid:durableId="1646278485">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activeWritingStyle w:appName="MSWord" w:lang="fr-FR" w:vendorID="64" w:dllVersion="6" w:nlCheck="1" w:checkStyle="0"/>
  <w:activeWritingStyle w:appName="MSWord" w:lang="fr-CA"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en-AU" w:vendorID="64" w:dllVersion="0" w:nlCheck="1" w:checkStyle="0"/>
  <w:activeWritingStyle w:appName="MSWord" w:lang="en-AU" w:vendorID="64" w:dllVersion="4096" w:nlCheck="1" w:checkStyle="0"/>
  <w:activeWritingStyle w:appName="MSWord" w:lang="de-DE" w:vendorID="64" w:dllVersion="4096" w:nlCheck="1" w:checkStyle="0"/>
  <w:proofState w:spelling="clean" w:grammar="clean"/>
  <w:defaultTabStop w:val="720"/>
  <w:hyphenationZone w:val="425"/>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02"/>
    <w:rsid w:val="000022B0"/>
    <w:rsid w:val="00006637"/>
    <w:rsid w:val="00007295"/>
    <w:rsid w:val="00007393"/>
    <w:rsid w:val="000075E1"/>
    <w:rsid w:val="00011452"/>
    <w:rsid w:val="000127DF"/>
    <w:rsid w:val="00012D71"/>
    <w:rsid w:val="00013BD0"/>
    <w:rsid w:val="0001430C"/>
    <w:rsid w:val="00014740"/>
    <w:rsid w:val="00014C18"/>
    <w:rsid w:val="00014E05"/>
    <w:rsid w:val="00015162"/>
    <w:rsid w:val="00015D54"/>
    <w:rsid w:val="00020D3E"/>
    <w:rsid w:val="00021CA5"/>
    <w:rsid w:val="00023BE4"/>
    <w:rsid w:val="0002423A"/>
    <w:rsid w:val="000250A7"/>
    <w:rsid w:val="00026138"/>
    <w:rsid w:val="00027227"/>
    <w:rsid w:val="0003379F"/>
    <w:rsid w:val="00034CAD"/>
    <w:rsid w:val="00034E84"/>
    <w:rsid w:val="00037857"/>
    <w:rsid w:val="00040316"/>
    <w:rsid w:val="00040E04"/>
    <w:rsid w:val="000435A2"/>
    <w:rsid w:val="00043918"/>
    <w:rsid w:val="00045C19"/>
    <w:rsid w:val="000512C7"/>
    <w:rsid w:val="00053638"/>
    <w:rsid w:val="000602A3"/>
    <w:rsid w:val="00065584"/>
    <w:rsid w:val="00067760"/>
    <w:rsid w:val="000723C2"/>
    <w:rsid w:val="00072D00"/>
    <w:rsid w:val="000730FE"/>
    <w:rsid w:val="00074791"/>
    <w:rsid w:val="00074E1D"/>
    <w:rsid w:val="00076965"/>
    <w:rsid w:val="000771DD"/>
    <w:rsid w:val="00081041"/>
    <w:rsid w:val="000820F1"/>
    <w:rsid w:val="000831E9"/>
    <w:rsid w:val="0008590E"/>
    <w:rsid w:val="000860A6"/>
    <w:rsid w:val="000914C8"/>
    <w:rsid w:val="00091C62"/>
    <w:rsid w:val="0009284F"/>
    <w:rsid w:val="00093C0C"/>
    <w:rsid w:val="00094014"/>
    <w:rsid w:val="00094B3F"/>
    <w:rsid w:val="00095E38"/>
    <w:rsid w:val="0009645A"/>
    <w:rsid w:val="00097357"/>
    <w:rsid w:val="000A1333"/>
    <w:rsid w:val="000A4482"/>
    <w:rsid w:val="000A5377"/>
    <w:rsid w:val="000A722E"/>
    <w:rsid w:val="000A7332"/>
    <w:rsid w:val="000B06F5"/>
    <w:rsid w:val="000B25BC"/>
    <w:rsid w:val="000B301A"/>
    <w:rsid w:val="000C1CC2"/>
    <w:rsid w:val="000C2985"/>
    <w:rsid w:val="000C3E2A"/>
    <w:rsid w:val="000C44AC"/>
    <w:rsid w:val="000D0C69"/>
    <w:rsid w:val="000D787C"/>
    <w:rsid w:val="000E1816"/>
    <w:rsid w:val="000E289B"/>
    <w:rsid w:val="000E4954"/>
    <w:rsid w:val="000E5B21"/>
    <w:rsid w:val="000E7D70"/>
    <w:rsid w:val="000F4047"/>
    <w:rsid w:val="000F4B83"/>
    <w:rsid w:val="000F4EE3"/>
    <w:rsid w:val="000F512E"/>
    <w:rsid w:val="000F523E"/>
    <w:rsid w:val="00100CF3"/>
    <w:rsid w:val="001022E8"/>
    <w:rsid w:val="00103116"/>
    <w:rsid w:val="00105F2C"/>
    <w:rsid w:val="00106B07"/>
    <w:rsid w:val="0011028E"/>
    <w:rsid w:val="00110680"/>
    <w:rsid w:val="00115F6C"/>
    <w:rsid w:val="00116FC9"/>
    <w:rsid w:val="00123FBD"/>
    <w:rsid w:val="00124097"/>
    <w:rsid w:val="00125641"/>
    <w:rsid w:val="00125BA7"/>
    <w:rsid w:val="001275F4"/>
    <w:rsid w:val="0012767D"/>
    <w:rsid w:val="001326A6"/>
    <w:rsid w:val="001346BE"/>
    <w:rsid w:val="00134BFB"/>
    <w:rsid w:val="0014532F"/>
    <w:rsid w:val="00146417"/>
    <w:rsid w:val="00147512"/>
    <w:rsid w:val="001478AD"/>
    <w:rsid w:val="0015031C"/>
    <w:rsid w:val="00151CEE"/>
    <w:rsid w:val="00152825"/>
    <w:rsid w:val="001558CC"/>
    <w:rsid w:val="001560FB"/>
    <w:rsid w:val="00163CDF"/>
    <w:rsid w:val="00164110"/>
    <w:rsid w:val="00167CA2"/>
    <w:rsid w:val="00171DD9"/>
    <w:rsid w:val="001768A2"/>
    <w:rsid w:val="001800B3"/>
    <w:rsid w:val="001801FB"/>
    <w:rsid w:val="0018051B"/>
    <w:rsid w:val="00181202"/>
    <w:rsid w:val="00185174"/>
    <w:rsid w:val="00186570"/>
    <w:rsid w:val="00190D5B"/>
    <w:rsid w:val="00191C94"/>
    <w:rsid w:val="00191D43"/>
    <w:rsid w:val="00192949"/>
    <w:rsid w:val="001954E1"/>
    <w:rsid w:val="0019588A"/>
    <w:rsid w:val="001A0864"/>
    <w:rsid w:val="001A0DB8"/>
    <w:rsid w:val="001A3DCD"/>
    <w:rsid w:val="001A3EFB"/>
    <w:rsid w:val="001A47E2"/>
    <w:rsid w:val="001A4994"/>
    <w:rsid w:val="001A4E72"/>
    <w:rsid w:val="001A4FFA"/>
    <w:rsid w:val="001B195E"/>
    <w:rsid w:val="001B216D"/>
    <w:rsid w:val="001B35B1"/>
    <w:rsid w:val="001B4DC8"/>
    <w:rsid w:val="001B63C1"/>
    <w:rsid w:val="001B6E6A"/>
    <w:rsid w:val="001B7471"/>
    <w:rsid w:val="001C0AAA"/>
    <w:rsid w:val="001C315B"/>
    <w:rsid w:val="001C351E"/>
    <w:rsid w:val="001C79C3"/>
    <w:rsid w:val="001D249C"/>
    <w:rsid w:val="001D277D"/>
    <w:rsid w:val="001D5B60"/>
    <w:rsid w:val="001D5E53"/>
    <w:rsid w:val="001E207E"/>
    <w:rsid w:val="001E4943"/>
    <w:rsid w:val="001E4A2B"/>
    <w:rsid w:val="001E506A"/>
    <w:rsid w:val="001E5AA4"/>
    <w:rsid w:val="001F0384"/>
    <w:rsid w:val="001F1347"/>
    <w:rsid w:val="001F721C"/>
    <w:rsid w:val="00201E45"/>
    <w:rsid w:val="00203D13"/>
    <w:rsid w:val="0020479A"/>
    <w:rsid w:val="002117DB"/>
    <w:rsid w:val="00216802"/>
    <w:rsid w:val="002175FD"/>
    <w:rsid w:val="00222BA3"/>
    <w:rsid w:val="002238F4"/>
    <w:rsid w:val="002332C9"/>
    <w:rsid w:val="002350A6"/>
    <w:rsid w:val="00243408"/>
    <w:rsid w:val="00245167"/>
    <w:rsid w:val="00246430"/>
    <w:rsid w:val="00246903"/>
    <w:rsid w:val="00246C80"/>
    <w:rsid w:val="00247163"/>
    <w:rsid w:val="002535F2"/>
    <w:rsid w:val="002545A0"/>
    <w:rsid w:val="0025545A"/>
    <w:rsid w:val="002562A1"/>
    <w:rsid w:val="0025645E"/>
    <w:rsid w:val="00256B40"/>
    <w:rsid w:val="00256D39"/>
    <w:rsid w:val="00260C64"/>
    <w:rsid w:val="00264D12"/>
    <w:rsid w:val="00265804"/>
    <w:rsid w:val="00266688"/>
    <w:rsid w:val="00271E3A"/>
    <w:rsid w:val="002728DC"/>
    <w:rsid w:val="00276816"/>
    <w:rsid w:val="00277474"/>
    <w:rsid w:val="0028074A"/>
    <w:rsid w:val="00280A61"/>
    <w:rsid w:val="00287005"/>
    <w:rsid w:val="002904D3"/>
    <w:rsid w:val="002907B6"/>
    <w:rsid w:val="00291937"/>
    <w:rsid w:val="00291C8A"/>
    <w:rsid w:val="0029237F"/>
    <w:rsid w:val="002946EB"/>
    <w:rsid w:val="002A08C5"/>
    <w:rsid w:val="002A0E7C"/>
    <w:rsid w:val="002B0426"/>
    <w:rsid w:val="002B078C"/>
    <w:rsid w:val="002B125D"/>
    <w:rsid w:val="002B151A"/>
    <w:rsid w:val="002B5F77"/>
    <w:rsid w:val="002C22AC"/>
    <w:rsid w:val="002C2BC6"/>
    <w:rsid w:val="002C5382"/>
    <w:rsid w:val="002C5AC2"/>
    <w:rsid w:val="002C5D67"/>
    <w:rsid w:val="002C6F07"/>
    <w:rsid w:val="002D5CE7"/>
    <w:rsid w:val="002E05C2"/>
    <w:rsid w:val="002E3370"/>
    <w:rsid w:val="002E351C"/>
    <w:rsid w:val="002F646B"/>
    <w:rsid w:val="00304468"/>
    <w:rsid w:val="00307388"/>
    <w:rsid w:val="0031025B"/>
    <w:rsid w:val="003111F2"/>
    <w:rsid w:val="00312DB0"/>
    <w:rsid w:val="00314B1A"/>
    <w:rsid w:val="0031600D"/>
    <w:rsid w:val="00317E36"/>
    <w:rsid w:val="00317F7E"/>
    <w:rsid w:val="003205C1"/>
    <w:rsid w:val="00322457"/>
    <w:rsid w:val="00324BDF"/>
    <w:rsid w:val="00325C0E"/>
    <w:rsid w:val="00325C47"/>
    <w:rsid w:val="003261DA"/>
    <w:rsid w:val="00327A5C"/>
    <w:rsid w:val="00332728"/>
    <w:rsid w:val="00337A23"/>
    <w:rsid w:val="003442D3"/>
    <w:rsid w:val="00345A41"/>
    <w:rsid w:val="003477C7"/>
    <w:rsid w:val="00352402"/>
    <w:rsid w:val="00357C5A"/>
    <w:rsid w:val="00362544"/>
    <w:rsid w:val="00364523"/>
    <w:rsid w:val="00366CBB"/>
    <w:rsid w:val="00367EDE"/>
    <w:rsid w:val="003736B4"/>
    <w:rsid w:val="00376EC4"/>
    <w:rsid w:val="00380E39"/>
    <w:rsid w:val="0038248C"/>
    <w:rsid w:val="0038266F"/>
    <w:rsid w:val="00384576"/>
    <w:rsid w:val="00384F83"/>
    <w:rsid w:val="003850C8"/>
    <w:rsid w:val="00386C17"/>
    <w:rsid w:val="00394155"/>
    <w:rsid w:val="003969A0"/>
    <w:rsid w:val="00397B75"/>
    <w:rsid w:val="003A040D"/>
    <w:rsid w:val="003A27E7"/>
    <w:rsid w:val="003A2A77"/>
    <w:rsid w:val="003A4C14"/>
    <w:rsid w:val="003A6BE5"/>
    <w:rsid w:val="003B096F"/>
    <w:rsid w:val="003B113A"/>
    <w:rsid w:val="003B2A95"/>
    <w:rsid w:val="003B3F07"/>
    <w:rsid w:val="003B6F0D"/>
    <w:rsid w:val="003C02BA"/>
    <w:rsid w:val="003C1D25"/>
    <w:rsid w:val="003C2181"/>
    <w:rsid w:val="003C5D8C"/>
    <w:rsid w:val="003D3192"/>
    <w:rsid w:val="003D5495"/>
    <w:rsid w:val="003E5257"/>
    <w:rsid w:val="003E6D38"/>
    <w:rsid w:val="003E7AEB"/>
    <w:rsid w:val="003E7BE5"/>
    <w:rsid w:val="003F2643"/>
    <w:rsid w:val="003F6009"/>
    <w:rsid w:val="004003D7"/>
    <w:rsid w:val="00401C65"/>
    <w:rsid w:val="004022A9"/>
    <w:rsid w:val="00406238"/>
    <w:rsid w:val="004062BE"/>
    <w:rsid w:val="0042100D"/>
    <w:rsid w:val="00423705"/>
    <w:rsid w:val="004274EA"/>
    <w:rsid w:val="00434D45"/>
    <w:rsid w:val="004350C7"/>
    <w:rsid w:val="00435A9C"/>
    <w:rsid w:val="004370E9"/>
    <w:rsid w:val="0044134B"/>
    <w:rsid w:val="0044297B"/>
    <w:rsid w:val="00442C2E"/>
    <w:rsid w:val="00445C87"/>
    <w:rsid w:val="00451ABD"/>
    <w:rsid w:val="00451D97"/>
    <w:rsid w:val="004527CB"/>
    <w:rsid w:val="00455BF1"/>
    <w:rsid w:val="00455E99"/>
    <w:rsid w:val="00456BB5"/>
    <w:rsid w:val="00456D08"/>
    <w:rsid w:val="004616D5"/>
    <w:rsid w:val="00461EE5"/>
    <w:rsid w:val="00463C0E"/>
    <w:rsid w:val="00467274"/>
    <w:rsid w:val="00467563"/>
    <w:rsid w:val="004729F8"/>
    <w:rsid w:val="00473016"/>
    <w:rsid w:val="00473EFC"/>
    <w:rsid w:val="00475515"/>
    <w:rsid w:val="00481E5A"/>
    <w:rsid w:val="00483075"/>
    <w:rsid w:val="00484644"/>
    <w:rsid w:val="004850E7"/>
    <w:rsid w:val="00493343"/>
    <w:rsid w:val="0049575B"/>
    <w:rsid w:val="004966ED"/>
    <w:rsid w:val="004A02D6"/>
    <w:rsid w:val="004A0886"/>
    <w:rsid w:val="004A2036"/>
    <w:rsid w:val="004A2739"/>
    <w:rsid w:val="004A31A1"/>
    <w:rsid w:val="004A5338"/>
    <w:rsid w:val="004A6020"/>
    <w:rsid w:val="004A6945"/>
    <w:rsid w:val="004A7456"/>
    <w:rsid w:val="004B4C48"/>
    <w:rsid w:val="004B4E08"/>
    <w:rsid w:val="004C1AC4"/>
    <w:rsid w:val="004C3E83"/>
    <w:rsid w:val="004D1263"/>
    <w:rsid w:val="004D3675"/>
    <w:rsid w:val="004D49C4"/>
    <w:rsid w:val="004D4E4D"/>
    <w:rsid w:val="004D6ABF"/>
    <w:rsid w:val="004D6EF8"/>
    <w:rsid w:val="004D7049"/>
    <w:rsid w:val="004E3994"/>
    <w:rsid w:val="004E4459"/>
    <w:rsid w:val="004E4A2A"/>
    <w:rsid w:val="004E59DD"/>
    <w:rsid w:val="004E6B38"/>
    <w:rsid w:val="004E6BF3"/>
    <w:rsid w:val="004E77E6"/>
    <w:rsid w:val="004E7DCA"/>
    <w:rsid w:val="004F0DEC"/>
    <w:rsid w:val="004F1604"/>
    <w:rsid w:val="004F1DA3"/>
    <w:rsid w:val="004F2337"/>
    <w:rsid w:val="004F29F4"/>
    <w:rsid w:val="004F3364"/>
    <w:rsid w:val="004F5930"/>
    <w:rsid w:val="004F6B1D"/>
    <w:rsid w:val="004F6FD3"/>
    <w:rsid w:val="005019EF"/>
    <w:rsid w:val="00503350"/>
    <w:rsid w:val="005046FC"/>
    <w:rsid w:val="00507161"/>
    <w:rsid w:val="00513639"/>
    <w:rsid w:val="005157BF"/>
    <w:rsid w:val="00515F59"/>
    <w:rsid w:val="00521EF2"/>
    <w:rsid w:val="0052387C"/>
    <w:rsid w:val="005259AA"/>
    <w:rsid w:val="005274CD"/>
    <w:rsid w:val="00530EE5"/>
    <w:rsid w:val="005318A3"/>
    <w:rsid w:val="00535745"/>
    <w:rsid w:val="00536B31"/>
    <w:rsid w:val="00541624"/>
    <w:rsid w:val="005431B2"/>
    <w:rsid w:val="005435CD"/>
    <w:rsid w:val="005512DA"/>
    <w:rsid w:val="005531F7"/>
    <w:rsid w:val="00555483"/>
    <w:rsid w:val="005558C4"/>
    <w:rsid w:val="00556128"/>
    <w:rsid w:val="0056296B"/>
    <w:rsid w:val="005657A2"/>
    <w:rsid w:val="00571D61"/>
    <w:rsid w:val="00572C73"/>
    <w:rsid w:val="005730B0"/>
    <w:rsid w:val="00573917"/>
    <w:rsid w:val="00574B34"/>
    <w:rsid w:val="00575802"/>
    <w:rsid w:val="005824E5"/>
    <w:rsid w:val="00586C5A"/>
    <w:rsid w:val="00587114"/>
    <w:rsid w:val="00593A4B"/>
    <w:rsid w:val="00597223"/>
    <w:rsid w:val="00597B4C"/>
    <w:rsid w:val="005A0315"/>
    <w:rsid w:val="005A0F78"/>
    <w:rsid w:val="005A36AC"/>
    <w:rsid w:val="005A3EE1"/>
    <w:rsid w:val="005A40B0"/>
    <w:rsid w:val="005A4EB2"/>
    <w:rsid w:val="005A6397"/>
    <w:rsid w:val="005A70AB"/>
    <w:rsid w:val="005A7F24"/>
    <w:rsid w:val="005B13DC"/>
    <w:rsid w:val="005B31F4"/>
    <w:rsid w:val="005B4334"/>
    <w:rsid w:val="005B5363"/>
    <w:rsid w:val="005B69DD"/>
    <w:rsid w:val="005B6E40"/>
    <w:rsid w:val="005B73D3"/>
    <w:rsid w:val="005B79FE"/>
    <w:rsid w:val="005C3E47"/>
    <w:rsid w:val="005C671E"/>
    <w:rsid w:val="005D0D59"/>
    <w:rsid w:val="005D1745"/>
    <w:rsid w:val="005D295C"/>
    <w:rsid w:val="005D58E7"/>
    <w:rsid w:val="005E0719"/>
    <w:rsid w:val="005E1BC8"/>
    <w:rsid w:val="005E2F04"/>
    <w:rsid w:val="005E364C"/>
    <w:rsid w:val="005E3DB9"/>
    <w:rsid w:val="005E5542"/>
    <w:rsid w:val="005E5C33"/>
    <w:rsid w:val="005E5ED2"/>
    <w:rsid w:val="005E782C"/>
    <w:rsid w:val="005F015B"/>
    <w:rsid w:val="005F1731"/>
    <w:rsid w:val="005F2A7B"/>
    <w:rsid w:val="005F3357"/>
    <w:rsid w:val="005F427E"/>
    <w:rsid w:val="005F44BC"/>
    <w:rsid w:val="005F4C04"/>
    <w:rsid w:val="005F6157"/>
    <w:rsid w:val="005F6D4F"/>
    <w:rsid w:val="006002DA"/>
    <w:rsid w:val="00600BD1"/>
    <w:rsid w:val="00601A9A"/>
    <w:rsid w:val="00601DC3"/>
    <w:rsid w:val="00602812"/>
    <w:rsid w:val="006038F0"/>
    <w:rsid w:val="00606308"/>
    <w:rsid w:val="00607478"/>
    <w:rsid w:val="00612DB1"/>
    <w:rsid w:val="00613661"/>
    <w:rsid w:val="00614AA1"/>
    <w:rsid w:val="00615D93"/>
    <w:rsid w:val="0061606F"/>
    <w:rsid w:val="00616403"/>
    <w:rsid w:val="0061731B"/>
    <w:rsid w:val="00621147"/>
    <w:rsid w:val="00622DD8"/>
    <w:rsid w:val="0062566C"/>
    <w:rsid w:val="006275CE"/>
    <w:rsid w:val="00631ADA"/>
    <w:rsid w:val="0063730A"/>
    <w:rsid w:val="00637484"/>
    <w:rsid w:val="00641EF7"/>
    <w:rsid w:val="00642CC5"/>
    <w:rsid w:val="00647B59"/>
    <w:rsid w:val="0065579B"/>
    <w:rsid w:val="00655D50"/>
    <w:rsid w:val="006568F5"/>
    <w:rsid w:val="006579D6"/>
    <w:rsid w:val="00661C13"/>
    <w:rsid w:val="006626CE"/>
    <w:rsid w:val="00664A13"/>
    <w:rsid w:val="00671E4A"/>
    <w:rsid w:val="00674F27"/>
    <w:rsid w:val="00681E67"/>
    <w:rsid w:val="006824BD"/>
    <w:rsid w:val="00685CC2"/>
    <w:rsid w:val="00687102"/>
    <w:rsid w:val="00697C44"/>
    <w:rsid w:val="006A145F"/>
    <w:rsid w:val="006A4B1B"/>
    <w:rsid w:val="006A76D6"/>
    <w:rsid w:val="006A7747"/>
    <w:rsid w:val="006B3483"/>
    <w:rsid w:val="006B416D"/>
    <w:rsid w:val="006B58B8"/>
    <w:rsid w:val="006B5B04"/>
    <w:rsid w:val="006C1C30"/>
    <w:rsid w:val="006C31CF"/>
    <w:rsid w:val="006C4A79"/>
    <w:rsid w:val="006C7E0F"/>
    <w:rsid w:val="006D0C2C"/>
    <w:rsid w:val="006D1C58"/>
    <w:rsid w:val="006D37C4"/>
    <w:rsid w:val="006D5396"/>
    <w:rsid w:val="006D5BB5"/>
    <w:rsid w:val="006D63B7"/>
    <w:rsid w:val="006E2BFD"/>
    <w:rsid w:val="006E4542"/>
    <w:rsid w:val="006E6413"/>
    <w:rsid w:val="006E6A2B"/>
    <w:rsid w:val="006F014F"/>
    <w:rsid w:val="006F1FDB"/>
    <w:rsid w:val="006F34CA"/>
    <w:rsid w:val="006F5024"/>
    <w:rsid w:val="006F5DEC"/>
    <w:rsid w:val="006F760C"/>
    <w:rsid w:val="0070073D"/>
    <w:rsid w:val="007008EF"/>
    <w:rsid w:val="007012AB"/>
    <w:rsid w:val="00701FE5"/>
    <w:rsid w:val="00703869"/>
    <w:rsid w:val="00706721"/>
    <w:rsid w:val="00710FA0"/>
    <w:rsid w:val="0071284A"/>
    <w:rsid w:val="00715011"/>
    <w:rsid w:val="007155A2"/>
    <w:rsid w:val="007157F3"/>
    <w:rsid w:val="007162F7"/>
    <w:rsid w:val="00716432"/>
    <w:rsid w:val="00720A4D"/>
    <w:rsid w:val="00720BAE"/>
    <w:rsid w:val="00721198"/>
    <w:rsid w:val="00722B19"/>
    <w:rsid w:val="00723398"/>
    <w:rsid w:val="00723772"/>
    <w:rsid w:val="00724C12"/>
    <w:rsid w:val="00725A9B"/>
    <w:rsid w:val="0072644F"/>
    <w:rsid w:val="0073048A"/>
    <w:rsid w:val="0073171B"/>
    <w:rsid w:val="00733A1F"/>
    <w:rsid w:val="007340ED"/>
    <w:rsid w:val="00736020"/>
    <w:rsid w:val="007378CE"/>
    <w:rsid w:val="00740C40"/>
    <w:rsid w:val="007412AC"/>
    <w:rsid w:val="0074304C"/>
    <w:rsid w:val="007511A2"/>
    <w:rsid w:val="0075518F"/>
    <w:rsid w:val="007558A1"/>
    <w:rsid w:val="00755D7E"/>
    <w:rsid w:val="00757410"/>
    <w:rsid w:val="007603F1"/>
    <w:rsid w:val="00760938"/>
    <w:rsid w:val="0076183D"/>
    <w:rsid w:val="00762067"/>
    <w:rsid w:val="0076233D"/>
    <w:rsid w:val="007624CD"/>
    <w:rsid w:val="00762619"/>
    <w:rsid w:val="00764DD6"/>
    <w:rsid w:val="00766235"/>
    <w:rsid w:val="007667A2"/>
    <w:rsid w:val="00773E6D"/>
    <w:rsid w:val="007755F5"/>
    <w:rsid w:val="00775B3C"/>
    <w:rsid w:val="00775BB4"/>
    <w:rsid w:val="00776A96"/>
    <w:rsid w:val="00777A54"/>
    <w:rsid w:val="00781395"/>
    <w:rsid w:val="007821EF"/>
    <w:rsid w:val="00787879"/>
    <w:rsid w:val="0079178A"/>
    <w:rsid w:val="00793092"/>
    <w:rsid w:val="00793BB3"/>
    <w:rsid w:val="00794BD3"/>
    <w:rsid w:val="007A1219"/>
    <w:rsid w:val="007A4CB2"/>
    <w:rsid w:val="007A69A8"/>
    <w:rsid w:val="007A7A6C"/>
    <w:rsid w:val="007A7E8F"/>
    <w:rsid w:val="007B3667"/>
    <w:rsid w:val="007B41BD"/>
    <w:rsid w:val="007B776D"/>
    <w:rsid w:val="007C0F9F"/>
    <w:rsid w:val="007C11F4"/>
    <w:rsid w:val="007C2E93"/>
    <w:rsid w:val="007C36B7"/>
    <w:rsid w:val="007C38AD"/>
    <w:rsid w:val="007C4288"/>
    <w:rsid w:val="007C5D9E"/>
    <w:rsid w:val="007C62B9"/>
    <w:rsid w:val="007C63EA"/>
    <w:rsid w:val="007C65B6"/>
    <w:rsid w:val="007D1E53"/>
    <w:rsid w:val="007D27A4"/>
    <w:rsid w:val="007D3836"/>
    <w:rsid w:val="007D50BD"/>
    <w:rsid w:val="007D626C"/>
    <w:rsid w:val="007D65F9"/>
    <w:rsid w:val="007D6ED5"/>
    <w:rsid w:val="007D7E1E"/>
    <w:rsid w:val="007E07C7"/>
    <w:rsid w:val="007E1A7F"/>
    <w:rsid w:val="007E63DB"/>
    <w:rsid w:val="007F021D"/>
    <w:rsid w:val="007F2E6C"/>
    <w:rsid w:val="00800D48"/>
    <w:rsid w:val="00801D58"/>
    <w:rsid w:val="00801E91"/>
    <w:rsid w:val="008079BC"/>
    <w:rsid w:val="00807A38"/>
    <w:rsid w:val="00812D6A"/>
    <w:rsid w:val="0081416A"/>
    <w:rsid w:val="00816CF6"/>
    <w:rsid w:val="00822386"/>
    <w:rsid w:val="008228B2"/>
    <w:rsid w:val="00822D94"/>
    <w:rsid w:val="0082393D"/>
    <w:rsid w:val="00823962"/>
    <w:rsid w:val="00827445"/>
    <w:rsid w:val="008301A3"/>
    <w:rsid w:val="00831165"/>
    <w:rsid w:val="00831E17"/>
    <w:rsid w:val="00831F7A"/>
    <w:rsid w:val="00832897"/>
    <w:rsid w:val="008337AD"/>
    <w:rsid w:val="00833ADC"/>
    <w:rsid w:val="00834111"/>
    <w:rsid w:val="00840189"/>
    <w:rsid w:val="00843980"/>
    <w:rsid w:val="00843A10"/>
    <w:rsid w:val="00843B7C"/>
    <w:rsid w:val="0084442E"/>
    <w:rsid w:val="00844698"/>
    <w:rsid w:val="00847222"/>
    <w:rsid w:val="0085244E"/>
    <w:rsid w:val="008542AA"/>
    <w:rsid w:val="00856BF8"/>
    <w:rsid w:val="0085726E"/>
    <w:rsid w:val="00860898"/>
    <w:rsid w:val="00863ABA"/>
    <w:rsid w:val="00864066"/>
    <w:rsid w:val="0086414A"/>
    <w:rsid w:val="00866564"/>
    <w:rsid w:val="00870DC4"/>
    <w:rsid w:val="00871658"/>
    <w:rsid w:val="00871D50"/>
    <w:rsid w:val="0087667C"/>
    <w:rsid w:val="00876753"/>
    <w:rsid w:val="008831A2"/>
    <w:rsid w:val="0088400B"/>
    <w:rsid w:val="00884E79"/>
    <w:rsid w:val="00890A2B"/>
    <w:rsid w:val="00891BC0"/>
    <w:rsid w:val="00894A9B"/>
    <w:rsid w:val="00894EAB"/>
    <w:rsid w:val="00895F2B"/>
    <w:rsid w:val="00896BD7"/>
    <w:rsid w:val="008A0112"/>
    <w:rsid w:val="008A3EDC"/>
    <w:rsid w:val="008A407D"/>
    <w:rsid w:val="008A6124"/>
    <w:rsid w:val="008A6389"/>
    <w:rsid w:val="008A68C8"/>
    <w:rsid w:val="008A70C0"/>
    <w:rsid w:val="008B073D"/>
    <w:rsid w:val="008B323A"/>
    <w:rsid w:val="008B392D"/>
    <w:rsid w:val="008B732E"/>
    <w:rsid w:val="008B7BD3"/>
    <w:rsid w:val="008C131C"/>
    <w:rsid w:val="008C3016"/>
    <w:rsid w:val="008C533A"/>
    <w:rsid w:val="008C5B3F"/>
    <w:rsid w:val="008D050D"/>
    <w:rsid w:val="008D0666"/>
    <w:rsid w:val="008D330E"/>
    <w:rsid w:val="008D4823"/>
    <w:rsid w:val="008D5483"/>
    <w:rsid w:val="008D5508"/>
    <w:rsid w:val="008E4A75"/>
    <w:rsid w:val="008E6457"/>
    <w:rsid w:val="008E6995"/>
    <w:rsid w:val="008E7217"/>
    <w:rsid w:val="008F27DA"/>
    <w:rsid w:val="008F47EA"/>
    <w:rsid w:val="00900ADA"/>
    <w:rsid w:val="00904A29"/>
    <w:rsid w:val="00904BC4"/>
    <w:rsid w:val="00906AE4"/>
    <w:rsid w:val="009070A0"/>
    <w:rsid w:val="00907D82"/>
    <w:rsid w:val="00910B69"/>
    <w:rsid w:val="00913032"/>
    <w:rsid w:val="00913542"/>
    <w:rsid w:val="00914C2F"/>
    <w:rsid w:val="00920E44"/>
    <w:rsid w:val="00922174"/>
    <w:rsid w:val="0092474B"/>
    <w:rsid w:val="0093146F"/>
    <w:rsid w:val="00933E04"/>
    <w:rsid w:val="00934C14"/>
    <w:rsid w:val="009358D1"/>
    <w:rsid w:val="00937889"/>
    <w:rsid w:val="009429C3"/>
    <w:rsid w:val="00942E2E"/>
    <w:rsid w:val="0094360F"/>
    <w:rsid w:val="00945DC4"/>
    <w:rsid w:val="00946CA6"/>
    <w:rsid w:val="009505A5"/>
    <w:rsid w:val="00950DCA"/>
    <w:rsid w:val="00957664"/>
    <w:rsid w:val="00963B12"/>
    <w:rsid w:val="009641F1"/>
    <w:rsid w:val="0096654A"/>
    <w:rsid w:val="00966C87"/>
    <w:rsid w:val="009673C1"/>
    <w:rsid w:val="0097170F"/>
    <w:rsid w:val="0097493A"/>
    <w:rsid w:val="00976C65"/>
    <w:rsid w:val="00977B4B"/>
    <w:rsid w:val="00982C8B"/>
    <w:rsid w:val="009835ED"/>
    <w:rsid w:val="00987642"/>
    <w:rsid w:val="00987BF1"/>
    <w:rsid w:val="00990F94"/>
    <w:rsid w:val="009950FD"/>
    <w:rsid w:val="00997B50"/>
    <w:rsid w:val="009A1090"/>
    <w:rsid w:val="009A11D5"/>
    <w:rsid w:val="009A12E9"/>
    <w:rsid w:val="009A1393"/>
    <w:rsid w:val="009A3483"/>
    <w:rsid w:val="009B04A7"/>
    <w:rsid w:val="009B0A9C"/>
    <w:rsid w:val="009B39FF"/>
    <w:rsid w:val="009B4294"/>
    <w:rsid w:val="009B73C8"/>
    <w:rsid w:val="009C03E4"/>
    <w:rsid w:val="009C0440"/>
    <w:rsid w:val="009C1DED"/>
    <w:rsid w:val="009C1F5A"/>
    <w:rsid w:val="009C50F8"/>
    <w:rsid w:val="009C5C87"/>
    <w:rsid w:val="009D0CDA"/>
    <w:rsid w:val="009D21D9"/>
    <w:rsid w:val="009D2F49"/>
    <w:rsid w:val="009D31E6"/>
    <w:rsid w:val="009D3D73"/>
    <w:rsid w:val="009D6629"/>
    <w:rsid w:val="009D69A1"/>
    <w:rsid w:val="009E1E39"/>
    <w:rsid w:val="009F590E"/>
    <w:rsid w:val="009F5E05"/>
    <w:rsid w:val="009F69BB"/>
    <w:rsid w:val="009F7C22"/>
    <w:rsid w:val="00A00DCF"/>
    <w:rsid w:val="00A02328"/>
    <w:rsid w:val="00A03E0A"/>
    <w:rsid w:val="00A067EF"/>
    <w:rsid w:val="00A06D02"/>
    <w:rsid w:val="00A11CB1"/>
    <w:rsid w:val="00A11E59"/>
    <w:rsid w:val="00A12975"/>
    <w:rsid w:val="00A144B8"/>
    <w:rsid w:val="00A16DEB"/>
    <w:rsid w:val="00A173A5"/>
    <w:rsid w:val="00A21022"/>
    <w:rsid w:val="00A21C97"/>
    <w:rsid w:val="00A24F9C"/>
    <w:rsid w:val="00A30810"/>
    <w:rsid w:val="00A3115F"/>
    <w:rsid w:val="00A32394"/>
    <w:rsid w:val="00A33F97"/>
    <w:rsid w:val="00A37189"/>
    <w:rsid w:val="00A4121B"/>
    <w:rsid w:val="00A4191B"/>
    <w:rsid w:val="00A43F4C"/>
    <w:rsid w:val="00A44E87"/>
    <w:rsid w:val="00A4515C"/>
    <w:rsid w:val="00A47CE7"/>
    <w:rsid w:val="00A47EEA"/>
    <w:rsid w:val="00A50073"/>
    <w:rsid w:val="00A50228"/>
    <w:rsid w:val="00A56441"/>
    <w:rsid w:val="00A622B3"/>
    <w:rsid w:val="00A62B42"/>
    <w:rsid w:val="00A62E59"/>
    <w:rsid w:val="00A662AC"/>
    <w:rsid w:val="00A67099"/>
    <w:rsid w:val="00A7613E"/>
    <w:rsid w:val="00A77A95"/>
    <w:rsid w:val="00A82E6D"/>
    <w:rsid w:val="00A82F84"/>
    <w:rsid w:val="00A84617"/>
    <w:rsid w:val="00A85AA4"/>
    <w:rsid w:val="00A87D40"/>
    <w:rsid w:val="00A94F93"/>
    <w:rsid w:val="00AA0257"/>
    <w:rsid w:val="00AA02B4"/>
    <w:rsid w:val="00AA04A0"/>
    <w:rsid w:val="00AA089E"/>
    <w:rsid w:val="00AA0C2A"/>
    <w:rsid w:val="00AA0EBC"/>
    <w:rsid w:val="00AA3266"/>
    <w:rsid w:val="00AB3283"/>
    <w:rsid w:val="00AB4D75"/>
    <w:rsid w:val="00AB548E"/>
    <w:rsid w:val="00AB6B42"/>
    <w:rsid w:val="00AC16F4"/>
    <w:rsid w:val="00AC3B93"/>
    <w:rsid w:val="00AC3E65"/>
    <w:rsid w:val="00AD15A5"/>
    <w:rsid w:val="00AD1A4C"/>
    <w:rsid w:val="00AD26D5"/>
    <w:rsid w:val="00AD2D43"/>
    <w:rsid w:val="00AD6EE7"/>
    <w:rsid w:val="00AD6F1C"/>
    <w:rsid w:val="00AE1CFE"/>
    <w:rsid w:val="00AE3663"/>
    <w:rsid w:val="00AE3A5E"/>
    <w:rsid w:val="00AE460A"/>
    <w:rsid w:val="00AF3054"/>
    <w:rsid w:val="00AF3C94"/>
    <w:rsid w:val="00AF3D42"/>
    <w:rsid w:val="00AF6420"/>
    <w:rsid w:val="00AF6512"/>
    <w:rsid w:val="00AF733E"/>
    <w:rsid w:val="00B00618"/>
    <w:rsid w:val="00B02A5D"/>
    <w:rsid w:val="00B04CF4"/>
    <w:rsid w:val="00B0517B"/>
    <w:rsid w:val="00B06F44"/>
    <w:rsid w:val="00B0790E"/>
    <w:rsid w:val="00B114BD"/>
    <w:rsid w:val="00B145BD"/>
    <w:rsid w:val="00B168AA"/>
    <w:rsid w:val="00B22A03"/>
    <w:rsid w:val="00B249A5"/>
    <w:rsid w:val="00B2570E"/>
    <w:rsid w:val="00B25EB4"/>
    <w:rsid w:val="00B2677F"/>
    <w:rsid w:val="00B3162E"/>
    <w:rsid w:val="00B325F0"/>
    <w:rsid w:val="00B32878"/>
    <w:rsid w:val="00B33BCC"/>
    <w:rsid w:val="00B35753"/>
    <w:rsid w:val="00B41EEB"/>
    <w:rsid w:val="00B43248"/>
    <w:rsid w:val="00B447D3"/>
    <w:rsid w:val="00B44F4E"/>
    <w:rsid w:val="00B45231"/>
    <w:rsid w:val="00B45D76"/>
    <w:rsid w:val="00B500F5"/>
    <w:rsid w:val="00B501F1"/>
    <w:rsid w:val="00B50E66"/>
    <w:rsid w:val="00B60AD4"/>
    <w:rsid w:val="00B61B73"/>
    <w:rsid w:val="00B6334B"/>
    <w:rsid w:val="00B64BD5"/>
    <w:rsid w:val="00B663B9"/>
    <w:rsid w:val="00B66DD6"/>
    <w:rsid w:val="00B72D5F"/>
    <w:rsid w:val="00B734ED"/>
    <w:rsid w:val="00B740F0"/>
    <w:rsid w:val="00B817A9"/>
    <w:rsid w:val="00B832C9"/>
    <w:rsid w:val="00B83E4A"/>
    <w:rsid w:val="00B85AF3"/>
    <w:rsid w:val="00B85CF0"/>
    <w:rsid w:val="00B87DB3"/>
    <w:rsid w:val="00B920C3"/>
    <w:rsid w:val="00B92A10"/>
    <w:rsid w:val="00B93FC3"/>
    <w:rsid w:val="00B976F5"/>
    <w:rsid w:val="00B97BA1"/>
    <w:rsid w:val="00BA22B9"/>
    <w:rsid w:val="00BA2683"/>
    <w:rsid w:val="00BA34C1"/>
    <w:rsid w:val="00BA369A"/>
    <w:rsid w:val="00BA4CD0"/>
    <w:rsid w:val="00BA6F32"/>
    <w:rsid w:val="00BA77E3"/>
    <w:rsid w:val="00BA7F83"/>
    <w:rsid w:val="00BB0D77"/>
    <w:rsid w:val="00BB2978"/>
    <w:rsid w:val="00BB2E44"/>
    <w:rsid w:val="00BB4F9B"/>
    <w:rsid w:val="00BB5DDA"/>
    <w:rsid w:val="00BB7F72"/>
    <w:rsid w:val="00BC0D94"/>
    <w:rsid w:val="00BC11E1"/>
    <w:rsid w:val="00BC31A6"/>
    <w:rsid w:val="00BC451E"/>
    <w:rsid w:val="00BC4A26"/>
    <w:rsid w:val="00BC4E20"/>
    <w:rsid w:val="00BC7EE2"/>
    <w:rsid w:val="00BD10B9"/>
    <w:rsid w:val="00BD1C88"/>
    <w:rsid w:val="00BD2760"/>
    <w:rsid w:val="00BD66D6"/>
    <w:rsid w:val="00BD726C"/>
    <w:rsid w:val="00BE319F"/>
    <w:rsid w:val="00BE7E6D"/>
    <w:rsid w:val="00C02CB4"/>
    <w:rsid w:val="00C041B2"/>
    <w:rsid w:val="00C0485B"/>
    <w:rsid w:val="00C05CEC"/>
    <w:rsid w:val="00C11736"/>
    <w:rsid w:val="00C11A1F"/>
    <w:rsid w:val="00C1287E"/>
    <w:rsid w:val="00C12D1D"/>
    <w:rsid w:val="00C13A66"/>
    <w:rsid w:val="00C16461"/>
    <w:rsid w:val="00C1690F"/>
    <w:rsid w:val="00C20116"/>
    <w:rsid w:val="00C205C9"/>
    <w:rsid w:val="00C20C2A"/>
    <w:rsid w:val="00C21BD6"/>
    <w:rsid w:val="00C22911"/>
    <w:rsid w:val="00C22F22"/>
    <w:rsid w:val="00C23B62"/>
    <w:rsid w:val="00C242A1"/>
    <w:rsid w:val="00C24B90"/>
    <w:rsid w:val="00C30899"/>
    <w:rsid w:val="00C31C4A"/>
    <w:rsid w:val="00C32914"/>
    <w:rsid w:val="00C34282"/>
    <w:rsid w:val="00C41C5A"/>
    <w:rsid w:val="00C422D9"/>
    <w:rsid w:val="00C42AA2"/>
    <w:rsid w:val="00C4616B"/>
    <w:rsid w:val="00C46745"/>
    <w:rsid w:val="00C471EC"/>
    <w:rsid w:val="00C472F3"/>
    <w:rsid w:val="00C54458"/>
    <w:rsid w:val="00C55966"/>
    <w:rsid w:val="00C65025"/>
    <w:rsid w:val="00C6602D"/>
    <w:rsid w:val="00C6701B"/>
    <w:rsid w:val="00C6747D"/>
    <w:rsid w:val="00C67AB2"/>
    <w:rsid w:val="00C7039F"/>
    <w:rsid w:val="00C7137D"/>
    <w:rsid w:val="00C71B07"/>
    <w:rsid w:val="00C75748"/>
    <w:rsid w:val="00C76CAC"/>
    <w:rsid w:val="00C81328"/>
    <w:rsid w:val="00C82D1E"/>
    <w:rsid w:val="00C909E7"/>
    <w:rsid w:val="00C90CFE"/>
    <w:rsid w:val="00C91E6C"/>
    <w:rsid w:val="00C9275A"/>
    <w:rsid w:val="00CA129A"/>
    <w:rsid w:val="00CA1CFF"/>
    <w:rsid w:val="00CA2121"/>
    <w:rsid w:val="00CA59F0"/>
    <w:rsid w:val="00CA771E"/>
    <w:rsid w:val="00CB03D0"/>
    <w:rsid w:val="00CB1867"/>
    <w:rsid w:val="00CB1F8B"/>
    <w:rsid w:val="00CB21A2"/>
    <w:rsid w:val="00CB24F0"/>
    <w:rsid w:val="00CB2AEC"/>
    <w:rsid w:val="00CB3D9B"/>
    <w:rsid w:val="00CB6CF8"/>
    <w:rsid w:val="00CB7D9C"/>
    <w:rsid w:val="00CC2CF5"/>
    <w:rsid w:val="00CC3129"/>
    <w:rsid w:val="00CC4495"/>
    <w:rsid w:val="00CC5C11"/>
    <w:rsid w:val="00CD2662"/>
    <w:rsid w:val="00CD3F88"/>
    <w:rsid w:val="00CD7D4C"/>
    <w:rsid w:val="00CD7F9D"/>
    <w:rsid w:val="00CE171E"/>
    <w:rsid w:val="00CE2388"/>
    <w:rsid w:val="00CE2A34"/>
    <w:rsid w:val="00CE515B"/>
    <w:rsid w:val="00CF2BF2"/>
    <w:rsid w:val="00CF5539"/>
    <w:rsid w:val="00CF6A33"/>
    <w:rsid w:val="00CF76D8"/>
    <w:rsid w:val="00D0560B"/>
    <w:rsid w:val="00D075EC"/>
    <w:rsid w:val="00D14739"/>
    <w:rsid w:val="00D165F4"/>
    <w:rsid w:val="00D21F0C"/>
    <w:rsid w:val="00D22A7A"/>
    <w:rsid w:val="00D268AE"/>
    <w:rsid w:val="00D31161"/>
    <w:rsid w:val="00D32DAB"/>
    <w:rsid w:val="00D33C05"/>
    <w:rsid w:val="00D35B75"/>
    <w:rsid w:val="00D37A7A"/>
    <w:rsid w:val="00D41546"/>
    <w:rsid w:val="00D43272"/>
    <w:rsid w:val="00D434EB"/>
    <w:rsid w:val="00D466E0"/>
    <w:rsid w:val="00D530A9"/>
    <w:rsid w:val="00D5311C"/>
    <w:rsid w:val="00D55129"/>
    <w:rsid w:val="00D55E6F"/>
    <w:rsid w:val="00D561A4"/>
    <w:rsid w:val="00D622D8"/>
    <w:rsid w:val="00D62963"/>
    <w:rsid w:val="00D75DBD"/>
    <w:rsid w:val="00D80660"/>
    <w:rsid w:val="00D80B7B"/>
    <w:rsid w:val="00D8303D"/>
    <w:rsid w:val="00D8497C"/>
    <w:rsid w:val="00D86AD1"/>
    <w:rsid w:val="00D87C94"/>
    <w:rsid w:val="00D90A57"/>
    <w:rsid w:val="00D910DB"/>
    <w:rsid w:val="00D923F5"/>
    <w:rsid w:val="00D9414B"/>
    <w:rsid w:val="00D970E1"/>
    <w:rsid w:val="00DA1E53"/>
    <w:rsid w:val="00DA381B"/>
    <w:rsid w:val="00DA48E2"/>
    <w:rsid w:val="00DA4E4F"/>
    <w:rsid w:val="00DB5A48"/>
    <w:rsid w:val="00DB75C4"/>
    <w:rsid w:val="00DB7CE6"/>
    <w:rsid w:val="00DC08C3"/>
    <w:rsid w:val="00DC1315"/>
    <w:rsid w:val="00DC15FC"/>
    <w:rsid w:val="00DC6BE6"/>
    <w:rsid w:val="00DC7B4C"/>
    <w:rsid w:val="00DD2ABF"/>
    <w:rsid w:val="00DD4391"/>
    <w:rsid w:val="00DD4919"/>
    <w:rsid w:val="00DD6970"/>
    <w:rsid w:val="00DD7565"/>
    <w:rsid w:val="00DE32D0"/>
    <w:rsid w:val="00DF2221"/>
    <w:rsid w:val="00DF3904"/>
    <w:rsid w:val="00DF52E2"/>
    <w:rsid w:val="00DF530E"/>
    <w:rsid w:val="00DF5502"/>
    <w:rsid w:val="00DF6C1D"/>
    <w:rsid w:val="00E028A0"/>
    <w:rsid w:val="00E02F61"/>
    <w:rsid w:val="00E03E45"/>
    <w:rsid w:val="00E06E7F"/>
    <w:rsid w:val="00E07128"/>
    <w:rsid w:val="00E10C13"/>
    <w:rsid w:val="00E13301"/>
    <w:rsid w:val="00E14300"/>
    <w:rsid w:val="00E1457B"/>
    <w:rsid w:val="00E16969"/>
    <w:rsid w:val="00E17B0A"/>
    <w:rsid w:val="00E20144"/>
    <w:rsid w:val="00E21C74"/>
    <w:rsid w:val="00E24CB1"/>
    <w:rsid w:val="00E2734A"/>
    <w:rsid w:val="00E317D2"/>
    <w:rsid w:val="00E31E2D"/>
    <w:rsid w:val="00E31EC5"/>
    <w:rsid w:val="00E32C05"/>
    <w:rsid w:val="00E36401"/>
    <w:rsid w:val="00E41029"/>
    <w:rsid w:val="00E41221"/>
    <w:rsid w:val="00E41505"/>
    <w:rsid w:val="00E42D43"/>
    <w:rsid w:val="00E43944"/>
    <w:rsid w:val="00E43CBB"/>
    <w:rsid w:val="00E474E3"/>
    <w:rsid w:val="00E50436"/>
    <w:rsid w:val="00E52845"/>
    <w:rsid w:val="00E56E46"/>
    <w:rsid w:val="00E60687"/>
    <w:rsid w:val="00E612B3"/>
    <w:rsid w:val="00E61AEC"/>
    <w:rsid w:val="00E61B4E"/>
    <w:rsid w:val="00E6289C"/>
    <w:rsid w:val="00E6465F"/>
    <w:rsid w:val="00E6586E"/>
    <w:rsid w:val="00E67E5E"/>
    <w:rsid w:val="00E714C7"/>
    <w:rsid w:val="00E7280B"/>
    <w:rsid w:val="00E72B3A"/>
    <w:rsid w:val="00E7689F"/>
    <w:rsid w:val="00E80033"/>
    <w:rsid w:val="00E851B3"/>
    <w:rsid w:val="00E855F6"/>
    <w:rsid w:val="00E86347"/>
    <w:rsid w:val="00E907C0"/>
    <w:rsid w:val="00E92A11"/>
    <w:rsid w:val="00E92D62"/>
    <w:rsid w:val="00E9332D"/>
    <w:rsid w:val="00E953E7"/>
    <w:rsid w:val="00E95987"/>
    <w:rsid w:val="00EA4565"/>
    <w:rsid w:val="00EA61E1"/>
    <w:rsid w:val="00EA7FBA"/>
    <w:rsid w:val="00EB3A22"/>
    <w:rsid w:val="00EB3A79"/>
    <w:rsid w:val="00EB42A7"/>
    <w:rsid w:val="00EB7987"/>
    <w:rsid w:val="00EC146F"/>
    <w:rsid w:val="00EC25C6"/>
    <w:rsid w:val="00EC2DEB"/>
    <w:rsid w:val="00EC36A4"/>
    <w:rsid w:val="00EC5331"/>
    <w:rsid w:val="00EC654B"/>
    <w:rsid w:val="00ED4D0D"/>
    <w:rsid w:val="00ED5811"/>
    <w:rsid w:val="00ED5B7B"/>
    <w:rsid w:val="00ED76A2"/>
    <w:rsid w:val="00ED7B3D"/>
    <w:rsid w:val="00EE19EC"/>
    <w:rsid w:val="00EE3117"/>
    <w:rsid w:val="00EE37D7"/>
    <w:rsid w:val="00EE519E"/>
    <w:rsid w:val="00EE5204"/>
    <w:rsid w:val="00EF1CDA"/>
    <w:rsid w:val="00EF209E"/>
    <w:rsid w:val="00EF45B4"/>
    <w:rsid w:val="00F0285F"/>
    <w:rsid w:val="00F02DCE"/>
    <w:rsid w:val="00F03A14"/>
    <w:rsid w:val="00F07ACC"/>
    <w:rsid w:val="00F101A1"/>
    <w:rsid w:val="00F13158"/>
    <w:rsid w:val="00F16BF9"/>
    <w:rsid w:val="00F20C8C"/>
    <w:rsid w:val="00F2372E"/>
    <w:rsid w:val="00F2484B"/>
    <w:rsid w:val="00F256A8"/>
    <w:rsid w:val="00F278AC"/>
    <w:rsid w:val="00F30E46"/>
    <w:rsid w:val="00F31A28"/>
    <w:rsid w:val="00F3560B"/>
    <w:rsid w:val="00F35EF7"/>
    <w:rsid w:val="00F41E65"/>
    <w:rsid w:val="00F4359B"/>
    <w:rsid w:val="00F4424E"/>
    <w:rsid w:val="00F44B34"/>
    <w:rsid w:val="00F532A2"/>
    <w:rsid w:val="00F554DC"/>
    <w:rsid w:val="00F57A3F"/>
    <w:rsid w:val="00F609E8"/>
    <w:rsid w:val="00F629C4"/>
    <w:rsid w:val="00F64AFA"/>
    <w:rsid w:val="00F653D6"/>
    <w:rsid w:val="00F6557C"/>
    <w:rsid w:val="00F664F0"/>
    <w:rsid w:val="00F66EFD"/>
    <w:rsid w:val="00F6763B"/>
    <w:rsid w:val="00F67758"/>
    <w:rsid w:val="00F67AE5"/>
    <w:rsid w:val="00F72B28"/>
    <w:rsid w:val="00F7343C"/>
    <w:rsid w:val="00F757AE"/>
    <w:rsid w:val="00F77186"/>
    <w:rsid w:val="00F85546"/>
    <w:rsid w:val="00F87405"/>
    <w:rsid w:val="00F9152B"/>
    <w:rsid w:val="00F91769"/>
    <w:rsid w:val="00F92DF8"/>
    <w:rsid w:val="00F93307"/>
    <w:rsid w:val="00F94641"/>
    <w:rsid w:val="00F96412"/>
    <w:rsid w:val="00FA0B02"/>
    <w:rsid w:val="00FA1259"/>
    <w:rsid w:val="00FA141A"/>
    <w:rsid w:val="00FA2F1D"/>
    <w:rsid w:val="00FA3106"/>
    <w:rsid w:val="00FA7E96"/>
    <w:rsid w:val="00FB244B"/>
    <w:rsid w:val="00FC01A2"/>
    <w:rsid w:val="00FC04CD"/>
    <w:rsid w:val="00FC391B"/>
    <w:rsid w:val="00FC55A9"/>
    <w:rsid w:val="00FC7A36"/>
    <w:rsid w:val="00FD096E"/>
    <w:rsid w:val="00FD262F"/>
    <w:rsid w:val="00FD3FD3"/>
    <w:rsid w:val="00FD41AE"/>
    <w:rsid w:val="00FD4825"/>
    <w:rsid w:val="00FD6186"/>
    <w:rsid w:val="00FD7566"/>
    <w:rsid w:val="00FE0ACF"/>
    <w:rsid w:val="00FE0C5D"/>
    <w:rsid w:val="00FE3836"/>
    <w:rsid w:val="00FE5341"/>
    <w:rsid w:val="00FE5990"/>
    <w:rsid w:val="00FE6198"/>
    <w:rsid w:val="00FE63B3"/>
    <w:rsid w:val="00FF142B"/>
    <w:rsid w:val="00FF2922"/>
    <w:rsid w:val="00FF601C"/>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98BC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D096E"/>
    <w:pPr>
      <w:spacing w:after="0" w:line="240" w:lineRule="auto"/>
      <w:ind w:firstLine="0"/>
    </w:pPr>
    <w:rPr>
      <w:rFonts w:ascii="Times New Roman" w:hAnsi="Times New Roman" w:cs="Times New Roman"/>
      <w:sz w:val="24"/>
      <w:szCs w:val="24"/>
    </w:rPr>
  </w:style>
  <w:style w:type="paragraph" w:styleId="Heading1">
    <w:name w:val="heading 1"/>
    <w:basedOn w:val="Normal"/>
    <w:next w:val="Normal"/>
    <w:link w:val="Heading1Char"/>
    <w:uiPriority w:val="9"/>
    <w:qFormat/>
    <w:rsid w:val="00B35753"/>
    <w:pPr>
      <w:numPr>
        <w:numId w:val="52"/>
      </w:numPr>
      <w:spacing w:before="240" w:after="200"/>
      <w:ind w:left="567" w:hanging="567"/>
      <w:outlineLvl w:val="0"/>
    </w:pPr>
    <w:rPr>
      <w:rFonts w:eastAsiaTheme="majorEastAsia" w:cstheme="majorBidi"/>
      <w:b/>
      <w:bCs/>
      <w:iCs/>
      <w:szCs w:val="32"/>
    </w:rPr>
  </w:style>
  <w:style w:type="paragraph" w:styleId="Heading2">
    <w:name w:val="heading 2"/>
    <w:basedOn w:val="Normal"/>
    <w:next w:val="Normal"/>
    <w:link w:val="Heading2Char"/>
    <w:uiPriority w:val="9"/>
    <w:unhideWhenUsed/>
    <w:qFormat/>
    <w:rsid w:val="00B35753"/>
    <w:pPr>
      <w:numPr>
        <w:ilvl w:val="1"/>
        <w:numId w:val="52"/>
      </w:numPr>
      <w:spacing w:before="240" w:after="240"/>
      <w:ind w:left="567" w:hanging="567"/>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B35753"/>
    <w:pPr>
      <w:numPr>
        <w:ilvl w:val="2"/>
        <w:numId w:val="52"/>
      </w:numPr>
      <w:spacing w:before="240" w:after="200"/>
      <w:outlineLvl w:val="2"/>
    </w:pPr>
    <w:rPr>
      <w:rFonts w:eastAsiaTheme="majorEastAsia" w:cstheme="majorBidi"/>
      <w:b/>
      <w:bCs/>
      <w:iCs/>
      <w:szCs w:val="26"/>
    </w:rPr>
  </w:style>
  <w:style w:type="paragraph" w:styleId="Heading4">
    <w:name w:val="heading 4"/>
    <w:basedOn w:val="Normal"/>
    <w:next w:val="Normal"/>
    <w:link w:val="Heading4Char"/>
    <w:uiPriority w:val="9"/>
    <w:semiHidden/>
    <w:unhideWhenUsed/>
    <w:qFormat/>
    <w:rsid w:val="00F66EFD"/>
    <w:pPr>
      <w:numPr>
        <w:ilvl w:val="3"/>
        <w:numId w:val="52"/>
      </w:num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66EFD"/>
    <w:pPr>
      <w:numPr>
        <w:ilvl w:val="4"/>
        <w:numId w:val="52"/>
      </w:numPr>
      <w:spacing w:before="280" w:line="360" w:lineRule="auto"/>
      <w:outlineLvl w:val="4"/>
    </w:pPr>
    <w:rPr>
      <w:rFonts w:asciiTheme="majorHAnsi" w:eastAsiaTheme="majorEastAsia" w:hAnsiTheme="majorHAnsi" w:cstheme="majorBidi"/>
      <w:b/>
      <w:bCs/>
      <w:i/>
      <w:iCs/>
      <w:sz w:val="22"/>
      <w:szCs w:val="22"/>
    </w:rPr>
  </w:style>
  <w:style w:type="paragraph" w:styleId="Heading6">
    <w:name w:val="heading 6"/>
    <w:basedOn w:val="Normal"/>
    <w:next w:val="Normal"/>
    <w:link w:val="Heading6Char"/>
    <w:uiPriority w:val="9"/>
    <w:semiHidden/>
    <w:unhideWhenUsed/>
    <w:qFormat/>
    <w:rsid w:val="00F66EFD"/>
    <w:pPr>
      <w:numPr>
        <w:ilvl w:val="5"/>
        <w:numId w:val="52"/>
      </w:numPr>
      <w:spacing w:before="280" w:after="80" w:line="360" w:lineRule="auto"/>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F66EFD"/>
    <w:pPr>
      <w:numPr>
        <w:ilvl w:val="6"/>
        <w:numId w:val="52"/>
      </w:num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F66EFD"/>
    <w:pPr>
      <w:numPr>
        <w:ilvl w:val="7"/>
        <w:numId w:val="52"/>
      </w:num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F66EFD"/>
    <w:pPr>
      <w:numPr>
        <w:ilvl w:val="8"/>
        <w:numId w:val="52"/>
      </w:num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F66EFD"/>
    <w:pPr>
      <w:spacing w:after="240" w:line="480" w:lineRule="auto"/>
      <w:ind w:firstLine="360"/>
    </w:pPr>
    <w:rPr>
      <w:rFonts w:asciiTheme="minorHAnsi" w:hAnsiTheme="minorHAnsi" w:cstheme="minorBidi"/>
      <w:b/>
      <w:bCs/>
      <w:sz w:val="18"/>
      <w:szCs w:val="18"/>
    </w:rPr>
  </w:style>
  <w:style w:type="character" w:customStyle="1" w:styleId="CaptionChar">
    <w:name w:val="Caption Char"/>
    <w:basedOn w:val="DefaultParagraphFont"/>
    <w:link w:val="Caption"/>
    <w:uiPriority w:val="35"/>
    <w:rsid w:val="00CA1CFF"/>
    <w:rPr>
      <w:b/>
      <w:bCs/>
      <w:sz w:val="18"/>
      <w:szCs w:val="18"/>
    </w:rPr>
  </w:style>
  <w:style w:type="paragraph" w:styleId="ListParagraph">
    <w:name w:val="List Paragraph"/>
    <w:basedOn w:val="Normal"/>
    <w:uiPriority w:val="34"/>
    <w:qFormat/>
    <w:rsid w:val="00F66EFD"/>
    <w:pPr>
      <w:spacing w:after="240" w:line="480" w:lineRule="auto"/>
      <w:ind w:left="720" w:firstLine="360"/>
      <w:contextualSpacing/>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B35753"/>
    <w:rPr>
      <w:rFonts w:ascii="Times New Roman" w:eastAsiaTheme="majorEastAsia" w:hAnsi="Times New Roman" w:cstheme="majorBidi"/>
      <w:b/>
      <w:bCs/>
      <w:iCs/>
      <w:sz w:val="24"/>
      <w:szCs w:val="32"/>
    </w:rPr>
  </w:style>
  <w:style w:type="character" w:customStyle="1" w:styleId="Heading2Char">
    <w:name w:val="Heading 2 Char"/>
    <w:basedOn w:val="DefaultParagraphFont"/>
    <w:link w:val="Heading2"/>
    <w:uiPriority w:val="9"/>
    <w:rsid w:val="00B35753"/>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rsid w:val="00B35753"/>
    <w:rPr>
      <w:rFonts w:ascii="Times New Roman" w:eastAsiaTheme="majorEastAsia" w:hAnsi="Times New Roman" w:cstheme="majorBidi"/>
      <w:b/>
      <w:bCs/>
      <w:iCs/>
      <w:sz w:val="24"/>
      <w:szCs w:val="26"/>
    </w:rPr>
  </w:style>
  <w:style w:type="character" w:customStyle="1" w:styleId="Heading4Char">
    <w:name w:val="Heading 4 Char"/>
    <w:basedOn w:val="DefaultParagraphFont"/>
    <w:link w:val="Heading4"/>
    <w:uiPriority w:val="9"/>
    <w:semiHidden/>
    <w:rsid w:val="00F66EF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F66EF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F66EF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66EF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F66EF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F66EFD"/>
    <w:rPr>
      <w:rFonts w:asciiTheme="majorHAnsi" w:eastAsiaTheme="majorEastAsia" w:hAnsiTheme="majorHAnsi" w:cstheme="majorBidi"/>
      <w:i/>
      <w:iCs/>
      <w:sz w:val="18"/>
      <w:szCs w:val="18"/>
    </w:rPr>
  </w:style>
  <w:style w:type="paragraph" w:styleId="Title">
    <w:name w:val="Title"/>
    <w:basedOn w:val="Normal"/>
    <w:next w:val="Normal"/>
    <w:link w:val="TitleChar"/>
    <w:uiPriority w:val="10"/>
    <w:qFormat/>
    <w:rsid w:val="00F66EFD"/>
    <w:pPr>
      <w:spacing w:after="24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F66EF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F66EFD"/>
    <w:pPr>
      <w:spacing w:after="320" w:line="480" w:lineRule="auto"/>
      <w:ind w:firstLine="360"/>
      <w:jc w:val="right"/>
    </w:pPr>
    <w:rPr>
      <w:rFonts w:asciiTheme="minorHAnsi" w:hAnsiTheme="minorHAnsi" w:cstheme="minorBidi"/>
      <w:i/>
      <w:iCs/>
      <w:color w:val="808080" w:themeColor="text1" w:themeTint="7F"/>
      <w:spacing w:val="10"/>
    </w:rPr>
  </w:style>
  <w:style w:type="character" w:customStyle="1" w:styleId="SubtitleChar">
    <w:name w:val="Subtitle Char"/>
    <w:basedOn w:val="DefaultParagraphFont"/>
    <w:link w:val="Subtitle"/>
    <w:uiPriority w:val="11"/>
    <w:rsid w:val="00F66EFD"/>
    <w:rPr>
      <w:i/>
      <w:iCs/>
      <w:color w:val="808080" w:themeColor="text1" w:themeTint="7F"/>
      <w:spacing w:val="10"/>
      <w:sz w:val="24"/>
      <w:szCs w:val="24"/>
    </w:rPr>
  </w:style>
  <w:style w:type="character" w:styleId="Strong">
    <w:name w:val="Strong"/>
    <w:basedOn w:val="DefaultParagraphFont"/>
    <w:uiPriority w:val="22"/>
    <w:qFormat/>
    <w:rsid w:val="00F66EFD"/>
    <w:rPr>
      <w:b/>
      <w:bCs/>
      <w:spacing w:val="0"/>
    </w:rPr>
  </w:style>
  <w:style w:type="character" w:styleId="Emphasis">
    <w:name w:val="Emphasis"/>
    <w:uiPriority w:val="20"/>
    <w:qFormat/>
    <w:rsid w:val="00F66EFD"/>
    <w:rPr>
      <w:b/>
      <w:bCs/>
      <w:i/>
      <w:iCs/>
      <w:color w:val="auto"/>
    </w:rPr>
  </w:style>
  <w:style w:type="paragraph" w:styleId="NoSpacing">
    <w:name w:val="No Spacing"/>
    <w:basedOn w:val="Normal"/>
    <w:link w:val="NoSpacingChar"/>
    <w:uiPriority w:val="1"/>
    <w:rsid w:val="00F66EFD"/>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F66EFD"/>
  </w:style>
  <w:style w:type="paragraph" w:styleId="Quote">
    <w:name w:val="Quote"/>
    <w:basedOn w:val="Normal"/>
    <w:next w:val="Normal"/>
    <w:link w:val="QuoteChar"/>
    <w:uiPriority w:val="29"/>
    <w:qFormat/>
    <w:rsid w:val="00F66EFD"/>
    <w:pPr>
      <w:spacing w:after="240" w:line="480" w:lineRule="auto"/>
      <w:ind w:firstLine="360"/>
    </w:pPr>
    <w:rPr>
      <w:rFonts w:asciiTheme="minorHAnsi" w:hAnsiTheme="minorHAnsi" w:cstheme="minorBidi"/>
      <w:color w:val="5A5A5A" w:themeColor="text1" w:themeTint="A5"/>
      <w:sz w:val="22"/>
      <w:szCs w:val="22"/>
    </w:rPr>
  </w:style>
  <w:style w:type="character" w:customStyle="1" w:styleId="QuoteChar">
    <w:name w:val="Quote Char"/>
    <w:basedOn w:val="DefaultParagraphFont"/>
    <w:link w:val="Quote"/>
    <w:uiPriority w:val="29"/>
    <w:rsid w:val="00F66EFD"/>
    <w:rPr>
      <w:color w:val="5A5A5A" w:themeColor="text1" w:themeTint="A5"/>
    </w:rPr>
  </w:style>
  <w:style w:type="paragraph" w:styleId="IntenseQuote">
    <w:name w:val="Intense Quote"/>
    <w:basedOn w:val="Normal"/>
    <w:next w:val="Normal"/>
    <w:link w:val="IntenseQuoteChar"/>
    <w:uiPriority w:val="30"/>
    <w:qFormat/>
    <w:rsid w:val="00F66EFD"/>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F66EFD"/>
    <w:rPr>
      <w:rFonts w:asciiTheme="majorHAnsi" w:eastAsiaTheme="majorEastAsia" w:hAnsiTheme="majorHAnsi" w:cstheme="majorBidi"/>
      <w:i/>
      <w:iCs/>
      <w:sz w:val="20"/>
      <w:szCs w:val="20"/>
    </w:rPr>
  </w:style>
  <w:style w:type="character" w:styleId="SubtleEmphasis">
    <w:name w:val="Subtle Emphasis"/>
    <w:uiPriority w:val="19"/>
    <w:qFormat/>
    <w:rsid w:val="00F66EFD"/>
    <w:rPr>
      <w:i/>
      <w:iCs/>
      <w:color w:val="5A5A5A" w:themeColor="text1" w:themeTint="A5"/>
    </w:rPr>
  </w:style>
  <w:style w:type="character" w:styleId="IntenseEmphasis">
    <w:name w:val="Intense Emphasis"/>
    <w:uiPriority w:val="21"/>
    <w:qFormat/>
    <w:rsid w:val="00F66EFD"/>
    <w:rPr>
      <w:b/>
      <w:bCs/>
      <w:i/>
      <w:iCs/>
      <w:color w:val="auto"/>
      <w:u w:val="single"/>
    </w:rPr>
  </w:style>
  <w:style w:type="character" w:styleId="SubtleReference">
    <w:name w:val="Subtle Reference"/>
    <w:uiPriority w:val="31"/>
    <w:qFormat/>
    <w:rsid w:val="00F66EFD"/>
    <w:rPr>
      <w:smallCaps/>
    </w:rPr>
  </w:style>
  <w:style w:type="character" w:styleId="IntenseReference">
    <w:name w:val="Intense Reference"/>
    <w:uiPriority w:val="32"/>
    <w:qFormat/>
    <w:rsid w:val="00F66EFD"/>
    <w:rPr>
      <w:b/>
      <w:bCs/>
      <w:smallCaps/>
      <w:color w:val="auto"/>
    </w:rPr>
  </w:style>
  <w:style w:type="character" w:styleId="BookTitle">
    <w:name w:val="Book Title"/>
    <w:uiPriority w:val="33"/>
    <w:qFormat/>
    <w:rsid w:val="00F66EF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F66EFD"/>
    <w:pPr>
      <w:outlineLvl w:val="9"/>
    </w:pPr>
  </w:style>
  <w:style w:type="paragraph" w:styleId="Header">
    <w:name w:val="header"/>
    <w:basedOn w:val="Normal"/>
    <w:link w:val="HeaderChar"/>
    <w:uiPriority w:val="99"/>
    <w:unhideWhenUsed/>
    <w:rsid w:val="00F66EFD"/>
    <w:pPr>
      <w:tabs>
        <w:tab w:val="center" w:pos="4680"/>
        <w:tab w:val="right" w:pos="9360"/>
      </w:tabs>
      <w:ind w:firstLine="360"/>
    </w:pPr>
    <w:rPr>
      <w:rFonts w:asciiTheme="minorHAnsi" w:hAnsiTheme="minorHAnsi" w:cstheme="minorBidi"/>
      <w:sz w:val="22"/>
      <w:szCs w:val="22"/>
    </w:rPr>
  </w:style>
  <w:style w:type="character" w:customStyle="1" w:styleId="HeaderChar">
    <w:name w:val="Header Char"/>
    <w:basedOn w:val="DefaultParagraphFont"/>
    <w:link w:val="Header"/>
    <w:uiPriority w:val="99"/>
    <w:rsid w:val="00F66EFD"/>
  </w:style>
  <w:style w:type="paragraph" w:styleId="Footer">
    <w:name w:val="footer"/>
    <w:basedOn w:val="Normal"/>
    <w:link w:val="FooterChar"/>
    <w:uiPriority w:val="99"/>
    <w:unhideWhenUsed/>
    <w:rsid w:val="00F66EFD"/>
    <w:pPr>
      <w:tabs>
        <w:tab w:val="center" w:pos="4680"/>
        <w:tab w:val="right" w:pos="9360"/>
      </w:tabs>
      <w:ind w:firstLine="360"/>
    </w:pPr>
    <w:rPr>
      <w:rFonts w:asciiTheme="minorHAnsi" w:hAnsiTheme="minorHAnsi" w:cstheme="minorBidi"/>
      <w:sz w:val="22"/>
      <w:szCs w:val="22"/>
    </w:rPr>
  </w:style>
  <w:style w:type="character" w:customStyle="1" w:styleId="FooterChar">
    <w:name w:val="Footer Char"/>
    <w:basedOn w:val="DefaultParagraphFont"/>
    <w:link w:val="Footer"/>
    <w:uiPriority w:val="99"/>
    <w:rsid w:val="00F66EFD"/>
  </w:style>
  <w:style w:type="paragraph" w:customStyle="1" w:styleId="PersonalName">
    <w:name w:val="Personal Name"/>
    <w:basedOn w:val="Title"/>
    <w:rsid w:val="00F66EFD"/>
    <w:rPr>
      <w:b w:val="0"/>
      <w:caps/>
      <w:color w:val="000000"/>
      <w:sz w:val="28"/>
      <w:szCs w:val="28"/>
    </w:rPr>
  </w:style>
  <w:style w:type="character" w:styleId="PageNumber">
    <w:name w:val="page number"/>
    <w:basedOn w:val="DefaultParagraphFont"/>
    <w:uiPriority w:val="99"/>
    <w:semiHidden/>
    <w:unhideWhenUsed/>
    <w:rsid w:val="00F66EFD"/>
  </w:style>
  <w:style w:type="paragraph" w:styleId="DocumentMap">
    <w:name w:val="Document Map"/>
    <w:basedOn w:val="Normal"/>
    <w:link w:val="DocumentMapChar"/>
    <w:uiPriority w:val="99"/>
    <w:semiHidden/>
    <w:unhideWhenUsed/>
    <w:rsid w:val="00423705"/>
    <w:pPr>
      <w:ind w:firstLine="360"/>
    </w:pPr>
  </w:style>
  <w:style w:type="character" w:customStyle="1" w:styleId="DocumentMapChar">
    <w:name w:val="Document Map Char"/>
    <w:basedOn w:val="DefaultParagraphFont"/>
    <w:link w:val="DocumentMap"/>
    <w:uiPriority w:val="99"/>
    <w:semiHidden/>
    <w:rsid w:val="00423705"/>
    <w:rPr>
      <w:rFonts w:ascii="Times New Roman" w:hAnsi="Times New Roman" w:cs="Times New Roman"/>
      <w:sz w:val="24"/>
      <w:szCs w:val="24"/>
    </w:rPr>
  </w:style>
  <w:style w:type="paragraph" w:styleId="NormalWeb">
    <w:name w:val="Normal (Web)"/>
    <w:basedOn w:val="Normal"/>
    <w:uiPriority w:val="99"/>
    <w:semiHidden/>
    <w:unhideWhenUsed/>
    <w:rsid w:val="00E7689F"/>
    <w:pPr>
      <w:spacing w:before="100" w:beforeAutospacing="1" w:after="100" w:afterAutospacing="1"/>
    </w:pPr>
    <w:rPr>
      <w:lang w:val="en-CA"/>
    </w:rPr>
  </w:style>
  <w:style w:type="character" w:styleId="CommentReference">
    <w:name w:val="annotation reference"/>
    <w:basedOn w:val="DefaultParagraphFont"/>
    <w:uiPriority w:val="99"/>
    <w:semiHidden/>
    <w:unhideWhenUsed/>
    <w:rsid w:val="0025645E"/>
    <w:rPr>
      <w:sz w:val="16"/>
      <w:szCs w:val="16"/>
    </w:rPr>
  </w:style>
  <w:style w:type="paragraph" w:styleId="CommentText">
    <w:name w:val="annotation text"/>
    <w:basedOn w:val="Normal"/>
    <w:link w:val="CommentTextChar"/>
    <w:uiPriority w:val="99"/>
    <w:unhideWhenUsed/>
    <w:rsid w:val="0025645E"/>
    <w:pPr>
      <w:spacing w:after="240"/>
      <w:ind w:firstLine="3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5645E"/>
    <w:rPr>
      <w:sz w:val="20"/>
      <w:szCs w:val="20"/>
    </w:rPr>
  </w:style>
  <w:style w:type="paragraph" w:styleId="CommentSubject">
    <w:name w:val="annotation subject"/>
    <w:basedOn w:val="CommentText"/>
    <w:next w:val="CommentText"/>
    <w:link w:val="CommentSubjectChar"/>
    <w:uiPriority w:val="99"/>
    <w:semiHidden/>
    <w:unhideWhenUsed/>
    <w:rsid w:val="0025645E"/>
    <w:rPr>
      <w:b/>
      <w:bCs/>
    </w:rPr>
  </w:style>
  <w:style w:type="character" w:customStyle="1" w:styleId="CommentSubjectChar">
    <w:name w:val="Comment Subject Char"/>
    <w:basedOn w:val="CommentTextChar"/>
    <w:link w:val="CommentSubject"/>
    <w:uiPriority w:val="99"/>
    <w:semiHidden/>
    <w:rsid w:val="0025645E"/>
    <w:rPr>
      <w:b/>
      <w:bCs/>
      <w:sz w:val="20"/>
      <w:szCs w:val="20"/>
    </w:rPr>
  </w:style>
  <w:style w:type="paragraph" w:styleId="BalloonText">
    <w:name w:val="Balloon Text"/>
    <w:basedOn w:val="Normal"/>
    <w:link w:val="BalloonTextChar"/>
    <w:uiPriority w:val="99"/>
    <w:semiHidden/>
    <w:unhideWhenUsed/>
    <w:rsid w:val="0025645E"/>
    <w:pPr>
      <w:ind w:firstLine="36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45E"/>
    <w:rPr>
      <w:rFonts w:ascii="Segoe UI" w:hAnsi="Segoe UI" w:cs="Segoe UI"/>
      <w:sz w:val="18"/>
      <w:szCs w:val="18"/>
    </w:rPr>
  </w:style>
  <w:style w:type="paragraph" w:styleId="FootnoteText">
    <w:name w:val="footnote text"/>
    <w:basedOn w:val="Normal"/>
    <w:link w:val="FootnoteTextChar"/>
    <w:uiPriority w:val="99"/>
    <w:semiHidden/>
    <w:unhideWhenUsed/>
    <w:rsid w:val="00AF6512"/>
    <w:pPr>
      <w:ind w:firstLine="360"/>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F6512"/>
    <w:rPr>
      <w:sz w:val="20"/>
      <w:szCs w:val="20"/>
    </w:rPr>
  </w:style>
  <w:style w:type="character" w:styleId="FootnoteReference">
    <w:name w:val="footnote reference"/>
    <w:basedOn w:val="DefaultParagraphFont"/>
    <w:uiPriority w:val="99"/>
    <w:semiHidden/>
    <w:unhideWhenUsed/>
    <w:rsid w:val="00AF6512"/>
    <w:rPr>
      <w:vertAlign w:val="superscript"/>
    </w:rPr>
  </w:style>
  <w:style w:type="paragraph" w:styleId="Revision">
    <w:name w:val="Revision"/>
    <w:hidden/>
    <w:uiPriority w:val="99"/>
    <w:semiHidden/>
    <w:rsid w:val="008A0112"/>
    <w:pPr>
      <w:spacing w:after="0" w:line="240" w:lineRule="auto"/>
      <w:ind w:firstLine="0"/>
    </w:pPr>
  </w:style>
  <w:style w:type="character" w:styleId="Hyperlink">
    <w:name w:val="Hyperlink"/>
    <w:basedOn w:val="DefaultParagraphFont"/>
    <w:uiPriority w:val="99"/>
    <w:unhideWhenUsed/>
    <w:rsid w:val="00473016"/>
    <w:rPr>
      <w:color w:val="0000FF"/>
      <w:u w:val="single"/>
    </w:rPr>
  </w:style>
  <w:style w:type="character" w:customStyle="1" w:styleId="wb-inv">
    <w:name w:val="wb-inv"/>
    <w:basedOn w:val="DefaultParagraphFont"/>
    <w:rsid w:val="00473016"/>
  </w:style>
  <w:style w:type="character" w:customStyle="1" w:styleId="hlabel1">
    <w:name w:val="hlabel1"/>
    <w:basedOn w:val="DefaultParagraphFont"/>
    <w:rsid w:val="00D41546"/>
  </w:style>
  <w:style w:type="character" w:customStyle="1" w:styleId="htitletext1">
    <w:name w:val="htitletext1"/>
    <w:basedOn w:val="DefaultParagraphFont"/>
    <w:rsid w:val="00D41546"/>
  </w:style>
  <w:style w:type="character" w:customStyle="1" w:styleId="hlabel2">
    <w:name w:val="hlabel2"/>
    <w:basedOn w:val="DefaultParagraphFont"/>
    <w:rsid w:val="00D41546"/>
  </w:style>
  <w:style w:type="character" w:customStyle="1" w:styleId="htitletext2">
    <w:name w:val="htitletext2"/>
    <w:basedOn w:val="DefaultParagraphFont"/>
    <w:rsid w:val="00D41546"/>
  </w:style>
  <w:style w:type="character" w:customStyle="1" w:styleId="htitletext3">
    <w:name w:val="htitletext3"/>
    <w:basedOn w:val="DefaultParagraphFont"/>
    <w:rsid w:val="00D41546"/>
  </w:style>
  <w:style w:type="paragraph" w:customStyle="1" w:styleId="subsection">
    <w:name w:val="subsection"/>
    <w:basedOn w:val="Normal"/>
    <w:rsid w:val="00D41546"/>
    <w:pPr>
      <w:spacing w:before="100" w:beforeAutospacing="1" w:after="100" w:afterAutospacing="1"/>
    </w:pPr>
    <w:rPr>
      <w:rFonts w:eastAsia="Times New Roman"/>
      <w:lang w:val="en-CA"/>
    </w:rPr>
  </w:style>
  <w:style w:type="character" w:customStyle="1" w:styleId="sectionlabel">
    <w:name w:val="sectionlabel"/>
    <w:basedOn w:val="DefaultParagraphFont"/>
    <w:rsid w:val="00D41546"/>
  </w:style>
  <w:style w:type="character" w:customStyle="1" w:styleId="lawlabel">
    <w:name w:val="lawlabel"/>
    <w:basedOn w:val="DefaultParagraphFont"/>
    <w:rsid w:val="00D41546"/>
  </w:style>
  <w:style w:type="character" w:customStyle="1" w:styleId="UnresolvedMention1">
    <w:name w:val="Unresolved Mention1"/>
    <w:basedOn w:val="DefaultParagraphFont"/>
    <w:uiPriority w:val="99"/>
    <w:rsid w:val="00DC15FC"/>
    <w:rPr>
      <w:color w:val="605E5C"/>
      <w:shd w:val="clear" w:color="auto" w:fill="E1DFDD"/>
    </w:rPr>
  </w:style>
  <w:style w:type="paragraph" w:customStyle="1" w:styleId="xmsonormal">
    <w:name w:val="x_msonormal"/>
    <w:basedOn w:val="Normal"/>
    <w:rsid w:val="00724C12"/>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724C12"/>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724C12"/>
    <w:rPr>
      <w:rFonts w:ascii="Calibri" w:eastAsiaTheme="minorHAnsi" w:hAnsi="Calibri"/>
      <w:szCs w:val="21"/>
      <w:lang w:val="en-CA"/>
    </w:rPr>
  </w:style>
  <w:style w:type="table" w:styleId="TableGrid">
    <w:name w:val="Table Grid"/>
    <w:basedOn w:val="TableNormal"/>
    <w:uiPriority w:val="39"/>
    <w:rsid w:val="00866564"/>
    <w:pPr>
      <w:spacing w:after="0" w:line="240" w:lineRule="auto"/>
      <w:ind w:firstLine="0"/>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B35753"/>
    <w:pPr>
      <w:spacing w:before="120" w:after="240"/>
    </w:pPr>
    <w:rPr>
      <w:rFonts w:eastAsia="Verdana" w:cs="Verdana"/>
      <w:szCs w:val="18"/>
      <w:lang w:eastAsia="en-GB"/>
    </w:rPr>
  </w:style>
  <w:style w:type="paragraph" w:customStyle="1" w:styleId="Default">
    <w:name w:val="Default"/>
    <w:rsid w:val="00CF6A33"/>
    <w:pPr>
      <w:autoSpaceDE w:val="0"/>
      <w:autoSpaceDN w:val="0"/>
      <w:adjustRightInd w:val="0"/>
      <w:spacing w:after="0" w:line="240" w:lineRule="auto"/>
      <w:ind w:firstLine="0"/>
    </w:pPr>
    <w:rPr>
      <w:rFonts w:ascii="Calibri" w:eastAsiaTheme="minorHAnsi" w:hAnsi="Calibri" w:cs="Calibri"/>
      <w:color w:val="000000"/>
      <w:sz w:val="24"/>
      <w:szCs w:val="24"/>
      <w:lang w:val="fr-CA"/>
    </w:rPr>
  </w:style>
  <w:style w:type="paragraph" w:customStyle="1" w:styleId="paragraph">
    <w:name w:val="paragraph"/>
    <w:basedOn w:val="Normal"/>
    <w:rsid w:val="00775BB4"/>
    <w:pPr>
      <w:spacing w:before="100" w:beforeAutospacing="1" w:after="100" w:afterAutospacing="1"/>
    </w:pPr>
    <w:rPr>
      <w:rFonts w:eastAsia="Times New Roman"/>
      <w:lang w:val="en-GB" w:eastAsia="zh-CN"/>
    </w:rPr>
  </w:style>
  <w:style w:type="character" w:customStyle="1" w:styleId="normaltextrun">
    <w:name w:val="normaltextrun"/>
    <w:basedOn w:val="DefaultParagraphFont"/>
    <w:rsid w:val="00775BB4"/>
  </w:style>
  <w:style w:type="character" w:customStyle="1" w:styleId="eop">
    <w:name w:val="eop"/>
    <w:basedOn w:val="DefaultParagraphFont"/>
    <w:rsid w:val="00775BB4"/>
  </w:style>
  <w:style w:type="character" w:customStyle="1" w:styleId="cf01">
    <w:name w:val="cf01"/>
    <w:basedOn w:val="DefaultParagraphFont"/>
    <w:rsid w:val="00B43248"/>
    <w:rPr>
      <w:rFonts w:ascii="Segoe UI" w:hAnsi="Segoe UI" w:cs="Segoe UI" w:hint="default"/>
      <w:sz w:val="18"/>
      <w:szCs w:val="18"/>
    </w:rPr>
  </w:style>
  <w:style w:type="character" w:customStyle="1" w:styleId="UnresolvedMention2">
    <w:name w:val="Unresolved Mention2"/>
    <w:basedOn w:val="DefaultParagraphFont"/>
    <w:uiPriority w:val="99"/>
    <w:rsid w:val="0071284A"/>
    <w:rPr>
      <w:color w:val="605E5C"/>
      <w:shd w:val="clear" w:color="auto" w:fill="E1DFDD"/>
    </w:rPr>
  </w:style>
  <w:style w:type="character" w:styleId="FollowedHyperlink">
    <w:name w:val="FollowedHyperlink"/>
    <w:basedOn w:val="DefaultParagraphFont"/>
    <w:uiPriority w:val="99"/>
    <w:semiHidden/>
    <w:unhideWhenUsed/>
    <w:rsid w:val="004E6B38"/>
    <w:rPr>
      <w:color w:val="FCC77E" w:themeColor="followedHyperlink"/>
      <w:u w:val="single"/>
    </w:rPr>
  </w:style>
  <w:style w:type="character" w:customStyle="1" w:styleId="text">
    <w:name w:val="text"/>
    <w:basedOn w:val="DefaultParagraphFont"/>
    <w:rsid w:val="00FD096E"/>
  </w:style>
  <w:style w:type="character" w:customStyle="1" w:styleId="UnresolvedMention3">
    <w:name w:val="Unresolved Mention3"/>
    <w:basedOn w:val="DefaultParagraphFont"/>
    <w:uiPriority w:val="99"/>
    <w:rsid w:val="00A173A5"/>
    <w:rPr>
      <w:color w:val="605E5C"/>
      <w:shd w:val="clear" w:color="auto" w:fill="E1DFDD"/>
    </w:rPr>
  </w:style>
  <w:style w:type="character" w:styleId="LineNumber">
    <w:name w:val="line number"/>
    <w:basedOn w:val="DefaultParagraphFont"/>
    <w:uiPriority w:val="99"/>
    <w:semiHidden/>
    <w:unhideWhenUsed/>
    <w:rsid w:val="004F1DA3"/>
  </w:style>
  <w:style w:type="character" w:customStyle="1" w:styleId="UnresolvedMention4">
    <w:name w:val="Unresolved Mention4"/>
    <w:basedOn w:val="DefaultParagraphFont"/>
    <w:uiPriority w:val="99"/>
    <w:rsid w:val="007F021D"/>
    <w:rPr>
      <w:color w:val="605E5C"/>
      <w:shd w:val="clear" w:color="auto" w:fill="E1DFDD"/>
    </w:rPr>
  </w:style>
  <w:style w:type="character" w:customStyle="1" w:styleId="UnresolvedMention5">
    <w:name w:val="Unresolved Mention5"/>
    <w:basedOn w:val="DefaultParagraphFont"/>
    <w:uiPriority w:val="99"/>
    <w:rsid w:val="006B416D"/>
    <w:rPr>
      <w:color w:val="605E5C"/>
      <w:shd w:val="clear" w:color="auto" w:fill="E1DFDD"/>
    </w:rPr>
  </w:style>
  <w:style w:type="character" w:customStyle="1" w:styleId="UnresolvedMention6">
    <w:name w:val="Unresolved Mention6"/>
    <w:basedOn w:val="DefaultParagraphFont"/>
    <w:uiPriority w:val="99"/>
    <w:rsid w:val="001C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5">
      <w:bodyDiv w:val="1"/>
      <w:marLeft w:val="0"/>
      <w:marRight w:val="0"/>
      <w:marTop w:val="0"/>
      <w:marBottom w:val="0"/>
      <w:divBdr>
        <w:top w:val="none" w:sz="0" w:space="0" w:color="auto"/>
        <w:left w:val="none" w:sz="0" w:space="0" w:color="auto"/>
        <w:bottom w:val="none" w:sz="0" w:space="0" w:color="auto"/>
        <w:right w:val="none" w:sz="0" w:space="0" w:color="auto"/>
      </w:divBdr>
      <w:divsChild>
        <w:div w:id="48000529">
          <w:marLeft w:val="0"/>
          <w:marRight w:val="0"/>
          <w:marTop w:val="0"/>
          <w:marBottom w:val="0"/>
          <w:divBdr>
            <w:top w:val="none" w:sz="0" w:space="0" w:color="auto"/>
            <w:left w:val="none" w:sz="0" w:space="0" w:color="auto"/>
            <w:bottom w:val="none" w:sz="0" w:space="0" w:color="auto"/>
            <w:right w:val="none" w:sz="0" w:space="0" w:color="auto"/>
          </w:divBdr>
        </w:div>
        <w:div w:id="188761963">
          <w:marLeft w:val="0"/>
          <w:marRight w:val="0"/>
          <w:marTop w:val="0"/>
          <w:marBottom w:val="0"/>
          <w:divBdr>
            <w:top w:val="none" w:sz="0" w:space="0" w:color="auto"/>
            <w:left w:val="none" w:sz="0" w:space="0" w:color="auto"/>
            <w:bottom w:val="none" w:sz="0" w:space="0" w:color="auto"/>
            <w:right w:val="none" w:sz="0" w:space="0" w:color="auto"/>
          </w:divBdr>
        </w:div>
      </w:divsChild>
    </w:div>
    <w:div w:id="127944325">
      <w:bodyDiv w:val="1"/>
      <w:marLeft w:val="0"/>
      <w:marRight w:val="0"/>
      <w:marTop w:val="0"/>
      <w:marBottom w:val="0"/>
      <w:divBdr>
        <w:top w:val="none" w:sz="0" w:space="0" w:color="auto"/>
        <w:left w:val="none" w:sz="0" w:space="0" w:color="auto"/>
        <w:bottom w:val="none" w:sz="0" w:space="0" w:color="auto"/>
        <w:right w:val="none" w:sz="0" w:space="0" w:color="auto"/>
      </w:divBdr>
    </w:div>
    <w:div w:id="176307905">
      <w:bodyDiv w:val="1"/>
      <w:marLeft w:val="0"/>
      <w:marRight w:val="0"/>
      <w:marTop w:val="0"/>
      <w:marBottom w:val="0"/>
      <w:divBdr>
        <w:top w:val="none" w:sz="0" w:space="0" w:color="auto"/>
        <w:left w:val="none" w:sz="0" w:space="0" w:color="auto"/>
        <w:bottom w:val="none" w:sz="0" w:space="0" w:color="auto"/>
        <w:right w:val="none" w:sz="0" w:space="0" w:color="auto"/>
      </w:divBdr>
      <w:divsChild>
        <w:div w:id="106244118">
          <w:marLeft w:val="0"/>
          <w:marRight w:val="0"/>
          <w:marTop w:val="0"/>
          <w:marBottom w:val="0"/>
          <w:divBdr>
            <w:top w:val="none" w:sz="0" w:space="0" w:color="auto"/>
            <w:left w:val="none" w:sz="0" w:space="0" w:color="auto"/>
            <w:bottom w:val="none" w:sz="0" w:space="0" w:color="auto"/>
            <w:right w:val="none" w:sz="0" w:space="0" w:color="auto"/>
          </w:divBdr>
        </w:div>
        <w:div w:id="1463772047">
          <w:marLeft w:val="0"/>
          <w:marRight w:val="0"/>
          <w:marTop w:val="0"/>
          <w:marBottom w:val="0"/>
          <w:divBdr>
            <w:top w:val="none" w:sz="0" w:space="0" w:color="auto"/>
            <w:left w:val="none" w:sz="0" w:space="0" w:color="auto"/>
            <w:bottom w:val="none" w:sz="0" w:space="0" w:color="auto"/>
            <w:right w:val="none" w:sz="0" w:space="0" w:color="auto"/>
          </w:divBdr>
        </w:div>
      </w:divsChild>
    </w:div>
    <w:div w:id="255067090">
      <w:bodyDiv w:val="1"/>
      <w:marLeft w:val="0"/>
      <w:marRight w:val="0"/>
      <w:marTop w:val="0"/>
      <w:marBottom w:val="0"/>
      <w:divBdr>
        <w:top w:val="none" w:sz="0" w:space="0" w:color="auto"/>
        <w:left w:val="none" w:sz="0" w:space="0" w:color="auto"/>
        <w:bottom w:val="none" w:sz="0" w:space="0" w:color="auto"/>
        <w:right w:val="none" w:sz="0" w:space="0" w:color="auto"/>
      </w:divBdr>
      <w:divsChild>
        <w:div w:id="428628203">
          <w:marLeft w:val="0"/>
          <w:marRight w:val="0"/>
          <w:marTop w:val="0"/>
          <w:marBottom w:val="0"/>
          <w:divBdr>
            <w:top w:val="none" w:sz="0" w:space="0" w:color="auto"/>
            <w:left w:val="none" w:sz="0" w:space="0" w:color="auto"/>
            <w:bottom w:val="none" w:sz="0" w:space="0" w:color="auto"/>
            <w:right w:val="none" w:sz="0" w:space="0" w:color="auto"/>
          </w:divBdr>
        </w:div>
        <w:div w:id="970865357">
          <w:marLeft w:val="0"/>
          <w:marRight w:val="0"/>
          <w:marTop w:val="0"/>
          <w:marBottom w:val="0"/>
          <w:divBdr>
            <w:top w:val="none" w:sz="0" w:space="0" w:color="auto"/>
            <w:left w:val="none" w:sz="0" w:space="0" w:color="auto"/>
            <w:bottom w:val="none" w:sz="0" w:space="0" w:color="auto"/>
            <w:right w:val="none" w:sz="0" w:space="0" w:color="auto"/>
          </w:divBdr>
        </w:div>
        <w:div w:id="1374503164">
          <w:marLeft w:val="0"/>
          <w:marRight w:val="0"/>
          <w:marTop w:val="0"/>
          <w:marBottom w:val="0"/>
          <w:divBdr>
            <w:top w:val="none" w:sz="0" w:space="0" w:color="auto"/>
            <w:left w:val="none" w:sz="0" w:space="0" w:color="auto"/>
            <w:bottom w:val="none" w:sz="0" w:space="0" w:color="auto"/>
            <w:right w:val="none" w:sz="0" w:space="0" w:color="auto"/>
          </w:divBdr>
        </w:div>
        <w:div w:id="1427383112">
          <w:marLeft w:val="0"/>
          <w:marRight w:val="0"/>
          <w:marTop w:val="0"/>
          <w:marBottom w:val="0"/>
          <w:divBdr>
            <w:top w:val="none" w:sz="0" w:space="0" w:color="auto"/>
            <w:left w:val="none" w:sz="0" w:space="0" w:color="auto"/>
            <w:bottom w:val="none" w:sz="0" w:space="0" w:color="auto"/>
            <w:right w:val="none" w:sz="0" w:space="0" w:color="auto"/>
          </w:divBdr>
        </w:div>
        <w:div w:id="1558858766">
          <w:marLeft w:val="0"/>
          <w:marRight w:val="0"/>
          <w:marTop w:val="0"/>
          <w:marBottom w:val="0"/>
          <w:divBdr>
            <w:top w:val="none" w:sz="0" w:space="0" w:color="auto"/>
            <w:left w:val="none" w:sz="0" w:space="0" w:color="auto"/>
            <w:bottom w:val="none" w:sz="0" w:space="0" w:color="auto"/>
            <w:right w:val="none" w:sz="0" w:space="0" w:color="auto"/>
          </w:divBdr>
        </w:div>
        <w:div w:id="1837499787">
          <w:marLeft w:val="0"/>
          <w:marRight w:val="0"/>
          <w:marTop w:val="0"/>
          <w:marBottom w:val="0"/>
          <w:divBdr>
            <w:top w:val="none" w:sz="0" w:space="0" w:color="auto"/>
            <w:left w:val="none" w:sz="0" w:space="0" w:color="auto"/>
            <w:bottom w:val="none" w:sz="0" w:space="0" w:color="auto"/>
            <w:right w:val="none" w:sz="0" w:space="0" w:color="auto"/>
          </w:divBdr>
        </w:div>
      </w:divsChild>
    </w:div>
    <w:div w:id="321003896">
      <w:bodyDiv w:val="1"/>
      <w:marLeft w:val="0"/>
      <w:marRight w:val="0"/>
      <w:marTop w:val="0"/>
      <w:marBottom w:val="0"/>
      <w:divBdr>
        <w:top w:val="none" w:sz="0" w:space="0" w:color="auto"/>
        <w:left w:val="none" w:sz="0" w:space="0" w:color="auto"/>
        <w:bottom w:val="none" w:sz="0" w:space="0" w:color="auto"/>
        <w:right w:val="none" w:sz="0" w:space="0" w:color="auto"/>
      </w:divBdr>
    </w:div>
    <w:div w:id="535313559">
      <w:bodyDiv w:val="1"/>
      <w:marLeft w:val="0"/>
      <w:marRight w:val="0"/>
      <w:marTop w:val="0"/>
      <w:marBottom w:val="0"/>
      <w:divBdr>
        <w:top w:val="none" w:sz="0" w:space="0" w:color="auto"/>
        <w:left w:val="none" w:sz="0" w:space="0" w:color="auto"/>
        <w:bottom w:val="none" w:sz="0" w:space="0" w:color="auto"/>
        <w:right w:val="none" w:sz="0" w:space="0" w:color="auto"/>
      </w:divBdr>
    </w:div>
    <w:div w:id="580455829">
      <w:bodyDiv w:val="1"/>
      <w:marLeft w:val="0"/>
      <w:marRight w:val="0"/>
      <w:marTop w:val="0"/>
      <w:marBottom w:val="0"/>
      <w:divBdr>
        <w:top w:val="none" w:sz="0" w:space="0" w:color="auto"/>
        <w:left w:val="none" w:sz="0" w:space="0" w:color="auto"/>
        <w:bottom w:val="none" w:sz="0" w:space="0" w:color="auto"/>
        <w:right w:val="none" w:sz="0" w:space="0" w:color="auto"/>
      </w:divBdr>
    </w:div>
    <w:div w:id="748189675">
      <w:bodyDiv w:val="1"/>
      <w:marLeft w:val="0"/>
      <w:marRight w:val="0"/>
      <w:marTop w:val="0"/>
      <w:marBottom w:val="0"/>
      <w:divBdr>
        <w:top w:val="none" w:sz="0" w:space="0" w:color="auto"/>
        <w:left w:val="none" w:sz="0" w:space="0" w:color="auto"/>
        <w:bottom w:val="none" w:sz="0" w:space="0" w:color="auto"/>
        <w:right w:val="none" w:sz="0" w:space="0" w:color="auto"/>
      </w:divBdr>
    </w:div>
    <w:div w:id="922686000">
      <w:bodyDiv w:val="1"/>
      <w:marLeft w:val="0"/>
      <w:marRight w:val="0"/>
      <w:marTop w:val="0"/>
      <w:marBottom w:val="0"/>
      <w:divBdr>
        <w:top w:val="none" w:sz="0" w:space="0" w:color="auto"/>
        <w:left w:val="none" w:sz="0" w:space="0" w:color="auto"/>
        <w:bottom w:val="none" w:sz="0" w:space="0" w:color="auto"/>
        <w:right w:val="none" w:sz="0" w:space="0" w:color="auto"/>
      </w:divBdr>
      <w:divsChild>
        <w:div w:id="1360161776">
          <w:marLeft w:val="0"/>
          <w:marRight w:val="0"/>
          <w:marTop w:val="0"/>
          <w:marBottom w:val="0"/>
          <w:divBdr>
            <w:top w:val="none" w:sz="0" w:space="0" w:color="auto"/>
            <w:left w:val="none" w:sz="0" w:space="0" w:color="auto"/>
            <w:bottom w:val="none" w:sz="0" w:space="0" w:color="auto"/>
            <w:right w:val="none" w:sz="0" w:space="0" w:color="auto"/>
          </w:divBdr>
        </w:div>
        <w:div w:id="1705791588">
          <w:marLeft w:val="0"/>
          <w:marRight w:val="0"/>
          <w:marTop w:val="0"/>
          <w:marBottom w:val="0"/>
          <w:divBdr>
            <w:top w:val="none" w:sz="0" w:space="0" w:color="auto"/>
            <w:left w:val="none" w:sz="0" w:space="0" w:color="auto"/>
            <w:bottom w:val="none" w:sz="0" w:space="0" w:color="auto"/>
            <w:right w:val="none" w:sz="0" w:space="0" w:color="auto"/>
          </w:divBdr>
          <w:divsChild>
            <w:div w:id="1806191231">
              <w:marLeft w:val="0"/>
              <w:marRight w:val="0"/>
              <w:marTop w:val="0"/>
              <w:marBottom w:val="0"/>
              <w:divBdr>
                <w:top w:val="none" w:sz="0" w:space="0" w:color="auto"/>
                <w:left w:val="none" w:sz="0" w:space="0" w:color="auto"/>
                <w:bottom w:val="none" w:sz="0" w:space="0" w:color="auto"/>
                <w:right w:val="none" w:sz="0" w:space="0" w:color="auto"/>
              </w:divBdr>
              <w:divsChild>
                <w:div w:id="1446387380">
                  <w:marLeft w:val="-240"/>
                  <w:marRight w:val="-240"/>
                  <w:marTop w:val="0"/>
                  <w:marBottom w:val="0"/>
                  <w:divBdr>
                    <w:top w:val="none" w:sz="0" w:space="0" w:color="auto"/>
                    <w:left w:val="none" w:sz="0" w:space="0" w:color="auto"/>
                    <w:bottom w:val="none" w:sz="0" w:space="0" w:color="auto"/>
                    <w:right w:val="none" w:sz="0" w:space="0" w:color="auto"/>
                  </w:divBdr>
                  <w:divsChild>
                    <w:div w:id="941450580">
                      <w:marLeft w:val="0"/>
                      <w:marRight w:val="0"/>
                      <w:marTop w:val="0"/>
                      <w:marBottom w:val="0"/>
                      <w:divBdr>
                        <w:top w:val="none" w:sz="0" w:space="0" w:color="auto"/>
                        <w:left w:val="none" w:sz="0" w:space="0" w:color="auto"/>
                        <w:bottom w:val="none" w:sz="0" w:space="0" w:color="auto"/>
                        <w:right w:val="none" w:sz="0" w:space="0" w:color="auto"/>
                      </w:divBdr>
                      <w:divsChild>
                        <w:div w:id="1615744684">
                          <w:marLeft w:val="0"/>
                          <w:marRight w:val="0"/>
                          <w:marTop w:val="0"/>
                          <w:marBottom w:val="0"/>
                          <w:divBdr>
                            <w:top w:val="none" w:sz="0" w:space="0" w:color="auto"/>
                            <w:left w:val="none" w:sz="0" w:space="0" w:color="auto"/>
                            <w:bottom w:val="none" w:sz="0" w:space="0" w:color="auto"/>
                            <w:right w:val="none" w:sz="0" w:space="0" w:color="auto"/>
                          </w:divBdr>
                          <w:divsChild>
                            <w:div w:id="247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10013">
                      <w:marLeft w:val="0"/>
                      <w:marRight w:val="0"/>
                      <w:marTop w:val="0"/>
                      <w:marBottom w:val="0"/>
                      <w:divBdr>
                        <w:top w:val="none" w:sz="0" w:space="0" w:color="auto"/>
                        <w:left w:val="none" w:sz="0" w:space="0" w:color="auto"/>
                        <w:bottom w:val="none" w:sz="0" w:space="0" w:color="auto"/>
                        <w:right w:val="none" w:sz="0" w:space="0" w:color="auto"/>
                      </w:divBdr>
                      <w:divsChild>
                        <w:div w:id="1750611755">
                          <w:marLeft w:val="0"/>
                          <w:marRight w:val="0"/>
                          <w:marTop w:val="0"/>
                          <w:marBottom w:val="0"/>
                          <w:divBdr>
                            <w:top w:val="none" w:sz="0" w:space="0" w:color="auto"/>
                            <w:left w:val="none" w:sz="0" w:space="0" w:color="auto"/>
                            <w:bottom w:val="none" w:sz="0" w:space="0" w:color="auto"/>
                            <w:right w:val="none" w:sz="0" w:space="0" w:color="auto"/>
                          </w:divBdr>
                          <w:divsChild>
                            <w:div w:id="106198964">
                              <w:marLeft w:val="0"/>
                              <w:marRight w:val="0"/>
                              <w:marTop w:val="0"/>
                              <w:marBottom w:val="0"/>
                              <w:divBdr>
                                <w:top w:val="none" w:sz="0" w:space="0" w:color="auto"/>
                                <w:left w:val="none" w:sz="0" w:space="0" w:color="auto"/>
                                <w:bottom w:val="none" w:sz="0" w:space="0" w:color="auto"/>
                                <w:right w:val="none" w:sz="0" w:space="0" w:color="auto"/>
                              </w:divBdr>
                              <w:divsChild>
                                <w:div w:id="15618364">
                                  <w:marLeft w:val="0"/>
                                  <w:marRight w:val="0"/>
                                  <w:marTop w:val="0"/>
                                  <w:marBottom w:val="0"/>
                                  <w:divBdr>
                                    <w:top w:val="none" w:sz="0" w:space="0" w:color="auto"/>
                                    <w:left w:val="none" w:sz="0" w:space="0" w:color="auto"/>
                                    <w:bottom w:val="none" w:sz="0" w:space="0" w:color="auto"/>
                                    <w:right w:val="none" w:sz="0" w:space="0" w:color="auto"/>
                                  </w:divBdr>
                                  <w:divsChild>
                                    <w:div w:id="1688019039">
                                      <w:marLeft w:val="0"/>
                                      <w:marRight w:val="0"/>
                                      <w:marTop w:val="0"/>
                                      <w:marBottom w:val="0"/>
                                      <w:divBdr>
                                        <w:top w:val="none" w:sz="0" w:space="0" w:color="auto"/>
                                        <w:left w:val="none" w:sz="0" w:space="0" w:color="auto"/>
                                        <w:bottom w:val="none" w:sz="0" w:space="0" w:color="auto"/>
                                        <w:right w:val="none" w:sz="0" w:space="0" w:color="auto"/>
                                      </w:divBdr>
                                    </w:div>
                                    <w:div w:id="2086995949">
                                      <w:marLeft w:val="0"/>
                                      <w:marRight w:val="0"/>
                                      <w:marTop w:val="0"/>
                                      <w:marBottom w:val="0"/>
                                      <w:divBdr>
                                        <w:top w:val="none" w:sz="0" w:space="0" w:color="auto"/>
                                        <w:left w:val="none" w:sz="0" w:space="0" w:color="auto"/>
                                        <w:bottom w:val="none" w:sz="0" w:space="0" w:color="auto"/>
                                        <w:right w:val="none" w:sz="0" w:space="0" w:color="auto"/>
                                      </w:divBdr>
                                    </w:div>
                                    <w:div w:id="712920157">
                                      <w:marLeft w:val="0"/>
                                      <w:marRight w:val="0"/>
                                      <w:marTop w:val="0"/>
                                      <w:marBottom w:val="0"/>
                                      <w:divBdr>
                                        <w:top w:val="none" w:sz="0" w:space="0" w:color="auto"/>
                                        <w:left w:val="none" w:sz="0" w:space="0" w:color="auto"/>
                                        <w:bottom w:val="none" w:sz="0" w:space="0" w:color="auto"/>
                                        <w:right w:val="none" w:sz="0" w:space="0" w:color="auto"/>
                                      </w:divBdr>
                                    </w:div>
                                    <w:div w:id="726297915">
                                      <w:marLeft w:val="0"/>
                                      <w:marRight w:val="0"/>
                                      <w:marTop w:val="0"/>
                                      <w:marBottom w:val="0"/>
                                      <w:divBdr>
                                        <w:top w:val="none" w:sz="0" w:space="0" w:color="auto"/>
                                        <w:left w:val="none" w:sz="0" w:space="0" w:color="auto"/>
                                        <w:bottom w:val="none" w:sz="0" w:space="0" w:color="auto"/>
                                        <w:right w:val="none" w:sz="0" w:space="0" w:color="auto"/>
                                      </w:divBdr>
                                    </w:div>
                                    <w:div w:id="4855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3287">
      <w:bodyDiv w:val="1"/>
      <w:marLeft w:val="0"/>
      <w:marRight w:val="0"/>
      <w:marTop w:val="0"/>
      <w:marBottom w:val="0"/>
      <w:divBdr>
        <w:top w:val="none" w:sz="0" w:space="0" w:color="auto"/>
        <w:left w:val="none" w:sz="0" w:space="0" w:color="auto"/>
        <w:bottom w:val="none" w:sz="0" w:space="0" w:color="auto"/>
        <w:right w:val="none" w:sz="0" w:space="0" w:color="auto"/>
      </w:divBdr>
      <w:divsChild>
        <w:div w:id="1028722221">
          <w:marLeft w:val="0"/>
          <w:marRight w:val="0"/>
          <w:marTop w:val="0"/>
          <w:marBottom w:val="0"/>
          <w:divBdr>
            <w:top w:val="none" w:sz="0" w:space="0" w:color="auto"/>
            <w:left w:val="none" w:sz="0" w:space="0" w:color="auto"/>
            <w:bottom w:val="none" w:sz="0" w:space="0" w:color="auto"/>
            <w:right w:val="none" w:sz="0" w:space="0" w:color="auto"/>
          </w:divBdr>
        </w:div>
        <w:div w:id="1410224475">
          <w:marLeft w:val="0"/>
          <w:marRight w:val="0"/>
          <w:marTop w:val="0"/>
          <w:marBottom w:val="0"/>
          <w:divBdr>
            <w:top w:val="none" w:sz="0" w:space="0" w:color="auto"/>
            <w:left w:val="none" w:sz="0" w:space="0" w:color="auto"/>
            <w:bottom w:val="none" w:sz="0" w:space="0" w:color="auto"/>
            <w:right w:val="none" w:sz="0" w:space="0" w:color="auto"/>
          </w:divBdr>
        </w:div>
      </w:divsChild>
    </w:div>
    <w:div w:id="938828676">
      <w:bodyDiv w:val="1"/>
      <w:marLeft w:val="0"/>
      <w:marRight w:val="0"/>
      <w:marTop w:val="0"/>
      <w:marBottom w:val="0"/>
      <w:divBdr>
        <w:top w:val="none" w:sz="0" w:space="0" w:color="auto"/>
        <w:left w:val="none" w:sz="0" w:space="0" w:color="auto"/>
        <w:bottom w:val="none" w:sz="0" w:space="0" w:color="auto"/>
        <w:right w:val="none" w:sz="0" w:space="0" w:color="auto"/>
      </w:divBdr>
      <w:divsChild>
        <w:div w:id="1498423678">
          <w:marLeft w:val="0"/>
          <w:marRight w:val="0"/>
          <w:marTop w:val="0"/>
          <w:marBottom w:val="0"/>
          <w:divBdr>
            <w:top w:val="none" w:sz="0" w:space="0" w:color="auto"/>
            <w:left w:val="none" w:sz="0" w:space="0" w:color="auto"/>
            <w:bottom w:val="none" w:sz="0" w:space="0" w:color="auto"/>
            <w:right w:val="none" w:sz="0" w:space="0" w:color="auto"/>
          </w:divBdr>
        </w:div>
        <w:div w:id="2066489988">
          <w:marLeft w:val="0"/>
          <w:marRight w:val="0"/>
          <w:marTop w:val="0"/>
          <w:marBottom w:val="0"/>
          <w:divBdr>
            <w:top w:val="none" w:sz="0" w:space="0" w:color="auto"/>
            <w:left w:val="none" w:sz="0" w:space="0" w:color="auto"/>
            <w:bottom w:val="none" w:sz="0" w:space="0" w:color="auto"/>
            <w:right w:val="none" w:sz="0" w:space="0" w:color="auto"/>
          </w:divBdr>
        </w:div>
      </w:divsChild>
    </w:div>
    <w:div w:id="944118534">
      <w:bodyDiv w:val="1"/>
      <w:marLeft w:val="0"/>
      <w:marRight w:val="0"/>
      <w:marTop w:val="0"/>
      <w:marBottom w:val="0"/>
      <w:divBdr>
        <w:top w:val="none" w:sz="0" w:space="0" w:color="auto"/>
        <w:left w:val="none" w:sz="0" w:space="0" w:color="auto"/>
        <w:bottom w:val="none" w:sz="0" w:space="0" w:color="auto"/>
        <w:right w:val="none" w:sz="0" w:space="0" w:color="auto"/>
      </w:divBdr>
    </w:div>
    <w:div w:id="973562309">
      <w:bodyDiv w:val="1"/>
      <w:marLeft w:val="0"/>
      <w:marRight w:val="0"/>
      <w:marTop w:val="0"/>
      <w:marBottom w:val="0"/>
      <w:divBdr>
        <w:top w:val="none" w:sz="0" w:space="0" w:color="auto"/>
        <w:left w:val="none" w:sz="0" w:space="0" w:color="auto"/>
        <w:bottom w:val="none" w:sz="0" w:space="0" w:color="auto"/>
        <w:right w:val="none" w:sz="0" w:space="0" w:color="auto"/>
      </w:divBdr>
    </w:div>
    <w:div w:id="974720804">
      <w:bodyDiv w:val="1"/>
      <w:marLeft w:val="0"/>
      <w:marRight w:val="0"/>
      <w:marTop w:val="0"/>
      <w:marBottom w:val="0"/>
      <w:divBdr>
        <w:top w:val="none" w:sz="0" w:space="0" w:color="auto"/>
        <w:left w:val="none" w:sz="0" w:space="0" w:color="auto"/>
        <w:bottom w:val="none" w:sz="0" w:space="0" w:color="auto"/>
        <w:right w:val="none" w:sz="0" w:space="0" w:color="auto"/>
      </w:divBdr>
    </w:div>
    <w:div w:id="999384547">
      <w:bodyDiv w:val="1"/>
      <w:marLeft w:val="0"/>
      <w:marRight w:val="0"/>
      <w:marTop w:val="0"/>
      <w:marBottom w:val="0"/>
      <w:divBdr>
        <w:top w:val="none" w:sz="0" w:space="0" w:color="auto"/>
        <w:left w:val="none" w:sz="0" w:space="0" w:color="auto"/>
        <w:bottom w:val="none" w:sz="0" w:space="0" w:color="auto"/>
        <w:right w:val="none" w:sz="0" w:space="0" w:color="auto"/>
      </w:divBdr>
      <w:divsChild>
        <w:div w:id="9837199">
          <w:marLeft w:val="0"/>
          <w:marRight w:val="0"/>
          <w:marTop w:val="0"/>
          <w:marBottom w:val="0"/>
          <w:divBdr>
            <w:top w:val="none" w:sz="0" w:space="0" w:color="auto"/>
            <w:left w:val="none" w:sz="0" w:space="0" w:color="auto"/>
            <w:bottom w:val="none" w:sz="0" w:space="0" w:color="auto"/>
            <w:right w:val="none" w:sz="0" w:space="0" w:color="auto"/>
          </w:divBdr>
        </w:div>
        <w:div w:id="323819036">
          <w:marLeft w:val="0"/>
          <w:marRight w:val="0"/>
          <w:marTop w:val="0"/>
          <w:marBottom w:val="0"/>
          <w:divBdr>
            <w:top w:val="none" w:sz="0" w:space="0" w:color="auto"/>
            <w:left w:val="none" w:sz="0" w:space="0" w:color="auto"/>
            <w:bottom w:val="none" w:sz="0" w:space="0" w:color="auto"/>
            <w:right w:val="none" w:sz="0" w:space="0" w:color="auto"/>
          </w:divBdr>
        </w:div>
        <w:div w:id="343216511">
          <w:marLeft w:val="0"/>
          <w:marRight w:val="0"/>
          <w:marTop w:val="0"/>
          <w:marBottom w:val="0"/>
          <w:divBdr>
            <w:top w:val="none" w:sz="0" w:space="0" w:color="auto"/>
            <w:left w:val="none" w:sz="0" w:space="0" w:color="auto"/>
            <w:bottom w:val="none" w:sz="0" w:space="0" w:color="auto"/>
            <w:right w:val="none" w:sz="0" w:space="0" w:color="auto"/>
          </w:divBdr>
        </w:div>
        <w:div w:id="434138815">
          <w:marLeft w:val="0"/>
          <w:marRight w:val="0"/>
          <w:marTop w:val="0"/>
          <w:marBottom w:val="0"/>
          <w:divBdr>
            <w:top w:val="none" w:sz="0" w:space="0" w:color="auto"/>
            <w:left w:val="none" w:sz="0" w:space="0" w:color="auto"/>
            <w:bottom w:val="none" w:sz="0" w:space="0" w:color="auto"/>
            <w:right w:val="none" w:sz="0" w:space="0" w:color="auto"/>
          </w:divBdr>
        </w:div>
        <w:div w:id="487982808">
          <w:marLeft w:val="0"/>
          <w:marRight w:val="0"/>
          <w:marTop w:val="0"/>
          <w:marBottom w:val="0"/>
          <w:divBdr>
            <w:top w:val="none" w:sz="0" w:space="0" w:color="auto"/>
            <w:left w:val="none" w:sz="0" w:space="0" w:color="auto"/>
            <w:bottom w:val="none" w:sz="0" w:space="0" w:color="auto"/>
            <w:right w:val="none" w:sz="0" w:space="0" w:color="auto"/>
          </w:divBdr>
        </w:div>
        <w:div w:id="551430080">
          <w:marLeft w:val="0"/>
          <w:marRight w:val="0"/>
          <w:marTop w:val="0"/>
          <w:marBottom w:val="0"/>
          <w:divBdr>
            <w:top w:val="none" w:sz="0" w:space="0" w:color="auto"/>
            <w:left w:val="none" w:sz="0" w:space="0" w:color="auto"/>
            <w:bottom w:val="none" w:sz="0" w:space="0" w:color="auto"/>
            <w:right w:val="none" w:sz="0" w:space="0" w:color="auto"/>
          </w:divBdr>
        </w:div>
        <w:div w:id="613512875">
          <w:marLeft w:val="0"/>
          <w:marRight w:val="0"/>
          <w:marTop w:val="0"/>
          <w:marBottom w:val="0"/>
          <w:divBdr>
            <w:top w:val="none" w:sz="0" w:space="0" w:color="auto"/>
            <w:left w:val="none" w:sz="0" w:space="0" w:color="auto"/>
            <w:bottom w:val="none" w:sz="0" w:space="0" w:color="auto"/>
            <w:right w:val="none" w:sz="0" w:space="0" w:color="auto"/>
          </w:divBdr>
        </w:div>
        <w:div w:id="1374421873">
          <w:marLeft w:val="0"/>
          <w:marRight w:val="0"/>
          <w:marTop w:val="0"/>
          <w:marBottom w:val="0"/>
          <w:divBdr>
            <w:top w:val="none" w:sz="0" w:space="0" w:color="auto"/>
            <w:left w:val="none" w:sz="0" w:space="0" w:color="auto"/>
            <w:bottom w:val="none" w:sz="0" w:space="0" w:color="auto"/>
            <w:right w:val="none" w:sz="0" w:space="0" w:color="auto"/>
          </w:divBdr>
        </w:div>
        <w:div w:id="1637756610">
          <w:marLeft w:val="0"/>
          <w:marRight w:val="0"/>
          <w:marTop w:val="0"/>
          <w:marBottom w:val="0"/>
          <w:divBdr>
            <w:top w:val="none" w:sz="0" w:space="0" w:color="auto"/>
            <w:left w:val="none" w:sz="0" w:space="0" w:color="auto"/>
            <w:bottom w:val="none" w:sz="0" w:space="0" w:color="auto"/>
            <w:right w:val="none" w:sz="0" w:space="0" w:color="auto"/>
          </w:divBdr>
        </w:div>
      </w:divsChild>
    </w:div>
    <w:div w:id="1129400046">
      <w:bodyDiv w:val="1"/>
      <w:marLeft w:val="0"/>
      <w:marRight w:val="0"/>
      <w:marTop w:val="0"/>
      <w:marBottom w:val="0"/>
      <w:divBdr>
        <w:top w:val="none" w:sz="0" w:space="0" w:color="auto"/>
        <w:left w:val="none" w:sz="0" w:space="0" w:color="auto"/>
        <w:bottom w:val="none" w:sz="0" w:space="0" w:color="auto"/>
        <w:right w:val="none" w:sz="0" w:space="0" w:color="auto"/>
      </w:divBdr>
    </w:div>
    <w:div w:id="1700471723">
      <w:bodyDiv w:val="1"/>
      <w:marLeft w:val="0"/>
      <w:marRight w:val="0"/>
      <w:marTop w:val="0"/>
      <w:marBottom w:val="0"/>
      <w:divBdr>
        <w:top w:val="none" w:sz="0" w:space="0" w:color="auto"/>
        <w:left w:val="none" w:sz="0" w:space="0" w:color="auto"/>
        <w:bottom w:val="none" w:sz="0" w:space="0" w:color="auto"/>
        <w:right w:val="none" w:sz="0" w:space="0" w:color="auto"/>
      </w:divBdr>
    </w:div>
    <w:div w:id="1788350305">
      <w:bodyDiv w:val="1"/>
      <w:marLeft w:val="0"/>
      <w:marRight w:val="0"/>
      <w:marTop w:val="0"/>
      <w:marBottom w:val="0"/>
      <w:divBdr>
        <w:top w:val="none" w:sz="0" w:space="0" w:color="auto"/>
        <w:left w:val="none" w:sz="0" w:space="0" w:color="auto"/>
        <w:bottom w:val="none" w:sz="0" w:space="0" w:color="auto"/>
        <w:right w:val="none" w:sz="0" w:space="0" w:color="auto"/>
      </w:divBdr>
    </w:div>
    <w:div w:id="1841578807">
      <w:bodyDiv w:val="1"/>
      <w:marLeft w:val="0"/>
      <w:marRight w:val="0"/>
      <w:marTop w:val="0"/>
      <w:marBottom w:val="0"/>
      <w:divBdr>
        <w:top w:val="none" w:sz="0" w:space="0" w:color="auto"/>
        <w:left w:val="none" w:sz="0" w:space="0" w:color="auto"/>
        <w:bottom w:val="none" w:sz="0" w:space="0" w:color="auto"/>
        <w:right w:val="none" w:sz="0" w:space="0" w:color="auto"/>
      </w:divBdr>
      <w:divsChild>
        <w:div w:id="1321271786">
          <w:marLeft w:val="0"/>
          <w:marRight w:val="0"/>
          <w:marTop w:val="0"/>
          <w:marBottom w:val="0"/>
          <w:divBdr>
            <w:top w:val="none" w:sz="0" w:space="0" w:color="auto"/>
            <w:left w:val="none" w:sz="0" w:space="0" w:color="auto"/>
            <w:bottom w:val="none" w:sz="0" w:space="0" w:color="auto"/>
            <w:right w:val="none" w:sz="0" w:space="0" w:color="auto"/>
          </w:divBdr>
        </w:div>
        <w:div w:id="207037342">
          <w:marLeft w:val="0"/>
          <w:marRight w:val="0"/>
          <w:marTop w:val="0"/>
          <w:marBottom w:val="0"/>
          <w:divBdr>
            <w:top w:val="none" w:sz="0" w:space="0" w:color="auto"/>
            <w:left w:val="none" w:sz="0" w:space="0" w:color="auto"/>
            <w:bottom w:val="none" w:sz="0" w:space="0" w:color="auto"/>
            <w:right w:val="none" w:sz="0" w:space="0" w:color="auto"/>
          </w:divBdr>
          <w:divsChild>
            <w:div w:id="359474862">
              <w:marLeft w:val="0"/>
              <w:marRight w:val="0"/>
              <w:marTop w:val="0"/>
              <w:marBottom w:val="0"/>
              <w:divBdr>
                <w:top w:val="none" w:sz="0" w:space="0" w:color="auto"/>
                <w:left w:val="none" w:sz="0" w:space="0" w:color="auto"/>
                <w:bottom w:val="none" w:sz="0" w:space="0" w:color="auto"/>
                <w:right w:val="none" w:sz="0" w:space="0" w:color="auto"/>
              </w:divBdr>
              <w:divsChild>
                <w:div w:id="1945454631">
                  <w:marLeft w:val="-240"/>
                  <w:marRight w:val="-240"/>
                  <w:marTop w:val="0"/>
                  <w:marBottom w:val="0"/>
                  <w:divBdr>
                    <w:top w:val="none" w:sz="0" w:space="0" w:color="auto"/>
                    <w:left w:val="none" w:sz="0" w:space="0" w:color="auto"/>
                    <w:bottom w:val="none" w:sz="0" w:space="0" w:color="auto"/>
                    <w:right w:val="none" w:sz="0" w:space="0" w:color="auto"/>
                  </w:divBdr>
                  <w:divsChild>
                    <w:div w:id="1677146231">
                      <w:marLeft w:val="0"/>
                      <w:marRight w:val="0"/>
                      <w:marTop w:val="0"/>
                      <w:marBottom w:val="0"/>
                      <w:divBdr>
                        <w:top w:val="none" w:sz="0" w:space="0" w:color="auto"/>
                        <w:left w:val="none" w:sz="0" w:space="0" w:color="auto"/>
                        <w:bottom w:val="none" w:sz="0" w:space="0" w:color="auto"/>
                        <w:right w:val="none" w:sz="0" w:space="0" w:color="auto"/>
                      </w:divBdr>
                      <w:divsChild>
                        <w:div w:id="586889202">
                          <w:marLeft w:val="0"/>
                          <w:marRight w:val="0"/>
                          <w:marTop w:val="0"/>
                          <w:marBottom w:val="0"/>
                          <w:divBdr>
                            <w:top w:val="none" w:sz="0" w:space="0" w:color="auto"/>
                            <w:left w:val="none" w:sz="0" w:space="0" w:color="auto"/>
                            <w:bottom w:val="none" w:sz="0" w:space="0" w:color="auto"/>
                            <w:right w:val="none" w:sz="0" w:space="0" w:color="auto"/>
                          </w:divBdr>
                          <w:divsChild>
                            <w:div w:id="584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91495">
                      <w:marLeft w:val="0"/>
                      <w:marRight w:val="0"/>
                      <w:marTop w:val="0"/>
                      <w:marBottom w:val="0"/>
                      <w:divBdr>
                        <w:top w:val="none" w:sz="0" w:space="0" w:color="auto"/>
                        <w:left w:val="none" w:sz="0" w:space="0" w:color="auto"/>
                        <w:bottom w:val="none" w:sz="0" w:space="0" w:color="auto"/>
                        <w:right w:val="none" w:sz="0" w:space="0" w:color="auto"/>
                      </w:divBdr>
                      <w:divsChild>
                        <w:div w:id="1988393477">
                          <w:marLeft w:val="0"/>
                          <w:marRight w:val="0"/>
                          <w:marTop w:val="0"/>
                          <w:marBottom w:val="0"/>
                          <w:divBdr>
                            <w:top w:val="none" w:sz="0" w:space="0" w:color="auto"/>
                            <w:left w:val="none" w:sz="0" w:space="0" w:color="auto"/>
                            <w:bottom w:val="none" w:sz="0" w:space="0" w:color="auto"/>
                            <w:right w:val="none" w:sz="0" w:space="0" w:color="auto"/>
                          </w:divBdr>
                          <w:divsChild>
                            <w:div w:id="748697904">
                              <w:marLeft w:val="0"/>
                              <w:marRight w:val="0"/>
                              <w:marTop w:val="0"/>
                              <w:marBottom w:val="0"/>
                              <w:divBdr>
                                <w:top w:val="none" w:sz="0" w:space="0" w:color="auto"/>
                                <w:left w:val="none" w:sz="0" w:space="0" w:color="auto"/>
                                <w:bottom w:val="none" w:sz="0" w:space="0" w:color="auto"/>
                                <w:right w:val="none" w:sz="0" w:space="0" w:color="auto"/>
                              </w:divBdr>
                              <w:divsChild>
                                <w:div w:id="1038507463">
                                  <w:marLeft w:val="0"/>
                                  <w:marRight w:val="0"/>
                                  <w:marTop w:val="0"/>
                                  <w:marBottom w:val="0"/>
                                  <w:divBdr>
                                    <w:top w:val="none" w:sz="0" w:space="0" w:color="auto"/>
                                    <w:left w:val="none" w:sz="0" w:space="0" w:color="auto"/>
                                    <w:bottom w:val="none" w:sz="0" w:space="0" w:color="auto"/>
                                    <w:right w:val="none" w:sz="0" w:space="0" w:color="auto"/>
                                  </w:divBdr>
                                  <w:divsChild>
                                    <w:div w:id="1172337669">
                                      <w:marLeft w:val="0"/>
                                      <w:marRight w:val="0"/>
                                      <w:marTop w:val="0"/>
                                      <w:marBottom w:val="0"/>
                                      <w:divBdr>
                                        <w:top w:val="none" w:sz="0" w:space="0" w:color="auto"/>
                                        <w:left w:val="none" w:sz="0" w:space="0" w:color="auto"/>
                                        <w:bottom w:val="none" w:sz="0" w:space="0" w:color="auto"/>
                                        <w:right w:val="none" w:sz="0" w:space="0" w:color="auto"/>
                                      </w:divBdr>
                                    </w:div>
                                    <w:div w:id="537474384">
                                      <w:marLeft w:val="0"/>
                                      <w:marRight w:val="0"/>
                                      <w:marTop w:val="0"/>
                                      <w:marBottom w:val="0"/>
                                      <w:divBdr>
                                        <w:top w:val="none" w:sz="0" w:space="0" w:color="auto"/>
                                        <w:left w:val="none" w:sz="0" w:space="0" w:color="auto"/>
                                        <w:bottom w:val="none" w:sz="0" w:space="0" w:color="auto"/>
                                        <w:right w:val="none" w:sz="0" w:space="0" w:color="auto"/>
                                      </w:divBdr>
                                    </w:div>
                                    <w:div w:id="1223053589">
                                      <w:marLeft w:val="0"/>
                                      <w:marRight w:val="0"/>
                                      <w:marTop w:val="0"/>
                                      <w:marBottom w:val="0"/>
                                      <w:divBdr>
                                        <w:top w:val="none" w:sz="0" w:space="0" w:color="auto"/>
                                        <w:left w:val="none" w:sz="0" w:space="0" w:color="auto"/>
                                        <w:bottom w:val="none" w:sz="0" w:space="0" w:color="auto"/>
                                        <w:right w:val="none" w:sz="0" w:space="0" w:color="auto"/>
                                      </w:divBdr>
                                    </w:div>
                                    <w:div w:id="658971317">
                                      <w:marLeft w:val="0"/>
                                      <w:marRight w:val="0"/>
                                      <w:marTop w:val="0"/>
                                      <w:marBottom w:val="0"/>
                                      <w:divBdr>
                                        <w:top w:val="none" w:sz="0" w:space="0" w:color="auto"/>
                                        <w:left w:val="none" w:sz="0" w:space="0" w:color="auto"/>
                                        <w:bottom w:val="none" w:sz="0" w:space="0" w:color="auto"/>
                                        <w:right w:val="none" w:sz="0" w:space="0" w:color="auto"/>
                                      </w:divBdr>
                                    </w:div>
                                    <w:div w:id="5559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780">
      <w:bodyDiv w:val="1"/>
      <w:marLeft w:val="0"/>
      <w:marRight w:val="0"/>
      <w:marTop w:val="0"/>
      <w:marBottom w:val="0"/>
      <w:divBdr>
        <w:top w:val="none" w:sz="0" w:space="0" w:color="auto"/>
        <w:left w:val="none" w:sz="0" w:space="0" w:color="auto"/>
        <w:bottom w:val="none" w:sz="0" w:space="0" w:color="auto"/>
        <w:right w:val="none" w:sz="0" w:space="0" w:color="auto"/>
      </w:divBdr>
    </w:div>
    <w:div w:id="2061858745">
      <w:bodyDiv w:val="1"/>
      <w:marLeft w:val="0"/>
      <w:marRight w:val="0"/>
      <w:marTop w:val="0"/>
      <w:marBottom w:val="0"/>
      <w:divBdr>
        <w:top w:val="none" w:sz="0" w:space="0" w:color="auto"/>
        <w:left w:val="none" w:sz="0" w:space="0" w:color="auto"/>
        <w:bottom w:val="none" w:sz="0" w:space="0" w:color="auto"/>
        <w:right w:val="none" w:sz="0" w:space="0" w:color="auto"/>
      </w:divBdr>
      <w:divsChild>
        <w:div w:id="1036193729">
          <w:marLeft w:val="0"/>
          <w:marRight w:val="0"/>
          <w:marTop w:val="0"/>
          <w:marBottom w:val="0"/>
          <w:divBdr>
            <w:top w:val="none" w:sz="0" w:space="0" w:color="auto"/>
            <w:left w:val="none" w:sz="0" w:space="0" w:color="auto"/>
            <w:bottom w:val="none" w:sz="0" w:space="0" w:color="auto"/>
            <w:right w:val="none" w:sz="0" w:space="0" w:color="auto"/>
          </w:divBdr>
          <w:divsChild>
            <w:div w:id="287784105">
              <w:marLeft w:val="0"/>
              <w:marRight w:val="0"/>
              <w:marTop w:val="0"/>
              <w:marBottom w:val="0"/>
              <w:divBdr>
                <w:top w:val="none" w:sz="0" w:space="0" w:color="auto"/>
                <w:left w:val="none" w:sz="0" w:space="0" w:color="auto"/>
                <w:bottom w:val="none" w:sz="0" w:space="0" w:color="auto"/>
                <w:right w:val="none" w:sz="0" w:space="0" w:color="auto"/>
              </w:divBdr>
              <w:divsChild>
                <w:div w:id="10923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9396">
      <w:bodyDiv w:val="1"/>
      <w:marLeft w:val="0"/>
      <w:marRight w:val="0"/>
      <w:marTop w:val="0"/>
      <w:marBottom w:val="0"/>
      <w:divBdr>
        <w:top w:val="none" w:sz="0" w:space="0" w:color="auto"/>
        <w:left w:val="none" w:sz="0" w:space="0" w:color="auto"/>
        <w:bottom w:val="none" w:sz="0" w:space="0" w:color="auto"/>
        <w:right w:val="none" w:sz="0" w:space="0" w:color="auto"/>
      </w:divBdr>
      <w:divsChild>
        <w:div w:id="793909481">
          <w:marLeft w:val="0"/>
          <w:marRight w:val="0"/>
          <w:marTop w:val="0"/>
          <w:marBottom w:val="0"/>
          <w:divBdr>
            <w:top w:val="none" w:sz="0" w:space="0" w:color="auto"/>
            <w:left w:val="none" w:sz="0" w:space="0" w:color="auto"/>
            <w:bottom w:val="none" w:sz="0" w:space="0" w:color="auto"/>
            <w:right w:val="none" w:sz="0" w:space="0" w:color="auto"/>
          </w:divBdr>
        </w:div>
        <w:div w:id="824276950">
          <w:marLeft w:val="0"/>
          <w:marRight w:val="0"/>
          <w:marTop w:val="0"/>
          <w:marBottom w:val="0"/>
          <w:divBdr>
            <w:top w:val="none" w:sz="0" w:space="0" w:color="auto"/>
            <w:left w:val="none" w:sz="0" w:space="0" w:color="auto"/>
            <w:bottom w:val="none" w:sz="0" w:space="0" w:color="auto"/>
            <w:right w:val="none" w:sz="0" w:space="0" w:color="auto"/>
          </w:divBdr>
        </w:div>
        <w:div w:id="10257114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gov.uk%2Fgovernment%2Fnews%2Fmhra-to-streamline-clinical-trial-approvals-in-biggest-overhaul-of-trial-regulation-in-20-years&amp;data=05%7C02%7CFahimeda.Ali%40mhra.gov.uk%7Cca5a8c9e26e74a18aa2d08dcde04a7cf%7Ce527ea5c62584cd2a27f8bd237ec4c26%7C0%7C0%7C638629358786076898%7CUnknown%7CTWFpbGZsb3d8eyJWIjoiMC4wLjAwMDAiLCJQIjoiV2luMzIiLCJBTiI6Ik1haWwiLCJXVCI6Mn0%3D%7C0%7C%7C%7C&amp;sdata=RzzjFZK1QjS5ornWnyEmqPyzOg%2FdbvL6RmBbNq%2Fbmtc%3D&amp;reserved=0" TargetMode="External"/><Relationship Id="rId13" Type="http://schemas.openxmlformats.org/officeDocument/2006/relationships/hyperlink" Target="https://www.gov.uk/government/consultations/consultation-on-proposals-for-legislative-changes-for-clinical-trials" TargetMode="External"/><Relationship Id="rId18" Type="http://schemas.openxmlformats.org/officeDocument/2006/relationships/hyperlink" Target="https://www.ecfr.gov/current/title-45/subtitle-A/subchapter-A/part-46/subpart-A/section-46.114" TargetMode="External"/><Relationship Id="rId26" Type="http://schemas.openxmlformats.org/officeDocument/2006/relationships/hyperlink" Target="https://doi.org/10.1093/jjco/hyac034" TargetMode="External"/><Relationship Id="rId3" Type="http://schemas.openxmlformats.org/officeDocument/2006/relationships/styles" Target="styles.xml"/><Relationship Id="rId21" Type="http://schemas.openxmlformats.org/officeDocument/2006/relationships/hyperlink" Target="https://www.federalregister.gov/documents/2022/09/28/2022-21088/protection-of-human-subjects-and-institutional-review-board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t-aec.ca/" TargetMode="External"/><Relationship Id="rId17" Type="http://schemas.openxmlformats.org/officeDocument/2006/relationships/hyperlink" Target="https://www.govinfo.gov/content/pkg/FR-2018-06-19/pdf/2018-13187.pdf" TargetMode="External"/><Relationship Id="rId25" Type="http://schemas.openxmlformats.org/officeDocument/2006/relationships/hyperlink" Target="https://www.federalregister.gov/documents/2023/12/21/2023-27935/institutional-review-board-waiver-or-alteration-of-informed-consent-for-minimal-risk-clinic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info.gov/content/pkg/FR-2018-01-22/pdf/2018-00997.pdf" TargetMode="External"/><Relationship Id="rId20" Type="http://schemas.openxmlformats.org/officeDocument/2006/relationships/hyperlink" Target="https://grants.nih.gov/policy-and-compliance/policy-topics/human-subjects/single-irb-policy-multi-site-research" TargetMode="External"/><Relationship Id="rId29" Type="http://schemas.openxmlformats.org/officeDocument/2006/relationships/hyperlink" Target="https://www.safetyandquality.gov.au/our-work/health-and-human-research/national-one-stop-shop-national-platform-health-related-human-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erchildhealth.ca/" TargetMode="External"/><Relationship Id="rId24" Type="http://schemas.openxmlformats.org/officeDocument/2006/relationships/hyperlink" Target="https://www.fda.gov/media/88915/download"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info.gov/app/details/FR-2017-01-19/2017-01058/summary" TargetMode="External"/><Relationship Id="rId23" Type="http://schemas.openxmlformats.org/officeDocument/2006/relationships/hyperlink" Target="https://www.fda.gov/regulatory-information/search-fda-guidance-documents/ethical-considerations-clinical-investigations-medical-products-involving-children" TargetMode="External"/><Relationship Id="rId28" Type="http://schemas.openxmlformats.org/officeDocument/2006/relationships/hyperlink" Target="https://www.nhmrc.gov.au/about-us/publications/national-statement-ethical-conduct-human-research-2007-updated-2018" TargetMode="External"/><Relationship Id="rId10" Type="http://schemas.openxmlformats.org/officeDocument/2006/relationships/hyperlink" Target="https://careb-accer.org/cctcc-research-ethics-board-accreditation-working-group-final-recomendations/" TargetMode="External"/><Relationship Id="rId19" Type="http://schemas.openxmlformats.org/officeDocument/2006/relationships/hyperlink" Target="https://grants.nih.gov/grants/guide/notice-files/NOT-OD-16-094.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documents/other/clinical-trial-information-system-ctis-evaluation-timelines_en.pdf" TargetMode="External"/><Relationship Id="rId14" Type="http://schemas.openxmlformats.org/officeDocument/2006/relationships/hyperlink" Target="https://www.gov.uk/government/news/mhra-to-streamline-clinical-trial-approvals-in-biggest-overhaul-of-trial-regulation-in-20-years" TargetMode="External"/><Relationship Id="rId22" Type="http://schemas.openxmlformats.org/officeDocument/2006/relationships/hyperlink" Target="https://www.federalregister.gov/citation/87-FR-58752" TargetMode="External"/><Relationship Id="rId27" Type="http://schemas.openxmlformats.org/officeDocument/2006/relationships/hyperlink" Target="https://doi.org/10.1093/jjco/hyaa028" TargetMode="External"/><Relationship Id="rId30" Type="http://schemas.openxmlformats.org/officeDocument/2006/relationships/footer" Target="footer1.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BF925-4080-EB4E-8C80-0403DDE3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8165</Words>
  <Characters>46543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Lacaze Thierry</dc:creator>
  <cp:keywords/>
  <dc:description/>
  <cp:lastModifiedBy>Irene, Yao [PHSA]</cp:lastModifiedBy>
  <cp:revision>2</cp:revision>
  <cp:lastPrinted>2025-01-15T20:19:00Z</cp:lastPrinted>
  <dcterms:created xsi:type="dcterms:W3CDTF">2025-01-20T17:18:00Z</dcterms:created>
  <dcterms:modified xsi:type="dcterms:W3CDTF">2025-01-20T17:18:00Z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eea11ca-d417-4147-80ed-01a58412c458_Enabled">
    <vt:lpwstr>true</vt:lpwstr>
  </property>
  <property fmtid="{D5CDD505-2E9C-101B-9397-08002B2CF9AE}" pid="4" name="MSIP_Label_0eea11ca-d417-4147-80ed-01a58412c458_SetDate">
    <vt:lpwstr>2024-03-06T09:44:47Z</vt:lpwstr>
  </property>
  <property fmtid="{D5CDD505-2E9C-101B-9397-08002B2CF9AE}" pid="5" name="MSIP_Label_0eea11ca-d417-4147-80ed-01a58412c458_Method">
    <vt:lpwstr>Standard</vt:lpwstr>
  </property>
  <property fmtid="{D5CDD505-2E9C-101B-9397-08002B2CF9AE}" pid="6" name="MSIP_Label_0eea11ca-d417-4147-80ed-01a58412c458_Name">
    <vt:lpwstr>0eea11ca-d417-4147-80ed-01a58412c458</vt:lpwstr>
  </property>
  <property fmtid="{D5CDD505-2E9C-101B-9397-08002B2CF9AE}" pid="7" name="MSIP_Label_0eea11ca-d417-4147-80ed-01a58412c458_SiteId">
    <vt:lpwstr>bc9dc15c-61bc-4f03-b60b-e5b6d8922839</vt:lpwstr>
  </property>
  <property fmtid="{D5CDD505-2E9C-101B-9397-08002B2CF9AE}" pid="8" name="MSIP_Label_0eea11ca-d417-4147-80ed-01a58412c458_ActionId">
    <vt:lpwstr>9f8bb3cd-e694-4614-9a55-4c1a50925caa</vt:lpwstr>
  </property>
  <property fmtid="{D5CDD505-2E9C-101B-9397-08002B2CF9AE}" pid="9" name="MSIP_Label_0eea11ca-d417-4147-80ed-01a58412c458_ContentBits">
    <vt:lpwstr>2</vt:lpwstr>
  </property>
</Properties>
</file>