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E21A0" w14:textId="122C1B15" w:rsidR="00347728" w:rsidRPr="00240115" w:rsidRDefault="00347728" w:rsidP="004D5E6B">
      <w:pPr>
        <w:pStyle w:val="NoSpacing"/>
        <w:spacing w:line="360" w:lineRule="auto"/>
        <w:ind w:left="720"/>
        <w:jc w:val="center"/>
        <w:rPr>
          <w:rFonts w:ascii="Times New Roman" w:hAnsi="Times New Roman" w:cs="Times New Roman"/>
          <w:b/>
          <w:bCs/>
          <w:color w:val="2F5496" w:themeColor="accent1" w:themeShade="BF"/>
          <w:sz w:val="28"/>
          <w:szCs w:val="28"/>
          <w:lang w:val="en-US"/>
        </w:rPr>
      </w:pPr>
      <w:r w:rsidRPr="00240115">
        <w:rPr>
          <w:rFonts w:ascii="Times New Roman" w:hAnsi="Times New Roman" w:cs="Times New Roman"/>
          <w:b/>
          <w:bCs/>
          <w:color w:val="2F5496" w:themeColor="accent1" w:themeShade="BF"/>
          <w:sz w:val="28"/>
          <w:szCs w:val="28"/>
          <w:lang w:val="en-US"/>
        </w:rPr>
        <w:t xml:space="preserve">How do Institutional Investors Dictate Corporate Cash Holdings </w:t>
      </w:r>
      <w:r w:rsidR="0012602A" w:rsidRPr="00240115">
        <w:rPr>
          <w:rFonts w:ascii="Times New Roman" w:hAnsi="Times New Roman" w:cs="Times New Roman"/>
          <w:b/>
          <w:bCs/>
          <w:color w:val="2F5496" w:themeColor="accent1" w:themeShade="BF"/>
          <w:sz w:val="28"/>
          <w:szCs w:val="28"/>
          <w:lang w:val="en-US"/>
        </w:rPr>
        <w:t>in a</w:t>
      </w:r>
      <w:r w:rsidRPr="00240115">
        <w:rPr>
          <w:rFonts w:ascii="Times New Roman" w:hAnsi="Times New Roman" w:cs="Times New Roman"/>
          <w:b/>
          <w:bCs/>
          <w:color w:val="2F5496" w:themeColor="accent1" w:themeShade="BF"/>
          <w:sz w:val="28"/>
          <w:szCs w:val="28"/>
          <w:lang w:val="en-US"/>
        </w:rPr>
        <w:t xml:space="preserve"> </w:t>
      </w:r>
      <w:r w:rsidR="004D5E6B" w:rsidRPr="00240115">
        <w:rPr>
          <w:rFonts w:ascii="Times New Roman" w:hAnsi="Times New Roman" w:cs="Times New Roman"/>
          <w:b/>
          <w:bCs/>
          <w:color w:val="2F5496" w:themeColor="accent1" w:themeShade="BF"/>
          <w:sz w:val="28"/>
          <w:szCs w:val="28"/>
          <w:lang w:val="en-US"/>
        </w:rPr>
        <w:t>Financial</w:t>
      </w:r>
      <w:r w:rsidRPr="00240115">
        <w:rPr>
          <w:rFonts w:ascii="Times New Roman" w:hAnsi="Times New Roman" w:cs="Times New Roman"/>
          <w:b/>
          <w:bCs/>
          <w:color w:val="2F5496" w:themeColor="accent1" w:themeShade="BF"/>
          <w:sz w:val="28"/>
          <w:szCs w:val="28"/>
          <w:lang w:val="en-US"/>
        </w:rPr>
        <w:t xml:space="preserve">ly </w:t>
      </w:r>
      <w:r w:rsidR="004D5E6B" w:rsidRPr="00240115">
        <w:rPr>
          <w:rFonts w:ascii="Times New Roman" w:hAnsi="Times New Roman" w:cs="Times New Roman"/>
          <w:b/>
          <w:bCs/>
          <w:color w:val="2F5496" w:themeColor="accent1" w:themeShade="BF"/>
          <w:sz w:val="28"/>
          <w:szCs w:val="28"/>
          <w:lang w:val="en-US"/>
        </w:rPr>
        <w:t>Constrain</w:t>
      </w:r>
      <w:r w:rsidR="0012602A" w:rsidRPr="00240115">
        <w:rPr>
          <w:rFonts w:ascii="Times New Roman" w:hAnsi="Times New Roman" w:cs="Times New Roman"/>
          <w:b/>
          <w:bCs/>
          <w:color w:val="2F5496" w:themeColor="accent1" w:themeShade="BF"/>
          <w:sz w:val="28"/>
          <w:szCs w:val="28"/>
          <w:lang w:val="en-US"/>
        </w:rPr>
        <w:t>ed Environment</w:t>
      </w:r>
      <w:r w:rsidRPr="00240115">
        <w:rPr>
          <w:rFonts w:ascii="Times New Roman" w:hAnsi="Times New Roman" w:cs="Times New Roman"/>
          <w:b/>
          <w:bCs/>
          <w:color w:val="2F5496" w:themeColor="accent1" w:themeShade="BF"/>
          <w:sz w:val="28"/>
          <w:szCs w:val="28"/>
          <w:lang w:val="en-US"/>
        </w:rPr>
        <w:t>?</w:t>
      </w:r>
      <w:r w:rsidR="00D008EC" w:rsidRPr="00D008EC">
        <w:rPr>
          <w:rStyle w:val="TableGrid"/>
          <w:rFonts w:ascii="Times New Roman" w:hAnsi="Times New Roman" w:cs="Times New Roman"/>
          <w:b/>
          <w:bCs/>
          <w:color w:val="1F3864" w:themeColor="accent1" w:themeShade="80"/>
          <w:sz w:val="32"/>
          <w:szCs w:val="32"/>
          <w:lang w:val="en-US"/>
        </w:rPr>
        <w:t xml:space="preserve"> </w:t>
      </w:r>
      <w:r w:rsidR="00D008EC" w:rsidRPr="004D5E6B">
        <w:rPr>
          <w:rStyle w:val="FootnoteReference"/>
          <w:rFonts w:ascii="Times New Roman" w:hAnsi="Times New Roman" w:cs="Times New Roman"/>
          <w:b/>
          <w:bCs/>
          <w:color w:val="1F3864" w:themeColor="accent1" w:themeShade="80"/>
          <w:sz w:val="32"/>
          <w:szCs w:val="32"/>
          <w:lang w:val="en-US"/>
        </w:rPr>
        <w:footnoteReference w:id="1"/>
      </w:r>
      <w:r w:rsidRPr="00240115">
        <w:rPr>
          <w:rFonts w:ascii="Times New Roman" w:hAnsi="Times New Roman" w:cs="Times New Roman"/>
          <w:b/>
          <w:bCs/>
          <w:color w:val="2F5496" w:themeColor="accent1" w:themeShade="BF"/>
          <w:sz w:val="28"/>
          <w:szCs w:val="28"/>
          <w:lang w:val="en-US"/>
        </w:rPr>
        <w:t xml:space="preserve"> </w:t>
      </w:r>
    </w:p>
    <w:p w14:paraId="74E34C91" w14:textId="77777777" w:rsidR="00302A8A" w:rsidRDefault="00302A8A" w:rsidP="004D5E6B">
      <w:pPr>
        <w:rPr>
          <w:rFonts w:eastAsia="Times New Roman"/>
          <w:color w:val="000000" w:themeColor="text1"/>
          <w:lang w:val="en-GB"/>
        </w:rPr>
      </w:pPr>
    </w:p>
    <w:p w14:paraId="2BB7704A" w14:textId="39DD2BBA" w:rsidR="004D5E6B" w:rsidRPr="008507BE" w:rsidRDefault="00FF0201" w:rsidP="004D5E6B">
      <w:pPr>
        <w:rPr>
          <w:rFonts w:ascii="Times New Roman" w:hAnsi="Times New Roman" w:cs="Times New Roman"/>
          <w:color w:val="000000" w:themeColor="text1"/>
          <w:sz w:val="24"/>
          <w:szCs w:val="24"/>
        </w:rPr>
      </w:pPr>
      <w:r w:rsidRPr="00BE65C7">
        <w:rPr>
          <w:rFonts w:eastAsia="Times New Roman"/>
          <w:color w:val="000000" w:themeColor="text1"/>
          <w:lang w:val="en-GB"/>
        </w:rPr>
        <w:tab/>
      </w:r>
      <w:r w:rsidRPr="00BE65C7">
        <w:rPr>
          <w:rFonts w:eastAsia="Times New Roman"/>
          <w:color w:val="000000" w:themeColor="text1"/>
          <w:lang w:val="en-GB"/>
        </w:rPr>
        <w:tab/>
      </w:r>
    </w:p>
    <w:p w14:paraId="6E9396AE" w14:textId="77777777" w:rsidR="00D008EC" w:rsidRPr="00BE65C7" w:rsidRDefault="00D008EC" w:rsidP="00D008EC">
      <w:pPr>
        <w:rPr>
          <w:rFonts w:eastAsia="Times New Roman"/>
          <w:color w:val="000000" w:themeColor="text1"/>
        </w:rPr>
      </w:pPr>
    </w:p>
    <w:p w14:paraId="2F087AB6" w14:textId="77777777" w:rsidR="00D008EC" w:rsidRPr="00902390" w:rsidRDefault="00D008EC" w:rsidP="00D008EC">
      <w:pPr>
        <w:rPr>
          <w:rFonts w:ascii="Times New Roman" w:eastAsia="Times New Roman" w:hAnsi="Times New Roman" w:cs="Times New Roman"/>
          <w:i/>
          <w:iCs/>
          <w:color w:val="000000" w:themeColor="text1"/>
          <w:sz w:val="24"/>
          <w:szCs w:val="24"/>
          <w:lang w:val="en-GB"/>
        </w:rPr>
      </w:pPr>
      <w:r w:rsidRPr="00902390">
        <w:rPr>
          <w:rFonts w:ascii="Times New Roman" w:eastAsia="Times New Roman" w:hAnsi="Times New Roman" w:cs="Times New Roman"/>
          <w:b/>
          <w:bCs/>
          <w:i/>
          <w:iCs/>
          <w:color w:val="44546A" w:themeColor="text2"/>
          <w:sz w:val="24"/>
          <w:szCs w:val="24"/>
          <w:lang w:val="en-GB"/>
        </w:rPr>
        <w:t xml:space="preserve">   Santanu Das</w:t>
      </w:r>
      <w:r w:rsidRPr="00902390">
        <w:rPr>
          <w:rFonts w:ascii="Times New Roman" w:eastAsia="Times New Roman" w:hAnsi="Times New Roman" w:cs="Times New Roman"/>
          <w:i/>
          <w:iCs/>
          <w:color w:val="44546A" w:themeColor="text2"/>
          <w:sz w:val="24"/>
          <w:szCs w:val="24"/>
          <w:lang w:val="en-GB"/>
        </w:rPr>
        <w:t xml:space="preserve">   </w:t>
      </w:r>
      <w:r w:rsidRPr="00902390">
        <w:rPr>
          <w:rFonts w:ascii="Times New Roman" w:eastAsia="Times New Roman" w:hAnsi="Times New Roman" w:cs="Times New Roman"/>
          <w:i/>
          <w:iCs/>
          <w:color w:val="44546A" w:themeColor="text2"/>
          <w:sz w:val="24"/>
          <w:szCs w:val="24"/>
          <w:lang w:val="en-GB"/>
        </w:rPr>
        <w:tab/>
      </w:r>
      <w:r w:rsidRPr="00902390">
        <w:rPr>
          <w:rFonts w:ascii="Times New Roman" w:eastAsia="Times New Roman" w:hAnsi="Times New Roman" w:cs="Times New Roman"/>
          <w:i/>
          <w:iCs/>
          <w:color w:val="44546A" w:themeColor="text2"/>
          <w:sz w:val="24"/>
          <w:szCs w:val="24"/>
          <w:lang w:val="en-GB"/>
        </w:rPr>
        <w:tab/>
        <w:t xml:space="preserve">     </w:t>
      </w:r>
      <w:r w:rsidRPr="00902390">
        <w:rPr>
          <w:rFonts w:ascii="Times New Roman" w:eastAsia="Times New Roman" w:hAnsi="Times New Roman" w:cs="Times New Roman"/>
          <w:b/>
          <w:bCs/>
          <w:i/>
          <w:iCs/>
          <w:color w:val="44546A" w:themeColor="text2"/>
          <w:sz w:val="24"/>
          <w:szCs w:val="24"/>
          <w:lang w:val="en-GB"/>
        </w:rPr>
        <w:t>Ashish Kumar                                Tapas Mishra</w:t>
      </w:r>
    </w:p>
    <w:p w14:paraId="7358685D" w14:textId="77777777" w:rsidR="00D008EC" w:rsidRPr="004D5E6B" w:rsidRDefault="00D008EC" w:rsidP="00D008EC">
      <w:pPr>
        <w:rPr>
          <w:rFonts w:ascii="Times New Roman" w:eastAsia="Times New Roman" w:hAnsi="Times New Roman" w:cs="Times New Roman"/>
          <w:color w:val="000000" w:themeColor="text1"/>
          <w:sz w:val="24"/>
          <w:szCs w:val="24"/>
          <w:lang w:val="en-GB"/>
        </w:rPr>
      </w:pPr>
      <w:r w:rsidRPr="004D5E6B">
        <w:rPr>
          <w:rFonts w:ascii="Times New Roman" w:eastAsia="Times New Roman" w:hAnsi="Times New Roman" w:cs="Times New Roman"/>
          <w:color w:val="000000" w:themeColor="text1"/>
          <w:sz w:val="24"/>
          <w:szCs w:val="24"/>
          <w:lang w:val="en-GB"/>
        </w:rPr>
        <w:t xml:space="preserve">IIFM, Bhopal, India </w:t>
      </w:r>
      <w:r w:rsidRPr="004D5E6B">
        <w:rPr>
          <w:rFonts w:ascii="Times New Roman" w:eastAsia="Times New Roman" w:hAnsi="Times New Roman" w:cs="Times New Roman"/>
          <w:color w:val="000000" w:themeColor="text1"/>
          <w:sz w:val="24"/>
          <w:szCs w:val="24"/>
          <w:lang w:val="en-GB"/>
        </w:rPr>
        <w:tab/>
        <w:t xml:space="preserve">               IIM Kashipur, India               University of Southampton, UK</w:t>
      </w:r>
    </w:p>
    <w:p w14:paraId="4E2BF745" w14:textId="77777777" w:rsidR="00276C18" w:rsidRPr="00D008EC" w:rsidRDefault="00276C18" w:rsidP="00E063BC">
      <w:pPr>
        <w:jc w:val="center"/>
        <w:rPr>
          <w:rFonts w:ascii="Times New Roman" w:hAnsi="Times New Roman" w:cs="Times New Roman"/>
          <w:color w:val="000000" w:themeColor="text1"/>
          <w:sz w:val="24"/>
          <w:szCs w:val="24"/>
          <w:lang w:val="en-GB"/>
        </w:rPr>
      </w:pPr>
    </w:p>
    <w:p w14:paraId="6BD2CD77" w14:textId="77777777" w:rsidR="00276C18" w:rsidRPr="00BE65C7" w:rsidRDefault="00276C18" w:rsidP="00E063BC">
      <w:pPr>
        <w:jc w:val="center"/>
        <w:rPr>
          <w:rFonts w:ascii="Times New Roman" w:hAnsi="Times New Roman" w:cs="Times New Roman"/>
          <w:color w:val="000000" w:themeColor="text1"/>
          <w:sz w:val="24"/>
          <w:szCs w:val="24"/>
          <w:lang w:val="en-US"/>
        </w:rPr>
      </w:pPr>
    </w:p>
    <w:p w14:paraId="54EDFCA6" w14:textId="6BB36091" w:rsidR="00276C18" w:rsidRPr="00BE65C7" w:rsidRDefault="00276C18" w:rsidP="00E063BC">
      <w:pPr>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Abstract</w:t>
      </w:r>
    </w:p>
    <w:p w14:paraId="7AC63849" w14:textId="625EE1CE" w:rsidR="004B43A6" w:rsidRPr="00BE65C7" w:rsidRDefault="00425D1B" w:rsidP="004B43A6">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w:t>
      </w:r>
      <w:r w:rsidR="004B43A6">
        <w:rPr>
          <w:rFonts w:ascii="Times New Roman" w:hAnsi="Times New Roman" w:cs="Times New Roman"/>
          <w:color w:val="000000" w:themeColor="text1"/>
          <w:sz w:val="24"/>
          <w:szCs w:val="24"/>
          <w:lang w:val="en-US"/>
        </w:rPr>
        <w:t xml:space="preserve">nstitutional investors use voting power to influence firms’ financial decisions, such as </w:t>
      </w:r>
      <w:r w:rsidR="005C776A">
        <w:rPr>
          <w:rFonts w:ascii="Times New Roman" w:hAnsi="Times New Roman" w:cs="Times New Roman"/>
          <w:color w:val="000000" w:themeColor="text1"/>
          <w:sz w:val="24"/>
          <w:szCs w:val="24"/>
          <w:lang w:val="en-US"/>
        </w:rPr>
        <w:t xml:space="preserve">their </w:t>
      </w:r>
      <w:r w:rsidR="004B43A6">
        <w:rPr>
          <w:rFonts w:ascii="Times New Roman" w:hAnsi="Times New Roman" w:cs="Times New Roman"/>
          <w:color w:val="000000" w:themeColor="text1"/>
          <w:sz w:val="24"/>
          <w:szCs w:val="24"/>
          <w:lang w:val="en-US"/>
        </w:rPr>
        <w:t>inclination to</w:t>
      </w:r>
      <w:r w:rsidR="005C776A">
        <w:rPr>
          <w:rFonts w:ascii="Times New Roman" w:hAnsi="Times New Roman" w:cs="Times New Roman"/>
          <w:color w:val="000000" w:themeColor="text1"/>
          <w:sz w:val="24"/>
          <w:szCs w:val="24"/>
          <w:lang w:val="en-US"/>
        </w:rPr>
        <w:t>wards</w:t>
      </w:r>
      <w:r w:rsidR="004B43A6">
        <w:rPr>
          <w:rFonts w:ascii="Times New Roman" w:hAnsi="Times New Roman" w:cs="Times New Roman"/>
          <w:color w:val="000000" w:themeColor="text1"/>
          <w:sz w:val="24"/>
          <w:szCs w:val="24"/>
          <w:lang w:val="en-US"/>
        </w:rPr>
        <w:t xml:space="preserve"> large cash </w:t>
      </w:r>
      <w:r>
        <w:rPr>
          <w:rFonts w:ascii="Times New Roman" w:hAnsi="Times New Roman" w:cs="Times New Roman"/>
          <w:color w:val="000000" w:themeColor="text1"/>
          <w:sz w:val="24"/>
          <w:szCs w:val="24"/>
          <w:lang w:val="en-US"/>
        </w:rPr>
        <w:t>during heightened economic</w:t>
      </w:r>
      <w:r w:rsidR="00B763A8">
        <w:rPr>
          <w:rFonts w:ascii="Times New Roman" w:hAnsi="Times New Roman" w:cs="Times New Roman"/>
          <w:color w:val="000000" w:themeColor="text1"/>
          <w:sz w:val="24"/>
          <w:szCs w:val="24"/>
          <w:lang w:val="en-US"/>
        </w:rPr>
        <w:t xml:space="preserve"> uncertain</w:t>
      </w:r>
      <w:r>
        <w:rPr>
          <w:rFonts w:ascii="Times New Roman" w:hAnsi="Times New Roman" w:cs="Times New Roman"/>
          <w:color w:val="000000" w:themeColor="text1"/>
          <w:sz w:val="24"/>
          <w:szCs w:val="24"/>
          <w:lang w:val="en-US"/>
        </w:rPr>
        <w:t>ty and slack resource environment</w:t>
      </w:r>
      <w:r w:rsidR="004B43A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This paper exploits </w:t>
      </w:r>
      <w:r w:rsidR="004B43A6" w:rsidRPr="00BE65C7">
        <w:rPr>
          <w:rFonts w:ascii="Times New Roman" w:hAnsi="Times New Roman" w:cs="Times New Roman"/>
          <w:color w:val="000000" w:themeColor="text1"/>
          <w:sz w:val="24"/>
          <w:szCs w:val="24"/>
          <w:lang w:val="en-US"/>
        </w:rPr>
        <w:t>agency</w:t>
      </w:r>
      <w:r>
        <w:rPr>
          <w:rFonts w:ascii="Times New Roman" w:hAnsi="Times New Roman" w:cs="Times New Roman"/>
          <w:color w:val="000000" w:themeColor="text1"/>
          <w:sz w:val="24"/>
          <w:szCs w:val="24"/>
          <w:lang w:val="en-US"/>
        </w:rPr>
        <w:t xml:space="preserve"> theory</w:t>
      </w:r>
      <w:r w:rsidR="004B43A6" w:rsidRPr="00BE65C7">
        <w:rPr>
          <w:rFonts w:ascii="Times New Roman" w:hAnsi="Times New Roman" w:cs="Times New Roman"/>
          <w:color w:val="000000" w:themeColor="text1"/>
          <w:sz w:val="24"/>
          <w:szCs w:val="24"/>
          <w:lang w:val="en-US"/>
        </w:rPr>
        <w:t xml:space="preserve"> and institutional channel</w:t>
      </w:r>
      <w:r w:rsidR="004B43A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in d</w:t>
      </w:r>
      <w:r w:rsidR="004B43A6">
        <w:rPr>
          <w:rFonts w:ascii="Times New Roman" w:hAnsi="Times New Roman" w:cs="Times New Roman"/>
          <w:color w:val="000000" w:themeColor="text1"/>
          <w:sz w:val="24"/>
          <w:szCs w:val="24"/>
          <w:lang w:val="en-US"/>
        </w:rPr>
        <w:t>evelop</w:t>
      </w:r>
      <w:r>
        <w:rPr>
          <w:rFonts w:ascii="Times New Roman" w:hAnsi="Times New Roman" w:cs="Times New Roman"/>
          <w:color w:val="000000" w:themeColor="text1"/>
          <w:sz w:val="24"/>
          <w:szCs w:val="24"/>
          <w:lang w:val="en-US"/>
        </w:rPr>
        <w:t>ing</w:t>
      </w:r>
      <w:r w:rsidR="004B43A6">
        <w:rPr>
          <w:rFonts w:ascii="Times New Roman" w:hAnsi="Times New Roman" w:cs="Times New Roman"/>
          <w:color w:val="000000" w:themeColor="text1"/>
          <w:sz w:val="24"/>
          <w:szCs w:val="24"/>
          <w:lang w:val="en-US"/>
        </w:rPr>
        <w:t xml:space="preserve"> a theory-driven empirical </w:t>
      </w:r>
      <w:r w:rsidR="00E86AC9">
        <w:rPr>
          <w:rFonts w:ascii="Times New Roman" w:hAnsi="Times New Roman" w:cs="Times New Roman"/>
          <w:color w:val="000000" w:themeColor="text1"/>
          <w:sz w:val="24"/>
          <w:szCs w:val="24"/>
          <w:lang w:val="en-US"/>
        </w:rPr>
        <w:t xml:space="preserve">apparatus </w:t>
      </w:r>
      <w:r>
        <w:rPr>
          <w:rFonts w:ascii="Times New Roman" w:hAnsi="Times New Roman" w:cs="Times New Roman"/>
          <w:color w:val="000000" w:themeColor="text1"/>
          <w:sz w:val="24"/>
          <w:szCs w:val="24"/>
          <w:lang w:val="en-US"/>
        </w:rPr>
        <w:t xml:space="preserve">to provide direct </w:t>
      </w:r>
      <w:r w:rsidR="004B43A6" w:rsidRPr="00BE65C7">
        <w:rPr>
          <w:rFonts w:ascii="Times New Roman" w:hAnsi="Times New Roman" w:cs="Times New Roman"/>
          <w:color w:val="000000" w:themeColor="text1"/>
          <w:sz w:val="24"/>
          <w:szCs w:val="24"/>
          <w:lang w:val="en-US"/>
        </w:rPr>
        <w:t xml:space="preserve">evidence that </w:t>
      </w:r>
      <w:r w:rsidR="004B43A6">
        <w:rPr>
          <w:rFonts w:ascii="Times New Roman" w:hAnsi="Times New Roman" w:cs="Times New Roman"/>
          <w:color w:val="000000" w:themeColor="text1"/>
          <w:sz w:val="24"/>
          <w:szCs w:val="24"/>
          <w:lang w:val="en-US"/>
        </w:rPr>
        <w:t xml:space="preserve">a country’s </w:t>
      </w:r>
      <w:r w:rsidR="004B43A6" w:rsidRPr="00BE65C7">
        <w:rPr>
          <w:rFonts w:ascii="Times New Roman" w:hAnsi="Times New Roman" w:cs="Times New Roman"/>
          <w:color w:val="000000" w:themeColor="text1"/>
          <w:sz w:val="24"/>
          <w:szCs w:val="24"/>
          <w:lang w:val="en-US"/>
        </w:rPr>
        <w:t xml:space="preserve">political climate </w:t>
      </w:r>
      <w:r w:rsidR="004B43A6">
        <w:rPr>
          <w:rFonts w:ascii="Times New Roman" w:hAnsi="Times New Roman" w:cs="Times New Roman"/>
          <w:color w:val="000000" w:themeColor="text1"/>
          <w:sz w:val="24"/>
          <w:szCs w:val="24"/>
          <w:lang w:val="en-US"/>
        </w:rPr>
        <w:t xml:space="preserve">is instrumental in determining the extent financial constraints </w:t>
      </w:r>
      <w:r w:rsidR="000A6E75">
        <w:rPr>
          <w:rFonts w:ascii="Times New Roman" w:hAnsi="Times New Roman" w:cs="Times New Roman"/>
          <w:color w:val="000000" w:themeColor="text1"/>
          <w:sz w:val="24"/>
          <w:szCs w:val="24"/>
          <w:lang w:val="en-US"/>
        </w:rPr>
        <w:t xml:space="preserve">are </w:t>
      </w:r>
      <w:r>
        <w:rPr>
          <w:rFonts w:ascii="Times New Roman" w:hAnsi="Times New Roman" w:cs="Times New Roman"/>
          <w:color w:val="000000" w:themeColor="text1"/>
          <w:sz w:val="24"/>
          <w:szCs w:val="24"/>
          <w:lang w:val="en-US"/>
        </w:rPr>
        <w:t xml:space="preserve">an </w:t>
      </w:r>
      <w:r w:rsidR="004B43A6">
        <w:rPr>
          <w:rFonts w:ascii="Times New Roman" w:hAnsi="Times New Roman" w:cs="Times New Roman"/>
          <w:color w:val="000000" w:themeColor="text1"/>
          <w:sz w:val="24"/>
          <w:szCs w:val="24"/>
          <w:lang w:val="en-US"/>
        </w:rPr>
        <w:t xml:space="preserve">effective moderating tool </w:t>
      </w:r>
      <w:r w:rsidR="00EE36A1">
        <w:rPr>
          <w:rFonts w:ascii="Times New Roman" w:hAnsi="Times New Roman" w:cs="Times New Roman"/>
          <w:color w:val="000000" w:themeColor="text1"/>
          <w:sz w:val="24"/>
          <w:szCs w:val="24"/>
          <w:lang w:val="en-US"/>
        </w:rPr>
        <w:t>for</w:t>
      </w:r>
      <w:r w:rsidR="004B43A6" w:rsidRPr="00BE65C7">
        <w:rPr>
          <w:rFonts w:ascii="Times New Roman" w:hAnsi="Times New Roman" w:cs="Times New Roman"/>
          <w:color w:val="000000" w:themeColor="text1"/>
          <w:sz w:val="24"/>
          <w:szCs w:val="24"/>
          <w:lang w:val="en-US"/>
        </w:rPr>
        <w:t xml:space="preserve"> negotiat</w:t>
      </w:r>
      <w:r w:rsidR="00EE36A1">
        <w:rPr>
          <w:rFonts w:ascii="Times New Roman" w:hAnsi="Times New Roman" w:cs="Times New Roman"/>
          <w:color w:val="000000" w:themeColor="text1"/>
          <w:sz w:val="24"/>
          <w:szCs w:val="24"/>
          <w:lang w:val="en-US"/>
        </w:rPr>
        <w:t>ing</w:t>
      </w:r>
      <w:r w:rsidR="004B43A6" w:rsidRPr="00BE65C7">
        <w:rPr>
          <w:rFonts w:ascii="Times New Roman" w:hAnsi="Times New Roman" w:cs="Times New Roman"/>
          <w:color w:val="000000" w:themeColor="text1"/>
          <w:sz w:val="24"/>
          <w:szCs w:val="24"/>
          <w:lang w:val="en-US"/>
        </w:rPr>
        <w:t xml:space="preserve"> an optimal contract between </w:t>
      </w:r>
      <w:r w:rsidR="004B43A6">
        <w:rPr>
          <w:rFonts w:ascii="Times New Roman" w:hAnsi="Times New Roman" w:cs="Times New Roman"/>
          <w:color w:val="000000" w:themeColor="text1"/>
          <w:sz w:val="24"/>
          <w:szCs w:val="24"/>
          <w:lang w:val="en-US"/>
        </w:rPr>
        <w:t xml:space="preserve">the power of </w:t>
      </w:r>
      <w:r w:rsidR="004B43A6" w:rsidRPr="00BE65C7">
        <w:rPr>
          <w:rFonts w:ascii="Times New Roman" w:hAnsi="Times New Roman" w:cs="Times New Roman"/>
          <w:color w:val="000000" w:themeColor="text1"/>
          <w:sz w:val="24"/>
          <w:szCs w:val="24"/>
          <w:lang w:val="en-US"/>
        </w:rPr>
        <w:t>institutional investors and firms’ cash holding</w:t>
      </w:r>
      <w:r w:rsidR="004B43A6">
        <w:rPr>
          <w:rFonts w:ascii="Times New Roman" w:hAnsi="Times New Roman" w:cs="Times New Roman"/>
          <w:color w:val="000000" w:themeColor="text1"/>
          <w:sz w:val="24"/>
          <w:szCs w:val="24"/>
          <w:lang w:val="en-US"/>
        </w:rPr>
        <w:t xml:space="preserve">s. </w:t>
      </w:r>
      <w:r w:rsidR="00EE36A1">
        <w:rPr>
          <w:rFonts w:ascii="Times New Roman" w:hAnsi="Times New Roman" w:cs="Times New Roman"/>
          <w:color w:val="000000" w:themeColor="text1"/>
          <w:sz w:val="24"/>
          <w:szCs w:val="24"/>
          <w:lang w:val="en-US"/>
        </w:rPr>
        <w:t>In</w:t>
      </w:r>
      <w:r w:rsidR="004B43A6">
        <w:rPr>
          <w:rFonts w:ascii="Times New Roman" w:hAnsi="Times New Roman" w:cs="Times New Roman"/>
          <w:color w:val="000000" w:themeColor="text1"/>
          <w:sz w:val="24"/>
          <w:szCs w:val="24"/>
          <w:lang w:val="en-US"/>
        </w:rPr>
        <w:t xml:space="preserve"> our empirical narrative </w:t>
      </w:r>
      <w:r w:rsidR="00EE36A1">
        <w:rPr>
          <w:rFonts w:ascii="Times New Roman" w:hAnsi="Times New Roman" w:cs="Times New Roman"/>
          <w:color w:val="000000" w:themeColor="text1"/>
          <w:sz w:val="24"/>
          <w:szCs w:val="24"/>
          <w:lang w:val="en-US"/>
        </w:rPr>
        <w:t xml:space="preserve">we </w:t>
      </w:r>
      <w:r w:rsidR="004B43A6">
        <w:rPr>
          <w:rFonts w:ascii="Times New Roman" w:hAnsi="Times New Roman" w:cs="Times New Roman"/>
          <w:color w:val="000000" w:themeColor="text1"/>
          <w:sz w:val="24"/>
          <w:szCs w:val="24"/>
          <w:lang w:val="en-US"/>
        </w:rPr>
        <w:t xml:space="preserve">assert the punctuating role of legal frameworks on institutional investors’ actual influences on firms’ </w:t>
      </w:r>
      <w:r>
        <w:rPr>
          <w:rFonts w:ascii="Times New Roman" w:hAnsi="Times New Roman" w:cs="Times New Roman"/>
          <w:color w:val="000000" w:themeColor="text1"/>
          <w:sz w:val="24"/>
          <w:szCs w:val="24"/>
          <w:lang w:val="en-US"/>
        </w:rPr>
        <w:t xml:space="preserve">financial </w:t>
      </w:r>
      <w:r w:rsidR="004B43A6">
        <w:rPr>
          <w:rFonts w:ascii="Times New Roman" w:hAnsi="Times New Roman" w:cs="Times New Roman"/>
          <w:color w:val="000000" w:themeColor="text1"/>
          <w:sz w:val="24"/>
          <w:szCs w:val="24"/>
          <w:lang w:val="en-US"/>
        </w:rPr>
        <w:t xml:space="preserve">decision making. </w:t>
      </w:r>
      <w:r w:rsidR="00EE36A1">
        <w:rPr>
          <w:rFonts w:ascii="Times New Roman" w:hAnsi="Times New Roman" w:cs="Times New Roman"/>
          <w:color w:val="000000" w:themeColor="text1"/>
          <w:sz w:val="24"/>
          <w:szCs w:val="24"/>
          <w:lang w:val="en-US"/>
        </w:rPr>
        <w:t xml:space="preserve">By </w:t>
      </w:r>
      <w:r>
        <w:rPr>
          <w:rFonts w:ascii="Times New Roman" w:hAnsi="Times New Roman" w:cs="Times New Roman"/>
          <w:color w:val="000000" w:themeColor="text1"/>
          <w:sz w:val="24"/>
          <w:szCs w:val="24"/>
          <w:lang w:val="en-US"/>
        </w:rPr>
        <w:t xml:space="preserve">using </w:t>
      </w:r>
      <w:r w:rsidR="00EE36A1">
        <w:rPr>
          <w:rFonts w:ascii="Times New Roman" w:hAnsi="Times New Roman" w:cs="Times New Roman"/>
          <w:color w:val="000000" w:themeColor="text1"/>
          <w:sz w:val="24"/>
          <w:szCs w:val="24"/>
          <w:lang w:val="en-US"/>
        </w:rPr>
        <w:t>a sample of 30000 firms from selected emerging and developed economies over a period of two decades, a suit of e</w:t>
      </w:r>
      <w:r w:rsidR="004B43A6">
        <w:rPr>
          <w:rFonts w:ascii="Times New Roman" w:hAnsi="Times New Roman" w:cs="Times New Roman"/>
          <w:color w:val="000000" w:themeColor="text1"/>
          <w:sz w:val="24"/>
          <w:szCs w:val="24"/>
          <w:lang w:val="en-US"/>
        </w:rPr>
        <w:t xml:space="preserve">ndogeneity-mitigated dynamic panel regressions </w:t>
      </w:r>
      <w:r w:rsidR="00EE36A1">
        <w:rPr>
          <w:rFonts w:ascii="Times New Roman" w:hAnsi="Times New Roman" w:cs="Times New Roman"/>
          <w:color w:val="000000" w:themeColor="text1"/>
          <w:sz w:val="24"/>
          <w:szCs w:val="24"/>
          <w:lang w:val="en-US"/>
        </w:rPr>
        <w:t>help</w:t>
      </w:r>
      <w:r>
        <w:rPr>
          <w:rFonts w:ascii="Times New Roman" w:hAnsi="Times New Roman" w:cs="Times New Roman"/>
          <w:color w:val="000000" w:themeColor="text1"/>
          <w:sz w:val="24"/>
          <w:szCs w:val="24"/>
          <w:lang w:val="en-US"/>
        </w:rPr>
        <w:t>s</w:t>
      </w:r>
      <w:r w:rsidR="00EE36A1">
        <w:rPr>
          <w:rFonts w:ascii="Times New Roman" w:hAnsi="Times New Roman" w:cs="Times New Roman"/>
          <w:color w:val="000000" w:themeColor="text1"/>
          <w:sz w:val="24"/>
          <w:szCs w:val="24"/>
          <w:lang w:val="en-US"/>
        </w:rPr>
        <w:t xml:space="preserve"> </w:t>
      </w:r>
      <w:r w:rsidR="004B43A6">
        <w:rPr>
          <w:rFonts w:ascii="Times New Roman" w:hAnsi="Times New Roman" w:cs="Times New Roman"/>
          <w:color w:val="000000" w:themeColor="text1"/>
          <w:sz w:val="24"/>
          <w:szCs w:val="24"/>
          <w:lang w:val="en-US"/>
        </w:rPr>
        <w:t>e</w:t>
      </w:r>
      <w:r w:rsidR="00EE36A1">
        <w:rPr>
          <w:rFonts w:ascii="Times New Roman" w:hAnsi="Times New Roman" w:cs="Times New Roman"/>
          <w:color w:val="000000" w:themeColor="text1"/>
          <w:sz w:val="24"/>
          <w:szCs w:val="24"/>
          <w:lang w:val="en-US"/>
        </w:rPr>
        <w:t xml:space="preserve">licit </w:t>
      </w:r>
      <w:r w:rsidR="004B43A6">
        <w:rPr>
          <w:rFonts w:ascii="Times New Roman" w:hAnsi="Times New Roman" w:cs="Times New Roman"/>
          <w:color w:val="000000" w:themeColor="text1"/>
          <w:sz w:val="24"/>
          <w:szCs w:val="24"/>
          <w:lang w:val="en-US"/>
        </w:rPr>
        <w:t xml:space="preserve">a </w:t>
      </w:r>
      <w:r w:rsidR="00EE36A1">
        <w:rPr>
          <w:rFonts w:ascii="Times New Roman" w:hAnsi="Times New Roman" w:cs="Times New Roman"/>
          <w:color w:val="000000" w:themeColor="text1"/>
          <w:sz w:val="24"/>
          <w:szCs w:val="24"/>
          <w:lang w:val="en-US"/>
        </w:rPr>
        <w:t xml:space="preserve">strong </w:t>
      </w:r>
      <w:r w:rsidR="004B43A6">
        <w:rPr>
          <w:rFonts w:ascii="Times New Roman" w:hAnsi="Times New Roman" w:cs="Times New Roman"/>
          <w:color w:val="000000" w:themeColor="text1"/>
          <w:sz w:val="24"/>
          <w:szCs w:val="24"/>
          <w:lang w:val="en-US"/>
        </w:rPr>
        <w:t xml:space="preserve">negative relationship between institutional ownership and corporate cash holdings. Our results indicate that </w:t>
      </w:r>
      <w:r w:rsidR="004B43A6" w:rsidRPr="00BE65C7">
        <w:rPr>
          <w:rFonts w:ascii="Times New Roman" w:hAnsi="Times New Roman" w:cs="Times New Roman"/>
          <w:color w:val="000000" w:themeColor="text1"/>
          <w:sz w:val="24"/>
          <w:szCs w:val="24"/>
        </w:rPr>
        <w:t xml:space="preserve">institutional investors motivate firms to downsize excess cash. </w:t>
      </w:r>
      <w:r>
        <w:rPr>
          <w:rFonts w:ascii="Times New Roman" w:hAnsi="Times New Roman" w:cs="Times New Roman"/>
          <w:color w:val="000000" w:themeColor="text1"/>
          <w:sz w:val="24"/>
          <w:szCs w:val="24"/>
        </w:rPr>
        <w:t xml:space="preserve">Furthermore, we document that </w:t>
      </w:r>
      <w:r w:rsidR="004B43A6" w:rsidRPr="00BE65C7">
        <w:rPr>
          <w:rFonts w:ascii="Times New Roman" w:hAnsi="Times New Roman" w:cs="Times New Roman"/>
          <w:color w:val="000000" w:themeColor="text1"/>
          <w:sz w:val="24"/>
          <w:szCs w:val="24"/>
        </w:rPr>
        <w:t xml:space="preserve">financially constrained firms </w:t>
      </w:r>
      <w:r>
        <w:rPr>
          <w:rFonts w:ascii="Times New Roman" w:hAnsi="Times New Roman" w:cs="Times New Roman"/>
          <w:color w:val="000000" w:themeColor="text1"/>
          <w:sz w:val="24"/>
          <w:szCs w:val="24"/>
        </w:rPr>
        <w:t>tend to</w:t>
      </w:r>
      <w:r w:rsidR="004B43A6" w:rsidRPr="00BE65C7">
        <w:rPr>
          <w:rFonts w:ascii="Times New Roman" w:hAnsi="Times New Roman" w:cs="Times New Roman"/>
          <w:color w:val="000000" w:themeColor="text1"/>
          <w:sz w:val="24"/>
          <w:szCs w:val="24"/>
        </w:rPr>
        <w:t xml:space="preserve"> hold more cash in both emerging and developed countries </w:t>
      </w:r>
      <w:r w:rsidR="004B43A6">
        <w:rPr>
          <w:rFonts w:ascii="Times New Roman" w:hAnsi="Times New Roman" w:cs="Times New Roman"/>
          <w:color w:val="000000" w:themeColor="text1"/>
          <w:sz w:val="24"/>
          <w:szCs w:val="24"/>
        </w:rPr>
        <w:t xml:space="preserve">whereas </w:t>
      </w:r>
      <w:r w:rsidR="004B43A6" w:rsidRPr="00BE65C7">
        <w:rPr>
          <w:rFonts w:ascii="Times New Roman" w:hAnsi="Times New Roman" w:cs="Times New Roman"/>
          <w:color w:val="000000" w:themeColor="text1"/>
          <w:sz w:val="24"/>
          <w:szCs w:val="24"/>
        </w:rPr>
        <w:t xml:space="preserve">firms in common law countries (both developed and emerging) </w:t>
      </w:r>
      <w:r>
        <w:rPr>
          <w:rFonts w:ascii="Times New Roman" w:hAnsi="Times New Roman" w:cs="Times New Roman"/>
          <w:color w:val="000000" w:themeColor="text1"/>
          <w:sz w:val="24"/>
          <w:szCs w:val="24"/>
        </w:rPr>
        <w:t xml:space="preserve">prefer </w:t>
      </w:r>
      <w:r w:rsidR="004B43A6" w:rsidRPr="00BE65C7">
        <w:rPr>
          <w:rFonts w:ascii="Times New Roman" w:hAnsi="Times New Roman" w:cs="Times New Roman"/>
          <w:color w:val="000000" w:themeColor="text1"/>
          <w:sz w:val="24"/>
          <w:szCs w:val="24"/>
        </w:rPr>
        <w:t>less cash as compared to firms in civil law countries.</w:t>
      </w:r>
    </w:p>
    <w:p w14:paraId="7042EA71" w14:textId="77777777" w:rsidR="004B43A6" w:rsidRDefault="004B43A6">
      <w:pPr>
        <w:rPr>
          <w:rFonts w:ascii="Times New Roman" w:hAnsi="Times New Roman" w:cs="Times New Roman"/>
          <w:color w:val="000000" w:themeColor="text1"/>
          <w:sz w:val="24"/>
          <w:szCs w:val="24"/>
          <w:lang w:val="en-US"/>
        </w:rPr>
      </w:pPr>
    </w:p>
    <w:p w14:paraId="512BE34A" w14:textId="19A8A78B" w:rsidR="004B43A6" w:rsidRDefault="004B43A6">
      <w:pPr>
        <w:rPr>
          <w:rFonts w:ascii="Times New Roman" w:hAnsi="Times New Roman" w:cs="Times New Roman"/>
          <w:i/>
          <w:iCs/>
          <w:color w:val="000000" w:themeColor="text1"/>
          <w:sz w:val="24"/>
          <w:szCs w:val="24"/>
          <w:lang w:val="en-US"/>
        </w:rPr>
      </w:pPr>
      <w:r w:rsidRPr="004B43A6">
        <w:rPr>
          <w:rFonts w:ascii="Times New Roman" w:hAnsi="Times New Roman" w:cs="Times New Roman"/>
          <w:b/>
          <w:bCs/>
          <w:color w:val="000000" w:themeColor="text1"/>
          <w:sz w:val="24"/>
          <w:szCs w:val="24"/>
          <w:lang w:val="en-US"/>
        </w:rPr>
        <w:t>Keywords</w:t>
      </w:r>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Corporate cash holdings; Institutional investor; Financial constraints; Common and civil law countries</w:t>
      </w:r>
    </w:p>
    <w:p w14:paraId="75EC8155" w14:textId="77777777" w:rsidR="00D5646C" w:rsidRDefault="00D5646C">
      <w:pPr>
        <w:rPr>
          <w:rFonts w:ascii="Times New Roman" w:hAnsi="Times New Roman" w:cs="Times New Roman"/>
          <w:i/>
          <w:iCs/>
          <w:color w:val="000000" w:themeColor="text1"/>
          <w:sz w:val="24"/>
          <w:szCs w:val="24"/>
          <w:lang w:val="en-US"/>
        </w:rPr>
      </w:pPr>
    </w:p>
    <w:p w14:paraId="346C0023" w14:textId="77777777" w:rsidR="00D5646C" w:rsidRDefault="00D5646C">
      <w:pPr>
        <w:pBdr>
          <w:bottom w:val="single" w:sz="6" w:space="1" w:color="auto"/>
        </w:pBdr>
        <w:rPr>
          <w:rFonts w:ascii="Times New Roman" w:hAnsi="Times New Roman" w:cs="Times New Roman"/>
          <w:i/>
          <w:iCs/>
          <w:color w:val="000000" w:themeColor="text1"/>
          <w:sz w:val="24"/>
          <w:szCs w:val="24"/>
          <w:lang w:val="en-US"/>
        </w:rPr>
      </w:pPr>
    </w:p>
    <w:p w14:paraId="268CDE49" w14:textId="683FB8DF" w:rsidR="00D5646C" w:rsidRPr="00D5646C" w:rsidRDefault="00D5646C">
      <w:pPr>
        <w:rPr>
          <w:rFonts w:ascii="Times New Roman" w:hAnsi="Times New Roman" w:cs="Times New Roman"/>
          <w:color w:val="000000" w:themeColor="text1"/>
          <w:sz w:val="24"/>
          <w:szCs w:val="24"/>
          <w:lang w:val="en-US"/>
        </w:rPr>
      </w:pPr>
      <w:r w:rsidRPr="00D5646C">
        <w:rPr>
          <w:rFonts w:ascii="Times New Roman" w:hAnsi="Times New Roman" w:cs="Times New Roman"/>
          <w:b/>
          <w:bCs/>
          <w:color w:val="000000" w:themeColor="text1"/>
          <w:sz w:val="24"/>
          <w:szCs w:val="24"/>
          <w:lang w:val="en-US"/>
        </w:rPr>
        <w:t>Acknowledgements:</w:t>
      </w:r>
      <w:r>
        <w:rPr>
          <w:rFonts w:ascii="Times New Roman" w:hAnsi="Times New Roman" w:cs="Times New Roman"/>
          <w:color w:val="000000" w:themeColor="text1"/>
          <w:sz w:val="24"/>
          <w:szCs w:val="24"/>
          <w:lang w:val="en-US"/>
        </w:rPr>
        <w:t xml:space="preserve"> We thank two anonymous referees, an associate editor, and Professor Chris Adcock, the Editor-in-Chief for many helpful comments. We are solely responsible for any remaining errors in the paper.</w:t>
      </w:r>
    </w:p>
    <w:p w14:paraId="07B4E620" w14:textId="5062F2CC" w:rsidR="00276C18" w:rsidRPr="004B43A6" w:rsidRDefault="00276C18">
      <w:pPr>
        <w:rPr>
          <w:rFonts w:ascii="Times New Roman" w:hAnsi="Times New Roman" w:cs="Times New Roman"/>
          <w:b/>
          <w:bCs/>
          <w:color w:val="000000" w:themeColor="text1"/>
          <w:sz w:val="24"/>
          <w:szCs w:val="24"/>
          <w:lang w:val="en-US"/>
        </w:rPr>
      </w:pPr>
      <w:r w:rsidRPr="004B43A6">
        <w:rPr>
          <w:rFonts w:ascii="Times New Roman" w:hAnsi="Times New Roman" w:cs="Times New Roman"/>
          <w:b/>
          <w:bCs/>
          <w:color w:val="000000" w:themeColor="text1"/>
          <w:sz w:val="24"/>
          <w:szCs w:val="24"/>
          <w:lang w:val="en-US"/>
        </w:rPr>
        <w:br w:type="page"/>
      </w:r>
    </w:p>
    <w:p w14:paraId="221D8808" w14:textId="15F19017" w:rsidR="00E063BC" w:rsidRPr="00BE65C7" w:rsidRDefault="00E063BC" w:rsidP="000A18E9">
      <w:pPr>
        <w:pStyle w:val="ListParagraph"/>
        <w:numPr>
          <w:ilvl w:val="0"/>
          <w:numId w:val="1"/>
        </w:numPr>
        <w:ind w:left="284"/>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lastRenderedPageBreak/>
        <w:t>Introduction</w:t>
      </w:r>
    </w:p>
    <w:p w14:paraId="189B29AD" w14:textId="6AC13A01" w:rsidR="00B23AE5" w:rsidRDefault="002B50F0" w:rsidP="00B23AE5">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Institutional investors play </w:t>
      </w:r>
      <w:r w:rsidR="00660044">
        <w:rPr>
          <w:rFonts w:ascii="Times New Roman" w:hAnsi="Times New Roman" w:cs="Times New Roman"/>
          <w:color w:val="000000" w:themeColor="text1"/>
          <w:sz w:val="24"/>
          <w:szCs w:val="24"/>
          <w:lang w:val="en-US"/>
        </w:rPr>
        <w:t xml:space="preserve">a </w:t>
      </w:r>
      <w:r>
        <w:rPr>
          <w:rFonts w:ascii="Times New Roman" w:hAnsi="Times New Roman" w:cs="Times New Roman"/>
          <w:color w:val="000000" w:themeColor="text1"/>
          <w:sz w:val="24"/>
          <w:szCs w:val="24"/>
          <w:lang w:val="en-US"/>
        </w:rPr>
        <w:t xml:space="preserve">major role in firms’ financial decisions, such as </w:t>
      </w:r>
      <w:r w:rsidR="000F23C2">
        <w:rPr>
          <w:rFonts w:ascii="Times New Roman" w:hAnsi="Times New Roman" w:cs="Times New Roman"/>
          <w:color w:val="000000" w:themeColor="text1"/>
          <w:sz w:val="24"/>
          <w:szCs w:val="24"/>
          <w:lang w:val="en-US"/>
        </w:rPr>
        <w:t>the amount of cash to</w:t>
      </w:r>
      <w:r>
        <w:rPr>
          <w:rFonts w:ascii="Times New Roman" w:hAnsi="Times New Roman" w:cs="Times New Roman"/>
          <w:color w:val="000000" w:themeColor="text1"/>
          <w:sz w:val="24"/>
          <w:szCs w:val="24"/>
          <w:lang w:val="en-US"/>
        </w:rPr>
        <w:t xml:space="preserve"> hold during uncertain</w:t>
      </w:r>
      <w:r w:rsidR="000F23C2">
        <w:rPr>
          <w:rFonts w:ascii="Times New Roman" w:hAnsi="Times New Roman" w:cs="Times New Roman"/>
          <w:color w:val="000000" w:themeColor="text1"/>
          <w:sz w:val="24"/>
          <w:szCs w:val="24"/>
          <w:lang w:val="en-US"/>
        </w:rPr>
        <w:t>/stable</w:t>
      </w:r>
      <w:r>
        <w:rPr>
          <w:rFonts w:ascii="Times New Roman" w:hAnsi="Times New Roman" w:cs="Times New Roman"/>
          <w:color w:val="000000" w:themeColor="text1"/>
          <w:sz w:val="24"/>
          <w:szCs w:val="24"/>
          <w:lang w:val="en-US"/>
        </w:rPr>
        <w:t xml:space="preserve"> times. </w:t>
      </w:r>
      <w:r w:rsidR="000F23C2">
        <w:rPr>
          <w:rFonts w:ascii="Times New Roman" w:hAnsi="Times New Roman" w:cs="Times New Roman"/>
          <w:color w:val="000000" w:themeColor="text1"/>
          <w:sz w:val="24"/>
          <w:szCs w:val="24"/>
          <w:lang w:val="en-US"/>
        </w:rPr>
        <w:t>The predictive strategies of firms, both regarding their survival and long-term growth, is often at odds with the dominated short-term objectives of the profit-veering institutional investors.</w:t>
      </w:r>
      <w:r w:rsidR="009404EB">
        <w:rPr>
          <w:rStyle w:val="FootnoteReference"/>
          <w:rFonts w:ascii="Times New Roman" w:hAnsi="Times New Roman" w:cs="Times New Roman"/>
          <w:color w:val="000000" w:themeColor="text1"/>
          <w:sz w:val="24"/>
          <w:szCs w:val="24"/>
          <w:lang w:val="en-US"/>
        </w:rPr>
        <w:footnoteReference w:id="2"/>
      </w:r>
      <w:r w:rsidR="000F23C2">
        <w:rPr>
          <w:rFonts w:ascii="Times New Roman" w:hAnsi="Times New Roman" w:cs="Times New Roman"/>
          <w:color w:val="000000" w:themeColor="text1"/>
          <w:sz w:val="24"/>
          <w:szCs w:val="24"/>
          <w:lang w:val="en-US"/>
        </w:rPr>
        <w:t xml:space="preserve"> An optimal ‘contract’ between the two parties is also governed by the institution’s legal framework.</w:t>
      </w:r>
      <w:r w:rsidR="009404EB">
        <w:rPr>
          <w:rStyle w:val="FootnoteReference"/>
          <w:rFonts w:ascii="Times New Roman" w:hAnsi="Times New Roman" w:cs="Times New Roman"/>
          <w:color w:val="000000" w:themeColor="text1"/>
          <w:sz w:val="24"/>
          <w:szCs w:val="24"/>
          <w:lang w:val="en-US"/>
        </w:rPr>
        <w:footnoteReference w:id="3"/>
      </w:r>
      <w:r w:rsidR="000F23C2">
        <w:rPr>
          <w:rFonts w:ascii="Times New Roman" w:hAnsi="Times New Roman" w:cs="Times New Roman"/>
          <w:color w:val="000000" w:themeColor="text1"/>
          <w:sz w:val="24"/>
          <w:szCs w:val="24"/>
          <w:lang w:val="en-US"/>
        </w:rPr>
        <w:t xml:space="preserve"> Eventually, the acceptable equilibrium outcome is a product of both parties’ uncertainty-smoothing strategy that may ensure </w:t>
      </w:r>
      <w:r w:rsidR="000D25F2">
        <w:rPr>
          <w:rFonts w:ascii="Times New Roman" w:hAnsi="Times New Roman" w:cs="Times New Roman"/>
          <w:color w:val="000000" w:themeColor="text1"/>
          <w:sz w:val="24"/>
          <w:szCs w:val="24"/>
          <w:lang w:val="en-US"/>
        </w:rPr>
        <w:t xml:space="preserve">high returns of institutional investors as well as persistence of growth gains for firms, </w:t>
      </w:r>
      <w:r w:rsidR="00660044">
        <w:rPr>
          <w:rFonts w:ascii="Times New Roman" w:hAnsi="Times New Roman" w:cs="Times New Roman"/>
          <w:color w:val="000000" w:themeColor="text1"/>
          <w:sz w:val="24"/>
          <w:szCs w:val="24"/>
          <w:lang w:val="en-US"/>
        </w:rPr>
        <w:t>C</w:t>
      </w:r>
      <w:r w:rsidR="000D25F2">
        <w:rPr>
          <w:rFonts w:ascii="Times New Roman" w:hAnsi="Times New Roman" w:cs="Times New Roman"/>
          <w:color w:val="000000" w:themeColor="text1"/>
          <w:sz w:val="24"/>
          <w:szCs w:val="24"/>
          <w:lang w:val="en-US"/>
        </w:rPr>
        <w:t>eteris Paribas, the legal constraints are non-interfering. This paper builds on the above premises by exploiting agency theory and an institutional framework to argue that a country’s political climate determines the extent financial constraints render moderating effects while negotiating an optimal contract between firms’ propensity to cash holdings and the power of institutional investors. Endogeneity mitigated empirical scrutiny for firms in both emerging and developed economies provide robust evidence that institutional investors influence firms to downsize cash holdings, but the results differ between common and civil law countries.</w:t>
      </w:r>
    </w:p>
    <w:p w14:paraId="5BA9743B" w14:textId="4A1F0B6D" w:rsidR="00F8416F" w:rsidRPr="00BE65C7" w:rsidRDefault="00E063BC" w:rsidP="00B23AE5">
      <w:pPr>
        <w:spacing w:line="360" w:lineRule="auto"/>
        <w:ind w:firstLine="720"/>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In his seminal paper, Jensen (1986) propose</w:t>
      </w:r>
      <w:r w:rsidR="005A6FD1" w:rsidRPr="00BE65C7">
        <w:rPr>
          <w:rFonts w:ascii="Times New Roman" w:hAnsi="Times New Roman" w:cs="Times New Roman"/>
          <w:color w:val="000000" w:themeColor="text1"/>
          <w:sz w:val="24"/>
          <w:szCs w:val="24"/>
          <w:lang w:val="en-US"/>
        </w:rPr>
        <w:t>s</w:t>
      </w:r>
      <w:r w:rsidRPr="00BE65C7">
        <w:rPr>
          <w:rFonts w:ascii="Times New Roman" w:hAnsi="Times New Roman" w:cs="Times New Roman"/>
          <w:color w:val="000000" w:themeColor="text1"/>
          <w:sz w:val="24"/>
          <w:szCs w:val="24"/>
          <w:lang w:val="en-US"/>
        </w:rPr>
        <w:t xml:space="preserve"> that </w:t>
      </w:r>
      <w:r w:rsidR="005A6FD1" w:rsidRPr="00BE65C7">
        <w:rPr>
          <w:rFonts w:ascii="Times New Roman" w:hAnsi="Times New Roman" w:cs="Times New Roman"/>
          <w:color w:val="000000" w:themeColor="text1"/>
          <w:sz w:val="24"/>
          <w:szCs w:val="24"/>
          <w:lang w:val="en-US"/>
        </w:rPr>
        <w:t xml:space="preserve">insiders of a firm </w:t>
      </w:r>
      <w:r w:rsidR="00034CC0">
        <w:rPr>
          <w:rFonts w:ascii="Times New Roman" w:hAnsi="Times New Roman" w:cs="Times New Roman"/>
          <w:color w:val="000000" w:themeColor="text1"/>
          <w:sz w:val="24"/>
          <w:szCs w:val="24"/>
          <w:lang w:val="en-US"/>
        </w:rPr>
        <w:t xml:space="preserve">depict </w:t>
      </w:r>
      <w:r w:rsidR="005A6FD1" w:rsidRPr="00BE65C7">
        <w:rPr>
          <w:rFonts w:ascii="Times New Roman" w:hAnsi="Times New Roman" w:cs="Times New Roman"/>
          <w:color w:val="000000" w:themeColor="text1"/>
          <w:sz w:val="24"/>
          <w:szCs w:val="24"/>
          <w:lang w:val="en-US"/>
        </w:rPr>
        <w:t>an incentive to misappropriate resources of the firm including cash</w:t>
      </w:r>
      <w:r w:rsidR="00034CC0">
        <w:rPr>
          <w:rFonts w:ascii="Times New Roman" w:hAnsi="Times New Roman" w:cs="Times New Roman"/>
          <w:color w:val="000000" w:themeColor="text1"/>
          <w:sz w:val="24"/>
          <w:szCs w:val="24"/>
          <w:lang w:val="en-US"/>
        </w:rPr>
        <w:t>,</w:t>
      </w:r>
      <w:r w:rsidR="005A6FD1" w:rsidRPr="00BE65C7">
        <w:rPr>
          <w:rFonts w:ascii="Times New Roman" w:hAnsi="Times New Roman" w:cs="Times New Roman"/>
          <w:color w:val="000000" w:themeColor="text1"/>
          <w:sz w:val="24"/>
          <w:szCs w:val="24"/>
          <w:lang w:val="en-US"/>
        </w:rPr>
        <w:t xml:space="preserve"> for their personal benefit</w:t>
      </w:r>
      <w:r w:rsidR="007D6507" w:rsidRPr="00BE65C7">
        <w:rPr>
          <w:rFonts w:ascii="Times New Roman" w:hAnsi="Times New Roman" w:cs="Times New Roman"/>
          <w:color w:val="000000" w:themeColor="text1"/>
          <w:sz w:val="24"/>
          <w:szCs w:val="24"/>
          <w:lang w:val="en-US"/>
        </w:rPr>
        <w:t xml:space="preserve"> at the cost of shareholder</w:t>
      </w:r>
      <w:r w:rsidR="00E437C7" w:rsidRPr="00BE65C7">
        <w:rPr>
          <w:rFonts w:ascii="Times New Roman" w:hAnsi="Times New Roman" w:cs="Times New Roman"/>
          <w:color w:val="000000" w:themeColor="text1"/>
          <w:sz w:val="24"/>
          <w:szCs w:val="24"/>
          <w:lang w:val="en-US"/>
        </w:rPr>
        <w:t>'</w:t>
      </w:r>
      <w:r w:rsidR="007D6507" w:rsidRPr="00BE65C7">
        <w:rPr>
          <w:rFonts w:ascii="Times New Roman" w:hAnsi="Times New Roman" w:cs="Times New Roman"/>
          <w:color w:val="000000" w:themeColor="text1"/>
          <w:sz w:val="24"/>
          <w:szCs w:val="24"/>
          <w:lang w:val="en-US"/>
        </w:rPr>
        <w:t>s value creation</w:t>
      </w:r>
      <w:r w:rsidR="00F3765F" w:rsidRPr="00BE65C7">
        <w:rPr>
          <w:rFonts w:ascii="Times New Roman" w:hAnsi="Times New Roman" w:cs="Times New Roman"/>
          <w:color w:val="000000" w:themeColor="text1"/>
          <w:sz w:val="24"/>
          <w:szCs w:val="24"/>
          <w:lang w:val="en-US"/>
        </w:rPr>
        <w:t xml:space="preserve">. </w:t>
      </w:r>
      <w:r w:rsidR="008F2F72" w:rsidRPr="00BE65C7">
        <w:rPr>
          <w:rFonts w:ascii="Times New Roman" w:hAnsi="Times New Roman" w:cs="Times New Roman"/>
          <w:color w:val="000000" w:themeColor="text1"/>
          <w:sz w:val="24"/>
          <w:szCs w:val="24"/>
          <w:lang w:val="en-US"/>
        </w:rPr>
        <w:t xml:space="preserve">He argues that the major source </w:t>
      </w:r>
      <w:r w:rsidR="00517AC2" w:rsidRPr="00BE65C7">
        <w:rPr>
          <w:rFonts w:ascii="Times New Roman" w:hAnsi="Times New Roman" w:cs="Times New Roman"/>
          <w:color w:val="000000" w:themeColor="text1"/>
          <w:sz w:val="24"/>
          <w:szCs w:val="24"/>
          <w:lang w:val="en-US"/>
        </w:rPr>
        <w:t>of</w:t>
      </w:r>
      <w:r w:rsidR="008F2F72" w:rsidRPr="00BE65C7">
        <w:rPr>
          <w:rFonts w:ascii="Times New Roman" w:hAnsi="Times New Roman" w:cs="Times New Roman"/>
          <w:color w:val="000000" w:themeColor="text1"/>
          <w:sz w:val="24"/>
          <w:szCs w:val="24"/>
          <w:lang w:val="en-US"/>
        </w:rPr>
        <w:t xml:space="preserve"> conflict between managers and shareholders is the </w:t>
      </w:r>
      <w:r w:rsidR="007E446B" w:rsidRPr="00BE65C7">
        <w:rPr>
          <w:rFonts w:ascii="Times New Roman" w:hAnsi="Times New Roman" w:cs="Times New Roman"/>
          <w:color w:val="000000" w:themeColor="text1"/>
          <w:sz w:val="24"/>
          <w:szCs w:val="24"/>
          <w:lang w:val="en-US"/>
        </w:rPr>
        <w:t>excess cash</w:t>
      </w:r>
      <w:r w:rsidR="003A09FF" w:rsidRPr="00BE65C7">
        <w:rPr>
          <w:rFonts w:ascii="Times New Roman" w:hAnsi="Times New Roman" w:cs="Times New Roman"/>
          <w:color w:val="000000" w:themeColor="text1"/>
          <w:sz w:val="24"/>
          <w:szCs w:val="24"/>
          <w:lang w:val="en-US"/>
        </w:rPr>
        <w:t xml:space="preserve"> holdings</w:t>
      </w:r>
      <w:r w:rsidR="008F2F72" w:rsidRPr="00BE65C7">
        <w:rPr>
          <w:rFonts w:ascii="Times New Roman" w:hAnsi="Times New Roman" w:cs="Times New Roman"/>
          <w:color w:val="000000" w:themeColor="text1"/>
          <w:sz w:val="24"/>
          <w:szCs w:val="24"/>
          <w:lang w:val="en-US"/>
        </w:rPr>
        <w:t xml:space="preserve"> of the firm. </w:t>
      </w:r>
      <w:r w:rsidR="00517AC2" w:rsidRPr="00BE65C7">
        <w:rPr>
          <w:rFonts w:ascii="Times New Roman" w:hAnsi="Times New Roman" w:cs="Times New Roman"/>
          <w:color w:val="000000" w:themeColor="text1"/>
          <w:sz w:val="24"/>
          <w:szCs w:val="24"/>
          <w:lang w:val="en-US"/>
        </w:rPr>
        <w:t xml:space="preserve">On the one hand, managers have higher incentives to maintain </w:t>
      </w:r>
      <w:r w:rsidR="00C52A42" w:rsidRPr="00BE65C7">
        <w:rPr>
          <w:rFonts w:ascii="Times New Roman" w:hAnsi="Times New Roman" w:cs="Times New Roman"/>
          <w:color w:val="000000" w:themeColor="text1"/>
          <w:sz w:val="24"/>
          <w:szCs w:val="24"/>
          <w:lang w:val="en-US"/>
        </w:rPr>
        <w:t xml:space="preserve">a </w:t>
      </w:r>
      <w:r w:rsidR="00517AC2" w:rsidRPr="00BE65C7">
        <w:rPr>
          <w:rFonts w:ascii="Times New Roman" w:hAnsi="Times New Roman" w:cs="Times New Roman"/>
          <w:color w:val="000000" w:themeColor="text1"/>
          <w:sz w:val="24"/>
          <w:szCs w:val="24"/>
          <w:lang w:val="en-US"/>
        </w:rPr>
        <w:t>large cash balance as it helps them</w:t>
      </w:r>
      <w:r w:rsidR="008F2F72" w:rsidRPr="00BE65C7">
        <w:rPr>
          <w:rFonts w:ascii="Times New Roman" w:hAnsi="Times New Roman" w:cs="Times New Roman"/>
          <w:color w:val="000000" w:themeColor="text1"/>
          <w:sz w:val="24"/>
          <w:szCs w:val="24"/>
          <w:lang w:val="en-US"/>
        </w:rPr>
        <w:t xml:space="preserve"> maintain enough liquidity to fund positive NPV projects that may arise in </w:t>
      </w:r>
      <w:r w:rsidR="00517AC2" w:rsidRPr="00BE65C7">
        <w:rPr>
          <w:rFonts w:ascii="Times New Roman" w:hAnsi="Times New Roman" w:cs="Times New Roman"/>
          <w:color w:val="000000" w:themeColor="text1"/>
          <w:sz w:val="24"/>
          <w:szCs w:val="24"/>
          <w:lang w:val="en-US"/>
        </w:rPr>
        <w:t xml:space="preserve">the </w:t>
      </w:r>
      <w:r w:rsidR="008F2F72" w:rsidRPr="00BE65C7">
        <w:rPr>
          <w:rFonts w:ascii="Times New Roman" w:hAnsi="Times New Roman" w:cs="Times New Roman"/>
          <w:color w:val="000000" w:themeColor="text1"/>
          <w:sz w:val="24"/>
          <w:szCs w:val="24"/>
          <w:lang w:val="en-US"/>
        </w:rPr>
        <w:t>future</w:t>
      </w:r>
      <w:r w:rsidR="00517AC2" w:rsidRPr="00BE65C7">
        <w:rPr>
          <w:rFonts w:ascii="Times New Roman" w:hAnsi="Times New Roman" w:cs="Times New Roman"/>
          <w:color w:val="000000" w:themeColor="text1"/>
          <w:sz w:val="24"/>
          <w:szCs w:val="24"/>
          <w:lang w:val="en-US"/>
        </w:rPr>
        <w:t>,</w:t>
      </w:r>
      <w:r w:rsidR="008F2F72" w:rsidRPr="00BE65C7">
        <w:rPr>
          <w:rFonts w:ascii="Times New Roman" w:hAnsi="Times New Roman" w:cs="Times New Roman"/>
          <w:color w:val="000000" w:themeColor="text1"/>
          <w:sz w:val="24"/>
          <w:szCs w:val="24"/>
          <w:lang w:val="en-US"/>
        </w:rPr>
        <w:t xml:space="preserve"> </w:t>
      </w:r>
      <w:r w:rsidR="007B2894" w:rsidRPr="00BE65C7">
        <w:rPr>
          <w:rFonts w:ascii="Times New Roman" w:hAnsi="Times New Roman" w:cs="Times New Roman"/>
          <w:color w:val="000000" w:themeColor="text1"/>
          <w:sz w:val="24"/>
          <w:szCs w:val="24"/>
          <w:lang w:val="en-US"/>
        </w:rPr>
        <w:t>and</w:t>
      </w:r>
      <w:r w:rsidR="008F2F72" w:rsidRPr="00BE65C7">
        <w:rPr>
          <w:rFonts w:ascii="Times New Roman" w:hAnsi="Times New Roman" w:cs="Times New Roman"/>
          <w:color w:val="000000" w:themeColor="text1"/>
          <w:sz w:val="24"/>
          <w:szCs w:val="24"/>
          <w:lang w:val="en-US"/>
        </w:rPr>
        <w:t xml:space="preserve"> to avoid monitoring and scrutiny of the </w:t>
      </w:r>
      <w:r w:rsidR="008F2F72" w:rsidRPr="00E9246B">
        <w:rPr>
          <w:rFonts w:ascii="Times New Roman" w:hAnsi="Times New Roman" w:cs="Times New Roman"/>
          <w:color w:val="000000" w:themeColor="text1"/>
          <w:sz w:val="24"/>
          <w:szCs w:val="24"/>
          <w:lang w:val="en-US"/>
        </w:rPr>
        <w:t>market. On</w:t>
      </w:r>
      <w:r w:rsidR="008F2F72" w:rsidRPr="00BE65C7">
        <w:rPr>
          <w:rFonts w:ascii="Times New Roman" w:hAnsi="Times New Roman" w:cs="Times New Roman"/>
          <w:color w:val="000000" w:themeColor="text1"/>
          <w:sz w:val="24"/>
          <w:szCs w:val="24"/>
          <w:lang w:val="en-US"/>
        </w:rPr>
        <w:t xml:space="preserve"> the other </w:t>
      </w:r>
      <w:r w:rsidR="00727DE4" w:rsidRPr="00BE65C7">
        <w:rPr>
          <w:rFonts w:ascii="Times New Roman" w:hAnsi="Times New Roman" w:cs="Times New Roman"/>
          <w:color w:val="000000" w:themeColor="text1"/>
          <w:sz w:val="24"/>
          <w:szCs w:val="24"/>
          <w:lang w:val="en-US"/>
        </w:rPr>
        <w:t>hand,</w:t>
      </w:r>
      <w:r w:rsidR="000A18E9" w:rsidRPr="00BE65C7">
        <w:rPr>
          <w:rFonts w:ascii="Times New Roman" w:hAnsi="Times New Roman" w:cs="Times New Roman"/>
          <w:color w:val="000000" w:themeColor="text1"/>
          <w:sz w:val="24"/>
          <w:szCs w:val="24"/>
          <w:lang w:val="en-US"/>
        </w:rPr>
        <w:t xml:space="preserve"> since the interest earned on cash is also taxed</w:t>
      </w:r>
      <w:r w:rsidR="00B50198" w:rsidRPr="00BE65C7">
        <w:rPr>
          <w:rFonts w:ascii="Times New Roman" w:hAnsi="Times New Roman" w:cs="Times New Roman"/>
          <w:color w:val="000000" w:themeColor="text1"/>
          <w:sz w:val="24"/>
          <w:szCs w:val="24"/>
          <w:lang w:val="en-US"/>
        </w:rPr>
        <w:t xml:space="preserve"> at the marginal tax rate of the firm</w:t>
      </w:r>
      <w:r w:rsidR="000A18E9" w:rsidRPr="00BE65C7">
        <w:rPr>
          <w:rFonts w:ascii="Times New Roman" w:hAnsi="Times New Roman" w:cs="Times New Roman"/>
          <w:color w:val="000000" w:themeColor="text1"/>
          <w:sz w:val="24"/>
          <w:szCs w:val="24"/>
          <w:lang w:val="en-US"/>
        </w:rPr>
        <w:t xml:space="preserve">, shareholders might induce the managers to reduce </w:t>
      </w:r>
      <w:r w:rsidR="006B5610" w:rsidRPr="00BE65C7">
        <w:rPr>
          <w:rFonts w:ascii="Times New Roman" w:hAnsi="Times New Roman" w:cs="Times New Roman"/>
          <w:color w:val="000000" w:themeColor="text1"/>
          <w:sz w:val="24"/>
          <w:szCs w:val="24"/>
          <w:lang w:val="en-US"/>
        </w:rPr>
        <w:t xml:space="preserve">excess </w:t>
      </w:r>
      <w:r w:rsidR="003A09FF" w:rsidRPr="00BE65C7">
        <w:rPr>
          <w:rFonts w:ascii="Times New Roman" w:hAnsi="Times New Roman" w:cs="Times New Roman"/>
          <w:color w:val="000000" w:themeColor="text1"/>
          <w:sz w:val="24"/>
          <w:szCs w:val="24"/>
          <w:lang w:val="en-US"/>
        </w:rPr>
        <w:t>cash holdings</w:t>
      </w:r>
      <w:r w:rsidR="00A23B07" w:rsidRPr="00BE65C7">
        <w:rPr>
          <w:rFonts w:ascii="Times New Roman" w:hAnsi="Times New Roman" w:cs="Times New Roman"/>
          <w:color w:val="000000" w:themeColor="text1"/>
          <w:sz w:val="24"/>
          <w:szCs w:val="24"/>
          <w:lang w:val="en-US"/>
        </w:rPr>
        <w:t xml:space="preserve"> to avoid paying taxes on interest</w:t>
      </w:r>
      <w:r w:rsidR="000A18E9" w:rsidRPr="00BE65C7">
        <w:rPr>
          <w:rFonts w:ascii="Times New Roman" w:hAnsi="Times New Roman" w:cs="Times New Roman"/>
          <w:color w:val="000000" w:themeColor="text1"/>
          <w:sz w:val="24"/>
          <w:szCs w:val="24"/>
          <w:lang w:val="en-US"/>
        </w:rPr>
        <w:t xml:space="preserve">. </w:t>
      </w:r>
      <w:r w:rsidR="00113703" w:rsidRPr="00BE65C7">
        <w:rPr>
          <w:rFonts w:ascii="Times New Roman" w:hAnsi="Times New Roman" w:cs="Times New Roman"/>
          <w:color w:val="000000" w:themeColor="text1"/>
          <w:sz w:val="24"/>
          <w:szCs w:val="24"/>
          <w:lang w:val="en-US"/>
        </w:rPr>
        <w:t>Th</w:t>
      </w:r>
      <w:r w:rsidR="00716ACA" w:rsidRPr="00BE65C7">
        <w:rPr>
          <w:rFonts w:ascii="Times New Roman" w:hAnsi="Times New Roman" w:cs="Times New Roman"/>
          <w:color w:val="000000" w:themeColor="text1"/>
          <w:sz w:val="24"/>
          <w:szCs w:val="24"/>
          <w:lang w:val="en-US"/>
        </w:rPr>
        <w:t>ese</w:t>
      </w:r>
      <w:r w:rsidR="00113703" w:rsidRPr="00BE65C7">
        <w:rPr>
          <w:rFonts w:ascii="Times New Roman" w:hAnsi="Times New Roman" w:cs="Times New Roman"/>
          <w:color w:val="000000" w:themeColor="text1"/>
          <w:sz w:val="24"/>
          <w:szCs w:val="24"/>
          <w:lang w:val="en-US"/>
        </w:rPr>
        <w:t xml:space="preserve"> contradicting intentions of the two important stakeholders lead to agency conflict.</w:t>
      </w:r>
      <w:r w:rsidR="00725B5F" w:rsidRPr="00BE65C7">
        <w:rPr>
          <w:rFonts w:ascii="Times New Roman" w:hAnsi="Times New Roman" w:cs="Times New Roman"/>
          <w:color w:val="000000" w:themeColor="text1"/>
          <w:sz w:val="24"/>
          <w:szCs w:val="24"/>
          <w:lang w:val="en-US"/>
        </w:rPr>
        <w:t xml:space="preserve"> </w:t>
      </w:r>
      <w:r w:rsidR="003C52DB" w:rsidRPr="00BE65C7">
        <w:rPr>
          <w:rFonts w:ascii="Times New Roman" w:hAnsi="Times New Roman" w:cs="Times New Roman"/>
          <w:color w:val="000000" w:themeColor="text1"/>
          <w:sz w:val="24"/>
          <w:szCs w:val="24"/>
          <w:lang w:val="en-US"/>
        </w:rPr>
        <w:t xml:space="preserve">Prior studies indicate </w:t>
      </w:r>
      <w:r w:rsidR="003C52DB" w:rsidRPr="00E9246B">
        <w:rPr>
          <w:rFonts w:ascii="Times New Roman" w:hAnsi="Times New Roman" w:cs="Times New Roman"/>
          <w:color w:val="000000" w:themeColor="text1"/>
          <w:sz w:val="24"/>
          <w:szCs w:val="24"/>
          <w:lang w:val="en-US"/>
        </w:rPr>
        <w:t xml:space="preserve">that </w:t>
      </w:r>
      <w:r w:rsidR="00C206C0" w:rsidRPr="00E9246B">
        <w:rPr>
          <w:rFonts w:ascii="Times New Roman" w:hAnsi="Times New Roman" w:cs="Times New Roman"/>
          <w:color w:val="000000" w:themeColor="text1"/>
          <w:sz w:val="24"/>
          <w:szCs w:val="24"/>
          <w:lang w:val="en-US"/>
        </w:rPr>
        <w:t>agency conflict can be moderated</w:t>
      </w:r>
      <w:r w:rsidR="003C52DB" w:rsidRPr="00E9246B">
        <w:rPr>
          <w:rFonts w:ascii="Times New Roman" w:hAnsi="Times New Roman" w:cs="Times New Roman"/>
          <w:color w:val="000000" w:themeColor="text1"/>
          <w:sz w:val="24"/>
          <w:szCs w:val="24"/>
          <w:lang w:val="en-US"/>
        </w:rPr>
        <w:t xml:space="preserve"> or </w:t>
      </w:r>
      <w:proofErr w:type="gramStart"/>
      <w:r w:rsidR="003C52DB" w:rsidRPr="00E9246B">
        <w:rPr>
          <w:rFonts w:ascii="Times New Roman" w:hAnsi="Times New Roman" w:cs="Times New Roman"/>
          <w:color w:val="000000" w:themeColor="text1"/>
          <w:sz w:val="24"/>
          <w:szCs w:val="24"/>
          <w:lang w:val="en-US"/>
        </w:rPr>
        <w:t>reduced</w:t>
      </w:r>
      <w:r w:rsidR="00517AC2" w:rsidRPr="00E9246B">
        <w:rPr>
          <w:rFonts w:ascii="Times New Roman" w:hAnsi="Times New Roman" w:cs="Times New Roman"/>
          <w:color w:val="000000" w:themeColor="text1"/>
          <w:sz w:val="24"/>
          <w:szCs w:val="24"/>
          <w:lang w:val="en-US"/>
        </w:rPr>
        <w:t xml:space="preserve"> to a large extent</w:t>
      </w:r>
      <w:proofErr w:type="gramEnd"/>
      <w:r w:rsidR="00C206C0" w:rsidRPr="00E9246B">
        <w:rPr>
          <w:rFonts w:ascii="Times New Roman" w:hAnsi="Times New Roman" w:cs="Times New Roman"/>
          <w:color w:val="000000" w:themeColor="text1"/>
          <w:sz w:val="24"/>
          <w:szCs w:val="24"/>
          <w:lang w:val="en-US"/>
        </w:rPr>
        <w:t xml:space="preserve">, if not </w:t>
      </w:r>
      <w:r w:rsidR="00517AC2" w:rsidRPr="00E9246B">
        <w:rPr>
          <w:rFonts w:ascii="Times New Roman" w:hAnsi="Times New Roman" w:cs="Times New Roman"/>
          <w:color w:val="000000" w:themeColor="text1"/>
          <w:sz w:val="24"/>
          <w:szCs w:val="24"/>
          <w:lang w:val="en-US"/>
        </w:rPr>
        <w:t>entirely resolved,</w:t>
      </w:r>
      <w:r w:rsidR="00C206C0" w:rsidRPr="00E9246B">
        <w:rPr>
          <w:rFonts w:ascii="Times New Roman" w:hAnsi="Times New Roman" w:cs="Times New Roman"/>
          <w:color w:val="000000" w:themeColor="text1"/>
          <w:sz w:val="24"/>
          <w:szCs w:val="24"/>
          <w:lang w:val="en-US"/>
        </w:rPr>
        <w:t xml:space="preserve"> by efficient monitoring by various categories of shareholders in the firm</w:t>
      </w:r>
      <w:r w:rsidR="00C206C0" w:rsidRPr="00BE65C7">
        <w:rPr>
          <w:rFonts w:ascii="Times New Roman" w:hAnsi="Times New Roman" w:cs="Times New Roman"/>
          <w:color w:val="000000" w:themeColor="text1"/>
          <w:sz w:val="24"/>
          <w:szCs w:val="24"/>
          <w:lang w:val="en-US"/>
        </w:rPr>
        <w:t xml:space="preserve"> (see Ameer, 2010; Nikolov and Whited, 2014; Dittmar and Mahr-Smith, 2007). </w:t>
      </w:r>
      <w:r w:rsidR="003C52DB" w:rsidRPr="00BE65C7">
        <w:rPr>
          <w:rFonts w:ascii="Times New Roman" w:hAnsi="Times New Roman" w:cs="Times New Roman"/>
          <w:color w:val="000000" w:themeColor="text1"/>
          <w:sz w:val="24"/>
          <w:szCs w:val="24"/>
          <w:lang w:val="en-US"/>
        </w:rPr>
        <w:t xml:space="preserve">Institutional investors being one of the dominant shareholders in the firms present a unique opportunity to investigate </w:t>
      </w:r>
      <w:r w:rsidR="00BC75C5" w:rsidRPr="00BE65C7">
        <w:rPr>
          <w:rFonts w:ascii="Times New Roman" w:hAnsi="Times New Roman" w:cs="Times New Roman"/>
          <w:color w:val="000000" w:themeColor="text1"/>
          <w:sz w:val="24"/>
          <w:szCs w:val="24"/>
          <w:lang w:val="en-US"/>
        </w:rPr>
        <w:t>their role in mitigating agency conflict arising out of cash holdings</w:t>
      </w:r>
      <w:r w:rsidR="003C52DB" w:rsidRPr="00BE65C7">
        <w:rPr>
          <w:rFonts w:ascii="Times New Roman" w:hAnsi="Times New Roman" w:cs="Times New Roman"/>
          <w:color w:val="000000" w:themeColor="text1"/>
          <w:sz w:val="24"/>
          <w:szCs w:val="24"/>
          <w:lang w:val="en-US"/>
        </w:rPr>
        <w:t xml:space="preserve"> </w:t>
      </w:r>
      <w:r w:rsidR="00BC75C5" w:rsidRPr="00BE65C7">
        <w:rPr>
          <w:rFonts w:ascii="Times New Roman" w:hAnsi="Times New Roman" w:cs="Times New Roman"/>
          <w:color w:val="000000" w:themeColor="text1"/>
          <w:sz w:val="24"/>
          <w:szCs w:val="24"/>
          <w:lang w:val="en-US"/>
        </w:rPr>
        <w:t>of firms.</w:t>
      </w:r>
      <w:r w:rsidR="003C52DB" w:rsidRPr="00BE65C7">
        <w:rPr>
          <w:rFonts w:ascii="Times New Roman" w:hAnsi="Times New Roman" w:cs="Times New Roman"/>
          <w:color w:val="000000" w:themeColor="text1"/>
          <w:sz w:val="24"/>
          <w:szCs w:val="24"/>
          <w:lang w:val="en-US"/>
        </w:rPr>
        <w:t xml:space="preserve"> </w:t>
      </w:r>
    </w:p>
    <w:p w14:paraId="36C13FD7" w14:textId="07BFDCD3" w:rsidR="00BC75C5" w:rsidRPr="00BE65C7" w:rsidRDefault="00E86AC9" w:rsidP="00C612D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B</w:t>
      </w:r>
      <w:r w:rsidRPr="00BE65C7">
        <w:rPr>
          <w:rFonts w:ascii="Times New Roman" w:hAnsi="Times New Roman" w:cs="Times New Roman"/>
          <w:color w:val="000000" w:themeColor="text1"/>
          <w:sz w:val="24"/>
          <w:szCs w:val="24"/>
          <w:lang w:val="en-US"/>
        </w:rPr>
        <w:t>y virtue of their size and expertise</w:t>
      </w:r>
      <w:r>
        <w:rPr>
          <w:rFonts w:ascii="Times New Roman" w:hAnsi="Times New Roman" w:cs="Times New Roman"/>
          <w:color w:val="000000" w:themeColor="text1"/>
          <w:sz w:val="24"/>
          <w:szCs w:val="24"/>
          <w:lang w:val="en-US"/>
        </w:rPr>
        <w:t>, i</w:t>
      </w:r>
      <w:r w:rsidR="00C612DB" w:rsidRPr="00BE65C7">
        <w:rPr>
          <w:rFonts w:ascii="Times New Roman" w:hAnsi="Times New Roman" w:cs="Times New Roman"/>
          <w:color w:val="000000" w:themeColor="text1"/>
          <w:sz w:val="24"/>
          <w:szCs w:val="24"/>
          <w:lang w:val="en-US"/>
        </w:rPr>
        <w:t xml:space="preserve">nstitutional investors exert greater influence on firm’s </w:t>
      </w:r>
      <w:r w:rsidR="007B2894" w:rsidRPr="00BE65C7">
        <w:rPr>
          <w:rFonts w:ascii="Times New Roman" w:hAnsi="Times New Roman" w:cs="Times New Roman"/>
          <w:color w:val="000000" w:themeColor="text1"/>
          <w:sz w:val="24"/>
          <w:szCs w:val="24"/>
          <w:lang w:val="en-US"/>
        </w:rPr>
        <w:t>decision-making</w:t>
      </w:r>
      <w:r w:rsidR="00C612DB" w:rsidRPr="00BE65C7">
        <w:rPr>
          <w:rFonts w:ascii="Times New Roman" w:hAnsi="Times New Roman" w:cs="Times New Roman"/>
          <w:color w:val="000000" w:themeColor="text1"/>
          <w:sz w:val="24"/>
          <w:szCs w:val="24"/>
          <w:lang w:val="en-US"/>
        </w:rPr>
        <w:t xml:space="preserve"> process as compared to smaller investors.  </w:t>
      </w:r>
      <w:r w:rsidR="00AA07F6" w:rsidRPr="00BE65C7">
        <w:rPr>
          <w:rFonts w:ascii="Times New Roman" w:hAnsi="Times New Roman" w:cs="Times New Roman"/>
          <w:color w:val="000000" w:themeColor="text1"/>
          <w:sz w:val="24"/>
          <w:szCs w:val="24"/>
          <w:lang w:val="en-US"/>
        </w:rPr>
        <w:t>Prior studies on the role and be</w:t>
      </w:r>
      <w:r w:rsidR="00F8416F" w:rsidRPr="00BE65C7">
        <w:rPr>
          <w:rFonts w:ascii="Times New Roman" w:hAnsi="Times New Roman" w:cs="Times New Roman"/>
          <w:color w:val="000000" w:themeColor="text1"/>
          <w:sz w:val="24"/>
          <w:szCs w:val="24"/>
          <w:lang w:val="en-US"/>
        </w:rPr>
        <w:t>h</w:t>
      </w:r>
      <w:r w:rsidR="00AA07F6" w:rsidRPr="00BE65C7">
        <w:rPr>
          <w:rFonts w:ascii="Times New Roman" w:hAnsi="Times New Roman" w:cs="Times New Roman"/>
          <w:color w:val="000000" w:themeColor="text1"/>
          <w:sz w:val="24"/>
          <w:szCs w:val="24"/>
          <w:lang w:val="en-US"/>
        </w:rPr>
        <w:t xml:space="preserve">aviour of institutional investors put forward two opposing views – </w:t>
      </w:r>
      <w:r w:rsidR="00AA07F6" w:rsidRPr="00BE65C7">
        <w:rPr>
          <w:rFonts w:ascii="Times New Roman" w:hAnsi="Times New Roman" w:cs="Times New Roman"/>
          <w:i/>
          <w:iCs/>
          <w:color w:val="000000" w:themeColor="text1"/>
          <w:sz w:val="24"/>
          <w:szCs w:val="24"/>
          <w:lang w:val="en-US"/>
        </w:rPr>
        <w:t>monitoring</w:t>
      </w:r>
      <w:r w:rsidR="00AA07F6" w:rsidRPr="00BE65C7">
        <w:rPr>
          <w:rFonts w:ascii="Times New Roman" w:hAnsi="Times New Roman" w:cs="Times New Roman"/>
          <w:color w:val="000000" w:themeColor="text1"/>
          <w:sz w:val="24"/>
          <w:szCs w:val="24"/>
          <w:lang w:val="en-US"/>
        </w:rPr>
        <w:t xml:space="preserve"> and </w:t>
      </w:r>
      <w:r w:rsidR="00AA07F6" w:rsidRPr="00BE65C7">
        <w:rPr>
          <w:rFonts w:ascii="Times New Roman" w:hAnsi="Times New Roman" w:cs="Times New Roman"/>
          <w:i/>
          <w:iCs/>
          <w:color w:val="000000" w:themeColor="text1"/>
          <w:sz w:val="24"/>
          <w:szCs w:val="24"/>
          <w:lang w:val="en-US"/>
        </w:rPr>
        <w:t>short-termism</w:t>
      </w:r>
      <w:r w:rsidR="00AA07F6" w:rsidRPr="00BE65C7">
        <w:rPr>
          <w:rFonts w:ascii="Times New Roman" w:hAnsi="Times New Roman" w:cs="Times New Roman"/>
          <w:color w:val="000000" w:themeColor="text1"/>
          <w:sz w:val="24"/>
          <w:szCs w:val="24"/>
          <w:lang w:val="en-US"/>
        </w:rPr>
        <w:t xml:space="preserve"> (Callen and Fang, 2013). </w:t>
      </w:r>
      <w:r w:rsidR="00073935" w:rsidRPr="00BE65C7">
        <w:rPr>
          <w:rFonts w:ascii="Times New Roman" w:hAnsi="Times New Roman" w:cs="Times New Roman"/>
          <w:color w:val="000000" w:themeColor="text1"/>
          <w:sz w:val="24"/>
          <w:szCs w:val="24"/>
          <w:lang w:val="en-US"/>
        </w:rPr>
        <w:t>The monitoring role of investors indicate focus on long-term value creation for shareholders and they actively engage with the management of the firm to achieve this objective (</w:t>
      </w:r>
      <w:r w:rsidR="00D607EA" w:rsidRPr="00BE65C7">
        <w:rPr>
          <w:rFonts w:ascii="Times New Roman" w:hAnsi="Times New Roman" w:cs="Times New Roman"/>
          <w:color w:val="000000" w:themeColor="text1"/>
          <w:sz w:val="24"/>
          <w:szCs w:val="24"/>
        </w:rPr>
        <w:t xml:space="preserve">Shleifer &amp; </w:t>
      </w:r>
      <w:proofErr w:type="spellStart"/>
      <w:r w:rsidR="00D607EA" w:rsidRPr="00BE65C7">
        <w:rPr>
          <w:rFonts w:ascii="Times New Roman" w:hAnsi="Times New Roman" w:cs="Times New Roman"/>
          <w:color w:val="000000" w:themeColor="text1"/>
          <w:sz w:val="24"/>
          <w:szCs w:val="24"/>
        </w:rPr>
        <w:t>Vishny</w:t>
      </w:r>
      <w:proofErr w:type="spellEnd"/>
      <w:r w:rsidR="00D607EA" w:rsidRPr="00BE65C7">
        <w:rPr>
          <w:rFonts w:ascii="Times New Roman" w:hAnsi="Times New Roman" w:cs="Times New Roman"/>
          <w:color w:val="000000" w:themeColor="text1"/>
          <w:sz w:val="24"/>
          <w:szCs w:val="24"/>
        </w:rPr>
        <w:t xml:space="preserve"> 1986</w:t>
      </w:r>
      <w:r w:rsidR="00A86982" w:rsidRPr="00BE65C7">
        <w:rPr>
          <w:rFonts w:ascii="Times New Roman" w:hAnsi="Times New Roman" w:cs="Times New Roman"/>
          <w:color w:val="000000" w:themeColor="text1"/>
          <w:sz w:val="24"/>
          <w:szCs w:val="24"/>
        </w:rPr>
        <w:t>, 1997</w:t>
      </w:r>
      <w:r w:rsidR="00073935" w:rsidRPr="00BE65C7">
        <w:rPr>
          <w:rFonts w:ascii="Times New Roman" w:hAnsi="Times New Roman" w:cs="Times New Roman"/>
          <w:color w:val="000000" w:themeColor="text1"/>
          <w:sz w:val="24"/>
          <w:szCs w:val="24"/>
        </w:rPr>
        <w:t>)</w:t>
      </w:r>
      <w:r w:rsidR="00073935" w:rsidRPr="00BE65C7">
        <w:rPr>
          <w:color w:val="000000" w:themeColor="text1"/>
        </w:rPr>
        <w:t>.</w:t>
      </w:r>
      <w:r w:rsidR="00BD1AB9" w:rsidRPr="00BE65C7">
        <w:rPr>
          <w:color w:val="000000" w:themeColor="text1"/>
        </w:rPr>
        <w:t xml:space="preserve"> </w:t>
      </w:r>
      <w:r w:rsidR="00CB7E14" w:rsidRPr="00BE65C7">
        <w:rPr>
          <w:rFonts w:ascii="Times New Roman" w:hAnsi="Times New Roman" w:cs="Times New Roman"/>
          <w:color w:val="000000" w:themeColor="text1"/>
          <w:sz w:val="24"/>
          <w:szCs w:val="24"/>
        </w:rPr>
        <w:t>They argue that institutional investors have incentive to collect information and monitor management because they reap large benefits as compared to smaller investors. Further, they tend to monitor and discipline managers to ensure that the firm’s investment strategy is consistent with the objective of maximizing long-term value, rather than meeting short term earnings goals. Consistent with this monitoring view of institutional investors, empirical studies provide evidence on a variety of benefits from institutional ownership like CEO turnover (</w:t>
      </w:r>
      <w:proofErr w:type="spellStart"/>
      <w:r w:rsidR="00CB7E14" w:rsidRPr="00BE65C7">
        <w:rPr>
          <w:rFonts w:ascii="Times New Roman" w:hAnsi="Times New Roman" w:cs="Times New Roman"/>
          <w:color w:val="000000" w:themeColor="text1"/>
          <w:sz w:val="24"/>
          <w:szCs w:val="24"/>
        </w:rPr>
        <w:t>Helwege</w:t>
      </w:r>
      <w:proofErr w:type="spellEnd"/>
      <w:r w:rsidR="00CB7E14" w:rsidRPr="00BE65C7">
        <w:rPr>
          <w:rFonts w:ascii="Times New Roman" w:hAnsi="Times New Roman" w:cs="Times New Roman"/>
          <w:color w:val="000000" w:themeColor="text1"/>
          <w:sz w:val="24"/>
          <w:szCs w:val="24"/>
        </w:rPr>
        <w:t xml:space="preserve"> et al., 2012), , firm performance (</w:t>
      </w:r>
      <w:proofErr w:type="spellStart"/>
      <w:r w:rsidR="00CB7E14" w:rsidRPr="00BE65C7">
        <w:rPr>
          <w:rFonts w:ascii="Times New Roman" w:hAnsi="Times New Roman" w:cs="Times New Roman"/>
          <w:color w:val="000000" w:themeColor="text1"/>
          <w:sz w:val="24"/>
          <w:szCs w:val="24"/>
        </w:rPr>
        <w:t>Elyasiani</w:t>
      </w:r>
      <w:proofErr w:type="spellEnd"/>
      <w:r w:rsidR="00CB7E14" w:rsidRPr="00BE65C7">
        <w:rPr>
          <w:rFonts w:ascii="Times New Roman" w:hAnsi="Times New Roman" w:cs="Times New Roman"/>
          <w:color w:val="000000" w:themeColor="text1"/>
          <w:sz w:val="24"/>
          <w:szCs w:val="24"/>
        </w:rPr>
        <w:t xml:space="preserve"> </w:t>
      </w:r>
      <w:r w:rsidR="002D694B" w:rsidRPr="00BE65C7">
        <w:rPr>
          <w:rFonts w:ascii="Times New Roman" w:hAnsi="Times New Roman" w:cs="Times New Roman"/>
          <w:color w:val="000000" w:themeColor="text1"/>
          <w:sz w:val="24"/>
          <w:szCs w:val="24"/>
        </w:rPr>
        <w:t>and</w:t>
      </w:r>
      <w:r w:rsidR="00CB7E14" w:rsidRPr="00BE65C7">
        <w:rPr>
          <w:rFonts w:ascii="Times New Roman" w:hAnsi="Times New Roman" w:cs="Times New Roman"/>
          <w:color w:val="000000" w:themeColor="text1"/>
          <w:sz w:val="24"/>
          <w:szCs w:val="24"/>
        </w:rPr>
        <w:t xml:space="preserve"> Jia, 2008), corporate governance (Aggarwal</w:t>
      </w:r>
      <w:r w:rsidR="008E6C51" w:rsidRPr="00BE65C7">
        <w:rPr>
          <w:rFonts w:ascii="Times New Roman" w:hAnsi="Times New Roman" w:cs="Times New Roman"/>
          <w:color w:val="000000" w:themeColor="text1"/>
          <w:sz w:val="24"/>
          <w:szCs w:val="24"/>
        </w:rPr>
        <w:t xml:space="preserve"> </w:t>
      </w:r>
      <w:r w:rsidR="002D694B" w:rsidRPr="00BE65C7">
        <w:rPr>
          <w:rFonts w:ascii="Times New Roman" w:hAnsi="Times New Roman" w:cs="Times New Roman"/>
          <w:color w:val="000000" w:themeColor="text1"/>
          <w:sz w:val="24"/>
          <w:szCs w:val="24"/>
        </w:rPr>
        <w:t xml:space="preserve">et al., </w:t>
      </w:r>
      <w:r w:rsidR="00CB7E14" w:rsidRPr="00BE65C7">
        <w:rPr>
          <w:rFonts w:ascii="Times New Roman" w:hAnsi="Times New Roman" w:cs="Times New Roman"/>
          <w:color w:val="000000" w:themeColor="text1"/>
          <w:sz w:val="24"/>
          <w:szCs w:val="24"/>
        </w:rPr>
        <w:t>2011), executive compensation (Janakiraman, Radhakrishnan, &amp; Tsang, 2010; Zheng, 2010).</w:t>
      </w:r>
      <w:r w:rsidR="00DB36EA" w:rsidRPr="00BE65C7">
        <w:rPr>
          <w:rFonts w:ascii="Times New Roman" w:hAnsi="Times New Roman" w:cs="Times New Roman"/>
          <w:color w:val="000000" w:themeColor="text1"/>
          <w:sz w:val="24"/>
          <w:szCs w:val="24"/>
        </w:rPr>
        <w:t xml:space="preserve"> </w:t>
      </w:r>
      <w:r w:rsidR="00725B5F" w:rsidRPr="00BE65C7">
        <w:rPr>
          <w:rFonts w:ascii="Times New Roman" w:hAnsi="Times New Roman" w:cs="Times New Roman"/>
          <w:color w:val="000000" w:themeColor="text1"/>
          <w:sz w:val="24"/>
          <w:szCs w:val="24"/>
        </w:rPr>
        <w:t>The short-termism perspective argue that institutional investors are transient and are interested in short-term performance of the f</w:t>
      </w:r>
      <w:r w:rsidR="007D7051">
        <w:rPr>
          <w:rFonts w:ascii="Times New Roman" w:hAnsi="Times New Roman" w:cs="Times New Roman"/>
          <w:color w:val="000000" w:themeColor="text1"/>
          <w:sz w:val="24"/>
          <w:szCs w:val="24"/>
        </w:rPr>
        <w:t xml:space="preserve">irm and fail to act as monitor </w:t>
      </w:r>
      <w:r w:rsidR="00725B5F" w:rsidRPr="00BE65C7">
        <w:rPr>
          <w:rFonts w:ascii="Times New Roman" w:hAnsi="Times New Roman" w:cs="Times New Roman"/>
          <w:color w:val="000000" w:themeColor="text1"/>
          <w:sz w:val="24"/>
          <w:szCs w:val="24"/>
        </w:rPr>
        <w:t>(</w:t>
      </w:r>
      <w:r w:rsidR="004D485E" w:rsidRPr="00BE65C7">
        <w:rPr>
          <w:rFonts w:ascii="Times New Roman" w:hAnsi="Times New Roman" w:cs="Times New Roman"/>
          <w:color w:val="000000" w:themeColor="text1"/>
          <w:sz w:val="24"/>
          <w:szCs w:val="24"/>
        </w:rPr>
        <w:t xml:space="preserve">Bushee, 1998; Cheng et al., 2010; Yudan, 2010; </w:t>
      </w:r>
      <w:proofErr w:type="spellStart"/>
      <w:r w:rsidR="004D485E" w:rsidRPr="00BE65C7">
        <w:rPr>
          <w:rFonts w:ascii="Times New Roman" w:hAnsi="Times New Roman" w:cs="Times New Roman"/>
          <w:color w:val="000000" w:themeColor="text1"/>
          <w:sz w:val="24"/>
          <w:szCs w:val="24"/>
        </w:rPr>
        <w:t>Manconi</w:t>
      </w:r>
      <w:proofErr w:type="spellEnd"/>
      <w:r w:rsidR="004D485E" w:rsidRPr="00BE65C7">
        <w:rPr>
          <w:rFonts w:ascii="Times New Roman" w:hAnsi="Times New Roman" w:cs="Times New Roman"/>
          <w:color w:val="000000" w:themeColor="text1"/>
          <w:sz w:val="24"/>
          <w:szCs w:val="24"/>
        </w:rPr>
        <w:t>, 2012)</w:t>
      </w:r>
      <w:r w:rsidR="00F8416F" w:rsidRPr="00BE65C7">
        <w:rPr>
          <w:rFonts w:ascii="Times New Roman" w:hAnsi="Times New Roman" w:cs="Times New Roman"/>
          <w:color w:val="000000" w:themeColor="text1"/>
          <w:sz w:val="24"/>
          <w:szCs w:val="24"/>
        </w:rPr>
        <w:t xml:space="preserve">. </w:t>
      </w:r>
      <w:r w:rsidR="00BC75C5" w:rsidRPr="00BE65C7">
        <w:rPr>
          <w:rFonts w:ascii="Times New Roman" w:hAnsi="Times New Roman" w:cs="Times New Roman"/>
          <w:color w:val="000000" w:themeColor="text1"/>
          <w:sz w:val="24"/>
          <w:szCs w:val="24"/>
        </w:rPr>
        <w:t>In this paper, we investigate the monitoring role of the institutional investors with respect to corporate cash holdings and we attempt to enhance our understanding of the impact of country-level moderators on the relationship between institutional investors and cash holdings.</w:t>
      </w:r>
    </w:p>
    <w:p w14:paraId="7E4B0C66" w14:textId="2CD1B0AF" w:rsidR="0041202F" w:rsidRPr="00582A7F" w:rsidRDefault="0041202F" w:rsidP="0041202F">
      <w:pPr>
        <w:spacing w:line="360" w:lineRule="auto"/>
        <w:ind w:firstLine="720"/>
        <w:jc w:val="both"/>
        <w:rPr>
          <w:rFonts w:ascii="Times New Roman" w:hAnsi="Times New Roman" w:cs="Times New Roman"/>
          <w:color w:val="000000" w:themeColor="text1"/>
          <w:sz w:val="24"/>
          <w:szCs w:val="24"/>
        </w:rPr>
      </w:pPr>
      <w:r w:rsidRPr="00582A7F">
        <w:rPr>
          <w:rFonts w:ascii="Times New Roman" w:hAnsi="Times New Roman" w:cs="Times New Roman"/>
          <w:color w:val="000000" w:themeColor="text1"/>
          <w:sz w:val="24"/>
          <w:szCs w:val="24"/>
        </w:rPr>
        <w:t xml:space="preserve">Recent studies have explored the impact of large investors on corporate cash holdings. For instance, Chen et al. (2018) find a positive relationship between state ownership and corporate cash holdings, suggesting that as state ownership increases, the value of cash holdings declines in countries with weak institutional frameworks. Investors tend to discount the value of cash in such settings due to the heightened risks associated with these firms, underscoring the importance of accounting for a country’s institutional environment when </w:t>
      </w:r>
      <w:proofErr w:type="spellStart"/>
      <w:r w:rsidRPr="00582A7F">
        <w:rPr>
          <w:rFonts w:ascii="Times New Roman" w:hAnsi="Times New Roman" w:cs="Times New Roman"/>
          <w:color w:val="000000" w:themeColor="text1"/>
          <w:sz w:val="24"/>
          <w:szCs w:val="24"/>
        </w:rPr>
        <w:t>analyzing</w:t>
      </w:r>
      <w:proofErr w:type="spellEnd"/>
      <w:r w:rsidRPr="00582A7F">
        <w:rPr>
          <w:rFonts w:ascii="Times New Roman" w:hAnsi="Times New Roman" w:cs="Times New Roman"/>
          <w:color w:val="000000" w:themeColor="text1"/>
          <w:sz w:val="24"/>
          <w:szCs w:val="24"/>
        </w:rPr>
        <w:t xml:space="preserve"> agency conflicts. Similarly, Gupta and Bedi (2020) find a negative relationship between promoter ownership and cash holdings in Indian firms, arguing that larger and more diverse shareholders should play a central role in preventing excess cash accumulation in these companies.</w:t>
      </w:r>
    </w:p>
    <w:p w14:paraId="2027A808" w14:textId="77777777" w:rsidR="0041202F" w:rsidRPr="00582A7F" w:rsidRDefault="0041202F" w:rsidP="0041202F">
      <w:pPr>
        <w:spacing w:line="360" w:lineRule="auto"/>
        <w:ind w:firstLine="720"/>
        <w:jc w:val="both"/>
        <w:rPr>
          <w:rFonts w:ascii="Times New Roman" w:hAnsi="Times New Roman" w:cs="Times New Roman"/>
          <w:color w:val="000000" w:themeColor="text1"/>
          <w:sz w:val="24"/>
          <w:szCs w:val="24"/>
        </w:rPr>
      </w:pPr>
    </w:p>
    <w:p w14:paraId="0B65E940" w14:textId="4DEA7CE9" w:rsidR="00FF00CD" w:rsidRPr="00BE65C7" w:rsidRDefault="0041202F" w:rsidP="0041202F">
      <w:pPr>
        <w:spacing w:line="360" w:lineRule="auto"/>
        <w:ind w:firstLine="720"/>
        <w:jc w:val="both"/>
        <w:rPr>
          <w:rFonts w:ascii="Times New Roman" w:hAnsi="Times New Roman" w:cs="Times New Roman"/>
          <w:color w:val="000000" w:themeColor="text1"/>
          <w:sz w:val="24"/>
          <w:szCs w:val="24"/>
          <w:lang w:val="en-US"/>
        </w:rPr>
      </w:pPr>
      <w:r w:rsidRPr="00582A7F">
        <w:rPr>
          <w:rFonts w:ascii="Times New Roman" w:hAnsi="Times New Roman" w:cs="Times New Roman"/>
          <w:color w:val="000000" w:themeColor="text1"/>
          <w:sz w:val="24"/>
          <w:szCs w:val="24"/>
        </w:rPr>
        <w:t xml:space="preserve">Another critical issue in cash management concerns determining the optimal level of cash holdings. Prior literature provides evidence that holding either excess or insufficient cash can erode shareholder value over time (Dittmar and Mahrt-Smith, 2007; Harford et al., 2008; </w:t>
      </w:r>
      <w:proofErr w:type="spellStart"/>
      <w:r w:rsidRPr="00582A7F">
        <w:rPr>
          <w:rFonts w:ascii="Times New Roman" w:hAnsi="Times New Roman" w:cs="Times New Roman"/>
          <w:color w:val="000000" w:themeColor="text1"/>
          <w:sz w:val="24"/>
          <w:szCs w:val="24"/>
        </w:rPr>
        <w:t>Kalcheva</w:t>
      </w:r>
      <w:proofErr w:type="spellEnd"/>
      <w:r w:rsidRPr="00582A7F">
        <w:rPr>
          <w:rFonts w:ascii="Times New Roman" w:hAnsi="Times New Roman" w:cs="Times New Roman"/>
          <w:color w:val="000000" w:themeColor="text1"/>
          <w:sz w:val="24"/>
          <w:szCs w:val="24"/>
        </w:rPr>
        <w:t xml:space="preserve"> and Lins, 2007; Miller and Orr, 1966; Opler et al., 1999). Excess cash is particularly problematic, as it becomes more susceptible to expropriation by managers or majority shareholders. Johnson et al. (2000) introduced the term "</w:t>
      </w:r>
      <w:proofErr w:type="spellStart"/>
      <w:r w:rsidRPr="00582A7F">
        <w:rPr>
          <w:rFonts w:ascii="Times New Roman" w:hAnsi="Times New Roman" w:cs="Times New Roman"/>
          <w:color w:val="000000" w:themeColor="text1"/>
          <w:sz w:val="24"/>
          <w:szCs w:val="24"/>
        </w:rPr>
        <w:t>tunneling</w:t>
      </w:r>
      <w:proofErr w:type="spellEnd"/>
      <w:r w:rsidRPr="00582A7F">
        <w:rPr>
          <w:rFonts w:ascii="Times New Roman" w:hAnsi="Times New Roman" w:cs="Times New Roman"/>
          <w:color w:val="000000" w:themeColor="text1"/>
          <w:sz w:val="24"/>
          <w:szCs w:val="24"/>
        </w:rPr>
        <w:t>" to describe the exploitation of minority shareholders by majority shareholders who divert assets, including cash, for personal gain. This issue is especially pronounced in countries with weaker shareholder protections, where greater access to cash by controlling shareholders correlates with reduced firm value (</w:t>
      </w:r>
      <w:proofErr w:type="spellStart"/>
      <w:r w:rsidRPr="00582A7F">
        <w:rPr>
          <w:rFonts w:ascii="Times New Roman" w:hAnsi="Times New Roman" w:cs="Times New Roman"/>
          <w:color w:val="000000" w:themeColor="text1"/>
          <w:sz w:val="24"/>
          <w:szCs w:val="24"/>
        </w:rPr>
        <w:t>Kalcheva</w:t>
      </w:r>
      <w:proofErr w:type="spellEnd"/>
      <w:r w:rsidRPr="00582A7F">
        <w:rPr>
          <w:rFonts w:ascii="Times New Roman" w:hAnsi="Times New Roman" w:cs="Times New Roman"/>
          <w:color w:val="000000" w:themeColor="text1"/>
          <w:sz w:val="24"/>
          <w:szCs w:val="24"/>
        </w:rPr>
        <w:t xml:space="preserve"> and Lins, 2007).</w:t>
      </w:r>
      <w:r w:rsidR="0083193A" w:rsidRPr="00BE65C7">
        <w:rPr>
          <w:rFonts w:ascii="Times New Roman" w:hAnsi="Times New Roman" w:cs="Times New Roman"/>
          <w:color w:val="000000" w:themeColor="text1"/>
          <w:sz w:val="24"/>
          <w:szCs w:val="24"/>
          <w:lang w:val="en-US"/>
        </w:rPr>
        <w:t>While the roles of</w:t>
      </w:r>
      <w:r w:rsidR="004C18E0" w:rsidRPr="00BE65C7">
        <w:rPr>
          <w:rFonts w:ascii="Times New Roman" w:hAnsi="Times New Roman" w:cs="Times New Roman"/>
          <w:color w:val="000000" w:themeColor="text1"/>
          <w:sz w:val="24"/>
          <w:szCs w:val="24"/>
          <w:lang w:val="en-US"/>
        </w:rPr>
        <w:t xml:space="preserve"> </w:t>
      </w:r>
      <w:r w:rsidR="0083193A" w:rsidRPr="00BE65C7">
        <w:rPr>
          <w:rFonts w:ascii="Times New Roman" w:hAnsi="Times New Roman" w:cs="Times New Roman"/>
          <w:color w:val="000000" w:themeColor="text1"/>
          <w:sz w:val="24"/>
          <w:szCs w:val="24"/>
          <w:lang w:val="en-US"/>
        </w:rPr>
        <w:t>retail investors</w:t>
      </w:r>
      <w:r w:rsidR="00E4468C" w:rsidRPr="00BE65C7">
        <w:rPr>
          <w:rFonts w:ascii="Times New Roman" w:hAnsi="Times New Roman" w:cs="Times New Roman"/>
          <w:color w:val="000000" w:themeColor="text1"/>
          <w:sz w:val="24"/>
          <w:szCs w:val="24"/>
          <w:lang w:val="en-US"/>
        </w:rPr>
        <w:t xml:space="preserve"> </w:t>
      </w:r>
      <w:r w:rsidR="0083193A" w:rsidRPr="00BE65C7">
        <w:rPr>
          <w:rFonts w:ascii="Times New Roman" w:hAnsi="Times New Roman" w:cs="Times New Roman"/>
          <w:color w:val="000000" w:themeColor="text1"/>
          <w:sz w:val="24"/>
          <w:szCs w:val="24"/>
          <w:lang w:val="en-US"/>
        </w:rPr>
        <w:t>in mitigating the agency problem are well researched and documented</w:t>
      </w:r>
      <w:r w:rsidR="00A21B67" w:rsidRPr="00BE65C7">
        <w:rPr>
          <w:rFonts w:ascii="Times New Roman" w:hAnsi="Times New Roman" w:cs="Times New Roman"/>
          <w:color w:val="000000" w:themeColor="text1"/>
          <w:sz w:val="24"/>
          <w:szCs w:val="24"/>
          <w:lang w:val="en-US"/>
        </w:rPr>
        <w:t xml:space="preserve"> (Chen et al., 2007; Ferreira et al., 2010; Aggarwal et al., 2011)</w:t>
      </w:r>
      <w:r w:rsidR="0083193A" w:rsidRPr="00BE65C7">
        <w:rPr>
          <w:rFonts w:ascii="Times New Roman" w:hAnsi="Times New Roman" w:cs="Times New Roman"/>
          <w:color w:val="000000" w:themeColor="text1"/>
          <w:sz w:val="24"/>
          <w:szCs w:val="24"/>
          <w:lang w:val="en-US"/>
        </w:rPr>
        <w:t>, t</w:t>
      </w:r>
      <w:r w:rsidR="0002527A" w:rsidRPr="00BE65C7">
        <w:rPr>
          <w:rFonts w:ascii="Times New Roman" w:hAnsi="Times New Roman" w:cs="Times New Roman"/>
          <w:color w:val="000000" w:themeColor="text1"/>
          <w:sz w:val="24"/>
          <w:szCs w:val="24"/>
          <w:lang w:val="en-US"/>
        </w:rPr>
        <w:t>he role of institutional investors is still unexplored</w:t>
      </w:r>
      <w:r w:rsidR="004C18E0" w:rsidRPr="00BE65C7">
        <w:rPr>
          <w:rFonts w:ascii="Times New Roman" w:hAnsi="Times New Roman" w:cs="Times New Roman"/>
          <w:color w:val="000000" w:themeColor="text1"/>
          <w:sz w:val="24"/>
          <w:szCs w:val="24"/>
          <w:lang w:val="en-US"/>
        </w:rPr>
        <w:t>,</w:t>
      </w:r>
      <w:r w:rsidR="0083193A" w:rsidRPr="00BE65C7">
        <w:rPr>
          <w:rFonts w:ascii="Times New Roman" w:hAnsi="Times New Roman" w:cs="Times New Roman"/>
          <w:color w:val="000000" w:themeColor="text1"/>
          <w:sz w:val="24"/>
          <w:szCs w:val="24"/>
          <w:lang w:val="en-US"/>
        </w:rPr>
        <w:t xml:space="preserve"> especially in</w:t>
      </w:r>
      <w:r w:rsidR="003F04ED" w:rsidRPr="00BE65C7">
        <w:rPr>
          <w:rFonts w:ascii="Times New Roman" w:hAnsi="Times New Roman" w:cs="Times New Roman"/>
          <w:color w:val="000000" w:themeColor="text1"/>
          <w:sz w:val="24"/>
          <w:szCs w:val="24"/>
          <w:lang w:val="en-US"/>
        </w:rPr>
        <w:t xml:space="preserve"> emerging </w:t>
      </w:r>
      <w:r w:rsidR="0083193A" w:rsidRPr="00BE65C7">
        <w:rPr>
          <w:rFonts w:ascii="Times New Roman" w:hAnsi="Times New Roman" w:cs="Times New Roman"/>
          <w:color w:val="000000" w:themeColor="text1"/>
          <w:sz w:val="24"/>
          <w:szCs w:val="24"/>
          <w:lang w:val="en-US"/>
        </w:rPr>
        <w:t xml:space="preserve">countries </w:t>
      </w:r>
      <w:r w:rsidR="003F04ED" w:rsidRPr="00BE65C7">
        <w:rPr>
          <w:rFonts w:ascii="Times New Roman" w:hAnsi="Times New Roman" w:cs="Times New Roman"/>
          <w:color w:val="000000" w:themeColor="text1"/>
          <w:sz w:val="24"/>
          <w:szCs w:val="24"/>
          <w:lang w:val="en-US"/>
        </w:rPr>
        <w:t>which have</w:t>
      </w:r>
      <w:r w:rsidR="0083193A" w:rsidRPr="00BE65C7">
        <w:rPr>
          <w:rFonts w:ascii="Times New Roman" w:hAnsi="Times New Roman" w:cs="Times New Roman"/>
          <w:color w:val="000000" w:themeColor="text1"/>
          <w:sz w:val="24"/>
          <w:szCs w:val="24"/>
          <w:lang w:val="en-US"/>
        </w:rPr>
        <w:t xml:space="preserve"> </w:t>
      </w:r>
      <w:r w:rsidR="00090BA7" w:rsidRPr="00BE65C7">
        <w:rPr>
          <w:rFonts w:ascii="Times New Roman" w:hAnsi="Times New Roman" w:cs="Times New Roman"/>
          <w:color w:val="000000" w:themeColor="text1"/>
          <w:sz w:val="24"/>
          <w:szCs w:val="24"/>
          <w:lang w:val="en-US"/>
        </w:rPr>
        <w:t xml:space="preserve">a </w:t>
      </w:r>
      <w:r w:rsidR="0083193A" w:rsidRPr="00BE65C7">
        <w:rPr>
          <w:rFonts w:ascii="Times New Roman" w:hAnsi="Times New Roman" w:cs="Times New Roman"/>
          <w:color w:val="000000" w:themeColor="text1"/>
          <w:sz w:val="24"/>
          <w:szCs w:val="24"/>
          <w:lang w:val="en-US"/>
        </w:rPr>
        <w:t xml:space="preserve">different institutional mechanism, political </w:t>
      </w:r>
      <w:r w:rsidR="003F04ED" w:rsidRPr="00BE65C7">
        <w:rPr>
          <w:rFonts w:ascii="Times New Roman" w:hAnsi="Times New Roman" w:cs="Times New Roman"/>
          <w:color w:val="000000" w:themeColor="text1"/>
          <w:sz w:val="24"/>
          <w:szCs w:val="24"/>
          <w:lang w:val="en-US"/>
        </w:rPr>
        <w:t xml:space="preserve">and business </w:t>
      </w:r>
      <w:r w:rsidR="0083193A" w:rsidRPr="00BE65C7">
        <w:rPr>
          <w:rFonts w:ascii="Times New Roman" w:hAnsi="Times New Roman" w:cs="Times New Roman"/>
          <w:color w:val="000000" w:themeColor="text1"/>
          <w:sz w:val="24"/>
          <w:szCs w:val="24"/>
          <w:lang w:val="en-US"/>
        </w:rPr>
        <w:t>environment</w:t>
      </w:r>
      <w:r w:rsidR="003F04ED" w:rsidRPr="00BE65C7">
        <w:rPr>
          <w:rFonts w:ascii="Times New Roman" w:hAnsi="Times New Roman" w:cs="Times New Roman"/>
          <w:color w:val="000000" w:themeColor="text1"/>
          <w:sz w:val="24"/>
          <w:szCs w:val="24"/>
          <w:lang w:val="en-US"/>
        </w:rPr>
        <w:t xml:space="preserve"> as compared to developed countries.</w:t>
      </w:r>
      <w:r w:rsidR="0083193A" w:rsidRPr="00BE65C7">
        <w:rPr>
          <w:rFonts w:ascii="Times New Roman" w:hAnsi="Times New Roman" w:cs="Times New Roman"/>
          <w:color w:val="000000" w:themeColor="text1"/>
          <w:sz w:val="24"/>
          <w:szCs w:val="24"/>
          <w:lang w:val="en-US"/>
        </w:rPr>
        <w:t xml:space="preserve"> </w:t>
      </w:r>
      <w:r w:rsidR="003F04ED" w:rsidRPr="00BE65C7">
        <w:rPr>
          <w:rFonts w:ascii="Times New Roman" w:hAnsi="Times New Roman" w:cs="Times New Roman"/>
          <w:color w:val="000000" w:themeColor="text1"/>
          <w:sz w:val="24"/>
          <w:szCs w:val="24"/>
          <w:lang w:val="en-US"/>
        </w:rPr>
        <w:t xml:space="preserve">Firth et al. (2016) provide evidence that institutional investors in China have substantially helped </w:t>
      </w:r>
      <w:r w:rsidR="004C18E0" w:rsidRPr="00BE65C7">
        <w:rPr>
          <w:rFonts w:ascii="Times New Roman" w:hAnsi="Times New Roman" w:cs="Times New Roman"/>
          <w:color w:val="000000" w:themeColor="text1"/>
          <w:sz w:val="24"/>
          <w:szCs w:val="24"/>
          <w:lang w:val="en-US"/>
        </w:rPr>
        <w:t xml:space="preserve">in </w:t>
      </w:r>
      <w:r w:rsidR="000110E7" w:rsidRPr="00BE65C7">
        <w:rPr>
          <w:rFonts w:ascii="Times New Roman" w:hAnsi="Times New Roman" w:cs="Times New Roman"/>
          <w:color w:val="000000" w:themeColor="text1"/>
          <w:sz w:val="24"/>
          <w:szCs w:val="24"/>
          <w:lang w:val="en-US"/>
        </w:rPr>
        <w:t>i</w:t>
      </w:r>
      <w:r w:rsidR="004C18E0" w:rsidRPr="00BE65C7">
        <w:rPr>
          <w:rFonts w:ascii="Times New Roman" w:hAnsi="Times New Roman" w:cs="Times New Roman"/>
          <w:color w:val="000000" w:themeColor="text1"/>
          <w:sz w:val="24"/>
          <w:szCs w:val="24"/>
          <w:lang w:val="en-US"/>
        </w:rPr>
        <w:t>mproving efficiency, corporate governance,</w:t>
      </w:r>
      <w:r w:rsidR="003F04ED" w:rsidRPr="00BE65C7">
        <w:rPr>
          <w:rFonts w:ascii="Times New Roman" w:hAnsi="Times New Roman" w:cs="Times New Roman"/>
          <w:color w:val="000000" w:themeColor="text1"/>
          <w:sz w:val="24"/>
          <w:szCs w:val="24"/>
          <w:lang w:val="en-US"/>
        </w:rPr>
        <w:t xml:space="preserve"> </w:t>
      </w:r>
      <w:r w:rsidR="004C18E0" w:rsidRPr="00BE65C7">
        <w:rPr>
          <w:rFonts w:ascii="Times New Roman" w:hAnsi="Times New Roman" w:cs="Times New Roman"/>
          <w:color w:val="000000" w:themeColor="text1"/>
          <w:sz w:val="24"/>
          <w:szCs w:val="24"/>
          <w:lang w:val="en-US"/>
        </w:rPr>
        <w:t>and, consequently, the firm value</w:t>
      </w:r>
      <w:r w:rsidR="003F04ED" w:rsidRPr="00BE65C7">
        <w:rPr>
          <w:rFonts w:ascii="Times New Roman" w:hAnsi="Times New Roman" w:cs="Times New Roman"/>
          <w:color w:val="000000" w:themeColor="text1"/>
          <w:sz w:val="24"/>
          <w:szCs w:val="24"/>
          <w:lang w:val="en-US"/>
        </w:rPr>
        <w:t xml:space="preserve">. </w:t>
      </w:r>
      <w:r w:rsidR="002026BD" w:rsidRPr="00BE65C7">
        <w:rPr>
          <w:rFonts w:ascii="Times New Roman" w:hAnsi="Times New Roman" w:cs="Times New Roman"/>
          <w:color w:val="000000" w:themeColor="text1"/>
          <w:sz w:val="24"/>
          <w:szCs w:val="24"/>
          <w:lang w:val="en-US"/>
        </w:rPr>
        <w:t>Ameer (2007)</w:t>
      </w:r>
      <w:r w:rsidR="004C18E0" w:rsidRPr="00BE65C7">
        <w:rPr>
          <w:rFonts w:ascii="Times New Roman" w:hAnsi="Times New Roman" w:cs="Times New Roman"/>
          <w:color w:val="000000" w:themeColor="text1"/>
          <w:sz w:val="24"/>
          <w:szCs w:val="24"/>
          <w:lang w:val="en-US"/>
        </w:rPr>
        <w:t xml:space="preserve"> and </w:t>
      </w:r>
      <w:r w:rsidR="002026BD" w:rsidRPr="00BE65C7">
        <w:rPr>
          <w:rFonts w:ascii="Times New Roman" w:hAnsi="Times New Roman" w:cs="Times New Roman"/>
          <w:color w:val="000000" w:themeColor="text1"/>
          <w:sz w:val="24"/>
          <w:szCs w:val="24"/>
          <w:lang w:val="en-US"/>
        </w:rPr>
        <w:t xml:space="preserve">Bekaert and Harvey (2000) find that liquidity and cost of capital in emerging markets have substantially improved </w:t>
      </w:r>
      <w:r w:rsidR="00AE0325" w:rsidRPr="00BE65C7">
        <w:rPr>
          <w:rFonts w:ascii="Times New Roman" w:hAnsi="Times New Roman" w:cs="Times New Roman"/>
          <w:color w:val="000000" w:themeColor="text1"/>
          <w:sz w:val="24"/>
          <w:szCs w:val="24"/>
          <w:lang w:val="en-US"/>
        </w:rPr>
        <w:t>because of</w:t>
      </w:r>
      <w:r w:rsidR="002026BD" w:rsidRPr="00BE65C7">
        <w:rPr>
          <w:rFonts w:ascii="Times New Roman" w:hAnsi="Times New Roman" w:cs="Times New Roman"/>
          <w:color w:val="000000" w:themeColor="text1"/>
          <w:sz w:val="24"/>
          <w:szCs w:val="24"/>
          <w:lang w:val="en-US"/>
        </w:rPr>
        <w:t xml:space="preserve"> the advent of institutional investors</w:t>
      </w:r>
      <w:r w:rsidR="00614D3C" w:rsidRPr="00BE65C7">
        <w:rPr>
          <w:rFonts w:ascii="Times New Roman" w:hAnsi="Times New Roman" w:cs="Times New Roman"/>
          <w:color w:val="000000" w:themeColor="text1"/>
          <w:sz w:val="24"/>
          <w:szCs w:val="24"/>
          <w:lang w:val="en-US"/>
        </w:rPr>
        <w:t xml:space="preserve"> in these countries</w:t>
      </w:r>
      <w:r w:rsidR="002026BD" w:rsidRPr="00BE65C7">
        <w:rPr>
          <w:rFonts w:ascii="Times New Roman" w:hAnsi="Times New Roman" w:cs="Times New Roman"/>
          <w:color w:val="000000" w:themeColor="text1"/>
          <w:sz w:val="24"/>
          <w:szCs w:val="24"/>
          <w:lang w:val="en-US"/>
        </w:rPr>
        <w:t xml:space="preserve">. </w:t>
      </w:r>
      <w:r w:rsidR="005C65D2" w:rsidRPr="00BE65C7">
        <w:rPr>
          <w:rFonts w:ascii="Times New Roman" w:hAnsi="Times New Roman" w:cs="Times New Roman"/>
          <w:color w:val="000000" w:themeColor="text1"/>
          <w:sz w:val="24"/>
          <w:szCs w:val="24"/>
          <w:lang w:val="en-US"/>
        </w:rPr>
        <w:t xml:space="preserve">Ameer (2010) further argues </w:t>
      </w:r>
      <w:r w:rsidR="005A672B" w:rsidRPr="00BE65C7">
        <w:rPr>
          <w:rFonts w:ascii="Times New Roman" w:hAnsi="Times New Roman" w:cs="Times New Roman"/>
          <w:color w:val="000000" w:themeColor="text1"/>
          <w:sz w:val="24"/>
          <w:szCs w:val="24"/>
          <w:lang w:val="en-US"/>
        </w:rPr>
        <w:t>that institutional investors are more methodical and better at evaluating managerial performance than</w:t>
      </w:r>
      <w:r w:rsidR="005C65D2" w:rsidRPr="00BE65C7">
        <w:rPr>
          <w:rFonts w:ascii="Times New Roman" w:hAnsi="Times New Roman" w:cs="Times New Roman"/>
          <w:color w:val="000000" w:themeColor="text1"/>
          <w:sz w:val="24"/>
          <w:szCs w:val="24"/>
          <w:lang w:val="en-US"/>
        </w:rPr>
        <w:t xml:space="preserve"> ordinary investors. </w:t>
      </w:r>
      <w:r w:rsidR="00E5732C" w:rsidRPr="00BE65C7">
        <w:rPr>
          <w:rFonts w:ascii="Times New Roman" w:hAnsi="Times New Roman" w:cs="Times New Roman"/>
          <w:color w:val="000000" w:themeColor="text1"/>
          <w:sz w:val="24"/>
          <w:szCs w:val="24"/>
          <w:lang w:val="en-US"/>
        </w:rPr>
        <w:t>Given th</w:t>
      </w:r>
      <w:r w:rsidR="004C18E0" w:rsidRPr="00BE65C7">
        <w:rPr>
          <w:rFonts w:ascii="Times New Roman" w:hAnsi="Times New Roman" w:cs="Times New Roman"/>
          <w:color w:val="000000" w:themeColor="text1"/>
          <w:sz w:val="24"/>
          <w:szCs w:val="24"/>
          <w:lang w:val="en-US"/>
        </w:rPr>
        <w:t>e</w:t>
      </w:r>
      <w:r w:rsidR="00E5732C" w:rsidRPr="00BE65C7">
        <w:rPr>
          <w:rFonts w:ascii="Times New Roman" w:hAnsi="Times New Roman" w:cs="Times New Roman"/>
          <w:color w:val="000000" w:themeColor="text1"/>
          <w:sz w:val="24"/>
          <w:szCs w:val="24"/>
          <w:lang w:val="en-US"/>
        </w:rPr>
        <w:t xml:space="preserve"> </w:t>
      </w:r>
      <w:r w:rsidR="00D53522" w:rsidRPr="00BE65C7">
        <w:rPr>
          <w:rFonts w:ascii="Times New Roman" w:hAnsi="Times New Roman" w:cs="Times New Roman"/>
          <w:color w:val="000000" w:themeColor="text1"/>
          <w:sz w:val="24"/>
          <w:szCs w:val="24"/>
          <w:lang w:val="en-US"/>
        </w:rPr>
        <w:t xml:space="preserve">growing </w:t>
      </w:r>
      <w:r w:rsidR="00E5732C" w:rsidRPr="00BE65C7">
        <w:rPr>
          <w:rFonts w:ascii="Times New Roman" w:hAnsi="Times New Roman" w:cs="Times New Roman"/>
          <w:color w:val="000000" w:themeColor="text1"/>
          <w:sz w:val="24"/>
          <w:szCs w:val="24"/>
          <w:lang w:val="en-US"/>
        </w:rPr>
        <w:t>importance</w:t>
      </w:r>
      <w:r w:rsidR="00D53522" w:rsidRPr="00BE65C7">
        <w:rPr>
          <w:rFonts w:ascii="Times New Roman" w:hAnsi="Times New Roman" w:cs="Times New Roman"/>
          <w:color w:val="000000" w:themeColor="text1"/>
          <w:sz w:val="24"/>
          <w:szCs w:val="24"/>
          <w:lang w:val="en-US"/>
        </w:rPr>
        <w:t xml:space="preserve"> and relevance</w:t>
      </w:r>
      <w:r w:rsidR="00E5732C" w:rsidRPr="00BE65C7">
        <w:rPr>
          <w:rFonts w:ascii="Times New Roman" w:hAnsi="Times New Roman" w:cs="Times New Roman"/>
          <w:color w:val="000000" w:themeColor="text1"/>
          <w:sz w:val="24"/>
          <w:szCs w:val="24"/>
          <w:lang w:val="en-US"/>
        </w:rPr>
        <w:t xml:space="preserve"> of institutional investors in improving firm efficiency, we </w:t>
      </w:r>
      <w:r w:rsidR="00DD16DE" w:rsidRPr="00BE65C7">
        <w:rPr>
          <w:rFonts w:ascii="Times New Roman" w:hAnsi="Times New Roman" w:cs="Times New Roman"/>
          <w:color w:val="000000" w:themeColor="text1"/>
          <w:sz w:val="24"/>
          <w:szCs w:val="24"/>
          <w:lang w:val="en-US"/>
        </w:rPr>
        <w:t>examine</w:t>
      </w:r>
      <w:r w:rsidR="00E5732C" w:rsidRPr="00BE65C7">
        <w:rPr>
          <w:rFonts w:ascii="Times New Roman" w:hAnsi="Times New Roman" w:cs="Times New Roman"/>
          <w:color w:val="000000" w:themeColor="text1"/>
          <w:sz w:val="24"/>
          <w:szCs w:val="24"/>
          <w:lang w:val="en-US"/>
        </w:rPr>
        <w:t xml:space="preserve"> their role in corporate cash holdings</w:t>
      </w:r>
      <w:r w:rsidR="00DD00C4" w:rsidRPr="00BE65C7">
        <w:rPr>
          <w:rFonts w:ascii="Times New Roman" w:hAnsi="Times New Roman" w:cs="Times New Roman"/>
          <w:color w:val="000000" w:themeColor="text1"/>
          <w:sz w:val="24"/>
          <w:szCs w:val="24"/>
          <w:lang w:val="en-US"/>
        </w:rPr>
        <w:t xml:space="preserve">. </w:t>
      </w:r>
    </w:p>
    <w:p w14:paraId="2BFB1622" w14:textId="5889F979" w:rsidR="00D84F2F" w:rsidRPr="00BE65C7" w:rsidRDefault="00DD00C4" w:rsidP="005A672B">
      <w:pPr>
        <w:spacing w:line="360" w:lineRule="auto"/>
        <w:ind w:firstLine="720"/>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 xml:space="preserve">In addition, we investigate how financial constraints moderate the effect of institutional investors on cash holdings by firms. </w:t>
      </w:r>
      <w:r w:rsidR="00A139F5" w:rsidRPr="00BE65C7">
        <w:rPr>
          <w:rFonts w:ascii="Times New Roman" w:hAnsi="Times New Roman" w:cs="Times New Roman"/>
          <w:color w:val="000000" w:themeColor="text1"/>
          <w:sz w:val="24"/>
          <w:szCs w:val="24"/>
          <w:lang w:val="en-US"/>
        </w:rPr>
        <w:t xml:space="preserve">It is well documented that financial constraint faced by a firm significantly affects </w:t>
      </w:r>
      <w:r w:rsidR="004C18E0" w:rsidRPr="00BE65C7">
        <w:rPr>
          <w:rFonts w:ascii="Times New Roman" w:hAnsi="Times New Roman" w:cs="Times New Roman"/>
          <w:color w:val="000000" w:themeColor="text1"/>
          <w:sz w:val="24"/>
          <w:szCs w:val="24"/>
          <w:lang w:val="en-US"/>
        </w:rPr>
        <w:t xml:space="preserve">the </w:t>
      </w:r>
      <w:r w:rsidR="00A139F5" w:rsidRPr="00BE65C7">
        <w:rPr>
          <w:rFonts w:ascii="Times New Roman" w:hAnsi="Times New Roman" w:cs="Times New Roman"/>
          <w:color w:val="000000" w:themeColor="text1"/>
          <w:sz w:val="24"/>
          <w:szCs w:val="24"/>
          <w:lang w:val="en-US"/>
        </w:rPr>
        <w:t xml:space="preserve">corporate decision-making process. For instance, </w:t>
      </w:r>
      <w:r w:rsidR="00A139F5" w:rsidRPr="00BE65C7">
        <w:rPr>
          <w:rFonts w:ascii="Times New Roman" w:hAnsi="Times New Roman" w:cs="Times New Roman"/>
          <w:color w:val="000000" w:themeColor="text1"/>
          <w:sz w:val="24"/>
          <w:szCs w:val="24"/>
        </w:rPr>
        <w:t xml:space="preserve">Faulkender and Wang (2006) provide evidence that the marginal value of cash declines for firms with high cash holdings and easy access to capital markets (financially unconstrained). Denis and </w:t>
      </w:r>
      <w:proofErr w:type="spellStart"/>
      <w:r w:rsidR="00A139F5" w:rsidRPr="00BE65C7">
        <w:rPr>
          <w:rFonts w:ascii="Times New Roman" w:hAnsi="Times New Roman" w:cs="Times New Roman"/>
          <w:color w:val="000000" w:themeColor="text1"/>
          <w:sz w:val="24"/>
          <w:szCs w:val="24"/>
        </w:rPr>
        <w:t>Sibilkov</w:t>
      </w:r>
      <w:proofErr w:type="spellEnd"/>
      <w:r w:rsidR="00A139F5" w:rsidRPr="00BE65C7">
        <w:rPr>
          <w:rFonts w:ascii="Times New Roman" w:hAnsi="Times New Roman" w:cs="Times New Roman"/>
          <w:color w:val="000000" w:themeColor="text1"/>
          <w:sz w:val="24"/>
          <w:szCs w:val="24"/>
        </w:rPr>
        <w:t xml:space="preserve"> (2010) find that the value of cash is higher for financially constrained firms than </w:t>
      </w:r>
      <w:r w:rsidR="005A672B" w:rsidRPr="00BE65C7">
        <w:rPr>
          <w:rFonts w:ascii="Times New Roman" w:hAnsi="Times New Roman" w:cs="Times New Roman"/>
          <w:color w:val="000000" w:themeColor="text1"/>
          <w:sz w:val="24"/>
          <w:szCs w:val="24"/>
        </w:rPr>
        <w:t xml:space="preserve">for </w:t>
      </w:r>
      <w:r w:rsidR="00A139F5" w:rsidRPr="00BE65C7">
        <w:rPr>
          <w:rFonts w:ascii="Times New Roman" w:hAnsi="Times New Roman" w:cs="Times New Roman"/>
          <w:color w:val="000000" w:themeColor="text1"/>
          <w:sz w:val="24"/>
          <w:szCs w:val="24"/>
        </w:rPr>
        <w:t>financially unconstrained firms.</w:t>
      </w:r>
      <w:r w:rsidR="00D84F2F" w:rsidRPr="00BE65C7">
        <w:rPr>
          <w:rFonts w:ascii="Times New Roman" w:hAnsi="Times New Roman" w:cs="Times New Roman"/>
          <w:color w:val="000000" w:themeColor="text1"/>
          <w:sz w:val="24"/>
          <w:szCs w:val="24"/>
        </w:rPr>
        <w:t xml:space="preserve"> </w:t>
      </w:r>
      <w:r w:rsidRPr="00BE65C7">
        <w:rPr>
          <w:rFonts w:ascii="Times New Roman" w:hAnsi="Times New Roman" w:cs="Times New Roman"/>
          <w:color w:val="000000" w:themeColor="text1"/>
          <w:sz w:val="24"/>
          <w:szCs w:val="24"/>
          <w:lang w:val="en-US"/>
        </w:rPr>
        <w:t xml:space="preserve">Financially constrained firms have limited access to </w:t>
      </w:r>
      <w:r w:rsidR="005A672B" w:rsidRPr="00BE65C7">
        <w:rPr>
          <w:rFonts w:ascii="Times New Roman" w:hAnsi="Times New Roman" w:cs="Times New Roman"/>
          <w:color w:val="000000" w:themeColor="text1"/>
          <w:sz w:val="24"/>
          <w:szCs w:val="24"/>
          <w:lang w:val="en-US"/>
        </w:rPr>
        <w:t xml:space="preserve">the </w:t>
      </w:r>
      <w:r w:rsidRPr="00BE65C7">
        <w:rPr>
          <w:rFonts w:ascii="Times New Roman" w:hAnsi="Times New Roman" w:cs="Times New Roman"/>
          <w:color w:val="000000" w:themeColor="text1"/>
          <w:sz w:val="24"/>
          <w:szCs w:val="24"/>
          <w:lang w:val="en-US"/>
        </w:rPr>
        <w:t>capital market</w:t>
      </w:r>
      <w:r w:rsidR="005A672B" w:rsidRPr="00BE65C7">
        <w:rPr>
          <w:rFonts w:ascii="Times New Roman" w:hAnsi="Times New Roman" w:cs="Times New Roman"/>
          <w:color w:val="000000" w:themeColor="text1"/>
          <w:sz w:val="24"/>
          <w:szCs w:val="24"/>
          <w:lang w:val="en-US"/>
        </w:rPr>
        <w:t>,</w:t>
      </w:r>
      <w:r w:rsidRPr="00BE65C7">
        <w:rPr>
          <w:rFonts w:ascii="Times New Roman" w:hAnsi="Times New Roman" w:cs="Times New Roman"/>
          <w:color w:val="000000" w:themeColor="text1"/>
          <w:sz w:val="24"/>
          <w:szCs w:val="24"/>
          <w:lang w:val="en-US"/>
        </w:rPr>
        <w:t xml:space="preserve"> which substantially restricts their ability to raise capital.</w:t>
      </w:r>
      <w:r w:rsidR="005A672B" w:rsidRPr="00BE65C7">
        <w:rPr>
          <w:rFonts w:ascii="Times New Roman" w:hAnsi="Times New Roman" w:cs="Times New Roman"/>
          <w:color w:val="000000" w:themeColor="text1"/>
          <w:sz w:val="24"/>
          <w:szCs w:val="24"/>
          <w:lang w:val="en-US"/>
        </w:rPr>
        <w:t xml:space="preserve"> </w:t>
      </w:r>
      <w:r w:rsidR="00AE0325" w:rsidRPr="00BE65C7">
        <w:rPr>
          <w:rFonts w:ascii="Times New Roman" w:hAnsi="Times New Roman" w:cs="Times New Roman"/>
          <w:color w:val="000000" w:themeColor="text1"/>
          <w:sz w:val="24"/>
          <w:szCs w:val="24"/>
          <w:lang w:val="en-US"/>
        </w:rPr>
        <w:t>Consequently</w:t>
      </w:r>
      <w:r w:rsidRPr="00BE65C7">
        <w:rPr>
          <w:rFonts w:ascii="Times New Roman" w:hAnsi="Times New Roman" w:cs="Times New Roman"/>
          <w:color w:val="000000" w:themeColor="text1"/>
          <w:sz w:val="24"/>
          <w:szCs w:val="24"/>
          <w:lang w:val="en-US"/>
        </w:rPr>
        <w:t>, managers of these firms hold precautionary cash</w:t>
      </w:r>
      <w:r w:rsidR="009C60E9" w:rsidRPr="00BE65C7">
        <w:rPr>
          <w:rFonts w:ascii="Times New Roman" w:hAnsi="Times New Roman" w:cs="Times New Roman"/>
          <w:color w:val="000000" w:themeColor="text1"/>
          <w:sz w:val="24"/>
          <w:szCs w:val="24"/>
          <w:lang w:val="en-US"/>
        </w:rPr>
        <w:t xml:space="preserve"> to deal with future exigencies. Opler et al. (1999) </w:t>
      </w:r>
      <w:r w:rsidR="005A672B" w:rsidRPr="00BE65C7">
        <w:rPr>
          <w:rFonts w:ascii="Times New Roman" w:hAnsi="Times New Roman" w:cs="Times New Roman"/>
          <w:color w:val="000000" w:themeColor="text1"/>
          <w:sz w:val="24"/>
          <w:szCs w:val="24"/>
          <w:lang w:val="en-US"/>
        </w:rPr>
        <w:t xml:space="preserve">and </w:t>
      </w:r>
      <w:r w:rsidR="009C60E9" w:rsidRPr="00BE65C7">
        <w:rPr>
          <w:rFonts w:ascii="Times New Roman" w:hAnsi="Times New Roman" w:cs="Times New Roman"/>
          <w:color w:val="000000" w:themeColor="text1"/>
          <w:sz w:val="24"/>
          <w:szCs w:val="24"/>
          <w:lang w:val="en-US"/>
        </w:rPr>
        <w:t xml:space="preserve">Almeida et al. (2004) argue that shareholders of financially constrained firms tend to be less concerned about the managers holding more cash because these firms may invest in positive NPV projects without worrying about </w:t>
      </w:r>
      <w:r w:rsidR="005A672B" w:rsidRPr="00BE65C7">
        <w:rPr>
          <w:rFonts w:ascii="Times New Roman" w:hAnsi="Times New Roman" w:cs="Times New Roman"/>
          <w:color w:val="000000" w:themeColor="text1"/>
          <w:sz w:val="24"/>
          <w:szCs w:val="24"/>
          <w:lang w:val="en-US"/>
        </w:rPr>
        <w:t xml:space="preserve">the </w:t>
      </w:r>
      <w:r w:rsidR="009C60E9" w:rsidRPr="00BE65C7">
        <w:rPr>
          <w:rFonts w:ascii="Times New Roman" w:hAnsi="Times New Roman" w:cs="Times New Roman"/>
          <w:color w:val="000000" w:themeColor="text1"/>
          <w:sz w:val="24"/>
          <w:szCs w:val="24"/>
          <w:lang w:val="en-US"/>
        </w:rPr>
        <w:t>availability of funds.</w:t>
      </w:r>
      <w:r w:rsidR="00A139F5" w:rsidRPr="00BE65C7">
        <w:rPr>
          <w:rFonts w:ascii="Times New Roman" w:hAnsi="Times New Roman" w:cs="Times New Roman"/>
          <w:color w:val="000000" w:themeColor="text1"/>
          <w:sz w:val="24"/>
          <w:szCs w:val="24"/>
          <w:lang w:val="en-US"/>
        </w:rPr>
        <w:t xml:space="preserve"> </w:t>
      </w:r>
      <w:r w:rsidR="00D84F2F" w:rsidRPr="00BE65C7">
        <w:rPr>
          <w:rFonts w:ascii="Times New Roman" w:hAnsi="Times New Roman" w:cs="Times New Roman"/>
          <w:color w:val="000000" w:themeColor="text1"/>
          <w:sz w:val="24"/>
          <w:szCs w:val="24"/>
          <w:lang w:val="en-US"/>
        </w:rPr>
        <w:t xml:space="preserve">Using a wide sample of firms from developed and emerging countries, we examine the relationship between institutional ownership and corporate cash holdings and how this relationship changes for financially constrained and unconstrained firms. </w:t>
      </w:r>
      <w:r w:rsidR="00C74D2A" w:rsidRPr="00BE65C7">
        <w:rPr>
          <w:rFonts w:ascii="Times New Roman" w:hAnsi="Times New Roman" w:cs="Times New Roman"/>
          <w:color w:val="000000" w:themeColor="text1"/>
          <w:sz w:val="24"/>
          <w:szCs w:val="24"/>
          <w:lang w:val="en-US"/>
        </w:rPr>
        <w:t>Most emerging countries are also characterized by weak investor shareholder protection apart from less developed financial markets. This</w:t>
      </w:r>
      <w:r w:rsidR="003D210E" w:rsidRPr="00BE65C7">
        <w:rPr>
          <w:rFonts w:ascii="Times New Roman" w:hAnsi="Times New Roman" w:cs="Times New Roman"/>
          <w:color w:val="000000" w:themeColor="text1"/>
          <w:sz w:val="24"/>
          <w:szCs w:val="24"/>
          <w:lang w:val="en-US"/>
        </w:rPr>
        <w:t xml:space="preserve"> leads the firms in these countries to hold more cash because it is easier for the entrenched managers to misappropriate cash for their own benefits (Dittmar et al., 2003; </w:t>
      </w:r>
      <w:proofErr w:type="spellStart"/>
      <w:r w:rsidR="003D210E" w:rsidRPr="00BE65C7">
        <w:rPr>
          <w:rFonts w:ascii="Times New Roman" w:hAnsi="Times New Roman" w:cs="Times New Roman"/>
          <w:color w:val="000000" w:themeColor="text1"/>
          <w:sz w:val="24"/>
          <w:szCs w:val="24"/>
          <w:lang w:val="en-US"/>
        </w:rPr>
        <w:t>Kalcheva</w:t>
      </w:r>
      <w:proofErr w:type="spellEnd"/>
      <w:r w:rsidR="003D210E" w:rsidRPr="00BE65C7">
        <w:rPr>
          <w:rFonts w:ascii="Times New Roman" w:hAnsi="Times New Roman" w:cs="Times New Roman"/>
          <w:color w:val="000000" w:themeColor="text1"/>
          <w:sz w:val="24"/>
          <w:szCs w:val="24"/>
          <w:lang w:val="en-US"/>
        </w:rPr>
        <w:t xml:space="preserve"> and Lins, 2007).</w:t>
      </w:r>
      <w:r w:rsidR="00B41EAC" w:rsidRPr="00BE65C7">
        <w:rPr>
          <w:rFonts w:ascii="Times New Roman" w:hAnsi="Times New Roman" w:cs="Times New Roman"/>
          <w:color w:val="000000" w:themeColor="text1"/>
          <w:sz w:val="24"/>
          <w:szCs w:val="24"/>
          <w:lang w:val="en-US"/>
        </w:rPr>
        <w:t xml:space="preserve"> </w:t>
      </w:r>
    </w:p>
    <w:p w14:paraId="021E4A8B" w14:textId="0CA3A8D4" w:rsidR="00276C18" w:rsidRPr="00BE65C7" w:rsidRDefault="00761F90" w:rsidP="002E3690">
      <w:pPr>
        <w:spacing w:line="360" w:lineRule="auto"/>
        <w:ind w:firstLine="720"/>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 xml:space="preserve">Our study contributes to the literature in the following ways. </w:t>
      </w:r>
      <w:r w:rsidR="00494E77">
        <w:rPr>
          <w:rFonts w:ascii="Times New Roman" w:hAnsi="Times New Roman" w:cs="Times New Roman"/>
          <w:color w:val="000000" w:themeColor="text1"/>
          <w:sz w:val="24"/>
          <w:szCs w:val="24"/>
          <w:lang w:val="en-US"/>
        </w:rPr>
        <w:t>Firstly, w</w:t>
      </w:r>
      <w:r w:rsidRPr="00BE65C7">
        <w:rPr>
          <w:rFonts w:ascii="Times New Roman" w:hAnsi="Times New Roman" w:cs="Times New Roman"/>
          <w:color w:val="000000" w:themeColor="text1"/>
          <w:sz w:val="24"/>
          <w:szCs w:val="24"/>
          <w:lang w:val="en-US"/>
        </w:rPr>
        <w:t xml:space="preserve">e </w:t>
      </w:r>
      <w:r w:rsidR="004B07AF" w:rsidRPr="00BE65C7">
        <w:rPr>
          <w:rFonts w:ascii="Times New Roman" w:hAnsi="Times New Roman" w:cs="Times New Roman"/>
          <w:color w:val="000000" w:themeColor="text1"/>
          <w:sz w:val="24"/>
          <w:szCs w:val="24"/>
          <w:lang w:val="en-US"/>
        </w:rPr>
        <w:t>expand the</w:t>
      </w:r>
      <w:r w:rsidR="00FF00CD" w:rsidRPr="00BE65C7">
        <w:rPr>
          <w:rFonts w:ascii="Times New Roman" w:hAnsi="Times New Roman" w:cs="Times New Roman"/>
          <w:color w:val="000000" w:themeColor="text1"/>
          <w:sz w:val="24"/>
          <w:szCs w:val="24"/>
          <w:lang w:val="en-US"/>
        </w:rPr>
        <w:t xml:space="preserve"> extant scope of</w:t>
      </w:r>
      <w:r w:rsidR="00B763A8">
        <w:rPr>
          <w:rFonts w:ascii="Times New Roman" w:hAnsi="Times New Roman" w:cs="Times New Roman"/>
          <w:color w:val="000000" w:themeColor="text1"/>
          <w:sz w:val="24"/>
          <w:szCs w:val="24"/>
          <w:lang w:val="en-US"/>
        </w:rPr>
        <w:t xml:space="preserve"> </w:t>
      </w:r>
      <w:r w:rsidRPr="00BE65C7">
        <w:rPr>
          <w:rFonts w:ascii="Times New Roman" w:hAnsi="Times New Roman" w:cs="Times New Roman"/>
          <w:color w:val="000000" w:themeColor="text1"/>
          <w:sz w:val="24"/>
          <w:szCs w:val="24"/>
          <w:lang w:val="en-US"/>
        </w:rPr>
        <w:t>cash management policies of firms</w:t>
      </w:r>
      <w:r w:rsidR="007A5BB8">
        <w:rPr>
          <w:rFonts w:ascii="Times New Roman" w:hAnsi="Times New Roman" w:cs="Times New Roman"/>
          <w:color w:val="000000" w:themeColor="text1"/>
          <w:sz w:val="24"/>
          <w:szCs w:val="24"/>
          <w:lang w:val="en-US"/>
        </w:rPr>
        <w:t xml:space="preserve"> by including the moderating role of </w:t>
      </w:r>
      <w:r w:rsidRPr="00BE65C7">
        <w:rPr>
          <w:rFonts w:ascii="Times New Roman" w:hAnsi="Times New Roman" w:cs="Times New Roman"/>
          <w:color w:val="000000" w:themeColor="text1"/>
          <w:sz w:val="24"/>
          <w:szCs w:val="24"/>
          <w:lang w:val="en-US"/>
        </w:rPr>
        <w:t>institutional investors. Studies so far have considered corporate governance, country-level institutional factors like shareholders</w:t>
      </w:r>
      <w:r w:rsidR="004B07AF">
        <w:rPr>
          <w:rFonts w:ascii="Times New Roman" w:hAnsi="Times New Roman" w:cs="Times New Roman"/>
          <w:color w:val="000000" w:themeColor="text1"/>
          <w:sz w:val="24"/>
          <w:szCs w:val="24"/>
          <w:lang w:val="en-US"/>
        </w:rPr>
        <w:t>’</w:t>
      </w:r>
      <w:r w:rsidRPr="00BE65C7">
        <w:rPr>
          <w:rFonts w:ascii="Times New Roman" w:hAnsi="Times New Roman" w:cs="Times New Roman"/>
          <w:color w:val="000000" w:themeColor="text1"/>
          <w:sz w:val="24"/>
          <w:szCs w:val="24"/>
          <w:lang w:val="en-US"/>
        </w:rPr>
        <w:t xml:space="preserve"> protection, </w:t>
      </w:r>
      <w:r w:rsidR="005A672B" w:rsidRPr="00BE65C7">
        <w:rPr>
          <w:rFonts w:ascii="Times New Roman" w:hAnsi="Times New Roman" w:cs="Times New Roman"/>
          <w:color w:val="000000" w:themeColor="text1"/>
          <w:sz w:val="24"/>
          <w:szCs w:val="24"/>
          <w:lang w:val="en-US"/>
        </w:rPr>
        <w:t xml:space="preserve">and </w:t>
      </w:r>
      <w:r w:rsidRPr="00BE65C7">
        <w:rPr>
          <w:rFonts w:ascii="Times New Roman" w:hAnsi="Times New Roman" w:cs="Times New Roman"/>
          <w:color w:val="000000" w:themeColor="text1"/>
          <w:sz w:val="24"/>
          <w:szCs w:val="24"/>
          <w:lang w:val="en-US"/>
        </w:rPr>
        <w:t xml:space="preserve">legal framework to explain the </w:t>
      </w:r>
      <w:r w:rsidR="00F02B3B" w:rsidRPr="00BE65C7">
        <w:rPr>
          <w:rFonts w:ascii="Times New Roman" w:hAnsi="Times New Roman" w:cs="Times New Roman"/>
          <w:color w:val="000000" w:themeColor="text1"/>
          <w:sz w:val="24"/>
          <w:szCs w:val="24"/>
          <w:lang w:val="en-US"/>
        </w:rPr>
        <w:t>behavior</w:t>
      </w:r>
      <w:r w:rsidRPr="00BE65C7">
        <w:rPr>
          <w:rFonts w:ascii="Times New Roman" w:hAnsi="Times New Roman" w:cs="Times New Roman"/>
          <w:color w:val="000000" w:themeColor="text1"/>
          <w:sz w:val="24"/>
          <w:szCs w:val="24"/>
          <w:lang w:val="en-US"/>
        </w:rPr>
        <w:t xml:space="preserve"> of firms while holding cash. </w:t>
      </w:r>
      <w:bookmarkStart w:id="0" w:name="_Hlk159275992"/>
      <w:r w:rsidRPr="00BE65C7">
        <w:rPr>
          <w:rFonts w:ascii="Times New Roman" w:hAnsi="Times New Roman" w:cs="Times New Roman"/>
          <w:color w:val="000000" w:themeColor="text1"/>
          <w:sz w:val="24"/>
          <w:szCs w:val="24"/>
          <w:lang w:val="en-US"/>
        </w:rPr>
        <w:t>We exclusively study the role of institutional investors</w:t>
      </w:r>
      <w:r w:rsidR="005A672B" w:rsidRPr="00BE65C7">
        <w:rPr>
          <w:rFonts w:ascii="Times New Roman" w:hAnsi="Times New Roman" w:cs="Times New Roman"/>
          <w:color w:val="000000" w:themeColor="text1"/>
          <w:sz w:val="24"/>
          <w:szCs w:val="24"/>
          <w:lang w:val="en-US"/>
        </w:rPr>
        <w:t>,</w:t>
      </w:r>
      <w:r w:rsidRPr="00BE65C7">
        <w:rPr>
          <w:rFonts w:ascii="Times New Roman" w:hAnsi="Times New Roman" w:cs="Times New Roman"/>
          <w:color w:val="000000" w:themeColor="text1"/>
          <w:sz w:val="24"/>
          <w:szCs w:val="24"/>
          <w:lang w:val="en-US"/>
        </w:rPr>
        <w:t xml:space="preserve"> wh</w:t>
      </w:r>
      <w:r w:rsidR="005A672B" w:rsidRPr="00BE65C7">
        <w:rPr>
          <w:rFonts w:ascii="Times New Roman" w:hAnsi="Times New Roman" w:cs="Times New Roman"/>
          <w:color w:val="000000" w:themeColor="text1"/>
          <w:sz w:val="24"/>
          <w:szCs w:val="24"/>
          <w:lang w:val="en-US"/>
        </w:rPr>
        <w:t>o</w:t>
      </w:r>
      <w:r w:rsidRPr="00BE65C7">
        <w:rPr>
          <w:rFonts w:ascii="Times New Roman" w:hAnsi="Times New Roman" w:cs="Times New Roman"/>
          <w:color w:val="000000" w:themeColor="text1"/>
          <w:sz w:val="24"/>
          <w:szCs w:val="24"/>
          <w:lang w:val="en-US"/>
        </w:rPr>
        <w:t xml:space="preserve"> have become one of the most important watchdogs in improving the mechanism of how a firm operates. </w:t>
      </w:r>
      <w:r w:rsidR="00B377F1" w:rsidRPr="00BE65C7">
        <w:rPr>
          <w:rFonts w:ascii="Times New Roman" w:hAnsi="Times New Roman" w:cs="Times New Roman"/>
          <w:color w:val="000000" w:themeColor="text1"/>
          <w:sz w:val="24"/>
          <w:szCs w:val="24"/>
          <w:lang w:val="en-US"/>
        </w:rPr>
        <w:t xml:space="preserve">Secondly, we consider </w:t>
      </w:r>
      <w:r w:rsidR="005A672B" w:rsidRPr="00BE65C7">
        <w:rPr>
          <w:rFonts w:ascii="Times New Roman" w:hAnsi="Times New Roman" w:cs="Times New Roman"/>
          <w:color w:val="000000" w:themeColor="text1"/>
          <w:sz w:val="24"/>
          <w:szCs w:val="24"/>
          <w:lang w:val="en-US"/>
        </w:rPr>
        <w:t xml:space="preserve">a </w:t>
      </w:r>
      <w:r w:rsidR="00B377F1" w:rsidRPr="00BE65C7">
        <w:rPr>
          <w:rFonts w:ascii="Times New Roman" w:hAnsi="Times New Roman" w:cs="Times New Roman"/>
          <w:color w:val="000000" w:themeColor="text1"/>
          <w:sz w:val="24"/>
          <w:szCs w:val="24"/>
          <w:lang w:val="en-US"/>
        </w:rPr>
        <w:t xml:space="preserve">wide sample from developed and emerging markets to study this phenomenon. These sets of countries vary widely in their corporate governance, protection framework of minority shareholders, </w:t>
      </w:r>
      <w:r w:rsidR="005A672B" w:rsidRPr="00BE65C7">
        <w:rPr>
          <w:rFonts w:ascii="Times New Roman" w:hAnsi="Times New Roman" w:cs="Times New Roman"/>
          <w:color w:val="000000" w:themeColor="text1"/>
          <w:sz w:val="24"/>
          <w:szCs w:val="24"/>
          <w:lang w:val="en-US"/>
        </w:rPr>
        <w:t xml:space="preserve">and </w:t>
      </w:r>
      <w:r w:rsidR="00B377F1" w:rsidRPr="00BE65C7">
        <w:rPr>
          <w:rFonts w:ascii="Times New Roman" w:hAnsi="Times New Roman" w:cs="Times New Roman"/>
          <w:color w:val="000000" w:themeColor="text1"/>
          <w:sz w:val="24"/>
          <w:szCs w:val="24"/>
          <w:lang w:val="en-US"/>
        </w:rPr>
        <w:t xml:space="preserve">uncertainties in their political and economic </w:t>
      </w:r>
      <w:r w:rsidR="005A672B" w:rsidRPr="00BE65C7">
        <w:rPr>
          <w:rFonts w:ascii="Times New Roman" w:hAnsi="Times New Roman" w:cs="Times New Roman"/>
          <w:color w:val="000000" w:themeColor="text1"/>
          <w:sz w:val="24"/>
          <w:szCs w:val="24"/>
          <w:lang w:val="en-US"/>
        </w:rPr>
        <w:t>environment</w:t>
      </w:r>
      <w:r w:rsidR="00B377F1" w:rsidRPr="00BE65C7">
        <w:rPr>
          <w:rFonts w:ascii="Times New Roman" w:hAnsi="Times New Roman" w:cs="Times New Roman"/>
          <w:color w:val="000000" w:themeColor="text1"/>
          <w:sz w:val="24"/>
          <w:szCs w:val="24"/>
          <w:lang w:val="en-US"/>
        </w:rPr>
        <w:t xml:space="preserve">. </w:t>
      </w:r>
      <w:r w:rsidR="002C37A7" w:rsidRPr="00BE65C7">
        <w:rPr>
          <w:rFonts w:ascii="Times New Roman" w:hAnsi="Times New Roman" w:cs="Times New Roman"/>
          <w:color w:val="000000" w:themeColor="text1"/>
          <w:sz w:val="24"/>
          <w:szCs w:val="24"/>
          <w:lang w:val="en-US"/>
        </w:rPr>
        <w:t xml:space="preserve">As highlighted by Cheng et al. (2018), it is important that we consider a country’s institutional environment while examining </w:t>
      </w:r>
      <w:r w:rsidR="00524C76" w:rsidRPr="00BE65C7">
        <w:rPr>
          <w:rFonts w:ascii="Times New Roman" w:hAnsi="Times New Roman" w:cs="Times New Roman"/>
          <w:color w:val="000000" w:themeColor="text1"/>
          <w:sz w:val="24"/>
          <w:szCs w:val="24"/>
          <w:lang w:val="en-US"/>
        </w:rPr>
        <w:t xml:space="preserve">agency conflicts. This way, </w:t>
      </w:r>
      <w:r w:rsidR="00B27021" w:rsidRPr="00BE65C7">
        <w:rPr>
          <w:rFonts w:ascii="Times New Roman" w:hAnsi="Times New Roman" w:cs="Times New Roman"/>
          <w:color w:val="000000" w:themeColor="text1"/>
          <w:sz w:val="24"/>
          <w:szCs w:val="24"/>
          <w:lang w:val="en-US"/>
        </w:rPr>
        <w:t>this paper enhances</w:t>
      </w:r>
      <w:r w:rsidR="00524C76" w:rsidRPr="00BE65C7">
        <w:rPr>
          <w:rFonts w:ascii="Times New Roman" w:hAnsi="Times New Roman" w:cs="Times New Roman"/>
          <w:color w:val="000000" w:themeColor="text1"/>
          <w:sz w:val="24"/>
          <w:szCs w:val="24"/>
          <w:lang w:val="en-US"/>
        </w:rPr>
        <w:t xml:space="preserve"> our understanding of the roles played by a country’s environment in corporate </w:t>
      </w:r>
      <w:r w:rsidR="007B2894" w:rsidRPr="00BE65C7">
        <w:rPr>
          <w:rFonts w:ascii="Times New Roman" w:hAnsi="Times New Roman" w:cs="Times New Roman"/>
          <w:color w:val="000000" w:themeColor="text1"/>
          <w:sz w:val="24"/>
          <w:szCs w:val="24"/>
          <w:lang w:val="en-US"/>
        </w:rPr>
        <w:t>decision-making</w:t>
      </w:r>
      <w:r w:rsidR="00524C76" w:rsidRPr="00BE65C7">
        <w:rPr>
          <w:rFonts w:ascii="Times New Roman" w:hAnsi="Times New Roman" w:cs="Times New Roman"/>
          <w:color w:val="000000" w:themeColor="text1"/>
          <w:sz w:val="24"/>
          <w:szCs w:val="24"/>
          <w:lang w:val="en-US"/>
        </w:rPr>
        <w:t xml:space="preserve"> process.</w:t>
      </w:r>
      <w:r w:rsidR="002C37A7" w:rsidRPr="00BE65C7">
        <w:rPr>
          <w:rFonts w:ascii="Times New Roman" w:hAnsi="Times New Roman" w:cs="Times New Roman"/>
          <w:color w:val="000000" w:themeColor="text1"/>
          <w:sz w:val="24"/>
          <w:szCs w:val="24"/>
          <w:lang w:val="en-US"/>
        </w:rPr>
        <w:t xml:space="preserve">   </w:t>
      </w:r>
    </w:p>
    <w:p w14:paraId="7DEE74FA" w14:textId="77777777" w:rsidR="007B2894" w:rsidRDefault="00B377F1" w:rsidP="00CD282A">
      <w:pPr>
        <w:spacing w:line="360" w:lineRule="auto"/>
        <w:ind w:firstLine="72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lang w:val="en-US"/>
        </w:rPr>
        <w:t xml:space="preserve">Thirdly, we study the moderating effect of financial constraints on the relationship between institutional investors and corporate cash holdings. </w:t>
      </w:r>
      <w:r w:rsidR="00D5607C" w:rsidRPr="00BE65C7">
        <w:rPr>
          <w:rFonts w:ascii="Times New Roman" w:hAnsi="Times New Roman" w:cs="Times New Roman"/>
          <w:color w:val="000000" w:themeColor="text1"/>
          <w:sz w:val="24"/>
          <w:szCs w:val="24"/>
          <w:lang w:val="en-US"/>
        </w:rPr>
        <w:t>This is important as we get an insight into the firm</w:t>
      </w:r>
      <w:r w:rsidR="00E437C7" w:rsidRPr="00BE65C7">
        <w:rPr>
          <w:rFonts w:ascii="Times New Roman" w:hAnsi="Times New Roman" w:cs="Times New Roman"/>
          <w:color w:val="000000" w:themeColor="text1"/>
          <w:sz w:val="24"/>
          <w:szCs w:val="24"/>
          <w:lang w:val="en-US"/>
        </w:rPr>
        <w:t>'</w:t>
      </w:r>
      <w:r w:rsidR="00D5607C" w:rsidRPr="00BE65C7">
        <w:rPr>
          <w:rFonts w:ascii="Times New Roman" w:hAnsi="Times New Roman" w:cs="Times New Roman"/>
          <w:color w:val="000000" w:themeColor="text1"/>
          <w:sz w:val="24"/>
          <w:szCs w:val="24"/>
          <w:lang w:val="en-US"/>
        </w:rPr>
        <w:t xml:space="preserve">s cash management </w:t>
      </w:r>
      <w:r w:rsidR="00090BA7" w:rsidRPr="00BE65C7">
        <w:rPr>
          <w:rFonts w:ascii="Times New Roman" w:hAnsi="Times New Roman" w:cs="Times New Roman"/>
          <w:color w:val="000000" w:themeColor="text1"/>
          <w:sz w:val="24"/>
          <w:szCs w:val="24"/>
          <w:lang w:val="en-US"/>
        </w:rPr>
        <w:t>behavior</w:t>
      </w:r>
      <w:r w:rsidR="00D5607C" w:rsidRPr="00BE65C7">
        <w:rPr>
          <w:rFonts w:ascii="Times New Roman" w:hAnsi="Times New Roman" w:cs="Times New Roman"/>
          <w:color w:val="000000" w:themeColor="text1"/>
          <w:sz w:val="24"/>
          <w:szCs w:val="24"/>
          <w:lang w:val="en-US"/>
        </w:rPr>
        <w:t xml:space="preserve"> when it is financially constrained as well as unconstrained in the presence of institutional investors.</w:t>
      </w:r>
      <w:r w:rsidR="00E42093" w:rsidRPr="00BE65C7">
        <w:rPr>
          <w:rFonts w:ascii="Times New Roman" w:hAnsi="Times New Roman" w:cs="Times New Roman"/>
          <w:color w:val="000000" w:themeColor="text1"/>
          <w:sz w:val="24"/>
          <w:szCs w:val="24"/>
          <w:lang w:val="en-US"/>
        </w:rPr>
        <w:t xml:space="preserve"> </w:t>
      </w:r>
      <w:r w:rsidR="00F02B3B" w:rsidRPr="00BE65C7">
        <w:rPr>
          <w:rFonts w:ascii="Times New Roman" w:hAnsi="Times New Roman" w:cs="Times New Roman"/>
          <w:color w:val="000000" w:themeColor="text1"/>
          <w:sz w:val="24"/>
          <w:szCs w:val="24"/>
        </w:rPr>
        <w:t>Our results indicate that cash holdings and institutional ownership have a negative and significant relationship in both emerging and developed markets, indicating that institutional investors induce the firms to reduce the excess cash. We also find that financially constrained firms tend to hold more cash in both emerging and developed countries and firms in common law countries (both developed and emerging) hold less cash as compared to firms in civil law countries.</w:t>
      </w:r>
      <w:r w:rsidR="00276C18" w:rsidRPr="00BE65C7">
        <w:rPr>
          <w:rFonts w:ascii="Times New Roman" w:hAnsi="Times New Roman" w:cs="Times New Roman"/>
          <w:color w:val="000000" w:themeColor="text1"/>
          <w:sz w:val="24"/>
          <w:szCs w:val="24"/>
        </w:rPr>
        <w:t xml:space="preserve"> </w:t>
      </w:r>
      <w:bookmarkEnd w:id="0"/>
    </w:p>
    <w:p w14:paraId="651D7D99" w14:textId="444ACB55" w:rsidR="00E42093" w:rsidRDefault="00E42093" w:rsidP="00CD282A">
      <w:pPr>
        <w:spacing w:line="360" w:lineRule="auto"/>
        <w:ind w:firstLine="720"/>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 xml:space="preserve">This </w:t>
      </w:r>
      <w:r w:rsidR="00BC042B" w:rsidRPr="00BE65C7">
        <w:rPr>
          <w:rFonts w:ascii="Times New Roman" w:hAnsi="Times New Roman" w:cs="Times New Roman"/>
          <w:color w:val="000000" w:themeColor="text1"/>
          <w:sz w:val="24"/>
          <w:szCs w:val="24"/>
          <w:lang w:val="en-US"/>
        </w:rPr>
        <w:t>re</w:t>
      </w:r>
      <w:r w:rsidR="00276C18" w:rsidRPr="00BE65C7">
        <w:rPr>
          <w:rFonts w:ascii="Times New Roman" w:hAnsi="Times New Roman" w:cs="Times New Roman"/>
          <w:color w:val="000000" w:themeColor="text1"/>
          <w:sz w:val="24"/>
          <w:szCs w:val="24"/>
          <w:lang w:val="en-US"/>
        </w:rPr>
        <w:t xml:space="preserve">st of the </w:t>
      </w:r>
      <w:r w:rsidRPr="00BE65C7">
        <w:rPr>
          <w:rFonts w:ascii="Times New Roman" w:hAnsi="Times New Roman" w:cs="Times New Roman"/>
          <w:color w:val="000000" w:themeColor="text1"/>
          <w:sz w:val="24"/>
          <w:szCs w:val="24"/>
          <w:lang w:val="en-US"/>
        </w:rPr>
        <w:t xml:space="preserve">paper is organized as follows. In section 2, we </w:t>
      </w:r>
      <w:r w:rsidR="007B2894">
        <w:rPr>
          <w:rFonts w:ascii="Times New Roman" w:hAnsi="Times New Roman" w:cs="Times New Roman"/>
          <w:color w:val="000000" w:themeColor="text1"/>
          <w:sz w:val="24"/>
          <w:szCs w:val="24"/>
          <w:lang w:val="en-US"/>
        </w:rPr>
        <w:t>develop our hypotheses by drawing on the extant body of literature on the subject. S</w:t>
      </w:r>
      <w:r w:rsidR="0004579E" w:rsidRPr="00BE65C7">
        <w:rPr>
          <w:rFonts w:ascii="Times New Roman" w:hAnsi="Times New Roman" w:cs="Times New Roman"/>
          <w:color w:val="000000" w:themeColor="text1"/>
          <w:sz w:val="24"/>
          <w:szCs w:val="24"/>
          <w:lang w:val="en-US"/>
        </w:rPr>
        <w:t>ection 3</w:t>
      </w:r>
      <w:r w:rsidR="007B2894">
        <w:rPr>
          <w:rFonts w:ascii="Times New Roman" w:hAnsi="Times New Roman" w:cs="Times New Roman"/>
          <w:color w:val="000000" w:themeColor="text1"/>
          <w:sz w:val="24"/>
          <w:szCs w:val="24"/>
          <w:lang w:val="en-US"/>
        </w:rPr>
        <w:t xml:space="preserve"> is devoted to</w:t>
      </w:r>
      <w:r w:rsidR="0004579E" w:rsidRPr="00BE65C7">
        <w:rPr>
          <w:rFonts w:ascii="Times New Roman" w:hAnsi="Times New Roman" w:cs="Times New Roman"/>
          <w:color w:val="000000" w:themeColor="text1"/>
          <w:sz w:val="24"/>
          <w:szCs w:val="24"/>
          <w:lang w:val="en-US"/>
        </w:rPr>
        <w:t xml:space="preserve"> </w:t>
      </w:r>
      <w:r w:rsidR="007B2894">
        <w:rPr>
          <w:rFonts w:ascii="Times New Roman" w:hAnsi="Times New Roman" w:cs="Times New Roman"/>
          <w:color w:val="000000" w:themeColor="text1"/>
          <w:sz w:val="24"/>
          <w:szCs w:val="24"/>
          <w:lang w:val="en-US"/>
        </w:rPr>
        <w:t xml:space="preserve">discussion of </w:t>
      </w:r>
      <w:r w:rsidR="0004579E" w:rsidRPr="00BE65C7">
        <w:rPr>
          <w:rFonts w:ascii="Times New Roman" w:hAnsi="Times New Roman" w:cs="Times New Roman"/>
          <w:color w:val="000000" w:themeColor="text1"/>
          <w:sz w:val="24"/>
          <w:szCs w:val="24"/>
          <w:lang w:val="en-US"/>
        </w:rPr>
        <w:t xml:space="preserve">data </w:t>
      </w:r>
      <w:r w:rsidR="007B2894">
        <w:rPr>
          <w:rFonts w:ascii="Times New Roman" w:hAnsi="Times New Roman" w:cs="Times New Roman"/>
          <w:color w:val="000000" w:themeColor="text1"/>
          <w:sz w:val="24"/>
          <w:szCs w:val="24"/>
          <w:lang w:val="en-US"/>
        </w:rPr>
        <w:t xml:space="preserve">architecture </w:t>
      </w:r>
      <w:r w:rsidR="0004579E" w:rsidRPr="00BE65C7">
        <w:rPr>
          <w:rFonts w:ascii="Times New Roman" w:hAnsi="Times New Roman" w:cs="Times New Roman"/>
          <w:color w:val="000000" w:themeColor="text1"/>
          <w:sz w:val="24"/>
          <w:szCs w:val="24"/>
          <w:lang w:val="en-US"/>
        </w:rPr>
        <w:t xml:space="preserve">and methodology. Section 4 provides </w:t>
      </w:r>
      <w:r w:rsidR="00E437C7" w:rsidRPr="00BE65C7">
        <w:rPr>
          <w:rFonts w:ascii="Times New Roman" w:hAnsi="Times New Roman" w:cs="Times New Roman"/>
          <w:color w:val="000000" w:themeColor="text1"/>
          <w:sz w:val="24"/>
          <w:szCs w:val="24"/>
          <w:lang w:val="en-US"/>
        </w:rPr>
        <w:t xml:space="preserve">a </w:t>
      </w:r>
      <w:r w:rsidR="007B2894">
        <w:rPr>
          <w:rFonts w:ascii="Times New Roman" w:hAnsi="Times New Roman" w:cs="Times New Roman"/>
          <w:color w:val="000000" w:themeColor="text1"/>
          <w:sz w:val="24"/>
          <w:szCs w:val="24"/>
          <w:lang w:val="en-US"/>
        </w:rPr>
        <w:t xml:space="preserve">critical discussion of the empirical results. Finally, </w:t>
      </w:r>
      <w:r w:rsidR="0004579E" w:rsidRPr="00BE65C7">
        <w:rPr>
          <w:rFonts w:ascii="Times New Roman" w:hAnsi="Times New Roman" w:cs="Times New Roman"/>
          <w:color w:val="000000" w:themeColor="text1"/>
          <w:sz w:val="24"/>
          <w:szCs w:val="24"/>
          <w:lang w:val="en-US"/>
        </w:rPr>
        <w:t xml:space="preserve">Section 5 </w:t>
      </w:r>
      <w:r w:rsidR="007B2894">
        <w:rPr>
          <w:rFonts w:ascii="Times New Roman" w:hAnsi="Times New Roman" w:cs="Times New Roman"/>
          <w:color w:val="000000" w:themeColor="text1"/>
          <w:sz w:val="24"/>
          <w:szCs w:val="24"/>
          <w:lang w:val="en-US"/>
        </w:rPr>
        <w:t>concludes the paper.</w:t>
      </w:r>
    </w:p>
    <w:p w14:paraId="5E01D156" w14:textId="77777777" w:rsidR="00E0546E" w:rsidRDefault="00E0546E" w:rsidP="00CD282A">
      <w:pPr>
        <w:spacing w:line="360" w:lineRule="auto"/>
        <w:ind w:firstLine="720"/>
        <w:jc w:val="both"/>
        <w:rPr>
          <w:rFonts w:ascii="Times New Roman" w:hAnsi="Times New Roman" w:cs="Times New Roman"/>
          <w:color w:val="000000" w:themeColor="text1"/>
          <w:sz w:val="24"/>
          <w:szCs w:val="24"/>
          <w:lang w:val="en-US"/>
        </w:rPr>
      </w:pPr>
    </w:p>
    <w:p w14:paraId="6F240DC5" w14:textId="61541C07" w:rsidR="0081277D" w:rsidRPr="00BE65C7" w:rsidRDefault="0081277D" w:rsidP="00762E7D">
      <w:pPr>
        <w:pStyle w:val="ListParagraph"/>
        <w:numPr>
          <w:ilvl w:val="0"/>
          <w:numId w:val="1"/>
        </w:numPr>
        <w:spacing w:line="360" w:lineRule="auto"/>
        <w:ind w:left="284" w:hanging="284"/>
        <w:jc w:val="both"/>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Literature and hypotheses</w:t>
      </w:r>
      <w:r w:rsidR="00090BA7" w:rsidRPr="00BE65C7">
        <w:rPr>
          <w:rFonts w:ascii="Times New Roman" w:hAnsi="Times New Roman" w:cs="Times New Roman"/>
          <w:b/>
          <w:bCs/>
          <w:color w:val="000000" w:themeColor="text1"/>
          <w:sz w:val="24"/>
          <w:szCs w:val="24"/>
          <w:lang w:val="en-US"/>
        </w:rPr>
        <w:t xml:space="preserve"> development</w:t>
      </w:r>
    </w:p>
    <w:p w14:paraId="4D97E350" w14:textId="77777777" w:rsidR="000841BC" w:rsidRDefault="0059627D" w:rsidP="0059627D">
      <w:pPr>
        <w:spacing w:line="360" w:lineRule="auto"/>
        <w:jc w:val="both"/>
        <w:rPr>
          <w:rFonts w:ascii="Times New Roman" w:hAnsi="Times New Roman" w:cs="Times New Roman"/>
          <w:color w:val="000000" w:themeColor="text1"/>
          <w:sz w:val="24"/>
          <w:szCs w:val="24"/>
          <w:lang w:val="en-US"/>
        </w:rPr>
      </w:pPr>
      <w:r w:rsidRPr="0059627D">
        <w:rPr>
          <w:rFonts w:ascii="Times New Roman" w:hAnsi="Times New Roman" w:cs="Times New Roman"/>
          <w:color w:val="000000" w:themeColor="text1"/>
          <w:sz w:val="24"/>
          <w:szCs w:val="24"/>
          <w:lang w:val="en-US"/>
        </w:rPr>
        <w:t>Excess cash balances held by firms can lead to agency problems, as they grant entrenched managers easy access to resources that may be used for personal gain rather than for maximizing shareholder value, thereby disadvantaging minority shareholders (</w:t>
      </w:r>
      <w:proofErr w:type="spellStart"/>
      <w:r w:rsidRPr="0059627D">
        <w:rPr>
          <w:rFonts w:ascii="Times New Roman" w:hAnsi="Times New Roman" w:cs="Times New Roman"/>
          <w:color w:val="000000" w:themeColor="text1"/>
          <w:sz w:val="24"/>
          <w:szCs w:val="24"/>
          <w:lang w:val="en-US"/>
        </w:rPr>
        <w:t>Kalcheva</w:t>
      </w:r>
      <w:proofErr w:type="spellEnd"/>
      <w:r w:rsidRPr="0059627D">
        <w:rPr>
          <w:rFonts w:ascii="Times New Roman" w:hAnsi="Times New Roman" w:cs="Times New Roman"/>
          <w:color w:val="000000" w:themeColor="text1"/>
          <w:sz w:val="24"/>
          <w:szCs w:val="24"/>
          <w:lang w:val="en-US"/>
        </w:rPr>
        <w:t xml:space="preserve"> and Lins, 2007; Harford et al., 2008; Nikolov and Whited, 2014). The presence of institutional ownership can help mitigate these agency issues, as previous research highlights that corporate governance (Dittmar and Mahrt-Smith, 2007; Harford et al., 2008; Aggarwal et al., 2011) and state ownership (Chen et al., 2018) are effective in addressing such conflicts.</w:t>
      </w:r>
      <w:r>
        <w:rPr>
          <w:rFonts w:ascii="Times New Roman" w:hAnsi="Times New Roman" w:cs="Times New Roman"/>
          <w:color w:val="000000" w:themeColor="text1"/>
          <w:sz w:val="24"/>
          <w:szCs w:val="24"/>
          <w:lang w:val="en-US"/>
        </w:rPr>
        <w:t xml:space="preserve"> </w:t>
      </w:r>
      <w:r w:rsidR="000841BC">
        <w:rPr>
          <w:rFonts w:ascii="Times New Roman" w:hAnsi="Times New Roman" w:cs="Times New Roman"/>
          <w:color w:val="000000" w:themeColor="text1"/>
          <w:sz w:val="24"/>
          <w:szCs w:val="24"/>
          <w:lang w:val="en-US"/>
        </w:rPr>
        <w:t>Following</w:t>
      </w:r>
      <w:r w:rsidRPr="0059627D">
        <w:rPr>
          <w:rFonts w:ascii="Times New Roman" w:hAnsi="Times New Roman" w:cs="Times New Roman"/>
          <w:color w:val="000000" w:themeColor="text1"/>
          <w:sz w:val="24"/>
          <w:szCs w:val="24"/>
          <w:lang w:val="en-US"/>
        </w:rPr>
        <w:t xml:space="preserve"> monitoring hypothesis, institutional investors are uniquely suited to manage and monitor firms effectively, thereby reducing agency problems arising from excess cash holdings (Stulz, 2005; Huang and Zhu, 2015). Their resources, expertise, and significant stakes in firms enable them to exert influence on management, aligning managerial incentives with shareholder interests. However, this hypothesis presen</w:t>
      </w:r>
      <w:r>
        <w:rPr>
          <w:rFonts w:ascii="Times New Roman" w:hAnsi="Times New Roman" w:cs="Times New Roman"/>
          <w:color w:val="000000" w:themeColor="text1"/>
          <w:sz w:val="24"/>
          <w:szCs w:val="24"/>
          <w:lang w:val="en-US"/>
        </w:rPr>
        <w:t>ts two contrasting perspectives - value addition through efficient capital a</w:t>
      </w:r>
      <w:r w:rsidRPr="0059627D">
        <w:rPr>
          <w:rFonts w:ascii="Times New Roman" w:hAnsi="Times New Roman" w:cs="Times New Roman"/>
          <w:color w:val="000000" w:themeColor="text1"/>
          <w:sz w:val="24"/>
          <w:szCs w:val="24"/>
          <w:lang w:val="en-US"/>
        </w:rPr>
        <w:t>llocati</w:t>
      </w:r>
      <w:r>
        <w:rPr>
          <w:rFonts w:ascii="Times New Roman" w:hAnsi="Times New Roman" w:cs="Times New Roman"/>
          <w:color w:val="000000" w:themeColor="text1"/>
          <w:sz w:val="24"/>
          <w:szCs w:val="24"/>
          <w:lang w:val="en-US"/>
        </w:rPr>
        <w:t>on in which i</w:t>
      </w:r>
      <w:r w:rsidRPr="0059627D">
        <w:rPr>
          <w:rFonts w:ascii="Times New Roman" w:hAnsi="Times New Roman" w:cs="Times New Roman"/>
          <w:color w:val="000000" w:themeColor="text1"/>
          <w:sz w:val="24"/>
          <w:szCs w:val="24"/>
          <w:lang w:val="en-US"/>
        </w:rPr>
        <w:t xml:space="preserve">nstitutional investors, particularly those with long-term horizons, can advocate for efficient capital allocation, pressuring managers to invest excess cash in profitable opportunities or return it to shareholders. </w:t>
      </w:r>
    </w:p>
    <w:p w14:paraId="67EAA116" w14:textId="7CFE949A" w:rsidR="0059627D" w:rsidRPr="00582A7F" w:rsidRDefault="0059627D" w:rsidP="000841BC">
      <w:pPr>
        <w:spacing w:line="360" w:lineRule="auto"/>
        <w:ind w:firstLine="720"/>
        <w:jc w:val="both"/>
        <w:rPr>
          <w:rFonts w:ascii="Times New Roman" w:hAnsi="Times New Roman" w:cs="Times New Roman"/>
          <w:color w:val="0070C0"/>
          <w:sz w:val="24"/>
          <w:szCs w:val="24"/>
          <w:lang w:val="en-US"/>
        </w:rPr>
      </w:pPr>
      <w:r w:rsidRPr="00582A7F">
        <w:rPr>
          <w:rFonts w:ascii="Times New Roman" w:hAnsi="Times New Roman" w:cs="Times New Roman"/>
          <w:color w:val="0070C0"/>
          <w:sz w:val="24"/>
          <w:szCs w:val="24"/>
          <w:lang w:val="en-US"/>
        </w:rPr>
        <w:t>This proactive stance can maximize firm value, as documented by Ilyas et al. (2021), who find that foreign institutional investors have a positive impact on the value of excess cash holdings in Pakistani firms, unlike domestic investors and on the other hand, Jensen (1986) posits that in the absence of suitable investment opportunities, managers may seek to retain excess cash, using it to strengthen their own positions rather than increasing shareholder wealth. This can lead to value-destroying activities, as managers may prioritize empire-building or unnecessary acquisitions over shareholder returns.</w:t>
      </w:r>
      <w:r w:rsidR="008D2DFC" w:rsidRPr="00582A7F">
        <w:rPr>
          <w:rFonts w:ascii="Times New Roman" w:hAnsi="Times New Roman" w:cs="Times New Roman"/>
          <w:color w:val="0070C0"/>
          <w:sz w:val="24"/>
          <w:szCs w:val="24"/>
          <w:lang w:val="en-US"/>
        </w:rPr>
        <w:t xml:space="preserve"> </w:t>
      </w:r>
      <w:r w:rsidRPr="00582A7F">
        <w:rPr>
          <w:rFonts w:ascii="Times New Roman" w:hAnsi="Times New Roman" w:cs="Times New Roman"/>
          <w:color w:val="0070C0"/>
          <w:sz w:val="24"/>
          <w:szCs w:val="24"/>
          <w:lang w:val="en-US"/>
        </w:rPr>
        <w:t>The impact of institutional ownership on cash management may also vary by investor type. For example, foreign institutional investors might place stronger demands for value creation and transparency than domestic institutions due to stricter regulatory oversight and accountability to international stakeholders. This variation aligns with findings that foreign institutional investors play a more pronounced role in enhancing the value of excess cash (Ilyas et al., 2021), suggesting that the effect of institutional monitoring depends on investor characteristics.</w:t>
      </w:r>
    </w:p>
    <w:p w14:paraId="53F57EF9" w14:textId="31985546" w:rsidR="00D9223C" w:rsidRDefault="000841BC" w:rsidP="0059627D">
      <w:pPr>
        <w:spacing w:line="360" w:lineRule="auto"/>
        <w:ind w:firstLine="720"/>
        <w:jc w:val="both"/>
        <w:rPr>
          <w:rFonts w:ascii="Times New Roman" w:hAnsi="Times New Roman" w:cs="Times New Roman"/>
          <w:color w:val="0070C0"/>
          <w:sz w:val="24"/>
          <w:szCs w:val="24"/>
          <w:lang w:val="en-US"/>
        </w:rPr>
      </w:pPr>
      <w:r>
        <w:rPr>
          <w:rFonts w:ascii="Times New Roman" w:hAnsi="Times New Roman" w:cs="Times New Roman"/>
          <w:color w:val="000000" w:themeColor="text1"/>
          <w:sz w:val="24"/>
          <w:szCs w:val="24"/>
          <w:lang w:val="en-US"/>
        </w:rPr>
        <w:t>In summary,</w:t>
      </w:r>
      <w:r w:rsidR="0059627D" w:rsidRPr="0059627D">
        <w:rPr>
          <w:rFonts w:ascii="Times New Roman" w:hAnsi="Times New Roman" w:cs="Times New Roman"/>
          <w:color w:val="000000" w:themeColor="text1"/>
          <w:sz w:val="24"/>
          <w:szCs w:val="24"/>
          <w:lang w:val="en-US"/>
        </w:rPr>
        <w:t xml:space="preserve"> while institutional investors have the potential to mitigate agency problems associated with excess cash, their influence can be shaped by the availability of investment opportunities, the objectives of the firm’s managers, and the specific nature of the institutional ownership. This nuanced role underscores the importance of institutional composition and the need for a governance structure that incentivizes managers to prioritize shareholder value.</w:t>
      </w:r>
      <w:r>
        <w:rPr>
          <w:rFonts w:ascii="Times New Roman" w:hAnsi="Times New Roman" w:cs="Times New Roman"/>
          <w:color w:val="000000" w:themeColor="text1"/>
          <w:sz w:val="24"/>
          <w:szCs w:val="24"/>
          <w:lang w:val="en-US"/>
        </w:rPr>
        <w:t xml:space="preserve"> </w:t>
      </w:r>
      <w:r w:rsidR="00E64602" w:rsidRPr="00BE65C7">
        <w:rPr>
          <w:rFonts w:ascii="Times New Roman" w:hAnsi="Times New Roman" w:cs="Times New Roman"/>
          <w:color w:val="000000" w:themeColor="text1"/>
          <w:sz w:val="24"/>
          <w:szCs w:val="24"/>
          <w:lang w:val="en-US"/>
        </w:rPr>
        <w:t xml:space="preserve">Therefore, </w:t>
      </w:r>
      <w:r w:rsidR="0045508E" w:rsidRPr="00BE65C7">
        <w:rPr>
          <w:rFonts w:ascii="Times New Roman" w:hAnsi="Times New Roman" w:cs="Times New Roman"/>
          <w:color w:val="000000" w:themeColor="text1"/>
          <w:sz w:val="24"/>
          <w:szCs w:val="24"/>
          <w:lang w:val="en-US"/>
        </w:rPr>
        <w:t xml:space="preserve">the institutional investors play a </w:t>
      </w:r>
      <w:r w:rsidR="00E64602" w:rsidRPr="00BE65C7">
        <w:rPr>
          <w:rFonts w:ascii="Times New Roman" w:hAnsi="Times New Roman" w:cs="Times New Roman"/>
          <w:color w:val="000000" w:themeColor="text1"/>
          <w:sz w:val="24"/>
          <w:szCs w:val="24"/>
          <w:lang w:val="en-US"/>
        </w:rPr>
        <w:t xml:space="preserve">significant </w:t>
      </w:r>
      <w:r w:rsidR="0045508E" w:rsidRPr="00BE65C7">
        <w:rPr>
          <w:rFonts w:ascii="Times New Roman" w:hAnsi="Times New Roman" w:cs="Times New Roman"/>
          <w:color w:val="000000" w:themeColor="text1"/>
          <w:sz w:val="24"/>
          <w:szCs w:val="24"/>
          <w:lang w:val="en-US"/>
        </w:rPr>
        <w:t xml:space="preserve">role </w:t>
      </w:r>
      <w:r w:rsidR="005C0742" w:rsidRPr="00BE65C7">
        <w:rPr>
          <w:rFonts w:ascii="Times New Roman" w:hAnsi="Times New Roman" w:cs="Times New Roman"/>
          <w:color w:val="000000" w:themeColor="text1"/>
          <w:sz w:val="24"/>
          <w:szCs w:val="24"/>
          <w:lang w:val="en-US"/>
        </w:rPr>
        <w:t>in reducing</w:t>
      </w:r>
      <w:r w:rsidR="0045508E" w:rsidRPr="00BE65C7">
        <w:rPr>
          <w:rFonts w:ascii="Times New Roman" w:hAnsi="Times New Roman" w:cs="Times New Roman"/>
          <w:color w:val="000000" w:themeColor="text1"/>
          <w:sz w:val="24"/>
          <w:szCs w:val="24"/>
          <w:lang w:val="en-US"/>
        </w:rPr>
        <w:t xml:space="preserve"> the cash flow problem</w:t>
      </w:r>
      <w:r w:rsidR="005C0742" w:rsidRPr="00BE65C7">
        <w:rPr>
          <w:rFonts w:ascii="Times New Roman" w:hAnsi="Times New Roman" w:cs="Times New Roman"/>
          <w:color w:val="000000" w:themeColor="text1"/>
          <w:sz w:val="24"/>
          <w:szCs w:val="24"/>
          <w:lang w:val="en-US"/>
        </w:rPr>
        <w:t>,</w:t>
      </w:r>
      <w:r w:rsidR="0045508E" w:rsidRPr="00BE65C7">
        <w:rPr>
          <w:rFonts w:ascii="Times New Roman" w:hAnsi="Times New Roman" w:cs="Times New Roman"/>
          <w:color w:val="000000" w:themeColor="text1"/>
          <w:sz w:val="24"/>
          <w:szCs w:val="24"/>
          <w:lang w:val="en-US"/>
        </w:rPr>
        <w:t xml:space="preserve"> </w:t>
      </w:r>
      <w:r w:rsidR="00E64602" w:rsidRPr="00BE65C7">
        <w:rPr>
          <w:rFonts w:ascii="Times New Roman" w:hAnsi="Times New Roman" w:cs="Times New Roman"/>
          <w:color w:val="000000" w:themeColor="text1"/>
          <w:sz w:val="24"/>
          <w:szCs w:val="24"/>
          <w:lang w:val="en-US"/>
        </w:rPr>
        <w:t xml:space="preserve">by </w:t>
      </w:r>
      <w:r w:rsidR="0045508E" w:rsidRPr="00BE65C7">
        <w:rPr>
          <w:rFonts w:ascii="Times New Roman" w:hAnsi="Times New Roman" w:cs="Times New Roman"/>
          <w:color w:val="000000" w:themeColor="text1"/>
          <w:sz w:val="24"/>
          <w:szCs w:val="24"/>
          <w:lang w:val="en-US"/>
        </w:rPr>
        <w:t>forc</w:t>
      </w:r>
      <w:r w:rsidR="00E64602" w:rsidRPr="00BE65C7">
        <w:rPr>
          <w:rFonts w:ascii="Times New Roman" w:hAnsi="Times New Roman" w:cs="Times New Roman"/>
          <w:color w:val="000000" w:themeColor="text1"/>
          <w:sz w:val="24"/>
          <w:szCs w:val="24"/>
          <w:lang w:val="en-US"/>
        </w:rPr>
        <w:t>ing</w:t>
      </w:r>
      <w:r w:rsidR="0045508E" w:rsidRPr="00BE65C7">
        <w:rPr>
          <w:rFonts w:ascii="Times New Roman" w:hAnsi="Times New Roman" w:cs="Times New Roman"/>
          <w:color w:val="000000" w:themeColor="text1"/>
          <w:sz w:val="24"/>
          <w:szCs w:val="24"/>
          <w:lang w:val="en-US"/>
        </w:rPr>
        <w:t xml:space="preserve"> the managers to reduce the firm</w:t>
      </w:r>
      <w:r w:rsidR="00E437C7" w:rsidRPr="00BE65C7">
        <w:rPr>
          <w:rFonts w:ascii="Times New Roman" w:hAnsi="Times New Roman" w:cs="Times New Roman"/>
          <w:color w:val="000000" w:themeColor="text1"/>
          <w:sz w:val="24"/>
          <w:szCs w:val="24"/>
          <w:lang w:val="en-US"/>
        </w:rPr>
        <w:t>'</w:t>
      </w:r>
      <w:r w:rsidR="0045508E" w:rsidRPr="00BE65C7">
        <w:rPr>
          <w:rFonts w:ascii="Times New Roman" w:hAnsi="Times New Roman" w:cs="Times New Roman"/>
          <w:color w:val="000000" w:themeColor="text1"/>
          <w:sz w:val="24"/>
          <w:szCs w:val="24"/>
          <w:lang w:val="en-US"/>
        </w:rPr>
        <w:t xml:space="preserve">s </w:t>
      </w:r>
      <w:r w:rsidR="00E64602" w:rsidRPr="00BE65C7">
        <w:rPr>
          <w:rFonts w:ascii="Times New Roman" w:hAnsi="Times New Roman" w:cs="Times New Roman"/>
          <w:color w:val="000000" w:themeColor="text1"/>
          <w:sz w:val="24"/>
          <w:szCs w:val="24"/>
          <w:lang w:val="en-US"/>
        </w:rPr>
        <w:t xml:space="preserve">excess </w:t>
      </w:r>
      <w:r w:rsidR="0045508E" w:rsidRPr="00BE65C7">
        <w:rPr>
          <w:rFonts w:ascii="Times New Roman" w:hAnsi="Times New Roman" w:cs="Times New Roman"/>
          <w:color w:val="000000" w:themeColor="text1"/>
          <w:sz w:val="24"/>
          <w:szCs w:val="24"/>
          <w:lang w:val="en-US"/>
        </w:rPr>
        <w:t xml:space="preserve">cash. </w:t>
      </w:r>
      <w:r w:rsidR="00261367" w:rsidRPr="00BE65C7">
        <w:rPr>
          <w:rFonts w:ascii="Times New Roman" w:hAnsi="Times New Roman" w:cs="Times New Roman"/>
          <w:color w:val="000000" w:themeColor="text1"/>
          <w:sz w:val="24"/>
          <w:szCs w:val="24"/>
          <w:lang w:val="en-US"/>
        </w:rPr>
        <w:t xml:space="preserve">Dittmar and Mahrt-Smith (2007), Harford et al. (2008) argue that </w:t>
      </w:r>
      <w:r w:rsidR="00EE76E1" w:rsidRPr="00BE65C7">
        <w:rPr>
          <w:rFonts w:ascii="Times New Roman" w:hAnsi="Times New Roman" w:cs="Times New Roman"/>
          <w:color w:val="000000" w:themeColor="text1"/>
          <w:sz w:val="24"/>
          <w:szCs w:val="24"/>
          <w:lang w:val="en-US"/>
        </w:rPr>
        <w:t xml:space="preserve">when entrenched managers have excess cash at their disposal, they may invest </w:t>
      </w:r>
      <w:r w:rsidR="005C0742" w:rsidRPr="00BE65C7">
        <w:rPr>
          <w:rFonts w:ascii="Times New Roman" w:hAnsi="Times New Roman" w:cs="Times New Roman"/>
          <w:color w:val="000000" w:themeColor="text1"/>
          <w:sz w:val="24"/>
          <w:szCs w:val="24"/>
          <w:lang w:val="en-US"/>
        </w:rPr>
        <w:t>it</w:t>
      </w:r>
      <w:r w:rsidR="00EE76E1" w:rsidRPr="00BE65C7">
        <w:rPr>
          <w:rFonts w:ascii="Times New Roman" w:hAnsi="Times New Roman" w:cs="Times New Roman"/>
          <w:color w:val="000000" w:themeColor="text1"/>
          <w:sz w:val="24"/>
          <w:szCs w:val="24"/>
          <w:lang w:val="en-US"/>
        </w:rPr>
        <w:t xml:space="preserve"> in value</w:t>
      </w:r>
      <w:r w:rsidR="005C0742" w:rsidRPr="00BE65C7">
        <w:rPr>
          <w:rFonts w:ascii="Times New Roman" w:hAnsi="Times New Roman" w:cs="Times New Roman"/>
          <w:color w:val="000000" w:themeColor="text1"/>
          <w:sz w:val="24"/>
          <w:szCs w:val="24"/>
          <w:lang w:val="en-US"/>
        </w:rPr>
        <w:t>-</w:t>
      </w:r>
      <w:r w:rsidR="00EE76E1" w:rsidRPr="00BE65C7">
        <w:rPr>
          <w:rFonts w:ascii="Times New Roman" w:hAnsi="Times New Roman" w:cs="Times New Roman"/>
          <w:color w:val="000000" w:themeColor="text1"/>
          <w:sz w:val="24"/>
          <w:szCs w:val="24"/>
          <w:lang w:val="en-US"/>
        </w:rPr>
        <w:t>destroying projects</w:t>
      </w:r>
      <w:r w:rsidR="005C0742" w:rsidRPr="00BE65C7">
        <w:rPr>
          <w:rFonts w:ascii="Times New Roman" w:hAnsi="Times New Roman" w:cs="Times New Roman"/>
          <w:color w:val="000000" w:themeColor="text1"/>
          <w:sz w:val="24"/>
          <w:szCs w:val="24"/>
          <w:lang w:val="en-US"/>
        </w:rPr>
        <w:t>,</w:t>
      </w:r>
      <w:r w:rsidR="00EE76E1" w:rsidRPr="00BE65C7">
        <w:rPr>
          <w:rFonts w:ascii="Times New Roman" w:hAnsi="Times New Roman" w:cs="Times New Roman"/>
          <w:color w:val="000000" w:themeColor="text1"/>
          <w:sz w:val="24"/>
          <w:szCs w:val="24"/>
          <w:lang w:val="en-US"/>
        </w:rPr>
        <w:t xml:space="preserve"> thereby reducing the shareholder</w:t>
      </w:r>
      <w:r w:rsidR="00E437C7" w:rsidRPr="00BE65C7">
        <w:rPr>
          <w:rFonts w:ascii="Times New Roman" w:hAnsi="Times New Roman" w:cs="Times New Roman"/>
          <w:color w:val="000000" w:themeColor="text1"/>
          <w:sz w:val="24"/>
          <w:szCs w:val="24"/>
          <w:lang w:val="en-US"/>
        </w:rPr>
        <w:t>'</w:t>
      </w:r>
      <w:r w:rsidR="00EE76E1" w:rsidRPr="00BE65C7">
        <w:rPr>
          <w:rFonts w:ascii="Times New Roman" w:hAnsi="Times New Roman" w:cs="Times New Roman"/>
          <w:color w:val="000000" w:themeColor="text1"/>
          <w:sz w:val="24"/>
          <w:szCs w:val="24"/>
          <w:lang w:val="en-US"/>
        </w:rPr>
        <w:t>s value.</w:t>
      </w:r>
      <w:r w:rsidR="00677401" w:rsidRPr="00BE65C7">
        <w:rPr>
          <w:rFonts w:ascii="Times New Roman" w:hAnsi="Times New Roman" w:cs="Times New Roman"/>
          <w:color w:val="000000" w:themeColor="text1"/>
          <w:sz w:val="24"/>
          <w:szCs w:val="24"/>
          <w:lang w:val="en-US"/>
        </w:rPr>
        <w:t xml:space="preserve"> Institutional investors may prevent these managers from investing </w:t>
      </w:r>
      <w:r w:rsidR="005C0742" w:rsidRPr="00BE65C7">
        <w:rPr>
          <w:rFonts w:ascii="Times New Roman" w:hAnsi="Times New Roman" w:cs="Times New Roman"/>
          <w:color w:val="000000" w:themeColor="text1"/>
          <w:sz w:val="24"/>
          <w:szCs w:val="24"/>
          <w:lang w:val="en-US"/>
        </w:rPr>
        <w:t>money</w:t>
      </w:r>
      <w:r w:rsidR="00677401" w:rsidRPr="00BE65C7">
        <w:rPr>
          <w:rFonts w:ascii="Times New Roman" w:hAnsi="Times New Roman" w:cs="Times New Roman"/>
          <w:color w:val="000000" w:themeColor="text1"/>
          <w:sz w:val="24"/>
          <w:szCs w:val="24"/>
          <w:lang w:val="en-US"/>
        </w:rPr>
        <w:t xml:space="preserve"> in value</w:t>
      </w:r>
      <w:r w:rsidR="005C0742" w:rsidRPr="00BE65C7">
        <w:rPr>
          <w:rFonts w:ascii="Times New Roman" w:hAnsi="Times New Roman" w:cs="Times New Roman"/>
          <w:color w:val="000000" w:themeColor="text1"/>
          <w:sz w:val="24"/>
          <w:szCs w:val="24"/>
          <w:lang w:val="en-US"/>
        </w:rPr>
        <w:t>-</w:t>
      </w:r>
      <w:r w:rsidR="00677401" w:rsidRPr="00BE65C7">
        <w:rPr>
          <w:rFonts w:ascii="Times New Roman" w:hAnsi="Times New Roman" w:cs="Times New Roman"/>
          <w:color w:val="000000" w:themeColor="text1"/>
          <w:sz w:val="24"/>
          <w:szCs w:val="24"/>
          <w:lang w:val="en-US"/>
        </w:rPr>
        <w:t>destroying projects and may induce them to increase the</w:t>
      </w:r>
      <w:r w:rsidR="005C0742" w:rsidRPr="00BE65C7">
        <w:rPr>
          <w:rFonts w:ascii="Times New Roman" w:hAnsi="Times New Roman" w:cs="Times New Roman"/>
          <w:color w:val="000000" w:themeColor="text1"/>
          <w:sz w:val="24"/>
          <w:szCs w:val="24"/>
          <w:lang w:val="en-US"/>
        </w:rPr>
        <w:t>ir</w:t>
      </w:r>
      <w:r w:rsidR="00677401" w:rsidRPr="00BE65C7">
        <w:rPr>
          <w:rFonts w:ascii="Times New Roman" w:hAnsi="Times New Roman" w:cs="Times New Roman"/>
          <w:color w:val="000000" w:themeColor="text1"/>
          <w:sz w:val="24"/>
          <w:szCs w:val="24"/>
          <w:lang w:val="en-US"/>
        </w:rPr>
        <w:t xml:space="preserve"> </w:t>
      </w:r>
      <w:r w:rsidR="00D20E0B" w:rsidRPr="00BE65C7">
        <w:rPr>
          <w:rFonts w:ascii="Times New Roman" w:hAnsi="Times New Roman" w:cs="Times New Roman"/>
          <w:color w:val="000000" w:themeColor="text1"/>
          <w:sz w:val="24"/>
          <w:szCs w:val="24"/>
          <w:lang w:val="en-US"/>
        </w:rPr>
        <w:t>cash</w:t>
      </w:r>
      <w:r w:rsidR="00677401" w:rsidRPr="00BE65C7">
        <w:rPr>
          <w:rFonts w:ascii="Times New Roman" w:hAnsi="Times New Roman" w:cs="Times New Roman"/>
          <w:color w:val="000000" w:themeColor="text1"/>
          <w:sz w:val="24"/>
          <w:szCs w:val="24"/>
          <w:lang w:val="en-US"/>
        </w:rPr>
        <w:t xml:space="preserve"> holdings instead.</w:t>
      </w:r>
      <w:r w:rsidR="00A00C28" w:rsidRPr="00BE65C7">
        <w:rPr>
          <w:rFonts w:ascii="Times New Roman" w:hAnsi="Times New Roman" w:cs="Times New Roman"/>
          <w:color w:val="000000" w:themeColor="text1"/>
          <w:sz w:val="24"/>
          <w:szCs w:val="24"/>
          <w:lang w:val="en-US"/>
        </w:rPr>
        <w:t xml:space="preserve"> These investors may induce firms to hold less cash or reduce excess cash balance </w:t>
      </w:r>
      <w:r w:rsidR="005C0742" w:rsidRPr="00BE65C7">
        <w:rPr>
          <w:rFonts w:ascii="Times New Roman" w:hAnsi="Times New Roman" w:cs="Times New Roman"/>
          <w:color w:val="000000" w:themeColor="text1"/>
          <w:sz w:val="24"/>
          <w:szCs w:val="24"/>
          <w:lang w:val="en-US"/>
        </w:rPr>
        <w:t>by</w:t>
      </w:r>
      <w:r w:rsidR="00A00C28" w:rsidRPr="00BE65C7">
        <w:rPr>
          <w:rFonts w:ascii="Times New Roman" w:hAnsi="Times New Roman" w:cs="Times New Roman"/>
          <w:color w:val="000000" w:themeColor="text1"/>
          <w:sz w:val="24"/>
          <w:szCs w:val="24"/>
          <w:lang w:val="en-US"/>
        </w:rPr>
        <w:t xml:space="preserve"> decreasing </w:t>
      </w:r>
      <w:r w:rsidR="005C0742" w:rsidRPr="00BE65C7">
        <w:rPr>
          <w:rFonts w:ascii="Times New Roman" w:hAnsi="Times New Roman" w:cs="Times New Roman"/>
          <w:color w:val="000000" w:themeColor="text1"/>
          <w:sz w:val="24"/>
          <w:szCs w:val="24"/>
          <w:lang w:val="en-US"/>
        </w:rPr>
        <w:t xml:space="preserve">the </w:t>
      </w:r>
      <w:r w:rsidR="00A00C28" w:rsidRPr="00BE65C7">
        <w:rPr>
          <w:rFonts w:ascii="Times New Roman" w:hAnsi="Times New Roman" w:cs="Times New Roman"/>
          <w:color w:val="000000" w:themeColor="text1"/>
          <w:sz w:val="24"/>
          <w:szCs w:val="24"/>
          <w:lang w:val="en-US"/>
        </w:rPr>
        <w:t>cost of capital (Bekaert and Harvey, 2000)</w:t>
      </w:r>
      <w:r w:rsidR="005C0742" w:rsidRPr="00BE65C7">
        <w:rPr>
          <w:rFonts w:ascii="Times New Roman" w:hAnsi="Times New Roman" w:cs="Times New Roman"/>
          <w:color w:val="000000" w:themeColor="text1"/>
          <w:sz w:val="24"/>
          <w:szCs w:val="24"/>
          <w:lang w:val="en-US"/>
        </w:rPr>
        <w:t xml:space="preserve"> and</w:t>
      </w:r>
      <w:r w:rsidR="00A00C28" w:rsidRPr="00BE65C7">
        <w:rPr>
          <w:rFonts w:ascii="Times New Roman" w:hAnsi="Times New Roman" w:cs="Times New Roman"/>
          <w:color w:val="000000" w:themeColor="text1"/>
          <w:sz w:val="24"/>
          <w:szCs w:val="24"/>
          <w:lang w:val="en-US"/>
        </w:rPr>
        <w:t xml:space="preserve"> </w:t>
      </w:r>
      <w:r w:rsidR="00F92082" w:rsidRPr="00BE65C7">
        <w:rPr>
          <w:rFonts w:ascii="Times New Roman" w:hAnsi="Times New Roman" w:cs="Times New Roman"/>
          <w:color w:val="000000" w:themeColor="text1"/>
          <w:sz w:val="24"/>
          <w:szCs w:val="24"/>
          <w:lang w:val="en-US"/>
        </w:rPr>
        <w:t>increas</w:t>
      </w:r>
      <w:r w:rsidR="005C0742" w:rsidRPr="00BE65C7">
        <w:rPr>
          <w:rFonts w:ascii="Times New Roman" w:hAnsi="Times New Roman" w:cs="Times New Roman"/>
          <w:color w:val="000000" w:themeColor="text1"/>
          <w:sz w:val="24"/>
          <w:szCs w:val="24"/>
          <w:lang w:val="en-US"/>
        </w:rPr>
        <w:t>ing</w:t>
      </w:r>
      <w:r w:rsidR="00F92082" w:rsidRPr="00BE65C7">
        <w:rPr>
          <w:rFonts w:ascii="Times New Roman" w:hAnsi="Times New Roman" w:cs="Times New Roman"/>
          <w:color w:val="000000" w:themeColor="text1"/>
          <w:sz w:val="24"/>
          <w:szCs w:val="24"/>
          <w:lang w:val="en-US"/>
        </w:rPr>
        <w:t xml:space="preserve"> </w:t>
      </w:r>
      <w:r w:rsidR="005C0742" w:rsidRPr="00BE65C7">
        <w:rPr>
          <w:rFonts w:ascii="Times New Roman" w:hAnsi="Times New Roman" w:cs="Times New Roman"/>
          <w:color w:val="000000" w:themeColor="text1"/>
          <w:sz w:val="24"/>
          <w:szCs w:val="24"/>
          <w:lang w:val="en-US"/>
        </w:rPr>
        <w:t>the</w:t>
      </w:r>
      <w:r w:rsidR="00F92082" w:rsidRPr="00BE65C7">
        <w:rPr>
          <w:rFonts w:ascii="Times New Roman" w:hAnsi="Times New Roman" w:cs="Times New Roman"/>
          <w:color w:val="000000" w:themeColor="text1"/>
          <w:sz w:val="24"/>
          <w:szCs w:val="24"/>
          <w:lang w:val="en-US"/>
        </w:rPr>
        <w:t xml:space="preserve"> availability of finance to the firms (Stulz, 1999). </w:t>
      </w:r>
    </w:p>
    <w:p w14:paraId="63E8D8DC" w14:textId="39FE2EE2" w:rsidR="007B2894" w:rsidRDefault="000841BC" w:rsidP="00103203">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color w:val="000000" w:themeColor="text1"/>
          <w:sz w:val="24"/>
          <w:szCs w:val="24"/>
          <w:lang w:val="en-US"/>
        </w:rPr>
        <w:t xml:space="preserve">In view of the above, we </w:t>
      </w:r>
      <w:r w:rsidR="0059627D">
        <w:rPr>
          <w:rFonts w:ascii="Times New Roman" w:hAnsi="Times New Roman" w:cs="Times New Roman"/>
          <w:color w:val="000000" w:themeColor="text1"/>
          <w:sz w:val="24"/>
          <w:szCs w:val="24"/>
          <w:lang w:val="en-US"/>
        </w:rPr>
        <w:t>hypothesi</w:t>
      </w:r>
      <w:r>
        <w:rPr>
          <w:rFonts w:ascii="Times New Roman" w:hAnsi="Times New Roman" w:cs="Times New Roman"/>
          <w:color w:val="000000" w:themeColor="text1"/>
          <w:sz w:val="24"/>
          <w:szCs w:val="24"/>
          <w:lang w:val="en-US"/>
        </w:rPr>
        <w:t>ze the following</w:t>
      </w:r>
      <w:r w:rsidR="0059627D">
        <w:rPr>
          <w:rFonts w:ascii="Times New Roman" w:hAnsi="Times New Roman" w:cs="Times New Roman"/>
          <w:color w:val="000000" w:themeColor="text1"/>
          <w:sz w:val="24"/>
          <w:szCs w:val="24"/>
          <w:lang w:val="en-US"/>
        </w:rPr>
        <w:t>:</w:t>
      </w:r>
    </w:p>
    <w:p w14:paraId="226289F4" w14:textId="4D5A3EC1" w:rsidR="00A00C28" w:rsidRPr="00B763A8" w:rsidRDefault="0080184F" w:rsidP="00103203">
      <w:pPr>
        <w:spacing w:line="360" w:lineRule="auto"/>
        <w:jc w:val="both"/>
        <w:rPr>
          <w:rFonts w:ascii="Times New Roman" w:hAnsi="Times New Roman" w:cs="Times New Roman"/>
          <w:i/>
          <w:iCs/>
          <w:color w:val="44546A" w:themeColor="text2"/>
          <w:sz w:val="24"/>
          <w:szCs w:val="24"/>
          <w:lang w:val="en-US"/>
        </w:rPr>
      </w:pPr>
      <w:r w:rsidRPr="007D7051">
        <w:rPr>
          <w:rFonts w:ascii="Times New Roman" w:hAnsi="Times New Roman" w:cs="Times New Roman"/>
          <w:b/>
          <w:bCs/>
          <w:i/>
          <w:iCs/>
          <w:sz w:val="24"/>
          <w:szCs w:val="24"/>
          <w:lang w:val="en-US"/>
        </w:rPr>
        <w:t>H</w:t>
      </w:r>
      <w:r w:rsidRPr="007D7051">
        <w:rPr>
          <w:rFonts w:ascii="Times New Roman" w:hAnsi="Times New Roman" w:cs="Times New Roman"/>
          <w:b/>
          <w:bCs/>
          <w:i/>
          <w:iCs/>
          <w:sz w:val="24"/>
          <w:szCs w:val="24"/>
          <w:vertAlign w:val="subscript"/>
          <w:lang w:val="en-US"/>
        </w:rPr>
        <w:t>1</w:t>
      </w:r>
      <w:r w:rsidRPr="007D7051">
        <w:rPr>
          <w:rFonts w:ascii="Times New Roman" w:hAnsi="Times New Roman" w:cs="Times New Roman"/>
          <w:b/>
          <w:bCs/>
          <w:i/>
          <w:iCs/>
          <w:sz w:val="24"/>
          <w:szCs w:val="24"/>
          <w:lang w:val="en-US"/>
        </w:rPr>
        <w:t>:</w:t>
      </w:r>
      <w:r w:rsidRPr="007D7051">
        <w:rPr>
          <w:rFonts w:ascii="Times New Roman" w:hAnsi="Times New Roman" w:cs="Times New Roman"/>
          <w:i/>
          <w:iCs/>
          <w:sz w:val="24"/>
          <w:szCs w:val="24"/>
          <w:lang w:val="en-US"/>
        </w:rPr>
        <w:t xml:space="preserve"> </w:t>
      </w:r>
      <w:r w:rsidRPr="007D7051">
        <w:rPr>
          <w:rFonts w:ascii="Times New Roman" w:hAnsi="Times New Roman" w:cs="Times New Roman"/>
          <w:b/>
          <w:bCs/>
          <w:i/>
          <w:iCs/>
          <w:sz w:val="24"/>
          <w:szCs w:val="24"/>
          <w:lang w:val="en-US"/>
        </w:rPr>
        <w:t>Institutional investors</w:t>
      </w:r>
      <w:r w:rsidR="00E437C7" w:rsidRPr="007D7051">
        <w:rPr>
          <w:rFonts w:ascii="Times New Roman" w:hAnsi="Times New Roman" w:cs="Times New Roman"/>
          <w:b/>
          <w:bCs/>
          <w:i/>
          <w:iCs/>
          <w:sz w:val="24"/>
          <w:szCs w:val="24"/>
          <w:lang w:val="en-US"/>
        </w:rPr>
        <w:t>'</w:t>
      </w:r>
      <w:r w:rsidRPr="007D7051">
        <w:rPr>
          <w:rFonts w:ascii="Times New Roman" w:hAnsi="Times New Roman" w:cs="Times New Roman"/>
          <w:b/>
          <w:bCs/>
          <w:i/>
          <w:iCs/>
          <w:sz w:val="24"/>
          <w:szCs w:val="24"/>
          <w:lang w:val="en-US"/>
        </w:rPr>
        <w:t xml:space="preserve"> ownership </w:t>
      </w:r>
      <w:r w:rsidR="00222097" w:rsidRPr="007D7051">
        <w:rPr>
          <w:rFonts w:ascii="Times New Roman" w:hAnsi="Times New Roman" w:cs="Times New Roman"/>
          <w:b/>
          <w:bCs/>
          <w:i/>
          <w:iCs/>
          <w:sz w:val="24"/>
          <w:szCs w:val="24"/>
          <w:lang w:val="en-US"/>
        </w:rPr>
        <w:t xml:space="preserve">significantly affects </w:t>
      </w:r>
      <w:r w:rsidRPr="007D7051">
        <w:rPr>
          <w:rFonts w:ascii="Times New Roman" w:hAnsi="Times New Roman" w:cs="Times New Roman"/>
          <w:b/>
          <w:bCs/>
          <w:i/>
          <w:iCs/>
          <w:sz w:val="24"/>
          <w:szCs w:val="24"/>
          <w:lang w:val="en-US"/>
        </w:rPr>
        <w:t>corporate cash</w:t>
      </w:r>
      <w:r w:rsidR="00222097" w:rsidRPr="007D7051">
        <w:rPr>
          <w:rFonts w:ascii="Times New Roman" w:hAnsi="Times New Roman" w:cs="Times New Roman"/>
          <w:b/>
          <w:bCs/>
          <w:i/>
          <w:iCs/>
          <w:sz w:val="24"/>
          <w:szCs w:val="24"/>
          <w:lang w:val="en-US"/>
        </w:rPr>
        <w:t xml:space="preserve"> holdings</w:t>
      </w:r>
      <w:r w:rsidR="007B2894" w:rsidRPr="00B763A8">
        <w:rPr>
          <w:rFonts w:ascii="Times New Roman" w:hAnsi="Times New Roman" w:cs="Times New Roman"/>
          <w:i/>
          <w:iCs/>
          <w:color w:val="44546A" w:themeColor="text2"/>
          <w:sz w:val="24"/>
          <w:szCs w:val="24"/>
          <w:lang w:val="en-US"/>
        </w:rPr>
        <w:t>.</w:t>
      </w:r>
    </w:p>
    <w:p w14:paraId="3B3985FC" w14:textId="77777777" w:rsidR="00133C70" w:rsidRDefault="00330B91" w:rsidP="001B7A77">
      <w:pPr>
        <w:spacing w:line="360" w:lineRule="auto"/>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 xml:space="preserve">In the past </w:t>
      </w:r>
      <w:r w:rsidR="006B2F10" w:rsidRPr="00BE65C7">
        <w:rPr>
          <w:rFonts w:ascii="Times New Roman" w:hAnsi="Times New Roman" w:cs="Times New Roman"/>
          <w:color w:val="000000" w:themeColor="text1"/>
          <w:sz w:val="24"/>
          <w:szCs w:val="24"/>
          <w:lang w:val="en-US"/>
        </w:rPr>
        <w:t xml:space="preserve">decade or so, </w:t>
      </w:r>
      <w:r w:rsidR="00BD25BE">
        <w:rPr>
          <w:rFonts w:ascii="Times New Roman" w:hAnsi="Times New Roman" w:cs="Times New Roman"/>
          <w:color w:val="000000" w:themeColor="text1"/>
          <w:sz w:val="24"/>
          <w:szCs w:val="24"/>
          <w:lang w:val="en-US"/>
        </w:rPr>
        <w:t xml:space="preserve">researchers have </w:t>
      </w:r>
      <w:r w:rsidR="006B2F10" w:rsidRPr="00BE65C7">
        <w:rPr>
          <w:rFonts w:ascii="Times New Roman" w:hAnsi="Times New Roman" w:cs="Times New Roman"/>
          <w:color w:val="000000" w:themeColor="text1"/>
          <w:sz w:val="24"/>
          <w:szCs w:val="24"/>
          <w:lang w:val="en-US"/>
        </w:rPr>
        <w:t xml:space="preserve">recognized that the business environment in which a firm operates may affect its </w:t>
      </w:r>
      <w:r w:rsidR="007B2894" w:rsidRPr="00BE65C7">
        <w:rPr>
          <w:rFonts w:ascii="Times New Roman" w:hAnsi="Times New Roman" w:cs="Times New Roman"/>
          <w:color w:val="000000" w:themeColor="text1"/>
          <w:sz w:val="24"/>
          <w:szCs w:val="24"/>
          <w:lang w:val="en-US"/>
        </w:rPr>
        <w:t>decision-making</w:t>
      </w:r>
      <w:r w:rsidR="000E21DD" w:rsidRPr="00BE65C7">
        <w:rPr>
          <w:rFonts w:ascii="Times New Roman" w:hAnsi="Times New Roman" w:cs="Times New Roman"/>
          <w:color w:val="000000" w:themeColor="text1"/>
          <w:sz w:val="24"/>
          <w:szCs w:val="24"/>
          <w:lang w:val="en-US"/>
        </w:rPr>
        <w:t xml:space="preserve"> process</w:t>
      </w:r>
      <w:r w:rsidRPr="00BE65C7">
        <w:rPr>
          <w:rFonts w:ascii="Times New Roman" w:hAnsi="Times New Roman" w:cs="Times New Roman"/>
          <w:color w:val="000000" w:themeColor="text1"/>
          <w:sz w:val="24"/>
          <w:szCs w:val="24"/>
          <w:lang w:val="en-US"/>
        </w:rPr>
        <w:t xml:space="preserve">. </w:t>
      </w:r>
      <w:r w:rsidR="006C4A47" w:rsidRPr="00BE65C7">
        <w:rPr>
          <w:rFonts w:ascii="Times New Roman" w:hAnsi="Times New Roman" w:cs="Times New Roman"/>
          <w:color w:val="000000" w:themeColor="text1"/>
          <w:sz w:val="24"/>
          <w:szCs w:val="24"/>
          <w:lang w:val="en-US"/>
        </w:rPr>
        <w:t xml:space="preserve">In this context, studies have increasingly focused on emerging and developed economies </w:t>
      </w:r>
      <w:r w:rsidR="00DE01DA" w:rsidRPr="00BE65C7">
        <w:rPr>
          <w:rFonts w:ascii="Times New Roman" w:hAnsi="Times New Roman" w:cs="Times New Roman"/>
          <w:color w:val="000000" w:themeColor="text1"/>
          <w:sz w:val="24"/>
          <w:szCs w:val="24"/>
          <w:lang w:val="en-US"/>
        </w:rPr>
        <w:t>owing to the</w:t>
      </w:r>
      <w:r w:rsidR="000E21DD" w:rsidRPr="00BE65C7">
        <w:rPr>
          <w:rFonts w:ascii="Times New Roman" w:hAnsi="Times New Roman" w:cs="Times New Roman"/>
          <w:color w:val="000000" w:themeColor="text1"/>
          <w:sz w:val="24"/>
          <w:szCs w:val="24"/>
          <w:lang w:val="en-US"/>
        </w:rPr>
        <w:t>ir</w:t>
      </w:r>
      <w:r w:rsidR="00DE01DA" w:rsidRPr="00BE65C7">
        <w:rPr>
          <w:rFonts w:ascii="Times New Roman" w:hAnsi="Times New Roman" w:cs="Times New Roman"/>
          <w:color w:val="000000" w:themeColor="text1"/>
          <w:sz w:val="24"/>
          <w:szCs w:val="24"/>
          <w:lang w:val="en-US"/>
        </w:rPr>
        <w:t xml:space="preserve"> different business environment</w:t>
      </w:r>
      <w:r w:rsidR="006B2F10" w:rsidRPr="00BE65C7">
        <w:rPr>
          <w:rFonts w:ascii="Times New Roman" w:hAnsi="Times New Roman" w:cs="Times New Roman"/>
          <w:color w:val="000000" w:themeColor="text1"/>
          <w:sz w:val="24"/>
          <w:szCs w:val="24"/>
          <w:lang w:val="en-US"/>
        </w:rPr>
        <w:t>s</w:t>
      </w:r>
      <w:r w:rsidR="00DE01DA" w:rsidRPr="00BE65C7">
        <w:rPr>
          <w:rFonts w:ascii="Times New Roman" w:hAnsi="Times New Roman" w:cs="Times New Roman"/>
          <w:color w:val="000000" w:themeColor="text1"/>
          <w:sz w:val="24"/>
          <w:szCs w:val="24"/>
          <w:lang w:val="en-US"/>
        </w:rPr>
        <w:t>.</w:t>
      </w:r>
      <w:r w:rsidR="00DB50CB" w:rsidRPr="00BE65C7">
        <w:rPr>
          <w:rFonts w:ascii="Times New Roman" w:hAnsi="Times New Roman" w:cs="Times New Roman"/>
          <w:color w:val="000000" w:themeColor="text1"/>
          <w:sz w:val="24"/>
          <w:szCs w:val="24"/>
          <w:lang w:val="en-US"/>
        </w:rPr>
        <w:t xml:space="preserve"> While emerging markets are characterized by poor corporate governance, less protection </w:t>
      </w:r>
      <w:r w:rsidR="006B2F10" w:rsidRPr="00BE65C7">
        <w:rPr>
          <w:rFonts w:ascii="Times New Roman" w:hAnsi="Times New Roman" w:cs="Times New Roman"/>
          <w:color w:val="000000" w:themeColor="text1"/>
          <w:sz w:val="24"/>
          <w:szCs w:val="24"/>
          <w:lang w:val="en-US"/>
        </w:rPr>
        <w:t>for</w:t>
      </w:r>
      <w:r w:rsidR="00DB50CB" w:rsidRPr="00BE65C7">
        <w:rPr>
          <w:rFonts w:ascii="Times New Roman" w:hAnsi="Times New Roman" w:cs="Times New Roman"/>
          <w:color w:val="000000" w:themeColor="text1"/>
          <w:sz w:val="24"/>
          <w:szCs w:val="24"/>
          <w:lang w:val="en-US"/>
        </w:rPr>
        <w:t xml:space="preserve"> minority shareholders, financial constraints faced by firms</w:t>
      </w:r>
      <w:r w:rsidR="006B2F10" w:rsidRPr="00BE65C7">
        <w:rPr>
          <w:rFonts w:ascii="Times New Roman" w:hAnsi="Times New Roman" w:cs="Times New Roman"/>
          <w:color w:val="000000" w:themeColor="text1"/>
          <w:sz w:val="24"/>
          <w:szCs w:val="24"/>
          <w:lang w:val="en-US"/>
        </w:rPr>
        <w:t>,</w:t>
      </w:r>
      <w:r w:rsidR="00DB50CB" w:rsidRPr="00BE65C7">
        <w:rPr>
          <w:rFonts w:ascii="Times New Roman" w:hAnsi="Times New Roman" w:cs="Times New Roman"/>
          <w:color w:val="000000" w:themeColor="text1"/>
          <w:sz w:val="24"/>
          <w:szCs w:val="24"/>
          <w:lang w:val="en-US"/>
        </w:rPr>
        <w:t xml:space="preserve"> and less developed financial markets, the developed markets have </w:t>
      </w:r>
      <w:r w:rsidR="001566AC" w:rsidRPr="00BE65C7">
        <w:rPr>
          <w:rFonts w:ascii="Times New Roman" w:hAnsi="Times New Roman" w:cs="Times New Roman"/>
          <w:color w:val="000000" w:themeColor="text1"/>
          <w:sz w:val="24"/>
          <w:szCs w:val="24"/>
          <w:lang w:val="en-US"/>
        </w:rPr>
        <w:t>fewer</w:t>
      </w:r>
      <w:r w:rsidR="00DB50CB" w:rsidRPr="00BE65C7">
        <w:rPr>
          <w:rFonts w:ascii="Times New Roman" w:hAnsi="Times New Roman" w:cs="Times New Roman"/>
          <w:color w:val="000000" w:themeColor="text1"/>
          <w:sz w:val="24"/>
          <w:szCs w:val="24"/>
          <w:lang w:val="en-US"/>
        </w:rPr>
        <w:t xml:space="preserve"> issues with </w:t>
      </w:r>
      <w:r w:rsidR="007B2894" w:rsidRPr="00BE65C7">
        <w:rPr>
          <w:rFonts w:ascii="Times New Roman" w:hAnsi="Times New Roman" w:cs="Times New Roman"/>
          <w:color w:val="000000" w:themeColor="text1"/>
          <w:sz w:val="24"/>
          <w:szCs w:val="24"/>
          <w:lang w:val="en-US"/>
        </w:rPr>
        <w:t>these</w:t>
      </w:r>
      <w:r w:rsidR="000E21DD" w:rsidRPr="00BE65C7">
        <w:rPr>
          <w:rFonts w:ascii="Times New Roman" w:hAnsi="Times New Roman" w:cs="Times New Roman"/>
          <w:color w:val="000000" w:themeColor="text1"/>
          <w:sz w:val="24"/>
          <w:szCs w:val="24"/>
          <w:lang w:val="en-US"/>
        </w:rPr>
        <w:t xml:space="preserve"> </w:t>
      </w:r>
      <w:r w:rsidR="00DB50CB" w:rsidRPr="00BE65C7">
        <w:rPr>
          <w:rFonts w:ascii="Times New Roman" w:hAnsi="Times New Roman" w:cs="Times New Roman"/>
          <w:color w:val="000000" w:themeColor="text1"/>
          <w:sz w:val="24"/>
          <w:szCs w:val="24"/>
          <w:lang w:val="en-US"/>
        </w:rPr>
        <w:t xml:space="preserve">problems (Bekaert and </w:t>
      </w:r>
      <w:proofErr w:type="spellStart"/>
      <w:r w:rsidR="00DB50CB" w:rsidRPr="00BE65C7">
        <w:rPr>
          <w:rFonts w:ascii="Times New Roman" w:hAnsi="Times New Roman" w:cs="Times New Roman"/>
          <w:color w:val="000000" w:themeColor="text1"/>
          <w:sz w:val="24"/>
          <w:szCs w:val="24"/>
          <w:lang w:val="en-US"/>
        </w:rPr>
        <w:t>Lundlblad</w:t>
      </w:r>
      <w:proofErr w:type="spellEnd"/>
      <w:r w:rsidR="00DB50CB" w:rsidRPr="00BE65C7">
        <w:rPr>
          <w:rFonts w:ascii="Times New Roman" w:hAnsi="Times New Roman" w:cs="Times New Roman"/>
          <w:color w:val="000000" w:themeColor="text1"/>
          <w:sz w:val="24"/>
          <w:szCs w:val="24"/>
          <w:lang w:val="en-US"/>
        </w:rPr>
        <w:t xml:space="preserve">, 2003). </w:t>
      </w:r>
      <w:r w:rsidR="001566AC" w:rsidRPr="00BE65C7">
        <w:rPr>
          <w:rFonts w:ascii="Times New Roman" w:hAnsi="Times New Roman" w:cs="Times New Roman"/>
          <w:color w:val="000000" w:themeColor="text1"/>
          <w:sz w:val="24"/>
          <w:szCs w:val="24"/>
          <w:lang w:val="en-US"/>
        </w:rPr>
        <w:t>Against</w:t>
      </w:r>
      <w:r w:rsidR="00DE01DA" w:rsidRPr="00BE65C7">
        <w:rPr>
          <w:rFonts w:ascii="Times New Roman" w:hAnsi="Times New Roman" w:cs="Times New Roman"/>
          <w:color w:val="000000" w:themeColor="text1"/>
          <w:sz w:val="24"/>
          <w:szCs w:val="24"/>
          <w:lang w:val="en-US"/>
        </w:rPr>
        <w:t xml:space="preserve"> this backdrop, </w:t>
      </w:r>
      <w:r w:rsidR="00103203" w:rsidRPr="00BE65C7">
        <w:rPr>
          <w:rFonts w:ascii="Times New Roman" w:hAnsi="Times New Roman" w:cs="Times New Roman"/>
          <w:color w:val="000000" w:themeColor="text1"/>
          <w:sz w:val="24"/>
          <w:szCs w:val="24"/>
          <w:lang w:val="en-US"/>
        </w:rPr>
        <w:t xml:space="preserve">we argue that institutional investors may have different preferences for firms in </w:t>
      </w:r>
      <w:r w:rsidR="00DE01DA" w:rsidRPr="00BE65C7">
        <w:rPr>
          <w:rFonts w:ascii="Times New Roman" w:hAnsi="Times New Roman" w:cs="Times New Roman"/>
          <w:color w:val="000000" w:themeColor="text1"/>
          <w:sz w:val="24"/>
          <w:szCs w:val="24"/>
          <w:lang w:val="en-US"/>
        </w:rPr>
        <w:t>emerging and developed economies</w:t>
      </w:r>
      <w:r w:rsidR="00600970">
        <w:rPr>
          <w:rFonts w:ascii="Times New Roman" w:hAnsi="Times New Roman" w:cs="Times New Roman"/>
          <w:color w:val="000000" w:themeColor="text1"/>
          <w:sz w:val="24"/>
          <w:szCs w:val="24"/>
          <w:lang w:val="en-US"/>
        </w:rPr>
        <w:t>.</w:t>
      </w:r>
      <w:r w:rsidR="009F2B1A" w:rsidRPr="00BE65C7">
        <w:rPr>
          <w:rFonts w:ascii="Times New Roman" w:hAnsi="Times New Roman" w:cs="Times New Roman"/>
          <w:color w:val="000000" w:themeColor="text1"/>
          <w:sz w:val="24"/>
          <w:szCs w:val="24"/>
          <w:lang w:val="en-US"/>
        </w:rPr>
        <w:t xml:space="preserve"> </w:t>
      </w:r>
      <w:r w:rsidR="002D0293" w:rsidRPr="00582A7F">
        <w:rPr>
          <w:rFonts w:ascii="Times New Roman" w:hAnsi="Times New Roman" w:cs="Times New Roman"/>
          <w:color w:val="000000" w:themeColor="text1"/>
          <w:sz w:val="24"/>
          <w:szCs w:val="24"/>
          <w:lang w:val="en-US"/>
        </w:rPr>
        <w:t>Agrawal et al. (2005) find that foreign capital significantly contributes to economic growth in countries with developing financial systems, and that emerging markets display considerable variation in both country-level and firm-level policies that can impact foreign investment flows. They further argue that institutional investors are not primarily drawn to emerging markets for higher returns; rather, they exhibit specific preferences when selecting firms in these markets for investment.</w:t>
      </w:r>
    </w:p>
    <w:p w14:paraId="3080E2F6" w14:textId="4BAD99C9" w:rsidR="00936488" w:rsidRDefault="00EF3C98" w:rsidP="00133C70">
      <w:pPr>
        <w:spacing w:line="360" w:lineRule="auto"/>
        <w:ind w:firstLine="72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lang w:val="en-US"/>
        </w:rPr>
        <w:t>LaPorta et al. (2002)</w:t>
      </w:r>
      <w:r w:rsidR="00AD3C6B" w:rsidRPr="00BE65C7">
        <w:rPr>
          <w:rFonts w:ascii="Times New Roman" w:hAnsi="Times New Roman" w:cs="Times New Roman"/>
          <w:color w:val="000000" w:themeColor="text1"/>
          <w:sz w:val="24"/>
          <w:szCs w:val="24"/>
          <w:lang w:val="en-US"/>
        </w:rPr>
        <w:t xml:space="preserve"> </w:t>
      </w:r>
      <w:r w:rsidRPr="00BE65C7">
        <w:rPr>
          <w:rFonts w:ascii="Times New Roman" w:hAnsi="Times New Roman" w:cs="Times New Roman"/>
          <w:color w:val="000000" w:themeColor="text1"/>
          <w:sz w:val="24"/>
          <w:szCs w:val="24"/>
          <w:lang w:val="en-US"/>
        </w:rPr>
        <w:t xml:space="preserve">argue that </w:t>
      </w:r>
      <w:r w:rsidR="002B6E37" w:rsidRPr="00BE65C7">
        <w:rPr>
          <w:rFonts w:ascii="Times New Roman" w:hAnsi="Times New Roman" w:cs="Times New Roman"/>
          <w:color w:val="000000" w:themeColor="text1"/>
          <w:sz w:val="24"/>
          <w:szCs w:val="24"/>
          <w:lang w:val="en-US"/>
        </w:rPr>
        <w:t xml:space="preserve">it is critical to recognize the differences in the ownership structures across countries because </w:t>
      </w:r>
      <w:r w:rsidR="00E34F32" w:rsidRPr="00BE65C7">
        <w:rPr>
          <w:rFonts w:ascii="Times New Roman" w:hAnsi="Times New Roman" w:cs="Times New Roman"/>
          <w:color w:val="000000" w:themeColor="text1"/>
          <w:sz w:val="24"/>
          <w:szCs w:val="24"/>
          <w:lang w:val="en-US"/>
        </w:rPr>
        <w:t>these differences have a bearing on the power and incentives of the controlling shareholders to expropriate minority shareholders.</w:t>
      </w:r>
      <w:r w:rsidR="00DB50CB" w:rsidRPr="00BE65C7">
        <w:rPr>
          <w:rFonts w:ascii="Times New Roman" w:hAnsi="Times New Roman" w:cs="Times New Roman"/>
          <w:color w:val="000000" w:themeColor="text1"/>
          <w:sz w:val="24"/>
          <w:szCs w:val="24"/>
          <w:lang w:val="en-US"/>
        </w:rPr>
        <w:t xml:space="preserve"> </w:t>
      </w:r>
      <w:r w:rsidR="004969D9" w:rsidRPr="00BE65C7">
        <w:rPr>
          <w:rFonts w:ascii="Times New Roman" w:hAnsi="Times New Roman" w:cs="Times New Roman"/>
          <w:color w:val="000000" w:themeColor="text1"/>
          <w:sz w:val="24"/>
          <w:szCs w:val="24"/>
          <w:lang w:val="en-US"/>
        </w:rPr>
        <w:t>In a recent study, Lee and Wang (2021) find that fi</w:t>
      </w:r>
      <w:r w:rsidR="006B2F10" w:rsidRPr="00BE65C7">
        <w:rPr>
          <w:rFonts w:ascii="Times New Roman" w:hAnsi="Times New Roman" w:cs="Times New Roman"/>
          <w:color w:val="000000" w:themeColor="text1"/>
          <w:sz w:val="24"/>
          <w:szCs w:val="24"/>
          <w:lang w:val="en-US"/>
        </w:rPr>
        <w:t>nancially constrained firms hold more cash with increase</w:t>
      </w:r>
      <w:r w:rsidR="00110F4F" w:rsidRPr="00BE65C7">
        <w:rPr>
          <w:rFonts w:ascii="Times New Roman" w:hAnsi="Times New Roman" w:cs="Times New Roman"/>
          <w:color w:val="000000" w:themeColor="text1"/>
          <w:sz w:val="24"/>
          <w:szCs w:val="24"/>
          <w:lang w:val="en-US"/>
        </w:rPr>
        <w:t xml:space="preserve"> in</w:t>
      </w:r>
      <w:r w:rsidR="004969D9" w:rsidRPr="00BE65C7">
        <w:rPr>
          <w:rFonts w:ascii="Times New Roman" w:hAnsi="Times New Roman" w:cs="Times New Roman"/>
          <w:color w:val="000000" w:themeColor="text1"/>
          <w:sz w:val="24"/>
          <w:szCs w:val="24"/>
          <w:lang w:val="en-US"/>
        </w:rPr>
        <w:t xml:space="preserve"> geopolitical risk. </w:t>
      </w:r>
      <w:r w:rsidR="00960A44" w:rsidRPr="00BE65C7">
        <w:rPr>
          <w:rFonts w:ascii="Times New Roman" w:hAnsi="Times New Roman" w:cs="Times New Roman"/>
          <w:color w:val="000000" w:themeColor="text1"/>
          <w:sz w:val="24"/>
          <w:szCs w:val="24"/>
          <w:lang w:val="en-US"/>
        </w:rPr>
        <w:t>Lee and Park (</w:t>
      </w:r>
      <w:r w:rsidR="00BD0246" w:rsidRPr="00BE65C7">
        <w:rPr>
          <w:rFonts w:ascii="Times New Roman" w:hAnsi="Times New Roman" w:cs="Times New Roman"/>
          <w:color w:val="000000" w:themeColor="text1"/>
          <w:sz w:val="24"/>
          <w:szCs w:val="24"/>
          <w:lang w:val="en-US"/>
        </w:rPr>
        <w:t>2016) provide evidence that</w:t>
      </w:r>
      <w:r w:rsidR="00BD0246" w:rsidRPr="00BE65C7">
        <w:rPr>
          <w:rFonts w:ascii="Times New Roman" w:hAnsi="Times New Roman" w:cs="Times New Roman"/>
          <w:color w:val="000000" w:themeColor="text1"/>
          <w:sz w:val="24"/>
          <w:szCs w:val="24"/>
        </w:rPr>
        <w:t xml:space="preserve"> board governance mitigates agency concerns in cash holdings more significantly for financially less-constrained firms.</w:t>
      </w:r>
      <w:r w:rsidR="00975D67" w:rsidRPr="00BE65C7">
        <w:rPr>
          <w:rFonts w:ascii="Times New Roman" w:hAnsi="Times New Roman" w:cs="Times New Roman"/>
          <w:color w:val="000000" w:themeColor="text1"/>
          <w:sz w:val="24"/>
          <w:szCs w:val="24"/>
        </w:rPr>
        <w:t xml:space="preserve"> </w:t>
      </w:r>
      <w:r w:rsidR="006F4B5D" w:rsidRPr="00BE65C7">
        <w:rPr>
          <w:rFonts w:ascii="Times New Roman" w:hAnsi="Times New Roman" w:cs="Times New Roman"/>
          <w:color w:val="000000" w:themeColor="text1"/>
          <w:sz w:val="24"/>
          <w:szCs w:val="24"/>
        </w:rPr>
        <w:t>This</w:t>
      </w:r>
      <w:r w:rsidR="006B2F10" w:rsidRPr="00BE65C7">
        <w:rPr>
          <w:rFonts w:ascii="Times New Roman" w:hAnsi="Times New Roman" w:cs="Times New Roman"/>
          <w:color w:val="000000" w:themeColor="text1"/>
          <w:sz w:val="24"/>
          <w:szCs w:val="24"/>
        </w:rPr>
        <w:t>,</w:t>
      </w:r>
      <w:r w:rsidR="006F4B5D" w:rsidRPr="00BE65C7">
        <w:rPr>
          <w:rFonts w:ascii="Times New Roman" w:hAnsi="Times New Roman" w:cs="Times New Roman"/>
          <w:color w:val="000000" w:themeColor="text1"/>
          <w:sz w:val="24"/>
          <w:szCs w:val="24"/>
        </w:rPr>
        <w:t xml:space="preserve"> however, will depend on the business environment in which a firm operates.</w:t>
      </w:r>
      <w:r w:rsidR="00263ED6" w:rsidRPr="00BE65C7">
        <w:rPr>
          <w:rFonts w:ascii="Times New Roman" w:hAnsi="Times New Roman" w:cs="Times New Roman"/>
          <w:color w:val="000000" w:themeColor="text1"/>
          <w:sz w:val="24"/>
          <w:szCs w:val="24"/>
        </w:rPr>
        <w:t xml:space="preserve"> </w:t>
      </w:r>
      <w:r w:rsidR="00AB4BC8" w:rsidRPr="00A9456F">
        <w:rPr>
          <w:rFonts w:ascii="Times New Roman" w:hAnsi="Times New Roman" w:cs="Times New Roman"/>
          <w:color w:val="0070C0"/>
          <w:sz w:val="24"/>
          <w:szCs w:val="24"/>
        </w:rPr>
        <w:t xml:space="preserve">In the study of Japanese firms, </w:t>
      </w:r>
      <w:r w:rsidR="00AB4BC8" w:rsidRPr="00A9456F">
        <w:rPr>
          <w:rFonts w:ascii="Times New Roman" w:hAnsi="Times New Roman" w:cs="Times New Roman"/>
          <w:color w:val="0070C0"/>
          <w:sz w:val="24"/>
          <w:szCs w:val="24"/>
          <w:shd w:val="clear" w:color="auto" w:fill="FFFFFF"/>
        </w:rPr>
        <w:t>Nguyen</w:t>
      </w:r>
      <w:r w:rsidR="00AB4BC8" w:rsidRPr="00A9456F">
        <w:rPr>
          <w:rFonts w:ascii="Times New Roman" w:hAnsi="Times New Roman" w:cs="Times New Roman"/>
          <w:color w:val="0070C0"/>
          <w:sz w:val="24"/>
          <w:szCs w:val="24"/>
        </w:rPr>
        <w:t xml:space="preserve"> and Rahman (2020) find that higher institutional ownership and lower cross-shareholdings are associated with higher cash balances and managers spend the cash quickly</w:t>
      </w:r>
      <w:r w:rsidR="00AB4BC8">
        <w:rPr>
          <w:rFonts w:ascii="Times New Roman" w:hAnsi="Times New Roman" w:cs="Times New Roman"/>
          <w:color w:val="000000" w:themeColor="text1"/>
          <w:sz w:val="24"/>
          <w:szCs w:val="24"/>
        </w:rPr>
        <w:t xml:space="preserve">. </w:t>
      </w:r>
      <w:r w:rsidR="00263ED6" w:rsidRPr="00BE65C7">
        <w:rPr>
          <w:rFonts w:ascii="Times New Roman" w:hAnsi="Times New Roman" w:cs="Times New Roman"/>
          <w:color w:val="000000" w:themeColor="text1"/>
          <w:sz w:val="24"/>
          <w:szCs w:val="24"/>
        </w:rPr>
        <w:t>Since past studies have highlighted the distinctively different business environment (which includes economic policies, political environment</w:t>
      </w:r>
      <w:r w:rsidR="006B2F10" w:rsidRPr="00BE65C7">
        <w:rPr>
          <w:rFonts w:ascii="Times New Roman" w:hAnsi="Times New Roman" w:cs="Times New Roman"/>
          <w:color w:val="000000" w:themeColor="text1"/>
          <w:sz w:val="24"/>
          <w:szCs w:val="24"/>
        </w:rPr>
        <w:t>,</w:t>
      </w:r>
      <w:r w:rsidR="00263ED6" w:rsidRPr="00BE65C7">
        <w:rPr>
          <w:rFonts w:ascii="Times New Roman" w:hAnsi="Times New Roman" w:cs="Times New Roman"/>
          <w:color w:val="000000" w:themeColor="text1"/>
          <w:sz w:val="24"/>
          <w:szCs w:val="24"/>
        </w:rPr>
        <w:t xml:space="preserve"> etc.) of emerging markets than those of developed ones, we argue that</w:t>
      </w:r>
      <w:r w:rsidR="0084050B" w:rsidRPr="00BE65C7">
        <w:rPr>
          <w:rFonts w:ascii="Times New Roman" w:hAnsi="Times New Roman" w:cs="Times New Roman"/>
          <w:color w:val="000000" w:themeColor="text1"/>
          <w:sz w:val="24"/>
          <w:szCs w:val="24"/>
        </w:rPr>
        <w:t xml:space="preserve"> </w:t>
      </w:r>
      <w:r w:rsidR="00DD45E8" w:rsidRPr="00BE65C7">
        <w:rPr>
          <w:rFonts w:ascii="Times New Roman" w:hAnsi="Times New Roman" w:cs="Times New Roman"/>
          <w:color w:val="000000" w:themeColor="text1"/>
          <w:sz w:val="24"/>
          <w:szCs w:val="24"/>
        </w:rPr>
        <w:t xml:space="preserve">institutional investors may induce the </w:t>
      </w:r>
      <w:r w:rsidR="00F70138" w:rsidRPr="00BE65C7">
        <w:rPr>
          <w:rFonts w:ascii="Times New Roman" w:hAnsi="Times New Roman" w:cs="Times New Roman"/>
          <w:color w:val="000000" w:themeColor="text1"/>
          <w:sz w:val="24"/>
          <w:szCs w:val="24"/>
        </w:rPr>
        <w:t xml:space="preserve">financially constrained firms </w:t>
      </w:r>
      <w:r w:rsidR="00DD45E8" w:rsidRPr="00BE65C7">
        <w:rPr>
          <w:rFonts w:ascii="Times New Roman" w:hAnsi="Times New Roman" w:cs="Times New Roman"/>
          <w:color w:val="000000" w:themeColor="text1"/>
          <w:sz w:val="24"/>
          <w:szCs w:val="24"/>
        </w:rPr>
        <w:t xml:space="preserve">in emerging markets </w:t>
      </w:r>
      <w:r w:rsidR="00F70138" w:rsidRPr="00BE65C7">
        <w:rPr>
          <w:rFonts w:ascii="Times New Roman" w:hAnsi="Times New Roman" w:cs="Times New Roman"/>
          <w:color w:val="000000" w:themeColor="text1"/>
          <w:sz w:val="24"/>
          <w:szCs w:val="24"/>
        </w:rPr>
        <w:t xml:space="preserve">to hold more cash </w:t>
      </w:r>
      <w:r w:rsidR="00AE0325" w:rsidRPr="00BE65C7">
        <w:rPr>
          <w:rFonts w:ascii="Times New Roman" w:hAnsi="Times New Roman" w:cs="Times New Roman"/>
          <w:color w:val="000000" w:themeColor="text1"/>
          <w:sz w:val="24"/>
          <w:szCs w:val="24"/>
        </w:rPr>
        <w:t>to</w:t>
      </w:r>
      <w:r w:rsidR="00F70138" w:rsidRPr="00BE65C7">
        <w:rPr>
          <w:rFonts w:ascii="Times New Roman" w:hAnsi="Times New Roman" w:cs="Times New Roman"/>
          <w:color w:val="000000" w:themeColor="text1"/>
          <w:sz w:val="24"/>
          <w:szCs w:val="24"/>
        </w:rPr>
        <w:t xml:space="preserve"> provide a cushion against increasing uncertainty in the </w:t>
      </w:r>
      <w:r w:rsidR="00577234" w:rsidRPr="00BE65C7">
        <w:rPr>
          <w:rFonts w:ascii="Times New Roman" w:hAnsi="Times New Roman" w:cs="Times New Roman"/>
          <w:color w:val="000000" w:themeColor="text1"/>
          <w:sz w:val="24"/>
          <w:szCs w:val="24"/>
        </w:rPr>
        <w:t>existing</w:t>
      </w:r>
      <w:r w:rsidR="00F70138" w:rsidRPr="00BE65C7">
        <w:rPr>
          <w:rFonts w:ascii="Times New Roman" w:hAnsi="Times New Roman" w:cs="Times New Roman"/>
          <w:color w:val="000000" w:themeColor="text1"/>
          <w:sz w:val="24"/>
          <w:szCs w:val="24"/>
        </w:rPr>
        <w:t xml:space="preserve"> business environment. </w:t>
      </w:r>
      <w:r w:rsidR="00F4497D" w:rsidRPr="00BE65C7">
        <w:rPr>
          <w:rFonts w:ascii="Times New Roman" w:hAnsi="Times New Roman" w:cs="Times New Roman"/>
          <w:color w:val="000000" w:themeColor="text1"/>
          <w:sz w:val="24"/>
          <w:szCs w:val="24"/>
        </w:rPr>
        <w:t>On the other hand, the institutional investors may force the firms in developed markets</w:t>
      </w:r>
      <w:r w:rsidR="00571C5C" w:rsidRPr="00BE65C7">
        <w:rPr>
          <w:rFonts w:ascii="Times New Roman" w:hAnsi="Times New Roman" w:cs="Times New Roman"/>
          <w:color w:val="000000" w:themeColor="text1"/>
          <w:sz w:val="24"/>
          <w:szCs w:val="24"/>
        </w:rPr>
        <w:t xml:space="preserve"> to disgorge excess cash even if they are financially constrained</w:t>
      </w:r>
      <w:r w:rsidR="006B2F10" w:rsidRPr="00BE65C7">
        <w:rPr>
          <w:rFonts w:ascii="Times New Roman" w:hAnsi="Times New Roman" w:cs="Times New Roman"/>
          <w:color w:val="000000" w:themeColor="text1"/>
          <w:sz w:val="24"/>
          <w:szCs w:val="24"/>
        </w:rPr>
        <w:t>. These firms can remove the constraints through effective corporate governance mechanisms that</w:t>
      </w:r>
      <w:r w:rsidR="00CC28CD" w:rsidRPr="00BE65C7">
        <w:rPr>
          <w:rFonts w:ascii="Times New Roman" w:hAnsi="Times New Roman" w:cs="Times New Roman"/>
          <w:color w:val="000000" w:themeColor="text1"/>
          <w:sz w:val="24"/>
          <w:szCs w:val="24"/>
        </w:rPr>
        <w:t xml:space="preserve"> are relatively easier to implement in developed markets. </w:t>
      </w:r>
    </w:p>
    <w:p w14:paraId="1435C6E2" w14:textId="5BDC60F8" w:rsidR="00103203" w:rsidRPr="00BE65C7" w:rsidRDefault="00577234" w:rsidP="00936488">
      <w:pPr>
        <w:spacing w:line="360" w:lineRule="auto"/>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rPr>
        <w:t>Accordingly,</w:t>
      </w:r>
      <w:r w:rsidRPr="00BE65C7">
        <w:rPr>
          <w:rFonts w:ascii="Times New Roman" w:hAnsi="Times New Roman" w:cs="Times New Roman"/>
          <w:color w:val="000000" w:themeColor="text1"/>
          <w:sz w:val="24"/>
          <w:szCs w:val="24"/>
          <w:lang w:val="en-US"/>
        </w:rPr>
        <w:t xml:space="preserve"> </w:t>
      </w:r>
      <w:r w:rsidR="007B2894">
        <w:rPr>
          <w:rFonts w:ascii="Times New Roman" w:hAnsi="Times New Roman" w:cs="Times New Roman"/>
          <w:color w:val="000000" w:themeColor="text1"/>
          <w:sz w:val="24"/>
          <w:szCs w:val="24"/>
          <w:lang w:val="en-US"/>
        </w:rPr>
        <w:t>we hypothesize that</w:t>
      </w:r>
      <w:r w:rsidR="001C57FA" w:rsidRPr="00BE65C7">
        <w:rPr>
          <w:rFonts w:ascii="Times New Roman" w:hAnsi="Times New Roman" w:cs="Times New Roman"/>
          <w:color w:val="000000" w:themeColor="text1"/>
          <w:sz w:val="24"/>
          <w:szCs w:val="24"/>
          <w:lang w:val="en-US"/>
        </w:rPr>
        <w:t>:</w:t>
      </w:r>
    </w:p>
    <w:p w14:paraId="0A9B4495" w14:textId="154E01B5" w:rsidR="00577234" w:rsidRPr="00B763A8" w:rsidRDefault="00866B27" w:rsidP="00577234">
      <w:pPr>
        <w:spacing w:line="360" w:lineRule="auto"/>
        <w:jc w:val="both"/>
        <w:rPr>
          <w:rFonts w:ascii="Times New Roman" w:hAnsi="Times New Roman" w:cs="Times New Roman"/>
          <w:i/>
          <w:iCs/>
          <w:color w:val="44546A" w:themeColor="text2"/>
          <w:sz w:val="24"/>
          <w:szCs w:val="24"/>
          <w:lang w:val="en-US"/>
        </w:rPr>
      </w:pPr>
      <w:r w:rsidRPr="00B763A8">
        <w:rPr>
          <w:rFonts w:ascii="Times New Roman" w:hAnsi="Times New Roman" w:cs="Times New Roman"/>
          <w:b/>
          <w:bCs/>
          <w:i/>
          <w:iCs/>
          <w:color w:val="44546A" w:themeColor="text2"/>
          <w:sz w:val="24"/>
          <w:szCs w:val="24"/>
          <w:lang w:val="en-US"/>
        </w:rPr>
        <w:t>H</w:t>
      </w:r>
      <w:r w:rsidR="007B2894" w:rsidRPr="00B763A8">
        <w:rPr>
          <w:rFonts w:ascii="Times New Roman" w:hAnsi="Times New Roman" w:cs="Times New Roman"/>
          <w:b/>
          <w:bCs/>
          <w:i/>
          <w:iCs/>
          <w:color w:val="44546A" w:themeColor="text2"/>
          <w:sz w:val="24"/>
          <w:szCs w:val="24"/>
          <w:vertAlign w:val="subscript"/>
          <w:lang w:val="en-US"/>
        </w:rPr>
        <w:t>1a</w:t>
      </w:r>
      <w:r w:rsidRPr="00B763A8">
        <w:rPr>
          <w:rFonts w:ascii="Times New Roman" w:hAnsi="Times New Roman" w:cs="Times New Roman"/>
          <w:b/>
          <w:bCs/>
          <w:i/>
          <w:iCs/>
          <w:color w:val="44546A" w:themeColor="text2"/>
          <w:sz w:val="24"/>
          <w:szCs w:val="24"/>
          <w:lang w:val="en-US"/>
        </w:rPr>
        <w:t xml:space="preserve">: </w:t>
      </w:r>
      <w:r w:rsidR="00577234" w:rsidRPr="00B763A8">
        <w:rPr>
          <w:rFonts w:ascii="Times New Roman" w:hAnsi="Times New Roman" w:cs="Times New Roman"/>
          <w:b/>
          <w:bCs/>
          <w:i/>
          <w:iCs/>
          <w:color w:val="44546A" w:themeColor="text2"/>
          <w:sz w:val="24"/>
          <w:szCs w:val="24"/>
          <w:lang w:val="en-US"/>
        </w:rPr>
        <w:t xml:space="preserve">Institutional investors </w:t>
      </w:r>
      <w:r w:rsidR="00110F4F" w:rsidRPr="00B763A8">
        <w:rPr>
          <w:rFonts w:ascii="Times New Roman" w:hAnsi="Times New Roman" w:cs="Times New Roman"/>
          <w:b/>
          <w:bCs/>
          <w:i/>
          <w:iCs/>
          <w:color w:val="44546A" w:themeColor="text2"/>
          <w:sz w:val="24"/>
          <w:szCs w:val="24"/>
          <w:lang w:val="en-US"/>
        </w:rPr>
        <w:t>ha</w:t>
      </w:r>
      <w:r w:rsidR="00BC2251" w:rsidRPr="00B763A8">
        <w:rPr>
          <w:rFonts w:ascii="Times New Roman" w:hAnsi="Times New Roman" w:cs="Times New Roman"/>
          <w:b/>
          <w:bCs/>
          <w:i/>
          <w:iCs/>
          <w:color w:val="44546A" w:themeColor="text2"/>
          <w:sz w:val="24"/>
          <w:szCs w:val="24"/>
          <w:lang w:val="en-US"/>
        </w:rPr>
        <w:t>ve</w:t>
      </w:r>
      <w:r w:rsidR="00110F4F" w:rsidRPr="00B763A8">
        <w:rPr>
          <w:rFonts w:ascii="Times New Roman" w:hAnsi="Times New Roman" w:cs="Times New Roman"/>
          <w:b/>
          <w:bCs/>
          <w:i/>
          <w:iCs/>
          <w:color w:val="44546A" w:themeColor="text2"/>
          <w:sz w:val="24"/>
          <w:szCs w:val="24"/>
          <w:lang w:val="en-US"/>
        </w:rPr>
        <w:t xml:space="preserve"> positive (negative) relationship</w:t>
      </w:r>
      <w:r w:rsidR="00577234" w:rsidRPr="00B763A8">
        <w:rPr>
          <w:rFonts w:ascii="Times New Roman" w:hAnsi="Times New Roman" w:cs="Times New Roman"/>
          <w:b/>
          <w:bCs/>
          <w:i/>
          <w:iCs/>
          <w:color w:val="44546A" w:themeColor="text2"/>
          <w:sz w:val="24"/>
          <w:szCs w:val="24"/>
          <w:lang w:val="en-US"/>
        </w:rPr>
        <w:t xml:space="preserve"> </w:t>
      </w:r>
      <w:r w:rsidR="00110F4F" w:rsidRPr="00B763A8">
        <w:rPr>
          <w:rFonts w:ascii="Times New Roman" w:hAnsi="Times New Roman" w:cs="Times New Roman"/>
          <w:b/>
          <w:bCs/>
          <w:i/>
          <w:iCs/>
          <w:color w:val="44546A" w:themeColor="text2"/>
          <w:sz w:val="24"/>
          <w:szCs w:val="24"/>
          <w:lang w:val="en-US"/>
        </w:rPr>
        <w:t xml:space="preserve">with </w:t>
      </w:r>
      <w:r w:rsidR="00577234" w:rsidRPr="00B763A8">
        <w:rPr>
          <w:rFonts w:ascii="Times New Roman" w:hAnsi="Times New Roman" w:cs="Times New Roman"/>
          <w:b/>
          <w:bCs/>
          <w:i/>
          <w:iCs/>
          <w:color w:val="44546A" w:themeColor="text2"/>
          <w:sz w:val="24"/>
          <w:szCs w:val="24"/>
          <w:lang w:val="en-US"/>
        </w:rPr>
        <w:t>cash holdings for financially constrained firms</w:t>
      </w:r>
      <w:r w:rsidR="009026AE" w:rsidRPr="00B763A8">
        <w:rPr>
          <w:rFonts w:ascii="Times New Roman" w:hAnsi="Times New Roman" w:cs="Times New Roman"/>
          <w:b/>
          <w:bCs/>
          <w:i/>
          <w:iCs/>
          <w:color w:val="44546A" w:themeColor="text2"/>
          <w:sz w:val="24"/>
          <w:szCs w:val="24"/>
          <w:lang w:val="en-US"/>
        </w:rPr>
        <w:t xml:space="preserve"> in emerging</w:t>
      </w:r>
      <w:r w:rsidR="00110F4F" w:rsidRPr="00B763A8">
        <w:rPr>
          <w:rFonts w:ascii="Times New Roman" w:hAnsi="Times New Roman" w:cs="Times New Roman"/>
          <w:b/>
          <w:bCs/>
          <w:i/>
          <w:iCs/>
          <w:color w:val="44546A" w:themeColor="text2"/>
          <w:sz w:val="24"/>
          <w:szCs w:val="24"/>
          <w:lang w:val="en-US"/>
        </w:rPr>
        <w:t xml:space="preserve"> (developed)</w:t>
      </w:r>
      <w:r w:rsidR="009026AE" w:rsidRPr="00B763A8">
        <w:rPr>
          <w:rFonts w:ascii="Times New Roman" w:hAnsi="Times New Roman" w:cs="Times New Roman"/>
          <w:b/>
          <w:bCs/>
          <w:i/>
          <w:iCs/>
          <w:color w:val="44546A" w:themeColor="text2"/>
          <w:sz w:val="24"/>
          <w:szCs w:val="24"/>
          <w:lang w:val="en-US"/>
        </w:rPr>
        <w:t xml:space="preserve"> </w:t>
      </w:r>
      <w:r w:rsidR="00110F4F" w:rsidRPr="00B763A8">
        <w:rPr>
          <w:rFonts w:ascii="Times New Roman" w:hAnsi="Times New Roman" w:cs="Times New Roman"/>
          <w:b/>
          <w:bCs/>
          <w:i/>
          <w:iCs/>
          <w:color w:val="44546A" w:themeColor="text2"/>
          <w:sz w:val="24"/>
          <w:szCs w:val="24"/>
          <w:lang w:val="en-US"/>
        </w:rPr>
        <w:t>economies</w:t>
      </w:r>
      <w:r w:rsidR="009026AE" w:rsidRPr="00B763A8">
        <w:rPr>
          <w:rFonts w:ascii="Times New Roman" w:hAnsi="Times New Roman" w:cs="Times New Roman"/>
          <w:b/>
          <w:bCs/>
          <w:i/>
          <w:iCs/>
          <w:color w:val="44546A" w:themeColor="text2"/>
          <w:sz w:val="24"/>
          <w:szCs w:val="24"/>
          <w:lang w:val="en-US"/>
        </w:rPr>
        <w:t>.</w:t>
      </w:r>
    </w:p>
    <w:p w14:paraId="5EA36656" w14:textId="537B1C76" w:rsidR="007B2894" w:rsidRDefault="00133C70" w:rsidP="00D71153">
      <w:pPr>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w:t>
      </w:r>
      <w:r w:rsidR="00702770" w:rsidRPr="00BE65C7">
        <w:rPr>
          <w:rFonts w:ascii="Times New Roman" w:hAnsi="Times New Roman" w:cs="Times New Roman"/>
          <w:color w:val="000000" w:themeColor="text1"/>
          <w:sz w:val="24"/>
          <w:szCs w:val="24"/>
          <w:lang w:val="en-US"/>
        </w:rPr>
        <w:t xml:space="preserve">ubstantial efforts have been made </w:t>
      </w:r>
      <w:r w:rsidR="00BD25BE">
        <w:rPr>
          <w:rFonts w:ascii="Times New Roman" w:hAnsi="Times New Roman" w:cs="Times New Roman"/>
          <w:color w:val="000000" w:themeColor="text1"/>
          <w:sz w:val="24"/>
          <w:szCs w:val="24"/>
          <w:lang w:val="en-US"/>
        </w:rPr>
        <w:t xml:space="preserve">in the literature </w:t>
      </w:r>
      <w:r w:rsidR="00702770" w:rsidRPr="00BE65C7">
        <w:rPr>
          <w:rFonts w:ascii="Times New Roman" w:hAnsi="Times New Roman" w:cs="Times New Roman"/>
          <w:color w:val="000000" w:themeColor="text1"/>
          <w:sz w:val="24"/>
          <w:szCs w:val="24"/>
          <w:lang w:val="en-US"/>
        </w:rPr>
        <w:t xml:space="preserve">to understand the role of a country’s environment on decision making process of firms located or operating from that country.  </w:t>
      </w:r>
      <w:r w:rsidR="00F9430A" w:rsidRPr="00BE65C7">
        <w:rPr>
          <w:rFonts w:ascii="Times New Roman" w:hAnsi="Times New Roman" w:cs="Times New Roman"/>
          <w:color w:val="000000" w:themeColor="text1"/>
          <w:sz w:val="24"/>
          <w:szCs w:val="24"/>
          <w:lang w:val="en-US"/>
        </w:rPr>
        <w:t>With increased globalization</w:t>
      </w:r>
      <w:r w:rsidR="00EE7C20" w:rsidRPr="00BE65C7">
        <w:rPr>
          <w:rFonts w:ascii="Times New Roman" w:hAnsi="Times New Roman" w:cs="Times New Roman"/>
          <w:color w:val="000000" w:themeColor="text1"/>
          <w:sz w:val="24"/>
          <w:szCs w:val="24"/>
          <w:lang w:val="en-US"/>
        </w:rPr>
        <w:t xml:space="preserve"> and internationalization of the firms, a country’s environment plays a major role in a firm’s financial performance and managerial deci</w:t>
      </w:r>
      <w:r w:rsidR="00594B2B">
        <w:rPr>
          <w:rFonts w:ascii="Times New Roman" w:hAnsi="Times New Roman" w:cs="Times New Roman"/>
          <w:color w:val="000000" w:themeColor="text1"/>
          <w:sz w:val="24"/>
          <w:szCs w:val="24"/>
          <w:lang w:val="en-US"/>
        </w:rPr>
        <w:t>si</w:t>
      </w:r>
      <w:r w:rsidR="00EE7C20" w:rsidRPr="00BE65C7">
        <w:rPr>
          <w:rFonts w:ascii="Times New Roman" w:hAnsi="Times New Roman" w:cs="Times New Roman"/>
          <w:color w:val="000000" w:themeColor="text1"/>
          <w:sz w:val="24"/>
          <w:szCs w:val="24"/>
          <w:lang w:val="en-US"/>
        </w:rPr>
        <w:t xml:space="preserve">on-making process. </w:t>
      </w:r>
      <w:r w:rsidR="000671ED" w:rsidRPr="00BE65C7">
        <w:rPr>
          <w:rFonts w:ascii="Times New Roman" w:hAnsi="Times New Roman" w:cs="Times New Roman"/>
          <w:color w:val="000000" w:themeColor="text1"/>
          <w:sz w:val="24"/>
          <w:szCs w:val="24"/>
          <w:lang w:val="en-US"/>
        </w:rPr>
        <w:t xml:space="preserve">For instance, Dittmar et al. (2003) find that firms in countries with poor shareholder protection hold twice as much cash as compared to firms in countries with stronger shareholder protection. </w:t>
      </w:r>
      <w:r w:rsidR="00EE7C20" w:rsidRPr="00BE65C7">
        <w:rPr>
          <w:rFonts w:ascii="Times New Roman" w:hAnsi="Times New Roman" w:cs="Times New Roman"/>
          <w:color w:val="000000" w:themeColor="text1"/>
          <w:sz w:val="24"/>
          <w:szCs w:val="24"/>
          <w:lang w:val="en-US"/>
        </w:rPr>
        <w:t xml:space="preserve">Some recent evidence suggests that corruption in a country significantly affects corporate cash holdings (Tran, 2020). Firms in countries with high corruption hold more cash and have higher sensitivity of cash flows. We argue that </w:t>
      </w:r>
      <w:r w:rsidR="00594B2B" w:rsidRPr="00BE65C7">
        <w:rPr>
          <w:rFonts w:ascii="Times New Roman" w:hAnsi="Times New Roman" w:cs="Times New Roman"/>
          <w:color w:val="000000" w:themeColor="text1"/>
          <w:sz w:val="24"/>
          <w:szCs w:val="24"/>
          <w:lang w:val="en-US"/>
        </w:rPr>
        <w:t>institutional</w:t>
      </w:r>
      <w:r w:rsidR="00EE7C20" w:rsidRPr="00BE65C7">
        <w:rPr>
          <w:rFonts w:ascii="Times New Roman" w:hAnsi="Times New Roman" w:cs="Times New Roman"/>
          <w:color w:val="000000" w:themeColor="text1"/>
          <w:sz w:val="24"/>
          <w:szCs w:val="24"/>
          <w:lang w:val="en-US"/>
        </w:rPr>
        <w:t xml:space="preserve"> investors often have significant influence on a country’s policy making and therefore </w:t>
      </w:r>
      <w:r w:rsidR="009D39E2" w:rsidRPr="00BE65C7">
        <w:rPr>
          <w:rFonts w:ascii="Times New Roman" w:hAnsi="Times New Roman" w:cs="Times New Roman"/>
          <w:color w:val="000000" w:themeColor="text1"/>
          <w:sz w:val="24"/>
          <w:szCs w:val="24"/>
          <w:lang w:val="en-US"/>
        </w:rPr>
        <w:t xml:space="preserve">are likely to wield pressure in the local government to act on corruption and accordingly lead the firms to reduce cash holdings. </w:t>
      </w:r>
    </w:p>
    <w:p w14:paraId="18C46071" w14:textId="4362CDC5" w:rsidR="00D71153" w:rsidRPr="00BE65C7" w:rsidRDefault="009D39E2" w:rsidP="00D71153">
      <w:pPr>
        <w:spacing w:line="360" w:lineRule="auto"/>
        <w:ind w:firstLine="720"/>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Further</w:t>
      </w:r>
      <w:r w:rsidR="00133C70">
        <w:rPr>
          <w:rFonts w:ascii="Times New Roman" w:hAnsi="Times New Roman" w:cs="Times New Roman"/>
          <w:color w:val="000000" w:themeColor="text1"/>
          <w:sz w:val="24"/>
          <w:szCs w:val="24"/>
          <w:lang w:val="en-US"/>
        </w:rPr>
        <w:t>more</w:t>
      </w:r>
      <w:r w:rsidRPr="00BE65C7">
        <w:rPr>
          <w:rFonts w:ascii="Times New Roman" w:hAnsi="Times New Roman" w:cs="Times New Roman"/>
          <w:color w:val="000000" w:themeColor="text1"/>
          <w:sz w:val="24"/>
          <w:szCs w:val="24"/>
          <w:lang w:val="en-US"/>
        </w:rPr>
        <w:t xml:space="preserve">, </w:t>
      </w:r>
      <w:r w:rsidR="00C8283F" w:rsidRPr="00BE65C7">
        <w:rPr>
          <w:rFonts w:ascii="Times New Roman" w:hAnsi="Times New Roman" w:cs="Times New Roman"/>
          <w:color w:val="000000" w:themeColor="text1"/>
          <w:sz w:val="24"/>
          <w:szCs w:val="24"/>
          <w:lang w:val="en-US"/>
        </w:rPr>
        <w:t xml:space="preserve">the legal system of a country also plays an important role in a firm’s </w:t>
      </w:r>
      <w:r w:rsidR="007B2894" w:rsidRPr="00BE65C7">
        <w:rPr>
          <w:rFonts w:ascii="Times New Roman" w:hAnsi="Times New Roman" w:cs="Times New Roman"/>
          <w:color w:val="000000" w:themeColor="text1"/>
          <w:sz w:val="24"/>
          <w:szCs w:val="24"/>
          <w:lang w:val="en-US"/>
        </w:rPr>
        <w:t>decision-making</w:t>
      </w:r>
      <w:r w:rsidR="00C8283F" w:rsidRPr="00BE65C7">
        <w:rPr>
          <w:rFonts w:ascii="Times New Roman" w:hAnsi="Times New Roman" w:cs="Times New Roman"/>
          <w:color w:val="000000" w:themeColor="text1"/>
          <w:sz w:val="24"/>
          <w:szCs w:val="24"/>
          <w:lang w:val="en-US"/>
        </w:rPr>
        <w:t xml:space="preserve"> process</w:t>
      </w:r>
      <w:r w:rsidR="00981832" w:rsidRPr="00BE65C7">
        <w:rPr>
          <w:rFonts w:ascii="Times New Roman" w:hAnsi="Times New Roman" w:cs="Times New Roman"/>
          <w:color w:val="000000" w:themeColor="text1"/>
          <w:sz w:val="24"/>
          <w:szCs w:val="24"/>
          <w:lang w:val="en-US"/>
        </w:rPr>
        <w:t>. Common law countries offer better legal protection to the shareholders as compared to civil law countries</w:t>
      </w:r>
      <w:r w:rsidR="00C8283F" w:rsidRPr="00BE65C7">
        <w:rPr>
          <w:rFonts w:ascii="Times New Roman" w:hAnsi="Times New Roman" w:cs="Times New Roman"/>
          <w:color w:val="000000" w:themeColor="text1"/>
          <w:sz w:val="24"/>
          <w:szCs w:val="24"/>
          <w:lang w:val="en-US"/>
        </w:rPr>
        <w:t xml:space="preserve"> (LaPorta et al., 19</w:t>
      </w:r>
      <w:r w:rsidR="0069701D" w:rsidRPr="00BE65C7">
        <w:rPr>
          <w:rFonts w:ascii="Times New Roman" w:hAnsi="Times New Roman" w:cs="Times New Roman"/>
          <w:color w:val="000000" w:themeColor="text1"/>
          <w:sz w:val="24"/>
          <w:szCs w:val="24"/>
          <w:lang w:val="en-US"/>
        </w:rPr>
        <w:t>87, 2002</w:t>
      </w:r>
      <w:r w:rsidR="00981832" w:rsidRPr="00BE65C7">
        <w:rPr>
          <w:rFonts w:ascii="Times New Roman" w:hAnsi="Times New Roman" w:cs="Times New Roman"/>
          <w:color w:val="000000" w:themeColor="text1"/>
          <w:sz w:val="24"/>
          <w:szCs w:val="24"/>
          <w:lang w:val="en-US"/>
        </w:rPr>
        <w:t xml:space="preserve">). Within the legal system, emerging countries are more prone and sensitive to the role of institutional investors on cash holdings decision of the firms. </w:t>
      </w:r>
      <w:r w:rsidR="00D5551C" w:rsidRPr="00D5551C">
        <w:rPr>
          <w:rFonts w:ascii="Times New Roman" w:hAnsi="Times New Roman" w:cs="Times New Roman"/>
          <w:color w:val="0070C0"/>
          <w:sz w:val="24"/>
          <w:szCs w:val="24"/>
          <w:lang w:val="en-US"/>
        </w:rPr>
        <w:t xml:space="preserve">In a recent study Duan et al. (2023) find that </w:t>
      </w:r>
      <w:r w:rsidR="00D5551C" w:rsidRPr="00D5551C">
        <w:rPr>
          <w:rFonts w:ascii="Times New Roman" w:hAnsi="Times New Roman" w:cs="Times New Roman"/>
          <w:color w:val="0070C0"/>
          <w:sz w:val="24"/>
          <w:szCs w:val="24"/>
        </w:rPr>
        <w:t xml:space="preserve">the improvement of the legal system moderates the impact of entrepreneur immigration on corporate cash holdings, deters their short-sighted </w:t>
      </w:r>
      <w:proofErr w:type="spellStart"/>
      <w:r w:rsidR="00D5551C" w:rsidRPr="00D5551C">
        <w:rPr>
          <w:rFonts w:ascii="Times New Roman" w:hAnsi="Times New Roman" w:cs="Times New Roman"/>
          <w:color w:val="0070C0"/>
          <w:sz w:val="24"/>
          <w:szCs w:val="24"/>
        </w:rPr>
        <w:t>tunneling</w:t>
      </w:r>
      <w:proofErr w:type="spellEnd"/>
      <w:r w:rsidR="00D5551C" w:rsidRPr="00D5551C">
        <w:rPr>
          <w:rFonts w:ascii="Times New Roman" w:hAnsi="Times New Roman" w:cs="Times New Roman"/>
          <w:color w:val="0070C0"/>
          <w:sz w:val="24"/>
          <w:szCs w:val="24"/>
        </w:rPr>
        <w:t>, and motivates them to put more effort into long-term innovation</w:t>
      </w:r>
      <w:r w:rsidR="00D5551C" w:rsidRPr="00D5551C">
        <w:rPr>
          <w:rFonts w:ascii="Georgia" w:hAnsi="Georgia"/>
          <w:color w:val="0070C0"/>
        </w:rPr>
        <w:t>. </w:t>
      </w:r>
      <w:r w:rsidR="002A0F09" w:rsidRPr="00D5551C">
        <w:rPr>
          <w:rFonts w:ascii="Times New Roman" w:hAnsi="Times New Roman" w:cs="Times New Roman"/>
          <w:color w:val="0070C0"/>
          <w:sz w:val="24"/>
          <w:szCs w:val="24"/>
          <w:lang w:val="en-US"/>
        </w:rPr>
        <w:t xml:space="preserve">Das and Pathak (2021) find </w:t>
      </w:r>
      <w:r w:rsidR="002A0F09" w:rsidRPr="00D5551C">
        <w:rPr>
          <w:rFonts w:ascii="Times New Roman" w:hAnsi="Times New Roman" w:cs="Times New Roman"/>
          <w:color w:val="0070C0"/>
          <w:sz w:val="24"/>
          <w:szCs w:val="24"/>
          <w:shd w:val="clear" w:color="auto" w:fill="FFFFFF"/>
        </w:rPr>
        <w:t>that firms operating in civil law systems hold significantly higher cash as compared to their peers from common law systems</w:t>
      </w:r>
      <w:r w:rsidR="002A0F09" w:rsidRPr="00D5551C">
        <w:rPr>
          <w:rFonts w:ascii="Times New Roman" w:hAnsi="Times New Roman" w:cs="Times New Roman"/>
          <w:color w:val="0070C0"/>
          <w:sz w:val="24"/>
          <w:szCs w:val="24"/>
          <w:lang w:val="en-US"/>
        </w:rPr>
        <w:t xml:space="preserve">. </w:t>
      </w:r>
      <w:r w:rsidR="0027502D" w:rsidRPr="00DB2BEB">
        <w:rPr>
          <w:rFonts w:ascii="Georgia" w:hAnsi="Georgia"/>
          <w:color w:val="0070C0"/>
        </w:rPr>
        <w:t>Managers consider improvements in judicial efficiency as increasing the probability of </w:t>
      </w:r>
      <w:r w:rsidR="00DB2BEB" w:rsidRPr="00DB2BEB">
        <w:rPr>
          <w:rFonts w:ascii="Georgia" w:hAnsi="Georgia"/>
          <w:color w:val="0070C0"/>
        </w:rPr>
        <w:t>bankruptcy</w:t>
      </w:r>
      <w:r w:rsidR="0027502D" w:rsidRPr="00DB2BEB">
        <w:rPr>
          <w:rFonts w:ascii="Georgia" w:hAnsi="Georgia"/>
          <w:color w:val="0070C0"/>
        </w:rPr>
        <w:t> and loss of their jobs, responding to this fear by hoarding extra cash as a buffer against </w:t>
      </w:r>
      <w:r w:rsidR="00DB2BEB" w:rsidRPr="00DB2BEB">
        <w:rPr>
          <w:rFonts w:ascii="Georgia" w:hAnsi="Georgia"/>
          <w:color w:val="0070C0"/>
        </w:rPr>
        <w:t>bankruptcy (Shah and Shah, 2016)</w:t>
      </w:r>
      <w:r w:rsidR="0027502D">
        <w:rPr>
          <w:rFonts w:ascii="Georgia" w:hAnsi="Georgia"/>
          <w:color w:val="1F1F1F"/>
        </w:rPr>
        <w:t>.</w:t>
      </w:r>
      <w:r w:rsidR="00DB2BEB">
        <w:rPr>
          <w:rFonts w:ascii="Georgia" w:hAnsi="Georgia"/>
          <w:color w:val="1F1F1F"/>
        </w:rPr>
        <w:t xml:space="preserve"> </w:t>
      </w:r>
      <w:r w:rsidR="00981832" w:rsidRPr="00BE65C7">
        <w:rPr>
          <w:rFonts w:ascii="Times New Roman" w:hAnsi="Times New Roman" w:cs="Times New Roman"/>
          <w:color w:val="000000" w:themeColor="text1"/>
          <w:sz w:val="24"/>
          <w:szCs w:val="24"/>
          <w:lang w:val="en-US"/>
        </w:rPr>
        <w:t xml:space="preserve">Emerging countries in civil law countries which are characterized by poor legal protection to shareholders are likely to hold more cash and are less likely to be moderated by the presence of institutional investors. On the contrary, the role of institutional investors in common or civil law developed countries may not be significant because these countries have well developed financial markets, less corruption and supportive business environment. </w:t>
      </w:r>
      <w:r w:rsidR="00E17B3D" w:rsidRPr="00E17B3D">
        <w:rPr>
          <w:rFonts w:ascii="Times New Roman" w:hAnsi="Times New Roman" w:cs="Times New Roman"/>
          <w:color w:val="0070C0"/>
          <w:sz w:val="24"/>
          <w:szCs w:val="24"/>
          <w:lang w:val="en-US"/>
        </w:rPr>
        <w:t xml:space="preserve">Tran (2020) </w:t>
      </w:r>
      <w:r w:rsidR="00E17B3D" w:rsidRPr="00E17B3D">
        <w:rPr>
          <w:rFonts w:ascii="Times New Roman" w:hAnsi="Times New Roman" w:cs="Times New Roman"/>
          <w:color w:val="0070C0"/>
          <w:sz w:val="24"/>
          <w:szCs w:val="24"/>
        </w:rPr>
        <w:t>find that corruption is positively associated with both cash holdings and the cash flow sensitivity of cash</w:t>
      </w:r>
      <w:r w:rsidR="00E17B3D">
        <w:rPr>
          <w:rFonts w:ascii="Times New Roman" w:hAnsi="Times New Roman" w:cs="Times New Roman"/>
          <w:color w:val="000000" w:themeColor="text1"/>
          <w:sz w:val="24"/>
          <w:szCs w:val="24"/>
          <w:lang w:val="en-US"/>
        </w:rPr>
        <w:t xml:space="preserve">. </w:t>
      </w:r>
      <w:r w:rsidR="00824633" w:rsidRPr="00A93D5C">
        <w:rPr>
          <w:rFonts w:ascii="Times New Roman" w:hAnsi="Times New Roman" w:cs="Times New Roman"/>
          <w:color w:val="0070C0"/>
          <w:sz w:val="24"/>
          <w:szCs w:val="24"/>
          <w:lang w:val="en-US"/>
        </w:rPr>
        <w:t xml:space="preserve">In a recent study, Jayakody (2023) find that </w:t>
      </w:r>
      <w:r w:rsidR="00824633" w:rsidRPr="00A93D5C">
        <w:rPr>
          <w:rFonts w:ascii="Times New Roman" w:hAnsi="Times New Roman" w:cs="Times New Roman"/>
          <w:color w:val="0070C0"/>
          <w:sz w:val="24"/>
          <w:szCs w:val="24"/>
        </w:rPr>
        <w:t>firms located in states with higher corruption react to increases in local political uncertainty by increasing cash holdings more than those in less corrupt settings</w:t>
      </w:r>
      <w:r w:rsidR="00824633">
        <w:rPr>
          <w:rFonts w:ascii="Georgia" w:hAnsi="Georgia"/>
          <w:color w:val="1F1F1F"/>
        </w:rPr>
        <w:t>.</w:t>
      </w:r>
      <w:r w:rsidR="00A93D5C">
        <w:rPr>
          <w:rFonts w:ascii="Georgia" w:hAnsi="Georgia"/>
          <w:color w:val="1F1F1F"/>
        </w:rPr>
        <w:t xml:space="preserve"> </w:t>
      </w:r>
      <w:r w:rsidR="00981832" w:rsidRPr="00BE65C7">
        <w:rPr>
          <w:rFonts w:ascii="Times New Roman" w:hAnsi="Times New Roman" w:cs="Times New Roman"/>
          <w:color w:val="000000" w:themeColor="text1"/>
          <w:sz w:val="24"/>
          <w:szCs w:val="24"/>
          <w:lang w:val="en-US"/>
        </w:rPr>
        <w:t xml:space="preserve">Accordingly, we propose </w:t>
      </w:r>
      <w:r w:rsidR="00133C70">
        <w:rPr>
          <w:rFonts w:ascii="Times New Roman" w:hAnsi="Times New Roman" w:cs="Times New Roman"/>
          <w:color w:val="000000" w:themeColor="text1"/>
          <w:sz w:val="24"/>
          <w:szCs w:val="24"/>
          <w:lang w:val="en-US"/>
        </w:rPr>
        <w:t xml:space="preserve">the following </w:t>
      </w:r>
      <w:r w:rsidR="00981832" w:rsidRPr="00BE65C7">
        <w:rPr>
          <w:rFonts w:ascii="Times New Roman" w:hAnsi="Times New Roman" w:cs="Times New Roman"/>
          <w:color w:val="000000" w:themeColor="text1"/>
          <w:sz w:val="24"/>
          <w:szCs w:val="24"/>
          <w:lang w:val="en-US"/>
        </w:rPr>
        <w:t xml:space="preserve">hypotheses: </w:t>
      </w:r>
    </w:p>
    <w:p w14:paraId="62B2A943" w14:textId="6032B663" w:rsidR="00692C4F" w:rsidRPr="00B763A8" w:rsidRDefault="00692C4F" w:rsidP="00692C4F">
      <w:pPr>
        <w:spacing w:line="360" w:lineRule="auto"/>
        <w:ind w:firstLine="720"/>
        <w:jc w:val="both"/>
        <w:rPr>
          <w:rFonts w:ascii="Times New Roman" w:hAnsi="Times New Roman" w:cs="Times New Roman"/>
          <w:b/>
          <w:bCs/>
          <w:i/>
          <w:iCs/>
          <w:color w:val="44546A" w:themeColor="text2"/>
          <w:sz w:val="24"/>
          <w:szCs w:val="24"/>
          <w:lang w:val="en-US"/>
        </w:rPr>
      </w:pPr>
      <w:r w:rsidRPr="00B763A8">
        <w:rPr>
          <w:rFonts w:ascii="Times New Roman" w:hAnsi="Times New Roman" w:cs="Times New Roman"/>
          <w:b/>
          <w:bCs/>
          <w:i/>
          <w:iCs/>
          <w:color w:val="44546A" w:themeColor="text2"/>
          <w:sz w:val="24"/>
          <w:szCs w:val="24"/>
          <w:lang w:val="en-US"/>
        </w:rPr>
        <w:t>H</w:t>
      </w:r>
      <w:r w:rsidR="007B2894" w:rsidRPr="00B763A8">
        <w:rPr>
          <w:rFonts w:ascii="Times New Roman" w:hAnsi="Times New Roman" w:cs="Times New Roman"/>
          <w:b/>
          <w:bCs/>
          <w:i/>
          <w:iCs/>
          <w:color w:val="44546A" w:themeColor="text2"/>
          <w:sz w:val="24"/>
          <w:szCs w:val="24"/>
          <w:vertAlign w:val="subscript"/>
          <w:lang w:val="en-US"/>
        </w:rPr>
        <w:t>2</w:t>
      </w:r>
      <w:r w:rsidRPr="00B763A8">
        <w:rPr>
          <w:rFonts w:ascii="Times New Roman" w:hAnsi="Times New Roman" w:cs="Times New Roman"/>
          <w:b/>
          <w:bCs/>
          <w:i/>
          <w:iCs/>
          <w:color w:val="44546A" w:themeColor="text2"/>
          <w:sz w:val="24"/>
          <w:szCs w:val="24"/>
          <w:vertAlign w:val="subscript"/>
          <w:lang w:val="en-US"/>
        </w:rPr>
        <w:t>a</w:t>
      </w:r>
      <w:r w:rsidRPr="00B763A8">
        <w:rPr>
          <w:rFonts w:ascii="Times New Roman" w:hAnsi="Times New Roman" w:cs="Times New Roman"/>
          <w:b/>
          <w:bCs/>
          <w:i/>
          <w:iCs/>
          <w:color w:val="44546A" w:themeColor="text2"/>
          <w:sz w:val="24"/>
          <w:szCs w:val="24"/>
          <w:lang w:val="en-US"/>
        </w:rPr>
        <w:t>: I</w:t>
      </w:r>
      <w:r w:rsidR="00584C5C">
        <w:rPr>
          <w:rFonts w:ascii="Times New Roman" w:hAnsi="Times New Roman" w:cs="Times New Roman"/>
          <w:b/>
          <w:bCs/>
          <w:i/>
          <w:iCs/>
          <w:color w:val="44546A" w:themeColor="text2"/>
          <w:sz w:val="24"/>
          <w:szCs w:val="24"/>
          <w:lang w:val="en-US"/>
        </w:rPr>
        <w:t>nstitutional investors moderate</w:t>
      </w:r>
      <w:r w:rsidRPr="00B763A8">
        <w:rPr>
          <w:rFonts w:ascii="Times New Roman" w:hAnsi="Times New Roman" w:cs="Times New Roman"/>
          <w:b/>
          <w:bCs/>
          <w:i/>
          <w:iCs/>
          <w:color w:val="44546A" w:themeColor="text2"/>
          <w:sz w:val="24"/>
          <w:szCs w:val="24"/>
          <w:lang w:val="en-US"/>
        </w:rPr>
        <w:t xml:space="preserve"> the effect of corruption on cash </w:t>
      </w:r>
      <w:r w:rsidR="00AE0325" w:rsidRPr="00B763A8">
        <w:rPr>
          <w:rFonts w:ascii="Times New Roman" w:hAnsi="Times New Roman" w:cs="Times New Roman"/>
          <w:b/>
          <w:bCs/>
          <w:i/>
          <w:iCs/>
          <w:color w:val="44546A" w:themeColor="text2"/>
          <w:sz w:val="24"/>
          <w:szCs w:val="24"/>
          <w:lang w:val="en-US"/>
        </w:rPr>
        <w:t>holdings.</w:t>
      </w:r>
    </w:p>
    <w:p w14:paraId="212373C2" w14:textId="53718608" w:rsidR="00692C4F" w:rsidRPr="00B763A8" w:rsidRDefault="00692C4F" w:rsidP="00692C4F">
      <w:pPr>
        <w:spacing w:after="0" w:line="240" w:lineRule="auto"/>
        <w:ind w:firstLine="720"/>
        <w:jc w:val="both"/>
        <w:rPr>
          <w:rFonts w:ascii="Times New Roman" w:hAnsi="Times New Roman" w:cs="Times New Roman"/>
          <w:b/>
          <w:bCs/>
          <w:i/>
          <w:iCs/>
          <w:color w:val="44546A" w:themeColor="text2"/>
          <w:sz w:val="24"/>
          <w:szCs w:val="24"/>
          <w:lang w:val="en-US"/>
        </w:rPr>
      </w:pPr>
      <w:r w:rsidRPr="00B763A8">
        <w:rPr>
          <w:rFonts w:ascii="Times New Roman" w:hAnsi="Times New Roman" w:cs="Times New Roman"/>
          <w:b/>
          <w:bCs/>
          <w:i/>
          <w:iCs/>
          <w:color w:val="44546A" w:themeColor="text2"/>
          <w:sz w:val="24"/>
          <w:szCs w:val="24"/>
          <w:lang w:val="en-US"/>
        </w:rPr>
        <w:t>H</w:t>
      </w:r>
      <w:r w:rsidR="007B2894" w:rsidRPr="00B763A8">
        <w:rPr>
          <w:rFonts w:ascii="Times New Roman" w:hAnsi="Times New Roman" w:cs="Times New Roman"/>
          <w:b/>
          <w:bCs/>
          <w:i/>
          <w:iCs/>
          <w:color w:val="44546A" w:themeColor="text2"/>
          <w:sz w:val="24"/>
          <w:szCs w:val="24"/>
          <w:vertAlign w:val="subscript"/>
          <w:lang w:val="en-US"/>
        </w:rPr>
        <w:t>2</w:t>
      </w:r>
      <w:r w:rsidRPr="00B763A8">
        <w:rPr>
          <w:rFonts w:ascii="Times New Roman" w:hAnsi="Times New Roman" w:cs="Times New Roman"/>
          <w:b/>
          <w:bCs/>
          <w:i/>
          <w:iCs/>
          <w:color w:val="44546A" w:themeColor="text2"/>
          <w:sz w:val="24"/>
          <w:szCs w:val="24"/>
          <w:vertAlign w:val="subscript"/>
          <w:lang w:val="en-US"/>
        </w:rPr>
        <w:t>b</w:t>
      </w:r>
      <w:r w:rsidRPr="00B763A8">
        <w:rPr>
          <w:rFonts w:ascii="Times New Roman" w:hAnsi="Times New Roman" w:cs="Times New Roman"/>
          <w:b/>
          <w:bCs/>
          <w:i/>
          <w:iCs/>
          <w:color w:val="44546A" w:themeColor="text2"/>
          <w:sz w:val="24"/>
          <w:szCs w:val="24"/>
          <w:lang w:val="en-US"/>
        </w:rPr>
        <w:t xml:space="preserve">: Institutional investors have asymmetric moderation effect of legal system on   </w:t>
      </w:r>
    </w:p>
    <w:p w14:paraId="5EFA4151" w14:textId="46BFA672" w:rsidR="007B2894" w:rsidRPr="00B763A8" w:rsidRDefault="00692C4F" w:rsidP="00692C4F">
      <w:pPr>
        <w:spacing w:after="0" w:line="240" w:lineRule="auto"/>
        <w:ind w:firstLine="720"/>
        <w:jc w:val="both"/>
        <w:rPr>
          <w:rFonts w:ascii="Times New Roman" w:hAnsi="Times New Roman" w:cs="Times New Roman"/>
          <w:b/>
          <w:bCs/>
          <w:i/>
          <w:iCs/>
          <w:color w:val="44546A" w:themeColor="text2"/>
          <w:sz w:val="24"/>
          <w:szCs w:val="24"/>
          <w:lang w:val="en-US"/>
        </w:rPr>
      </w:pPr>
      <w:r w:rsidRPr="00B763A8">
        <w:rPr>
          <w:rFonts w:ascii="Times New Roman" w:hAnsi="Times New Roman" w:cs="Times New Roman"/>
          <w:b/>
          <w:bCs/>
          <w:i/>
          <w:iCs/>
          <w:color w:val="44546A" w:themeColor="text2"/>
          <w:sz w:val="24"/>
          <w:szCs w:val="24"/>
          <w:lang w:val="en-US"/>
        </w:rPr>
        <w:t xml:space="preserve">          cash holdings</w:t>
      </w:r>
    </w:p>
    <w:p w14:paraId="7AB0EB56" w14:textId="77777777" w:rsidR="00BD25BE" w:rsidRDefault="00BD25BE" w:rsidP="00BD25BE">
      <w:pPr>
        <w:rPr>
          <w:rFonts w:ascii="Times New Roman" w:hAnsi="Times New Roman" w:cs="Times New Roman"/>
          <w:b/>
          <w:bCs/>
          <w:i/>
          <w:iCs/>
          <w:color w:val="44546A" w:themeColor="text2"/>
          <w:sz w:val="24"/>
          <w:szCs w:val="24"/>
          <w:lang w:val="en-US"/>
        </w:rPr>
      </w:pPr>
    </w:p>
    <w:p w14:paraId="3040C71D" w14:textId="70414630" w:rsidR="00712D7B" w:rsidRPr="00BE65C7" w:rsidRDefault="00D71153" w:rsidP="00BD25BE">
      <w:pP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3.</w:t>
      </w:r>
      <w:r w:rsidRPr="00BE65C7">
        <w:rPr>
          <w:rFonts w:ascii="Times New Roman" w:hAnsi="Times New Roman" w:cs="Times New Roman"/>
          <w:color w:val="000000" w:themeColor="text1"/>
          <w:sz w:val="24"/>
          <w:szCs w:val="24"/>
          <w:lang w:val="en-US"/>
        </w:rPr>
        <w:t xml:space="preserve"> </w:t>
      </w:r>
      <w:r w:rsidR="007B2894">
        <w:rPr>
          <w:rFonts w:ascii="Times New Roman" w:hAnsi="Times New Roman" w:cs="Times New Roman"/>
          <w:b/>
          <w:bCs/>
          <w:color w:val="000000" w:themeColor="text1"/>
          <w:sz w:val="24"/>
          <w:szCs w:val="24"/>
          <w:lang w:val="en-US"/>
        </w:rPr>
        <w:t>Data</w:t>
      </w:r>
      <w:r w:rsidR="00712D7B" w:rsidRPr="00BE65C7">
        <w:rPr>
          <w:rFonts w:ascii="Times New Roman" w:hAnsi="Times New Roman" w:cs="Times New Roman"/>
          <w:b/>
          <w:bCs/>
          <w:color w:val="000000" w:themeColor="text1"/>
          <w:sz w:val="24"/>
          <w:szCs w:val="24"/>
          <w:lang w:val="en-US"/>
        </w:rPr>
        <w:t xml:space="preserve"> and Methodology</w:t>
      </w:r>
    </w:p>
    <w:p w14:paraId="59F9FAC8" w14:textId="76092E75" w:rsidR="0030778B" w:rsidRPr="00BD25BE" w:rsidRDefault="0030778B" w:rsidP="00827191">
      <w:pPr>
        <w:spacing w:line="360" w:lineRule="auto"/>
        <w:jc w:val="both"/>
        <w:rPr>
          <w:rFonts w:ascii="Times New Roman" w:hAnsi="Times New Roman" w:cs="Times New Roman"/>
          <w:b/>
          <w:bCs/>
          <w:i/>
          <w:iCs/>
          <w:color w:val="000000" w:themeColor="text1"/>
          <w:sz w:val="24"/>
          <w:szCs w:val="24"/>
        </w:rPr>
      </w:pPr>
      <w:r w:rsidRPr="00BD25BE">
        <w:rPr>
          <w:rFonts w:ascii="Times New Roman" w:hAnsi="Times New Roman" w:cs="Times New Roman"/>
          <w:b/>
          <w:bCs/>
          <w:i/>
          <w:iCs/>
          <w:color w:val="000000" w:themeColor="text1"/>
          <w:sz w:val="24"/>
          <w:szCs w:val="24"/>
        </w:rPr>
        <w:t>3.1 Sample</w:t>
      </w:r>
      <w:r w:rsidR="007B2894" w:rsidRPr="00BD25BE">
        <w:rPr>
          <w:rFonts w:ascii="Times New Roman" w:hAnsi="Times New Roman" w:cs="Times New Roman"/>
          <w:b/>
          <w:bCs/>
          <w:i/>
          <w:iCs/>
          <w:color w:val="000000" w:themeColor="text1"/>
          <w:sz w:val="24"/>
          <w:szCs w:val="24"/>
        </w:rPr>
        <w:t xml:space="preserve"> characteristics</w:t>
      </w:r>
    </w:p>
    <w:p w14:paraId="3F709F60" w14:textId="4F72C0F0" w:rsidR="00C01E16" w:rsidRDefault="00827191" w:rsidP="00827191">
      <w:pPr>
        <w:spacing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Our sample consists of </w:t>
      </w:r>
      <w:r w:rsidR="00740BDD" w:rsidRPr="00BE65C7">
        <w:rPr>
          <w:rFonts w:ascii="Times New Roman" w:hAnsi="Times New Roman" w:cs="Times New Roman"/>
          <w:color w:val="000000" w:themeColor="text1"/>
          <w:sz w:val="24"/>
          <w:szCs w:val="24"/>
        </w:rPr>
        <w:t xml:space="preserve">unbalanced panel of </w:t>
      </w:r>
      <w:r w:rsidRPr="00BE65C7">
        <w:rPr>
          <w:rFonts w:ascii="Times New Roman" w:hAnsi="Times New Roman" w:cs="Times New Roman"/>
          <w:color w:val="000000" w:themeColor="text1"/>
          <w:sz w:val="24"/>
          <w:szCs w:val="24"/>
        </w:rPr>
        <w:t xml:space="preserve">18,738 firms from 26 emerging countries and 30,716 firms from 17 developed countries observed for 19 fiscal years from 2001 to 2019. </w:t>
      </w:r>
      <w:r w:rsidR="00740BDD" w:rsidRPr="00BE65C7">
        <w:rPr>
          <w:rFonts w:ascii="Times New Roman" w:hAnsi="Times New Roman" w:cs="Times New Roman"/>
          <w:color w:val="000000" w:themeColor="text1"/>
          <w:sz w:val="24"/>
          <w:szCs w:val="24"/>
        </w:rPr>
        <w:t xml:space="preserve"> </w:t>
      </w:r>
      <w:r w:rsidR="00E02595" w:rsidRPr="00383BB5">
        <w:rPr>
          <w:rFonts w:ascii="Times New Roman" w:hAnsi="Times New Roman" w:cs="Times New Roman"/>
          <w:color w:val="0070C0"/>
          <w:sz w:val="24"/>
          <w:szCs w:val="24"/>
        </w:rPr>
        <w:t>W</w:t>
      </w:r>
      <w:r w:rsidR="000F23B9">
        <w:rPr>
          <w:rFonts w:ascii="Times New Roman" w:hAnsi="Times New Roman" w:cs="Times New Roman"/>
          <w:color w:val="0070C0"/>
          <w:sz w:val="24"/>
          <w:szCs w:val="24"/>
        </w:rPr>
        <w:t>e refer</w:t>
      </w:r>
      <w:r w:rsidR="00E02595" w:rsidRPr="00383BB5">
        <w:rPr>
          <w:rFonts w:ascii="Times New Roman" w:hAnsi="Times New Roman" w:cs="Times New Roman"/>
          <w:color w:val="0070C0"/>
          <w:sz w:val="24"/>
          <w:szCs w:val="24"/>
        </w:rPr>
        <w:t xml:space="preserve"> to the country classification by the WEO, International Monetary Fund for country classification</w:t>
      </w:r>
      <w:r w:rsidR="000F23B9">
        <w:rPr>
          <w:rFonts w:ascii="Times New Roman" w:hAnsi="Times New Roman" w:cs="Times New Roman"/>
          <w:color w:val="0070C0"/>
          <w:sz w:val="24"/>
          <w:szCs w:val="24"/>
        </w:rPr>
        <w:t xml:space="preserve"> and sample selection</w:t>
      </w:r>
      <w:r w:rsidR="00E02595" w:rsidRPr="00733CF8">
        <w:rPr>
          <w:rFonts w:ascii="Times New Roman" w:hAnsi="Times New Roman" w:cs="Times New Roman"/>
          <w:sz w:val="24"/>
          <w:szCs w:val="24"/>
        </w:rPr>
        <w:t xml:space="preserve">. </w:t>
      </w:r>
      <w:r w:rsidR="00740BDD" w:rsidRPr="00BE65C7">
        <w:rPr>
          <w:rFonts w:ascii="Times New Roman" w:hAnsi="Times New Roman" w:cs="Times New Roman"/>
          <w:color w:val="000000" w:themeColor="text1"/>
          <w:sz w:val="24"/>
          <w:szCs w:val="24"/>
        </w:rPr>
        <w:t xml:space="preserve">Our selection of the sample is motivated by the extensive coverage of global perspective which allows us to compare financial behaviours and firm strategies. Further, these countries provide a heterogeneity with respect to political stability, level of corruption and the extent of financial constraints. </w:t>
      </w:r>
      <w:r w:rsidRPr="00BE65C7">
        <w:rPr>
          <w:rFonts w:ascii="Times New Roman" w:hAnsi="Times New Roman" w:cs="Times New Roman"/>
          <w:color w:val="000000" w:themeColor="text1"/>
          <w:sz w:val="24"/>
          <w:szCs w:val="24"/>
        </w:rPr>
        <w:t xml:space="preserve">All financial data are collected from the Bloomberg database. These firms belong to 7 industries following the Bloomberg Industry classification. Table </w:t>
      </w:r>
      <w:r w:rsidR="00DD752D" w:rsidRPr="00BE65C7">
        <w:rPr>
          <w:rFonts w:ascii="Times New Roman" w:hAnsi="Times New Roman" w:cs="Times New Roman"/>
          <w:color w:val="000000" w:themeColor="text1"/>
          <w:sz w:val="24"/>
          <w:szCs w:val="24"/>
        </w:rPr>
        <w:t>1</w:t>
      </w:r>
      <w:r w:rsidRPr="00BE65C7">
        <w:rPr>
          <w:rFonts w:ascii="Times New Roman" w:hAnsi="Times New Roman" w:cs="Times New Roman"/>
          <w:color w:val="000000" w:themeColor="text1"/>
          <w:sz w:val="24"/>
          <w:szCs w:val="24"/>
        </w:rPr>
        <w:t xml:space="preserve"> (Panel</w:t>
      </w:r>
      <w:r w:rsidR="00DD752D" w:rsidRPr="00BE65C7">
        <w:rPr>
          <w:rFonts w:ascii="Times New Roman" w:hAnsi="Times New Roman" w:cs="Times New Roman"/>
          <w:color w:val="000000" w:themeColor="text1"/>
          <w:sz w:val="24"/>
          <w:szCs w:val="24"/>
        </w:rPr>
        <w:t>s</w:t>
      </w:r>
      <w:r w:rsidRPr="00BE65C7">
        <w:rPr>
          <w:rFonts w:ascii="Times New Roman" w:hAnsi="Times New Roman" w:cs="Times New Roman"/>
          <w:color w:val="000000" w:themeColor="text1"/>
          <w:sz w:val="24"/>
          <w:szCs w:val="24"/>
        </w:rPr>
        <w:t xml:space="preserve"> A and B) shows the details of the sample firms. Table </w:t>
      </w:r>
      <w:r w:rsidR="00DD752D" w:rsidRPr="00BE65C7">
        <w:rPr>
          <w:rFonts w:ascii="Times New Roman" w:hAnsi="Times New Roman" w:cs="Times New Roman"/>
          <w:color w:val="000000" w:themeColor="text1"/>
          <w:sz w:val="24"/>
          <w:szCs w:val="24"/>
        </w:rPr>
        <w:t xml:space="preserve">1, </w:t>
      </w:r>
      <w:r w:rsidRPr="00BE65C7">
        <w:rPr>
          <w:rFonts w:ascii="Times New Roman" w:hAnsi="Times New Roman" w:cs="Times New Roman"/>
          <w:color w:val="000000" w:themeColor="text1"/>
          <w:sz w:val="24"/>
          <w:szCs w:val="24"/>
        </w:rPr>
        <w:t>Panel A shows the number of firms from each sample country, while Panel B shows the distribution of firms across different industries as per the Bloomberg Industry Classification.</w:t>
      </w:r>
    </w:p>
    <w:p w14:paraId="1357D194" w14:textId="77777777" w:rsidR="00C01E16" w:rsidRDefault="00C01E16" w:rsidP="00827191">
      <w:pPr>
        <w:spacing w:line="360" w:lineRule="auto"/>
        <w:jc w:val="both"/>
        <w:rPr>
          <w:rFonts w:ascii="Times New Roman" w:hAnsi="Times New Roman" w:cs="Times New Roman"/>
          <w:color w:val="000000" w:themeColor="text1"/>
          <w:sz w:val="24"/>
          <w:szCs w:val="24"/>
        </w:rPr>
      </w:pPr>
    </w:p>
    <w:p w14:paraId="1C08686D" w14:textId="77777777" w:rsidR="00C01E16" w:rsidRPr="00BE65C7" w:rsidRDefault="00C01E16" w:rsidP="00827191">
      <w:pPr>
        <w:spacing w:line="360" w:lineRule="auto"/>
        <w:jc w:val="both"/>
        <w:rPr>
          <w:rFonts w:ascii="Times New Roman" w:hAnsi="Times New Roman" w:cs="Times New Roman"/>
          <w:color w:val="000000" w:themeColor="text1"/>
          <w:sz w:val="24"/>
          <w:szCs w:val="24"/>
        </w:rPr>
      </w:pPr>
    </w:p>
    <w:p w14:paraId="689144D0" w14:textId="0DF7A45F" w:rsidR="00827191" w:rsidRPr="00BE65C7" w:rsidRDefault="00827191" w:rsidP="00827191">
      <w:pPr>
        <w:spacing w:after="0" w:line="360" w:lineRule="auto"/>
        <w:jc w:val="center"/>
        <w:rPr>
          <w:rFonts w:ascii="Times New Roman" w:hAnsi="Times New Roman" w:cs="Times New Roman"/>
          <w:b/>
          <w:bCs/>
          <w:color w:val="000000" w:themeColor="text1"/>
          <w:sz w:val="24"/>
          <w:szCs w:val="24"/>
        </w:rPr>
      </w:pPr>
      <w:r w:rsidRPr="00BE65C7">
        <w:rPr>
          <w:rFonts w:ascii="Times New Roman" w:hAnsi="Times New Roman" w:cs="Times New Roman"/>
          <w:b/>
          <w:bCs/>
          <w:color w:val="000000" w:themeColor="text1"/>
          <w:sz w:val="24"/>
          <w:szCs w:val="24"/>
        </w:rPr>
        <w:t xml:space="preserve">Table </w:t>
      </w:r>
      <w:r w:rsidR="00DD752D" w:rsidRPr="00BE65C7">
        <w:rPr>
          <w:rFonts w:ascii="Times New Roman" w:hAnsi="Times New Roman" w:cs="Times New Roman"/>
          <w:b/>
          <w:bCs/>
          <w:color w:val="000000" w:themeColor="text1"/>
          <w:sz w:val="24"/>
          <w:szCs w:val="24"/>
        </w:rPr>
        <w:t>1</w:t>
      </w:r>
      <w:r w:rsidR="007F7375">
        <w:rPr>
          <w:rFonts w:ascii="Times New Roman" w:hAnsi="Times New Roman" w:cs="Times New Roman"/>
          <w:b/>
          <w:bCs/>
          <w:color w:val="000000" w:themeColor="text1"/>
          <w:sz w:val="24"/>
          <w:szCs w:val="24"/>
        </w:rPr>
        <w:t xml:space="preserve">a: </w:t>
      </w:r>
      <w:r w:rsidRPr="00BE65C7">
        <w:rPr>
          <w:rFonts w:ascii="Times New Roman" w:hAnsi="Times New Roman" w:cs="Times New Roman"/>
          <w:b/>
          <w:bCs/>
          <w:color w:val="000000" w:themeColor="text1"/>
          <w:sz w:val="24"/>
          <w:szCs w:val="24"/>
        </w:rPr>
        <w:t>Sample classification by country</w:t>
      </w:r>
    </w:p>
    <w:tbl>
      <w:tblPr>
        <w:tblStyle w:val="PlainTable2"/>
        <w:tblW w:w="0" w:type="auto"/>
        <w:tblLook w:val="04A0" w:firstRow="1" w:lastRow="0" w:firstColumn="1" w:lastColumn="0" w:noHBand="0" w:noVBand="1"/>
      </w:tblPr>
      <w:tblGrid>
        <w:gridCol w:w="2267"/>
        <w:gridCol w:w="2240"/>
        <w:gridCol w:w="2278"/>
        <w:gridCol w:w="2241"/>
      </w:tblGrid>
      <w:tr w:rsidR="00BE65C7" w:rsidRPr="007F7375" w14:paraId="46252767" w14:textId="77777777" w:rsidTr="00B76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gridSpan w:val="2"/>
          </w:tcPr>
          <w:p w14:paraId="2809BDC0" w14:textId="03498302" w:rsidR="00827191" w:rsidRPr="007F7375" w:rsidRDefault="00827191" w:rsidP="00E8369E">
            <w:pPr>
              <w:tabs>
                <w:tab w:val="left" w:pos="360"/>
              </w:tabs>
              <w:jc w:val="center"/>
              <w:rPr>
                <w:rFonts w:ascii="Times New Roman" w:hAnsi="Times New Roman" w:cs="Times New Roman"/>
                <w:b w:val="0"/>
                <w:bCs w:val="0"/>
                <w:color w:val="000000" w:themeColor="text1"/>
              </w:rPr>
            </w:pPr>
            <w:r w:rsidRPr="007F7375">
              <w:rPr>
                <w:rFonts w:ascii="Times New Roman" w:hAnsi="Times New Roman" w:cs="Times New Roman"/>
                <w:color w:val="000000" w:themeColor="text1"/>
              </w:rPr>
              <w:t xml:space="preserve">Emerging </w:t>
            </w:r>
            <w:r w:rsidR="00B763A8">
              <w:rPr>
                <w:rFonts w:ascii="Times New Roman" w:hAnsi="Times New Roman" w:cs="Times New Roman"/>
                <w:color w:val="000000" w:themeColor="text1"/>
              </w:rPr>
              <w:t>Economies</w:t>
            </w:r>
          </w:p>
        </w:tc>
        <w:tc>
          <w:tcPr>
            <w:tcW w:w="4856" w:type="dxa"/>
            <w:gridSpan w:val="2"/>
          </w:tcPr>
          <w:p w14:paraId="18C12E97" w14:textId="7256AD6B" w:rsidR="00827191" w:rsidRPr="007F7375" w:rsidRDefault="00827191" w:rsidP="00E8369E">
            <w:pPr>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7F7375">
              <w:rPr>
                <w:rFonts w:ascii="Times New Roman" w:hAnsi="Times New Roman" w:cs="Times New Roman"/>
                <w:color w:val="000000" w:themeColor="text1"/>
              </w:rPr>
              <w:t xml:space="preserve">Developed </w:t>
            </w:r>
            <w:r w:rsidR="00B763A8">
              <w:rPr>
                <w:rFonts w:ascii="Times New Roman" w:hAnsi="Times New Roman" w:cs="Times New Roman"/>
                <w:color w:val="000000" w:themeColor="text1"/>
              </w:rPr>
              <w:t>C</w:t>
            </w:r>
            <w:r w:rsidRPr="007F7375">
              <w:rPr>
                <w:rFonts w:ascii="Times New Roman" w:hAnsi="Times New Roman" w:cs="Times New Roman"/>
                <w:color w:val="000000" w:themeColor="text1"/>
              </w:rPr>
              <w:t>ountries</w:t>
            </w:r>
          </w:p>
        </w:tc>
      </w:tr>
      <w:tr w:rsidR="00BE65C7" w:rsidRPr="007F7375" w14:paraId="57005965"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1A657E60" w14:textId="77777777" w:rsidR="00827191" w:rsidRPr="007F7375" w:rsidRDefault="00827191" w:rsidP="00B763A8">
            <w:pPr>
              <w:tabs>
                <w:tab w:val="left" w:pos="360"/>
              </w:tabs>
              <w:jc w:val="center"/>
              <w:rPr>
                <w:rFonts w:ascii="Times New Roman" w:hAnsi="Times New Roman" w:cs="Times New Roman"/>
                <w:color w:val="000000" w:themeColor="text1"/>
              </w:rPr>
            </w:pPr>
            <w:r w:rsidRPr="007F7375">
              <w:rPr>
                <w:rFonts w:ascii="Times New Roman" w:hAnsi="Times New Roman" w:cs="Times New Roman"/>
                <w:color w:val="000000" w:themeColor="text1"/>
              </w:rPr>
              <w:t>Country</w:t>
            </w:r>
          </w:p>
        </w:tc>
        <w:tc>
          <w:tcPr>
            <w:tcW w:w="2427" w:type="dxa"/>
          </w:tcPr>
          <w:p w14:paraId="42ADE831" w14:textId="77777777" w:rsidR="00827191" w:rsidRPr="00B763A8"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B763A8">
              <w:rPr>
                <w:rFonts w:ascii="Times New Roman" w:hAnsi="Times New Roman" w:cs="Times New Roman"/>
                <w:b/>
                <w:bCs/>
                <w:color w:val="000000" w:themeColor="text1"/>
              </w:rPr>
              <w:t>Number of firms</w:t>
            </w:r>
          </w:p>
        </w:tc>
        <w:tc>
          <w:tcPr>
            <w:tcW w:w="2428" w:type="dxa"/>
          </w:tcPr>
          <w:p w14:paraId="24B165F0" w14:textId="77777777" w:rsidR="00827191" w:rsidRPr="00B763A8"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B763A8">
              <w:rPr>
                <w:rFonts w:ascii="Times New Roman" w:hAnsi="Times New Roman" w:cs="Times New Roman"/>
                <w:b/>
                <w:bCs/>
                <w:color w:val="000000" w:themeColor="text1"/>
              </w:rPr>
              <w:t>Country</w:t>
            </w:r>
          </w:p>
        </w:tc>
        <w:tc>
          <w:tcPr>
            <w:tcW w:w="2428" w:type="dxa"/>
          </w:tcPr>
          <w:p w14:paraId="44A05C43" w14:textId="77777777" w:rsidR="00827191" w:rsidRPr="00B763A8"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B763A8">
              <w:rPr>
                <w:rFonts w:ascii="Times New Roman" w:hAnsi="Times New Roman" w:cs="Times New Roman"/>
                <w:b/>
                <w:bCs/>
                <w:color w:val="000000" w:themeColor="text1"/>
              </w:rPr>
              <w:t>Number of firms</w:t>
            </w:r>
          </w:p>
        </w:tc>
      </w:tr>
      <w:tr w:rsidR="00BE65C7" w:rsidRPr="007F7375" w14:paraId="19EE1D16"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4372567A"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Argentina</w:t>
            </w:r>
          </w:p>
        </w:tc>
        <w:tc>
          <w:tcPr>
            <w:tcW w:w="2427" w:type="dxa"/>
          </w:tcPr>
          <w:p w14:paraId="146C578C"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64</w:t>
            </w:r>
          </w:p>
        </w:tc>
        <w:tc>
          <w:tcPr>
            <w:tcW w:w="2428" w:type="dxa"/>
          </w:tcPr>
          <w:p w14:paraId="1B674571"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Canada</w:t>
            </w:r>
          </w:p>
        </w:tc>
        <w:tc>
          <w:tcPr>
            <w:tcW w:w="2428" w:type="dxa"/>
          </w:tcPr>
          <w:p w14:paraId="63DFC0A3"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3459</w:t>
            </w:r>
          </w:p>
        </w:tc>
      </w:tr>
      <w:tr w:rsidR="00BE65C7" w:rsidRPr="007F7375" w14:paraId="2ADB9B76"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5EDE8FBC"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Brazil</w:t>
            </w:r>
          </w:p>
        </w:tc>
        <w:tc>
          <w:tcPr>
            <w:tcW w:w="2427" w:type="dxa"/>
          </w:tcPr>
          <w:p w14:paraId="1B3D08B9"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373</w:t>
            </w:r>
          </w:p>
        </w:tc>
        <w:tc>
          <w:tcPr>
            <w:tcW w:w="2428" w:type="dxa"/>
          </w:tcPr>
          <w:p w14:paraId="0F846A7D"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USA</w:t>
            </w:r>
          </w:p>
        </w:tc>
        <w:tc>
          <w:tcPr>
            <w:tcW w:w="2428" w:type="dxa"/>
          </w:tcPr>
          <w:p w14:paraId="65F6099C"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13011</w:t>
            </w:r>
          </w:p>
        </w:tc>
      </w:tr>
      <w:tr w:rsidR="00BE65C7" w:rsidRPr="007F7375" w14:paraId="273EB163"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45E7C606"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Chile</w:t>
            </w:r>
          </w:p>
        </w:tc>
        <w:tc>
          <w:tcPr>
            <w:tcW w:w="2427" w:type="dxa"/>
          </w:tcPr>
          <w:p w14:paraId="67A4AAF2"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128</w:t>
            </w:r>
          </w:p>
        </w:tc>
        <w:tc>
          <w:tcPr>
            <w:tcW w:w="2428" w:type="dxa"/>
          </w:tcPr>
          <w:p w14:paraId="333EECCB"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Belgium</w:t>
            </w:r>
          </w:p>
        </w:tc>
        <w:tc>
          <w:tcPr>
            <w:tcW w:w="2428" w:type="dxa"/>
          </w:tcPr>
          <w:p w14:paraId="100EEA49"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139</w:t>
            </w:r>
          </w:p>
        </w:tc>
      </w:tr>
      <w:tr w:rsidR="00BE65C7" w:rsidRPr="007F7375" w14:paraId="434C9FDC"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2B27E5A7"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Colombia</w:t>
            </w:r>
          </w:p>
        </w:tc>
        <w:tc>
          <w:tcPr>
            <w:tcW w:w="2427" w:type="dxa"/>
          </w:tcPr>
          <w:p w14:paraId="34A20478"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45</w:t>
            </w:r>
          </w:p>
        </w:tc>
        <w:tc>
          <w:tcPr>
            <w:tcW w:w="2428" w:type="dxa"/>
          </w:tcPr>
          <w:p w14:paraId="46925067"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UK</w:t>
            </w:r>
          </w:p>
        </w:tc>
        <w:tc>
          <w:tcPr>
            <w:tcW w:w="2428" w:type="dxa"/>
          </w:tcPr>
          <w:p w14:paraId="76234CF7"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2198</w:t>
            </w:r>
          </w:p>
        </w:tc>
      </w:tr>
      <w:tr w:rsidR="00BE65C7" w:rsidRPr="007F7375" w14:paraId="7599C8E0"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6D9D85C6"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Mexico</w:t>
            </w:r>
          </w:p>
        </w:tc>
        <w:tc>
          <w:tcPr>
            <w:tcW w:w="2427" w:type="dxa"/>
          </w:tcPr>
          <w:p w14:paraId="4F21E860"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128</w:t>
            </w:r>
          </w:p>
        </w:tc>
        <w:tc>
          <w:tcPr>
            <w:tcW w:w="2428" w:type="dxa"/>
          </w:tcPr>
          <w:p w14:paraId="62DC96FF"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Denmark</w:t>
            </w:r>
          </w:p>
        </w:tc>
        <w:tc>
          <w:tcPr>
            <w:tcW w:w="2428" w:type="dxa"/>
          </w:tcPr>
          <w:p w14:paraId="43999299"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213</w:t>
            </w:r>
          </w:p>
        </w:tc>
      </w:tr>
      <w:tr w:rsidR="00BE65C7" w:rsidRPr="007F7375" w14:paraId="38721A66"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27BC3CA7"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Peru</w:t>
            </w:r>
          </w:p>
        </w:tc>
        <w:tc>
          <w:tcPr>
            <w:tcW w:w="2427" w:type="dxa"/>
          </w:tcPr>
          <w:p w14:paraId="7B6F8F22"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103</w:t>
            </w:r>
          </w:p>
        </w:tc>
        <w:tc>
          <w:tcPr>
            <w:tcW w:w="2428" w:type="dxa"/>
          </w:tcPr>
          <w:p w14:paraId="01D2FB99"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Finland</w:t>
            </w:r>
          </w:p>
        </w:tc>
        <w:tc>
          <w:tcPr>
            <w:tcW w:w="2428" w:type="dxa"/>
          </w:tcPr>
          <w:p w14:paraId="160AD3F5"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157</w:t>
            </w:r>
          </w:p>
        </w:tc>
      </w:tr>
      <w:tr w:rsidR="00BE65C7" w:rsidRPr="007F7375" w14:paraId="1AD1D807"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0C6B94F9"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Czech Republic</w:t>
            </w:r>
          </w:p>
        </w:tc>
        <w:tc>
          <w:tcPr>
            <w:tcW w:w="2427" w:type="dxa"/>
          </w:tcPr>
          <w:p w14:paraId="163EC6BD"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11</w:t>
            </w:r>
          </w:p>
        </w:tc>
        <w:tc>
          <w:tcPr>
            <w:tcW w:w="2428" w:type="dxa"/>
          </w:tcPr>
          <w:p w14:paraId="015AEF92"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Japan</w:t>
            </w:r>
          </w:p>
        </w:tc>
        <w:tc>
          <w:tcPr>
            <w:tcW w:w="2428" w:type="dxa"/>
          </w:tcPr>
          <w:p w14:paraId="18A55C47"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3695</w:t>
            </w:r>
          </w:p>
        </w:tc>
      </w:tr>
      <w:tr w:rsidR="00BE65C7" w:rsidRPr="007F7375" w14:paraId="0215250F"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7F59476A"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Egypt</w:t>
            </w:r>
          </w:p>
        </w:tc>
        <w:tc>
          <w:tcPr>
            <w:tcW w:w="2427" w:type="dxa"/>
          </w:tcPr>
          <w:p w14:paraId="1F159EEA"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179</w:t>
            </w:r>
          </w:p>
        </w:tc>
        <w:tc>
          <w:tcPr>
            <w:tcW w:w="2428" w:type="dxa"/>
          </w:tcPr>
          <w:p w14:paraId="1B7E3A5F"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New Zealand</w:t>
            </w:r>
          </w:p>
        </w:tc>
        <w:tc>
          <w:tcPr>
            <w:tcW w:w="2428" w:type="dxa"/>
          </w:tcPr>
          <w:p w14:paraId="54920D4D"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124</w:t>
            </w:r>
          </w:p>
        </w:tc>
      </w:tr>
      <w:tr w:rsidR="00BE65C7" w:rsidRPr="007F7375" w14:paraId="03A2F23C"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003B5B03"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Greece</w:t>
            </w:r>
          </w:p>
        </w:tc>
        <w:tc>
          <w:tcPr>
            <w:tcW w:w="2427" w:type="dxa"/>
          </w:tcPr>
          <w:p w14:paraId="001F3C2A"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144</w:t>
            </w:r>
          </w:p>
        </w:tc>
        <w:tc>
          <w:tcPr>
            <w:tcW w:w="2428" w:type="dxa"/>
          </w:tcPr>
          <w:p w14:paraId="4953D8F7"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Israel</w:t>
            </w:r>
          </w:p>
        </w:tc>
        <w:tc>
          <w:tcPr>
            <w:tcW w:w="2428" w:type="dxa"/>
          </w:tcPr>
          <w:p w14:paraId="30B750C9"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870</w:t>
            </w:r>
          </w:p>
        </w:tc>
      </w:tr>
      <w:tr w:rsidR="00BE65C7" w:rsidRPr="007F7375" w14:paraId="6EB1CAEE"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1D3398A7"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Hungary</w:t>
            </w:r>
          </w:p>
        </w:tc>
        <w:tc>
          <w:tcPr>
            <w:tcW w:w="2427" w:type="dxa"/>
          </w:tcPr>
          <w:p w14:paraId="5F7402A0"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28</w:t>
            </w:r>
          </w:p>
        </w:tc>
        <w:tc>
          <w:tcPr>
            <w:tcW w:w="2428" w:type="dxa"/>
          </w:tcPr>
          <w:p w14:paraId="0095AAAA"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Italy</w:t>
            </w:r>
          </w:p>
        </w:tc>
        <w:tc>
          <w:tcPr>
            <w:tcW w:w="2428" w:type="dxa"/>
          </w:tcPr>
          <w:p w14:paraId="08C0FCE0"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403</w:t>
            </w:r>
          </w:p>
        </w:tc>
      </w:tr>
      <w:tr w:rsidR="00BE65C7" w:rsidRPr="007F7375" w14:paraId="225B5CAA"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35C30296"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Poland</w:t>
            </w:r>
          </w:p>
        </w:tc>
        <w:tc>
          <w:tcPr>
            <w:tcW w:w="2427" w:type="dxa"/>
          </w:tcPr>
          <w:p w14:paraId="154708F0"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626</w:t>
            </w:r>
          </w:p>
        </w:tc>
        <w:tc>
          <w:tcPr>
            <w:tcW w:w="2428" w:type="dxa"/>
          </w:tcPr>
          <w:p w14:paraId="612EADDC"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Netherlands</w:t>
            </w:r>
          </w:p>
        </w:tc>
        <w:tc>
          <w:tcPr>
            <w:tcW w:w="2428" w:type="dxa"/>
          </w:tcPr>
          <w:p w14:paraId="56D0C67C"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142</w:t>
            </w:r>
          </w:p>
        </w:tc>
      </w:tr>
      <w:tr w:rsidR="00BE65C7" w:rsidRPr="007F7375" w14:paraId="303EDE70"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25FEA287"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Qatar</w:t>
            </w:r>
          </w:p>
        </w:tc>
        <w:tc>
          <w:tcPr>
            <w:tcW w:w="2427" w:type="dxa"/>
          </w:tcPr>
          <w:p w14:paraId="34ADD46F"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26</w:t>
            </w:r>
          </w:p>
        </w:tc>
        <w:tc>
          <w:tcPr>
            <w:tcW w:w="2428" w:type="dxa"/>
          </w:tcPr>
          <w:p w14:paraId="0BBB736E"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Singapore</w:t>
            </w:r>
          </w:p>
        </w:tc>
        <w:tc>
          <w:tcPr>
            <w:tcW w:w="2428" w:type="dxa"/>
          </w:tcPr>
          <w:p w14:paraId="3147F2EB"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544</w:t>
            </w:r>
          </w:p>
        </w:tc>
      </w:tr>
      <w:tr w:rsidR="00BE65C7" w:rsidRPr="007F7375" w14:paraId="11BC3BD1"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76E849F2"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Russia</w:t>
            </w:r>
          </w:p>
        </w:tc>
        <w:tc>
          <w:tcPr>
            <w:tcW w:w="2427" w:type="dxa"/>
          </w:tcPr>
          <w:p w14:paraId="4869D242"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744</w:t>
            </w:r>
          </w:p>
        </w:tc>
        <w:tc>
          <w:tcPr>
            <w:tcW w:w="2428" w:type="dxa"/>
          </w:tcPr>
          <w:p w14:paraId="1EB405DF"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Hong Kong</w:t>
            </w:r>
          </w:p>
        </w:tc>
        <w:tc>
          <w:tcPr>
            <w:tcW w:w="2428" w:type="dxa"/>
          </w:tcPr>
          <w:p w14:paraId="7B51F1F5"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1972</w:t>
            </w:r>
          </w:p>
        </w:tc>
      </w:tr>
      <w:tr w:rsidR="00BE65C7" w:rsidRPr="007F7375" w14:paraId="12374BA6"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7D4F857B"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Saudi Arabia</w:t>
            </w:r>
          </w:p>
        </w:tc>
        <w:tc>
          <w:tcPr>
            <w:tcW w:w="2427" w:type="dxa"/>
          </w:tcPr>
          <w:p w14:paraId="6EC0C79A"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136</w:t>
            </w:r>
          </w:p>
        </w:tc>
        <w:tc>
          <w:tcPr>
            <w:tcW w:w="2428" w:type="dxa"/>
          </w:tcPr>
          <w:p w14:paraId="74B64BF7"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Norway</w:t>
            </w:r>
          </w:p>
        </w:tc>
        <w:tc>
          <w:tcPr>
            <w:tcW w:w="2428" w:type="dxa"/>
          </w:tcPr>
          <w:p w14:paraId="108D27A9"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327</w:t>
            </w:r>
          </w:p>
        </w:tc>
      </w:tr>
      <w:tr w:rsidR="00BE65C7" w:rsidRPr="007F7375" w14:paraId="7F573628"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6E5DDD31"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UAE</w:t>
            </w:r>
          </w:p>
        </w:tc>
        <w:tc>
          <w:tcPr>
            <w:tcW w:w="2427" w:type="dxa"/>
          </w:tcPr>
          <w:p w14:paraId="21FBA25B"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43</w:t>
            </w:r>
          </w:p>
        </w:tc>
        <w:tc>
          <w:tcPr>
            <w:tcW w:w="2428" w:type="dxa"/>
          </w:tcPr>
          <w:p w14:paraId="4D9032C8"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Portugal</w:t>
            </w:r>
          </w:p>
        </w:tc>
        <w:tc>
          <w:tcPr>
            <w:tcW w:w="2428" w:type="dxa"/>
          </w:tcPr>
          <w:p w14:paraId="2FF90590"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42</w:t>
            </w:r>
          </w:p>
        </w:tc>
      </w:tr>
      <w:tr w:rsidR="00BE65C7" w:rsidRPr="007F7375" w14:paraId="3DB3137C"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4FC59C5C"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South Africa</w:t>
            </w:r>
          </w:p>
        </w:tc>
        <w:tc>
          <w:tcPr>
            <w:tcW w:w="2427" w:type="dxa"/>
          </w:tcPr>
          <w:p w14:paraId="6B0C4AC3"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289</w:t>
            </w:r>
          </w:p>
        </w:tc>
        <w:tc>
          <w:tcPr>
            <w:tcW w:w="2428" w:type="dxa"/>
          </w:tcPr>
          <w:p w14:paraId="519D16C5"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Sweden</w:t>
            </w:r>
          </w:p>
        </w:tc>
        <w:tc>
          <w:tcPr>
            <w:tcW w:w="2428" w:type="dxa"/>
          </w:tcPr>
          <w:p w14:paraId="127F6E31"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772</w:t>
            </w:r>
          </w:p>
        </w:tc>
      </w:tr>
      <w:tr w:rsidR="00BE65C7" w:rsidRPr="007F7375" w14:paraId="0F5AA9E0"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19FF530B"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Turkey</w:t>
            </w:r>
          </w:p>
        </w:tc>
        <w:tc>
          <w:tcPr>
            <w:tcW w:w="2427" w:type="dxa"/>
          </w:tcPr>
          <w:p w14:paraId="73217C0C"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288</w:t>
            </w:r>
          </w:p>
        </w:tc>
        <w:tc>
          <w:tcPr>
            <w:tcW w:w="2428" w:type="dxa"/>
          </w:tcPr>
          <w:p w14:paraId="66A0DB42"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Switzerland</w:t>
            </w:r>
          </w:p>
        </w:tc>
        <w:tc>
          <w:tcPr>
            <w:tcW w:w="2428" w:type="dxa"/>
          </w:tcPr>
          <w:p w14:paraId="44085967"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766</w:t>
            </w:r>
          </w:p>
        </w:tc>
      </w:tr>
      <w:tr w:rsidR="00BE65C7" w:rsidRPr="007F7375" w14:paraId="4942528D"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2433A79B"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China</w:t>
            </w:r>
          </w:p>
        </w:tc>
        <w:tc>
          <w:tcPr>
            <w:tcW w:w="2427" w:type="dxa"/>
          </w:tcPr>
          <w:p w14:paraId="6CB1A5BF"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3845</w:t>
            </w:r>
          </w:p>
        </w:tc>
        <w:tc>
          <w:tcPr>
            <w:tcW w:w="2428" w:type="dxa"/>
          </w:tcPr>
          <w:p w14:paraId="76307251"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Total</w:t>
            </w:r>
          </w:p>
        </w:tc>
        <w:tc>
          <w:tcPr>
            <w:tcW w:w="2428" w:type="dxa"/>
          </w:tcPr>
          <w:p w14:paraId="3B9E76DA"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30716</w:t>
            </w:r>
          </w:p>
        </w:tc>
      </w:tr>
      <w:tr w:rsidR="00BE65C7" w:rsidRPr="007F7375" w14:paraId="51C8C0EB"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1065BE65"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India</w:t>
            </w:r>
          </w:p>
        </w:tc>
        <w:tc>
          <w:tcPr>
            <w:tcW w:w="2427" w:type="dxa"/>
          </w:tcPr>
          <w:p w14:paraId="2A45F3FF"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4050</w:t>
            </w:r>
          </w:p>
        </w:tc>
        <w:tc>
          <w:tcPr>
            <w:tcW w:w="2428" w:type="dxa"/>
          </w:tcPr>
          <w:p w14:paraId="58AE462B"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428" w:type="dxa"/>
          </w:tcPr>
          <w:p w14:paraId="30C6B2DE"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BE65C7" w:rsidRPr="007F7375" w14:paraId="7916F72C"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1D9DE225"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Indonesia</w:t>
            </w:r>
          </w:p>
        </w:tc>
        <w:tc>
          <w:tcPr>
            <w:tcW w:w="2427" w:type="dxa"/>
          </w:tcPr>
          <w:p w14:paraId="4CF97910"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548</w:t>
            </w:r>
          </w:p>
        </w:tc>
        <w:tc>
          <w:tcPr>
            <w:tcW w:w="2428" w:type="dxa"/>
          </w:tcPr>
          <w:p w14:paraId="19A62991"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428" w:type="dxa"/>
          </w:tcPr>
          <w:p w14:paraId="16954F7C"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BE65C7" w:rsidRPr="007F7375" w14:paraId="6DFB4BA2"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01155CDB"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Malaysia</w:t>
            </w:r>
          </w:p>
        </w:tc>
        <w:tc>
          <w:tcPr>
            <w:tcW w:w="2427" w:type="dxa"/>
          </w:tcPr>
          <w:p w14:paraId="2B97F96E"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800</w:t>
            </w:r>
          </w:p>
        </w:tc>
        <w:tc>
          <w:tcPr>
            <w:tcW w:w="2428" w:type="dxa"/>
          </w:tcPr>
          <w:p w14:paraId="0048A976"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428" w:type="dxa"/>
          </w:tcPr>
          <w:p w14:paraId="7E99D131"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BE65C7" w:rsidRPr="007F7375" w14:paraId="63EDF6E2"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5C917C03"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South Korea</w:t>
            </w:r>
          </w:p>
        </w:tc>
        <w:tc>
          <w:tcPr>
            <w:tcW w:w="2427" w:type="dxa"/>
          </w:tcPr>
          <w:p w14:paraId="544F6A29"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2806</w:t>
            </w:r>
          </w:p>
        </w:tc>
        <w:tc>
          <w:tcPr>
            <w:tcW w:w="2428" w:type="dxa"/>
          </w:tcPr>
          <w:p w14:paraId="05A89664"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428" w:type="dxa"/>
          </w:tcPr>
          <w:p w14:paraId="2F9E3898"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BE65C7" w:rsidRPr="007F7375" w14:paraId="072EF79C"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3B2529DF"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Pakistan</w:t>
            </w:r>
          </w:p>
        </w:tc>
        <w:tc>
          <w:tcPr>
            <w:tcW w:w="2427" w:type="dxa"/>
          </w:tcPr>
          <w:p w14:paraId="1BC42DD3"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387</w:t>
            </w:r>
          </w:p>
        </w:tc>
        <w:tc>
          <w:tcPr>
            <w:tcW w:w="2428" w:type="dxa"/>
          </w:tcPr>
          <w:p w14:paraId="501EBB03"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428" w:type="dxa"/>
          </w:tcPr>
          <w:p w14:paraId="45F9473E"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BE65C7" w:rsidRPr="007F7375" w14:paraId="65BE99CF"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2FDDC63C"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Philippines</w:t>
            </w:r>
          </w:p>
        </w:tc>
        <w:tc>
          <w:tcPr>
            <w:tcW w:w="2427" w:type="dxa"/>
          </w:tcPr>
          <w:p w14:paraId="6A0AA5DD"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171</w:t>
            </w:r>
          </w:p>
        </w:tc>
        <w:tc>
          <w:tcPr>
            <w:tcW w:w="2428" w:type="dxa"/>
          </w:tcPr>
          <w:p w14:paraId="358A06B9"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428" w:type="dxa"/>
          </w:tcPr>
          <w:p w14:paraId="0B30AF37"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BE65C7" w:rsidRPr="007F7375" w14:paraId="4E60FDA8"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5C1F8951"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Taiwan</w:t>
            </w:r>
          </w:p>
        </w:tc>
        <w:tc>
          <w:tcPr>
            <w:tcW w:w="2427" w:type="dxa"/>
          </w:tcPr>
          <w:p w14:paraId="40E3D094"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2170</w:t>
            </w:r>
          </w:p>
        </w:tc>
        <w:tc>
          <w:tcPr>
            <w:tcW w:w="2428" w:type="dxa"/>
          </w:tcPr>
          <w:p w14:paraId="7EC583AC"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428" w:type="dxa"/>
          </w:tcPr>
          <w:p w14:paraId="7A594961" w14:textId="77777777" w:rsidR="00827191" w:rsidRPr="007F7375"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BE65C7" w:rsidRPr="007F7375" w14:paraId="3F526FE0" w14:textId="77777777" w:rsidTr="00B7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tcPr>
          <w:p w14:paraId="79EFF3C3" w14:textId="77777777" w:rsidR="00827191" w:rsidRPr="00B763A8" w:rsidRDefault="00827191" w:rsidP="00B763A8">
            <w:pPr>
              <w:tabs>
                <w:tab w:val="left" w:pos="360"/>
              </w:tabs>
              <w:jc w:val="center"/>
              <w:rPr>
                <w:rFonts w:ascii="Times New Roman" w:hAnsi="Times New Roman" w:cs="Times New Roman"/>
                <w:b w:val="0"/>
                <w:bCs w:val="0"/>
                <w:color w:val="000000" w:themeColor="text1"/>
              </w:rPr>
            </w:pPr>
            <w:r w:rsidRPr="00B763A8">
              <w:rPr>
                <w:rFonts w:ascii="Times New Roman" w:hAnsi="Times New Roman" w:cs="Times New Roman"/>
                <w:b w:val="0"/>
                <w:bCs w:val="0"/>
                <w:color w:val="000000" w:themeColor="text1"/>
              </w:rPr>
              <w:t>Thailand</w:t>
            </w:r>
          </w:p>
        </w:tc>
        <w:tc>
          <w:tcPr>
            <w:tcW w:w="2427" w:type="dxa"/>
          </w:tcPr>
          <w:p w14:paraId="056788F6"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595</w:t>
            </w:r>
          </w:p>
        </w:tc>
        <w:tc>
          <w:tcPr>
            <w:tcW w:w="2428" w:type="dxa"/>
          </w:tcPr>
          <w:p w14:paraId="6FFE086D"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428" w:type="dxa"/>
          </w:tcPr>
          <w:p w14:paraId="7F962D3D" w14:textId="77777777" w:rsidR="00827191" w:rsidRPr="007F7375" w:rsidRDefault="00827191" w:rsidP="00B763A8">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827191" w:rsidRPr="007F7375" w14:paraId="01BA1C51" w14:textId="77777777" w:rsidTr="00B763A8">
        <w:tc>
          <w:tcPr>
            <w:cnfStyle w:val="001000000000" w:firstRow="0" w:lastRow="0" w:firstColumn="1" w:lastColumn="0" w:oddVBand="0" w:evenVBand="0" w:oddHBand="0" w:evenHBand="0" w:firstRowFirstColumn="0" w:firstRowLastColumn="0" w:lastRowFirstColumn="0" w:lastRowLastColumn="0"/>
            <w:tcW w:w="2427" w:type="dxa"/>
          </w:tcPr>
          <w:p w14:paraId="589AC1CF" w14:textId="77777777" w:rsidR="00827191" w:rsidRPr="00B763A8" w:rsidRDefault="00827191" w:rsidP="00B763A8">
            <w:pPr>
              <w:tabs>
                <w:tab w:val="left" w:pos="360"/>
              </w:tabs>
              <w:jc w:val="center"/>
              <w:rPr>
                <w:rFonts w:ascii="Times New Roman" w:hAnsi="Times New Roman" w:cs="Times New Roman"/>
                <w:color w:val="000000" w:themeColor="text1"/>
              </w:rPr>
            </w:pPr>
            <w:r w:rsidRPr="00B763A8">
              <w:rPr>
                <w:rFonts w:ascii="Times New Roman" w:hAnsi="Times New Roman" w:cs="Times New Roman"/>
                <w:color w:val="000000" w:themeColor="text1"/>
              </w:rPr>
              <w:t>Total</w:t>
            </w:r>
          </w:p>
        </w:tc>
        <w:tc>
          <w:tcPr>
            <w:tcW w:w="2427" w:type="dxa"/>
          </w:tcPr>
          <w:p w14:paraId="440A0F72" w14:textId="77777777" w:rsidR="00827191" w:rsidRPr="00B763A8"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B763A8">
              <w:rPr>
                <w:rFonts w:ascii="Times New Roman" w:hAnsi="Times New Roman" w:cs="Times New Roman"/>
                <w:b/>
                <w:bCs/>
                <w:color w:val="000000" w:themeColor="text1"/>
              </w:rPr>
              <w:t>18738</w:t>
            </w:r>
          </w:p>
        </w:tc>
        <w:tc>
          <w:tcPr>
            <w:tcW w:w="2428" w:type="dxa"/>
          </w:tcPr>
          <w:p w14:paraId="50FF5BCF" w14:textId="77777777" w:rsidR="00827191" w:rsidRPr="00B763A8"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2428" w:type="dxa"/>
          </w:tcPr>
          <w:p w14:paraId="6F71F468" w14:textId="77777777" w:rsidR="00827191" w:rsidRPr="00B763A8" w:rsidRDefault="00827191" w:rsidP="00B763A8">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bl>
    <w:p w14:paraId="5BDCFD81" w14:textId="77777777" w:rsidR="00827191" w:rsidRPr="00BE65C7" w:rsidRDefault="00827191" w:rsidP="00827191">
      <w:pPr>
        <w:spacing w:line="360" w:lineRule="auto"/>
        <w:jc w:val="both"/>
        <w:rPr>
          <w:rFonts w:ascii="Times New Roman" w:hAnsi="Times New Roman" w:cs="Times New Roman"/>
          <w:color w:val="000000" w:themeColor="text1"/>
          <w:sz w:val="24"/>
          <w:szCs w:val="24"/>
        </w:rPr>
      </w:pPr>
    </w:p>
    <w:p w14:paraId="47F632E7" w14:textId="3612FCBB" w:rsidR="00827191" w:rsidRPr="00BE65C7" w:rsidRDefault="00827191" w:rsidP="00827191">
      <w:pPr>
        <w:spacing w:after="0" w:line="360" w:lineRule="auto"/>
        <w:jc w:val="center"/>
        <w:rPr>
          <w:rFonts w:ascii="Times New Roman" w:hAnsi="Times New Roman" w:cs="Times New Roman"/>
          <w:b/>
          <w:bCs/>
          <w:color w:val="000000" w:themeColor="text1"/>
          <w:sz w:val="24"/>
          <w:szCs w:val="24"/>
        </w:rPr>
      </w:pPr>
      <w:r w:rsidRPr="00BE65C7">
        <w:rPr>
          <w:rFonts w:ascii="Times New Roman" w:hAnsi="Times New Roman" w:cs="Times New Roman"/>
          <w:b/>
          <w:bCs/>
          <w:color w:val="000000" w:themeColor="text1"/>
          <w:sz w:val="24"/>
          <w:szCs w:val="24"/>
        </w:rPr>
        <w:t xml:space="preserve">Table </w:t>
      </w:r>
      <w:r w:rsidR="00DD752D" w:rsidRPr="00BE65C7">
        <w:rPr>
          <w:rFonts w:ascii="Times New Roman" w:hAnsi="Times New Roman" w:cs="Times New Roman"/>
          <w:b/>
          <w:bCs/>
          <w:color w:val="000000" w:themeColor="text1"/>
          <w:sz w:val="24"/>
          <w:szCs w:val="24"/>
        </w:rPr>
        <w:t>1</w:t>
      </w:r>
      <w:r w:rsidR="007F7375">
        <w:rPr>
          <w:rFonts w:ascii="Times New Roman" w:hAnsi="Times New Roman" w:cs="Times New Roman"/>
          <w:b/>
          <w:bCs/>
          <w:color w:val="000000" w:themeColor="text1"/>
          <w:sz w:val="24"/>
          <w:szCs w:val="24"/>
        </w:rPr>
        <w:t xml:space="preserve">b: </w:t>
      </w:r>
      <w:r w:rsidRPr="00BE65C7">
        <w:rPr>
          <w:rFonts w:ascii="Times New Roman" w:hAnsi="Times New Roman" w:cs="Times New Roman"/>
          <w:b/>
          <w:bCs/>
          <w:color w:val="000000" w:themeColor="text1"/>
          <w:sz w:val="24"/>
          <w:szCs w:val="24"/>
        </w:rPr>
        <w:t>Sample classification by industries</w:t>
      </w:r>
    </w:p>
    <w:tbl>
      <w:tblPr>
        <w:tblStyle w:val="PlainTable2"/>
        <w:tblW w:w="9417" w:type="dxa"/>
        <w:tblLook w:val="04A0" w:firstRow="1" w:lastRow="0" w:firstColumn="1" w:lastColumn="0" w:noHBand="0" w:noVBand="1"/>
      </w:tblPr>
      <w:tblGrid>
        <w:gridCol w:w="2689"/>
        <w:gridCol w:w="1598"/>
        <w:gridCol w:w="1530"/>
        <w:gridCol w:w="1530"/>
        <w:gridCol w:w="2070"/>
      </w:tblGrid>
      <w:tr w:rsidR="00BE65C7" w:rsidRPr="007F7375" w14:paraId="3FB04D2B" w14:textId="77777777" w:rsidTr="00995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0BAE1F" w14:textId="77777777" w:rsidR="00827191" w:rsidRPr="007F7375" w:rsidRDefault="00827191" w:rsidP="00443A1A">
            <w:pPr>
              <w:rPr>
                <w:rFonts w:ascii="Times New Roman" w:hAnsi="Times New Roman" w:cs="Times New Roman"/>
                <w:color w:val="000000" w:themeColor="text1"/>
              </w:rPr>
            </w:pPr>
          </w:p>
        </w:tc>
        <w:tc>
          <w:tcPr>
            <w:tcW w:w="1598" w:type="dxa"/>
          </w:tcPr>
          <w:p w14:paraId="1A23ABD0" w14:textId="77777777" w:rsidR="00827191" w:rsidRPr="007F7375" w:rsidRDefault="00827191" w:rsidP="00443A1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Emerging Economies</w:t>
            </w:r>
          </w:p>
        </w:tc>
        <w:tc>
          <w:tcPr>
            <w:tcW w:w="1530" w:type="dxa"/>
          </w:tcPr>
          <w:p w14:paraId="65830827" w14:textId="77777777" w:rsidR="00827191" w:rsidRPr="007F7375" w:rsidRDefault="00827191" w:rsidP="00443A1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 of total</w:t>
            </w:r>
          </w:p>
        </w:tc>
        <w:tc>
          <w:tcPr>
            <w:tcW w:w="1530" w:type="dxa"/>
          </w:tcPr>
          <w:p w14:paraId="6EDCA5D8" w14:textId="77777777" w:rsidR="00827191" w:rsidRPr="007F7375" w:rsidRDefault="00827191" w:rsidP="00443A1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Developed Economies</w:t>
            </w:r>
          </w:p>
        </w:tc>
        <w:tc>
          <w:tcPr>
            <w:tcW w:w="2070" w:type="dxa"/>
          </w:tcPr>
          <w:p w14:paraId="21D33BF8" w14:textId="77777777" w:rsidR="00827191" w:rsidRPr="007F7375" w:rsidRDefault="00827191" w:rsidP="00443A1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 of total</w:t>
            </w:r>
          </w:p>
        </w:tc>
      </w:tr>
      <w:tr w:rsidR="00BE65C7" w:rsidRPr="007F7375" w14:paraId="1AC123BE" w14:textId="77777777" w:rsidTr="00995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8D4DAD" w14:textId="77777777" w:rsidR="00827191" w:rsidRPr="00995283" w:rsidRDefault="00827191" w:rsidP="00443A1A">
            <w:pPr>
              <w:rPr>
                <w:rFonts w:ascii="Times New Roman" w:hAnsi="Times New Roman" w:cs="Times New Roman"/>
                <w:b w:val="0"/>
                <w:bCs w:val="0"/>
                <w:color w:val="000000" w:themeColor="text1"/>
              </w:rPr>
            </w:pPr>
            <w:r w:rsidRPr="00995283">
              <w:rPr>
                <w:rFonts w:ascii="Times New Roman" w:hAnsi="Times New Roman" w:cs="Times New Roman"/>
                <w:b w:val="0"/>
                <w:bCs w:val="0"/>
                <w:color w:val="000000" w:themeColor="text1"/>
              </w:rPr>
              <w:t>Communication</w:t>
            </w:r>
          </w:p>
        </w:tc>
        <w:tc>
          <w:tcPr>
            <w:tcW w:w="1598" w:type="dxa"/>
          </w:tcPr>
          <w:p w14:paraId="6CE9C4A1"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672</w:t>
            </w:r>
          </w:p>
        </w:tc>
        <w:tc>
          <w:tcPr>
            <w:tcW w:w="1530" w:type="dxa"/>
          </w:tcPr>
          <w:p w14:paraId="5F294C12"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3.6%</w:t>
            </w:r>
          </w:p>
        </w:tc>
        <w:tc>
          <w:tcPr>
            <w:tcW w:w="1530" w:type="dxa"/>
          </w:tcPr>
          <w:p w14:paraId="4E584AD8"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1499</w:t>
            </w:r>
          </w:p>
        </w:tc>
        <w:tc>
          <w:tcPr>
            <w:tcW w:w="2070" w:type="dxa"/>
          </w:tcPr>
          <w:p w14:paraId="2C3C276C"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4.9%</w:t>
            </w:r>
          </w:p>
        </w:tc>
      </w:tr>
      <w:tr w:rsidR="00BE65C7" w:rsidRPr="007F7375" w14:paraId="28803CA2" w14:textId="77777777" w:rsidTr="00995283">
        <w:tc>
          <w:tcPr>
            <w:cnfStyle w:val="001000000000" w:firstRow="0" w:lastRow="0" w:firstColumn="1" w:lastColumn="0" w:oddVBand="0" w:evenVBand="0" w:oddHBand="0" w:evenHBand="0" w:firstRowFirstColumn="0" w:firstRowLastColumn="0" w:lastRowFirstColumn="0" w:lastRowLastColumn="0"/>
            <w:tcW w:w="2689" w:type="dxa"/>
          </w:tcPr>
          <w:p w14:paraId="7E84EAC4" w14:textId="77777777" w:rsidR="00827191" w:rsidRPr="00995283" w:rsidRDefault="00827191" w:rsidP="00443A1A">
            <w:pPr>
              <w:rPr>
                <w:rFonts w:ascii="Times New Roman" w:hAnsi="Times New Roman" w:cs="Times New Roman"/>
                <w:b w:val="0"/>
                <w:bCs w:val="0"/>
                <w:color w:val="000000" w:themeColor="text1"/>
              </w:rPr>
            </w:pPr>
            <w:r w:rsidRPr="00995283">
              <w:rPr>
                <w:rFonts w:ascii="Times New Roman" w:hAnsi="Times New Roman" w:cs="Times New Roman"/>
                <w:b w:val="0"/>
                <w:bCs w:val="0"/>
                <w:color w:val="000000" w:themeColor="text1"/>
              </w:rPr>
              <w:t>Consumer Discretionary</w:t>
            </w:r>
          </w:p>
        </w:tc>
        <w:tc>
          <w:tcPr>
            <w:tcW w:w="1598" w:type="dxa"/>
          </w:tcPr>
          <w:p w14:paraId="4C2F4AA0"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3837</w:t>
            </w:r>
          </w:p>
        </w:tc>
        <w:tc>
          <w:tcPr>
            <w:tcW w:w="1530" w:type="dxa"/>
          </w:tcPr>
          <w:p w14:paraId="4D4ECBD8"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20.5%</w:t>
            </w:r>
          </w:p>
        </w:tc>
        <w:tc>
          <w:tcPr>
            <w:tcW w:w="1530" w:type="dxa"/>
          </w:tcPr>
          <w:p w14:paraId="62EEF0A3"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4171</w:t>
            </w:r>
          </w:p>
        </w:tc>
        <w:tc>
          <w:tcPr>
            <w:tcW w:w="2070" w:type="dxa"/>
          </w:tcPr>
          <w:p w14:paraId="03928EE3"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13.6%</w:t>
            </w:r>
          </w:p>
        </w:tc>
      </w:tr>
      <w:tr w:rsidR="00BE65C7" w:rsidRPr="007F7375" w14:paraId="5A2A111A" w14:textId="77777777" w:rsidTr="00995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A2E618" w14:textId="77777777" w:rsidR="00827191" w:rsidRPr="00995283" w:rsidRDefault="00827191" w:rsidP="00443A1A">
            <w:pPr>
              <w:rPr>
                <w:rFonts w:ascii="Times New Roman" w:hAnsi="Times New Roman" w:cs="Times New Roman"/>
                <w:b w:val="0"/>
                <w:bCs w:val="0"/>
                <w:color w:val="000000" w:themeColor="text1"/>
              </w:rPr>
            </w:pPr>
            <w:r w:rsidRPr="00995283">
              <w:rPr>
                <w:rFonts w:ascii="Times New Roman" w:hAnsi="Times New Roman" w:cs="Times New Roman"/>
                <w:b w:val="0"/>
                <w:bCs w:val="0"/>
                <w:color w:val="000000" w:themeColor="text1"/>
              </w:rPr>
              <w:t>Consumer Staples</w:t>
            </w:r>
          </w:p>
        </w:tc>
        <w:tc>
          <w:tcPr>
            <w:tcW w:w="1598" w:type="dxa"/>
          </w:tcPr>
          <w:p w14:paraId="36621F5B"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4107</w:t>
            </w:r>
          </w:p>
        </w:tc>
        <w:tc>
          <w:tcPr>
            <w:tcW w:w="1530" w:type="dxa"/>
          </w:tcPr>
          <w:p w14:paraId="6D59AA77"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22%</w:t>
            </w:r>
          </w:p>
        </w:tc>
        <w:tc>
          <w:tcPr>
            <w:tcW w:w="1530" w:type="dxa"/>
          </w:tcPr>
          <w:p w14:paraId="23ED9137"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12577</w:t>
            </w:r>
          </w:p>
        </w:tc>
        <w:tc>
          <w:tcPr>
            <w:tcW w:w="2070" w:type="dxa"/>
          </w:tcPr>
          <w:p w14:paraId="6BE8B9BA"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41%</w:t>
            </w:r>
          </w:p>
        </w:tc>
      </w:tr>
      <w:tr w:rsidR="00BE65C7" w:rsidRPr="007F7375" w14:paraId="2DC817B8" w14:textId="77777777" w:rsidTr="00995283">
        <w:tc>
          <w:tcPr>
            <w:cnfStyle w:val="001000000000" w:firstRow="0" w:lastRow="0" w:firstColumn="1" w:lastColumn="0" w:oddVBand="0" w:evenVBand="0" w:oddHBand="0" w:evenHBand="0" w:firstRowFirstColumn="0" w:firstRowLastColumn="0" w:lastRowFirstColumn="0" w:lastRowLastColumn="0"/>
            <w:tcW w:w="2689" w:type="dxa"/>
          </w:tcPr>
          <w:p w14:paraId="1ADEE817" w14:textId="77777777" w:rsidR="00827191" w:rsidRPr="00995283" w:rsidRDefault="00827191" w:rsidP="00443A1A">
            <w:pPr>
              <w:rPr>
                <w:rFonts w:ascii="Times New Roman" w:hAnsi="Times New Roman" w:cs="Times New Roman"/>
                <w:b w:val="0"/>
                <w:bCs w:val="0"/>
                <w:color w:val="000000" w:themeColor="text1"/>
              </w:rPr>
            </w:pPr>
            <w:r w:rsidRPr="00995283">
              <w:rPr>
                <w:rFonts w:ascii="Times New Roman" w:hAnsi="Times New Roman" w:cs="Times New Roman"/>
                <w:b w:val="0"/>
                <w:bCs w:val="0"/>
                <w:color w:val="000000" w:themeColor="text1"/>
              </w:rPr>
              <w:t>Health Care</w:t>
            </w:r>
          </w:p>
        </w:tc>
        <w:tc>
          <w:tcPr>
            <w:tcW w:w="1598" w:type="dxa"/>
          </w:tcPr>
          <w:p w14:paraId="747A856E"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1261</w:t>
            </w:r>
          </w:p>
        </w:tc>
        <w:tc>
          <w:tcPr>
            <w:tcW w:w="1530" w:type="dxa"/>
          </w:tcPr>
          <w:p w14:paraId="1B5DCD51"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6.8%</w:t>
            </w:r>
          </w:p>
        </w:tc>
        <w:tc>
          <w:tcPr>
            <w:tcW w:w="1530" w:type="dxa"/>
          </w:tcPr>
          <w:p w14:paraId="789A55BE"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2756</w:t>
            </w:r>
          </w:p>
        </w:tc>
        <w:tc>
          <w:tcPr>
            <w:tcW w:w="2070" w:type="dxa"/>
          </w:tcPr>
          <w:p w14:paraId="53D85880"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9%</w:t>
            </w:r>
          </w:p>
        </w:tc>
      </w:tr>
      <w:tr w:rsidR="00BE65C7" w:rsidRPr="007F7375" w14:paraId="2A6B4136" w14:textId="77777777" w:rsidTr="00995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042B2ED" w14:textId="77777777" w:rsidR="00827191" w:rsidRPr="00995283" w:rsidRDefault="00827191" w:rsidP="00443A1A">
            <w:pPr>
              <w:rPr>
                <w:rFonts w:ascii="Times New Roman" w:hAnsi="Times New Roman" w:cs="Times New Roman"/>
                <w:b w:val="0"/>
                <w:bCs w:val="0"/>
                <w:color w:val="000000" w:themeColor="text1"/>
              </w:rPr>
            </w:pPr>
            <w:r w:rsidRPr="00995283">
              <w:rPr>
                <w:rFonts w:ascii="Times New Roman" w:hAnsi="Times New Roman" w:cs="Times New Roman"/>
                <w:b w:val="0"/>
                <w:bCs w:val="0"/>
                <w:color w:val="000000" w:themeColor="text1"/>
              </w:rPr>
              <w:t>Industrials</w:t>
            </w:r>
          </w:p>
        </w:tc>
        <w:tc>
          <w:tcPr>
            <w:tcW w:w="1598" w:type="dxa"/>
          </w:tcPr>
          <w:p w14:paraId="49D71A12"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3449</w:t>
            </w:r>
          </w:p>
        </w:tc>
        <w:tc>
          <w:tcPr>
            <w:tcW w:w="1530" w:type="dxa"/>
          </w:tcPr>
          <w:p w14:paraId="5C0FF4A3"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18.4%</w:t>
            </w:r>
          </w:p>
        </w:tc>
        <w:tc>
          <w:tcPr>
            <w:tcW w:w="1530" w:type="dxa"/>
          </w:tcPr>
          <w:p w14:paraId="6B28F1B8"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3055</w:t>
            </w:r>
          </w:p>
        </w:tc>
        <w:tc>
          <w:tcPr>
            <w:tcW w:w="2070" w:type="dxa"/>
          </w:tcPr>
          <w:p w14:paraId="1CCE1E40"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10%</w:t>
            </w:r>
          </w:p>
        </w:tc>
      </w:tr>
      <w:tr w:rsidR="00BE65C7" w:rsidRPr="007F7375" w14:paraId="39A55CAB" w14:textId="77777777" w:rsidTr="00995283">
        <w:tc>
          <w:tcPr>
            <w:cnfStyle w:val="001000000000" w:firstRow="0" w:lastRow="0" w:firstColumn="1" w:lastColumn="0" w:oddVBand="0" w:evenVBand="0" w:oddHBand="0" w:evenHBand="0" w:firstRowFirstColumn="0" w:firstRowLastColumn="0" w:lastRowFirstColumn="0" w:lastRowLastColumn="0"/>
            <w:tcW w:w="2689" w:type="dxa"/>
          </w:tcPr>
          <w:p w14:paraId="6FB184CA" w14:textId="77777777" w:rsidR="00827191" w:rsidRPr="00995283" w:rsidRDefault="00827191" w:rsidP="00443A1A">
            <w:pPr>
              <w:rPr>
                <w:rFonts w:ascii="Times New Roman" w:hAnsi="Times New Roman" w:cs="Times New Roman"/>
                <w:b w:val="0"/>
                <w:bCs w:val="0"/>
                <w:color w:val="000000" w:themeColor="text1"/>
              </w:rPr>
            </w:pPr>
            <w:r w:rsidRPr="00995283">
              <w:rPr>
                <w:rFonts w:ascii="Times New Roman" w:hAnsi="Times New Roman" w:cs="Times New Roman"/>
                <w:b w:val="0"/>
                <w:bCs w:val="0"/>
                <w:color w:val="000000" w:themeColor="text1"/>
              </w:rPr>
              <w:t>Materials</w:t>
            </w:r>
          </w:p>
        </w:tc>
        <w:tc>
          <w:tcPr>
            <w:tcW w:w="1598" w:type="dxa"/>
          </w:tcPr>
          <w:p w14:paraId="084020DD"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2868</w:t>
            </w:r>
          </w:p>
        </w:tc>
        <w:tc>
          <w:tcPr>
            <w:tcW w:w="1530" w:type="dxa"/>
          </w:tcPr>
          <w:p w14:paraId="1F396BEB"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15.2%</w:t>
            </w:r>
          </w:p>
        </w:tc>
        <w:tc>
          <w:tcPr>
            <w:tcW w:w="1530" w:type="dxa"/>
          </w:tcPr>
          <w:p w14:paraId="78EDE199"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3550</w:t>
            </w:r>
          </w:p>
        </w:tc>
        <w:tc>
          <w:tcPr>
            <w:tcW w:w="2070" w:type="dxa"/>
          </w:tcPr>
          <w:p w14:paraId="58F49282"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11.6%</w:t>
            </w:r>
          </w:p>
        </w:tc>
      </w:tr>
      <w:tr w:rsidR="00BE65C7" w:rsidRPr="007F7375" w14:paraId="37741BF7" w14:textId="77777777" w:rsidTr="00995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7E0E4FD" w14:textId="77777777" w:rsidR="00827191" w:rsidRPr="00995283" w:rsidRDefault="00827191" w:rsidP="00443A1A">
            <w:pPr>
              <w:rPr>
                <w:rFonts w:ascii="Times New Roman" w:hAnsi="Times New Roman" w:cs="Times New Roman"/>
                <w:b w:val="0"/>
                <w:bCs w:val="0"/>
                <w:color w:val="000000" w:themeColor="text1"/>
              </w:rPr>
            </w:pPr>
            <w:r w:rsidRPr="00995283">
              <w:rPr>
                <w:rFonts w:ascii="Times New Roman" w:hAnsi="Times New Roman" w:cs="Times New Roman"/>
                <w:b w:val="0"/>
                <w:bCs w:val="0"/>
                <w:color w:val="000000" w:themeColor="text1"/>
              </w:rPr>
              <w:t>Technology</w:t>
            </w:r>
          </w:p>
        </w:tc>
        <w:tc>
          <w:tcPr>
            <w:tcW w:w="1598" w:type="dxa"/>
          </w:tcPr>
          <w:p w14:paraId="29BD81B9"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2550</w:t>
            </w:r>
          </w:p>
        </w:tc>
        <w:tc>
          <w:tcPr>
            <w:tcW w:w="1530" w:type="dxa"/>
          </w:tcPr>
          <w:p w14:paraId="66265871"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13.6%</w:t>
            </w:r>
          </w:p>
        </w:tc>
        <w:tc>
          <w:tcPr>
            <w:tcW w:w="1530" w:type="dxa"/>
          </w:tcPr>
          <w:p w14:paraId="681BD6C4"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3108</w:t>
            </w:r>
          </w:p>
        </w:tc>
        <w:tc>
          <w:tcPr>
            <w:tcW w:w="2070" w:type="dxa"/>
          </w:tcPr>
          <w:p w14:paraId="0F0B16BD" w14:textId="77777777" w:rsidR="00827191" w:rsidRPr="007F7375" w:rsidRDefault="00827191" w:rsidP="00443A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10.1%</w:t>
            </w:r>
          </w:p>
        </w:tc>
      </w:tr>
      <w:tr w:rsidR="00827191" w:rsidRPr="007F7375" w14:paraId="4AC5E0FC" w14:textId="77777777" w:rsidTr="00995283">
        <w:tc>
          <w:tcPr>
            <w:cnfStyle w:val="001000000000" w:firstRow="0" w:lastRow="0" w:firstColumn="1" w:lastColumn="0" w:oddVBand="0" w:evenVBand="0" w:oddHBand="0" w:evenHBand="0" w:firstRowFirstColumn="0" w:firstRowLastColumn="0" w:lastRowFirstColumn="0" w:lastRowLastColumn="0"/>
            <w:tcW w:w="2689" w:type="dxa"/>
          </w:tcPr>
          <w:p w14:paraId="7C619B42" w14:textId="77777777" w:rsidR="00827191" w:rsidRPr="007F7375" w:rsidRDefault="00827191" w:rsidP="00443A1A">
            <w:pPr>
              <w:rPr>
                <w:rFonts w:ascii="Times New Roman" w:hAnsi="Times New Roman" w:cs="Times New Roman"/>
                <w:color w:val="000000" w:themeColor="text1"/>
              </w:rPr>
            </w:pPr>
            <w:r w:rsidRPr="007F7375">
              <w:rPr>
                <w:rFonts w:ascii="Times New Roman" w:hAnsi="Times New Roman" w:cs="Times New Roman"/>
                <w:color w:val="000000" w:themeColor="text1"/>
              </w:rPr>
              <w:t>Total</w:t>
            </w:r>
          </w:p>
        </w:tc>
        <w:tc>
          <w:tcPr>
            <w:tcW w:w="1598" w:type="dxa"/>
          </w:tcPr>
          <w:p w14:paraId="478E2C96"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18738</w:t>
            </w:r>
          </w:p>
        </w:tc>
        <w:tc>
          <w:tcPr>
            <w:tcW w:w="1530" w:type="dxa"/>
          </w:tcPr>
          <w:p w14:paraId="345148D7"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100%</w:t>
            </w:r>
          </w:p>
        </w:tc>
        <w:tc>
          <w:tcPr>
            <w:tcW w:w="1530" w:type="dxa"/>
          </w:tcPr>
          <w:p w14:paraId="2D642B7C"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30716</w:t>
            </w:r>
          </w:p>
        </w:tc>
        <w:tc>
          <w:tcPr>
            <w:tcW w:w="2070" w:type="dxa"/>
          </w:tcPr>
          <w:p w14:paraId="76E5038B" w14:textId="77777777" w:rsidR="00827191" w:rsidRPr="007F7375" w:rsidRDefault="00827191" w:rsidP="00443A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F7375">
              <w:rPr>
                <w:rFonts w:ascii="Times New Roman" w:hAnsi="Times New Roman" w:cs="Times New Roman"/>
                <w:color w:val="000000" w:themeColor="text1"/>
              </w:rPr>
              <w:t>100%</w:t>
            </w:r>
          </w:p>
        </w:tc>
      </w:tr>
    </w:tbl>
    <w:p w14:paraId="2454F632" w14:textId="77777777" w:rsidR="00827191" w:rsidRPr="00BE65C7" w:rsidRDefault="00827191" w:rsidP="00827191">
      <w:pPr>
        <w:spacing w:after="0" w:line="240" w:lineRule="auto"/>
        <w:jc w:val="center"/>
        <w:rPr>
          <w:rFonts w:ascii="Times New Roman" w:hAnsi="Times New Roman" w:cs="Times New Roman"/>
          <w:color w:val="000000" w:themeColor="text1"/>
        </w:rPr>
      </w:pPr>
    </w:p>
    <w:p w14:paraId="068E5B59" w14:textId="77777777" w:rsidR="0030778B" w:rsidRDefault="0030778B" w:rsidP="00827191">
      <w:pPr>
        <w:spacing w:line="360" w:lineRule="auto"/>
        <w:jc w:val="both"/>
        <w:rPr>
          <w:rFonts w:ascii="Times New Roman" w:hAnsi="Times New Roman" w:cs="Times New Roman"/>
          <w:i/>
          <w:iCs/>
          <w:color w:val="000000" w:themeColor="text1"/>
          <w:sz w:val="24"/>
          <w:szCs w:val="24"/>
        </w:rPr>
      </w:pPr>
    </w:p>
    <w:p w14:paraId="14FFE44F" w14:textId="77777777" w:rsidR="00C01E16" w:rsidRDefault="00C01E16" w:rsidP="00827191">
      <w:pPr>
        <w:spacing w:line="360" w:lineRule="auto"/>
        <w:jc w:val="both"/>
        <w:rPr>
          <w:rFonts w:ascii="Times New Roman" w:hAnsi="Times New Roman" w:cs="Times New Roman"/>
          <w:i/>
          <w:iCs/>
          <w:color w:val="000000" w:themeColor="text1"/>
          <w:sz w:val="24"/>
          <w:szCs w:val="24"/>
        </w:rPr>
      </w:pPr>
    </w:p>
    <w:p w14:paraId="1B9DD730" w14:textId="77777777" w:rsidR="00C01E16" w:rsidRDefault="00C01E16" w:rsidP="00827191">
      <w:pPr>
        <w:spacing w:line="360" w:lineRule="auto"/>
        <w:jc w:val="both"/>
        <w:rPr>
          <w:rFonts w:ascii="Times New Roman" w:hAnsi="Times New Roman" w:cs="Times New Roman"/>
          <w:i/>
          <w:iCs/>
          <w:color w:val="000000" w:themeColor="text1"/>
          <w:sz w:val="24"/>
          <w:szCs w:val="24"/>
        </w:rPr>
      </w:pPr>
    </w:p>
    <w:p w14:paraId="04A868A8" w14:textId="77777777" w:rsidR="00C01E16" w:rsidRPr="00BE65C7" w:rsidRDefault="00C01E16" w:rsidP="00827191">
      <w:pPr>
        <w:spacing w:line="360" w:lineRule="auto"/>
        <w:jc w:val="both"/>
        <w:rPr>
          <w:rFonts w:ascii="Times New Roman" w:hAnsi="Times New Roman" w:cs="Times New Roman"/>
          <w:i/>
          <w:iCs/>
          <w:color w:val="000000" w:themeColor="text1"/>
          <w:sz w:val="24"/>
          <w:szCs w:val="24"/>
        </w:rPr>
      </w:pPr>
    </w:p>
    <w:p w14:paraId="525A7B99" w14:textId="7E0ADB82" w:rsidR="0030778B" w:rsidRPr="00BD25BE" w:rsidRDefault="0030778B" w:rsidP="00827191">
      <w:pPr>
        <w:spacing w:line="360" w:lineRule="auto"/>
        <w:jc w:val="both"/>
        <w:rPr>
          <w:rFonts w:ascii="Times New Roman" w:hAnsi="Times New Roman" w:cs="Times New Roman"/>
          <w:b/>
          <w:bCs/>
          <w:color w:val="000000" w:themeColor="text1"/>
          <w:sz w:val="24"/>
          <w:szCs w:val="24"/>
        </w:rPr>
      </w:pPr>
      <w:r w:rsidRPr="00BD25BE">
        <w:rPr>
          <w:rFonts w:ascii="Times New Roman" w:hAnsi="Times New Roman" w:cs="Times New Roman"/>
          <w:b/>
          <w:bCs/>
          <w:i/>
          <w:iCs/>
          <w:color w:val="000000" w:themeColor="text1"/>
          <w:sz w:val="24"/>
          <w:szCs w:val="24"/>
        </w:rPr>
        <w:t>3.2 Variable</w:t>
      </w:r>
      <w:r w:rsidR="00995283" w:rsidRPr="00BD25BE">
        <w:rPr>
          <w:rFonts w:ascii="Times New Roman" w:hAnsi="Times New Roman" w:cs="Times New Roman"/>
          <w:b/>
          <w:bCs/>
          <w:i/>
          <w:iCs/>
          <w:color w:val="000000" w:themeColor="text1"/>
          <w:sz w:val="24"/>
          <w:szCs w:val="24"/>
        </w:rPr>
        <w:t>s</w:t>
      </w:r>
    </w:p>
    <w:p w14:paraId="041F3EEA" w14:textId="7EB98E2C" w:rsidR="00743345" w:rsidRPr="00BE65C7" w:rsidRDefault="0030778B" w:rsidP="00CD04DF">
      <w:pPr>
        <w:autoSpaceDE w:val="0"/>
        <w:autoSpaceDN w:val="0"/>
        <w:adjustRightInd w:val="0"/>
        <w:spacing w:after="0" w:line="360" w:lineRule="auto"/>
        <w:jc w:val="both"/>
        <w:rPr>
          <w:i/>
          <w:iCs/>
          <w:color w:val="000000" w:themeColor="text1"/>
        </w:rPr>
      </w:pPr>
      <w:r w:rsidRPr="00BE65C7">
        <w:rPr>
          <w:rFonts w:ascii="Times New Roman" w:hAnsi="Times New Roman" w:cs="Times New Roman"/>
          <w:color w:val="000000" w:themeColor="text1"/>
          <w:sz w:val="24"/>
          <w:szCs w:val="24"/>
        </w:rPr>
        <w:t xml:space="preserve">We collect all financial variables from the Bloomberg database. </w:t>
      </w:r>
      <w:r w:rsidR="003D08F0" w:rsidRPr="00BE65C7">
        <w:rPr>
          <w:rFonts w:ascii="Times New Roman" w:hAnsi="Times New Roman" w:cs="Times New Roman"/>
          <w:color w:val="000000" w:themeColor="text1"/>
          <w:sz w:val="24"/>
          <w:szCs w:val="24"/>
        </w:rPr>
        <w:t>The variable</w:t>
      </w:r>
      <w:r w:rsidR="00C774F7" w:rsidRPr="00BE65C7">
        <w:rPr>
          <w:rFonts w:ascii="Times New Roman" w:hAnsi="Times New Roman" w:cs="Times New Roman"/>
          <w:color w:val="000000" w:themeColor="text1"/>
          <w:sz w:val="24"/>
          <w:szCs w:val="24"/>
        </w:rPr>
        <w:t>s and their definitions</w:t>
      </w:r>
      <w:r w:rsidR="003D08F0" w:rsidRPr="00BE65C7">
        <w:rPr>
          <w:rFonts w:ascii="Times New Roman" w:hAnsi="Times New Roman" w:cs="Times New Roman"/>
          <w:color w:val="000000" w:themeColor="text1"/>
          <w:sz w:val="24"/>
          <w:szCs w:val="24"/>
        </w:rPr>
        <w:t xml:space="preserve"> are provided in Appendix I. We measure financial constraint</w:t>
      </w:r>
      <w:r w:rsidR="00A86BFD" w:rsidRPr="00BE65C7">
        <w:rPr>
          <w:rFonts w:ascii="Times New Roman" w:hAnsi="Times New Roman" w:cs="Times New Roman"/>
          <w:color w:val="000000" w:themeColor="text1"/>
          <w:sz w:val="24"/>
          <w:szCs w:val="24"/>
        </w:rPr>
        <w:t xml:space="preserve"> through </w:t>
      </w:r>
      <w:proofErr w:type="spellStart"/>
      <w:r w:rsidR="00A86BFD" w:rsidRPr="00BE65C7">
        <w:rPr>
          <w:rFonts w:ascii="Times New Roman" w:hAnsi="Times New Roman" w:cs="Times New Roman"/>
          <w:color w:val="000000" w:themeColor="text1"/>
          <w:sz w:val="24"/>
          <w:szCs w:val="24"/>
        </w:rPr>
        <w:t>SA_Index</w:t>
      </w:r>
      <w:proofErr w:type="spellEnd"/>
      <w:r w:rsidR="00A86BFD" w:rsidRPr="00BE65C7">
        <w:rPr>
          <w:rFonts w:ascii="Times New Roman" w:hAnsi="Times New Roman" w:cs="Times New Roman"/>
          <w:color w:val="000000" w:themeColor="text1"/>
          <w:sz w:val="24"/>
          <w:szCs w:val="24"/>
        </w:rPr>
        <w:t xml:space="preserve"> (Hadlock and Pierce,</w:t>
      </w:r>
      <w:r w:rsidR="005947AC" w:rsidRPr="00BE65C7">
        <w:rPr>
          <w:rFonts w:ascii="Times New Roman" w:hAnsi="Times New Roman" w:cs="Times New Roman"/>
          <w:color w:val="000000" w:themeColor="text1"/>
          <w:sz w:val="24"/>
          <w:szCs w:val="24"/>
        </w:rPr>
        <w:t xml:space="preserve"> 2010) and convert it into</w:t>
      </w:r>
      <w:r w:rsidR="003D08F0" w:rsidRPr="00BE65C7">
        <w:rPr>
          <w:rFonts w:ascii="Times New Roman" w:hAnsi="Times New Roman" w:cs="Times New Roman"/>
          <w:color w:val="000000" w:themeColor="text1"/>
          <w:sz w:val="24"/>
          <w:szCs w:val="24"/>
        </w:rPr>
        <w:t xml:space="preserve"> a dummy variable</w:t>
      </w:r>
      <w:r w:rsidR="006B2F10" w:rsidRPr="00BE65C7">
        <w:rPr>
          <w:rFonts w:ascii="Times New Roman" w:hAnsi="Times New Roman" w:cs="Times New Roman"/>
          <w:color w:val="000000" w:themeColor="text1"/>
          <w:sz w:val="24"/>
          <w:szCs w:val="24"/>
        </w:rPr>
        <w:t xml:space="preserve"> (1</w:t>
      </w:r>
      <w:r w:rsidR="003D08F0" w:rsidRPr="00BE65C7">
        <w:rPr>
          <w:rFonts w:ascii="Times New Roman" w:hAnsi="Times New Roman" w:cs="Times New Roman"/>
          <w:color w:val="000000" w:themeColor="text1"/>
          <w:sz w:val="24"/>
          <w:szCs w:val="24"/>
        </w:rPr>
        <w:t xml:space="preserve"> if the </w:t>
      </w:r>
      <w:proofErr w:type="spellStart"/>
      <w:r w:rsidR="003D08F0" w:rsidRPr="00BE65C7">
        <w:rPr>
          <w:rFonts w:ascii="Times New Roman" w:hAnsi="Times New Roman" w:cs="Times New Roman"/>
          <w:color w:val="000000" w:themeColor="text1"/>
          <w:sz w:val="24"/>
          <w:szCs w:val="24"/>
        </w:rPr>
        <w:t>SA_Index</w:t>
      </w:r>
      <w:proofErr w:type="spellEnd"/>
      <w:r w:rsidR="003D08F0" w:rsidRPr="00BE65C7">
        <w:rPr>
          <w:rFonts w:ascii="Times New Roman" w:hAnsi="Times New Roman" w:cs="Times New Roman"/>
          <w:color w:val="000000" w:themeColor="text1"/>
          <w:sz w:val="24"/>
          <w:szCs w:val="24"/>
        </w:rPr>
        <w:t xml:space="preserve"> is more than the median value and zero otherwise</w:t>
      </w:r>
      <w:r w:rsidR="006B2F10" w:rsidRPr="00BE65C7">
        <w:rPr>
          <w:rFonts w:ascii="Times New Roman" w:hAnsi="Times New Roman" w:cs="Times New Roman"/>
          <w:color w:val="000000" w:themeColor="text1"/>
          <w:sz w:val="24"/>
          <w:szCs w:val="24"/>
        </w:rPr>
        <w:t>)</w:t>
      </w:r>
      <w:r w:rsidR="003D08F0" w:rsidRPr="00BE65C7">
        <w:rPr>
          <w:rFonts w:ascii="Times New Roman" w:hAnsi="Times New Roman" w:cs="Times New Roman"/>
          <w:color w:val="000000" w:themeColor="text1"/>
          <w:sz w:val="24"/>
          <w:szCs w:val="24"/>
        </w:rPr>
        <w:t>.</w:t>
      </w:r>
      <w:r w:rsidR="00216145" w:rsidRPr="00BE65C7">
        <w:rPr>
          <w:rFonts w:ascii="Times New Roman" w:hAnsi="Times New Roman" w:cs="Times New Roman"/>
          <w:color w:val="000000" w:themeColor="text1"/>
          <w:sz w:val="24"/>
          <w:szCs w:val="24"/>
        </w:rPr>
        <w:t xml:space="preserve"> Following Opler et al. (1999) and Bates, Kahle, and Stulz (2009), we include </w:t>
      </w:r>
      <w:r w:rsidR="006B2F10" w:rsidRPr="00BE65C7">
        <w:rPr>
          <w:rFonts w:ascii="Times New Roman" w:hAnsi="Times New Roman" w:cs="Times New Roman"/>
          <w:color w:val="000000" w:themeColor="text1"/>
          <w:sz w:val="24"/>
          <w:szCs w:val="24"/>
        </w:rPr>
        <w:t xml:space="preserve">the </w:t>
      </w:r>
      <w:r w:rsidR="00216145" w:rsidRPr="00BE65C7">
        <w:rPr>
          <w:rFonts w:ascii="Times New Roman" w:hAnsi="Times New Roman" w:cs="Times New Roman"/>
          <w:color w:val="000000" w:themeColor="text1"/>
          <w:sz w:val="24"/>
          <w:szCs w:val="24"/>
        </w:rPr>
        <w:t xml:space="preserve">firm characteristics that may affect </w:t>
      </w:r>
      <w:r w:rsidR="006B2F10" w:rsidRPr="00BE65C7">
        <w:rPr>
          <w:rFonts w:ascii="Times New Roman" w:hAnsi="Times New Roman" w:cs="Times New Roman"/>
          <w:color w:val="000000" w:themeColor="text1"/>
          <w:sz w:val="24"/>
          <w:szCs w:val="24"/>
        </w:rPr>
        <w:t xml:space="preserve">the </w:t>
      </w:r>
      <w:r w:rsidR="00216145" w:rsidRPr="00BE65C7">
        <w:rPr>
          <w:rFonts w:ascii="Times New Roman" w:hAnsi="Times New Roman" w:cs="Times New Roman"/>
          <w:color w:val="000000" w:themeColor="text1"/>
          <w:sz w:val="24"/>
          <w:szCs w:val="24"/>
        </w:rPr>
        <w:t>firm</w:t>
      </w:r>
      <w:r w:rsidR="006B2F10" w:rsidRPr="00BE65C7">
        <w:rPr>
          <w:rFonts w:ascii="Times New Roman" w:hAnsi="Times New Roman" w:cs="Times New Roman"/>
          <w:color w:val="000000" w:themeColor="text1"/>
          <w:sz w:val="24"/>
          <w:szCs w:val="24"/>
        </w:rPr>
        <w:t>'s</w:t>
      </w:r>
      <w:r w:rsidR="00216145" w:rsidRPr="00BE65C7">
        <w:rPr>
          <w:rFonts w:ascii="Times New Roman" w:hAnsi="Times New Roman" w:cs="Times New Roman"/>
          <w:color w:val="000000" w:themeColor="text1"/>
          <w:sz w:val="24"/>
          <w:szCs w:val="24"/>
        </w:rPr>
        <w:t xml:space="preserve"> cash holdings as control variables</w:t>
      </w:r>
      <w:r w:rsidR="007E0714" w:rsidRPr="00BE65C7">
        <w:rPr>
          <w:rFonts w:ascii="Times New Roman" w:hAnsi="Times New Roman" w:cs="Times New Roman"/>
          <w:color w:val="000000" w:themeColor="text1"/>
          <w:sz w:val="24"/>
          <w:szCs w:val="24"/>
        </w:rPr>
        <w:t xml:space="preserve"> – cash flow from operations, plant, property</w:t>
      </w:r>
      <w:r w:rsidR="009D3FA2" w:rsidRPr="00BE65C7">
        <w:rPr>
          <w:rFonts w:ascii="Times New Roman" w:hAnsi="Times New Roman" w:cs="Times New Roman"/>
          <w:color w:val="000000" w:themeColor="text1"/>
          <w:sz w:val="24"/>
          <w:szCs w:val="24"/>
        </w:rPr>
        <w:t>,</w:t>
      </w:r>
      <w:r w:rsidR="007E0714" w:rsidRPr="00BE65C7">
        <w:rPr>
          <w:rFonts w:ascii="Times New Roman" w:hAnsi="Times New Roman" w:cs="Times New Roman"/>
          <w:color w:val="000000" w:themeColor="text1"/>
          <w:sz w:val="24"/>
          <w:szCs w:val="24"/>
        </w:rPr>
        <w:t xml:space="preserve"> and equipment (PPE), sales growth, </w:t>
      </w:r>
      <w:r w:rsidR="00AE0325" w:rsidRPr="00BE65C7">
        <w:rPr>
          <w:rFonts w:ascii="Times New Roman" w:hAnsi="Times New Roman" w:cs="Times New Roman"/>
          <w:color w:val="000000" w:themeColor="text1"/>
          <w:sz w:val="24"/>
          <w:szCs w:val="24"/>
        </w:rPr>
        <w:t>research,</w:t>
      </w:r>
      <w:r w:rsidR="007E0714" w:rsidRPr="00BE65C7">
        <w:rPr>
          <w:rFonts w:ascii="Times New Roman" w:hAnsi="Times New Roman" w:cs="Times New Roman"/>
          <w:color w:val="000000" w:themeColor="text1"/>
          <w:sz w:val="24"/>
          <w:szCs w:val="24"/>
        </w:rPr>
        <w:t xml:space="preserve"> and development (R&amp;D), return on assets (ROA) and leverage.</w:t>
      </w:r>
      <w:r w:rsidR="00952BC6" w:rsidRPr="00BE65C7">
        <w:rPr>
          <w:rFonts w:ascii="Times New Roman" w:hAnsi="Times New Roman" w:cs="Times New Roman"/>
          <w:color w:val="000000" w:themeColor="text1"/>
          <w:sz w:val="24"/>
          <w:szCs w:val="24"/>
        </w:rPr>
        <w:t xml:space="preserve"> We extract the scores of </w:t>
      </w:r>
      <w:r w:rsidR="00902390" w:rsidRPr="00BE65C7">
        <w:rPr>
          <w:rFonts w:ascii="Times New Roman" w:hAnsi="Times New Roman" w:cs="Times New Roman"/>
          <w:color w:val="000000" w:themeColor="text1"/>
          <w:sz w:val="24"/>
          <w:szCs w:val="24"/>
        </w:rPr>
        <w:t>corruptions</w:t>
      </w:r>
      <w:r w:rsidR="00AA7501" w:rsidRPr="00BE65C7">
        <w:rPr>
          <w:rFonts w:ascii="Times New Roman" w:hAnsi="Times New Roman" w:cs="Times New Roman"/>
          <w:color w:val="000000" w:themeColor="text1"/>
          <w:sz w:val="24"/>
          <w:szCs w:val="24"/>
        </w:rPr>
        <w:t xml:space="preserve"> of each country in our sample</w:t>
      </w:r>
      <w:r w:rsidR="00952BC6" w:rsidRPr="00BE65C7">
        <w:rPr>
          <w:rFonts w:ascii="Times New Roman" w:hAnsi="Times New Roman" w:cs="Times New Roman"/>
          <w:color w:val="000000" w:themeColor="text1"/>
          <w:sz w:val="24"/>
          <w:szCs w:val="24"/>
        </w:rPr>
        <w:t xml:space="preserve"> from the Worldwide Governance Indicators database of the World Bank. </w:t>
      </w:r>
      <w:r w:rsidR="00326372" w:rsidRPr="00BE65C7">
        <w:rPr>
          <w:rFonts w:ascii="Times New Roman" w:hAnsi="Times New Roman" w:cs="Times New Roman"/>
          <w:color w:val="000000" w:themeColor="text1"/>
        </w:rPr>
        <w:t>Finally, w</w:t>
      </w:r>
      <w:r w:rsidR="000059EE" w:rsidRPr="00BE65C7">
        <w:rPr>
          <w:rFonts w:ascii="Times New Roman" w:hAnsi="Times New Roman" w:cs="Times New Roman"/>
          <w:color w:val="000000" w:themeColor="text1"/>
          <w:sz w:val="24"/>
          <w:szCs w:val="24"/>
        </w:rPr>
        <w:t xml:space="preserve">e </w:t>
      </w:r>
      <w:r w:rsidR="006B2F10" w:rsidRPr="00BE65C7">
        <w:rPr>
          <w:rFonts w:ascii="Times New Roman" w:hAnsi="Times New Roman" w:cs="Times New Roman"/>
          <w:color w:val="000000" w:themeColor="text1"/>
          <w:sz w:val="24"/>
          <w:szCs w:val="24"/>
        </w:rPr>
        <w:t xml:space="preserve">manually </w:t>
      </w:r>
      <w:r w:rsidR="009A680E" w:rsidRPr="00BE65C7">
        <w:rPr>
          <w:rFonts w:ascii="Times New Roman" w:hAnsi="Times New Roman" w:cs="Times New Roman"/>
          <w:color w:val="000000" w:themeColor="text1"/>
          <w:sz w:val="24"/>
          <w:szCs w:val="24"/>
        </w:rPr>
        <w:t xml:space="preserve">collect </w:t>
      </w:r>
      <w:r w:rsidR="000059EE" w:rsidRPr="00BE65C7">
        <w:rPr>
          <w:rFonts w:ascii="Times New Roman" w:hAnsi="Times New Roman" w:cs="Times New Roman"/>
          <w:color w:val="000000" w:themeColor="text1"/>
          <w:sz w:val="24"/>
          <w:szCs w:val="24"/>
        </w:rPr>
        <w:t xml:space="preserve">the data on the legal systems of a country from </w:t>
      </w:r>
      <w:r w:rsidR="000059EE" w:rsidRPr="00BE65C7">
        <w:rPr>
          <w:rFonts w:ascii="Times New Roman" w:hAnsi="Times New Roman" w:cs="Times New Roman"/>
          <w:i/>
          <w:iCs/>
          <w:color w:val="000000" w:themeColor="text1"/>
          <w:sz w:val="24"/>
          <w:szCs w:val="24"/>
        </w:rPr>
        <w:t>worldpopulationreview.com</w:t>
      </w:r>
      <w:r w:rsidR="000059EE" w:rsidRPr="00BE65C7">
        <w:rPr>
          <w:rFonts w:ascii="Times New Roman" w:hAnsi="Times New Roman" w:cs="Times New Roman"/>
          <w:color w:val="000000" w:themeColor="text1"/>
          <w:sz w:val="24"/>
          <w:szCs w:val="24"/>
        </w:rPr>
        <w:t>. The website shows the common law countries</w:t>
      </w:r>
      <w:r w:rsidR="006B2F10" w:rsidRPr="00BE65C7">
        <w:rPr>
          <w:rFonts w:ascii="Times New Roman" w:hAnsi="Times New Roman" w:cs="Times New Roman"/>
          <w:color w:val="000000" w:themeColor="text1"/>
          <w:sz w:val="24"/>
          <w:szCs w:val="24"/>
        </w:rPr>
        <w:t>,</w:t>
      </w:r>
      <w:r w:rsidR="000059EE" w:rsidRPr="00BE65C7">
        <w:rPr>
          <w:rFonts w:ascii="Times New Roman" w:hAnsi="Times New Roman" w:cs="Times New Roman"/>
          <w:color w:val="000000" w:themeColor="text1"/>
          <w:sz w:val="24"/>
          <w:szCs w:val="24"/>
        </w:rPr>
        <w:t xml:space="preserve"> and we consider the remaining countries in our sample as having civil law. </w:t>
      </w:r>
      <w:r w:rsidR="006F1D6D" w:rsidRPr="00BE65C7">
        <w:rPr>
          <w:rFonts w:ascii="Times New Roman" w:hAnsi="Times New Roman" w:cs="Times New Roman"/>
          <w:color w:val="000000" w:themeColor="text1"/>
          <w:sz w:val="24"/>
          <w:szCs w:val="24"/>
        </w:rPr>
        <w:t>According to the description on the website</w:t>
      </w:r>
      <w:r w:rsidR="006F1D6D" w:rsidRPr="00BE65C7">
        <w:rPr>
          <w:color w:val="000000" w:themeColor="text1"/>
        </w:rPr>
        <w:t xml:space="preserve"> </w:t>
      </w:r>
      <w:r w:rsidR="00765AC0" w:rsidRPr="00BE65C7">
        <w:rPr>
          <w:rFonts w:ascii="Times New Roman" w:hAnsi="Times New Roman" w:cs="Times New Roman"/>
          <w:color w:val="000000" w:themeColor="text1"/>
        </w:rPr>
        <w:t xml:space="preserve">We segregate the common and civil law countries as belonging to emerging or developed economies. </w:t>
      </w:r>
      <w:r w:rsidR="0019740D" w:rsidRPr="00BE65C7">
        <w:rPr>
          <w:rFonts w:ascii="Times New Roman" w:hAnsi="Times New Roman" w:cs="Times New Roman"/>
          <w:color w:val="000000" w:themeColor="text1"/>
          <w:sz w:val="24"/>
          <w:szCs w:val="24"/>
        </w:rPr>
        <w:t xml:space="preserve">Then we code </w:t>
      </w:r>
      <w:r w:rsidR="00632994" w:rsidRPr="00BE65C7">
        <w:rPr>
          <w:rFonts w:ascii="Times New Roman" w:hAnsi="Times New Roman" w:cs="Times New Roman"/>
          <w:color w:val="000000" w:themeColor="text1"/>
          <w:sz w:val="24"/>
          <w:szCs w:val="24"/>
        </w:rPr>
        <w:t>the country as having common law as 1,</w:t>
      </w:r>
      <w:r w:rsidR="0019740D" w:rsidRPr="00BE65C7">
        <w:rPr>
          <w:rFonts w:ascii="Times New Roman" w:hAnsi="Times New Roman" w:cs="Times New Roman"/>
          <w:color w:val="000000" w:themeColor="text1"/>
          <w:sz w:val="24"/>
          <w:szCs w:val="24"/>
        </w:rPr>
        <w:t xml:space="preserve"> else </w:t>
      </w:r>
      <w:r w:rsidR="00632994" w:rsidRPr="00BE65C7">
        <w:rPr>
          <w:rFonts w:ascii="Times New Roman" w:hAnsi="Times New Roman" w:cs="Times New Roman"/>
          <w:color w:val="000000" w:themeColor="text1"/>
        </w:rPr>
        <w:t>0</w:t>
      </w:r>
      <w:r w:rsidR="0019740D" w:rsidRPr="00BE65C7">
        <w:rPr>
          <w:rFonts w:ascii="Times New Roman" w:hAnsi="Times New Roman" w:cs="Times New Roman"/>
          <w:color w:val="000000" w:themeColor="text1"/>
          <w:sz w:val="24"/>
          <w:szCs w:val="24"/>
        </w:rPr>
        <w:t>.</w:t>
      </w:r>
    </w:p>
    <w:p w14:paraId="4BA40C30" w14:textId="77777777" w:rsidR="00251257" w:rsidRPr="00BE65C7" w:rsidRDefault="00251257" w:rsidP="0021614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1C849C1" w14:textId="3C9EAFAE" w:rsidR="00743345" w:rsidRPr="00BD25BE" w:rsidRDefault="00761E45" w:rsidP="00B7395E">
      <w:pPr>
        <w:pStyle w:val="ListParagraph"/>
        <w:numPr>
          <w:ilvl w:val="1"/>
          <w:numId w:val="6"/>
        </w:num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D25BE">
        <w:rPr>
          <w:rFonts w:ascii="Times New Roman" w:hAnsi="Times New Roman" w:cs="Times New Roman"/>
          <w:b/>
          <w:bCs/>
          <w:i/>
          <w:iCs/>
          <w:color w:val="000000" w:themeColor="text1"/>
          <w:sz w:val="24"/>
          <w:szCs w:val="24"/>
        </w:rPr>
        <w:t>Estimation strategy</w:t>
      </w:r>
    </w:p>
    <w:p w14:paraId="739459E9" w14:textId="23738574" w:rsidR="004F3691" w:rsidRPr="00B54ADD" w:rsidRDefault="005D1711" w:rsidP="004F3691">
      <w:pPr>
        <w:spacing w:line="360" w:lineRule="auto"/>
        <w:jc w:val="both"/>
        <w:rPr>
          <w:rFonts w:ascii="Times New Roman" w:hAnsi="Times New Roman" w:cs="Times New Roman"/>
          <w:color w:val="0070C0"/>
          <w:sz w:val="24"/>
          <w:szCs w:val="24"/>
        </w:rPr>
      </w:pPr>
      <w:r w:rsidRPr="00BE65C7">
        <w:rPr>
          <w:rFonts w:ascii="Times New Roman" w:hAnsi="Times New Roman" w:cs="Times New Roman"/>
          <w:color w:val="000000" w:themeColor="text1"/>
          <w:sz w:val="24"/>
          <w:szCs w:val="24"/>
        </w:rPr>
        <w:t xml:space="preserve">Following </w:t>
      </w:r>
      <w:r w:rsidR="002B2355" w:rsidRPr="00BE65C7">
        <w:rPr>
          <w:rFonts w:ascii="Times New Roman" w:hAnsi="Times New Roman" w:cs="Times New Roman"/>
          <w:color w:val="000000" w:themeColor="text1"/>
          <w:sz w:val="24"/>
          <w:szCs w:val="24"/>
        </w:rPr>
        <w:t xml:space="preserve">previous </w:t>
      </w:r>
      <w:r w:rsidRPr="00BE65C7">
        <w:rPr>
          <w:rFonts w:ascii="Times New Roman" w:hAnsi="Times New Roman" w:cs="Times New Roman"/>
          <w:color w:val="000000" w:themeColor="text1"/>
          <w:sz w:val="24"/>
          <w:szCs w:val="24"/>
        </w:rPr>
        <w:t>studies, we adopt the dynamic model of cash holdings in which it is assumed that adjustment of cash to the target is costly and takes place with a lag (Ozkan and Ozkan, 2004; Riddick and Whited, 2009)</w:t>
      </w:r>
      <w:r w:rsidR="00AF4CF4" w:rsidRPr="00BE65C7">
        <w:rPr>
          <w:rFonts w:ascii="Times New Roman" w:hAnsi="Times New Roman" w:cs="Times New Roman"/>
          <w:color w:val="000000" w:themeColor="text1"/>
          <w:sz w:val="24"/>
          <w:szCs w:val="24"/>
        </w:rPr>
        <w:t>.</w:t>
      </w:r>
      <w:r w:rsidR="009E378B" w:rsidRPr="00BE65C7">
        <w:rPr>
          <w:rFonts w:ascii="Times New Roman" w:hAnsi="Times New Roman" w:cs="Times New Roman"/>
          <w:color w:val="000000" w:themeColor="text1"/>
          <w:sz w:val="24"/>
          <w:szCs w:val="24"/>
        </w:rPr>
        <w:t xml:space="preserve"> This is done by regressing the cash holding</w:t>
      </w:r>
      <w:r w:rsidR="004F3691">
        <w:rPr>
          <w:rFonts w:ascii="Times New Roman" w:hAnsi="Times New Roman" w:cs="Times New Roman"/>
          <w:color w:val="000000" w:themeColor="text1"/>
          <w:sz w:val="24"/>
          <w:szCs w:val="24"/>
        </w:rPr>
        <w:t>s on its past values. W</w:t>
      </w:r>
      <w:r w:rsidR="009E378B" w:rsidRPr="00BE65C7">
        <w:rPr>
          <w:rFonts w:ascii="Times New Roman" w:hAnsi="Times New Roman" w:cs="Times New Roman"/>
          <w:color w:val="000000" w:themeColor="text1"/>
          <w:sz w:val="24"/>
          <w:szCs w:val="24"/>
        </w:rPr>
        <w:t xml:space="preserve">e adopt the GMM estimation method to deal with endogeneity issues </w:t>
      </w:r>
      <w:r w:rsidR="006B2F10" w:rsidRPr="00BE65C7">
        <w:rPr>
          <w:rFonts w:ascii="Times New Roman" w:hAnsi="Times New Roman" w:cs="Times New Roman"/>
          <w:color w:val="000000" w:themeColor="text1"/>
          <w:sz w:val="24"/>
          <w:szCs w:val="24"/>
        </w:rPr>
        <w:t>that</w:t>
      </w:r>
      <w:r w:rsidR="009E378B" w:rsidRPr="00BE65C7">
        <w:rPr>
          <w:rFonts w:ascii="Times New Roman" w:hAnsi="Times New Roman" w:cs="Times New Roman"/>
          <w:color w:val="000000" w:themeColor="text1"/>
          <w:sz w:val="24"/>
          <w:szCs w:val="24"/>
        </w:rPr>
        <w:t xml:space="preserve"> may exist between cash holdings and institutional ownership.</w:t>
      </w:r>
      <w:r w:rsidR="00F9356B" w:rsidRPr="00BE65C7">
        <w:rPr>
          <w:rFonts w:ascii="Times New Roman" w:hAnsi="Times New Roman" w:cs="Times New Roman"/>
          <w:color w:val="000000" w:themeColor="text1"/>
          <w:sz w:val="24"/>
          <w:szCs w:val="24"/>
        </w:rPr>
        <w:t xml:space="preserve"> </w:t>
      </w:r>
      <w:r w:rsidR="004F3691" w:rsidRPr="00B54ADD">
        <w:rPr>
          <w:rFonts w:ascii="Times New Roman" w:hAnsi="Times New Roman" w:cs="Times New Roman"/>
          <w:color w:val="0070C0"/>
          <w:sz w:val="24"/>
          <w:szCs w:val="24"/>
        </w:rPr>
        <w:t xml:space="preserve">Our choice of GMM over OLS is motivated by following factors – (i) key variables like institutional ownership, financial constraints, and cash holdings are likely to be endogenously related. For instance, institutional investors might target firms with certain cash policies, or firms with specific levels of cash holdings might be seen as less financially constrained, attracting more institutional investment. This feedback loop creates reverse causality, making OLS estimates biased and inconsistent, (ii) There may be unobserved factors (e.g., managerial quality, firm-specific governance practices) that influence both cash holdings and institutional ownership or corruption levels. GMM allows for the inclusion of instruments that help control for these unobserved factors, reducing the omitted variable bias that would otherwise affect OLS estimates, (iii) OLS assumes </w:t>
      </w:r>
      <w:proofErr w:type="spellStart"/>
      <w:r w:rsidR="004F3691" w:rsidRPr="00B54ADD">
        <w:rPr>
          <w:rFonts w:ascii="Times New Roman" w:hAnsi="Times New Roman" w:cs="Times New Roman"/>
          <w:color w:val="0070C0"/>
          <w:sz w:val="24"/>
          <w:szCs w:val="24"/>
        </w:rPr>
        <w:t>homoskedastic</w:t>
      </w:r>
      <w:proofErr w:type="spellEnd"/>
      <w:r w:rsidR="004F3691" w:rsidRPr="00B54ADD">
        <w:rPr>
          <w:rFonts w:ascii="Times New Roman" w:hAnsi="Times New Roman" w:cs="Times New Roman"/>
          <w:color w:val="0070C0"/>
          <w:sz w:val="24"/>
          <w:szCs w:val="24"/>
        </w:rPr>
        <w:t xml:space="preserve"> errors, but the real-world data on firm characteristics, particularly in emerging markets, often exhibit heteroskedasticity. GMM is robust to heteroskedasticity, making it more appropriate when the variance of errors is likely to vary across firms or over time, (iv) With interactions between institutional ownership, financial constraints, and corruption, the risk of multicollinearity increases. GMM mitigates this risk by using instruments to isolate the independent variation in each variable, allowing for more reliable interpretation of the coefficients and (v) In both emerging and developed markets, accurate estimation is crucial for understanding the economic significance of institutional ownership and cash policies. GMM provides a rigorous framework that enhances the robustness of the findings, making it more suitable for policy-relevant insights than simple OLS, which could lead to misleading inferences in the presence of endogeneity.</w:t>
      </w:r>
    </w:p>
    <w:p w14:paraId="556E94C7" w14:textId="159E439B" w:rsidR="00574DA7" w:rsidRDefault="00F9356B" w:rsidP="00210354">
      <w:pPr>
        <w:autoSpaceDE w:val="0"/>
        <w:autoSpaceDN w:val="0"/>
        <w:adjustRightInd w:val="0"/>
        <w:spacing w:after="0"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Accordingly, we use the model as shown below:</w:t>
      </w:r>
    </w:p>
    <w:p w14:paraId="49F557C3" w14:textId="77777777" w:rsidR="00210354" w:rsidRDefault="00210354" w:rsidP="00210354">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rPr>
      </w:pPr>
    </w:p>
    <w:p w14:paraId="2D5A0244" w14:textId="69E93957" w:rsidR="00135B1C" w:rsidRPr="00BE65C7" w:rsidRDefault="00000000" w:rsidP="00135B1C">
      <w:pPr>
        <w:spacing w:line="360" w:lineRule="auto"/>
        <w:jc w:val="center"/>
        <w:rPr>
          <w:rFonts w:ascii="Times New Roman" w:eastAsiaTheme="minorEastAsia" w:hAnsi="Times New Roman" w:cs="Times New Roman"/>
          <w:color w:val="000000" w:themeColor="text1"/>
          <w:sz w:val="24"/>
          <w:szCs w:val="24"/>
          <w:lang w:val="en-US"/>
        </w:rPr>
      </w:p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t</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1</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it-1</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2</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inst_own</m:t>
            </m:r>
          </m:e>
          <m:sub>
            <m:r>
              <w:rPr>
                <w:rFonts w:ascii="Cambria Math" w:hAnsi="Cambria Math" w:cs="Times New Roman"/>
                <w:color w:val="000000" w:themeColor="text1"/>
                <w:sz w:val="24"/>
                <w:szCs w:val="24"/>
                <w:lang w:val="en-US"/>
              </w:rPr>
              <m:t>it</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n</m:t>
            </m:r>
          </m:sub>
        </m:sSub>
        <m:r>
          <w:rPr>
            <w:rFonts w:ascii="Cambria Math" w:hAnsi="Cambria Math" w:cs="Times New Roman"/>
            <w:color w:val="000000" w:themeColor="text1"/>
            <w:sz w:val="24"/>
            <w:szCs w:val="24"/>
            <w:lang w:val="en-US"/>
          </w:rPr>
          <m:t xml:space="preserve">controls+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ε</m:t>
            </m:r>
          </m:e>
          <m:sub>
            <m:r>
              <w:rPr>
                <w:rFonts w:ascii="Cambria Math" w:hAnsi="Cambria Math" w:cs="Times New Roman"/>
                <w:color w:val="000000" w:themeColor="text1"/>
                <w:sz w:val="24"/>
                <w:szCs w:val="24"/>
                <w:lang w:val="en-US"/>
              </w:rPr>
              <m:t>it</m:t>
            </m:r>
          </m:sub>
        </m:sSub>
      </m:oMath>
      <w:r w:rsidR="00135B1C" w:rsidRPr="00BE65C7">
        <w:rPr>
          <w:rFonts w:ascii="Times New Roman" w:eastAsiaTheme="minorEastAsia" w:hAnsi="Times New Roman" w:cs="Times New Roman"/>
          <w:color w:val="000000" w:themeColor="text1"/>
          <w:sz w:val="24"/>
          <w:szCs w:val="24"/>
          <w:lang w:val="en-US"/>
        </w:rPr>
        <w:tab/>
      </w:r>
      <w:r w:rsidR="00135B1C" w:rsidRPr="00BE65C7">
        <w:rPr>
          <w:rFonts w:ascii="Times New Roman" w:eastAsiaTheme="minorEastAsia" w:hAnsi="Times New Roman" w:cs="Times New Roman"/>
          <w:color w:val="000000" w:themeColor="text1"/>
          <w:sz w:val="24"/>
          <w:szCs w:val="24"/>
          <w:lang w:val="en-US"/>
        </w:rPr>
        <w:tab/>
        <w:t>(1)</w:t>
      </w:r>
    </w:p>
    <w:p w14:paraId="0FFE1A37" w14:textId="61C94D0F" w:rsidR="00F86C0F" w:rsidRPr="00BE65C7" w:rsidRDefault="00D94B36" w:rsidP="00BD25BE">
      <w:pPr>
        <w:spacing w:line="360" w:lineRule="auto"/>
        <w:ind w:firstLine="720"/>
        <w:jc w:val="both"/>
        <w:rPr>
          <w:rFonts w:ascii="Times New Roman" w:eastAsiaTheme="minorEastAsia" w:hAnsi="Times New Roman" w:cs="Times New Roman"/>
          <w:color w:val="000000" w:themeColor="text1"/>
          <w:sz w:val="24"/>
          <w:szCs w:val="24"/>
          <w:lang w:val="en-US"/>
        </w:rPr>
      </w:pPr>
      <w:r w:rsidRPr="00BE65C7">
        <w:rPr>
          <w:rFonts w:ascii="Times New Roman" w:eastAsiaTheme="minorEastAsia" w:hAnsi="Times New Roman" w:cs="Times New Roman"/>
          <w:color w:val="000000" w:themeColor="text1"/>
          <w:sz w:val="24"/>
          <w:szCs w:val="24"/>
          <w:lang w:val="en-US"/>
        </w:rPr>
        <w:t xml:space="preserve">Where, </w:t>
      </w: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i</m:t>
            </m:r>
          </m:sub>
        </m:sSub>
      </m:oMath>
      <w:r w:rsidRPr="00BE65C7">
        <w:rPr>
          <w:rFonts w:ascii="Times New Roman" w:eastAsiaTheme="minorEastAsia" w:hAnsi="Times New Roman" w:cs="Times New Roman"/>
          <w:color w:val="000000" w:themeColor="text1"/>
          <w:sz w:val="24"/>
          <w:szCs w:val="24"/>
          <w:lang w:val="en-US"/>
        </w:rPr>
        <w:t>=firm specific fixed effects</w:t>
      </w:r>
      <w:r w:rsidR="00574DA7">
        <w:rPr>
          <w:rFonts w:ascii="Times New Roman" w:eastAsiaTheme="minorEastAsia" w:hAnsi="Times New Roman" w:cs="Times New Roman"/>
          <w:color w:val="000000" w:themeColor="text1"/>
          <w:sz w:val="24"/>
          <w:szCs w:val="24"/>
          <w:lang w:val="en-US"/>
        </w:rPr>
        <w:t xml:space="preserve">, </w:t>
      </w: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t</m:t>
            </m:r>
          </m:sub>
        </m:sSub>
      </m:oMath>
      <w:r w:rsidRPr="00BE65C7">
        <w:rPr>
          <w:rFonts w:ascii="Times New Roman" w:eastAsiaTheme="minorEastAsia" w:hAnsi="Times New Roman" w:cs="Times New Roman"/>
          <w:color w:val="000000" w:themeColor="text1"/>
          <w:sz w:val="24"/>
          <w:szCs w:val="24"/>
          <w:lang w:val="en-US"/>
        </w:rPr>
        <w:t xml:space="preserve"> = time invariant factors</w:t>
      </w:r>
      <w:r w:rsidR="00574DA7">
        <w:rPr>
          <w:rFonts w:ascii="Times New Roman" w:eastAsiaTheme="minorEastAsia" w:hAnsi="Times New Roman" w:cs="Times New Roman"/>
          <w:color w:val="000000" w:themeColor="text1"/>
          <w:sz w:val="24"/>
          <w:szCs w:val="24"/>
          <w:lang w:val="en-US"/>
        </w:rPr>
        <w:t xml:space="preserve">, </w:t>
      </w:r>
      <w:r w:rsidRPr="00BE65C7">
        <w:rPr>
          <w:rFonts w:ascii="Times New Roman" w:eastAsiaTheme="minorEastAsia" w:hAnsi="Times New Roman" w:cs="Times New Roman"/>
          <w:color w:val="000000" w:themeColor="text1"/>
          <w:sz w:val="24"/>
          <w:szCs w:val="24"/>
          <w:lang w:val="en-US"/>
        </w:rPr>
        <w:t xml:space="preserve"> </w:t>
      </w: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inst_own</m:t>
            </m:r>
          </m:e>
          <m:sub>
            <m:r>
              <w:rPr>
                <w:rFonts w:ascii="Cambria Math" w:hAnsi="Cambria Math" w:cs="Times New Roman"/>
                <w:color w:val="000000" w:themeColor="text1"/>
                <w:sz w:val="24"/>
                <w:szCs w:val="24"/>
                <w:lang w:val="en-US"/>
              </w:rPr>
              <m:t>it</m:t>
            </m:r>
          </m:sub>
        </m:sSub>
      </m:oMath>
      <w:r w:rsidRPr="00BE65C7">
        <w:rPr>
          <w:rFonts w:ascii="Times New Roman" w:eastAsiaTheme="minorEastAsia" w:hAnsi="Times New Roman" w:cs="Times New Roman"/>
          <w:color w:val="000000" w:themeColor="text1"/>
          <w:sz w:val="24"/>
          <w:szCs w:val="24"/>
          <w:lang w:val="en-US"/>
        </w:rPr>
        <w:t xml:space="preserve">= institutional ownership as a percentage of </w:t>
      </w:r>
      <w:r w:rsidR="006B2F10" w:rsidRPr="00BE65C7">
        <w:rPr>
          <w:rFonts w:ascii="Times New Roman" w:eastAsiaTheme="minorEastAsia" w:hAnsi="Times New Roman" w:cs="Times New Roman"/>
          <w:color w:val="000000" w:themeColor="text1"/>
          <w:sz w:val="24"/>
          <w:szCs w:val="24"/>
          <w:lang w:val="en-US"/>
        </w:rPr>
        <w:t xml:space="preserve">the </w:t>
      </w:r>
      <w:r w:rsidRPr="00BE65C7">
        <w:rPr>
          <w:rFonts w:ascii="Times New Roman" w:eastAsiaTheme="minorEastAsia" w:hAnsi="Times New Roman" w:cs="Times New Roman"/>
          <w:color w:val="000000" w:themeColor="text1"/>
          <w:sz w:val="24"/>
          <w:szCs w:val="24"/>
          <w:lang w:val="en-US"/>
        </w:rPr>
        <w:t>market value of equity</w:t>
      </w:r>
      <w:r w:rsidR="00574DA7">
        <w:rPr>
          <w:rFonts w:ascii="Times New Roman" w:eastAsiaTheme="minorEastAsia" w:hAnsi="Times New Roman" w:cs="Times New Roman"/>
          <w:color w:val="000000" w:themeColor="text1"/>
          <w:sz w:val="24"/>
          <w:szCs w:val="24"/>
          <w:lang w:val="en-US"/>
        </w:rPr>
        <w:t xml:space="preserve">, and </w:t>
      </w: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m:t>
            </m:r>
          </m:sub>
        </m:sSub>
      </m:oMath>
      <w:r w:rsidR="00E45CFA" w:rsidRPr="00BE65C7">
        <w:rPr>
          <w:rFonts w:ascii="Times New Roman" w:eastAsiaTheme="minorEastAsia" w:hAnsi="Times New Roman" w:cs="Times New Roman"/>
          <w:color w:val="000000" w:themeColor="text1"/>
          <w:sz w:val="24"/>
          <w:szCs w:val="24"/>
          <w:lang w:val="en-US"/>
        </w:rPr>
        <w:t xml:space="preserve"> </w:t>
      </w:r>
      <w:r w:rsidR="00574DA7">
        <w:rPr>
          <w:rFonts w:ascii="Times New Roman" w:eastAsiaTheme="minorEastAsia" w:hAnsi="Times New Roman" w:cs="Times New Roman"/>
          <w:color w:val="000000" w:themeColor="text1"/>
          <w:sz w:val="24"/>
          <w:szCs w:val="24"/>
          <w:lang w:val="en-US"/>
        </w:rPr>
        <w:t>represent c</w:t>
      </w:r>
      <w:r w:rsidR="00E45CFA" w:rsidRPr="00BE65C7">
        <w:rPr>
          <w:rFonts w:ascii="Times New Roman" w:eastAsiaTheme="minorEastAsia" w:hAnsi="Times New Roman" w:cs="Times New Roman"/>
          <w:color w:val="000000" w:themeColor="text1"/>
          <w:sz w:val="24"/>
          <w:szCs w:val="24"/>
          <w:lang w:val="en-US"/>
        </w:rPr>
        <w:t>ontemporaneous cash holdings</w:t>
      </w:r>
      <w:r w:rsidR="00574DA7">
        <w:rPr>
          <w:rFonts w:ascii="Times New Roman" w:eastAsiaTheme="minorEastAsia" w:hAnsi="Times New Roman" w:cs="Times New Roman"/>
          <w:color w:val="000000" w:themeColor="text1"/>
          <w:sz w:val="24"/>
          <w:szCs w:val="24"/>
          <w:lang w:val="en-US"/>
        </w:rPr>
        <w:t xml:space="preserve">. </w:t>
      </w:r>
      <w:r w:rsidR="00397F70" w:rsidRPr="00BE65C7">
        <w:rPr>
          <w:rFonts w:ascii="Times New Roman" w:eastAsiaTheme="minorEastAsia" w:hAnsi="Times New Roman" w:cs="Times New Roman"/>
          <w:color w:val="000000" w:themeColor="text1"/>
          <w:sz w:val="24"/>
          <w:szCs w:val="24"/>
          <w:lang w:val="en-US"/>
        </w:rPr>
        <w:t xml:space="preserve">The vector of controls </w:t>
      </w:r>
      <w:r w:rsidR="00CD282A" w:rsidRPr="00BE65C7">
        <w:rPr>
          <w:rFonts w:ascii="Times New Roman" w:eastAsiaTheme="minorEastAsia" w:hAnsi="Times New Roman" w:cs="Times New Roman"/>
          <w:color w:val="000000" w:themeColor="text1"/>
          <w:sz w:val="24"/>
          <w:szCs w:val="24"/>
          <w:lang w:val="en-US"/>
        </w:rPr>
        <w:t>includes</w:t>
      </w:r>
      <w:r w:rsidR="00397F70" w:rsidRPr="00BE65C7">
        <w:rPr>
          <w:rFonts w:ascii="Times New Roman" w:eastAsiaTheme="minorEastAsia" w:hAnsi="Times New Roman" w:cs="Times New Roman"/>
          <w:color w:val="000000" w:themeColor="text1"/>
          <w:sz w:val="24"/>
          <w:szCs w:val="24"/>
          <w:lang w:val="en-US"/>
        </w:rPr>
        <w:t xml:space="preserve"> working capital, dividends, sales growth, plant, property and equipment, R&amp;</w:t>
      </w:r>
      <w:r w:rsidR="00AE0325" w:rsidRPr="00BE65C7">
        <w:rPr>
          <w:rFonts w:ascii="Times New Roman" w:eastAsiaTheme="minorEastAsia" w:hAnsi="Times New Roman" w:cs="Times New Roman"/>
          <w:color w:val="000000" w:themeColor="text1"/>
          <w:sz w:val="24"/>
          <w:szCs w:val="24"/>
          <w:lang w:val="en-US"/>
        </w:rPr>
        <w:t>D,</w:t>
      </w:r>
      <w:r w:rsidR="00397F70" w:rsidRPr="00BE65C7">
        <w:rPr>
          <w:rFonts w:ascii="Times New Roman" w:eastAsiaTheme="minorEastAsia" w:hAnsi="Times New Roman" w:cs="Times New Roman"/>
          <w:color w:val="000000" w:themeColor="text1"/>
          <w:sz w:val="24"/>
          <w:szCs w:val="24"/>
          <w:lang w:val="en-US"/>
        </w:rPr>
        <w:t xml:space="preserve"> and leverage</w:t>
      </w:r>
      <w:r w:rsidR="00D70522" w:rsidRPr="00BE65C7">
        <w:rPr>
          <w:rFonts w:ascii="Times New Roman" w:hAnsi="Times New Roman" w:cs="Times New Roman"/>
          <w:color w:val="000000" w:themeColor="text1"/>
          <w:sz w:val="24"/>
          <w:szCs w:val="24"/>
          <w:lang w:val="en-US"/>
        </w:rPr>
        <w:t>.</w:t>
      </w:r>
      <w:r w:rsidR="00AE16CA" w:rsidRPr="00BE65C7">
        <w:rPr>
          <w:rFonts w:ascii="Times New Roman" w:hAnsi="Times New Roman" w:cs="Times New Roman"/>
          <w:color w:val="000000" w:themeColor="text1"/>
          <w:sz w:val="24"/>
          <w:szCs w:val="24"/>
          <w:lang w:val="en-US"/>
        </w:rPr>
        <w:t xml:space="preserve"> </w:t>
      </w:r>
      <w:r w:rsidR="00397F70" w:rsidRPr="00BE65C7">
        <w:rPr>
          <w:rFonts w:ascii="Times New Roman" w:eastAsiaTheme="minorEastAsia" w:hAnsi="Times New Roman" w:cs="Times New Roman"/>
          <w:color w:val="000000" w:themeColor="text1"/>
          <w:sz w:val="24"/>
          <w:szCs w:val="24"/>
          <w:lang w:val="en-US"/>
        </w:rPr>
        <w:t>Equation 1 is first-differenced with time-invariant unobserved heterogeneity is removed from estimation.</w:t>
      </w:r>
      <w:r w:rsidR="00F86C0F" w:rsidRPr="00BE65C7">
        <w:rPr>
          <w:rFonts w:ascii="Times New Roman" w:eastAsiaTheme="minorEastAsia" w:hAnsi="Times New Roman" w:cs="Times New Roman"/>
          <w:color w:val="000000" w:themeColor="text1"/>
          <w:sz w:val="24"/>
          <w:szCs w:val="24"/>
          <w:lang w:val="en-US"/>
        </w:rPr>
        <w:t xml:space="preserve"> Then we estimate the first-differenced equation as follows:</w:t>
      </w:r>
    </w:p>
    <w:p w14:paraId="1D59587A" w14:textId="11EAB1F3" w:rsidR="00F86C0F" w:rsidRPr="00BE65C7" w:rsidRDefault="00000000" w:rsidP="000F6614">
      <w:pPr>
        <w:spacing w:line="360" w:lineRule="auto"/>
        <w:jc w:val="both"/>
        <w:rPr>
          <w:rFonts w:ascii="Times New Roman" w:eastAsiaTheme="minorEastAsia" w:hAnsi="Times New Roman" w:cs="Times New Roman"/>
          <w:color w:val="000000" w:themeColor="text1"/>
          <w:sz w:val="24"/>
          <w:szCs w:val="24"/>
          <w:lang w:val="en-US"/>
        </w:rPr>
      </w:p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1</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it-1</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2</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∆inst_own</m:t>
            </m:r>
          </m:e>
          <m:sub>
            <m:r>
              <w:rPr>
                <w:rFonts w:ascii="Cambria Math" w:hAnsi="Cambria Math" w:cs="Times New Roman"/>
                <w:color w:val="000000" w:themeColor="text1"/>
                <w:sz w:val="24"/>
                <w:szCs w:val="24"/>
                <w:lang w:val="en-US"/>
              </w:rPr>
              <m:t>it</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n</m:t>
            </m:r>
          </m:sub>
        </m:sSub>
        <m:r>
          <w:rPr>
            <w:rFonts w:ascii="Cambria Math" w:hAnsi="Cambria Math" w:cs="Times New Roman"/>
            <w:color w:val="000000" w:themeColor="text1"/>
            <w:sz w:val="24"/>
            <w:szCs w:val="24"/>
            <w:lang w:val="en-US"/>
          </w:rPr>
          <m:t xml:space="preserve">∆controls+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∆ε</m:t>
            </m:r>
          </m:e>
          <m:sub>
            <m:r>
              <w:rPr>
                <w:rFonts w:ascii="Cambria Math" w:hAnsi="Cambria Math" w:cs="Times New Roman"/>
                <w:color w:val="000000" w:themeColor="text1"/>
                <w:sz w:val="24"/>
                <w:szCs w:val="24"/>
                <w:lang w:val="en-US"/>
              </w:rPr>
              <m:t>it</m:t>
            </m:r>
          </m:sub>
        </m:sSub>
      </m:oMath>
      <w:r w:rsidR="00F034A6" w:rsidRPr="00BE65C7">
        <w:rPr>
          <w:rFonts w:ascii="Times New Roman" w:eastAsiaTheme="minorEastAsia" w:hAnsi="Times New Roman" w:cs="Times New Roman"/>
          <w:color w:val="000000" w:themeColor="text1"/>
          <w:sz w:val="24"/>
          <w:szCs w:val="24"/>
          <w:lang w:val="en-US"/>
        </w:rPr>
        <w:tab/>
      </w:r>
      <w:r w:rsidR="00F034A6" w:rsidRPr="00BE65C7">
        <w:rPr>
          <w:rFonts w:ascii="Times New Roman" w:eastAsiaTheme="minorEastAsia" w:hAnsi="Times New Roman" w:cs="Times New Roman"/>
          <w:color w:val="000000" w:themeColor="text1"/>
          <w:sz w:val="24"/>
          <w:szCs w:val="24"/>
          <w:lang w:val="en-US"/>
        </w:rPr>
        <w:tab/>
      </w:r>
      <w:r w:rsidR="00F034A6" w:rsidRPr="00BE65C7">
        <w:rPr>
          <w:rFonts w:ascii="Times New Roman" w:eastAsiaTheme="minorEastAsia" w:hAnsi="Times New Roman" w:cs="Times New Roman"/>
          <w:color w:val="000000" w:themeColor="text1"/>
          <w:sz w:val="24"/>
          <w:szCs w:val="24"/>
          <w:lang w:val="en-US"/>
        </w:rPr>
        <w:tab/>
        <w:t>(2)</w:t>
      </w:r>
    </w:p>
    <w:p w14:paraId="6689AF9D" w14:textId="77777777" w:rsidR="002B2355" w:rsidRPr="00BE65C7" w:rsidRDefault="00397F70" w:rsidP="00BD25BE">
      <w:pPr>
        <w:spacing w:line="360" w:lineRule="auto"/>
        <w:ind w:firstLine="426"/>
        <w:jc w:val="both"/>
        <w:rPr>
          <w:rFonts w:ascii="Times New Roman" w:eastAsiaTheme="minorEastAsia" w:hAnsi="Times New Roman" w:cs="Times New Roman"/>
          <w:color w:val="000000" w:themeColor="text1"/>
          <w:sz w:val="24"/>
          <w:szCs w:val="24"/>
        </w:rPr>
      </w:pPr>
      <w:r w:rsidRPr="00BE65C7">
        <w:rPr>
          <w:rFonts w:ascii="Times New Roman" w:eastAsiaTheme="minorEastAsia" w:hAnsi="Times New Roman" w:cs="Times New Roman"/>
          <w:color w:val="000000" w:themeColor="text1"/>
          <w:sz w:val="24"/>
          <w:szCs w:val="24"/>
          <w:lang w:val="en-US"/>
        </w:rPr>
        <w:t xml:space="preserve"> However, d</w:t>
      </w:r>
      <w:r w:rsidR="00AE16CA" w:rsidRPr="00BE65C7">
        <w:rPr>
          <w:rFonts w:ascii="Times New Roman" w:hAnsi="Times New Roman" w:cs="Times New Roman"/>
          <w:color w:val="000000" w:themeColor="text1"/>
          <w:sz w:val="24"/>
          <w:szCs w:val="24"/>
          <w:lang w:val="en-US"/>
        </w:rPr>
        <w:t xml:space="preserve">ue to this differencing, the </w:t>
      </w:r>
      <w:r w:rsidR="00131B8E" w:rsidRPr="00BE65C7">
        <w:rPr>
          <w:rFonts w:ascii="Times New Roman" w:hAnsi="Times New Roman" w:cs="Times New Roman"/>
          <w:color w:val="000000" w:themeColor="text1"/>
          <w:sz w:val="24"/>
          <w:szCs w:val="24"/>
          <w:lang w:val="en-US"/>
        </w:rPr>
        <w:t>endogeneity</w:t>
      </w:r>
      <w:r w:rsidR="00AE16CA" w:rsidRPr="00BE65C7">
        <w:rPr>
          <w:rFonts w:ascii="Times New Roman" w:hAnsi="Times New Roman" w:cs="Times New Roman"/>
          <w:color w:val="000000" w:themeColor="text1"/>
          <w:sz w:val="24"/>
          <w:szCs w:val="24"/>
          <w:lang w:val="en-US"/>
        </w:rPr>
        <w:t xml:space="preserve"> problem arises between the cash holdings and the idiosyncratic error</w:t>
      </w:r>
      <w:r w:rsidR="00F034A6" w:rsidRPr="00BE65C7">
        <w:rPr>
          <w:rFonts w:ascii="Times New Roman" w:hAnsi="Times New Roman" w:cs="Times New Roman"/>
          <w:color w:val="000000" w:themeColor="text1"/>
          <w:sz w:val="24"/>
          <w:szCs w:val="24"/>
          <w:lang w:val="en-US"/>
        </w:rPr>
        <w:t xml:space="preserve"> because </w:t>
      </w: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it-1</m:t>
            </m:r>
          </m:sub>
        </m:sSub>
      </m:oMath>
      <w:r w:rsidR="00F034A6" w:rsidRPr="00BE65C7">
        <w:rPr>
          <w:rFonts w:ascii="Times New Roman" w:hAnsi="Times New Roman" w:cs="Times New Roman"/>
          <w:color w:val="000000" w:themeColor="text1"/>
          <w:sz w:val="24"/>
          <w:szCs w:val="24"/>
          <w:lang w:val="en-US"/>
        </w:rPr>
        <w:t xml:space="preserve"> </w:t>
      </w:r>
      <w:r w:rsidR="00AE16CA" w:rsidRPr="00BE65C7">
        <w:rPr>
          <w:rFonts w:ascii="Times New Roman" w:hAnsi="Times New Roman" w:cs="Times New Roman"/>
          <w:color w:val="000000" w:themeColor="text1"/>
          <w:sz w:val="24"/>
          <w:szCs w:val="24"/>
          <w:lang w:val="en-US"/>
        </w:rPr>
        <w:t xml:space="preserve"> </w:t>
      </w:r>
      <w:r w:rsidR="00AA7501" w:rsidRPr="00BE65C7">
        <w:rPr>
          <w:rFonts w:ascii="Times New Roman" w:hAnsi="Times New Roman" w:cs="Times New Roman"/>
          <w:color w:val="000000" w:themeColor="text1"/>
          <w:sz w:val="24"/>
          <w:szCs w:val="24"/>
        </w:rPr>
        <w:t xml:space="preserve"> </w:t>
      </w:r>
      <w:r w:rsidR="00F034A6" w:rsidRPr="00BE65C7">
        <w:rPr>
          <w:rFonts w:ascii="Times New Roman" w:hAnsi="Times New Roman" w:cs="Times New Roman"/>
          <w:color w:val="000000" w:themeColor="text1"/>
          <w:sz w:val="24"/>
          <w:szCs w:val="24"/>
        </w:rPr>
        <w:t xml:space="preserve">and </w:t>
      </w: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∆ε</m:t>
            </m:r>
          </m:e>
          <m:sub>
            <m:r>
              <w:rPr>
                <w:rFonts w:ascii="Cambria Math" w:hAnsi="Cambria Math" w:cs="Times New Roman"/>
                <w:color w:val="000000" w:themeColor="text1"/>
                <w:sz w:val="24"/>
                <w:szCs w:val="24"/>
                <w:lang w:val="en-US"/>
              </w:rPr>
              <m:t>it</m:t>
            </m:r>
          </m:sub>
        </m:sSub>
      </m:oMath>
      <w:r w:rsidR="00F034A6" w:rsidRPr="00BE65C7">
        <w:rPr>
          <w:rFonts w:ascii="Times New Roman" w:eastAsiaTheme="minorEastAsia" w:hAnsi="Times New Roman" w:cs="Times New Roman"/>
          <w:color w:val="000000" w:themeColor="text1"/>
          <w:sz w:val="24"/>
          <w:szCs w:val="24"/>
          <w:lang w:val="en-US"/>
        </w:rPr>
        <w:t xml:space="preserve"> are correlated by design which results in endogeneity biases. </w:t>
      </w:r>
      <w:r w:rsidR="00AA7501" w:rsidRPr="00BE65C7">
        <w:rPr>
          <w:rFonts w:ascii="Times New Roman" w:hAnsi="Times New Roman" w:cs="Times New Roman"/>
          <w:color w:val="000000" w:themeColor="text1"/>
          <w:sz w:val="24"/>
          <w:szCs w:val="24"/>
        </w:rPr>
        <w:t>Nickell (1981) notes that the usual fixed effects estimators (such as the first-difference estimator) are inconsistent for estimating a dynamic panel data model with lagged dependent variable as a regressor. Because of the peculiar lag structure of the model, the error term is correlated with the lagged dependent variable and create the problem of endogeneity. To overcome this problem, Anderson and Hsiao (1981) propose the instrument variable (IV) method, which uses the deeper lags (</w:t>
      </w:r>
      <m:oMath>
        <m:r>
          <m:rPr>
            <m:sty m:val="p"/>
          </m:rPr>
          <w:rPr>
            <w:rFonts w:ascii="Cambria Math" w:hAnsi="Cambria Math" w:cs="Times New Roman"/>
            <w:color w:val="000000" w:themeColor="text1"/>
            <w:sz w:val="24"/>
            <w:szCs w:val="24"/>
          </w:rPr>
          <m:t>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 xml:space="preserve">i,t-2,  </m:t>
            </m:r>
          </m:sub>
        </m:sSub>
        <m:r>
          <m:rPr>
            <m:sty m:val="p"/>
          </m:rPr>
          <w:rPr>
            <w:rFonts w:ascii="Cambria Math" w:hAnsi="Cambria Math" w:cs="Times New Roman"/>
            <w:color w:val="000000" w:themeColor="text1"/>
            <w:sz w:val="24"/>
            <w:szCs w:val="24"/>
          </w:rPr>
          <m:t xml:space="preserve"> 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 xml:space="preserve">i,t-3…,  </m:t>
            </m:r>
          </m:sub>
        </m:sSub>
      </m:oMath>
      <w:r w:rsidR="00AA7501" w:rsidRPr="00BE65C7">
        <w:rPr>
          <w:rFonts w:ascii="Times New Roman" w:hAnsi="Times New Roman" w:cs="Times New Roman"/>
          <w:color w:val="000000" w:themeColor="text1"/>
          <w:sz w:val="24"/>
          <w:szCs w:val="24"/>
        </w:rPr>
        <w:t xml:space="preserve">) as instruments for the first lag of differenced dependent variable ( </w:t>
      </w:r>
      <m:oMath>
        <m:r>
          <m:rPr>
            <m:sty m:val="p"/>
          </m:rPr>
          <w:rPr>
            <w:rFonts w:ascii="Cambria Math" w:hAnsi="Cambria Math" w:cs="Times New Roman"/>
            <w:color w:val="000000" w:themeColor="text1"/>
            <w:sz w:val="24"/>
            <w:szCs w:val="24"/>
          </w:rPr>
          <m:t>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i,t-1</m:t>
            </m:r>
          </m:sub>
        </m:sSub>
        <m:r>
          <w:rPr>
            <w:rFonts w:ascii="Cambria Math" w:hAnsi="Cambria Math" w:cs="Times New Roman"/>
            <w:color w:val="000000" w:themeColor="text1"/>
            <w:sz w:val="24"/>
            <w:szCs w:val="24"/>
          </w:rPr>
          <m:t>)</m:t>
        </m:r>
      </m:oMath>
      <w:r w:rsidR="00AA7501" w:rsidRPr="00BE65C7">
        <w:rPr>
          <w:rFonts w:ascii="Times New Roman" w:hAnsi="Times New Roman" w:cs="Times New Roman"/>
          <w:color w:val="000000" w:themeColor="text1"/>
          <w:sz w:val="24"/>
          <w:szCs w:val="24"/>
        </w:rPr>
        <w:t>. Arellano and Bond (1991) suggest a GMM based approach (known as difference-GMM) for estimating the dynamic panel regressions, which uses the deeper lags of level observations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 xml:space="preserve">i,t-2,  </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 xml:space="preserve">i,t-3…,  </m:t>
            </m:r>
          </m:sub>
        </m:sSub>
      </m:oMath>
      <w:r w:rsidR="00AA7501" w:rsidRPr="00BE65C7">
        <w:rPr>
          <w:rFonts w:ascii="Times New Roman" w:hAnsi="Times New Roman" w:cs="Times New Roman"/>
          <w:color w:val="000000" w:themeColor="text1"/>
          <w:sz w:val="24"/>
          <w:szCs w:val="24"/>
        </w:rPr>
        <w:t xml:space="preserve">)) as instruments for </w:t>
      </w:r>
      <m:oMath>
        <m:r>
          <m:rPr>
            <m:sty m:val="p"/>
          </m:rPr>
          <w:rPr>
            <w:rFonts w:ascii="Cambria Math" w:hAnsi="Cambria Math" w:cs="Times New Roman"/>
            <w:color w:val="000000" w:themeColor="text1"/>
            <w:sz w:val="24"/>
            <w:szCs w:val="24"/>
          </w:rPr>
          <m:t>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i,t-1</m:t>
            </m:r>
          </m:sub>
        </m:sSub>
        <m:r>
          <w:rPr>
            <w:rFonts w:ascii="Cambria Math" w:hAnsi="Cambria Math" w:cs="Times New Roman"/>
            <w:color w:val="000000" w:themeColor="text1"/>
            <w:sz w:val="24"/>
            <w:szCs w:val="24"/>
          </w:rPr>
          <m:t xml:space="preserve">  </m:t>
        </m:r>
      </m:oMath>
      <w:r w:rsidR="00AA7501" w:rsidRPr="00BE65C7">
        <w:rPr>
          <w:rFonts w:ascii="Times New Roman" w:eastAsiaTheme="minorEastAsia" w:hAnsi="Times New Roman" w:cs="Times New Roman"/>
          <w:color w:val="000000" w:themeColor="text1"/>
          <w:sz w:val="24"/>
          <w:szCs w:val="24"/>
        </w:rPr>
        <w:t xml:space="preserve">for orthogonality conditions. </w:t>
      </w:r>
    </w:p>
    <w:p w14:paraId="4AE76695" w14:textId="5410E709" w:rsidR="003A0BE1" w:rsidRDefault="00AA7501" w:rsidP="00E952BE">
      <w:pPr>
        <w:spacing w:line="360" w:lineRule="auto"/>
        <w:ind w:firstLine="426"/>
        <w:jc w:val="both"/>
        <w:rPr>
          <w:rFonts w:ascii="Times New Roman" w:hAnsi="Times New Roman" w:cs="Times New Roman"/>
          <w:color w:val="0070C0"/>
          <w:sz w:val="24"/>
          <w:szCs w:val="24"/>
        </w:rPr>
      </w:pPr>
      <w:r w:rsidRPr="00BE65C7">
        <w:rPr>
          <w:rFonts w:ascii="Times New Roman" w:eastAsiaTheme="minorEastAsia" w:hAnsi="Times New Roman" w:cs="Times New Roman"/>
          <w:color w:val="000000" w:themeColor="text1"/>
          <w:sz w:val="24"/>
          <w:szCs w:val="24"/>
        </w:rPr>
        <w:t xml:space="preserve">These approaches, </w:t>
      </w:r>
      <w:r w:rsidRPr="00BE65C7">
        <w:rPr>
          <w:rFonts w:ascii="Times New Roman" w:hAnsi="Times New Roman" w:cs="Times New Roman"/>
          <w:color w:val="000000" w:themeColor="text1"/>
          <w:sz w:val="24"/>
          <w:szCs w:val="24"/>
        </w:rPr>
        <w:t xml:space="preserve">though consistent, fails to </w:t>
      </w:r>
      <w:r w:rsidR="00574DA7">
        <w:rPr>
          <w:rFonts w:ascii="Times New Roman" w:hAnsi="Times New Roman" w:cs="Times New Roman"/>
          <w:color w:val="000000" w:themeColor="text1"/>
          <w:sz w:val="24"/>
          <w:szCs w:val="24"/>
        </w:rPr>
        <w:t xml:space="preserve">incorporate </w:t>
      </w:r>
      <w:r w:rsidR="00AE0325" w:rsidRPr="00BE65C7">
        <w:rPr>
          <w:rFonts w:ascii="Times New Roman" w:hAnsi="Times New Roman" w:cs="Times New Roman"/>
          <w:color w:val="000000" w:themeColor="text1"/>
          <w:sz w:val="24"/>
          <w:szCs w:val="24"/>
        </w:rPr>
        <w:t>all</w:t>
      </w:r>
      <w:r w:rsidRPr="00BE65C7">
        <w:rPr>
          <w:rFonts w:ascii="Times New Roman" w:hAnsi="Times New Roman" w:cs="Times New Roman"/>
          <w:color w:val="000000" w:themeColor="text1"/>
          <w:sz w:val="24"/>
          <w:szCs w:val="24"/>
        </w:rPr>
        <w:t xml:space="preserve"> potential orthogonality conditions into account. Blundell and Bond (1998) propose the System-GMM to deal with this problem. In addition to Arellano and Bond type orthogonality conditions (E</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i,t-τ</m:t>
            </m:r>
          </m:sub>
        </m:sSub>
        <m:r>
          <m:rPr>
            <m:sty m:val="p"/>
          </m:rPr>
          <w:rPr>
            <w:rFonts w:ascii="Cambria Math" w:hAnsi="Cambria Math" w:cs="Times New Roman"/>
            <w:color w:val="000000" w:themeColor="text1"/>
            <w:sz w:val="24"/>
            <w:szCs w:val="24"/>
          </w:rPr>
          <m:t>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i,t</m:t>
            </m:r>
          </m:sub>
        </m:sSub>
      </m:oMath>
      <w:r w:rsidRPr="00BE65C7">
        <w:rPr>
          <w:rFonts w:ascii="Times New Roman" w:hAnsi="Times New Roman" w:cs="Times New Roman"/>
          <w:color w:val="000000" w:themeColor="text1"/>
          <w:sz w:val="24"/>
          <w:szCs w:val="24"/>
        </w:rPr>
        <w:t xml:space="preserve">]=0, for t ≥3 and </w:t>
      </w:r>
      <m:oMath>
        <m:r>
          <w:rPr>
            <w:rFonts w:ascii="Cambria Math" w:hAnsi="Cambria Math" w:cs="Times New Roman"/>
            <w:color w:val="000000" w:themeColor="text1"/>
            <w:sz w:val="24"/>
            <w:szCs w:val="24"/>
          </w:rPr>
          <m:t>τ</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2</m:t>
        </m:r>
      </m:oMath>
      <w:r w:rsidRPr="00BE65C7">
        <w:rPr>
          <w:rFonts w:ascii="Times New Roman" w:hAnsi="Times New Roman" w:cs="Times New Roman"/>
          <w:color w:val="000000" w:themeColor="text1"/>
          <w:sz w:val="24"/>
          <w:szCs w:val="24"/>
        </w:rPr>
        <w:t xml:space="preserve"> ), it uses additional orthogonality conditions - E</w:t>
      </w:r>
      <m:oMath>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Δ</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i,t-τ</m:t>
            </m:r>
          </m:sub>
        </m:sSub>
        <m:r>
          <m:rPr>
            <m:sty m:val="p"/>
          </m:rPr>
          <w:rPr>
            <w:rFonts w:ascii="Cambria Math" w:hAnsi="Cambria Math" w:cs="Times New Roman"/>
            <w:color w:val="000000" w:themeColor="text1"/>
            <w:sz w:val="24"/>
            <w:szCs w:val="24"/>
          </w:rPr>
          <m:t>, (</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i</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oMath>
      <w:r w:rsidRPr="00BE65C7">
        <w:rPr>
          <w:rFonts w:ascii="Times New Roman" w:hAnsi="Times New Roman" w:cs="Times New Roman"/>
          <w:color w:val="000000" w:themeColor="text1"/>
          <w:sz w:val="24"/>
          <w:szCs w:val="24"/>
        </w:rPr>
        <w:t xml:space="preserve">]=0, for t ≥3 and </w:t>
      </w:r>
      <m:oMath>
        <m:r>
          <w:rPr>
            <w:rFonts w:ascii="Cambria Math" w:hAnsi="Cambria Math" w:cs="Times New Roman"/>
            <w:color w:val="000000" w:themeColor="text1"/>
            <w:sz w:val="24"/>
            <w:szCs w:val="24"/>
          </w:rPr>
          <m:t>τ</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2</m:t>
        </m:r>
      </m:oMath>
      <w:r w:rsidRPr="00BE65C7">
        <w:rPr>
          <w:rFonts w:ascii="Times New Roman" w:hAnsi="Times New Roman" w:cs="Times New Roman"/>
          <w:color w:val="000000" w:themeColor="text1"/>
          <w:sz w:val="24"/>
          <w:szCs w:val="24"/>
        </w:rPr>
        <w:t xml:space="preserve"> . Therefore, System GMM uses deeper lags of level observations and the first lag of differenced dependent variable as instrumental variables. </w:t>
      </w:r>
      <w:r w:rsidR="00AE16CA" w:rsidRPr="00BE65C7">
        <w:rPr>
          <w:rFonts w:ascii="Times New Roman" w:hAnsi="Times New Roman" w:cs="Times New Roman"/>
          <w:color w:val="000000" w:themeColor="text1"/>
          <w:sz w:val="24"/>
          <w:szCs w:val="24"/>
          <w:lang w:val="en-US"/>
        </w:rPr>
        <w:t>The</w:t>
      </w:r>
      <w:r w:rsidR="006B2F10" w:rsidRPr="00BE65C7">
        <w:rPr>
          <w:rFonts w:ascii="Times New Roman" w:hAnsi="Times New Roman" w:cs="Times New Roman"/>
          <w:color w:val="000000" w:themeColor="text1"/>
          <w:sz w:val="24"/>
          <w:szCs w:val="24"/>
          <w:lang w:val="en-US"/>
        </w:rPr>
        <w:t>refore, the estimation requires using</w:t>
      </w:r>
      <w:r w:rsidR="00AE16CA" w:rsidRPr="00BE65C7">
        <w:rPr>
          <w:rFonts w:ascii="Times New Roman" w:hAnsi="Times New Roman" w:cs="Times New Roman"/>
          <w:color w:val="000000" w:themeColor="text1"/>
          <w:sz w:val="24"/>
          <w:szCs w:val="24"/>
          <w:lang w:val="en-US"/>
        </w:rPr>
        <w:t xml:space="preserve"> </w:t>
      </w:r>
      <w:r w:rsidR="006B2F10" w:rsidRPr="00BE65C7">
        <w:rPr>
          <w:rFonts w:ascii="Times New Roman" w:hAnsi="Times New Roman" w:cs="Times New Roman"/>
          <w:color w:val="000000" w:themeColor="text1"/>
          <w:sz w:val="24"/>
          <w:szCs w:val="24"/>
          <w:lang w:val="en-US"/>
        </w:rPr>
        <w:t xml:space="preserve">the </w:t>
      </w:r>
      <w:r w:rsidR="00AE16CA" w:rsidRPr="00BE65C7">
        <w:rPr>
          <w:rFonts w:ascii="Times New Roman" w:hAnsi="Times New Roman" w:cs="Times New Roman"/>
          <w:color w:val="000000" w:themeColor="text1"/>
          <w:sz w:val="24"/>
          <w:szCs w:val="24"/>
          <w:lang w:val="en-US"/>
        </w:rPr>
        <w:t>generalized method of moments (GMM)</w:t>
      </w:r>
      <w:r w:rsidR="006B2F10" w:rsidRPr="00BE65C7">
        <w:rPr>
          <w:rFonts w:ascii="Times New Roman" w:hAnsi="Times New Roman" w:cs="Times New Roman"/>
          <w:color w:val="000000" w:themeColor="text1"/>
          <w:sz w:val="24"/>
          <w:szCs w:val="24"/>
          <w:lang w:val="en-US"/>
        </w:rPr>
        <w:t>,</w:t>
      </w:r>
      <w:r w:rsidR="00AE16CA" w:rsidRPr="00BE65C7">
        <w:rPr>
          <w:rFonts w:ascii="Times New Roman" w:hAnsi="Times New Roman" w:cs="Times New Roman"/>
          <w:color w:val="000000" w:themeColor="text1"/>
          <w:sz w:val="24"/>
          <w:szCs w:val="24"/>
          <w:lang w:val="en-US"/>
        </w:rPr>
        <w:t xml:space="preserve"> as suggested by Arellano and Bond, 1991).</w:t>
      </w:r>
      <w:r w:rsidR="00131B8E" w:rsidRPr="00BE65C7">
        <w:rPr>
          <w:rFonts w:ascii="Times New Roman" w:hAnsi="Times New Roman" w:cs="Times New Roman"/>
          <w:color w:val="000000" w:themeColor="text1"/>
          <w:sz w:val="24"/>
          <w:szCs w:val="24"/>
          <w:lang w:val="en-US"/>
        </w:rPr>
        <w:t xml:space="preserve"> </w:t>
      </w:r>
      <w:r w:rsidR="00BB703F" w:rsidRPr="00BB703F">
        <w:rPr>
          <w:rFonts w:ascii="Times New Roman" w:hAnsi="Times New Roman" w:cs="Times New Roman"/>
          <w:color w:val="0070C0"/>
          <w:sz w:val="24"/>
          <w:szCs w:val="24"/>
          <w:shd w:val="clear" w:color="auto" w:fill="FFFFFF"/>
        </w:rPr>
        <w:t xml:space="preserve">Chowdhury &amp; Russell (2018) argue that in the presence of structural </w:t>
      </w:r>
      <w:proofErr w:type="spellStart"/>
      <w:r w:rsidR="00BB703F" w:rsidRPr="00BB703F">
        <w:rPr>
          <w:rFonts w:ascii="Times New Roman" w:hAnsi="Times New Roman" w:cs="Times New Roman"/>
          <w:color w:val="0070C0"/>
          <w:sz w:val="24"/>
          <w:szCs w:val="24"/>
          <w:shd w:val="clear" w:color="auto" w:fill="FFFFFF"/>
        </w:rPr>
        <w:t>bre</w:t>
      </w:r>
      <w:r w:rsidR="00BB703F">
        <w:rPr>
          <w:rFonts w:ascii="Times New Roman" w:hAnsi="Times New Roman" w:cs="Times New Roman"/>
          <w:color w:val="0070C0"/>
          <w:sz w:val="24"/>
          <w:szCs w:val="24"/>
          <w:lang w:val="en-US"/>
        </w:rPr>
        <w:t>aks</w:t>
      </w:r>
      <w:proofErr w:type="spellEnd"/>
      <w:r w:rsidR="00BB703F" w:rsidRPr="00BB703F">
        <w:rPr>
          <w:rFonts w:ascii="Times New Roman" w:hAnsi="Times New Roman" w:cs="Times New Roman"/>
          <w:color w:val="0070C0"/>
          <w:sz w:val="24"/>
          <w:szCs w:val="24"/>
          <w:lang w:val="en-US"/>
        </w:rPr>
        <w:t xml:space="preserve">, the estimates of the dynamic models may be biased. The models by Arellano and Bond (1991) and </w:t>
      </w:r>
      <w:r w:rsidR="00BB703F" w:rsidRPr="00BB703F">
        <w:rPr>
          <w:rFonts w:ascii="Times New Roman" w:hAnsi="Times New Roman" w:cs="Times New Roman"/>
          <w:color w:val="0070C0"/>
          <w:sz w:val="24"/>
          <w:szCs w:val="24"/>
        </w:rPr>
        <w:t>Blundell and Bond (1998) are designed to improve the efficiency of the estimation.</w:t>
      </w:r>
      <w:r w:rsidR="002F40AB">
        <w:rPr>
          <w:rFonts w:ascii="Times New Roman" w:hAnsi="Times New Roman" w:cs="Times New Roman"/>
          <w:color w:val="0070C0"/>
          <w:sz w:val="24"/>
          <w:szCs w:val="24"/>
        </w:rPr>
        <w:t xml:space="preserve"> </w:t>
      </w:r>
      <w:r w:rsidR="002F40AB" w:rsidRPr="00582A7F">
        <w:rPr>
          <w:rFonts w:ascii="Times New Roman" w:hAnsi="Times New Roman" w:cs="Times New Roman"/>
          <w:color w:val="0070C0"/>
          <w:sz w:val="24"/>
          <w:szCs w:val="24"/>
        </w:rPr>
        <w:t>As our paper is centred on long-term patterns in the relationship between cash holdings and institutional shareholdings, we assume that structural breaks, if any</w:t>
      </w:r>
      <w:r w:rsidR="003A2395" w:rsidRPr="00582A7F">
        <w:rPr>
          <w:rFonts w:ascii="Times New Roman" w:hAnsi="Times New Roman" w:cs="Times New Roman"/>
          <w:color w:val="0070C0"/>
          <w:sz w:val="24"/>
          <w:szCs w:val="24"/>
        </w:rPr>
        <w:t>,</w:t>
      </w:r>
      <w:r w:rsidR="002F40AB" w:rsidRPr="00582A7F">
        <w:rPr>
          <w:rFonts w:ascii="Times New Roman" w:hAnsi="Times New Roman" w:cs="Times New Roman"/>
          <w:color w:val="0070C0"/>
          <w:sz w:val="24"/>
          <w:szCs w:val="24"/>
        </w:rPr>
        <w:t xml:space="preserve"> do not fundamentally alter the relationships being studied over the entire period.</w:t>
      </w:r>
      <w:r w:rsidR="00E952BE">
        <w:rPr>
          <w:rStyle w:val="FootnoteReference"/>
          <w:rFonts w:ascii="Times New Roman" w:hAnsi="Times New Roman" w:cs="Times New Roman"/>
          <w:color w:val="0070C0"/>
          <w:sz w:val="24"/>
          <w:szCs w:val="24"/>
        </w:rPr>
        <w:footnoteReference w:id="4"/>
      </w:r>
      <w:r w:rsidR="003A2395" w:rsidRPr="00582A7F">
        <w:rPr>
          <w:rFonts w:ascii="Times New Roman" w:hAnsi="Times New Roman" w:cs="Times New Roman"/>
          <w:color w:val="0070C0"/>
          <w:sz w:val="24"/>
          <w:szCs w:val="24"/>
        </w:rPr>
        <w:t xml:space="preserve"> </w:t>
      </w:r>
    </w:p>
    <w:p w14:paraId="36120123" w14:textId="60DAF49F" w:rsidR="006F7ECD" w:rsidRDefault="00131B8E" w:rsidP="00CD282A">
      <w:pPr>
        <w:spacing w:line="360" w:lineRule="auto"/>
        <w:ind w:firstLine="426"/>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As argued in past studies, institutional investors may have preferences for firms holding high cash</w:t>
      </w:r>
      <w:r w:rsidR="006B2F10" w:rsidRPr="00BE65C7">
        <w:rPr>
          <w:rFonts w:ascii="Times New Roman" w:hAnsi="Times New Roman" w:cs="Times New Roman"/>
          <w:color w:val="000000" w:themeColor="text1"/>
          <w:sz w:val="24"/>
          <w:szCs w:val="24"/>
          <w:lang w:val="en-US"/>
        </w:rPr>
        <w:t>;</w:t>
      </w:r>
      <w:r w:rsidRPr="00BE65C7">
        <w:rPr>
          <w:rFonts w:ascii="Times New Roman" w:hAnsi="Times New Roman" w:cs="Times New Roman"/>
          <w:color w:val="000000" w:themeColor="text1"/>
          <w:sz w:val="24"/>
          <w:szCs w:val="24"/>
          <w:lang w:val="en-US"/>
        </w:rPr>
        <w:t xml:space="preserve"> the contemporaneous endogeneity may still be an issue</w:t>
      </w:r>
      <w:r w:rsidR="00E76114" w:rsidRPr="00BE65C7">
        <w:rPr>
          <w:rFonts w:ascii="Times New Roman" w:hAnsi="Times New Roman" w:cs="Times New Roman"/>
          <w:color w:val="000000" w:themeColor="text1"/>
          <w:sz w:val="24"/>
          <w:szCs w:val="24"/>
          <w:lang w:val="en-US"/>
        </w:rPr>
        <w:t xml:space="preserve"> (Brown et al., 2012; </w:t>
      </w:r>
      <w:proofErr w:type="spellStart"/>
      <w:r w:rsidR="00E76114" w:rsidRPr="00BE65C7">
        <w:rPr>
          <w:rFonts w:ascii="Times New Roman" w:hAnsi="Times New Roman" w:cs="Times New Roman"/>
          <w:color w:val="000000" w:themeColor="text1"/>
          <w:sz w:val="24"/>
          <w:szCs w:val="24"/>
          <w:lang w:val="en-US"/>
        </w:rPr>
        <w:t>Loncan</w:t>
      </w:r>
      <w:proofErr w:type="spellEnd"/>
      <w:r w:rsidR="00E76114" w:rsidRPr="00BE65C7">
        <w:rPr>
          <w:rFonts w:ascii="Times New Roman" w:hAnsi="Times New Roman" w:cs="Times New Roman"/>
          <w:color w:val="000000" w:themeColor="text1"/>
          <w:sz w:val="24"/>
          <w:szCs w:val="24"/>
          <w:lang w:val="en-US"/>
        </w:rPr>
        <w:t>, 2020)</w:t>
      </w:r>
      <w:r w:rsidRPr="00BE65C7">
        <w:rPr>
          <w:rFonts w:ascii="Times New Roman" w:hAnsi="Times New Roman" w:cs="Times New Roman"/>
          <w:color w:val="000000" w:themeColor="text1"/>
          <w:sz w:val="24"/>
          <w:szCs w:val="24"/>
          <w:lang w:val="en-US"/>
        </w:rPr>
        <w:t>. Therefore, in addition to considering the lagged values of cash holdings, we also include the lagged values of institutional ownership in the GMM estimation</w:t>
      </w:r>
      <w:r w:rsidR="006B2F10" w:rsidRPr="00BE65C7">
        <w:rPr>
          <w:rFonts w:ascii="Times New Roman" w:hAnsi="Times New Roman" w:cs="Times New Roman"/>
          <w:color w:val="000000" w:themeColor="text1"/>
          <w:sz w:val="24"/>
          <w:szCs w:val="24"/>
          <w:lang w:val="en-US"/>
        </w:rPr>
        <w:t>. A</w:t>
      </w:r>
      <w:r w:rsidRPr="00BE65C7">
        <w:rPr>
          <w:rFonts w:ascii="Times New Roman" w:hAnsi="Times New Roman" w:cs="Times New Roman"/>
          <w:color w:val="000000" w:themeColor="text1"/>
          <w:sz w:val="24"/>
          <w:szCs w:val="24"/>
          <w:lang w:val="en-US"/>
        </w:rPr>
        <w:t xml:space="preserve">ccordingly, both the lagged values are taken as instrument variables. </w:t>
      </w:r>
      <w:r w:rsidR="00F9677E" w:rsidRPr="000E081E">
        <w:rPr>
          <w:rFonts w:ascii="Times New Roman" w:hAnsi="Times New Roman" w:cs="Times New Roman"/>
          <w:color w:val="0070C0"/>
          <w:sz w:val="24"/>
          <w:szCs w:val="24"/>
          <w:lang w:val="en-US"/>
        </w:rPr>
        <w:t xml:space="preserve">Further, </w:t>
      </w:r>
      <w:r w:rsidR="00F9677E" w:rsidRPr="000E081E">
        <w:rPr>
          <w:rFonts w:ascii="Times New Roman" w:hAnsi="Times New Roman" w:cs="Times New Roman"/>
          <w:color w:val="0070C0"/>
          <w:sz w:val="24"/>
          <w:szCs w:val="24"/>
          <w:shd w:val="clear" w:color="auto" w:fill="FFFFFF"/>
        </w:rPr>
        <w:t xml:space="preserve">a firm's decision on cash holding can be affected by other firms, as a result cross sectional correlation arises, which if ignored can bias the GMM estimation. Therefore, we report the Heteroscedastic Corrected Standard errors in our models to address the issue. Although, we acknowledge that the </w:t>
      </w:r>
      <w:r w:rsidR="00F9677E" w:rsidRPr="000E081E">
        <w:rPr>
          <w:rFonts w:ascii="Times New Roman" w:hAnsi="Times New Roman" w:cs="Times New Roman"/>
          <w:color w:val="0070C0"/>
          <w:sz w:val="24"/>
          <w:szCs w:val="24"/>
        </w:rPr>
        <w:t xml:space="preserve">future work could explore </w:t>
      </w:r>
      <w:r w:rsidR="00F9677E" w:rsidRPr="000E081E">
        <w:rPr>
          <w:rStyle w:val="Strong"/>
          <w:rFonts w:ascii="Times New Roman" w:hAnsi="Times New Roman" w:cs="Times New Roman"/>
          <w:b w:val="0"/>
          <w:color w:val="0070C0"/>
          <w:sz w:val="24"/>
          <w:szCs w:val="24"/>
        </w:rPr>
        <w:t>dynamic panel models incorporating common</w:t>
      </w:r>
      <w:r w:rsidR="00F9677E" w:rsidRPr="000E081E">
        <w:rPr>
          <w:rStyle w:val="Strong"/>
          <w:rFonts w:ascii="Times New Roman" w:hAnsi="Times New Roman" w:cs="Times New Roman"/>
          <w:color w:val="0070C0"/>
          <w:sz w:val="24"/>
          <w:szCs w:val="24"/>
        </w:rPr>
        <w:t xml:space="preserve"> </w:t>
      </w:r>
      <w:r w:rsidR="00F9677E" w:rsidRPr="000E081E">
        <w:rPr>
          <w:rStyle w:val="Strong"/>
          <w:rFonts w:ascii="Times New Roman" w:hAnsi="Times New Roman" w:cs="Times New Roman"/>
          <w:b w:val="0"/>
          <w:color w:val="0070C0"/>
          <w:sz w:val="24"/>
          <w:szCs w:val="24"/>
        </w:rPr>
        <w:t>factors</w:t>
      </w:r>
      <w:r w:rsidR="00F9677E" w:rsidRPr="000E081E">
        <w:rPr>
          <w:rFonts w:ascii="Times New Roman" w:hAnsi="Times New Roman" w:cs="Times New Roman"/>
          <w:color w:val="0070C0"/>
          <w:sz w:val="24"/>
          <w:szCs w:val="24"/>
        </w:rPr>
        <w:t xml:space="preserve"> like a combination of Common Correlated Effects (CCE) and GMM methods)</w:t>
      </w:r>
      <w:r w:rsidR="00F9677E" w:rsidRPr="000E081E">
        <w:rPr>
          <w:rFonts w:ascii="Times New Roman" w:hAnsi="Times New Roman" w:cs="Times New Roman"/>
          <w:color w:val="0070C0"/>
          <w:sz w:val="24"/>
          <w:szCs w:val="24"/>
          <w:lang w:val="en-US"/>
        </w:rPr>
        <w:t xml:space="preserve">. </w:t>
      </w:r>
      <w:r w:rsidR="001D2CFA">
        <w:rPr>
          <w:rFonts w:ascii="Times New Roman" w:hAnsi="Times New Roman" w:cs="Times New Roman"/>
          <w:color w:val="0070C0"/>
          <w:sz w:val="24"/>
          <w:szCs w:val="24"/>
          <w:lang w:val="en-US"/>
        </w:rPr>
        <w:t>Finally, w</w:t>
      </w:r>
      <w:r w:rsidR="001D2CFA">
        <w:rPr>
          <w:rFonts w:ascii="Times New Roman" w:hAnsi="Times New Roman" w:cs="Times New Roman"/>
          <w:color w:val="000000" w:themeColor="text1"/>
          <w:sz w:val="24"/>
          <w:szCs w:val="24"/>
          <w:lang w:val="en-US"/>
        </w:rPr>
        <w:t xml:space="preserve">e </w:t>
      </w:r>
      <w:r w:rsidR="00827030" w:rsidRPr="00BE65C7">
        <w:rPr>
          <w:rFonts w:ascii="Times New Roman" w:hAnsi="Times New Roman" w:cs="Times New Roman"/>
          <w:color w:val="000000" w:themeColor="text1"/>
          <w:sz w:val="24"/>
          <w:szCs w:val="24"/>
          <w:lang w:val="en-US"/>
        </w:rPr>
        <w:t xml:space="preserve">use </w:t>
      </w:r>
      <w:r w:rsidR="00BC36A6">
        <w:rPr>
          <w:rFonts w:ascii="Times New Roman" w:hAnsi="Times New Roman" w:cs="Times New Roman"/>
          <w:color w:val="000000" w:themeColor="text1"/>
          <w:sz w:val="24"/>
          <w:szCs w:val="24"/>
          <w:lang w:val="en-US"/>
        </w:rPr>
        <w:t xml:space="preserve">the </w:t>
      </w:r>
      <w:proofErr w:type="spellStart"/>
      <w:r w:rsidR="00827030" w:rsidRPr="00BE65C7">
        <w:rPr>
          <w:rFonts w:ascii="Times New Roman" w:hAnsi="Times New Roman" w:cs="Times New Roman"/>
          <w:color w:val="000000" w:themeColor="text1"/>
          <w:sz w:val="24"/>
          <w:szCs w:val="24"/>
          <w:lang w:val="en-US"/>
        </w:rPr>
        <w:t>Sargan</w:t>
      </w:r>
      <w:r w:rsidR="00E437C7" w:rsidRPr="00BE65C7">
        <w:rPr>
          <w:rFonts w:ascii="Times New Roman" w:hAnsi="Times New Roman" w:cs="Times New Roman"/>
          <w:color w:val="000000" w:themeColor="text1"/>
          <w:sz w:val="24"/>
          <w:szCs w:val="24"/>
          <w:lang w:val="en-US"/>
        </w:rPr>
        <w:t>'</w:t>
      </w:r>
      <w:r w:rsidR="00827030" w:rsidRPr="00BE65C7">
        <w:rPr>
          <w:rFonts w:ascii="Times New Roman" w:hAnsi="Times New Roman" w:cs="Times New Roman"/>
          <w:color w:val="000000" w:themeColor="text1"/>
          <w:sz w:val="24"/>
          <w:szCs w:val="24"/>
          <w:lang w:val="en-US"/>
        </w:rPr>
        <w:t>s</w:t>
      </w:r>
      <w:proofErr w:type="spellEnd"/>
      <w:r w:rsidR="00827030" w:rsidRPr="00BE65C7">
        <w:rPr>
          <w:rFonts w:ascii="Times New Roman" w:hAnsi="Times New Roman" w:cs="Times New Roman"/>
          <w:color w:val="000000" w:themeColor="text1"/>
          <w:sz w:val="24"/>
          <w:szCs w:val="24"/>
          <w:lang w:val="en-US"/>
        </w:rPr>
        <w:t xml:space="preserve"> test for instrument validity and the Arellano-Bond test for second</w:t>
      </w:r>
      <w:r w:rsidR="006B2F10" w:rsidRPr="00BE65C7">
        <w:rPr>
          <w:rFonts w:ascii="Times New Roman" w:hAnsi="Times New Roman" w:cs="Times New Roman"/>
          <w:color w:val="000000" w:themeColor="text1"/>
          <w:sz w:val="24"/>
          <w:szCs w:val="24"/>
          <w:lang w:val="en-US"/>
        </w:rPr>
        <w:t>-</w:t>
      </w:r>
      <w:r w:rsidR="00827030" w:rsidRPr="00BE65C7">
        <w:rPr>
          <w:rFonts w:ascii="Times New Roman" w:hAnsi="Times New Roman" w:cs="Times New Roman"/>
          <w:color w:val="000000" w:themeColor="text1"/>
          <w:sz w:val="24"/>
          <w:szCs w:val="24"/>
          <w:lang w:val="en-US"/>
        </w:rPr>
        <w:t>order serial correlation.</w:t>
      </w:r>
    </w:p>
    <w:p w14:paraId="427AA917" w14:textId="77777777" w:rsidR="00BD25BE" w:rsidRPr="00BE65C7" w:rsidRDefault="00BD25BE" w:rsidP="00CD282A">
      <w:pPr>
        <w:spacing w:line="360" w:lineRule="auto"/>
        <w:ind w:firstLine="426"/>
        <w:jc w:val="both"/>
        <w:rPr>
          <w:rFonts w:ascii="Times New Roman" w:hAnsi="Times New Roman" w:cs="Times New Roman"/>
          <w:color w:val="000000" w:themeColor="text1"/>
          <w:sz w:val="24"/>
          <w:szCs w:val="24"/>
          <w:lang w:val="en-US"/>
        </w:rPr>
      </w:pPr>
    </w:p>
    <w:p w14:paraId="04BDF477" w14:textId="7170D716" w:rsidR="00712D7B" w:rsidRPr="00BE65C7" w:rsidRDefault="00995283" w:rsidP="0004198C">
      <w:pPr>
        <w:pStyle w:val="ListParagraph"/>
        <w:numPr>
          <w:ilvl w:val="0"/>
          <w:numId w:val="4"/>
        </w:numPr>
        <w:spacing w:line="360" w:lineRule="auto"/>
        <w:ind w:left="426" w:hanging="426"/>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Results</w:t>
      </w:r>
    </w:p>
    <w:p w14:paraId="32307B2C" w14:textId="347ED4D4" w:rsidR="00D73058" w:rsidRDefault="00995283" w:rsidP="002A17D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In the previous section, we have presented </w:t>
      </w:r>
      <w:r w:rsidR="0026572E" w:rsidRPr="00BE65C7">
        <w:rPr>
          <w:rFonts w:ascii="Times New Roman" w:hAnsi="Times New Roman" w:cs="Times New Roman"/>
          <w:color w:val="000000" w:themeColor="text1"/>
          <w:sz w:val="24"/>
          <w:szCs w:val="24"/>
          <w:lang w:val="en-US"/>
        </w:rPr>
        <w:t>descriptive statistics of our main variables</w:t>
      </w:r>
      <w:r>
        <w:rPr>
          <w:rFonts w:ascii="Times New Roman" w:hAnsi="Times New Roman" w:cs="Times New Roman"/>
          <w:color w:val="000000" w:themeColor="text1"/>
          <w:sz w:val="24"/>
          <w:szCs w:val="24"/>
          <w:lang w:val="en-US"/>
        </w:rPr>
        <w:t xml:space="preserve"> (</w:t>
      </w:r>
      <w:r w:rsidR="0026572E" w:rsidRPr="00BE65C7">
        <w:rPr>
          <w:rFonts w:ascii="Times New Roman" w:hAnsi="Times New Roman" w:cs="Times New Roman"/>
          <w:color w:val="000000" w:themeColor="text1"/>
          <w:sz w:val="24"/>
          <w:szCs w:val="24"/>
          <w:lang w:val="en-US"/>
        </w:rPr>
        <w:t>Panel A</w:t>
      </w:r>
      <w:r>
        <w:rPr>
          <w:rFonts w:ascii="Times New Roman" w:hAnsi="Times New Roman" w:cs="Times New Roman"/>
          <w:color w:val="000000" w:themeColor="text1"/>
          <w:sz w:val="24"/>
          <w:szCs w:val="24"/>
          <w:lang w:val="en-US"/>
        </w:rPr>
        <w:t xml:space="preserve">: </w:t>
      </w:r>
      <w:r w:rsidR="0026572E" w:rsidRPr="00BE65C7">
        <w:rPr>
          <w:rFonts w:ascii="Times New Roman" w:hAnsi="Times New Roman" w:cs="Times New Roman"/>
          <w:color w:val="000000" w:themeColor="text1"/>
          <w:sz w:val="24"/>
          <w:szCs w:val="24"/>
          <w:lang w:val="en-US"/>
        </w:rPr>
        <w:t>Emerging countries and Panel B</w:t>
      </w:r>
      <w:r>
        <w:rPr>
          <w:rFonts w:ascii="Times New Roman" w:hAnsi="Times New Roman" w:cs="Times New Roman"/>
          <w:color w:val="000000" w:themeColor="text1"/>
          <w:sz w:val="24"/>
          <w:szCs w:val="24"/>
          <w:lang w:val="en-US"/>
        </w:rPr>
        <w:t xml:space="preserve">: </w:t>
      </w:r>
      <w:r w:rsidR="0026572E" w:rsidRPr="00BE65C7">
        <w:rPr>
          <w:rFonts w:ascii="Times New Roman" w:hAnsi="Times New Roman" w:cs="Times New Roman"/>
          <w:color w:val="000000" w:themeColor="text1"/>
          <w:sz w:val="24"/>
          <w:szCs w:val="24"/>
          <w:lang w:val="en-US"/>
        </w:rPr>
        <w:t>Developed countries</w:t>
      </w:r>
      <w:r>
        <w:rPr>
          <w:rFonts w:ascii="Times New Roman" w:hAnsi="Times New Roman" w:cs="Times New Roman"/>
          <w:color w:val="000000" w:themeColor="text1"/>
          <w:sz w:val="24"/>
          <w:szCs w:val="24"/>
          <w:lang w:val="en-US"/>
        </w:rPr>
        <w:t>)</w:t>
      </w:r>
      <w:r w:rsidR="0026572E" w:rsidRPr="00BE65C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in</w:t>
      </w:r>
      <w:r w:rsidR="0026572E" w:rsidRPr="00BE65C7">
        <w:rPr>
          <w:rFonts w:ascii="Times New Roman" w:hAnsi="Times New Roman" w:cs="Times New Roman"/>
          <w:color w:val="000000" w:themeColor="text1"/>
          <w:sz w:val="24"/>
          <w:szCs w:val="24"/>
          <w:lang w:val="en-US"/>
        </w:rPr>
        <w:t xml:space="preserve"> Table </w:t>
      </w:r>
      <w:r w:rsidR="00397387" w:rsidRPr="00BE65C7">
        <w:rPr>
          <w:rFonts w:ascii="Times New Roman" w:hAnsi="Times New Roman" w:cs="Times New Roman"/>
          <w:color w:val="000000" w:themeColor="text1"/>
          <w:sz w:val="24"/>
          <w:szCs w:val="24"/>
          <w:lang w:val="en-US"/>
        </w:rPr>
        <w:t>2</w:t>
      </w:r>
      <w:r w:rsidR="0026572E" w:rsidRPr="00BE65C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It was noted that </w:t>
      </w:r>
      <w:r w:rsidR="0026572E" w:rsidRPr="00BE65C7">
        <w:rPr>
          <w:rFonts w:ascii="Times New Roman" w:hAnsi="Times New Roman" w:cs="Times New Roman"/>
          <w:color w:val="000000" w:themeColor="text1"/>
          <w:sz w:val="24"/>
          <w:szCs w:val="24"/>
          <w:lang w:val="en-US"/>
        </w:rPr>
        <w:t xml:space="preserve">the cash holdings of firms in </w:t>
      </w:r>
      <w:r w:rsidR="006A4DE4" w:rsidRPr="00BE65C7">
        <w:rPr>
          <w:rFonts w:ascii="Times New Roman" w:hAnsi="Times New Roman" w:cs="Times New Roman"/>
          <w:color w:val="000000" w:themeColor="text1"/>
          <w:sz w:val="24"/>
          <w:szCs w:val="24"/>
          <w:lang w:val="en-US"/>
        </w:rPr>
        <w:t>e</w:t>
      </w:r>
      <w:r w:rsidR="0026572E" w:rsidRPr="00BE65C7">
        <w:rPr>
          <w:rFonts w:ascii="Times New Roman" w:hAnsi="Times New Roman" w:cs="Times New Roman"/>
          <w:color w:val="000000" w:themeColor="text1"/>
          <w:sz w:val="24"/>
          <w:szCs w:val="24"/>
          <w:lang w:val="en-US"/>
        </w:rPr>
        <w:t xml:space="preserve">merging countries </w:t>
      </w:r>
      <w:r w:rsidR="006A4DE4" w:rsidRPr="00BE65C7">
        <w:rPr>
          <w:rFonts w:ascii="Times New Roman" w:hAnsi="Times New Roman" w:cs="Times New Roman"/>
          <w:color w:val="000000" w:themeColor="text1"/>
          <w:sz w:val="24"/>
          <w:szCs w:val="24"/>
          <w:lang w:val="en-US"/>
        </w:rPr>
        <w:t>are</w:t>
      </w:r>
      <w:r w:rsidR="0026572E" w:rsidRPr="00BE65C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greater </w:t>
      </w:r>
      <w:r w:rsidR="0026572E" w:rsidRPr="00BE65C7">
        <w:rPr>
          <w:rFonts w:ascii="Times New Roman" w:hAnsi="Times New Roman" w:cs="Times New Roman"/>
          <w:color w:val="000000" w:themeColor="text1"/>
          <w:sz w:val="24"/>
          <w:szCs w:val="24"/>
          <w:lang w:val="en-US"/>
        </w:rPr>
        <w:t>than their counterparts in developed countries</w:t>
      </w:r>
      <w:r>
        <w:rPr>
          <w:rFonts w:ascii="Times New Roman" w:hAnsi="Times New Roman" w:cs="Times New Roman"/>
          <w:color w:val="000000" w:themeColor="text1"/>
          <w:sz w:val="24"/>
          <w:szCs w:val="24"/>
          <w:lang w:val="en-US"/>
        </w:rPr>
        <w:t>, which is expected</w:t>
      </w:r>
      <w:r w:rsidR="0026572E" w:rsidRPr="00BE65C7">
        <w:rPr>
          <w:rFonts w:ascii="Times New Roman" w:hAnsi="Times New Roman" w:cs="Times New Roman"/>
          <w:color w:val="000000" w:themeColor="text1"/>
          <w:sz w:val="24"/>
          <w:szCs w:val="24"/>
          <w:lang w:val="en-US"/>
        </w:rPr>
        <w:t xml:space="preserve">. Moreover, the emerging countries in our sample have low </w:t>
      </w:r>
      <w:r w:rsidR="0027494F" w:rsidRPr="00BE65C7">
        <w:rPr>
          <w:rFonts w:ascii="Times New Roman" w:hAnsi="Times New Roman" w:cs="Times New Roman"/>
          <w:color w:val="000000" w:themeColor="text1"/>
          <w:sz w:val="24"/>
          <w:szCs w:val="24"/>
          <w:lang w:val="en-US"/>
        </w:rPr>
        <w:t xml:space="preserve">scores on </w:t>
      </w:r>
      <w:r w:rsidR="00F81034" w:rsidRPr="00BE65C7">
        <w:rPr>
          <w:rFonts w:ascii="Times New Roman" w:hAnsi="Times New Roman" w:cs="Times New Roman"/>
          <w:color w:val="000000" w:themeColor="text1"/>
          <w:sz w:val="24"/>
          <w:szCs w:val="24"/>
          <w:lang w:val="en-US"/>
        </w:rPr>
        <w:t xml:space="preserve">control of </w:t>
      </w:r>
      <w:r w:rsidR="0026572E" w:rsidRPr="00BE65C7">
        <w:rPr>
          <w:rFonts w:ascii="Times New Roman" w:hAnsi="Times New Roman" w:cs="Times New Roman"/>
          <w:color w:val="000000" w:themeColor="text1"/>
          <w:sz w:val="24"/>
          <w:szCs w:val="24"/>
          <w:lang w:val="en-US"/>
        </w:rPr>
        <w:t xml:space="preserve">corruption </w:t>
      </w:r>
      <w:r w:rsidR="006A4DE4" w:rsidRPr="00BE65C7">
        <w:rPr>
          <w:rFonts w:ascii="Times New Roman" w:hAnsi="Times New Roman" w:cs="Times New Roman"/>
          <w:color w:val="000000" w:themeColor="text1"/>
          <w:sz w:val="24"/>
          <w:szCs w:val="24"/>
          <w:lang w:val="en-US"/>
        </w:rPr>
        <w:t>,</w:t>
      </w:r>
      <w:r w:rsidR="0026572E" w:rsidRPr="00BE65C7">
        <w:rPr>
          <w:rFonts w:ascii="Times New Roman" w:hAnsi="Times New Roman" w:cs="Times New Roman"/>
          <w:color w:val="000000" w:themeColor="text1"/>
          <w:sz w:val="24"/>
          <w:szCs w:val="24"/>
          <w:lang w:val="en-US"/>
        </w:rPr>
        <w:t xml:space="preserve"> indicating </w:t>
      </w:r>
      <w:r w:rsidR="006A4DE4" w:rsidRPr="00BE65C7">
        <w:rPr>
          <w:rFonts w:ascii="Times New Roman" w:hAnsi="Times New Roman" w:cs="Times New Roman"/>
          <w:color w:val="000000" w:themeColor="text1"/>
          <w:sz w:val="24"/>
          <w:szCs w:val="24"/>
          <w:lang w:val="en-US"/>
        </w:rPr>
        <w:t xml:space="preserve">a </w:t>
      </w:r>
      <w:r w:rsidR="0026572E" w:rsidRPr="00BE65C7">
        <w:rPr>
          <w:rFonts w:ascii="Times New Roman" w:hAnsi="Times New Roman" w:cs="Times New Roman"/>
          <w:color w:val="000000" w:themeColor="text1"/>
          <w:sz w:val="24"/>
          <w:szCs w:val="24"/>
          <w:lang w:val="en-US"/>
        </w:rPr>
        <w:t xml:space="preserve">high level of corruption in these countries. The median score of emerging countries (-0.365) is significantly lower than those of developed countries (1.747). </w:t>
      </w:r>
      <w:r w:rsidR="00850916" w:rsidRPr="00BE65C7">
        <w:rPr>
          <w:rFonts w:ascii="Times New Roman" w:hAnsi="Times New Roman" w:cs="Times New Roman"/>
          <w:color w:val="000000" w:themeColor="text1"/>
          <w:sz w:val="24"/>
          <w:szCs w:val="24"/>
        </w:rPr>
        <w:t>The lowest score (indicating high corruption) in our sample is of Russia with an average value of -0.969 and Denmark has the average highest score (indicating least corrupt) of 2.327.</w:t>
      </w:r>
      <w:r w:rsidR="00832C22" w:rsidRPr="00BE65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 now present our main empirical results, beginning with the relationship between institutional ownership and cash holdings.</w:t>
      </w:r>
    </w:p>
    <w:p w14:paraId="37092A0A" w14:textId="77777777" w:rsidR="00BD25BE" w:rsidRDefault="00BD25BE" w:rsidP="002A17D3">
      <w:pPr>
        <w:spacing w:line="360" w:lineRule="auto"/>
        <w:jc w:val="both"/>
        <w:rPr>
          <w:rFonts w:ascii="Times New Roman" w:hAnsi="Times New Roman" w:cs="Times New Roman"/>
          <w:color w:val="000000" w:themeColor="text1"/>
          <w:sz w:val="24"/>
          <w:szCs w:val="24"/>
        </w:rPr>
      </w:pPr>
    </w:p>
    <w:p w14:paraId="67D076F7" w14:textId="55621AFE" w:rsidR="00BD25BE" w:rsidRPr="00BD25BE" w:rsidRDefault="00BD25BE" w:rsidP="00BD25BE">
      <w:pPr>
        <w:spacing w:line="360" w:lineRule="auto"/>
        <w:jc w:val="center"/>
        <w:rPr>
          <w:rFonts w:ascii="Times New Roman" w:hAnsi="Times New Roman" w:cs="Times New Roman"/>
          <w:i/>
          <w:iCs/>
          <w:color w:val="000000" w:themeColor="text1"/>
          <w:sz w:val="24"/>
          <w:szCs w:val="24"/>
        </w:rPr>
      </w:pPr>
      <w:r w:rsidRPr="00BD25BE">
        <w:rPr>
          <w:rFonts w:ascii="Times New Roman" w:hAnsi="Times New Roman" w:cs="Times New Roman"/>
          <w:i/>
          <w:iCs/>
          <w:color w:val="000000" w:themeColor="text1"/>
          <w:sz w:val="24"/>
          <w:szCs w:val="24"/>
        </w:rPr>
        <w:t>Insert Table 2 about here</w:t>
      </w:r>
    </w:p>
    <w:p w14:paraId="68BB33BF" w14:textId="77777777" w:rsidR="00BD25BE" w:rsidRPr="00BE65C7" w:rsidRDefault="00BD25BE" w:rsidP="00BD25BE">
      <w:pPr>
        <w:spacing w:line="360" w:lineRule="auto"/>
        <w:jc w:val="center"/>
        <w:rPr>
          <w:rFonts w:ascii="Times New Roman" w:hAnsi="Times New Roman" w:cs="Times New Roman"/>
          <w:color w:val="000000" w:themeColor="text1"/>
          <w:sz w:val="24"/>
          <w:szCs w:val="24"/>
        </w:rPr>
      </w:pPr>
    </w:p>
    <w:p w14:paraId="4C43CBED" w14:textId="78BFEE15" w:rsidR="00D73058" w:rsidRPr="00BD25BE" w:rsidRDefault="00D73058" w:rsidP="002A17D3">
      <w:pPr>
        <w:spacing w:line="360" w:lineRule="auto"/>
        <w:jc w:val="both"/>
        <w:rPr>
          <w:rFonts w:ascii="Times New Roman" w:hAnsi="Times New Roman" w:cs="Times New Roman"/>
          <w:b/>
          <w:bCs/>
          <w:i/>
          <w:iCs/>
          <w:color w:val="000000" w:themeColor="text1"/>
          <w:sz w:val="24"/>
          <w:szCs w:val="24"/>
        </w:rPr>
      </w:pPr>
      <w:r w:rsidRPr="00BD25BE">
        <w:rPr>
          <w:rFonts w:ascii="Times New Roman" w:hAnsi="Times New Roman" w:cs="Times New Roman"/>
          <w:b/>
          <w:bCs/>
          <w:i/>
          <w:iCs/>
          <w:color w:val="000000" w:themeColor="text1"/>
          <w:sz w:val="24"/>
          <w:szCs w:val="24"/>
        </w:rPr>
        <w:t>4.1 Institutional ownership and cash holdings</w:t>
      </w:r>
    </w:p>
    <w:p w14:paraId="318CDAC1" w14:textId="1DC73C78" w:rsidR="006A4DE4" w:rsidRPr="00BE65C7" w:rsidRDefault="00832C22" w:rsidP="002A17D3">
      <w:pPr>
        <w:spacing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We now investigate our main results in </w:t>
      </w:r>
      <w:r w:rsidR="006A4DE4" w:rsidRPr="00BE65C7">
        <w:rPr>
          <w:rFonts w:ascii="Times New Roman" w:hAnsi="Times New Roman" w:cs="Times New Roman"/>
          <w:color w:val="000000" w:themeColor="text1"/>
          <w:sz w:val="24"/>
          <w:szCs w:val="24"/>
        </w:rPr>
        <w:t>examining</w:t>
      </w:r>
      <w:r w:rsidRPr="00BE65C7">
        <w:rPr>
          <w:rFonts w:ascii="Times New Roman" w:hAnsi="Times New Roman" w:cs="Times New Roman"/>
          <w:color w:val="000000" w:themeColor="text1"/>
          <w:sz w:val="24"/>
          <w:szCs w:val="24"/>
        </w:rPr>
        <w:t xml:space="preserve"> the impact of institutional ownership on cash holdings. </w:t>
      </w:r>
      <w:r w:rsidR="00930918" w:rsidRPr="00BE65C7">
        <w:rPr>
          <w:rFonts w:ascii="Times New Roman" w:hAnsi="Times New Roman" w:cs="Times New Roman"/>
          <w:color w:val="000000" w:themeColor="text1"/>
          <w:sz w:val="24"/>
          <w:szCs w:val="24"/>
        </w:rPr>
        <w:t>We use a dynamic panel model following Ozkan and Ozkan (2004)</w:t>
      </w:r>
      <w:r w:rsidR="006A4DE4" w:rsidRPr="00BE65C7">
        <w:rPr>
          <w:rFonts w:ascii="Times New Roman" w:hAnsi="Times New Roman" w:cs="Times New Roman"/>
          <w:color w:val="000000" w:themeColor="text1"/>
          <w:sz w:val="24"/>
          <w:szCs w:val="24"/>
        </w:rPr>
        <w:t>,</w:t>
      </w:r>
      <w:r w:rsidR="00930918" w:rsidRPr="00BE65C7">
        <w:rPr>
          <w:rFonts w:ascii="Times New Roman" w:hAnsi="Times New Roman" w:cs="Times New Roman"/>
          <w:color w:val="000000" w:themeColor="text1"/>
          <w:sz w:val="24"/>
          <w:szCs w:val="24"/>
        </w:rPr>
        <w:t xml:space="preserve"> and the model parameters are estimated using the generali</w:t>
      </w:r>
      <w:r w:rsidR="006A4DE4" w:rsidRPr="00BE65C7">
        <w:rPr>
          <w:rFonts w:ascii="Times New Roman" w:hAnsi="Times New Roman" w:cs="Times New Roman"/>
          <w:color w:val="000000" w:themeColor="text1"/>
          <w:sz w:val="24"/>
          <w:szCs w:val="24"/>
        </w:rPr>
        <w:t>z</w:t>
      </w:r>
      <w:r w:rsidR="00930918" w:rsidRPr="00BE65C7">
        <w:rPr>
          <w:rFonts w:ascii="Times New Roman" w:hAnsi="Times New Roman" w:cs="Times New Roman"/>
          <w:color w:val="000000" w:themeColor="text1"/>
          <w:sz w:val="24"/>
          <w:szCs w:val="24"/>
        </w:rPr>
        <w:t>ed method of moments (GMM).</w:t>
      </w:r>
      <w:r w:rsidR="00715338" w:rsidRPr="00BE65C7">
        <w:rPr>
          <w:rFonts w:ascii="Times New Roman" w:hAnsi="Times New Roman" w:cs="Times New Roman"/>
          <w:color w:val="000000" w:themeColor="text1"/>
          <w:sz w:val="24"/>
          <w:szCs w:val="24"/>
        </w:rPr>
        <w:t xml:space="preserve"> </w:t>
      </w:r>
      <w:r w:rsidR="004C4F70" w:rsidRPr="00BE65C7">
        <w:rPr>
          <w:rFonts w:ascii="Times New Roman" w:hAnsi="Times New Roman" w:cs="Times New Roman"/>
          <w:color w:val="000000" w:themeColor="text1"/>
          <w:sz w:val="24"/>
          <w:szCs w:val="24"/>
        </w:rPr>
        <w:t xml:space="preserve">The model is justified </w:t>
      </w:r>
      <w:r w:rsidR="00D47314">
        <w:rPr>
          <w:rFonts w:ascii="Times New Roman" w:hAnsi="Times New Roman" w:cs="Times New Roman"/>
          <w:color w:val="000000" w:themeColor="text1"/>
          <w:sz w:val="24"/>
          <w:szCs w:val="24"/>
        </w:rPr>
        <w:t>because</w:t>
      </w:r>
      <w:r w:rsidR="004C4F70" w:rsidRPr="00BE65C7">
        <w:rPr>
          <w:rFonts w:ascii="Times New Roman" w:hAnsi="Times New Roman" w:cs="Times New Roman"/>
          <w:color w:val="000000" w:themeColor="text1"/>
          <w:sz w:val="24"/>
          <w:szCs w:val="24"/>
        </w:rPr>
        <w:t xml:space="preserve"> early research suggests that since cash adjustment to the target is costly, it may take time for the firms to adjust them with a lag (Nikolov and Whited, 2014). </w:t>
      </w:r>
      <w:r w:rsidR="004B6BF2" w:rsidRPr="00BE65C7">
        <w:rPr>
          <w:rFonts w:ascii="Times New Roman" w:hAnsi="Times New Roman" w:cs="Times New Roman"/>
          <w:color w:val="000000" w:themeColor="text1"/>
          <w:sz w:val="24"/>
          <w:szCs w:val="24"/>
        </w:rPr>
        <w:t xml:space="preserve">Further, </w:t>
      </w:r>
      <w:r w:rsidR="009E7E7A" w:rsidRPr="00BE65C7">
        <w:rPr>
          <w:rFonts w:ascii="Times New Roman" w:hAnsi="Times New Roman" w:cs="Times New Roman"/>
          <w:color w:val="000000" w:themeColor="text1"/>
          <w:sz w:val="24"/>
          <w:szCs w:val="24"/>
        </w:rPr>
        <w:t xml:space="preserve">institutional investors may prefer to invest in firms with high cash holdings resulting in an endogenous relationship. Under this situation, </w:t>
      </w:r>
      <w:r w:rsidR="006A4DE4" w:rsidRPr="00BE65C7">
        <w:rPr>
          <w:rFonts w:ascii="Times New Roman" w:hAnsi="Times New Roman" w:cs="Times New Roman"/>
          <w:color w:val="000000" w:themeColor="text1"/>
          <w:sz w:val="24"/>
          <w:szCs w:val="24"/>
        </w:rPr>
        <w:t xml:space="preserve">the </w:t>
      </w:r>
      <w:r w:rsidR="009E7E7A" w:rsidRPr="00BE65C7">
        <w:rPr>
          <w:rFonts w:ascii="Times New Roman" w:hAnsi="Times New Roman" w:cs="Times New Roman"/>
          <w:color w:val="000000" w:themeColor="text1"/>
          <w:sz w:val="24"/>
          <w:szCs w:val="24"/>
        </w:rPr>
        <w:t xml:space="preserve">GMM model is appropriate. </w:t>
      </w:r>
      <w:r w:rsidR="006A4DE4" w:rsidRPr="00BE65C7">
        <w:rPr>
          <w:rFonts w:ascii="Times New Roman" w:hAnsi="Times New Roman" w:cs="Times New Roman"/>
          <w:color w:val="000000" w:themeColor="text1"/>
          <w:sz w:val="24"/>
          <w:szCs w:val="24"/>
        </w:rPr>
        <w:t xml:space="preserve">We use </w:t>
      </w:r>
      <w:r w:rsidR="00E76114" w:rsidRPr="00BE65C7">
        <w:rPr>
          <w:rFonts w:ascii="Times New Roman" w:hAnsi="Times New Roman" w:cs="Times New Roman"/>
          <w:color w:val="000000" w:themeColor="text1"/>
          <w:sz w:val="24"/>
          <w:szCs w:val="24"/>
        </w:rPr>
        <w:t>first-</w:t>
      </w:r>
      <w:r w:rsidR="00594B2B" w:rsidRPr="00BE65C7">
        <w:rPr>
          <w:rFonts w:ascii="Times New Roman" w:hAnsi="Times New Roman" w:cs="Times New Roman"/>
          <w:color w:val="000000" w:themeColor="text1"/>
          <w:sz w:val="24"/>
          <w:szCs w:val="24"/>
        </w:rPr>
        <w:t>differenced</w:t>
      </w:r>
      <w:r w:rsidR="00E76114" w:rsidRPr="00BE65C7">
        <w:rPr>
          <w:rFonts w:ascii="Times New Roman" w:hAnsi="Times New Roman" w:cs="Times New Roman"/>
          <w:color w:val="000000" w:themeColor="text1"/>
          <w:sz w:val="24"/>
          <w:szCs w:val="24"/>
        </w:rPr>
        <w:t xml:space="preserve"> </w:t>
      </w:r>
      <w:r w:rsidR="006A4DE4" w:rsidRPr="00BE65C7">
        <w:rPr>
          <w:rFonts w:ascii="Times New Roman" w:hAnsi="Times New Roman" w:cs="Times New Roman"/>
          <w:color w:val="000000" w:themeColor="text1"/>
          <w:sz w:val="24"/>
          <w:szCs w:val="24"/>
        </w:rPr>
        <w:t>lagged</w:t>
      </w:r>
      <w:r w:rsidR="00E76114" w:rsidRPr="00BE65C7">
        <w:rPr>
          <w:rFonts w:ascii="Times New Roman" w:hAnsi="Times New Roman" w:cs="Times New Roman"/>
          <w:color w:val="000000" w:themeColor="text1"/>
          <w:sz w:val="24"/>
          <w:szCs w:val="24"/>
        </w:rPr>
        <w:t xml:space="preserve"> values of</w:t>
      </w:r>
      <w:r w:rsidR="006A4DE4" w:rsidRPr="00BE65C7">
        <w:rPr>
          <w:rFonts w:ascii="Times New Roman" w:hAnsi="Times New Roman" w:cs="Times New Roman"/>
          <w:color w:val="000000" w:themeColor="text1"/>
          <w:sz w:val="24"/>
          <w:szCs w:val="24"/>
        </w:rPr>
        <w:t xml:space="preserve"> cash and institutional ownership </w:t>
      </w:r>
      <w:r w:rsidR="00E76114" w:rsidRPr="00BE65C7">
        <w:rPr>
          <w:rFonts w:ascii="Times New Roman" w:hAnsi="Times New Roman" w:cs="Times New Roman"/>
          <w:color w:val="000000" w:themeColor="text1"/>
          <w:sz w:val="24"/>
          <w:szCs w:val="24"/>
        </w:rPr>
        <w:t>and the</w:t>
      </w:r>
      <w:r w:rsidR="006A4DE4" w:rsidRPr="00BE65C7">
        <w:rPr>
          <w:rFonts w:ascii="Times New Roman" w:hAnsi="Times New Roman" w:cs="Times New Roman"/>
          <w:color w:val="000000" w:themeColor="text1"/>
          <w:sz w:val="24"/>
          <w:szCs w:val="24"/>
        </w:rPr>
        <w:t xml:space="preserve"> control variables as instruments</w:t>
      </w:r>
      <w:r w:rsidR="00E76114" w:rsidRPr="00BE65C7">
        <w:rPr>
          <w:rFonts w:ascii="Times New Roman" w:hAnsi="Times New Roman" w:cs="Times New Roman"/>
          <w:color w:val="000000" w:themeColor="text1"/>
          <w:sz w:val="24"/>
          <w:szCs w:val="24"/>
        </w:rPr>
        <w:t xml:space="preserve"> in the model</w:t>
      </w:r>
      <w:r w:rsidR="006A4DE4" w:rsidRPr="00BE65C7">
        <w:rPr>
          <w:rFonts w:ascii="Times New Roman" w:hAnsi="Times New Roman" w:cs="Times New Roman"/>
          <w:color w:val="000000" w:themeColor="text1"/>
          <w:sz w:val="24"/>
          <w:szCs w:val="24"/>
        </w:rPr>
        <w:t xml:space="preserve">. </w:t>
      </w:r>
    </w:p>
    <w:p w14:paraId="4501F07E" w14:textId="723BC7D4" w:rsidR="00BD25BE" w:rsidRDefault="009E7E7A" w:rsidP="00BD25BE">
      <w:pPr>
        <w:spacing w:line="360" w:lineRule="auto"/>
        <w:ind w:firstLine="72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Our results indicate that cash holdings and institutional ownership have </w:t>
      </w:r>
      <w:r w:rsidR="006A4DE4" w:rsidRPr="00BE65C7">
        <w:rPr>
          <w:rFonts w:ascii="Times New Roman" w:hAnsi="Times New Roman" w:cs="Times New Roman"/>
          <w:color w:val="000000" w:themeColor="text1"/>
          <w:sz w:val="24"/>
          <w:szCs w:val="24"/>
        </w:rPr>
        <w:t xml:space="preserve">a </w:t>
      </w:r>
      <w:r w:rsidRPr="00BE65C7">
        <w:rPr>
          <w:rFonts w:ascii="Times New Roman" w:hAnsi="Times New Roman" w:cs="Times New Roman"/>
          <w:color w:val="000000" w:themeColor="text1"/>
          <w:sz w:val="24"/>
          <w:szCs w:val="24"/>
        </w:rPr>
        <w:t>negative and significant relationship in both emerging and developed markets</w:t>
      </w:r>
      <w:r w:rsidR="006A4DE4"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 xml:space="preserve"> indicating that institutional investors may induce the firms to reduce </w:t>
      </w:r>
      <w:r w:rsidR="00300679" w:rsidRPr="00BE65C7">
        <w:rPr>
          <w:rFonts w:ascii="Times New Roman" w:hAnsi="Times New Roman" w:cs="Times New Roman"/>
          <w:color w:val="000000" w:themeColor="text1"/>
          <w:sz w:val="24"/>
          <w:szCs w:val="24"/>
        </w:rPr>
        <w:t>cash holdings</w:t>
      </w:r>
      <w:r w:rsidR="003050A4" w:rsidRPr="00BE65C7">
        <w:rPr>
          <w:rFonts w:ascii="Times New Roman" w:hAnsi="Times New Roman" w:cs="Times New Roman"/>
          <w:color w:val="000000" w:themeColor="text1"/>
          <w:sz w:val="24"/>
          <w:szCs w:val="24"/>
        </w:rPr>
        <w:t xml:space="preserve"> (Table 3)</w:t>
      </w:r>
      <w:r w:rsidRPr="00BE65C7">
        <w:rPr>
          <w:rFonts w:ascii="Times New Roman" w:hAnsi="Times New Roman" w:cs="Times New Roman"/>
          <w:color w:val="000000" w:themeColor="text1"/>
          <w:sz w:val="24"/>
          <w:szCs w:val="24"/>
        </w:rPr>
        <w:t xml:space="preserve">. </w:t>
      </w:r>
      <w:r w:rsidR="006A4DE4" w:rsidRPr="00BE65C7">
        <w:rPr>
          <w:rFonts w:ascii="Times New Roman" w:hAnsi="Times New Roman" w:cs="Times New Roman"/>
          <w:color w:val="000000" w:themeColor="text1"/>
          <w:sz w:val="24"/>
          <w:szCs w:val="24"/>
        </w:rPr>
        <w:t>Models 1 and 3 only consider the institutional investment,</w:t>
      </w:r>
      <w:r w:rsidRPr="00BE65C7">
        <w:rPr>
          <w:rFonts w:ascii="Times New Roman" w:hAnsi="Times New Roman" w:cs="Times New Roman"/>
          <w:color w:val="000000" w:themeColor="text1"/>
          <w:sz w:val="24"/>
          <w:szCs w:val="24"/>
        </w:rPr>
        <w:t xml:space="preserve"> and Models 2 and 4 </w:t>
      </w:r>
      <w:r w:rsidR="006A4DE4" w:rsidRPr="00BE65C7">
        <w:rPr>
          <w:rFonts w:ascii="Times New Roman" w:hAnsi="Times New Roman" w:cs="Times New Roman"/>
          <w:color w:val="000000" w:themeColor="text1"/>
          <w:sz w:val="24"/>
          <w:szCs w:val="24"/>
        </w:rPr>
        <w:t xml:space="preserve"> also include</w:t>
      </w:r>
      <w:r w:rsidRPr="00BE65C7">
        <w:rPr>
          <w:rFonts w:ascii="Times New Roman" w:hAnsi="Times New Roman" w:cs="Times New Roman"/>
          <w:color w:val="000000" w:themeColor="text1"/>
          <w:sz w:val="24"/>
          <w:szCs w:val="24"/>
        </w:rPr>
        <w:t xml:space="preserve"> all control variables. </w:t>
      </w:r>
      <w:r w:rsidR="00AB1891" w:rsidRPr="00BE65C7">
        <w:rPr>
          <w:rFonts w:ascii="Times New Roman" w:hAnsi="Times New Roman" w:cs="Times New Roman"/>
          <w:color w:val="000000" w:themeColor="text1"/>
          <w:sz w:val="24"/>
          <w:szCs w:val="24"/>
        </w:rPr>
        <w:t xml:space="preserve">The relationship does not change. The parameters of the control variables largely agree with previous studies (Opler, 1999; </w:t>
      </w:r>
      <w:proofErr w:type="spellStart"/>
      <w:r w:rsidR="00155BAC" w:rsidRPr="00BE65C7">
        <w:rPr>
          <w:rFonts w:ascii="Times New Roman" w:hAnsi="Times New Roman" w:cs="Times New Roman"/>
          <w:color w:val="000000" w:themeColor="text1"/>
          <w:sz w:val="24"/>
          <w:szCs w:val="24"/>
        </w:rPr>
        <w:t>Kalcheva</w:t>
      </w:r>
      <w:proofErr w:type="spellEnd"/>
      <w:r w:rsidR="00155BAC" w:rsidRPr="00BE65C7">
        <w:rPr>
          <w:rFonts w:ascii="Times New Roman" w:hAnsi="Times New Roman" w:cs="Times New Roman"/>
          <w:color w:val="000000" w:themeColor="text1"/>
          <w:sz w:val="24"/>
          <w:szCs w:val="24"/>
        </w:rPr>
        <w:t xml:space="preserve"> and Lins, 2007; </w:t>
      </w:r>
      <w:r w:rsidR="00AB1891" w:rsidRPr="00BE65C7">
        <w:rPr>
          <w:rFonts w:ascii="Times New Roman" w:hAnsi="Times New Roman" w:cs="Times New Roman"/>
          <w:color w:val="000000" w:themeColor="text1"/>
          <w:sz w:val="24"/>
          <w:szCs w:val="24"/>
        </w:rPr>
        <w:t>Bates et al., 2009)</w:t>
      </w:r>
      <w:r w:rsidR="00155BAC" w:rsidRPr="00BE65C7">
        <w:rPr>
          <w:rFonts w:ascii="Times New Roman" w:hAnsi="Times New Roman" w:cs="Times New Roman"/>
          <w:color w:val="000000" w:themeColor="text1"/>
          <w:sz w:val="24"/>
          <w:szCs w:val="24"/>
        </w:rPr>
        <w:t xml:space="preserve">. </w:t>
      </w:r>
      <w:r w:rsidR="003D6133" w:rsidRPr="00BE65C7">
        <w:rPr>
          <w:rFonts w:ascii="Times New Roman" w:hAnsi="Times New Roman" w:cs="Times New Roman"/>
          <w:color w:val="000000" w:themeColor="text1"/>
          <w:sz w:val="24"/>
          <w:szCs w:val="24"/>
        </w:rPr>
        <w:t xml:space="preserve">The Sargan </w:t>
      </w:r>
      <w:r w:rsidR="00CC337B" w:rsidRPr="00BE65C7">
        <w:rPr>
          <w:rFonts w:ascii="Times New Roman" w:hAnsi="Times New Roman" w:cs="Times New Roman"/>
          <w:color w:val="000000" w:themeColor="text1"/>
          <w:sz w:val="24"/>
          <w:szCs w:val="24"/>
        </w:rPr>
        <w:t xml:space="preserve">overidentification </w:t>
      </w:r>
      <w:r w:rsidR="003D6133" w:rsidRPr="00BE65C7">
        <w:rPr>
          <w:rFonts w:ascii="Times New Roman" w:hAnsi="Times New Roman" w:cs="Times New Roman"/>
          <w:color w:val="000000" w:themeColor="text1"/>
          <w:sz w:val="24"/>
          <w:szCs w:val="24"/>
        </w:rPr>
        <w:t xml:space="preserve">test and the </w:t>
      </w:r>
      <w:r w:rsidR="002B4DAB" w:rsidRPr="00BE65C7">
        <w:rPr>
          <w:rFonts w:ascii="Times New Roman" w:hAnsi="Times New Roman" w:cs="Times New Roman"/>
          <w:color w:val="000000" w:themeColor="text1"/>
          <w:sz w:val="24"/>
          <w:szCs w:val="24"/>
        </w:rPr>
        <w:t xml:space="preserve">Arellano-Bond </w:t>
      </w:r>
      <w:r w:rsidR="003D6133" w:rsidRPr="00BE65C7">
        <w:rPr>
          <w:rFonts w:ascii="Times New Roman" w:hAnsi="Times New Roman" w:cs="Times New Roman"/>
          <w:color w:val="000000" w:themeColor="text1"/>
          <w:sz w:val="24"/>
          <w:szCs w:val="24"/>
        </w:rPr>
        <w:t>second</w:t>
      </w:r>
      <w:r w:rsidR="006A4DE4" w:rsidRPr="00BE65C7">
        <w:rPr>
          <w:rFonts w:ascii="Times New Roman" w:hAnsi="Times New Roman" w:cs="Times New Roman"/>
          <w:color w:val="000000" w:themeColor="text1"/>
          <w:sz w:val="24"/>
          <w:szCs w:val="24"/>
        </w:rPr>
        <w:t>-</w:t>
      </w:r>
      <w:r w:rsidR="003D6133" w:rsidRPr="00BE65C7">
        <w:rPr>
          <w:rFonts w:ascii="Times New Roman" w:hAnsi="Times New Roman" w:cs="Times New Roman"/>
          <w:color w:val="000000" w:themeColor="text1"/>
          <w:sz w:val="24"/>
          <w:szCs w:val="24"/>
        </w:rPr>
        <w:t xml:space="preserve">order serial correlation tests </w:t>
      </w:r>
      <w:r w:rsidR="006A4DE4" w:rsidRPr="00BE65C7">
        <w:rPr>
          <w:rFonts w:ascii="Times New Roman" w:hAnsi="Times New Roman" w:cs="Times New Roman"/>
          <w:color w:val="000000" w:themeColor="text1"/>
          <w:sz w:val="24"/>
          <w:szCs w:val="24"/>
        </w:rPr>
        <w:t xml:space="preserve">also suggest </w:t>
      </w:r>
      <w:r w:rsidR="003D6133" w:rsidRPr="00BE65C7">
        <w:rPr>
          <w:rFonts w:ascii="Times New Roman" w:hAnsi="Times New Roman" w:cs="Times New Roman"/>
          <w:color w:val="000000" w:themeColor="text1"/>
          <w:sz w:val="24"/>
          <w:szCs w:val="24"/>
        </w:rPr>
        <w:t>the appropriateness of our models.</w:t>
      </w:r>
      <w:r w:rsidR="00ED2EC7" w:rsidRPr="00BE65C7">
        <w:rPr>
          <w:rFonts w:ascii="Times New Roman" w:hAnsi="Times New Roman" w:cs="Times New Roman"/>
          <w:color w:val="000000" w:themeColor="text1"/>
          <w:sz w:val="24"/>
          <w:szCs w:val="24"/>
        </w:rPr>
        <w:t xml:space="preserve"> </w:t>
      </w:r>
    </w:p>
    <w:p w14:paraId="2ED8B5CA" w14:textId="24E1D0BF" w:rsidR="00C01E16" w:rsidRDefault="00BD25BE" w:rsidP="004D01AD">
      <w:pPr>
        <w:spacing w:line="360" w:lineRule="auto"/>
        <w:jc w:val="center"/>
        <w:rPr>
          <w:rFonts w:ascii="Times New Roman" w:hAnsi="Times New Roman" w:cs="Times New Roman"/>
          <w:color w:val="000000" w:themeColor="text1"/>
          <w:sz w:val="24"/>
          <w:szCs w:val="24"/>
        </w:rPr>
      </w:pPr>
      <w:r w:rsidRPr="00BD25BE">
        <w:rPr>
          <w:rFonts w:ascii="Times New Roman" w:hAnsi="Times New Roman" w:cs="Times New Roman"/>
          <w:i/>
          <w:iCs/>
          <w:color w:val="000000" w:themeColor="text1"/>
          <w:sz w:val="24"/>
          <w:szCs w:val="24"/>
        </w:rPr>
        <w:t xml:space="preserve">Insert Table </w:t>
      </w:r>
      <w:r>
        <w:rPr>
          <w:rFonts w:ascii="Times New Roman" w:hAnsi="Times New Roman" w:cs="Times New Roman"/>
          <w:i/>
          <w:iCs/>
          <w:color w:val="000000" w:themeColor="text1"/>
          <w:sz w:val="24"/>
          <w:szCs w:val="24"/>
        </w:rPr>
        <w:t xml:space="preserve">3 </w:t>
      </w:r>
      <w:r w:rsidRPr="00BD25BE">
        <w:rPr>
          <w:rFonts w:ascii="Times New Roman" w:hAnsi="Times New Roman" w:cs="Times New Roman"/>
          <w:i/>
          <w:iCs/>
          <w:color w:val="000000" w:themeColor="text1"/>
          <w:sz w:val="24"/>
          <w:szCs w:val="24"/>
        </w:rPr>
        <w:t>about here</w:t>
      </w:r>
    </w:p>
    <w:p w14:paraId="435A912C" w14:textId="3FFACF8B" w:rsidR="00D73058" w:rsidRPr="00BD25BE" w:rsidRDefault="00D73058" w:rsidP="002A17D3">
      <w:pPr>
        <w:spacing w:line="360" w:lineRule="auto"/>
        <w:jc w:val="both"/>
        <w:rPr>
          <w:rFonts w:ascii="Times New Roman" w:hAnsi="Times New Roman" w:cs="Times New Roman"/>
          <w:b/>
          <w:bCs/>
          <w:color w:val="000000" w:themeColor="text1"/>
          <w:sz w:val="24"/>
          <w:szCs w:val="24"/>
        </w:rPr>
      </w:pPr>
      <w:r w:rsidRPr="00BD25BE">
        <w:rPr>
          <w:rFonts w:ascii="Times New Roman" w:hAnsi="Times New Roman" w:cs="Times New Roman"/>
          <w:b/>
          <w:bCs/>
          <w:i/>
          <w:iCs/>
          <w:color w:val="000000" w:themeColor="text1"/>
          <w:sz w:val="24"/>
          <w:szCs w:val="24"/>
        </w:rPr>
        <w:t>4.2 Effect of financial constraint and institutional ownership on cash holdings</w:t>
      </w:r>
    </w:p>
    <w:p w14:paraId="1042FFDD" w14:textId="45A94E7E" w:rsidR="002B2355" w:rsidRDefault="007B10A0" w:rsidP="00F70D3C">
      <w:pPr>
        <w:spacing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We </w:t>
      </w:r>
      <w:r w:rsidR="00F72937">
        <w:rPr>
          <w:rFonts w:ascii="Times New Roman" w:hAnsi="Times New Roman" w:cs="Times New Roman"/>
          <w:color w:val="000000" w:themeColor="text1"/>
          <w:sz w:val="24"/>
          <w:szCs w:val="24"/>
        </w:rPr>
        <w:t>study here</w:t>
      </w:r>
      <w:r w:rsidRPr="00BE65C7">
        <w:rPr>
          <w:rFonts w:ascii="Times New Roman" w:hAnsi="Times New Roman" w:cs="Times New Roman"/>
          <w:color w:val="000000" w:themeColor="text1"/>
          <w:sz w:val="24"/>
          <w:szCs w:val="24"/>
        </w:rPr>
        <w:t xml:space="preserve"> the moderating effect of financial constraints on cash holdings for a given level of institutional ownership. It can be argued that institutional ownership may help financially constrained firms to access funds in case of need through increased discipline and improved governance. We use the </w:t>
      </w:r>
      <w:r w:rsidRPr="00BE65C7">
        <w:rPr>
          <w:rFonts w:ascii="Times New Roman" w:hAnsi="Times New Roman" w:cs="Times New Roman"/>
          <w:i/>
          <w:iCs/>
          <w:color w:val="000000" w:themeColor="text1"/>
          <w:sz w:val="24"/>
          <w:szCs w:val="24"/>
        </w:rPr>
        <w:t>SA Index</w:t>
      </w:r>
      <w:r w:rsidRPr="00BE65C7">
        <w:rPr>
          <w:rFonts w:ascii="Times New Roman" w:hAnsi="Times New Roman" w:cs="Times New Roman"/>
          <w:color w:val="000000" w:themeColor="text1"/>
          <w:sz w:val="24"/>
          <w:szCs w:val="24"/>
        </w:rPr>
        <w:t xml:space="preserve"> suggested by Hadlock and Pierce (</w:t>
      </w:r>
      <w:r w:rsidR="004B2262" w:rsidRPr="00BE65C7">
        <w:rPr>
          <w:rFonts w:ascii="Times New Roman" w:hAnsi="Times New Roman" w:cs="Times New Roman"/>
          <w:color w:val="000000" w:themeColor="text1"/>
          <w:sz w:val="24"/>
          <w:szCs w:val="24"/>
        </w:rPr>
        <w:t xml:space="preserve">2010) to measure the financial constraints faced by a firm. This is a composite index estimated using the size and age of the firm. </w:t>
      </w:r>
      <w:r w:rsidR="00667280" w:rsidRPr="00BE65C7">
        <w:rPr>
          <w:rFonts w:ascii="Times New Roman" w:hAnsi="Times New Roman" w:cs="Times New Roman"/>
          <w:color w:val="000000" w:themeColor="text1"/>
          <w:sz w:val="24"/>
          <w:szCs w:val="24"/>
        </w:rPr>
        <w:t>The l</w:t>
      </w:r>
      <w:r w:rsidR="008D560D" w:rsidRPr="00BE65C7">
        <w:rPr>
          <w:rFonts w:ascii="Times New Roman" w:hAnsi="Times New Roman" w:cs="Times New Roman"/>
          <w:color w:val="000000" w:themeColor="text1"/>
          <w:sz w:val="24"/>
          <w:szCs w:val="24"/>
        </w:rPr>
        <w:t xml:space="preserve">ower value of the index indicates </w:t>
      </w:r>
      <w:r w:rsidR="00272DAA" w:rsidRPr="00BE65C7">
        <w:rPr>
          <w:rFonts w:ascii="Times New Roman" w:hAnsi="Times New Roman" w:cs="Times New Roman"/>
          <w:color w:val="000000" w:themeColor="text1"/>
          <w:sz w:val="24"/>
          <w:szCs w:val="24"/>
        </w:rPr>
        <w:t>that the firm is less constrained</w:t>
      </w:r>
      <w:r w:rsidR="00667280" w:rsidRPr="00BE65C7">
        <w:rPr>
          <w:rFonts w:ascii="Times New Roman" w:hAnsi="Times New Roman" w:cs="Times New Roman"/>
          <w:color w:val="000000" w:themeColor="text1"/>
          <w:sz w:val="24"/>
          <w:szCs w:val="24"/>
        </w:rPr>
        <w:t>,</w:t>
      </w:r>
      <w:r w:rsidR="00272DAA" w:rsidRPr="00BE65C7">
        <w:rPr>
          <w:rFonts w:ascii="Times New Roman" w:hAnsi="Times New Roman" w:cs="Times New Roman"/>
          <w:color w:val="000000" w:themeColor="text1"/>
          <w:sz w:val="24"/>
          <w:szCs w:val="24"/>
        </w:rPr>
        <w:t xml:space="preserve"> and higher values indicate firms are financially constrained. In other words, the financial constraints decrease with the SA Index. </w:t>
      </w:r>
      <w:r w:rsidR="00EE7864" w:rsidRPr="00BE65C7">
        <w:rPr>
          <w:rFonts w:ascii="Times New Roman" w:hAnsi="Times New Roman" w:cs="Times New Roman"/>
          <w:color w:val="000000" w:themeColor="text1"/>
          <w:sz w:val="24"/>
          <w:szCs w:val="24"/>
        </w:rPr>
        <w:t xml:space="preserve">We then convert the index into a dummy variable with code 1 for firms with </w:t>
      </w:r>
      <w:r w:rsidR="00667280" w:rsidRPr="00BE65C7">
        <w:rPr>
          <w:rFonts w:ascii="Times New Roman" w:hAnsi="Times New Roman" w:cs="Times New Roman"/>
          <w:color w:val="000000" w:themeColor="text1"/>
          <w:sz w:val="24"/>
          <w:szCs w:val="24"/>
        </w:rPr>
        <w:t xml:space="preserve">an </w:t>
      </w:r>
      <w:r w:rsidR="00EE7864" w:rsidRPr="00BE65C7">
        <w:rPr>
          <w:rFonts w:ascii="Times New Roman" w:hAnsi="Times New Roman" w:cs="Times New Roman"/>
          <w:color w:val="000000" w:themeColor="text1"/>
          <w:sz w:val="24"/>
          <w:szCs w:val="24"/>
        </w:rPr>
        <w:t>index value less than the median (i.e</w:t>
      </w:r>
      <w:r w:rsidR="00667280" w:rsidRPr="00BE65C7">
        <w:rPr>
          <w:rFonts w:ascii="Times New Roman" w:hAnsi="Times New Roman" w:cs="Times New Roman"/>
          <w:color w:val="000000" w:themeColor="text1"/>
          <w:sz w:val="24"/>
          <w:szCs w:val="24"/>
        </w:rPr>
        <w:t>.,</w:t>
      </w:r>
      <w:r w:rsidR="00EE7864" w:rsidRPr="00BE65C7">
        <w:rPr>
          <w:rFonts w:ascii="Times New Roman" w:hAnsi="Times New Roman" w:cs="Times New Roman"/>
          <w:color w:val="000000" w:themeColor="text1"/>
          <w:sz w:val="24"/>
          <w:szCs w:val="24"/>
        </w:rPr>
        <w:t xml:space="preserve"> financially constrained firms) and 0 otherwise.</w:t>
      </w:r>
      <w:r w:rsidR="00033DC7" w:rsidRPr="00BE65C7">
        <w:rPr>
          <w:rFonts w:ascii="Times New Roman" w:hAnsi="Times New Roman" w:cs="Times New Roman"/>
          <w:color w:val="000000" w:themeColor="text1"/>
          <w:sz w:val="24"/>
          <w:szCs w:val="24"/>
        </w:rPr>
        <w:t xml:space="preserve"> </w:t>
      </w:r>
    </w:p>
    <w:p w14:paraId="4E8A048C" w14:textId="6988A448" w:rsidR="00BD25BE" w:rsidRPr="00BD25BE" w:rsidRDefault="00BD25BE" w:rsidP="00BD25BE">
      <w:pPr>
        <w:spacing w:line="360" w:lineRule="auto"/>
        <w:jc w:val="center"/>
        <w:rPr>
          <w:rFonts w:ascii="Times New Roman" w:hAnsi="Times New Roman" w:cs="Times New Roman"/>
          <w:i/>
          <w:iCs/>
          <w:color w:val="000000" w:themeColor="text1"/>
          <w:sz w:val="24"/>
          <w:szCs w:val="24"/>
        </w:rPr>
      </w:pPr>
      <w:r w:rsidRPr="00BD25BE">
        <w:rPr>
          <w:rFonts w:ascii="Times New Roman" w:hAnsi="Times New Roman" w:cs="Times New Roman"/>
          <w:i/>
          <w:iCs/>
          <w:color w:val="000000" w:themeColor="text1"/>
          <w:sz w:val="24"/>
          <w:szCs w:val="24"/>
        </w:rPr>
        <w:t>Insert Table</w:t>
      </w:r>
      <w:r>
        <w:rPr>
          <w:rFonts w:ascii="Times New Roman" w:hAnsi="Times New Roman" w:cs="Times New Roman"/>
          <w:i/>
          <w:iCs/>
          <w:color w:val="000000" w:themeColor="text1"/>
          <w:sz w:val="24"/>
          <w:szCs w:val="24"/>
        </w:rPr>
        <w:t xml:space="preserve"> 4</w:t>
      </w:r>
      <w:r w:rsidRPr="00BD25BE">
        <w:rPr>
          <w:rFonts w:ascii="Times New Roman" w:hAnsi="Times New Roman" w:cs="Times New Roman"/>
          <w:i/>
          <w:iCs/>
          <w:color w:val="000000" w:themeColor="text1"/>
          <w:sz w:val="24"/>
          <w:szCs w:val="24"/>
        </w:rPr>
        <w:t xml:space="preserve"> about here</w:t>
      </w:r>
    </w:p>
    <w:p w14:paraId="59C0A515" w14:textId="77777777" w:rsidR="00BD25BE" w:rsidRPr="00BE65C7" w:rsidRDefault="00BD25BE" w:rsidP="00F70D3C">
      <w:pPr>
        <w:spacing w:line="360" w:lineRule="auto"/>
        <w:jc w:val="both"/>
        <w:rPr>
          <w:rFonts w:ascii="Times New Roman" w:hAnsi="Times New Roman" w:cs="Times New Roman"/>
          <w:color w:val="000000" w:themeColor="text1"/>
          <w:sz w:val="24"/>
          <w:szCs w:val="24"/>
        </w:rPr>
      </w:pPr>
    </w:p>
    <w:p w14:paraId="1EC754E9" w14:textId="6339909A" w:rsidR="002B2355" w:rsidRPr="00BE65C7" w:rsidRDefault="0004282D" w:rsidP="002B2355">
      <w:pPr>
        <w:spacing w:line="360" w:lineRule="auto"/>
        <w:ind w:firstLine="36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The results are reported in Table </w:t>
      </w:r>
      <w:r w:rsidR="00666A61" w:rsidRPr="00BE65C7">
        <w:rPr>
          <w:rFonts w:ascii="Times New Roman" w:hAnsi="Times New Roman" w:cs="Times New Roman"/>
          <w:color w:val="000000" w:themeColor="text1"/>
          <w:sz w:val="24"/>
          <w:szCs w:val="24"/>
        </w:rPr>
        <w:t>4</w:t>
      </w:r>
      <w:r w:rsidRPr="00BE65C7">
        <w:rPr>
          <w:rFonts w:ascii="Times New Roman" w:hAnsi="Times New Roman" w:cs="Times New Roman"/>
          <w:color w:val="000000" w:themeColor="text1"/>
          <w:sz w:val="24"/>
          <w:szCs w:val="24"/>
        </w:rPr>
        <w:t xml:space="preserve">. </w:t>
      </w:r>
      <w:r w:rsidR="00033DC7" w:rsidRPr="00BE65C7">
        <w:rPr>
          <w:rFonts w:ascii="Times New Roman" w:hAnsi="Times New Roman" w:cs="Times New Roman"/>
          <w:color w:val="000000" w:themeColor="text1"/>
          <w:sz w:val="24"/>
          <w:szCs w:val="24"/>
        </w:rPr>
        <w:t>We find that financially constrained firms tend to hold more cash in both emerging and developed countries</w:t>
      </w:r>
      <w:r w:rsidR="00667280" w:rsidRPr="00BE65C7">
        <w:rPr>
          <w:rFonts w:ascii="Times New Roman" w:hAnsi="Times New Roman" w:cs="Times New Roman"/>
          <w:color w:val="000000" w:themeColor="text1"/>
          <w:sz w:val="24"/>
          <w:szCs w:val="24"/>
        </w:rPr>
        <w:t xml:space="preserve">, which is consistent with previous literature </w:t>
      </w:r>
      <w:r w:rsidR="009C7693" w:rsidRPr="00BE65C7">
        <w:rPr>
          <w:rFonts w:ascii="Times New Roman" w:hAnsi="Times New Roman" w:cs="Times New Roman"/>
          <w:color w:val="000000" w:themeColor="text1"/>
          <w:sz w:val="24"/>
          <w:szCs w:val="24"/>
        </w:rPr>
        <w:t xml:space="preserve">(Almeida et al., 2004; </w:t>
      </w:r>
      <w:r w:rsidR="008D1735" w:rsidRPr="00BE65C7">
        <w:rPr>
          <w:rFonts w:ascii="Times New Roman" w:hAnsi="Times New Roman" w:cs="Times New Roman"/>
          <w:color w:val="000000" w:themeColor="text1"/>
          <w:sz w:val="24"/>
          <w:szCs w:val="24"/>
        </w:rPr>
        <w:t xml:space="preserve">Riddick and Whited, 2006). </w:t>
      </w:r>
      <w:r w:rsidR="00470B6A" w:rsidRPr="00BE65C7">
        <w:rPr>
          <w:rFonts w:ascii="Times New Roman" w:hAnsi="Times New Roman" w:cs="Times New Roman"/>
          <w:color w:val="000000" w:themeColor="text1"/>
          <w:sz w:val="24"/>
          <w:szCs w:val="24"/>
        </w:rPr>
        <w:t>However, the interaction terms are contrastingly different in emerging and developed markets.</w:t>
      </w:r>
      <w:r w:rsidR="00634B4D" w:rsidRPr="00BE65C7">
        <w:rPr>
          <w:rFonts w:ascii="Times New Roman" w:hAnsi="Times New Roman" w:cs="Times New Roman"/>
          <w:color w:val="000000" w:themeColor="text1"/>
          <w:sz w:val="24"/>
          <w:szCs w:val="24"/>
        </w:rPr>
        <w:t xml:space="preserve"> The r</w:t>
      </w:r>
      <w:r w:rsidR="00830DAD" w:rsidRPr="00BE65C7">
        <w:rPr>
          <w:rFonts w:ascii="Times New Roman" w:hAnsi="Times New Roman" w:cs="Times New Roman"/>
          <w:color w:val="000000" w:themeColor="text1"/>
          <w:sz w:val="24"/>
          <w:szCs w:val="24"/>
        </w:rPr>
        <w:t>esults</w:t>
      </w:r>
      <w:r w:rsidR="00634B4D" w:rsidRPr="00BE65C7">
        <w:rPr>
          <w:rFonts w:ascii="Times New Roman" w:hAnsi="Times New Roman" w:cs="Times New Roman"/>
          <w:color w:val="000000" w:themeColor="text1"/>
          <w:sz w:val="24"/>
          <w:szCs w:val="24"/>
        </w:rPr>
        <w:t xml:space="preserve"> indicate that</w:t>
      </w:r>
      <w:r w:rsidR="00830DAD" w:rsidRPr="00BE65C7">
        <w:rPr>
          <w:rFonts w:ascii="Times New Roman" w:hAnsi="Times New Roman" w:cs="Times New Roman"/>
          <w:color w:val="000000" w:themeColor="text1"/>
          <w:sz w:val="24"/>
          <w:szCs w:val="24"/>
        </w:rPr>
        <w:t xml:space="preserve"> institutional ownership </w:t>
      </w:r>
      <w:r w:rsidR="00634B4D" w:rsidRPr="00BE65C7">
        <w:rPr>
          <w:rFonts w:ascii="Times New Roman" w:hAnsi="Times New Roman" w:cs="Times New Roman"/>
          <w:color w:val="000000" w:themeColor="text1"/>
          <w:sz w:val="24"/>
          <w:szCs w:val="24"/>
        </w:rPr>
        <w:t>tends</w:t>
      </w:r>
      <w:r w:rsidR="00830DAD" w:rsidRPr="00BE65C7">
        <w:rPr>
          <w:rFonts w:ascii="Times New Roman" w:hAnsi="Times New Roman" w:cs="Times New Roman"/>
          <w:color w:val="000000" w:themeColor="text1"/>
          <w:sz w:val="24"/>
          <w:szCs w:val="24"/>
        </w:rPr>
        <w:t xml:space="preserve"> to induce the firms </w:t>
      </w:r>
      <w:r w:rsidR="00BD0628" w:rsidRPr="00BE65C7">
        <w:rPr>
          <w:rFonts w:ascii="Times New Roman" w:hAnsi="Times New Roman" w:cs="Times New Roman"/>
          <w:color w:val="000000" w:themeColor="text1"/>
          <w:sz w:val="24"/>
          <w:szCs w:val="24"/>
        </w:rPr>
        <w:t xml:space="preserve">to reduce cash holdings even if they are financially constrained. We may argue that in developed markets where raising capital is </w:t>
      </w:r>
      <w:r w:rsidR="00D47314" w:rsidRPr="00BE65C7">
        <w:rPr>
          <w:rFonts w:ascii="Times New Roman" w:hAnsi="Times New Roman" w:cs="Times New Roman"/>
          <w:color w:val="000000" w:themeColor="text1"/>
          <w:sz w:val="24"/>
          <w:szCs w:val="24"/>
        </w:rPr>
        <w:t>easier</w:t>
      </w:r>
      <w:r w:rsidR="00BD0628" w:rsidRPr="00BE65C7">
        <w:rPr>
          <w:rFonts w:ascii="Times New Roman" w:hAnsi="Times New Roman" w:cs="Times New Roman"/>
          <w:color w:val="000000" w:themeColor="text1"/>
          <w:sz w:val="24"/>
          <w:szCs w:val="24"/>
        </w:rPr>
        <w:t xml:space="preserve">, the presence of institutional investors reduces the need by the firms to hold more cash even if the firm is </w:t>
      </w:r>
      <w:r w:rsidR="00D47314">
        <w:rPr>
          <w:rFonts w:ascii="Times New Roman" w:hAnsi="Times New Roman" w:cs="Times New Roman"/>
          <w:color w:val="000000" w:themeColor="text1"/>
          <w:sz w:val="24"/>
          <w:szCs w:val="24"/>
        </w:rPr>
        <w:t xml:space="preserve">financially </w:t>
      </w:r>
      <w:r w:rsidR="00BD0628" w:rsidRPr="00BE65C7">
        <w:rPr>
          <w:rFonts w:ascii="Times New Roman" w:hAnsi="Times New Roman" w:cs="Times New Roman"/>
          <w:color w:val="000000" w:themeColor="text1"/>
          <w:sz w:val="24"/>
          <w:szCs w:val="24"/>
        </w:rPr>
        <w:t xml:space="preserve">constrained. </w:t>
      </w:r>
      <w:r w:rsidR="00667280" w:rsidRPr="00BE65C7">
        <w:rPr>
          <w:rFonts w:ascii="Times New Roman" w:hAnsi="Times New Roman" w:cs="Times New Roman"/>
          <w:color w:val="000000" w:themeColor="text1"/>
          <w:sz w:val="24"/>
          <w:szCs w:val="24"/>
        </w:rPr>
        <w:t>The p</w:t>
      </w:r>
      <w:r w:rsidR="00BD0628" w:rsidRPr="00BE65C7">
        <w:rPr>
          <w:rFonts w:ascii="Times New Roman" w:hAnsi="Times New Roman" w:cs="Times New Roman"/>
          <w:color w:val="000000" w:themeColor="text1"/>
          <w:sz w:val="24"/>
          <w:szCs w:val="24"/>
        </w:rPr>
        <w:t>resence of institutional investors improve</w:t>
      </w:r>
      <w:r w:rsidR="00667280" w:rsidRPr="00BE65C7">
        <w:rPr>
          <w:rFonts w:ascii="Times New Roman" w:hAnsi="Times New Roman" w:cs="Times New Roman"/>
          <w:color w:val="000000" w:themeColor="text1"/>
          <w:sz w:val="24"/>
          <w:szCs w:val="24"/>
        </w:rPr>
        <w:t>s</w:t>
      </w:r>
      <w:r w:rsidR="00BD0628" w:rsidRPr="00BE65C7">
        <w:rPr>
          <w:rFonts w:ascii="Times New Roman" w:hAnsi="Times New Roman" w:cs="Times New Roman"/>
          <w:color w:val="000000" w:themeColor="text1"/>
          <w:sz w:val="24"/>
          <w:szCs w:val="24"/>
        </w:rPr>
        <w:t xml:space="preserve"> the governance of the </w:t>
      </w:r>
      <w:r w:rsidR="003B6759" w:rsidRPr="00BE65C7">
        <w:rPr>
          <w:rFonts w:ascii="Times New Roman" w:hAnsi="Times New Roman" w:cs="Times New Roman"/>
          <w:color w:val="000000" w:themeColor="text1"/>
          <w:sz w:val="24"/>
          <w:szCs w:val="24"/>
        </w:rPr>
        <w:t>firm,</w:t>
      </w:r>
      <w:r w:rsidR="00BD0628" w:rsidRPr="00BE65C7">
        <w:rPr>
          <w:rFonts w:ascii="Times New Roman" w:hAnsi="Times New Roman" w:cs="Times New Roman"/>
          <w:color w:val="000000" w:themeColor="text1"/>
          <w:sz w:val="24"/>
          <w:szCs w:val="24"/>
        </w:rPr>
        <w:t xml:space="preserve"> and the market perceives this as a positive indicator</w:t>
      </w:r>
      <w:r w:rsidR="00667280" w:rsidRPr="00BE65C7">
        <w:rPr>
          <w:rFonts w:ascii="Times New Roman" w:hAnsi="Times New Roman" w:cs="Times New Roman"/>
          <w:color w:val="000000" w:themeColor="text1"/>
          <w:sz w:val="24"/>
          <w:szCs w:val="24"/>
        </w:rPr>
        <w:t>,</w:t>
      </w:r>
      <w:r w:rsidR="00BD0628" w:rsidRPr="00BE65C7">
        <w:rPr>
          <w:rFonts w:ascii="Times New Roman" w:hAnsi="Times New Roman" w:cs="Times New Roman"/>
          <w:color w:val="000000" w:themeColor="text1"/>
          <w:sz w:val="24"/>
          <w:szCs w:val="24"/>
        </w:rPr>
        <w:t xml:space="preserve"> thereby easing the frictions faced by the financially constrained firms to raise capital and consequently reduc</w:t>
      </w:r>
      <w:r w:rsidR="00667280" w:rsidRPr="00BE65C7">
        <w:rPr>
          <w:rFonts w:ascii="Times New Roman" w:hAnsi="Times New Roman" w:cs="Times New Roman"/>
          <w:color w:val="000000" w:themeColor="text1"/>
          <w:sz w:val="24"/>
          <w:szCs w:val="24"/>
        </w:rPr>
        <w:t>ing</w:t>
      </w:r>
      <w:r w:rsidR="00BD0628" w:rsidRPr="00BE65C7">
        <w:rPr>
          <w:rFonts w:ascii="Times New Roman" w:hAnsi="Times New Roman" w:cs="Times New Roman"/>
          <w:color w:val="000000" w:themeColor="text1"/>
          <w:sz w:val="24"/>
          <w:szCs w:val="24"/>
        </w:rPr>
        <w:t xml:space="preserve"> the need to hold more cash.</w:t>
      </w:r>
      <w:r w:rsidR="00667280" w:rsidRPr="00BE65C7">
        <w:rPr>
          <w:rFonts w:ascii="Times New Roman" w:hAnsi="Times New Roman" w:cs="Times New Roman"/>
          <w:color w:val="000000" w:themeColor="text1"/>
          <w:sz w:val="24"/>
          <w:szCs w:val="24"/>
        </w:rPr>
        <w:t xml:space="preserve"> </w:t>
      </w:r>
    </w:p>
    <w:p w14:paraId="13F8DEDE" w14:textId="76D9DB84" w:rsidR="00D73058" w:rsidRDefault="00667280" w:rsidP="00CD282A">
      <w:pPr>
        <w:spacing w:line="360" w:lineRule="auto"/>
        <w:ind w:firstLine="36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T</w:t>
      </w:r>
      <w:r w:rsidR="0004282D" w:rsidRPr="00BE65C7">
        <w:rPr>
          <w:rFonts w:ascii="Times New Roman" w:hAnsi="Times New Roman" w:cs="Times New Roman"/>
          <w:color w:val="000000" w:themeColor="text1"/>
          <w:sz w:val="24"/>
          <w:szCs w:val="24"/>
        </w:rPr>
        <w:t xml:space="preserve">he interaction term </w:t>
      </w:r>
      <w:r w:rsidR="00203FEB" w:rsidRPr="00BE65C7">
        <w:rPr>
          <w:rFonts w:ascii="Times New Roman" w:hAnsi="Times New Roman" w:cs="Times New Roman"/>
          <w:color w:val="000000" w:themeColor="text1"/>
          <w:sz w:val="24"/>
          <w:szCs w:val="24"/>
        </w:rPr>
        <w:t xml:space="preserve">is positive and statistically significant (Models 1 and 2). This indicates that although institutional ownership helps the firms to reduce cash, financial constraints faced by the firms in emerging </w:t>
      </w:r>
      <w:r w:rsidRPr="00BE65C7">
        <w:rPr>
          <w:rFonts w:ascii="Times New Roman" w:hAnsi="Times New Roman" w:cs="Times New Roman"/>
          <w:color w:val="000000" w:themeColor="text1"/>
          <w:sz w:val="24"/>
          <w:szCs w:val="24"/>
        </w:rPr>
        <w:t xml:space="preserve">economies </w:t>
      </w:r>
      <w:r w:rsidR="00203FEB" w:rsidRPr="00BE65C7">
        <w:rPr>
          <w:rFonts w:ascii="Times New Roman" w:hAnsi="Times New Roman" w:cs="Times New Roman"/>
          <w:color w:val="000000" w:themeColor="text1"/>
          <w:sz w:val="24"/>
          <w:szCs w:val="24"/>
        </w:rPr>
        <w:t xml:space="preserve">force them to hold more cash. This may happen because the financial markets in emerging markets are less developed and mature </w:t>
      </w:r>
      <w:r w:rsidRPr="00BE65C7">
        <w:rPr>
          <w:rFonts w:ascii="Times New Roman" w:hAnsi="Times New Roman" w:cs="Times New Roman"/>
          <w:color w:val="000000" w:themeColor="text1"/>
          <w:sz w:val="24"/>
          <w:szCs w:val="24"/>
        </w:rPr>
        <w:t xml:space="preserve">compared to developed ones; the frictions faced by financially constrained firms in emerging countries in raising capital </w:t>
      </w:r>
      <w:r w:rsidR="00755EDE" w:rsidRPr="00BE65C7">
        <w:rPr>
          <w:rFonts w:ascii="Times New Roman" w:hAnsi="Times New Roman" w:cs="Times New Roman"/>
          <w:color w:val="000000" w:themeColor="text1"/>
          <w:sz w:val="24"/>
          <w:szCs w:val="24"/>
        </w:rPr>
        <w:t>do</w:t>
      </w:r>
      <w:r w:rsidRPr="00BE65C7">
        <w:rPr>
          <w:rFonts w:ascii="Times New Roman" w:hAnsi="Times New Roman" w:cs="Times New Roman"/>
          <w:color w:val="000000" w:themeColor="text1"/>
          <w:sz w:val="24"/>
          <w:szCs w:val="24"/>
        </w:rPr>
        <w:t xml:space="preserve"> not immediately reduce with </w:t>
      </w:r>
      <w:r w:rsidR="00755EDE" w:rsidRPr="00BE65C7">
        <w:rPr>
          <w:rFonts w:ascii="Times New Roman" w:hAnsi="Times New Roman" w:cs="Times New Roman"/>
          <w:color w:val="000000" w:themeColor="text1"/>
          <w:sz w:val="24"/>
          <w:szCs w:val="24"/>
        </w:rPr>
        <w:t xml:space="preserve">an </w:t>
      </w:r>
      <w:r w:rsidRPr="00BE65C7">
        <w:rPr>
          <w:rFonts w:ascii="Times New Roman" w:hAnsi="Times New Roman" w:cs="Times New Roman"/>
          <w:color w:val="000000" w:themeColor="text1"/>
          <w:sz w:val="24"/>
          <w:szCs w:val="24"/>
        </w:rPr>
        <w:t>increase in</w:t>
      </w:r>
      <w:r w:rsidR="00203FEB" w:rsidRPr="00BE65C7">
        <w:rPr>
          <w:rFonts w:ascii="Times New Roman" w:hAnsi="Times New Roman" w:cs="Times New Roman"/>
          <w:color w:val="000000" w:themeColor="text1"/>
          <w:sz w:val="24"/>
          <w:szCs w:val="24"/>
        </w:rPr>
        <w:t xml:space="preserve"> institutional ownership. It may take </w:t>
      </w:r>
      <w:r w:rsidRPr="00BE65C7">
        <w:rPr>
          <w:rFonts w:ascii="Times New Roman" w:hAnsi="Times New Roman" w:cs="Times New Roman"/>
          <w:color w:val="000000" w:themeColor="text1"/>
          <w:sz w:val="24"/>
          <w:szCs w:val="24"/>
        </w:rPr>
        <w:t xml:space="preserve">a </w:t>
      </w:r>
      <w:r w:rsidR="00203FEB" w:rsidRPr="00BE65C7">
        <w:rPr>
          <w:rFonts w:ascii="Times New Roman" w:hAnsi="Times New Roman" w:cs="Times New Roman"/>
          <w:color w:val="000000" w:themeColor="text1"/>
          <w:sz w:val="24"/>
          <w:szCs w:val="24"/>
        </w:rPr>
        <w:t>considerable time for the institutional investors to effect improvement of governance</w:t>
      </w:r>
      <w:r w:rsidR="00E243F2" w:rsidRPr="00BE65C7">
        <w:rPr>
          <w:rFonts w:ascii="Times New Roman" w:hAnsi="Times New Roman" w:cs="Times New Roman"/>
          <w:color w:val="000000" w:themeColor="text1"/>
          <w:sz w:val="24"/>
          <w:szCs w:val="24"/>
        </w:rPr>
        <w:t xml:space="preserve"> and financial parameters in the firms in these markets</w:t>
      </w:r>
      <w:r w:rsidRPr="00BE65C7">
        <w:rPr>
          <w:rFonts w:ascii="Times New Roman" w:hAnsi="Times New Roman" w:cs="Times New Roman"/>
          <w:color w:val="000000" w:themeColor="text1"/>
          <w:sz w:val="24"/>
          <w:szCs w:val="24"/>
        </w:rPr>
        <w:t>,</w:t>
      </w:r>
      <w:r w:rsidR="00E243F2" w:rsidRPr="00BE65C7">
        <w:rPr>
          <w:rFonts w:ascii="Times New Roman" w:hAnsi="Times New Roman" w:cs="Times New Roman"/>
          <w:color w:val="000000" w:themeColor="text1"/>
          <w:sz w:val="24"/>
          <w:szCs w:val="24"/>
        </w:rPr>
        <w:t xml:space="preserve"> and as a result</w:t>
      </w:r>
      <w:r w:rsidRPr="00BE65C7">
        <w:rPr>
          <w:rFonts w:ascii="Times New Roman" w:hAnsi="Times New Roman" w:cs="Times New Roman"/>
          <w:color w:val="000000" w:themeColor="text1"/>
          <w:sz w:val="24"/>
          <w:szCs w:val="24"/>
        </w:rPr>
        <w:t>,</w:t>
      </w:r>
      <w:r w:rsidR="00E243F2" w:rsidRPr="00BE65C7">
        <w:rPr>
          <w:rFonts w:ascii="Times New Roman" w:hAnsi="Times New Roman" w:cs="Times New Roman"/>
          <w:color w:val="000000" w:themeColor="text1"/>
          <w:sz w:val="24"/>
          <w:szCs w:val="24"/>
        </w:rPr>
        <w:t xml:space="preserve"> there may not be an immediate decrease in cash holdings in financially constrained firms.</w:t>
      </w:r>
    </w:p>
    <w:p w14:paraId="2909BE97" w14:textId="77777777" w:rsidR="00D47314" w:rsidRDefault="00D47314" w:rsidP="00CD282A">
      <w:pPr>
        <w:spacing w:line="360" w:lineRule="auto"/>
        <w:ind w:firstLine="360"/>
        <w:jc w:val="both"/>
        <w:rPr>
          <w:rFonts w:ascii="Times New Roman" w:hAnsi="Times New Roman" w:cs="Times New Roman"/>
          <w:color w:val="000000" w:themeColor="text1"/>
          <w:sz w:val="24"/>
          <w:szCs w:val="24"/>
        </w:rPr>
      </w:pPr>
    </w:p>
    <w:p w14:paraId="43FAC67F" w14:textId="696266DA" w:rsidR="004530D4" w:rsidRPr="00BD25BE" w:rsidRDefault="004530D4" w:rsidP="00F70D3C">
      <w:pPr>
        <w:pStyle w:val="ListParagraph"/>
        <w:numPr>
          <w:ilvl w:val="1"/>
          <w:numId w:val="5"/>
        </w:numPr>
        <w:spacing w:line="360" w:lineRule="auto"/>
        <w:jc w:val="both"/>
        <w:rPr>
          <w:rFonts w:ascii="Times New Roman" w:hAnsi="Times New Roman" w:cs="Times New Roman"/>
          <w:b/>
          <w:bCs/>
          <w:color w:val="000000" w:themeColor="text1"/>
          <w:sz w:val="24"/>
          <w:szCs w:val="24"/>
        </w:rPr>
      </w:pPr>
      <w:r w:rsidRPr="00BD25BE">
        <w:rPr>
          <w:rFonts w:ascii="Times New Roman" w:hAnsi="Times New Roman" w:cs="Times New Roman"/>
          <w:b/>
          <w:bCs/>
          <w:i/>
          <w:iCs/>
          <w:color w:val="000000" w:themeColor="text1"/>
          <w:sz w:val="24"/>
          <w:szCs w:val="24"/>
        </w:rPr>
        <w:t>Effect of corruption on cash holdings</w:t>
      </w:r>
    </w:p>
    <w:p w14:paraId="164947DC" w14:textId="77777777" w:rsidR="00FB3033" w:rsidRDefault="00B646D7" w:rsidP="004530D4">
      <w:pPr>
        <w:spacing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There has been an increasing debate on the impact of country</w:t>
      </w:r>
      <w:r w:rsidR="00667280"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 xml:space="preserve">level factors on corporate cash holdings. Among those, level of corruption in a country is found to have a significant impact on corporate financial decisions. For instance, Xu and Li (2018) find that firms located in more corrupt regions of China hold less cash to shield them from illegal extraction by corrupt officials. </w:t>
      </w:r>
      <w:r w:rsidR="005C1467" w:rsidRPr="00BE65C7">
        <w:rPr>
          <w:rFonts w:ascii="Times New Roman" w:hAnsi="Times New Roman" w:cs="Times New Roman"/>
          <w:color w:val="000000" w:themeColor="text1"/>
          <w:sz w:val="24"/>
          <w:szCs w:val="24"/>
        </w:rPr>
        <w:t xml:space="preserve">In another study in the context of emerging economies, </w:t>
      </w:r>
      <w:r w:rsidR="003804CA" w:rsidRPr="00BE65C7">
        <w:rPr>
          <w:rFonts w:ascii="Times New Roman" w:hAnsi="Times New Roman" w:cs="Times New Roman"/>
          <w:color w:val="000000" w:themeColor="text1"/>
          <w:sz w:val="24"/>
          <w:szCs w:val="24"/>
        </w:rPr>
        <w:t xml:space="preserve">Thakur and Kannadhasan (2019) </w:t>
      </w:r>
      <w:r w:rsidR="005C1467" w:rsidRPr="00BE65C7">
        <w:rPr>
          <w:rFonts w:ascii="Times New Roman" w:hAnsi="Times New Roman" w:cs="Times New Roman"/>
          <w:color w:val="000000" w:themeColor="text1"/>
          <w:sz w:val="24"/>
          <w:szCs w:val="24"/>
        </w:rPr>
        <w:t xml:space="preserve"> report opposite findings. They find that firms hold more cash with increase</w:t>
      </w:r>
      <w:r w:rsidR="003804CA" w:rsidRPr="00BE65C7">
        <w:rPr>
          <w:rFonts w:ascii="Times New Roman" w:hAnsi="Times New Roman" w:cs="Times New Roman"/>
          <w:color w:val="000000" w:themeColor="text1"/>
          <w:sz w:val="24"/>
          <w:szCs w:val="24"/>
        </w:rPr>
        <w:t>d corruption in a country because they</w:t>
      </w:r>
      <w:r w:rsidR="005C1467" w:rsidRPr="00BE65C7">
        <w:rPr>
          <w:rFonts w:ascii="Times New Roman" w:hAnsi="Times New Roman" w:cs="Times New Roman"/>
          <w:color w:val="000000" w:themeColor="text1"/>
          <w:sz w:val="24"/>
          <w:szCs w:val="24"/>
        </w:rPr>
        <w:t xml:space="preserve"> can benefit from the corrupt environment by trading cash.</w:t>
      </w:r>
      <w:r w:rsidR="003804CA" w:rsidRPr="00BE65C7">
        <w:rPr>
          <w:rFonts w:ascii="Times New Roman" w:hAnsi="Times New Roman" w:cs="Times New Roman"/>
          <w:color w:val="000000" w:themeColor="text1"/>
          <w:sz w:val="24"/>
          <w:szCs w:val="24"/>
        </w:rPr>
        <w:t xml:space="preserve"> </w:t>
      </w:r>
      <w:r w:rsidR="00D36144" w:rsidRPr="00BE65C7">
        <w:rPr>
          <w:rFonts w:ascii="Times New Roman" w:hAnsi="Times New Roman" w:cs="Times New Roman"/>
          <w:color w:val="000000" w:themeColor="text1"/>
          <w:sz w:val="24"/>
          <w:szCs w:val="24"/>
        </w:rPr>
        <w:t xml:space="preserve">Similarly, Rocca et al. (2017) find evidence that the value of firms </w:t>
      </w:r>
      <w:r w:rsidR="000E5178" w:rsidRPr="00BE65C7">
        <w:rPr>
          <w:rFonts w:ascii="Times New Roman" w:hAnsi="Times New Roman" w:cs="Times New Roman"/>
          <w:color w:val="000000" w:themeColor="text1"/>
          <w:sz w:val="24"/>
          <w:szCs w:val="24"/>
        </w:rPr>
        <w:t>decreases</w:t>
      </w:r>
      <w:r w:rsidR="00D36144" w:rsidRPr="00BE65C7">
        <w:rPr>
          <w:rFonts w:ascii="Times New Roman" w:hAnsi="Times New Roman" w:cs="Times New Roman"/>
          <w:color w:val="000000" w:themeColor="text1"/>
          <w:sz w:val="24"/>
          <w:szCs w:val="24"/>
        </w:rPr>
        <w:t xml:space="preserve"> for those firms holding higher cash in </w:t>
      </w:r>
      <w:r w:rsidR="003804CA" w:rsidRPr="00BE65C7">
        <w:rPr>
          <w:rFonts w:ascii="Times New Roman" w:hAnsi="Times New Roman" w:cs="Times New Roman"/>
          <w:color w:val="000000" w:themeColor="text1"/>
          <w:sz w:val="24"/>
          <w:szCs w:val="24"/>
        </w:rPr>
        <w:t xml:space="preserve">a </w:t>
      </w:r>
      <w:r w:rsidR="00D36144" w:rsidRPr="00BE65C7">
        <w:rPr>
          <w:rFonts w:ascii="Times New Roman" w:hAnsi="Times New Roman" w:cs="Times New Roman"/>
          <w:color w:val="000000" w:themeColor="text1"/>
          <w:sz w:val="24"/>
          <w:szCs w:val="24"/>
        </w:rPr>
        <w:t xml:space="preserve">corrupt environment. </w:t>
      </w:r>
    </w:p>
    <w:p w14:paraId="22714784" w14:textId="6F060A6E" w:rsidR="00FB3033" w:rsidRPr="00BD25BE" w:rsidRDefault="00FB3033" w:rsidP="00FB3033">
      <w:pPr>
        <w:spacing w:line="360" w:lineRule="auto"/>
        <w:jc w:val="center"/>
        <w:rPr>
          <w:rFonts w:ascii="Times New Roman" w:hAnsi="Times New Roman" w:cs="Times New Roman"/>
          <w:i/>
          <w:iCs/>
          <w:color w:val="000000" w:themeColor="text1"/>
          <w:sz w:val="24"/>
          <w:szCs w:val="24"/>
        </w:rPr>
      </w:pPr>
      <w:r w:rsidRPr="00BD25BE">
        <w:rPr>
          <w:rFonts w:ascii="Times New Roman" w:hAnsi="Times New Roman" w:cs="Times New Roman"/>
          <w:i/>
          <w:iCs/>
          <w:color w:val="000000" w:themeColor="text1"/>
          <w:sz w:val="24"/>
          <w:szCs w:val="24"/>
        </w:rPr>
        <w:t xml:space="preserve">Insert Table </w:t>
      </w:r>
      <w:r>
        <w:rPr>
          <w:rFonts w:ascii="Times New Roman" w:hAnsi="Times New Roman" w:cs="Times New Roman"/>
          <w:i/>
          <w:iCs/>
          <w:color w:val="000000" w:themeColor="text1"/>
          <w:sz w:val="24"/>
          <w:szCs w:val="24"/>
        </w:rPr>
        <w:t>5</w:t>
      </w:r>
      <w:r w:rsidRPr="00BD25BE">
        <w:rPr>
          <w:rFonts w:ascii="Times New Roman" w:hAnsi="Times New Roman" w:cs="Times New Roman"/>
          <w:i/>
          <w:iCs/>
          <w:color w:val="000000" w:themeColor="text1"/>
          <w:sz w:val="24"/>
          <w:szCs w:val="24"/>
        </w:rPr>
        <w:t xml:space="preserve"> about here</w:t>
      </w:r>
    </w:p>
    <w:p w14:paraId="11FEF211" w14:textId="14567F3E" w:rsidR="001C2494" w:rsidRPr="00BE65C7" w:rsidRDefault="000E5178" w:rsidP="00FB3033">
      <w:pPr>
        <w:spacing w:line="360" w:lineRule="auto"/>
        <w:ind w:firstLine="36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To further investigate the effect of </w:t>
      </w:r>
      <w:r w:rsidR="003804CA" w:rsidRPr="00BE65C7">
        <w:rPr>
          <w:rFonts w:ascii="Times New Roman" w:hAnsi="Times New Roman" w:cs="Times New Roman"/>
          <w:color w:val="000000" w:themeColor="text1"/>
          <w:sz w:val="24"/>
          <w:szCs w:val="24"/>
        </w:rPr>
        <w:t xml:space="preserve">the </w:t>
      </w:r>
      <w:r w:rsidRPr="00BE65C7">
        <w:rPr>
          <w:rFonts w:ascii="Times New Roman" w:hAnsi="Times New Roman" w:cs="Times New Roman"/>
          <w:color w:val="000000" w:themeColor="text1"/>
          <w:sz w:val="24"/>
          <w:szCs w:val="24"/>
        </w:rPr>
        <w:t>level of corruption for financially constrained and unconstrained</w:t>
      </w:r>
      <w:r w:rsidR="003804CA" w:rsidRPr="00BE65C7">
        <w:rPr>
          <w:rFonts w:ascii="Times New Roman" w:hAnsi="Times New Roman" w:cs="Times New Roman"/>
          <w:color w:val="000000" w:themeColor="text1"/>
          <w:sz w:val="24"/>
          <w:szCs w:val="24"/>
        </w:rPr>
        <w:t xml:space="preserve"> firms</w:t>
      </w:r>
      <w:r w:rsidRPr="00BE65C7">
        <w:rPr>
          <w:rFonts w:ascii="Times New Roman" w:hAnsi="Times New Roman" w:cs="Times New Roman"/>
          <w:color w:val="000000" w:themeColor="text1"/>
          <w:sz w:val="24"/>
          <w:szCs w:val="24"/>
        </w:rPr>
        <w:t>, we run a regression.</w:t>
      </w:r>
      <w:r w:rsidR="006139CC" w:rsidRPr="00BE65C7">
        <w:rPr>
          <w:rFonts w:ascii="Times New Roman" w:hAnsi="Times New Roman" w:cs="Times New Roman"/>
          <w:color w:val="000000" w:themeColor="text1"/>
          <w:sz w:val="24"/>
          <w:szCs w:val="24"/>
        </w:rPr>
        <w:t xml:space="preserve"> </w:t>
      </w:r>
      <w:r w:rsidRPr="00BE65C7">
        <w:rPr>
          <w:rFonts w:ascii="Times New Roman" w:hAnsi="Times New Roman" w:cs="Times New Roman"/>
          <w:color w:val="000000" w:themeColor="text1"/>
          <w:sz w:val="24"/>
          <w:szCs w:val="24"/>
        </w:rPr>
        <w:t xml:space="preserve">The results are reported in Table </w:t>
      </w:r>
      <w:r w:rsidR="00666A61" w:rsidRPr="00BE65C7">
        <w:rPr>
          <w:rFonts w:ascii="Times New Roman" w:hAnsi="Times New Roman" w:cs="Times New Roman"/>
          <w:color w:val="000000" w:themeColor="text1"/>
          <w:sz w:val="24"/>
          <w:szCs w:val="24"/>
        </w:rPr>
        <w:t>5</w:t>
      </w:r>
      <w:r w:rsidRPr="00BE65C7">
        <w:rPr>
          <w:rFonts w:ascii="Times New Roman" w:hAnsi="Times New Roman" w:cs="Times New Roman"/>
          <w:color w:val="000000" w:themeColor="text1"/>
          <w:sz w:val="24"/>
          <w:szCs w:val="24"/>
        </w:rPr>
        <w:t xml:space="preserve">. </w:t>
      </w:r>
      <w:r w:rsidR="006139CC" w:rsidRPr="00BE65C7">
        <w:rPr>
          <w:rFonts w:ascii="Times New Roman" w:hAnsi="Times New Roman" w:cs="Times New Roman"/>
          <w:color w:val="000000" w:themeColor="text1"/>
          <w:sz w:val="24"/>
          <w:szCs w:val="24"/>
        </w:rPr>
        <w:t>We find that corruption and cash are positively correlated in both emerging and developed markets</w:t>
      </w:r>
      <w:r w:rsidR="003804CA" w:rsidRPr="00BE65C7">
        <w:rPr>
          <w:rFonts w:ascii="Times New Roman" w:hAnsi="Times New Roman" w:cs="Times New Roman"/>
          <w:color w:val="000000" w:themeColor="text1"/>
          <w:sz w:val="24"/>
          <w:szCs w:val="24"/>
        </w:rPr>
        <w:t>,</w:t>
      </w:r>
      <w:r w:rsidR="006139CC" w:rsidRPr="00BE65C7">
        <w:rPr>
          <w:rFonts w:ascii="Times New Roman" w:hAnsi="Times New Roman" w:cs="Times New Roman"/>
          <w:color w:val="000000" w:themeColor="text1"/>
          <w:sz w:val="24"/>
          <w:szCs w:val="24"/>
        </w:rPr>
        <w:t xml:space="preserve"> which supports the findings of Thakur and Kannadhasan (2019). </w:t>
      </w:r>
      <w:r w:rsidR="00EA7F8E" w:rsidRPr="00BE65C7">
        <w:rPr>
          <w:rFonts w:ascii="Times New Roman" w:hAnsi="Times New Roman" w:cs="Times New Roman"/>
          <w:color w:val="000000" w:themeColor="text1"/>
          <w:sz w:val="24"/>
          <w:szCs w:val="24"/>
        </w:rPr>
        <w:t xml:space="preserve">When we examine the effect of institutional ownership, our findings suggest that firms </w:t>
      </w:r>
      <w:r w:rsidR="009E45E5" w:rsidRPr="00BE65C7">
        <w:rPr>
          <w:rFonts w:ascii="Times New Roman" w:hAnsi="Times New Roman" w:cs="Times New Roman"/>
          <w:color w:val="000000" w:themeColor="text1"/>
          <w:sz w:val="24"/>
          <w:szCs w:val="24"/>
        </w:rPr>
        <w:t>that</w:t>
      </w:r>
      <w:r w:rsidR="00EA7F8E" w:rsidRPr="00BE65C7">
        <w:rPr>
          <w:rFonts w:ascii="Times New Roman" w:hAnsi="Times New Roman" w:cs="Times New Roman"/>
          <w:color w:val="000000" w:themeColor="text1"/>
          <w:sz w:val="24"/>
          <w:szCs w:val="24"/>
        </w:rPr>
        <w:t xml:space="preserve"> are financially constrained tend to hold more cash even if the </w:t>
      </w:r>
      <w:r w:rsidR="009E45E5" w:rsidRPr="00BE65C7">
        <w:rPr>
          <w:rFonts w:ascii="Times New Roman" w:hAnsi="Times New Roman" w:cs="Times New Roman"/>
          <w:color w:val="000000" w:themeColor="text1"/>
          <w:sz w:val="24"/>
          <w:szCs w:val="24"/>
        </w:rPr>
        <w:t xml:space="preserve">institutional </w:t>
      </w:r>
      <w:r w:rsidR="00EA7F8E" w:rsidRPr="00BE65C7">
        <w:rPr>
          <w:rFonts w:ascii="Times New Roman" w:hAnsi="Times New Roman" w:cs="Times New Roman"/>
          <w:color w:val="000000" w:themeColor="text1"/>
          <w:sz w:val="24"/>
          <w:szCs w:val="24"/>
        </w:rPr>
        <w:t>ownership increases. The results are similar in both emerging and developed countries</w:t>
      </w:r>
      <w:r w:rsidR="003804CA" w:rsidRPr="00BE65C7">
        <w:rPr>
          <w:rFonts w:ascii="Times New Roman" w:hAnsi="Times New Roman" w:cs="Times New Roman"/>
          <w:color w:val="000000" w:themeColor="text1"/>
          <w:sz w:val="24"/>
          <w:szCs w:val="24"/>
        </w:rPr>
        <w:t>,</w:t>
      </w:r>
      <w:r w:rsidR="00EA7F8E" w:rsidRPr="00BE65C7">
        <w:rPr>
          <w:rFonts w:ascii="Times New Roman" w:hAnsi="Times New Roman" w:cs="Times New Roman"/>
          <w:color w:val="000000" w:themeColor="text1"/>
          <w:sz w:val="24"/>
          <w:szCs w:val="24"/>
        </w:rPr>
        <w:t xml:space="preserve"> but the </w:t>
      </w:r>
      <w:r w:rsidR="00644055" w:rsidRPr="00BE65C7">
        <w:rPr>
          <w:rFonts w:ascii="Times New Roman" w:hAnsi="Times New Roman" w:cs="Times New Roman"/>
          <w:color w:val="000000" w:themeColor="text1"/>
          <w:sz w:val="24"/>
          <w:szCs w:val="24"/>
        </w:rPr>
        <w:t xml:space="preserve">extent of cash holdings in developed countries is </w:t>
      </w:r>
      <w:r w:rsidR="003804CA" w:rsidRPr="00BE65C7">
        <w:rPr>
          <w:rFonts w:ascii="Times New Roman" w:hAnsi="Times New Roman" w:cs="Times New Roman"/>
          <w:color w:val="000000" w:themeColor="text1"/>
          <w:sz w:val="24"/>
          <w:szCs w:val="24"/>
        </w:rPr>
        <w:t>less than</w:t>
      </w:r>
      <w:r w:rsidR="00644055" w:rsidRPr="00BE65C7">
        <w:rPr>
          <w:rFonts w:ascii="Times New Roman" w:hAnsi="Times New Roman" w:cs="Times New Roman"/>
          <w:color w:val="000000" w:themeColor="text1"/>
          <w:sz w:val="24"/>
          <w:szCs w:val="24"/>
        </w:rPr>
        <w:t xml:space="preserve"> in emerging markets. </w:t>
      </w:r>
    </w:p>
    <w:p w14:paraId="6F6567A6" w14:textId="77777777" w:rsidR="00425131" w:rsidRPr="00BE65C7" w:rsidRDefault="00425131" w:rsidP="004530D4">
      <w:pPr>
        <w:spacing w:line="360" w:lineRule="auto"/>
        <w:jc w:val="both"/>
        <w:rPr>
          <w:rFonts w:ascii="Times New Roman" w:hAnsi="Times New Roman" w:cs="Times New Roman"/>
          <w:color w:val="000000" w:themeColor="text1"/>
          <w:sz w:val="24"/>
          <w:szCs w:val="24"/>
        </w:rPr>
      </w:pPr>
    </w:p>
    <w:p w14:paraId="33585DE0" w14:textId="0C6FCC30" w:rsidR="001C2494" w:rsidRPr="00BD25BE" w:rsidRDefault="001C2494" w:rsidP="00F70D3C">
      <w:pPr>
        <w:pStyle w:val="ListParagraph"/>
        <w:numPr>
          <w:ilvl w:val="1"/>
          <w:numId w:val="5"/>
        </w:numPr>
        <w:spacing w:line="360" w:lineRule="auto"/>
        <w:jc w:val="both"/>
        <w:rPr>
          <w:rFonts w:ascii="Times New Roman" w:hAnsi="Times New Roman" w:cs="Times New Roman"/>
          <w:b/>
          <w:bCs/>
          <w:color w:val="000000" w:themeColor="text1"/>
          <w:sz w:val="24"/>
          <w:szCs w:val="24"/>
        </w:rPr>
      </w:pPr>
      <w:r w:rsidRPr="00BD25BE">
        <w:rPr>
          <w:rFonts w:ascii="Times New Roman" w:hAnsi="Times New Roman" w:cs="Times New Roman"/>
          <w:b/>
          <w:bCs/>
          <w:i/>
          <w:iCs/>
          <w:color w:val="000000" w:themeColor="text1"/>
          <w:sz w:val="24"/>
          <w:szCs w:val="24"/>
        </w:rPr>
        <w:t>Cash holdings in Common law and Civil law countries</w:t>
      </w:r>
    </w:p>
    <w:p w14:paraId="7039B7CC" w14:textId="77777777" w:rsidR="00BD25BE" w:rsidRDefault="00453D0E" w:rsidP="00574DA7">
      <w:pPr>
        <w:spacing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lang w:val="it-IT"/>
        </w:rPr>
        <w:t xml:space="preserve">In their paper, La Porta et al. </w:t>
      </w:r>
      <w:r w:rsidRPr="00BE65C7">
        <w:rPr>
          <w:rFonts w:ascii="Times New Roman" w:hAnsi="Times New Roman" w:cs="Times New Roman"/>
          <w:color w:val="000000" w:themeColor="text1"/>
          <w:sz w:val="24"/>
          <w:szCs w:val="24"/>
        </w:rPr>
        <w:t xml:space="preserve">(1987) study the legal determinants of external finance. They study the extent of development in countries having common law and civil law systems. </w:t>
      </w:r>
      <w:r w:rsidR="001B2320" w:rsidRPr="00BE65C7">
        <w:rPr>
          <w:color w:val="000000" w:themeColor="text1"/>
        </w:rPr>
        <w:t>"</w:t>
      </w:r>
      <w:r w:rsidR="001B2320" w:rsidRPr="00BE65C7">
        <w:rPr>
          <w:rFonts w:ascii="Times New Roman" w:hAnsi="Times New Roman" w:cs="Times New Roman"/>
          <w:i/>
          <w:iCs/>
          <w:color w:val="000000" w:themeColor="text1"/>
          <w:sz w:val="24"/>
          <w:szCs w:val="24"/>
        </w:rPr>
        <w:t>Common law is the body of law that is derived from judicial decisions of courts rather than statutes. Common law influences decision-making in cases where the outcome cannot be determined based on written laws or statutes. A common law court looks to past precedential decisions to apply the principles of those cases to the current case.</w:t>
      </w:r>
      <w:r w:rsidR="001B2320" w:rsidRPr="00BE65C7">
        <w:rPr>
          <w:rFonts w:ascii="Times New Roman" w:hAnsi="Times New Roman" w:cs="Times New Roman"/>
          <w:i/>
          <w:iCs/>
          <w:color w:val="000000" w:themeColor="text1"/>
        </w:rPr>
        <w:t xml:space="preserve"> </w:t>
      </w:r>
      <w:r w:rsidR="001B2320" w:rsidRPr="00BE65C7">
        <w:rPr>
          <w:rFonts w:ascii="Times New Roman" w:eastAsia="Times New Roman" w:hAnsi="Times New Roman" w:cs="Times New Roman"/>
          <w:i/>
          <w:iCs/>
          <w:color w:val="000000" w:themeColor="text1"/>
          <w:sz w:val="24"/>
          <w:szCs w:val="24"/>
          <w:lang w:eastAsia="en-IN"/>
        </w:rPr>
        <w:t>In contrast to common law is civil law, which is a codified set of legal statutes and laws created by legislatures. In civil law, judicial authorities use the civil code to evaluate cases and reach decisions</w:t>
      </w:r>
      <w:r w:rsidR="001B2320" w:rsidRPr="00BE65C7">
        <w:rPr>
          <w:rFonts w:ascii="Times New Roman" w:hAnsi="Times New Roman" w:cs="Times New Roman"/>
          <w:color w:val="000000" w:themeColor="text1"/>
        </w:rPr>
        <w:t>"</w:t>
      </w:r>
      <w:r w:rsidR="001B2320" w:rsidRPr="00BE65C7">
        <w:rPr>
          <w:rStyle w:val="FootnoteReference"/>
          <w:rFonts w:ascii="Times New Roman" w:hAnsi="Times New Roman" w:cs="Times New Roman"/>
          <w:color w:val="000000" w:themeColor="text1"/>
        </w:rPr>
        <w:footnoteReference w:id="5"/>
      </w:r>
      <w:r w:rsidR="001B2320" w:rsidRPr="00BE65C7">
        <w:rPr>
          <w:rFonts w:ascii="Times New Roman" w:eastAsia="Times New Roman" w:hAnsi="Times New Roman" w:cs="Times New Roman"/>
          <w:color w:val="000000" w:themeColor="text1"/>
          <w:sz w:val="24"/>
          <w:szCs w:val="24"/>
          <w:lang w:eastAsia="en-IN"/>
        </w:rPr>
        <w:t>.</w:t>
      </w:r>
      <w:r w:rsidR="001B2320" w:rsidRPr="00BE65C7">
        <w:rPr>
          <w:rFonts w:ascii="Times New Roman" w:hAnsi="Times New Roman" w:cs="Times New Roman"/>
          <w:color w:val="000000" w:themeColor="text1"/>
          <w:sz w:val="24"/>
          <w:szCs w:val="24"/>
        </w:rPr>
        <w:t xml:space="preserve"> La Porta et al. (1987) </w:t>
      </w:r>
      <w:r w:rsidRPr="00BE65C7">
        <w:rPr>
          <w:rFonts w:ascii="Times New Roman" w:hAnsi="Times New Roman" w:cs="Times New Roman"/>
          <w:color w:val="000000" w:themeColor="text1"/>
          <w:sz w:val="24"/>
          <w:szCs w:val="24"/>
        </w:rPr>
        <w:t>find that countries with civil law system</w:t>
      </w:r>
      <w:r w:rsidR="003804CA" w:rsidRPr="00BE65C7">
        <w:rPr>
          <w:rFonts w:ascii="Times New Roman" w:hAnsi="Times New Roman" w:cs="Times New Roman"/>
          <w:color w:val="000000" w:themeColor="text1"/>
          <w:sz w:val="24"/>
          <w:szCs w:val="24"/>
        </w:rPr>
        <w:t>s, on average, have the weakest investor protection compared to those in common law countries, and firms in civil law countries find it difficult to access capital</w:t>
      </w:r>
      <w:r w:rsidR="002868D5" w:rsidRPr="00BE65C7">
        <w:rPr>
          <w:rFonts w:ascii="Times New Roman" w:hAnsi="Times New Roman" w:cs="Times New Roman"/>
          <w:color w:val="000000" w:themeColor="text1"/>
          <w:sz w:val="24"/>
          <w:szCs w:val="24"/>
        </w:rPr>
        <w:t xml:space="preserve"> for raising capital. </w:t>
      </w:r>
      <w:r w:rsidR="00CE6970" w:rsidRPr="00BE65C7">
        <w:rPr>
          <w:rFonts w:ascii="Times New Roman" w:hAnsi="Times New Roman" w:cs="Times New Roman"/>
          <w:color w:val="000000" w:themeColor="text1"/>
          <w:sz w:val="24"/>
          <w:szCs w:val="24"/>
        </w:rPr>
        <w:t xml:space="preserve">In the context of </w:t>
      </w:r>
      <w:r w:rsidR="003804CA" w:rsidRPr="00BE65C7">
        <w:rPr>
          <w:rFonts w:ascii="Times New Roman" w:hAnsi="Times New Roman" w:cs="Times New Roman"/>
          <w:color w:val="000000" w:themeColor="text1"/>
          <w:sz w:val="24"/>
          <w:szCs w:val="24"/>
        </w:rPr>
        <w:t xml:space="preserve">the </w:t>
      </w:r>
      <w:r w:rsidR="00CE6970" w:rsidRPr="00BE65C7">
        <w:rPr>
          <w:rFonts w:ascii="Times New Roman" w:hAnsi="Times New Roman" w:cs="Times New Roman"/>
          <w:color w:val="000000" w:themeColor="text1"/>
          <w:sz w:val="24"/>
          <w:szCs w:val="24"/>
        </w:rPr>
        <w:t xml:space="preserve">emerging market, Buchanan and English II (2007) find that firms in civil law countries earn higher stock returns </w:t>
      </w:r>
      <w:r w:rsidR="003804CA" w:rsidRPr="00BE65C7">
        <w:rPr>
          <w:rFonts w:ascii="Times New Roman" w:hAnsi="Times New Roman" w:cs="Times New Roman"/>
          <w:color w:val="000000" w:themeColor="text1"/>
          <w:sz w:val="24"/>
          <w:szCs w:val="24"/>
        </w:rPr>
        <w:t>than</w:t>
      </w:r>
      <w:r w:rsidR="00CE6970" w:rsidRPr="00BE65C7">
        <w:rPr>
          <w:rFonts w:ascii="Times New Roman" w:hAnsi="Times New Roman" w:cs="Times New Roman"/>
          <w:color w:val="000000" w:themeColor="text1"/>
          <w:sz w:val="24"/>
          <w:szCs w:val="24"/>
        </w:rPr>
        <w:t xml:space="preserve"> firms in common law countries. </w:t>
      </w:r>
    </w:p>
    <w:p w14:paraId="011E3E58" w14:textId="4257451B" w:rsidR="00FB3033" w:rsidRPr="00BD25BE" w:rsidRDefault="00FB3033" w:rsidP="00FB3033">
      <w:pPr>
        <w:spacing w:line="360" w:lineRule="auto"/>
        <w:jc w:val="center"/>
        <w:rPr>
          <w:rFonts w:ascii="Times New Roman" w:hAnsi="Times New Roman" w:cs="Times New Roman"/>
          <w:i/>
          <w:iCs/>
          <w:color w:val="000000" w:themeColor="text1"/>
          <w:sz w:val="24"/>
          <w:szCs w:val="24"/>
        </w:rPr>
      </w:pPr>
      <w:r w:rsidRPr="00BD25BE">
        <w:rPr>
          <w:rFonts w:ascii="Times New Roman" w:hAnsi="Times New Roman" w:cs="Times New Roman"/>
          <w:i/>
          <w:iCs/>
          <w:color w:val="000000" w:themeColor="text1"/>
          <w:sz w:val="24"/>
          <w:szCs w:val="24"/>
        </w:rPr>
        <w:t xml:space="preserve">Insert Table </w:t>
      </w:r>
      <w:r>
        <w:rPr>
          <w:rFonts w:ascii="Times New Roman" w:hAnsi="Times New Roman" w:cs="Times New Roman"/>
          <w:i/>
          <w:iCs/>
          <w:color w:val="000000" w:themeColor="text1"/>
          <w:sz w:val="24"/>
          <w:szCs w:val="24"/>
        </w:rPr>
        <w:t>6</w:t>
      </w:r>
      <w:r w:rsidRPr="00BD25BE">
        <w:rPr>
          <w:rFonts w:ascii="Times New Roman" w:hAnsi="Times New Roman" w:cs="Times New Roman"/>
          <w:i/>
          <w:iCs/>
          <w:color w:val="000000" w:themeColor="text1"/>
          <w:sz w:val="24"/>
          <w:szCs w:val="24"/>
        </w:rPr>
        <w:t xml:space="preserve"> about here</w:t>
      </w:r>
    </w:p>
    <w:p w14:paraId="6A9C16A9" w14:textId="77777777" w:rsidR="00FB3033" w:rsidRDefault="00FB3033" w:rsidP="00574DA7">
      <w:pPr>
        <w:spacing w:line="360" w:lineRule="auto"/>
        <w:jc w:val="both"/>
        <w:rPr>
          <w:rFonts w:ascii="Times New Roman" w:hAnsi="Times New Roman" w:cs="Times New Roman"/>
          <w:color w:val="000000" w:themeColor="text1"/>
          <w:sz w:val="24"/>
          <w:szCs w:val="24"/>
        </w:rPr>
      </w:pPr>
    </w:p>
    <w:p w14:paraId="4E7D1D8D" w14:textId="6428FF61" w:rsidR="00786B56" w:rsidRPr="00E661FD" w:rsidRDefault="009D4802" w:rsidP="009D4802">
      <w:pPr>
        <w:spacing w:line="360" w:lineRule="auto"/>
        <w:ind w:firstLine="720"/>
        <w:jc w:val="both"/>
        <w:rPr>
          <w:rFonts w:ascii="Times New Roman" w:hAnsi="Times New Roman" w:cs="Times New Roman"/>
          <w:color w:val="00B050"/>
          <w:sz w:val="24"/>
          <w:szCs w:val="24"/>
        </w:rPr>
      </w:pPr>
      <w:r w:rsidRPr="009D4802">
        <w:rPr>
          <w:rFonts w:ascii="Times New Roman" w:hAnsi="Times New Roman" w:cs="Times New Roman"/>
          <w:color w:val="000000" w:themeColor="text1"/>
          <w:sz w:val="24"/>
          <w:szCs w:val="24"/>
        </w:rPr>
        <w:t>We attribute these findings to the risk premium that firms must generate to attract investors. Consequently, we examine cash holdings for firms across common and civil law countries. For this analysis, we divide our sample within both emerging and developed markets, categorizing each country as either a common or civil law jurisdiction, with common law countries coded as one and civil law countries as zero. The results are presented in Table 6.</w:t>
      </w:r>
      <w:r>
        <w:rPr>
          <w:rFonts w:ascii="Times New Roman" w:hAnsi="Times New Roman" w:cs="Times New Roman"/>
          <w:color w:val="000000" w:themeColor="text1"/>
          <w:sz w:val="24"/>
          <w:szCs w:val="24"/>
        </w:rPr>
        <w:t xml:space="preserve"> </w:t>
      </w:r>
      <w:r w:rsidRPr="00582A7F">
        <w:rPr>
          <w:rFonts w:ascii="Times New Roman" w:hAnsi="Times New Roman" w:cs="Times New Roman"/>
          <w:color w:val="0070C0"/>
          <w:sz w:val="24"/>
          <w:szCs w:val="24"/>
        </w:rPr>
        <w:t>Our findings show that firms in common law countries (both developed and emerging) hold less cash compared to those in civil law countries. Specifically, firms in developed common law countries hold significantly less cash (0.025 - 0.0037 = 0.0213) than those in emerging common law countries (0.068 - 0.015 = 0.053). Even when institutional ownership is included as an interaction term, firms in common law countries continue to hold lower cash reserves. This supports LaPorta et al. (1987)’s argument that common law countries offer stronger investor protection and governance structures, reducing the need for firms in these countries to maintain high cash holdings compared to their counterparts in civil law countries.</w:t>
      </w:r>
    </w:p>
    <w:p w14:paraId="5A311E2D" w14:textId="28B047B6" w:rsidR="00F72937" w:rsidRPr="00FB3033" w:rsidRDefault="00463301" w:rsidP="00FB3033">
      <w:pPr>
        <w:pStyle w:val="ListParagraph"/>
        <w:numPr>
          <w:ilvl w:val="1"/>
          <w:numId w:val="5"/>
        </w:numPr>
        <w:spacing w:line="360"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 xml:space="preserve">Robustness: </w:t>
      </w:r>
      <w:r w:rsidR="00FB3033">
        <w:rPr>
          <w:rFonts w:ascii="Times New Roman" w:hAnsi="Times New Roman" w:cs="Times New Roman"/>
          <w:b/>
          <w:bCs/>
          <w:i/>
          <w:iCs/>
          <w:color w:val="000000" w:themeColor="text1"/>
          <w:sz w:val="24"/>
          <w:szCs w:val="24"/>
        </w:rPr>
        <w:t>Impact heterogeneity</w:t>
      </w:r>
    </w:p>
    <w:p w14:paraId="305CEA8F" w14:textId="1A845D80" w:rsidR="00FB3033" w:rsidRPr="00463301" w:rsidRDefault="00463301" w:rsidP="0046330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 far, we have produced mean-based estimates from dynamic panel regressions under various conditions. The estimates could be interpreted at the mean. In other words, the estimate represent ‘average effects’ of the explanatory variables on the outcome variable.</w:t>
      </w:r>
    </w:p>
    <w:p w14:paraId="435F290D" w14:textId="6AB4ACFA" w:rsidR="00FB3033" w:rsidRPr="00FB3033" w:rsidRDefault="00FB3033" w:rsidP="00FB3033">
      <w:pPr>
        <w:pStyle w:val="ListParagraph"/>
        <w:spacing w:line="360" w:lineRule="auto"/>
        <w:ind w:left="360"/>
        <w:jc w:val="center"/>
        <w:rPr>
          <w:rFonts w:ascii="Times New Roman" w:hAnsi="Times New Roman" w:cs="Times New Roman"/>
          <w:i/>
          <w:iCs/>
          <w:color w:val="000000" w:themeColor="text1"/>
          <w:sz w:val="24"/>
          <w:szCs w:val="24"/>
        </w:rPr>
      </w:pPr>
      <w:r w:rsidRPr="00FB3033">
        <w:rPr>
          <w:rFonts w:ascii="Times New Roman" w:hAnsi="Times New Roman" w:cs="Times New Roman"/>
          <w:i/>
          <w:iCs/>
          <w:color w:val="000000" w:themeColor="text1"/>
          <w:sz w:val="24"/>
          <w:szCs w:val="24"/>
        </w:rPr>
        <w:t xml:space="preserve">Insert Table </w:t>
      </w:r>
      <w:r>
        <w:rPr>
          <w:rFonts w:ascii="Times New Roman" w:hAnsi="Times New Roman" w:cs="Times New Roman"/>
          <w:i/>
          <w:iCs/>
          <w:color w:val="000000" w:themeColor="text1"/>
          <w:sz w:val="24"/>
          <w:szCs w:val="24"/>
        </w:rPr>
        <w:t>7</w:t>
      </w:r>
      <w:r w:rsidRPr="00FB3033">
        <w:rPr>
          <w:rFonts w:ascii="Times New Roman" w:hAnsi="Times New Roman" w:cs="Times New Roman"/>
          <w:i/>
          <w:iCs/>
          <w:color w:val="000000" w:themeColor="text1"/>
          <w:sz w:val="24"/>
          <w:szCs w:val="24"/>
        </w:rPr>
        <w:t xml:space="preserve"> about here</w:t>
      </w:r>
    </w:p>
    <w:p w14:paraId="14CCCA44" w14:textId="29DE965F" w:rsidR="009D6695" w:rsidRDefault="009D6695" w:rsidP="009D6695">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In Table 2 (emerging and developed economics in Panel A and Panel B) present large differences between the minimum and the maximum. In case of emerging economies, for instance, for the variable Cash, the minimum is 0.105, whereas the maximum is 0.341. Likewise, for developed countries, the minimum is 0.004 and the maximum is 0.51 with a median value for Cash is 0.085. The latter is significantly different from the mean value of 0.133.  This difference between the mean and the median as well as between the minimum and maximum (not only for Cash, but also for other variables) motivates us to ask if the effects of cash in the previous period and the institutional ownership exert uniform (average effects) on </w:t>
      </w:r>
      <w:r w:rsidR="004D01AD">
        <w:rPr>
          <w:rFonts w:ascii="Times New Roman" w:hAnsi="Times New Roman" w:cs="Times New Roman"/>
          <w:color w:val="000000" w:themeColor="text1"/>
          <w:sz w:val="24"/>
          <w:szCs w:val="24"/>
          <w:lang w:val="en-US"/>
        </w:rPr>
        <w:t>the current value of c</w:t>
      </w:r>
      <w:r>
        <w:rPr>
          <w:rFonts w:ascii="Times New Roman" w:hAnsi="Times New Roman" w:cs="Times New Roman"/>
          <w:color w:val="000000" w:themeColor="text1"/>
          <w:sz w:val="24"/>
          <w:szCs w:val="24"/>
          <w:lang w:val="en-US"/>
        </w:rPr>
        <w:t xml:space="preserve">ash holding or the impact magnitudes are heterogeneous at various points of the distribution of cash holding. Evidence of heterogeneous impacts would indeed be more policy relevant, as we map out how a change in institutional ownership, for instance, triggers variable responses to cash holding at the low, median, and upper quantile of the distribution. </w:t>
      </w:r>
    </w:p>
    <w:p w14:paraId="0F7850AC" w14:textId="6E82C1DF" w:rsidR="009D6695" w:rsidRPr="00BE65C7" w:rsidRDefault="004D01AD" w:rsidP="009D6695">
      <w:pPr>
        <w:spacing w:after="0"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In Table 7, we present</w:t>
      </w:r>
      <w:r w:rsidR="009D6695">
        <w:rPr>
          <w:rFonts w:ascii="Times New Roman" w:hAnsi="Times New Roman" w:cs="Times New Roman"/>
          <w:color w:val="000000" w:themeColor="text1"/>
          <w:sz w:val="24"/>
          <w:szCs w:val="24"/>
          <w:lang w:val="en-US"/>
        </w:rPr>
        <w:t xml:space="preserve"> unconditional quantile regression estimates of the baseline regression. It is apparent that the median estimates for the lagged effects of cash and institutional ownership variables are substantially different from the mean-based estimates in Tables 3 and others. It is interesting to note that the estimates we obtain at the higher quantile (75</w:t>
      </w:r>
      <w:r w:rsidR="009D6695" w:rsidRPr="009D6695">
        <w:rPr>
          <w:rFonts w:ascii="Times New Roman" w:hAnsi="Times New Roman" w:cs="Times New Roman"/>
          <w:color w:val="000000" w:themeColor="text1"/>
          <w:sz w:val="24"/>
          <w:szCs w:val="24"/>
          <w:vertAlign w:val="superscript"/>
          <w:lang w:val="en-US"/>
        </w:rPr>
        <w:t>th</w:t>
      </w:r>
      <w:r w:rsidR="009D6695">
        <w:rPr>
          <w:rFonts w:ascii="Times New Roman" w:hAnsi="Times New Roman" w:cs="Times New Roman"/>
          <w:color w:val="000000" w:themeColor="text1"/>
          <w:sz w:val="24"/>
          <w:szCs w:val="24"/>
          <w:lang w:val="en-US"/>
        </w:rPr>
        <w:t xml:space="preserve"> quantile) are closer to the mean-based estimates from dynamic panel regression, which means that these estimates are biased upwards and do not fully capture the effects at the lower quantile of the distribution of the dependent variable, Cash. Indeed, both the lower and median quantile estimates are far smaller than the obtained mean-based regression estimates. However, the generality of the implications of our regression remains robust (that financial constrained firms tend to hold more cash). The impact magnitudes differ across the distribution though.</w:t>
      </w:r>
    </w:p>
    <w:p w14:paraId="1B4C6FC8" w14:textId="77777777" w:rsidR="00FB3033" w:rsidRPr="00FB3033" w:rsidRDefault="00FB3033" w:rsidP="00FB3033">
      <w:pPr>
        <w:spacing w:line="360" w:lineRule="auto"/>
        <w:jc w:val="both"/>
        <w:rPr>
          <w:rFonts w:ascii="Times New Roman" w:hAnsi="Times New Roman" w:cs="Times New Roman"/>
          <w:color w:val="000000" w:themeColor="text1"/>
          <w:sz w:val="24"/>
          <w:szCs w:val="24"/>
        </w:rPr>
      </w:pPr>
    </w:p>
    <w:p w14:paraId="479540E9" w14:textId="6C63D340" w:rsidR="00F74532" w:rsidRPr="002C7BF8" w:rsidRDefault="002C7BF8" w:rsidP="002C7BF8">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5. </w:t>
      </w:r>
      <w:r w:rsidR="00F74532" w:rsidRPr="002C7BF8">
        <w:rPr>
          <w:rFonts w:ascii="Times New Roman" w:hAnsi="Times New Roman" w:cs="Times New Roman"/>
          <w:b/>
          <w:bCs/>
          <w:color w:val="000000" w:themeColor="text1"/>
          <w:sz w:val="24"/>
          <w:szCs w:val="24"/>
          <w:lang w:val="en-US"/>
        </w:rPr>
        <w:t>Conclu</w:t>
      </w:r>
      <w:r w:rsidR="00574DA7" w:rsidRPr="002C7BF8">
        <w:rPr>
          <w:rFonts w:ascii="Times New Roman" w:hAnsi="Times New Roman" w:cs="Times New Roman"/>
          <w:b/>
          <w:bCs/>
          <w:color w:val="000000" w:themeColor="text1"/>
          <w:sz w:val="24"/>
          <w:szCs w:val="24"/>
          <w:lang w:val="en-US"/>
        </w:rPr>
        <w:t>ding remarks and managerial implications</w:t>
      </w:r>
    </w:p>
    <w:p w14:paraId="3A3121A7" w14:textId="5D3A9BFC" w:rsidR="00574DA7" w:rsidRPr="00574DA7" w:rsidRDefault="00574DA7" w:rsidP="008F2AF4">
      <w:pPr>
        <w:spacing w:line="360" w:lineRule="auto"/>
        <w:jc w:val="both"/>
        <w:rPr>
          <w:rFonts w:ascii="Times New Roman" w:hAnsi="Times New Roman" w:cs="Times New Roman"/>
          <w:b/>
          <w:bCs/>
          <w:color w:val="000000" w:themeColor="text1"/>
          <w:sz w:val="24"/>
          <w:szCs w:val="24"/>
          <w:lang w:val="en-US"/>
        </w:rPr>
      </w:pPr>
      <w:r w:rsidRPr="00574DA7">
        <w:rPr>
          <w:rFonts w:ascii="Times New Roman" w:hAnsi="Times New Roman" w:cs="Times New Roman"/>
          <w:b/>
          <w:bCs/>
          <w:color w:val="000000" w:themeColor="text1"/>
          <w:sz w:val="24"/>
          <w:szCs w:val="24"/>
          <w:lang w:val="en-US"/>
        </w:rPr>
        <w:t>5.1 Conclusion</w:t>
      </w:r>
      <w:r>
        <w:rPr>
          <w:rFonts w:ascii="Times New Roman" w:hAnsi="Times New Roman" w:cs="Times New Roman"/>
          <w:b/>
          <w:bCs/>
          <w:color w:val="000000" w:themeColor="text1"/>
          <w:sz w:val="24"/>
          <w:szCs w:val="24"/>
          <w:lang w:val="en-US"/>
        </w:rPr>
        <w:t>s</w:t>
      </w:r>
    </w:p>
    <w:p w14:paraId="4F6DA636" w14:textId="3CC5FC18" w:rsidR="008F2AF4" w:rsidRPr="00BE65C7" w:rsidRDefault="00475F5D" w:rsidP="008F2AF4">
      <w:pPr>
        <w:spacing w:line="360" w:lineRule="auto"/>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In this paper, we study the role of institutional ownership on corporate cash holdings. Using a wide sample from both emerging and developed markets, we find that institutional investors help to reduce the cash holdings in both emerging and developed countries. We provide new evidence that the cash holdings pattern changes when we consider financial constraints, corruption at the country level</w:t>
      </w:r>
      <w:r w:rsidR="003804CA" w:rsidRPr="00BE65C7">
        <w:rPr>
          <w:rFonts w:ascii="Times New Roman" w:hAnsi="Times New Roman" w:cs="Times New Roman"/>
          <w:color w:val="000000" w:themeColor="text1"/>
          <w:sz w:val="24"/>
          <w:szCs w:val="24"/>
          <w:lang w:val="en-US"/>
        </w:rPr>
        <w:t>,</w:t>
      </w:r>
      <w:r w:rsidRPr="00BE65C7">
        <w:rPr>
          <w:rFonts w:ascii="Times New Roman" w:hAnsi="Times New Roman" w:cs="Times New Roman"/>
          <w:color w:val="000000" w:themeColor="text1"/>
          <w:sz w:val="24"/>
          <w:szCs w:val="24"/>
          <w:lang w:val="en-US"/>
        </w:rPr>
        <w:t xml:space="preserve"> and the legal regimes. </w:t>
      </w:r>
      <w:r w:rsidR="00304B02" w:rsidRPr="00BE65C7">
        <w:rPr>
          <w:rFonts w:ascii="Times New Roman" w:hAnsi="Times New Roman" w:cs="Times New Roman"/>
          <w:color w:val="000000" w:themeColor="text1"/>
          <w:sz w:val="24"/>
          <w:szCs w:val="24"/>
          <w:lang w:val="en-US"/>
        </w:rPr>
        <w:t xml:space="preserve">The level of corruption significantly affects cash holdings decisions by firms. Institutional ownership plays a marginal role in reducing cash for financially constrained firms. Further, if a firm operates in a corrupt environment, it tends to hold more cash, and this is common across firms in both emerging and developed countries. We also provide new findings that legal system of a country affects cash holdings decision and firms in common law countries, which are characterized by better investor protection, hold less cash.  </w:t>
      </w:r>
    </w:p>
    <w:p w14:paraId="6CAFA437" w14:textId="7D6D17E5" w:rsidR="00F70D3C" w:rsidRPr="00574DA7" w:rsidRDefault="00574DA7" w:rsidP="00574DA7">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5.2 </w:t>
      </w:r>
      <w:r w:rsidRPr="00574DA7">
        <w:rPr>
          <w:rFonts w:ascii="Times New Roman" w:hAnsi="Times New Roman" w:cs="Times New Roman"/>
          <w:b/>
          <w:bCs/>
          <w:color w:val="000000" w:themeColor="text1"/>
          <w:sz w:val="24"/>
          <w:szCs w:val="24"/>
          <w:lang w:val="en-US"/>
        </w:rPr>
        <w:t>Managerial</w:t>
      </w:r>
      <w:r w:rsidR="00F70D3C" w:rsidRPr="00574DA7">
        <w:rPr>
          <w:rFonts w:ascii="Times New Roman" w:hAnsi="Times New Roman" w:cs="Times New Roman"/>
          <w:b/>
          <w:bCs/>
          <w:color w:val="000000" w:themeColor="text1"/>
          <w:sz w:val="24"/>
          <w:szCs w:val="24"/>
          <w:lang w:val="en-US"/>
        </w:rPr>
        <w:t xml:space="preserve"> Implications</w:t>
      </w:r>
    </w:p>
    <w:p w14:paraId="126D2AC2" w14:textId="4B83B84B" w:rsidR="007158AB" w:rsidRPr="00582A7F" w:rsidRDefault="0011189B" w:rsidP="007158AB">
      <w:pPr>
        <w:spacing w:line="360" w:lineRule="auto"/>
        <w:jc w:val="both"/>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 xml:space="preserve">The findings of this paper can be used by managers of a firm to re-look at the way to manage cash holdings. </w:t>
      </w:r>
      <w:r w:rsidR="0037442E" w:rsidRPr="00BE65C7">
        <w:rPr>
          <w:rFonts w:ascii="Times New Roman" w:hAnsi="Times New Roman" w:cs="Times New Roman"/>
          <w:color w:val="000000" w:themeColor="text1"/>
          <w:sz w:val="24"/>
          <w:szCs w:val="24"/>
          <w:lang w:val="en-US"/>
        </w:rPr>
        <w:t xml:space="preserve">Due to increased internationalization and globalization of businesses, it is important that mangers recognize the roles played by the country-level variables that can affect their decision making. </w:t>
      </w:r>
      <w:r w:rsidR="007158AB" w:rsidRPr="00582A7F">
        <w:rPr>
          <w:rFonts w:ascii="Times New Roman" w:hAnsi="Times New Roman" w:cs="Times New Roman"/>
          <w:color w:val="000000" w:themeColor="text1"/>
          <w:sz w:val="24"/>
          <w:szCs w:val="24"/>
          <w:lang w:val="en-US"/>
        </w:rPr>
        <w:t xml:space="preserve">In a globalized business landscape, it is crucial for managers to recognize the impact of country-specific variables on financial decisions. We highlight two </w:t>
      </w:r>
      <w:proofErr w:type="gramStart"/>
      <w:r w:rsidR="007158AB" w:rsidRPr="00582A7F">
        <w:rPr>
          <w:rFonts w:ascii="Times New Roman" w:hAnsi="Times New Roman" w:cs="Times New Roman"/>
          <w:color w:val="000000" w:themeColor="text1"/>
          <w:sz w:val="24"/>
          <w:szCs w:val="24"/>
          <w:lang w:val="en-US"/>
        </w:rPr>
        <w:t>key</w:t>
      </w:r>
      <w:proofErr w:type="gramEnd"/>
      <w:r w:rsidR="007158AB" w:rsidRPr="00582A7F">
        <w:rPr>
          <w:rFonts w:ascii="Times New Roman" w:hAnsi="Times New Roman" w:cs="Times New Roman"/>
          <w:color w:val="000000" w:themeColor="text1"/>
          <w:sz w:val="24"/>
          <w:szCs w:val="24"/>
          <w:lang w:val="en-US"/>
        </w:rPr>
        <w:t xml:space="preserve"> but underexplored country level factors - the level of corruption and the legal framework within a country. Our study reveals that institutional investors have a limited impact on cash management in developed common law countries, even if corruption levels are high, which contrasts with their role in emerging common law economies. This has several important implications for managers – (i) Before expanding into new countries, managers can use these findings to assess the local institutional environment, especially corruption levels and legal protections. This evaluation can help them decide on appropriate levels of cash reserves to mitigate potential risks. (ii) The study underscores the importance of institutional investors, especially in emerging markets, in moderating financial resource management. Managers in such regions may benefit from actively engaging with institutional investors to align cash management practices with br</w:t>
      </w:r>
      <w:r w:rsidR="00BD4A18" w:rsidRPr="00582A7F">
        <w:rPr>
          <w:rFonts w:ascii="Times New Roman" w:hAnsi="Times New Roman" w:cs="Times New Roman"/>
          <w:color w:val="000000" w:themeColor="text1"/>
          <w:sz w:val="24"/>
          <w:szCs w:val="24"/>
          <w:lang w:val="en-US"/>
        </w:rPr>
        <w:t xml:space="preserve">oader financial stability goals and finally </w:t>
      </w:r>
      <w:r w:rsidR="007158AB" w:rsidRPr="00582A7F">
        <w:rPr>
          <w:rFonts w:ascii="Times New Roman" w:hAnsi="Times New Roman" w:cs="Times New Roman"/>
          <w:color w:val="000000" w:themeColor="text1"/>
          <w:sz w:val="24"/>
          <w:szCs w:val="24"/>
          <w:lang w:val="en-US"/>
        </w:rPr>
        <w:t xml:space="preserve">(iii) </w:t>
      </w:r>
      <w:r w:rsidR="00BD4A18" w:rsidRPr="00582A7F">
        <w:rPr>
          <w:rFonts w:ascii="Times New Roman" w:hAnsi="Times New Roman" w:cs="Times New Roman"/>
          <w:color w:val="000000" w:themeColor="text1"/>
          <w:sz w:val="24"/>
          <w:szCs w:val="24"/>
          <w:lang w:val="en-US"/>
        </w:rPr>
        <w:t>b</w:t>
      </w:r>
      <w:r w:rsidR="007158AB" w:rsidRPr="00582A7F">
        <w:rPr>
          <w:rFonts w:ascii="Times New Roman" w:hAnsi="Times New Roman" w:cs="Times New Roman"/>
          <w:color w:val="000000" w:themeColor="text1"/>
          <w:sz w:val="24"/>
          <w:szCs w:val="24"/>
          <w:lang w:val="en-US"/>
        </w:rPr>
        <w:t>y understanding how corruption and legal frameworks affect cash holdings, managers can implement targeted risk mitigation strategies. For instance, in high-corruption countries, maintaining higher liquidity may provide a buffer against potential instability</w:t>
      </w:r>
      <w:r w:rsidR="00BD4A18" w:rsidRPr="00582A7F">
        <w:rPr>
          <w:rFonts w:ascii="Times New Roman" w:hAnsi="Times New Roman" w:cs="Times New Roman"/>
          <w:color w:val="000000" w:themeColor="text1"/>
          <w:sz w:val="24"/>
          <w:szCs w:val="24"/>
          <w:lang w:val="en-US"/>
        </w:rPr>
        <w:t>.</w:t>
      </w:r>
    </w:p>
    <w:p w14:paraId="3075FCCD"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0A775945"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7BA37757"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2F3EE6E2"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52AC07C5"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07A8F8FC"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1E02C289"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029BD51D"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0C2EBB24"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6C690BBF"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21F678D8"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3F8D3939"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01EF912C"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2C9DCEEC"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56CB7332"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71C5614A" w14:textId="77777777" w:rsidR="007158AB" w:rsidRDefault="007158AB" w:rsidP="008F2AF4">
      <w:pPr>
        <w:spacing w:line="360" w:lineRule="auto"/>
        <w:jc w:val="both"/>
        <w:rPr>
          <w:rFonts w:ascii="Times New Roman" w:hAnsi="Times New Roman" w:cs="Times New Roman"/>
          <w:b/>
          <w:bCs/>
          <w:color w:val="000000" w:themeColor="text1"/>
          <w:sz w:val="24"/>
          <w:szCs w:val="24"/>
          <w:lang w:val="en-US"/>
        </w:rPr>
      </w:pPr>
    </w:p>
    <w:p w14:paraId="306E5A65" w14:textId="2BB8E2C1" w:rsidR="008F2AF4" w:rsidRPr="00BE65C7" w:rsidRDefault="00425131" w:rsidP="008F2AF4">
      <w:pPr>
        <w:spacing w:line="360" w:lineRule="auto"/>
        <w:jc w:val="both"/>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R</w:t>
      </w:r>
      <w:r w:rsidR="008F2AF4" w:rsidRPr="00BE65C7">
        <w:rPr>
          <w:rFonts w:ascii="Times New Roman" w:hAnsi="Times New Roman" w:cs="Times New Roman"/>
          <w:b/>
          <w:bCs/>
          <w:color w:val="000000" w:themeColor="text1"/>
          <w:sz w:val="24"/>
          <w:szCs w:val="24"/>
          <w:lang w:val="en-US"/>
        </w:rPr>
        <w:t>eferences</w:t>
      </w:r>
    </w:p>
    <w:p w14:paraId="02FC2190"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Aggarwal, R., Klapper, L., and Wysocki, P.D., 2005. Portfolio preferences of foreign institutional investors. </w:t>
      </w:r>
      <w:r w:rsidRPr="00BE65C7">
        <w:rPr>
          <w:rFonts w:ascii="Times New Roman" w:hAnsi="Times New Roman" w:cs="Times New Roman"/>
          <w:i/>
          <w:iCs/>
          <w:color w:val="000000" w:themeColor="text1"/>
          <w:sz w:val="24"/>
          <w:szCs w:val="24"/>
        </w:rPr>
        <w:t>Journal of Banking and Finance</w:t>
      </w:r>
      <w:r w:rsidRPr="00BE65C7">
        <w:rPr>
          <w:rFonts w:ascii="Times New Roman" w:hAnsi="Times New Roman" w:cs="Times New Roman"/>
          <w:color w:val="000000" w:themeColor="text1"/>
          <w:sz w:val="24"/>
          <w:szCs w:val="24"/>
        </w:rPr>
        <w:t>, 29, 2919-2946.</w:t>
      </w:r>
    </w:p>
    <w:p w14:paraId="1DA03C66"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Aggarwal, R., Erel, I., Ferreira, M., and Matos, P., 2011. Does governance travel around the world? Evidence from institutional investors. </w:t>
      </w:r>
      <w:r w:rsidRPr="00BE65C7">
        <w:rPr>
          <w:rFonts w:ascii="Times New Roman" w:hAnsi="Times New Roman" w:cs="Times New Roman"/>
          <w:i/>
          <w:iCs/>
          <w:color w:val="000000" w:themeColor="text1"/>
          <w:sz w:val="24"/>
          <w:szCs w:val="24"/>
        </w:rPr>
        <w:t>Journal of Financial Economics</w:t>
      </w:r>
      <w:r w:rsidRPr="00BE65C7">
        <w:rPr>
          <w:rFonts w:ascii="Times New Roman" w:hAnsi="Times New Roman" w:cs="Times New Roman"/>
          <w:color w:val="000000" w:themeColor="text1"/>
          <w:sz w:val="24"/>
          <w:szCs w:val="24"/>
        </w:rPr>
        <w:t>, 100, 154-181.</w:t>
      </w:r>
    </w:p>
    <w:p w14:paraId="2739D98B" w14:textId="77777777" w:rsidR="00F52831"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Almeida, H., </w:t>
      </w:r>
      <w:proofErr w:type="spellStart"/>
      <w:r w:rsidRPr="00BE65C7">
        <w:rPr>
          <w:rFonts w:ascii="Times New Roman" w:hAnsi="Times New Roman" w:cs="Times New Roman"/>
          <w:color w:val="000000" w:themeColor="text1"/>
          <w:sz w:val="24"/>
          <w:szCs w:val="24"/>
        </w:rPr>
        <w:t>Campello</w:t>
      </w:r>
      <w:proofErr w:type="spellEnd"/>
      <w:r w:rsidRPr="00BE65C7">
        <w:rPr>
          <w:rFonts w:ascii="Times New Roman" w:hAnsi="Times New Roman" w:cs="Times New Roman"/>
          <w:color w:val="000000" w:themeColor="text1"/>
          <w:sz w:val="24"/>
          <w:szCs w:val="24"/>
        </w:rPr>
        <w:t xml:space="preserve">, M., and Weisbach, M.S., 2004. The cash flow sensitivity of cash. </w:t>
      </w:r>
      <w:r w:rsidRPr="00BE65C7">
        <w:rPr>
          <w:rFonts w:ascii="Times New Roman" w:hAnsi="Times New Roman" w:cs="Times New Roman"/>
          <w:i/>
          <w:iCs/>
          <w:color w:val="000000" w:themeColor="text1"/>
          <w:sz w:val="24"/>
          <w:szCs w:val="24"/>
        </w:rPr>
        <w:t>Journal of Finance</w:t>
      </w:r>
      <w:r w:rsidRPr="00BE65C7">
        <w:rPr>
          <w:rFonts w:ascii="Times New Roman" w:hAnsi="Times New Roman" w:cs="Times New Roman"/>
          <w:color w:val="000000" w:themeColor="text1"/>
          <w:sz w:val="24"/>
          <w:szCs w:val="24"/>
        </w:rPr>
        <w:t>, 59, 1777 – 1804.</w:t>
      </w:r>
    </w:p>
    <w:p w14:paraId="715B74B9"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Ameer, R., 2007. Time-varying cosy of capital in Southeast Asian countries. </w:t>
      </w:r>
      <w:r w:rsidRPr="00BE65C7">
        <w:rPr>
          <w:rFonts w:ascii="Times New Roman" w:hAnsi="Times New Roman" w:cs="Times New Roman"/>
          <w:i/>
          <w:iCs/>
          <w:color w:val="000000" w:themeColor="text1"/>
          <w:sz w:val="24"/>
          <w:szCs w:val="24"/>
        </w:rPr>
        <w:t>Asian Economic Journal,</w:t>
      </w:r>
      <w:r w:rsidRPr="00BE65C7">
        <w:rPr>
          <w:rFonts w:ascii="Times New Roman" w:hAnsi="Times New Roman" w:cs="Times New Roman"/>
          <w:color w:val="000000" w:themeColor="text1"/>
          <w:sz w:val="24"/>
          <w:szCs w:val="24"/>
        </w:rPr>
        <w:t xml:space="preserve"> 21, 207-237.</w:t>
      </w:r>
    </w:p>
    <w:p w14:paraId="5C99C522"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Ameer, R., 2010. The role of institutional investors in the inventory and cash management practices of firms in Asia. </w:t>
      </w:r>
      <w:r w:rsidRPr="00BE65C7">
        <w:rPr>
          <w:rFonts w:ascii="Times New Roman" w:hAnsi="Times New Roman" w:cs="Times New Roman"/>
          <w:i/>
          <w:iCs/>
          <w:color w:val="000000" w:themeColor="text1"/>
          <w:sz w:val="24"/>
          <w:szCs w:val="24"/>
        </w:rPr>
        <w:t>Journal of Multinational Financial Management</w:t>
      </w:r>
      <w:r w:rsidRPr="00BE65C7">
        <w:rPr>
          <w:rFonts w:ascii="Times New Roman" w:hAnsi="Times New Roman" w:cs="Times New Roman"/>
          <w:color w:val="000000" w:themeColor="text1"/>
          <w:sz w:val="24"/>
          <w:szCs w:val="24"/>
        </w:rPr>
        <w:t>, 20, 126-143.</w:t>
      </w:r>
    </w:p>
    <w:p w14:paraId="122C80CC" w14:textId="77777777" w:rsidR="00F52831"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Arellano, M., and Bond, S., 1991. Some tests of specification for panel data: Monte Carlo evidence and an application to employment equations, </w:t>
      </w:r>
      <w:r w:rsidRPr="00BE65C7">
        <w:rPr>
          <w:rFonts w:ascii="Times New Roman" w:hAnsi="Times New Roman" w:cs="Times New Roman"/>
          <w:i/>
          <w:iCs/>
          <w:color w:val="000000" w:themeColor="text1"/>
          <w:sz w:val="24"/>
          <w:szCs w:val="24"/>
        </w:rPr>
        <w:t>Review of Economic Studies</w:t>
      </w:r>
      <w:r w:rsidRPr="00BE65C7">
        <w:rPr>
          <w:rFonts w:ascii="Times New Roman" w:hAnsi="Times New Roman" w:cs="Times New Roman"/>
          <w:color w:val="000000" w:themeColor="text1"/>
          <w:sz w:val="24"/>
          <w:szCs w:val="24"/>
        </w:rPr>
        <w:t>, 58(2), 277-297.</w:t>
      </w:r>
    </w:p>
    <w:p w14:paraId="3CC1F513" w14:textId="1F7D2C28" w:rsidR="005C2B6B" w:rsidRPr="005C2B6B" w:rsidRDefault="005C2B6B" w:rsidP="005C2B6B">
      <w:pPr>
        <w:pStyle w:val="Heading2"/>
        <w:rPr>
          <w:b w:val="0"/>
          <w:bCs w:val="0"/>
          <w:color w:val="000000" w:themeColor="text1"/>
          <w:sz w:val="24"/>
          <w:szCs w:val="24"/>
        </w:rPr>
      </w:pPr>
      <w:r>
        <w:rPr>
          <w:b w:val="0"/>
          <w:bCs w:val="0"/>
          <w:color w:val="000000" w:themeColor="text1"/>
          <w:sz w:val="24"/>
          <w:szCs w:val="24"/>
        </w:rPr>
        <w:t xml:space="preserve">Ataullah, A., H. Le, and G. Wood,. </w:t>
      </w:r>
      <w:hyperlink r:id="rId8" w:history="1">
        <w:r w:rsidRPr="005C2B6B">
          <w:rPr>
            <w:rStyle w:val="singlehighlightclass"/>
            <w:b w:val="0"/>
            <w:bCs w:val="0"/>
            <w:color w:val="000000" w:themeColor="text1"/>
            <w:sz w:val="24"/>
            <w:szCs w:val="24"/>
          </w:rPr>
          <w:t>Institutional</w:t>
        </w:r>
        <w:r w:rsidRPr="005C2B6B">
          <w:rPr>
            <w:rStyle w:val="Hyperlink"/>
            <w:b w:val="0"/>
            <w:bCs w:val="0"/>
            <w:color w:val="000000" w:themeColor="text1"/>
            <w:sz w:val="24"/>
            <w:szCs w:val="24"/>
            <w:u w:val="none"/>
          </w:rPr>
          <w:t xml:space="preserve"> </w:t>
        </w:r>
        <w:r w:rsidRPr="005C2B6B">
          <w:rPr>
            <w:rStyle w:val="singlehighlightclass"/>
            <w:b w:val="0"/>
            <w:bCs w:val="0"/>
            <w:color w:val="000000" w:themeColor="text1"/>
            <w:sz w:val="24"/>
            <w:szCs w:val="24"/>
          </w:rPr>
          <w:t>Investor</w:t>
        </w:r>
        <w:r w:rsidRPr="005C2B6B">
          <w:rPr>
            <w:rStyle w:val="Hyperlink"/>
            <w:b w:val="0"/>
            <w:bCs w:val="0"/>
            <w:color w:val="000000" w:themeColor="text1"/>
            <w:sz w:val="24"/>
            <w:szCs w:val="24"/>
            <w:u w:val="none"/>
          </w:rPr>
          <w:t xml:space="preserve"> Heterogeneity and Corporate Response to the Covid-19 Pandemic</w:t>
        </w:r>
      </w:hyperlink>
      <w:r>
        <w:rPr>
          <w:rStyle w:val="Hyperlink"/>
          <w:b w:val="0"/>
          <w:bCs w:val="0"/>
          <w:color w:val="000000" w:themeColor="text1"/>
          <w:sz w:val="24"/>
          <w:szCs w:val="24"/>
          <w:u w:val="none"/>
        </w:rPr>
        <w:t xml:space="preserve">. </w:t>
      </w:r>
      <w:r w:rsidRPr="005C2B6B">
        <w:rPr>
          <w:rStyle w:val="Hyperlink"/>
          <w:b w:val="0"/>
          <w:bCs w:val="0"/>
          <w:i/>
          <w:iCs/>
          <w:color w:val="000000" w:themeColor="text1"/>
          <w:sz w:val="24"/>
          <w:szCs w:val="24"/>
          <w:u w:val="none"/>
        </w:rPr>
        <w:t>British Journal of Management</w:t>
      </w:r>
      <w:r>
        <w:rPr>
          <w:rStyle w:val="Hyperlink"/>
          <w:b w:val="0"/>
          <w:bCs w:val="0"/>
          <w:color w:val="000000" w:themeColor="text1"/>
          <w:sz w:val="24"/>
          <w:szCs w:val="24"/>
          <w:u w:val="none"/>
        </w:rPr>
        <w:t>, 2022, Vol. 33, Issue, 2. 634-656.</w:t>
      </w:r>
    </w:p>
    <w:p w14:paraId="5055C49C" w14:textId="00824EBE" w:rsidR="00F52831" w:rsidRPr="00BE65C7" w:rsidRDefault="00F52831" w:rsidP="00F52831">
      <w:pPr>
        <w:pStyle w:val="Heading1"/>
        <w:shd w:val="clear" w:color="auto" w:fill="FFFFFF"/>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Bates, T.W., Kahle, K.M., and Stulz, R., 2009. Why Do U.S. Firms Hold So Much More Cash than They Used To?. </w:t>
      </w:r>
      <w:r w:rsidRPr="00BE65C7">
        <w:rPr>
          <w:rFonts w:ascii="Times New Roman" w:hAnsi="Times New Roman" w:cs="Times New Roman"/>
          <w:i/>
          <w:iCs/>
          <w:color w:val="000000" w:themeColor="text1"/>
          <w:sz w:val="24"/>
          <w:szCs w:val="24"/>
        </w:rPr>
        <w:t xml:space="preserve"> Journal of Finance</w:t>
      </w:r>
      <w:r w:rsidRPr="00BE65C7">
        <w:rPr>
          <w:rFonts w:ascii="Times New Roman" w:hAnsi="Times New Roman" w:cs="Times New Roman"/>
          <w:color w:val="000000" w:themeColor="text1"/>
          <w:sz w:val="24"/>
          <w:szCs w:val="24"/>
        </w:rPr>
        <w:t>, 64(5), 1985-2021.</w:t>
      </w:r>
    </w:p>
    <w:p w14:paraId="22137C6F" w14:textId="77777777" w:rsidR="004A4F69" w:rsidRPr="00BE65C7" w:rsidRDefault="004A4F69" w:rsidP="004A4F69">
      <w:pPr>
        <w:rPr>
          <w:color w:val="000000" w:themeColor="text1"/>
        </w:rPr>
      </w:pPr>
    </w:p>
    <w:p w14:paraId="05647ED9"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Bekaert, G., and Harvey, C.R., 2000. Foreign speculators and emerging markets. </w:t>
      </w:r>
      <w:r w:rsidRPr="00BE65C7">
        <w:rPr>
          <w:rFonts w:ascii="Times New Roman" w:hAnsi="Times New Roman" w:cs="Times New Roman"/>
          <w:i/>
          <w:iCs/>
          <w:color w:val="000000" w:themeColor="text1"/>
          <w:sz w:val="24"/>
          <w:szCs w:val="24"/>
        </w:rPr>
        <w:t>The Journal of Finance</w:t>
      </w:r>
      <w:r w:rsidRPr="00BE65C7">
        <w:rPr>
          <w:rFonts w:ascii="Times New Roman" w:hAnsi="Times New Roman" w:cs="Times New Roman"/>
          <w:color w:val="000000" w:themeColor="text1"/>
          <w:sz w:val="24"/>
          <w:szCs w:val="24"/>
        </w:rPr>
        <w:t>, 55, 565-613.</w:t>
      </w:r>
    </w:p>
    <w:p w14:paraId="7B630D11"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Bekaert, G., and </w:t>
      </w:r>
      <w:proofErr w:type="spellStart"/>
      <w:r w:rsidRPr="00BE65C7">
        <w:rPr>
          <w:rFonts w:ascii="Times New Roman" w:hAnsi="Times New Roman" w:cs="Times New Roman"/>
          <w:color w:val="000000" w:themeColor="text1"/>
          <w:sz w:val="24"/>
          <w:szCs w:val="24"/>
        </w:rPr>
        <w:t>Lundlbad</w:t>
      </w:r>
      <w:proofErr w:type="spellEnd"/>
      <w:r w:rsidRPr="00BE65C7">
        <w:rPr>
          <w:rFonts w:ascii="Times New Roman" w:hAnsi="Times New Roman" w:cs="Times New Roman"/>
          <w:color w:val="000000" w:themeColor="text1"/>
          <w:sz w:val="24"/>
          <w:szCs w:val="24"/>
        </w:rPr>
        <w:t xml:space="preserve">, C., 2003. Equity market liberalization in emerging markets. </w:t>
      </w:r>
      <w:r w:rsidRPr="00BE65C7">
        <w:rPr>
          <w:rFonts w:ascii="Times New Roman" w:hAnsi="Times New Roman" w:cs="Times New Roman"/>
          <w:i/>
          <w:iCs/>
          <w:color w:val="000000" w:themeColor="text1"/>
          <w:sz w:val="24"/>
          <w:szCs w:val="24"/>
        </w:rPr>
        <w:t>Journal of Financial Research</w:t>
      </w:r>
      <w:r w:rsidRPr="00BE65C7">
        <w:rPr>
          <w:rFonts w:ascii="Times New Roman" w:hAnsi="Times New Roman" w:cs="Times New Roman"/>
          <w:color w:val="000000" w:themeColor="text1"/>
          <w:sz w:val="24"/>
          <w:szCs w:val="24"/>
        </w:rPr>
        <w:t>, 26, 275-299.</w:t>
      </w:r>
    </w:p>
    <w:p w14:paraId="25DDD799" w14:textId="6060A172" w:rsidR="00611E58" w:rsidRPr="00BE65C7" w:rsidRDefault="00611E58"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shd w:val="clear" w:color="auto" w:fill="FFFFFF"/>
        </w:rPr>
        <w:t>Brown, C. A., Chen, Y., &amp; Shekhar, C., 2012. Institutional ownership and firm cash holdings. </w:t>
      </w:r>
      <w:r w:rsidRPr="00BE65C7">
        <w:rPr>
          <w:rFonts w:ascii="Times New Roman" w:hAnsi="Times New Roman" w:cs="Times New Roman"/>
          <w:i/>
          <w:iCs/>
          <w:color w:val="000000" w:themeColor="text1"/>
          <w:sz w:val="24"/>
          <w:szCs w:val="24"/>
          <w:shd w:val="clear" w:color="auto" w:fill="FFFFFF"/>
        </w:rPr>
        <w:t>Available at SSRN 1786182</w:t>
      </w:r>
      <w:r w:rsidRPr="00BE65C7">
        <w:rPr>
          <w:rFonts w:ascii="Times New Roman" w:hAnsi="Times New Roman" w:cs="Times New Roman"/>
          <w:color w:val="000000" w:themeColor="text1"/>
          <w:sz w:val="24"/>
          <w:szCs w:val="24"/>
          <w:shd w:val="clear" w:color="auto" w:fill="FFFFFF"/>
        </w:rPr>
        <w:t>.</w:t>
      </w:r>
    </w:p>
    <w:p w14:paraId="21F934E5" w14:textId="61AAE823"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Buchanan, B., and English II, P.C.</w:t>
      </w:r>
      <w:r w:rsidR="000E1846"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 xml:space="preserve"> 2007. Law, </w:t>
      </w:r>
      <w:r w:rsidR="00AE0325" w:rsidRPr="00BE65C7">
        <w:rPr>
          <w:rFonts w:ascii="Times New Roman" w:hAnsi="Times New Roman" w:cs="Times New Roman"/>
          <w:color w:val="000000" w:themeColor="text1"/>
          <w:sz w:val="24"/>
          <w:szCs w:val="24"/>
        </w:rPr>
        <w:t>finance,</w:t>
      </w:r>
      <w:r w:rsidRPr="00BE65C7">
        <w:rPr>
          <w:rFonts w:ascii="Times New Roman" w:hAnsi="Times New Roman" w:cs="Times New Roman"/>
          <w:color w:val="000000" w:themeColor="text1"/>
          <w:sz w:val="24"/>
          <w:szCs w:val="24"/>
        </w:rPr>
        <w:t xml:space="preserve"> and emerging market returns. </w:t>
      </w:r>
      <w:r w:rsidRPr="00BE65C7">
        <w:rPr>
          <w:rFonts w:ascii="Times New Roman" w:hAnsi="Times New Roman" w:cs="Times New Roman"/>
          <w:i/>
          <w:iCs/>
          <w:color w:val="000000" w:themeColor="text1"/>
          <w:sz w:val="24"/>
          <w:szCs w:val="24"/>
        </w:rPr>
        <w:t>Emerging Markets Review</w:t>
      </w:r>
      <w:r w:rsidRPr="00BE65C7">
        <w:rPr>
          <w:rFonts w:ascii="Times New Roman" w:hAnsi="Times New Roman" w:cs="Times New Roman"/>
          <w:color w:val="000000" w:themeColor="text1"/>
          <w:sz w:val="24"/>
          <w:szCs w:val="24"/>
        </w:rPr>
        <w:t>, 8(3), 181-193.</w:t>
      </w:r>
    </w:p>
    <w:p w14:paraId="6DBA99A1" w14:textId="2F89BFF0" w:rsidR="00267623" w:rsidRPr="00BE65C7" w:rsidRDefault="00267623"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Bushee, B., 1998. The influence of institutional investors on myopic R&amp;D investment behavior. </w:t>
      </w:r>
      <w:r w:rsidRPr="00BE65C7">
        <w:rPr>
          <w:rFonts w:ascii="Times New Roman" w:hAnsi="Times New Roman" w:cs="Times New Roman"/>
          <w:i/>
          <w:iCs/>
          <w:color w:val="000000" w:themeColor="text1"/>
          <w:sz w:val="24"/>
          <w:szCs w:val="24"/>
        </w:rPr>
        <w:t>The Accounting Review</w:t>
      </w:r>
      <w:r w:rsidRPr="00BE65C7">
        <w:rPr>
          <w:rFonts w:ascii="Times New Roman" w:hAnsi="Times New Roman" w:cs="Times New Roman"/>
          <w:color w:val="000000" w:themeColor="text1"/>
          <w:sz w:val="24"/>
          <w:szCs w:val="24"/>
        </w:rPr>
        <w:t>, 73, 305–333.</w:t>
      </w:r>
    </w:p>
    <w:p w14:paraId="347948AA" w14:textId="64FC22B6" w:rsidR="000E1846" w:rsidRPr="00BE65C7" w:rsidRDefault="000E1846"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shd w:val="clear" w:color="auto" w:fill="FFFFFF"/>
        </w:rPr>
        <w:t>Callen, J. L., &amp; Fang, X., 2013. Institutional investor stability and crash risk: Monitoring versus short-termism?. </w:t>
      </w:r>
      <w:r w:rsidRPr="00BE65C7">
        <w:rPr>
          <w:rFonts w:ascii="Times New Roman" w:hAnsi="Times New Roman" w:cs="Times New Roman"/>
          <w:i/>
          <w:iCs/>
          <w:color w:val="000000" w:themeColor="text1"/>
          <w:sz w:val="24"/>
          <w:szCs w:val="24"/>
          <w:shd w:val="clear" w:color="auto" w:fill="FFFFFF"/>
        </w:rPr>
        <w:t>Journal of Banking &amp; Finance</w:t>
      </w:r>
      <w:r w:rsidRPr="00BE65C7">
        <w:rPr>
          <w:rFonts w:ascii="Times New Roman" w:hAnsi="Times New Roman" w:cs="Times New Roman"/>
          <w:color w:val="000000" w:themeColor="text1"/>
          <w:sz w:val="24"/>
          <w:szCs w:val="24"/>
          <w:shd w:val="clear" w:color="auto" w:fill="FFFFFF"/>
        </w:rPr>
        <w:t>, </w:t>
      </w:r>
      <w:r w:rsidRPr="00BE65C7">
        <w:rPr>
          <w:rFonts w:ascii="Times New Roman" w:hAnsi="Times New Roman" w:cs="Times New Roman"/>
          <w:i/>
          <w:iCs/>
          <w:color w:val="000000" w:themeColor="text1"/>
          <w:sz w:val="24"/>
          <w:szCs w:val="24"/>
          <w:shd w:val="clear" w:color="auto" w:fill="FFFFFF"/>
        </w:rPr>
        <w:t>37</w:t>
      </w:r>
      <w:r w:rsidRPr="00BE65C7">
        <w:rPr>
          <w:rFonts w:ascii="Times New Roman" w:hAnsi="Times New Roman" w:cs="Times New Roman"/>
          <w:color w:val="000000" w:themeColor="text1"/>
          <w:sz w:val="24"/>
          <w:szCs w:val="24"/>
          <w:shd w:val="clear" w:color="auto" w:fill="FFFFFF"/>
        </w:rPr>
        <w:t>(8), 3047-3063.</w:t>
      </w:r>
    </w:p>
    <w:p w14:paraId="706F086F"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Chen, X., Harford, J., and Li, K., 2007. Monitoring: which institutions matter? </w:t>
      </w:r>
      <w:r w:rsidRPr="00BE65C7">
        <w:rPr>
          <w:rFonts w:ascii="Times New Roman" w:hAnsi="Times New Roman" w:cs="Times New Roman"/>
          <w:i/>
          <w:iCs/>
          <w:color w:val="000000" w:themeColor="text1"/>
          <w:sz w:val="24"/>
          <w:szCs w:val="24"/>
        </w:rPr>
        <w:t>Journal of Financial Economics</w:t>
      </w:r>
      <w:r w:rsidRPr="00BE65C7">
        <w:rPr>
          <w:rFonts w:ascii="Times New Roman" w:hAnsi="Times New Roman" w:cs="Times New Roman"/>
          <w:color w:val="000000" w:themeColor="text1"/>
          <w:sz w:val="24"/>
          <w:szCs w:val="24"/>
        </w:rPr>
        <w:t>, 86, 279-305.</w:t>
      </w:r>
    </w:p>
    <w:p w14:paraId="09756AC3" w14:textId="22B63446" w:rsidR="00D95908" w:rsidRPr="00BE65C7" w:rsidRDefault="00D95908"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Cheng, I, Hong, H., </w:t>
      </w:r>
      <w:proofErr w:type="spellStart"/>
      <w:r w:rsidRPr="00BE65C7">
        <w:rPr>
          <w:rFonts w:ascii="Times New Roman" w:hAnsi="Times New Roman" w:cs="Times New Roman"/>
          <w:color w:val="000000" w:themeColor="text1"/>
          <w:sz w:val="24"/>
          <w:szCs w:val="24"/>
        </w:rPr>
        <w:t>Scheinkman</w:t>
      </w:r>
      <w:proofErr w:type="spellEnd"/>
      <w:r w:rsidRPr="00BE65C7">
        <w:rPr>
          <w:rFonts w:ascii="Times New Roman" w:hAnsi="Times New Roman" w:cs="Times New Roman"/>
          <w:color w:val="000000" w:themeColor="text1"/>
          <w:sz w:val="24"/>
          <w:szCs w:val="24"/>
        </w:rPr>
        <w:t xml:space="preserve">, J.A., 2010. Yesterday’s Heroes: Compensation and Creative Risk Taking. </w:t>
      </w:r>
      <w:r w:rsidRPr="00BE65C7">
        <w:rPr>
          <w:rFonts w:ascii="Times New Roman" w:hAnsi="Times New Roman" w:cs="Times New Roman"/>
          <w:i/>
          <w:iCs/>
          <w:color w:val="000000" w:themeColor="text1"/>
          <w:sz w:val="24"/>
          <w:szCs w:val="24"/>
        </w:rPr>
        <w:t>Working Paper</w:t>
      </w:r>
      <w:r w:rsidRPr="00BE65C7">
        <w:rPr>
          <w:rFonts w:ascii="Times New Roman" w:hAnsi="Times New Roman" w:cs="Times New Roman"/>
          <w:color w:val="000000" w:themeColor="text1"/>
          <w:sz w:val="24"/>
          <w:szCs w:val="24"/>
        </w:rPr>
        <w:t xml:space="preserve"> 16176, NBER.</w:t>
      </w:r>
    </w:p>
    <w:p w14:paraId="11E3DBEE" w14:textId="02D7269E" w:rsidR="00F52831"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Chen, R., Ghoul, S.E., </w:t>
      </w:r>
      <w:proofErr w:type="spellStart"/>
      <w:r w:rsidRPr="00BE65C7">
        <w:rPr>
          <w:rFonts w:ascii="Times New Roman" w:hAnsi="Times New Roman" w:cs="Times New Roman"/>
          <w:color w:val="000000" w:themeColor="text1"/>
          <w:sz w:val="24"/>
          <w:szCs w:val="24"/>
        </w:rPr>
        <w:t>Guedhami</w:t>
      </w:r>
      <w:proofErr w:type="spellEnd"/>
      <w:r w:rsidRPr="00BE65C7">
        <w:rPr>
          <w:rFonts w:ascii="Times New Roman" w:hAnsi="Times New Roman" w:cs="Times New Roman"/>
          <w:color w:val="000000" w:themeColor="text1"/>
          <w:sz w:val="24"/>
          <w:szCs w:val="24"/>
        </w:rPr>
        <w:t>, O., and Nash, R., 20</w:t>
      </w:r>
      <w:r w:rsidR="00DB36EA" w:rsidRPr="00BE65C7">
        <w:rPr>
          <w:rFonts w:ascii="Times New Roman" w:hAnsi="Times New Roman" w:cs="Times New Roman"/>
          <w:color w:val="000000" w:themeColor="text1"/>
          <w:sz w:val="24"/>
          <w:szCs w:val="24"/>
        </w:rPr>
        <w:t>18</w:t>
      </w:r>
      <w:r w:rsidRPr="00BE65C7">
        <w:rPr>
          <w:rFonts w:ascii="Times New Roman" w:hAnsi="Times New Roman" w:cs="Times New Roman"/>
          <w:color w:val="000000" w:themeColor="text1"/>
          <w:sz w:val="24"/>
          <w:szCs w:val="24"/>
        </w:rPr>
        <w:t xml:space="preserve">. State ownership and corporate cash holdings. </w:t>
      </w:r>
      <w:r w:rsidRPr="00BE65C7">
        <w:rPr>
          <w:rFonts w:ascii="Times New Roman" w:hAnsi="Times New Roman" w:cs="Times New Roman"/>
          <w:i/>
          <w:iCs/>
          <w:color w:val="000000" w:themeColor="text1"/>
          <w:sz w:val="24"/>
          <w:szCs w:val="24"/>
        </w:rPr>
        <w:t>Journal of Quantitative and Financial Analysis</w:t>
      </w:r>
      <w:r w:rsidRPr="00BE65C7">
        <w:rPr>
          <w:rFonts w:ascii="Times New Roman" w:hAnsi="Times New Roman" w:cs="Times New Roman"/>
          <w:color w:val="000000" w:themeColor="text1"/>
          <w:sz w:val="24"/>
          <w:szCs w:val="24"/>
        </w:rPr>
        <w:t>, 53, 2293-2334.</w:t>
      </w:r>
    </w:p>
    <w:p w14:paraId="12F13EEA" w14:textId="4A56C447" w:rsidR="00EC5A7F" w:rsidRDefault="00EC5A7F" w:rsidP="00F52831">
      <w:pPr>
        <w:jc w:val="both"/>
        <w:rPr>
          <w:rFonts w:ascii="Times New Roman" w:hAnsi="Times New Roman" w:cs="Times New Roman"/>
          <w:color w:val="0070C0"/>
          <w:sz w:val="24"/>
          <w:szCs w:val="24"/>
          <w:shd w:val="clear" w:color="auto" w:fill="FFFFFF"/>
        </w:rPr>
      </w:pPr>
      <w:r w:rsidRPr="00FF3699">
        <w:rPr>
          <w:rFonts w:ascii="Times New Roman" w:hAnsi="Times New Roman" w:cs="Times New Roman"/>
          <w:color w:val="0070C0"/>
          <w:sz w:val="24"/>
          <w:szCs w:val="24"/>
          <w:shd w:val="clear" w:color="auto" w:fill="FFFFFF"/>
        </w:rPr>
        <w:t>Chowdhury, R. A., &amp; Russell, B. (2018). The difference, system and ‘Double‐D’GMM panel estimators in the presence of structural breaks. </w:t>
      </w:r>
      <w:r w:rsidRPr="00FF3699">
        <w:rPr>
          <w:rFonts w:ascii="Times New Roman" w:hAnsi="Times New Roman" w:cs="Times New Roman"/>
          <w:i/>
          <w:iCs/>
          <w:color w:val="0070C0"/>
          <w:sz w:val="24"/>
          <w:szCs w:val="24"/>
          <w:shd w:val="clear" w:color="auto" w:fill="FFFFFF"/>
        </w:rPr>
        <w:t>Scottish Journal of Political Economy</w:t>
      </w:r>
      <w:r w:rsidRPr="00FF3699">
        <w:rPr>
          <w:rFonts w:ascii="Times New Roman" w:hAnsi="Times New Roman" w:cs="Times New Roman"/>
          <w:color w:val="0070C0"/>
          <w:sz w:val="24"/>
          <w:szCs w:val="24"/>
          <w:shd w:val="clear" w:color="auto" w:fill="FFFFFF"/>
        </w:rPr>
        <w:t>, </w:t>
      </w:r>
      <w:r w:rsidRPr="00FF3699">
        <w:rPr>
          <w:rFonts w:ascii="Times New Roman" w:hAnsi="Times New Roman" w:cs="Times New Roman"/>
          <w:i/>
          <w:iCs/>
          <w:color w:val="0070C0"/>
          <w:sz w:val="24"/>
          <w:szCs w:val="24"/>
          <w:shd w:val="clear" w:color="auto" w:fill="FFFFFF"/>
        </w:rPr>
        <w:t>65</w:t>
      </w:r>
      <w:r w:rsidRPr="00FF3699">
        <w:rPr>
          <w:rFonts w:ascii="Times New Roman" w:hAnsi="Times New Roman" w:cs="Times New Roman"/>
          <w:color w:val="0070C0"/>
          <w:sz w:val="24"/>
          <w:szCs w:val="24"/>
          <w:shd w:val="clear" w:color="auto" w:fill="FFFFFF"/>
        </w:rPr>
        <w:t>(3), 271-292.</w:t>
      </w:r>
    </w:p>
    <w:p w14:paraId="7DB4B97F" w14:textId="12A47A00" w:rsidR="00E42311" w:rsidRPr="00E42311" w:rsidRDefault="00E42311" w:rsidP="00F52831">
      <w:pPr>
        <w:jc w:val="both"/>
        <w:rPr>
          <w:rFonts w:ascii="Times New Roman" w:hAnsi="Times New Roman" w:cs="Times New Roman"/>
          <w:color w:val="0070C0"/>
          <w:sz w:val="24"/>
          <w:szCs w:val="24"/>
        </w:rPr>
      </w:pPr>
      <w:r w:rsidRPr="00E42311">
        <w:rPr>
          <w:rFonts w:ascii="Times New Roman" w:hAnsi="Times New Roman" w:cs="Times New Roman"/>
          <w:color w:val="222222"/>
          <w:sz w:val="24"/>
          <w:szCs w:val="24"/>
          <w:shd w:val="clear" w:color="auto" w:fill="FFFFFF"/>
        </w:rPr>
        <w:t>Das Gupta, R., &amp; Pathak, R. (2021). Does the legal origin affect corporate cash holding?. </w:t>
      </w:r>
      <w:r w:rsidRPr="00E42311">
        <w:rPr>
          <w:rFonts w:ascii="Times New Roman" w:hAnsi="Times New Roman" w:cs="Times New Roman"/>
          <w:i/>
          <w:iCs/>
          <w:color w:val="222222"/>
          <w:sz w:val="24"/>
          <w:szCs w:val="24"/>
          <w:shd w:val="clear" w:color="auto" w:fill="FFFFFF"/>
        </w:rPr>
        <w:t>International Journal of Emerging Markets</w:t>
      </w:r>
      <w:r w:rsidRPr="00E42311">
        <w:rPr>
          <w:rFonts w:ascii="Times New Roman" w:hAnsi="Times New Roman" w:cs="Times New Roman"/>
          <w:color w:val="222222"/>
          <w:sz w:val="24"/>
          <w:szCs w:val="24"/>
          <w:shd w:val="clear" w:color="auto" w:fill="FFFFFF"/>
        </w:rPr>
        <w:t>, </w:t>
      </w:r>
      <w:r w:rsidRPr="00E42311">
        <w:rPr>
          <w:rFonts w:ascii="Times New Roman" w:hAnsi="Times New Roman" w:cs="Times New Roman"/>
          <w:i/>
          <w:iCs/>
          <w:color w:val="222222"/>
          <w:sz w:val="24"/>
          <w:szCs w:val="24"/>
          <w:shd w:val="clear" w:color="auto" w:fill="FFFFFF"/>
        </w:rPr>
        <w:t>16</w:t>
      </w:r>
      <w:r w:rsidRPr="00E42311">
        <w:rPr>
          <w:rFonts w:ascii="Times New Roman" w:hAnsi="Times New Roman" w:cs="Times New Roman"/>
          <w:color w:val="222222"/>
          <w:sz w:val="24"/>
          <w:szCs w:val="24"/>
          <w:shd w:val="clear" w:color="auto" w:fill="FFFFFF"/>
        </w:rPr>
        <w:t>(8), 1964-1983.</w:t>
      </w:r>
    </w:p>
    <w:p w14:paraId="6D78F4BA" w14:textId="77777777" w:rsidR="00F52831" w:rsidRPr="00BE65C7" w:rsidRDefault="00F52831" w:rsidP="00F52831">
      <w:pPr>
        <w:jc w:val="both"/>
        <w:rPr>
          <w:rFonts w:ascii="Times New Roman" w:hAnsi="Times New Roman" w:cs="Times New Roman"/>
          <w:color w:val="000000" w:themeColor="text1"/>
          <w:sz w:val="24"/>
          <w:szCs w:val="24"/>
          <w:shd w:val="clear" w:color="auto" w:fill="FFFFFF"/>
        </w:rPr>
      </w:pPr>
      <w:r w:rsidRPr="00BE65C7">
        <w:rPr>
          <w:rFonts w:ascii="Times New Roman" w:hAnsi="Times New Roman" w:cs="Times New Roman"/>
          <w:color w:val="000000" w:themeColor="text1"/>
          <w:sz w:val="24"/>
          <w:szCs w:val="24"/>
        </w:rPr>
        <w:t xml:space="preserve">Denis, D.J., and </w:t>
      </w:r>
      <w:proofErr w:type="spellStart"/>
      <w:r w:rsidRPr="00BE65C7">
        <w:rPr>
          <w:rFonts w:ascii="Times New Roman" w:hAnsi="Times New Roman" w:cs="Times New Roman"/>
          <w:color w:val="000000" w:themeColor="text1"/>
          <w:sz w:val="24"/>
          <w:szCs w:val="24"/>
        </w:rPr>
        <w:t>Sibilkov</w:t>
      </w:r>
      <w:proofErr w:type="spellEnd"/>
      <w:r w:rsidRPr="00BE65C7">
        <w:rPr>
          <w:rFonts w:ascii="Times New Roman" w:hAnsi="Times New Roman" w:cs="Times New Roman"/>
          <w:color w:val="000000" w:themeColor="text1"/>
          <w:sz w:val="24"/>
          <w:szCs w:val="24"/>
        </w:rPr>
        <w:t xml:space="preserve">, V., 2010. </w:t>
      </w:r>
      <w:r w:rsidRPr="00BE65C7">
        <w:rPr>
          <w:rFonts w:ascii="Times New Roman" w:hAnsi="Times New Roman" w:cs="Times New Roman"/>
          <w:color w:val="000000" w:themeColor="text1"/>
          <w:sz w:val="24"/>
          <w:szCs w:val="24"/>
          <w:shd w:val="clear" w:color="auto" w:fill="FFFFFF"/>
        </w:rPr>
        <w:t xml:space="preserve">Financial Constraints, Investment, and the Value of Cash Holdings. </w:t>
      </w:r>
      <w:r w:rsidRPr="00BE65C7">
        <w:rPr>
          <w:rFonts w:ascii="Times New Roman" w:hAnsi="Times New Roman" w:cs="Times New Roman"/>
          <w:i/>
          <w:iCs/>
          <w:color w:val="000000" w:themeColor="text1"/>
          <w:sz w:val="24"/>
          <w:szCs w:val="24"/>
          <w:shd w:val="clear" w:color="auto" w:fill="FFFFFF"/>
        </w:rPr>
        <w:t>The Review of Financial Studies</w:t>
      </w:r>
      <w:r w:rsidRPr="00BE65C7">
        <w:rPr>
          <w:rFonts w:ascii="Times New Roman" w:hAnsi="Times New Roman" w:cs="Times New Roman"/>
          <w:color w:val="000000" w:themeColor="text1"/>
          <w:sz w:val="24"/>
          <w:szCs w:val="24"/>
          <w:shd w:val="clear" w:color="auto" w:fill="FFFFFF"/>
        </w:rPr>
        <w:t>, 23 (1), 247-269.</w:t>
      </w:r>
    </w:p>
    <w:p w14:paraId="755D56B9" w14:textId="4B42E923" w:rsidR="00A4297C" w:rsidRPr="00BE65C7" w:rsidRDefault="00A4297C"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shd w:val="clear" w:color="auto" w:fill="FFFFFF"/>
        </w:rPr>
        <w:t>Dittmar, A., Mahrt-Smith, J., and Servaes, H., 2003. International corporate governance and corporate cash holdings. </w:t>
      </w:r>
      <w:r w:rsidRPr="00BE65C7">
        <w:rPr>
          <w:rFonts w:ascii="Times New Roman" w:hAnsi="Times New Roman" w:cs="Times New Roman"/>
          <w:i/>
          <w:iCs/>
          <w:color w:val="000000" w:themeColor="text1"/>
          <w:sz w:val="24"/>
          <w:szCs w:val="24"/>
          <w:shd w:val="clear" w:color="auto" w:fill="FFFFFF"/>
        </w:rPr>
        <w:t>Journal of Financial and Quantitative Analysis</w:t>
      </w:r>
      <w:r w:rsidRPr="00BE65C7">
        <w:rPr>
          <w:rFonts w:ascii="Times New Roman" w:hAnsi="Times New Roman" w:cs="Times New Roman"/>
          <w:color w:val="000000" w:themeColor="text1"/>
          <w:sz w:val="24"/>
          <w:szCs w:val="24"/>
          <w:shd w:val="clear" w:color="auto" w:fill="FFFFFF"/>
        </w:rPr>
        <w:t>, </w:t>
      </w:r>
      <w:r w:rsidRPr="00BE65C7">
        <w:rPr>
          <w:rFonts w:ascii="Times New Roman" w:hAnsi="Times New Roman" w:cs="Times New Roman"/>
          <w:i/>
          <w:iCs/>
          <w:color w:val="000000" w:themeColor="text1"/>
          <w:sz w:val="24"/>
          <w:szCs w:val="24"/>
          <w:shd w:val="clear" w:color="auto" w:fill="FFFFFF"/>
        </w:rPr>
        <w:t>38</w:t>
      </w:r>
      <w:r w:rsidRPr="00BE65C7">
        <w:rPr>
          <w:rFonts w:ascii="Times New Roman" w:hAnsi="Times New Roman" w:cs="Times New Roman"/>
          <w:color w:val="000000" w:themeColor="text1"/>
          <w:sz w:val="24"/>
          <w:szCs w:val="24"/>
          <w:shd w:val="clear" w:color="auto" w:fill="FFFFFF"/>
        </w:rPr>
        <w:t>(1), 111-133.</w:t>
      </w:r>
    </w:p>
    <w:p w14:paraId="54517769" w14:textId="55B47BBC" w:rsidR="00F52831"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Dittmar, A., and Mahrt-Smith, J., 2007. Corporate governance and the value of cash holdings. </w:t>
      </w:r>
      <w:r w:rsidRPr="00BE65C7">
        <w:rPr>
          <w:rFonts w:ascii="Times New Roman" w:hAnsi="Times New Roman" w:cs="Times New Roman"/>
          <w:i/>
          <w:iCs/>
          <w:color w:val="000000" w:themeColor="text1"/>
          <w:sz w:val="24"/>
          <w:szCs w:val="24"/>
        </w:rPr>
        <w:t>Journal of Financial Economics</w:t>
      </w:r>
      <w:r w:rsidRPr="00BE65C7">
        <w:rPr>
          <w:rFonts w:ascii="Times New Roman" w:hAnsi="Times New Roman" w:cs="Times New Roman"/>
          <w:color w:val="000000" w:themeColor="text1"/>
          <w:sz w:val="24"/>
          <w:szCs w:val="24"/>
        </w:rPr>
        <w:t>, 83, 599-634.</w:t>
      </w:r>
    </w:p>
    <w:p w14:paraId="522BC99D" w14:textId="0ECE011B" w:rsidR="00D5551C" w:rsidRPr="009D14C5" w:rsidRDefault="009D14C5" w:rsidP="00F52831">
      <w:pPr>
        <w:jc w:val="both"/>
        <w:rPr>
          <w:rFonts w:ascii="Times New Roman" w:hAnsi="Times New Roman" w:cs="Times New Roman"/>
          <w:color w:val="000000" w:themeColor="text1"/>
          <w:sz w:val="24"/>
          <w:szCs w:val="24"/>
        </w:rPr>
      </w:pPr>
      <w:r w:rsidRPr="009D14C5">
        <w:rPr>
          <w:rFonts w:ascii="Times New Roman" w:hAnsi="Times New Roman" w:cs="Times New Roman"/>
          <w:color w:val="222222"/>
          <w:sz w:val="24"/>
          <w:szCs w:val="24"/>
          <w:shd w:val="clear" w:color="auto" w:fill="FFFFFF"/>
        </w:rPr>
        <w:t>Duan, T., Yang, X., &amp; Zhang, Z. (2023). The improvement of legal system, entrepreneur immigration, and corporate cash holdings. </w:t>
      </w:r>
      <w:r w:rsidRPr="009D14C5">
        <w:rPr>
          <w:rFonts w:ascii="Times New Roman" w:hAnsi="Times New Roman" w:cs="Times New Roman"/>
          <w:i/>
          <w:iCs/>
          <w:color w:val="222222"/>
          <w:sz w:val="24"/>
          <w:szCs w:val="24"/>
          <w:shd w:val="clear" w:color="auto" w:fill="FFFFFF"/>
        </w:rPr>
        <w:t>International Review of Financial Analysis</w:t>
      </w:r>
      <w:r w:rsidRPr="009D14C5">
        <w:rPr>
          <w:rFonts w:ascii="Times New Roman" w:hAnsi="Times New Roman" w:cs="Times New Roman"/>
          <w:color w:val="222222"/>
          <w:sz w:val="24"/>
          <w:szCs w:val="24"/>
          <w:shd w:val="clear" w:color="auto" w:fill="FFFFFF"/>
        </w:rPr>
        <w:t>, </w:t>
      </w:r>
      <w:r w:rsidRPr="009D14C5">
        <w:rPr>
          <w:rFonts w:ascii="Times New Roman" w:hAnsi="Times New Roman" w:cs="Times New Roman"/>
          <w:i/>
          <w:iCs/>
          <w:color w:val="222222"/>
          <w:sz w:val="24"/>
          <w:szCs w:val="24"/>
          <w:shd w:val="clear" w:color="auto" w:fill="FFFFFF"/>
        </w:rPr>
        <w:t>89</w:t>
      </w:r>
      <w:r w:rsidRPr="009D14C5">
        <w:rPr>
          <w:rFonts w:ascii="Times New Roman" w:hAnsi="Times New Roman" w:cs="Times New Roman"/>
          <w:color w:val="222222"/>
          <w:sz w:val="24"/>
          <w:szCs w:val="24"/>
          <w:shd w:val="clear" w:color="auto" w:fill="FFFFFF"/>
        </w:rPr>
        <w:t>, 102776.</w:t>
      </w:r>
    </w:p>
    <w:p w14:paraId="7AC67AEF" w14:textId="0CC300DD" w:rsidR="00461B9A" w:rsidRPr="00BE65C7" w:rsidRDefault="00461B9A" w:rsidP="00F52831">
      <w:pPr>
        <w:jc w:val="both"/>
        <w:rPr>
          <w:rFonts w:ascii="Times New Roman" w:hAnsi="Times New Roman" w:cs="Times New Roman"/>
          <w:color w:val="000000" w:themeColor="text1"/>
          <w:sz w:val="24"/>
          <w:szCs w:val="24"/>
        </w:rPr>
      </w:pPr>
      <w:proofErr w:type="spellStart"/>
      <w:r w:rsidRPr="00BE65C7">
        <w:rPr>
          <w:rFonts w:ascii="Times New Roman" w:hAnsi="Times New Roman" w:cs="Times New Roman"/>
          <w:color w:val="000000" w:themeColor="text1"/>
          <w:sz w:val="24"/>
          <w:szCs w:val="24"/>
        </w:rPr>
        <w:t>Elyasiani</w:t>
      </w:r>
      <w:proofErr w:type="spellEnd"/>
      <w:r w:rsidRPr="00BE65C7">
        <w:rPr>
          <w:rFonts w:ascii="Times New Roman" w:hAnsi="Times New Roman" w:cs="Times New Roman"/>
          <w:color w:val="000000" w:themeColor="text1"/>
          <w:sz w:val="24"/>
          <w:szCs w:val="24"/>
        </w:rPr>
        <w:t>, E., and Jia, J. J., 2008. Institutional ownership stability and BHC performance. Journal of Banking &amp; Finance, 32(9), 1767–1781.</w:t>
      </w:r>
    </w:p>
    <w:p w14:paraId="545ECA17" w14:textId="77777777" w:rsidR="00F52831" w:rsidRPr="00BE65C7" w:rsidRDefault="00F52831" w:rsidP="00F52831">
      <w:pPr>
        <w:jc w:val="both"/>
        <w:rPr>
          <w:rFonts w:ascii="Times New Roman" w:hAnsi="Times New Roman" w:cs="Times New Roman"/>
          <w:i/>
          <w:iCs/>
          <w:color w:val="000000" w:themeColor="text1"/>
          <w:sz w:val="24"/>
          <w:szCs w:val="24"/>
        </w:rPr>
      </w:pPr>
      <w:r w:rsidRPr="00BE65C7">
        <w:rPr>
          <w:rFonts w:ascii="Times New Roman" w:hAnsi="Times New Roman" w:cs="Times New Roman"/>
          <w:color w:val="000000" w:themeColor="text1"/>
          <w:sz w:val="24"/>
          <w:szCs w:val="24"/>
        </w:rPr>
        <w:t xml:space="preserve">Faulkender, M., and Wang, R., 2006. Corporate Financial Policy and the value of cash. </w:t>
      </w:r>
      <w:r w:rsidRPr="00BE65C7">
        <w:rPr>
          <w:rFonts w:ascii="Times New Roman" w:hAnsi="Times New Roman" w:cs="Times New Roman"/>
          <w:i/>
          <w:iCs/>
          <w:color w:val="000000" w:themeColor="text1"/>
          <w:sz w:val="24"/>
          <w:szCs w:val="24"/>
        </w:rPr>
        <w:t>The Journal of Finance</w:t>
      </w:r>
      <w:r w:rsidRPr="00BE65C7">
        <w:rPr>
          <w:rFonts w:ascii="Times New Roman" w:hAnsi="Times New Roman" w:cs="Times New Roman"/>
          <w:color w:val="000000" w:themeColor="text1"/>
          <w:sz w:val="24"/>
          <w:szCs w:val="24"/>
        </w:rPr>
        <w:t>, 61 (4), 1957-1990.</w:t>
      </w:r>
      <w:r w:rsidRPr="00BE65C7">
        <w:rPr>
          <w:rFonts w:ascii="Times New Roman" w:hAnsi="Times New Roman" w:cs="Times New Roman"/>
          <w:i/>
          <w:iCs/>
          <w:color w:val="000000" w:themeColor="text1"/>
          <w:sz w:val="24"/>
          <w:szCs w:val="24"/>
        </w:rPr>
        <w:t xml:space="preserve"> </w:t>
      </w:r>
    </w:p>
    <w:p w14:paraId="537BB11E"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Ferreira, M.A., Massa, M., and Matos, P., 2010. Shareholders at the gate? Institutional investors and cross border mergers and acquisitions. </w:t>
      </w:r>
      <w:r w:rsidRPr="00BE65C7">
        <w:rPr>
          <w:rFonts w:ascii="Times New Roman" w:hAnsi="Times New Roman" w:cs="Times New Roman"/>
          <w:i/>
          <w:iCs/>
          <w:color w:val="000000" w:themeColor="text1"/>
          <w:sz w:val="24"/>
          <w:szCs w:val="24"/>
        </w:rPr>
        <w:t>The Review of Financial Studies</w:t>
      </w:r>
      <w:r w:rsidRPr="00BE65C7">
        <w:rPr>
          <w:rFonts w:ascii="Times New Roman" w:hAnsi="Times New Roman" w:cs="Times New Roman"/>
          <w:color w:val="000000" w:themeColor="text1"/>
          <w:sz w:val="24"/>
          <w:szCs w:val="24"/>
        </w:rPr>
        <w:t>, 23, 601-644.</w:t>
      </w:r>
    </w:p>
    <w:p w14:paraId="4B46A0CB" w14:textId="5ACC7E3D"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Firth, M., Gao, J., Shen, J., and Zhang, Y., 2016. Institutional stock ownership and firms</w:t>
      </w:r>
      <w:r w:rsidR="00E437C7"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 xml:space="preserve"> cash dividend policies: Evidence from China. </w:t>
      </w:r>
      <w:r w:rsidRPr="00BE65C7">
        <w:rPr>
          <w:rFonts w:ascii="Times New Roman" w:hAnsi="Times New Roman" w:cs="Times New Roman"/>
          <w:i/>
          <w:iCs/>
          <w:color w:val="000000" w:themeColor="text1"/>
          <w:sz w:val="24"/>
          <w:szCs w:val="24"/>
        </w:rPr>
        <w:t>Journal of Banking and Finance</w:t>
      </w:r>
      <w:r w:rsidRPr="00BE65C7">
        <w:rPr>
          <w:rFonts w:ascii="Times New Roman" w:hAnsi="Times New Roman" w:cs="Times New Roman"/>
          <w:color w:val="000000" w:themeColor="text1"/>
          <w:sz w:val="24"/>
          <w:szCs w:val="24"/>
        </w:rPr>
        <w:t xml:space="preserve">, 65, 91-107. </w:t>
      </w:r>
    </w:p>
    <w:p w14:paraId="6F935DDD"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Gupta, C.P., and Bedi, P., 2020. Corporate cash holdings and promoter ownership. </w:t>
      </w:r>
      <w:r w:rsidRPr="00BE65C7">
        <w:rPr>
          <w:rFonts w:ascii="Times New Roman" w:hAnsi="Times New Roman" w:cs="Times New Roman"/>
          <w:i/>
          <w:iCs/>
          <w:color w:val="000000" w:themeColor="text1"/>
          <w:sz w:val="24"/>
          <w:szCs w:val="24"/>
        </w:rPr>
        <w:t>Emerging Markets Review</w:t>
      </w:r>
      <w:r w:rsidRPr="00BE65C7">
        <w:rPr>
          <w:rFonts w:ascii="Times New Roman" w:hAnsi="Times New Roman" w:cs="Times New Roman"/>
          <w:color w:val="000000" w:themeColor="text1"/>
          <w:sz w:val="24"/>
          <w:szCs w:val="24"/>
        </w:rPr>
        <w:t>, 44, 100718.</w:t>
      </w:r>
    </w:p>
    <w:p w14:paraId="0384EA7D" w14:textId="7D4A0F09" w:rsidR="00F528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Hadlock, C.J. and Pierce, J.R. (2010), </w:t>
      </w:r>
      <w:r w:rsidR="00E437C7"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New evidence on measuring financial constraints:</w:t>
      </w:r>
    </w:p>
    <w:p w14:paraId="1D2472FD" w14:textId="4EDDC307" w:rsidR="00F528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Moving beyond the KZ Index</w:t>
      </w:r>
      <w:r w:rsidR="00E437C7"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 xml:space="preserve">, </w:t>
      </w:r>
      <w:r w:rsidRPr="00BE65C7">
        <w:rPr>
          <w:rFonts w:ascii="Times New Roman" w:hAnsi="Times New Roman" w:cs="Times New Roman"/>
          <w:i/>
          <w:color w:val="000000" w:themeColor="text1"/>
          <w:sz w:val="24"/>
          <w:szCs w:val="24"/>
        </w:rPr>
        <w:t>The Review of Financial Studies</w:t>
      </w:r>
      <w:r w:rsidRPr="00BE65C7">
        <w:rPr>
          <w:rFonts w:ascii="Times New Roman" w:hAnsi="Times New Roman" w:cs="Times New Roman"/>
          <w:color w:val="000000" w:themeColor="text1"/>
          <w:sz w:val="24"/>
          <w:szCs w:val="24"/>
        </w:rPr>
        <w:t xml:space="preserve">, Vol. 23, No. 5, pp. 1909–  </w:t>
      </w:r>
    </w:p>
    <w:p w14:paraId="1A5C0285"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940.</w:t>
      </w:r>
    </w:p>
    <w:p w14:paraId="56D95B0B"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p>
    <w:p w14:paraId="6B868DB5"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Harford, J., Mansi, S.A., and Maxwell, W.F., 2008. Corporate governance and firm cash holdings in the US. </w:t>
      </w:r>
      <w:r w:rsidRPr="00BE65C7">
        <w:rPr>
          <w:rFonts w:ascii="Times New Roman" w:hAnsi="Times New Roman" w:cs="Times New Roman"/>
          <w:i/>
          <w:iCs/>
          <w:color w:val="000000" w:themeColor="text1"/>
          <w:sz w:val="24"/>
          <w:szCs w:val="24"/>
        </w:rPr>
        <w:t>Journal of Financial Economics</w:t>
      </w:r>
      <w:r w:rsidRPr="00BE65C7">
        <w:rPr>
          <w:rFonts w:ascii="Times New Roman" w:hAnsi="Times New Roman" w:cs="Times New Roman"/>
          <w:color w:val="000000" w:themeColor="text1"/>
          <w:sz w:val="24"/>
          <w:szCs w:val="24"/>
        </w:rPr>
        <w:t>, 87, 535-555.</w:t>
      </w:r>
    </w:p>
    <w:p w14:paraId="59991C5B" w14:textId="77777777" w:rsidR="002D694B" w:rsidRPr="00BE65C7" w:rsidRDefault="002D694B" w:rsidP="002D694B">
      <w:pPr>
        <w:spacing w:line="240" w:lineRule="auto"/>
        <w:jc w:val="both"/>
        <w:rPr>
          <w:rFonts w:ascii="Times New Roman" w:hAnsi="Times New Roman" w:cs="Times New Roman"/>
          <w:color w:val="000000" w:themeColor="text1"/>
          <w:sz w:val="24"/>
          <w:szCs w:val="24"/>
        </w:rPr>
      </w:pPr>
      <w:proofErr w:type="spellStart"/>
      <w:r w:rsidRPr="00BE65C7">
        <w:rPr>
          <w:rFonts w:ascii="Times New Roman" w:hAnsi="Times New Roman" w:cs="Times New Roman"/>
          <w:color w:val="000000" w:themeColor="text1"/>
          <w:sz w:val="24"/>
          <w:szCs w:val="24"/>
        </w:rPr>
        <w:t>Helwege</w:t>
      </w:r>
      <w:proofErr w:type="spellEnd"/>
      <w:r w:rsidRPr="00BE65C7">
        <w:rPr>
          <w:rFonts w:ascii="Times New Roman" w:hAnsi="Times New Roman" w:cs="Times New Roman"/>
          <w:color w:val="000000" w:themeColor="text1"/>
          <w:sz w:val="24"/>
          <w:szCs w:val="24"/>
        </w:rPr>
        <w:t xml:space="preserve">, J., </w:t>
      </w:r>
      <w:proofErr w:type="spellStart"/>
      <w:r w:rsidRPr="00BE65C7">
        <w:rPr>
          <w:rFonts w:ascii="Times New Roman" w:hAnsi="Times New Roman" w:cs="Times New Roman"/>
          <w:color w:val="000000" w:themeColor="text1"/>
          <w:sz w:val="24"/>
          <w:szCs w:val="24"/>
        </w:rPr>
        <w:t>Intintoli</w:t>
      </w:r>
      <w:proofErr w:type="spellEnd"/>
      <w:r w:rsidRPr="00BE65C7">
        <w:rPr>
          <w:rFonts w:ascii="Times New Roman" w:hAnsi="Times New Roman" w:cs="Times New Roman"/>
          <w:color w:val="000000" w:themeColor="text1"/>
          <w:sz w:val="24"/>
          <w:szCs w:val="24"/>
        </w:rPr>
        <w:t>, V. J., and Zhang, A. 2012. Voting with their feet or activism? Institutional investors’ impact on CEO turnover. Journal of Corporate Finance, 18(1), 22–37.</w:t>
      </w:r>
    </w:p>
    <w:p w14:paraId="23F75B5B" w14:textId="0C14F28C" w:rsidR="00F52831"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Huang, W., and Zhu, T., 2015. Foreign institutional investors and corporate governance in emerging markets: Evidence of a split-share structure reform in China. </w:t>
      </w:r>
      <w:r w:rsidRPr="00BE65C7">
        <w:rPr>
          <w:rFonts w:ascii="Times New Roman" w:hAnsi="Times New Roman" w:cs="Times New Roman"/>
          <w:i/>
          <w:iCs/>
          <w:color w:val="000000" w:themeColor="text1"/>
          <w:sz w:val="24"/>
          <w:szCs w:val="24"/>
        </w:rPr>
        <w:t>Journal of Corporate Finance</w:t>
      </w:r>
      <w:r w:rsidRPr="00BE65C7">
        <w:rPr>
          <w:rFonts w:ascii="Times New Roman" w:hAnsi="Times New Roman" w:cs="Times New Roman"/>
          <w:color w:val="000000" w:themeColor="text1"/>
          <w:sz w:val="24"/>
          <w:szCs w:val="24"/>
        </w:rPr>
        <w:t>, 32, 312-326.</w:t>
      </w:r>
    </w:p>
    <w:p w14:paraId="1AA9A167" w14:textId="0FFAC14C" w:rsidR="00D9223C" w:rsidRPr="00091635" w:rsidRDefault="00D9223C" w:rsidP="00F52831">
      <w:pPr>
        <w:jc w:val="both"/>
        <w:rPr>
          <w:rFonts w:ascii="Times New Roman" w:hAnsi="Times New Roman" w:cs="Times New Roman"/>
          <w:color w:val="0070C0"/>
          <w:sz w:val="24"/>
          <w:szCs w:val="24"/>
        </w:rPr>
      </w:pPr>
      <w:r w:rsidRPr="00091635">
        <w:rPr>
          <w:rFonts w:ascii="Times New Roman" w:hAnsi="Times New Roman" w:cs="Times New Roman"/>
          <w:color w:val="0070C0"/>
          <w:sz w:val="24"/>
          <w:szCs w:val="24"/>
          <w:shd w:val="clear" w:color="auto" w:fill="FFFFFF"/>
        </w:rPr>
        <w:t>Ilyas, M.,</w:t>
      </w:r>
      <w:r w:rsidR="00AF7B66" w:rsidRPr="00091635">
        <w:rPr>
          <w:rFonts w:ascii="Times New Roman" w:hAnsi="Times New Roman" w:cs="Times New Roman"/>
          <w:color w:val="0070C0"/>
          <w:sz w:val="24"/>
          <w:szCs w:val="24"/>
          <w:shd w:val="clear" w:color="auto" w:fill="FFFFFF"/>
        </w:rPr>
        <w:t xml:space="preserve"> Mian, R. U., &amp; Safdar, N. (2021</w:t>
      </w:r>
      <w:r w:rsidRPr="00091635">
        <w:rPr>
          <w:rFonts w:ascii="Times New Roman" w:hAnsi="Times New Roman" w:cs="Times New Roman"/>
          <w:color w:val="0070C0"/>
          <w:sz w:val="24"/>
          <w:szCs w:val="24"/>
          <w:shd w:val="clear" w:color="auto" w:fill="FFFFFF"/>
        </w:rPr>
        <w:t>). Institutional investors and the value of excess cash holdings: empirical evidence from Pakistan. </w:t>
      </w:r>
      <w:r w:rsidRPr="00091635">
        <w:rPr>
          <w:rFonts w:ascii="Times New Roman" w:hAnsi="Times New Roman" w:cs="Times New Roman"/>
          <w:i/>
          <w:iCs/>
          <w:color w:val="0070C0"/>
          <w:sz w:val="24"/>
          <w:szCs w:val="24"/>
          <w:shd w:val="clear" w:color="auto" w:fill="FFFFFF"/>
        </w:rPr>
        <w:t>Managerial Finance</w:t>
      </w:r>
      <w:r w:rsidRPr="00091635">
        <w:rPr>
          <w:rFonts w:ascii="Times New Roman" w:hAnsi="Times New Roman" w:cs="Times New Roman"/>
          <w:color w:val="0070C0"/>
          <w:sz w:val="24"/>
          <w:szCs w:val="24"/>
          <w:shd w:val="clear" w:color="auto" w:fill="FFFFFF"/>
        </w:rPr>
        <w:t>, </w:t>
      </w:r>
      <w:r w:rsidRPr="00091635">
        <w:rPr>
          <w:rFonts w:ascii="Times New Roman" w:hAnsi="Times New Roman" w:cs="Times New Roman"/>
          <w:i/>
          <w:iCs/>
          <w:color w:val="0070C0"/>
          <w:sz w:val="24"/>
          <w:szCs w:val="24"/>
          <w:shd w:val="clear" w:color="auto" w:fill="FFFFFF"/>
        </w:rPr>
        <w:t>48</w:t>
      </w:r>
      <w:r w:rsidRPr="00091635">
        <w:rPr>
          <w:rFonts w:ascii="Times New Roman" w:hAnsi="Times New Roman" w:cs="Times New Roman"/>
          <w:color w:val="0070C0"/>
          <w:sz w:val="24"/>
          <w:szCs w:val="24"/>
          <w:shd w:val="clear" w:color="auto" w:fill="FFFFFF"/>
        </w:rPr>
        <w:t>(1), 158-179.</w:t>
      </w:r>
    </w:p>
    <w:p w14:paraId="004864C2" w14:textId="7B47977B" w:rsidR="00461B9A" w:rsidRDefault="00461B9A"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Janakiraman, S., Radhakrishnan, S., and Tsang, A., 2010. Institutional investors, managerial ownership, and executive compensation. </w:t>
      </w:r>
      <w:r w:rsidRPr="00BE65C7">
        <w:rPr>
          <w:rFonts w:ascii="Times New Roman" w:hAnsi="Times New Roman" w:cs="Times New Roman"/>
          <w:i/>
          <w:iCs/>
          <w:color w:val="000000" w:themeColor="text1"/>
          <w:sz w:val="24"/>
          <w:szCs w:val="24"/>
        </w:rPr>
        <w:t>Journal of Accounting, Auditing and Finance</w:t>
      </w:r>
      <w:r w:rsidRPr="00BE65C7">
        <w:rPr>
          <w:rFonts w:ascii="Times New Roman" w:hAnsi="Times New Roman" w:cs="Times New Roman"/>
          <w:color w:val="000000" w:themeColor="text1"/>
          <w:sz w:val="24"/>
          <w:szCs w:val="24"/>
        </w:rPr>
        <w:t>, 25(4), 673–707.</w:t>
      </w:r>
    </w:p>
    <w:p w14:paraId="048B49BD" w14:textId="2B92C2B8" w:rsidR="00222D38" w:rsidRPr="009C42FF" w:rsidRDefault="00222D38" w:rsidP="00F52831">
      <w:pPr>
        <w:jc w:val="both"/>
        <w:rPr>
          <w:rFonts w:ascii="Times New Roman" w:hAnsi="Times New Roman" w:cs="Times New Roman"/>
          <w:color w:val="0070C0"/>
          <w:sz w:val="24"/>
          <w:szCs w:val="24"/>
        </w:rPr>
      </w:pPr>
      <w:r w:rsidRPr="009C42FF">
        <w:rPr>
          <w:rFonts w:ascii="Times New Roman" w:hAnsi="Times New Roman" w:cs="Times New Roman"/>
          <w:color w:val="0070C0"/>
          <w:sz w:val="24"/>
          <w:szCs w:val="24"/>
          <w:shd w:val="clear" w:color="auto" w:fill="FFFFFF"/>
        </w:rPr>
        <w:t>Jayakody, S., Morelli, D., &amp; Oberoi, J. (2023). Political uncertainty, corruption, and corporate cash holdings. </w:t>
      </w:r>
      <w:r w:rsidRPr="009C42FF">
        <w:rPr>
          <w:rFonts w:ascii="Times New Roman" w:hAnsi="Times New Roman" w:cs="Times New Roman"/>
          <w:i/>
          <w:iCs/>
          <w:color w:val="0070C0"/>
          <w:sz w:val="24"/>
          <w:szCs w:val="24"/>
          <w:shd w:val="clear" w:color="auto" w:fill="FFFFFF"/>
        </w:rPr>
        <w:t>Journal of Corporate Finance</w:t>
      </w:r>
      <w:r w:rsidRPr="009C42FF">
        <w:rPr>
          <w:rFonts w:ascii="Times New Roman" w:hAnsi="Times New Roman" w:cs="Times New Roman"/>
          <w:color w:val="0070C0"/>
          <w:sz w:val="24"/>
          <w:szCs w:val="24"/>
          <w:shd w:val="clear" w:color="auto" w:fill="FFFFFF"/>
        </w:rPr>
        <w:t>, </w:t>
      </w:r>
      <w:r w:rsidRPr="009C42FF">
        <w:rPr>
          <w:rFonts w:ascii="Times New Roman" w:hAnsi="Times New Roman" w:cs="Times New Roman"/>
          <w:i/>
          <w:iCs/>
          <w:color w:val="0070C0"/>
          <w:sz w:val="24"/>
          <w:szCs w:val="24"/>
          <w:shd w:val="clear" w:color="auto" w:fill="FFFFFF"/>
        </w:rPr>
        <w:t>82</w:t>
      </w:r>
      <w:r w:rsidRPr="009C42FF">
        <w:rPr>
          <w:rFonts w:ascii="Times New Roman" w:hAnsi="Times New Roman" w:cs="Times New Roman"/>
          <w:color w:val="0070C0"/>
          <w:sz w:val="24"/>
          <w:szCs w:val="24"/>
          <w:shd w:val="clear" w:color="auto" w:fill="FFFFFF"/>
        </w:rPr>
        <w:t>, 102447.</w:t>
      </w:r>
    </w:p>
    <w:p w14:paraId="63787C9C" w14:textId="36A618C6"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Jensen, M.C., 1986. Agency cost of free cash flows, corporate </w:t>
      </w:r>
      <w:r w:rsidR="00AE0325" w:rsidRPr="00BE65C7">
        <w:rPr>
          <w:rFonts w:ascii="Times New Roman" w:hAnsi="Times New Roman" w:cs="Times New Roman"/>
          <w:color w:val="000000" w:themeColor="text1"/>
          <w:sz w:val="24"/>
          <w:szCs w:val="24"/>
        </w:rPr>
        <w:t>finance,</w:t>
      </w:r>
      <w:r w:rsidRPr="00BE65C7">
        <w:rPr>
          <w:rFonts w:ascii="Times New Roman" w:hAnsi="Times New Roman" w:cs="Times New Roman"/>
          <w:color w:val="000000" w:themeColor="text1"/>
          <w:sz w:val="24"/>
          <w:szCs w:val="24"/>
        </w:rPr>
        <w:t xml:space="preserve"> and takeovers. </w:t>
      </w:r>
      <w:r w:rsidRPr="00BE65C7">
        <w:rPr>
          <w:rFonts w:ascii="Times New Roman" w:hAnsi="Times New Roman" w:cs="Times New Roman"/>
          <w:i/>
          <w:iCs/>
          <w:color w:val="000000" w:themeColor="text1"/>
          <w:sz w:val="24"/>
          <w:szCs w:val="24"/>
        </w:rPr>
        <w:t>The American Economic Review</w:t>
      </w:r>
      <w:r w:rsidRPr="00BE65C7">
        <w:rPr>
          <w:rFonts w:ascii="Times New Roman" w:hAnsi="Times New Roman" w:cs="Times New Roman"/>
          <w:color w:val="000000" w:themeColor="text1"/>
          <w:sz w:val="24"/>
          <w:szCs w:val="24"/>
        </w:rPr>
        <w:t>, 76, 323-329.</w:t>
      </w:r>
    </w:p>
    <w:p w14:paraId="2051629C" w14:textId="77777777"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Johnson, S.R., La Porta, R., Lopez-de-Silanes, F., and Shleifer, A., 2000. </w:t>
      </w:r>
      <w:proofErr w:type="spellStart"/>
      <w:r w:rsidRPr="00BE65C7">
        <w:rPr>
          <w:rFonts w:ascii="Times New Roman" w:hAnsi="Times New Roman" w:cs="Times New Roman"/>
          <w:color w:val="000000" w:themeColor="text1"/>
          <w:sz w:val="24"/>
          <w:szCs w:val="24"/>
        </w:rPr>
        <w:t>Tunneling</w:t>
      </w:r>
      <w:proofErr w:type="spellEnd"/>
      <w:r w:rsidRPr="00BE65C7">
        <w:rPr>
          <w:rFonts w:ascii="Times New Roman" w:hAnsi="Times New Roman" w:cs="Times New Roman"/>
          <w:color w:val="000000" w:themeColor="text1"/>
          <w:sz w:val="24"/>
          <w:szCs w:val="24"/>
        </w:rPr>
        <w:t xml:space="preserve">. </w:t>
      </w:r>
      <w:r w:rsidRPr="00BE65C7">
        <w:rPr>
          <w:rFonts w:ascii="Times New Roman" w:hAnsi="Times New Roman" w:cs="Times New Roman"/>
          <w:i/>
          <w:iCs/>
          <w:color w:val="000000" w:themeColor="text1"/>
          <w:sz w:val="24"/>
          <w:szCs w:val="24"/>
        </w:rPr>
        <w:t>American Economic Review</w:t>
      </w:r>
      <w:r w:rsidRPr="00BE65C7">
        <w:rPr>
          <w:rFonts w:ascii="Times New Roman" w:hAnsi="Times New Roman" w:cs="Times New Roman"/>
          <w:color w:val="000000" w:themeColor="text1"/>
          <w:sz w:val="24"/>
          <w:szCs w:val="24"/>
        </w:rPr>
        <w:t>, 90 (2), 22-27.</w:t>
      </w:r>
    </w:p>
    <w:p w14:paraId="3D130C6D" w14:textId="624FB960" w:rsidR="005C2B6B" w:rsidRDefault="00F52831" w:rsidP="00A9456F">
      <w:pPr>
        <w:jc w:val="both"/>
        <w:rPr>
          <w:rFonts w:ascii="Times New Roman" w:hAnsi="Times New Roman" w:cs="Times New Roman"/>
          <w:color w:val="000000" w:themeColor="text1"/>
          <w:sz w:val="24"/>
          <w:szCs w:val="24"/>
        </w:rPr>
      </w:pPr>
      <w:proofErr w:type="spellStart"/>
      <w:r w:rsidRPr="00BE65C7">
        <w:rPr>
          <w:rFonts w:ascii="Times New Roman" w:hAnsi="Times New Roman" w:cs="Times New Roman"/>
          <w:color w:val="000000" w:themeColor="text1"/>
          <w:sz w:val="24"/>
          <w:szCs w:val="24"/>
        </w:rPr>
        <w:t>Kalcheva</w:t>
      </w:r>
      <w:proofErr w:type="spellEnd"/>
      <w:r w:rsidRPr="00BE65C7">
        <w:rPr>
          <w:rFonts w:ascii="Times New Roman" w:hAnsi="Times New Roman" w:cs="Times New Roman"/>
          <w:color w:val="000000" w:themeColor="text1"/>
          <w:sz w:val="24"/>
          <w:szCs w:val="24"/>
        </w:rPr>
        <w:t xml:space="preserve">, I., and Lins, K.V., 2007. International evidence on cash holdings and expected managerial agency problems. </w:t>
      </w:r>
      <w:r w:rsidRPr="00BE65C7">
        <w:rPr>
          <w:rFonts w:ascii="Times New Roman" w:hAnsi="Times New Roman" w:cs="Times New Roman"/>
          <w:i/>
          <w:iCs/>
          <w:color w:val="000000" w:themeColor="text1"/>
          <w:sz w:val="24"/>
          <w:szCs w:val="24"/>
        </w:rPr>
        <w:t>Review of Financial Studies</w:t>
      </w:r>
      <w:r w:rsidRPr="00BE65C7">
        <w:rPr>
          <w:rFonts w:ascii="Times New Roman" w:hAnsi="Times New Roman" w:cs="Times New Roman"/>
          <w:color w:val="000000" w:themeColor="text1"/>
          <w:sz w:val="24"/>
          <w:szCs w:val="24"/>
        </w:rPr>
        <w:t>, 20, 1087-1112.</w:t>
      </w:r>
    </w:p>
    <w:p w14:paraId="52CA7C65" w14:textId="5D0E2BA8" w:rsidR="005C2B6B" w:rsidRPr="00BE65C7" w:rsidRDefault="005C2B6B" w:rsidP="005C2B6B">
      <w:pPr>
        <w:pStyle w:val="Heading2"/>
        <w:rPr>
          <w:color w:val="000000" w:themeColor="text1"/>
          <w:sz w:val="24"/>
          <w:szCs w:val="24"/>
        </w:rPr>
      </w:pPr>
      <w:r>
        <w:rPr>
          <w:b w:val="0"/>
          <w:bCs w:val="0"/>
          <w:color w:val="000000" w:themeColor="text1"/>
          <w:sz w:val="24"/>
          <w:szCs w:val="24"/>
        </w:rPr>
        <w:t xml:space="preserve">Klettner, A. 2021. </w:t>
      </w:r>
      <w:hyperlink r:id="rId9" w:history="1">
        <w:r w:rsidRPr="005C2B6B">
          <w:rPr>
            <w:rStyle w:val="Hyperlink"/>
            <w:b w:val="0"/>
            <w:bCs w:val="0"/>
            <w:color w:val="000000" w:themeColor="text1"/>
            <w:sz w:val="24"/>
            <w:szCs w:val="24"/>
            <w:u w:val="none"/>
          </w:rPr>
          <w:t xml:space="preserve">Stewardship Codes and the Role of </w:t>
        </w:r>
        <w:r w:rsidRPr="005C2B6B">
          <w:rPr>
            <w:rStyle w:val="singlehighlightclass"/>
            <w:b w:val="0"/>
            <w:bCs w:val="0"/>
            <w:color w:val="000000" w:themeColor="text1"/>
            <w:sz w:val="24"/>
            <w:szCs w:val="24"/>
          </w:rPr>
          <w:t>Institutional</w:t>
        </w:r>
        <w:r w:rsidRPr="005C2B6B">
          <w:rPr>
            <w:rStyle w:val="Hyperlink"/>
            <w:b w:val="0"/>
            <w:bCs w:val="0"/>
            <w:color w:val="000000" w:themeColor="text1"/>
            <w:sz w:val="24"/>
            <w:szCs w:val="24"/>
            <w:u w:val="none"/>
          </w:rPr>
          <w:t xml:space="preserve"> </w:t>
        </w:r>
        <w:r w:rsidRPr="005C2B6B">
          <w:rPr>
            <w:rStyle w:val="singlehighlightclass"/>
            <w:b w:val="0"/>
            <w:bCs w:val="0"/>
            <w:color w:val="000000" w:themeColor="text1"/>
            <w:sz w:val="24"/>
            <w:szCs w:val="24"/>
          </w:rPr>
          <w:t>Investors</w:t>
        </w:r>
        <w:r w:rsidRPr="005C2B6B">
          <w:rPr>
            <w:rStyle w:val="Hyperlink"/>
            <w:b w:val="0"/>
            <w:bCs w:val="0"/>
            <w:color w:val="000000" w:themeColor="text1"/>
            <w:sz w:val="24"/>
            <w:szCs w:val="24"/>
            <w:u w:val="none"/>
          </w:rPr>
          <w:t xml:space="preserve"> in Corporate Governance: An International Comparison and Typology</w:t>
        </w:r>
      </w:hyperlink>
      <w:r>
        <w:rPr>
          <w:rStyle w:val="Hyperlink"/>
          <w:b w:val="0"/>
          <w:bCs w:val="0"/>
          <w:color w:val="000000" w:themeColor="text1"/>
          <w:sz w:val="24"/>
          <w:szCs w:val="24"/>
          <w:u w:val="none"/>
        </w:rPr>
        <w:t xml:space="preserve">. </w:t>
      </w:r>
      <w:r w:rsidRPr="005C2B6B">
        <w:rPr>
          <w:rStyle w:val="Hyperlink"/>
          <w:b w:val="0"/>
          <w:bCs w:val="0"/>
          <w:i/>
          <w:iCs/>
          <w:color w:val="000000" w:themeColor="text1"/>
          <w:sz w:val="24"/>
          <w:szCs w:val="24"/>
          <w:u w:val="none"/>
        </w:rPr>
        <w:t>British Journal of Management</w:t>
      </w:r>
      <w:r>
        <w:rPr>
          <w:rStyle w:val="Hyperlink"/>
          <w:b w:val="0"/>
          <w:bCs w:val="0"/>
          <w:color w:val="000000" w:themeColor="text1"/>
          <w:sz w:val="24"/>
          <w:szCs w:val="24"/>
          <w:u w:val="none"/>
        </w:rPr>
        <w:t>, Vol. 32 (4), 988-1006.</w:t>
      </w:r>
    </w:p>
    <w:p w14:paraId="6A95BDBA" w14:textId="47521B33" w:rsidR="00F52831" w:rsidRPr="00BE65C7"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LaPorta, R., Lopez-de-Silanes, F., Shleifer, A., and </w:t>
      </w:r>
      <w:proofErr w:type="spellStart"/>
      <w:r w:rsidRPr="00BE65C7">
        <w:rPr>
          <w:rFonts w:ascii="Times New Roman" w:hAnsi="Times New Roman" w:cs="Times New Roman"/>
          <w:color w:val="000000" w:themeColor="text1"/>
          <w:sz w:val="24"/>
          <w:szCs w:val="24"/>
        </w:rPr>
        <w:t>Vishny</w:t>
      </w:r>
      <w:proofErr w:type="spellEnd"/>
      <w:r w:rsidRPr="00BE65C7">
        <w:rPr>
          <w:rFonts w:ascii="Times New Roman" w:hAnsi="Times New Roman" w:cs="Times New Roman"/>
          <w:color w:val="000000" w:themeColor="text1"/>
          <w:sz w:val="24"/>
          <w:szCs w:val="24"/>
        </w:rPr>
        <w:t>, R. 1987. Legal determinants of external finance.</w:t>
      </w:r>
      <w:r w:rsidRPr="00BE65C7">
        <w:rPr>
          <w:rFonts w:ascii="Times New Roman" w:hAnsi="Times New Roman" w:cs="Times New Roman"/>
          <w:i/>
          <w:iCs/>
          <w:color w:val="000000" w:themeColor="text1"/>
          <w:sz w:val="24"/>
          <w:szCs w:val="24"/>
        </w:rPr>
        <w:t xml:space="preserve"> Journal of Finance</w:t>
      </w:r>
      <w:r w:rsidRPr="00BE65C7">
        <w:rPr>
          <w:rFonts w:ascii="Times New Roman" w:hAnsi="Times New Roman" w:cs="Times New Roman"/>
          <w:color w:val="000000" w:themeColor="text1"/>
          <w:sz w:val="24"/>
          <w:szCs w:val="24"/>
        </w:rPr>
        <w:t>, 52(3), 1131-1150.</w:t>
      </w:r>
    </w:p>
    <w:p w14:paraId="0D9C7033" w14:textId="77777777" w:rsidR="00F52831"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LaPorta, R., Lopez-de-Silanes, F., Shleifer, A., and </w:t>
      </w:r>
      <w:proofErr w:type="spellStart"/>
      <w:r w:rsidRPr="00BE65C7">
        <w:rPr>
          <w:rFonts w:ascii="Times New Roman" w:hAnsi="Times New Roman" w:cs="Times New Roman"/>
          <w:color w:val="000000" w:themeColor="text1"/>
          <w:sz w:val="24"/>
          <w:szCs w:val="24"/>
        </w:rPr>
        <w:t>Vishny</w:t>
      </w:r>
      <w:proofErr w:type="spellEnd"/>
      <w:r w:rsidRPr="00BE65C7">
        <w:rPr>
          <w:rFonts w:ascii="Times New Roman" w:hAnsi="Times New Roman" w:cs="Times New Roman"/>
          <w:color w:val="000000" w:themeColor="text1"/>
          <w:sz w:val="24"/>
          <w:szCs w:val="24"/>
        </w:rPr>
        <w:t xml:space="preserve">, R., 2002. Investor protection and corporate valuation. </w:t>
      </w:r>
      <w:r w:rsidRPr="00BE65C7">
        <w:rPr>
          <w:rFonts w:ascii="Times New Roman" w:hAnsi="Times New Roman" w:cs="Times New Roman"/>
          <w:i/>
          <w:iCs/>
          <w:color w:val="000000" w:themeColor="text1"/>
          <w:sz w:val="24"/>
          <w:szCs w:val="24"/>
        </w:rPr>
        <w:t>The Journal of Finance</w:t>
      </w:r>
      <w:r w:rsidRPr="00BE65C7">
        <w:rPr>
          <w:rFonts w:ascii="Times New Roman" w:hAnsi="Times New Roman" w:cs="Times New Roman"/>
          <w:color w:val="000000" w:themeColor="text1"/>
          <w:sz w:val="24"/>
          <w:szCs w:val="24"/>
        </w:rPr>
        <w:t>, 57(3), 1147-1170.</w:t>
      </w:r>
    </w:p>
    <w:p w14:paraId="405FB88B" w14:textId="39566C3D" w:rsidR="00B96AB2" w:rsidRPr="00BE65C7" w:rsidRDefault="00B96AB2" w:rsidP="00F5283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Lee, D and W.C. Kim. 2024. Optimal intertemporal liquidation of institutional investors with cash requirements and viable loans. </w:t>
      </w:r>
      <w:r>
        <w:rPr>
          <w:rFonts w:ascii="Times New Roman" w:hAnsi="Times New Roman" w:cs="Times New Roman"/>
          <w:i/>
          <w:iCs/>
          <w:color w:val="000000" w:themeColor="text1"/>
          <w:sz w:val="24"/>
          <w:szCs w:val="24"/>
        </w:rPr>
        <w:t xml:space="preserve">The European Journal of Finance, </w:t>
      </w:r>
      <w:r w:rsidR="006D79AE">
        <w:rPr>
          <w:rFonts w:ascii="Times New Roman" w:hAnsi="Times New Roman" w:cs="Times New Roman"/>
          <w:color w:val="000000" w:themeColor="text1"/>
          <w:sz w:val="24"/>
          <w:szCs w:val="24"/>
        </w:rPr>
        <w:t>30(6), p. 618-641.</w:t>
      </w:r>
    </w:p>
    <w:p w14:paraId="45891005" w14:textId="77777777" w:rsidR="00F52831" w:rsidRPr="00BE65C7" w:rsidRDefault="00F52831" w:rsidP="00D00B00">
      <w:pPr>
        <w:pStyle w:val="Heading1"/>
        <w:spacing w:before="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Lee, C., Wang, C., 2021. Firms' cash reserve, financial constraint, and geopolitical risk. </w:t>
      </w:r>
      <w:r w:rsidRPr="00BE65C7">
        <w:rPr>
          <w:rFonts w:ascii="Times New Roman" w:hAnsi="Times New Roman" w:cs="Times New Roman"/>
          <w:i/>
          <w:iCs/>
          <w:color w:val="000000" w:themeColor="text1"/>
          <w:sz w:val="24"/>
          <w:szCs w:val="24"/>
        </w:rPr>
        <w:t>Pacific-Basin Finance Journal</w:t>
      </w:r>
      <w:r w:rsidRPr="00BE65C7">
        <w:rPr>
          <w:rFonts w:ascii="Times New Roman" w:hAnsi="Times New Roman" w:cs="Times New Roman"/>
          <w:color w:val="000000" w:themeColor="text1"/>
          <w:sz w:val="24"/>
          <w:szCs w:val="24"/>
        </w:rPr>
        <w:t>, 65, 101480.</w:t>
      </w:r>
    </w:p>
    <w:p w14:paraId="36387233" w14:textId="77777777" w:rsidR="00F52831" w:rsidRPr="00BE65C7" w:rsidRDefault="00F52831" w:rsidP="00D00B00">
      <w:pPr>
        <w:pStyle w:val="Heading1"/>
        <w:spacing w:before="0"/>
        <w:jc w:val="both"/>
        <w:rPr>
          <w:rFonts w:ascii="Times New Roman" w:hAnsi="Times New Roman" w:cs="Times New Roman"/>
          <w:color w:val="000000" w:themeColor="text1"/>
          <w:sz w:val="24"/>
          <w:szCs w:val="24"/>
        </w:rPr>
      </w:pPr>
    </w:p>
    <w:p w14:paraId="19D9A041" w14:textId="633FCA73" w:rsidR="006D79AE" w:rsidRDefault="00F52831" w:rsidP="00A9456F">
      <w:pPr>
        <w:pStyle w:val="Heading1"/>
        <w:spacing w:before="0"/>
        <w:jc w:val="both"/>
        <w:rPr>
          <w:rStyle w:val="title-text"/>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Lee, C., and Park, H., 2016. </w:t>
      </w:r>
      <w:r w:rsidRPr="00BE65C7">
        <w:rPr>
          <w:rStyle w:val="title-text"/>
          <w:rFonts w:ascii="Times New Roman" w:hAnsi="Times New Roman" w:cs="Times New Roman"/>
          <w:color w:val="000000" w:themeColor="text1"/>
          <w:sz w:val="24"/>
          <w:szCs w:val="24"/>
        </w:rPr>
        <w:t xml:space="preserve">Financial constraints, board governance standards, and corporate cash holdings, </w:t>
      </w:r>
      <w:r w:rsidRPr="00BE65C7">
        <w:rPr>
          <w:rStyle w:val="title-text"/>
          <w:rFonts w:ascii="Times New Roman" w:hAnsi="Times New Roman" w:cs="Times New Roman"/>
          <w:i/>
          <w:iCs/>
          <w:color w:val="000000" w:themeColor="text1"/>
          <w:sz w:val="24"/>
          <w:szCs w:val="24"/>
        </w:rPr>
        <w:t>Review of Financial Economics</w:t>
      </w:r>
      <w:r w:rsidRPr="00BE65C7">
        <w:rPr>
          <w:rStyle w:val="title-text"/>
          <w:rFonts w:ascii="Times New Roman" w:hAnsi="Times New Roman" w:cs="Times New Roman"/>
          <w:color w:val="000000" w:themeColor="text1"/>
          <w:sz w:val="24"/>
          <w:szCs w:val="24"/>
        </w:rPr>
        <w:t>, 28, 21-34.</w:t>
      </w:r>
    </w:p>
    <w:p w14:paraId="21467B37" w14:textId="77777777" w:rsidR="00A9456F" w:rsidRPr="00A9456F" w:rsidRDefault="00A9456F" w:rsidP="00A9456F"/>
    <w:p w14:paraId="0FB8F19C" w14:textId="43832971" w:rsidR="00D95908" w:rsidRPr="00BE65C7" w:rsidRDefault="00FB190F" w:rsidP="00FB190F">
      <w:pPr>
        <w:jc w:val="both"/>
        <w:rPr>
          <w:color w:val="000000" w:themeColor="text1"/>
        </w:rPr>
      </w:pPr>
      <w:proofErr w:type="spellStart"/>
      <w:r w:rsidRPr="00BE65C7">
        <w:rPr>
          <w:rFonts w:ascii="Times New Roman" w:hAnsi="Times New Roman" w:cs="Times New Roman"/>
          <w:color w:val="000000" w:themeColor="text1"/>
          <w:sz w:val="24"/>
          <w:szCs w:val="24"/>
          <w:shd w:val="clear" w:color="auto" w:fill="FFFFFF"/>
        </w:rPr>
        <w:t>Loncan</w:t>
      </w:r>
      <w:proofErr w:type="spellEnd"/>
      <w:r w:rsidRPr="00BE65C7">
        <w:rPr>
          <w:rFonts w:ascii="Times New Roman" w:hAnsi="Times New Roman" w:cs="Times New Roman"/>
          <w:color w:val="000000" w:themeColor="text1"/>
          <w:sz w:val="24"/>
          <w:szCs w:val="24"/>
          <w:shd w:val="clear" w:color="auto" w:fill="FFFFFF"/>
        </w:rPr>
        <w:t>, T. (2020). Foreign institutional ownership and corporate cash holdings: Evidence from emerging economies. </w:t>
      </w:r>
      <w:r w:rsidRPr="00BE65C7">
        <w:rPr>
          <w:rFonts w:ascii="Times New Roman" w:hAnsi="Times New Roman" w:cs="Times New Roman"/>
          <w:i/>
          <w:iCs/>
          <w:color w:val="000000" w:themeColor="text1"/>
          <w:sz w:val="24"/>
          <w:szCs w:val="24"/>
          <w:shd w:val="clear" w:color="auto" w:fill="FFFFFF"/>
        </w:rPr>
        <w:t>International Review of Financial Analysis</w:t>
      </w:r>
      <w:r w:rsidRPr="00BE65C7">
        <w:rPr>
          <w:rFonts w:ascii="Times New Roman" w:hAnsi="Times New Roman" w:cs="Times New Roman"/>
          <w:color w:val="000000" w:themeColor="text1"/>
          <w:sz w:val="24"/>
          <w:szCs w:val="24"/>
          <w:shd w:val="clear" w:color="auto" w:fill="FFFFFF"/>
        </w:rPr>
        <w:t>, </w:t>
      </w:r>
      <w:r w:rsidRPr="00BE65C7">
        <w:rPr>
          <w:rFonts w:ascii="Times New Roman" w:hAnsi="Times New Roman" w:cs="Times New Roman"/>
          <w:i/>
          <w:iCs/>
          <w:color w:val="000000" w:themeColor="text1"/>
          <w:sz w:val="24"/>
          <w:szCs w:val="24"/>
          <w:shd w:val="clear" w:color="auto" w:fill="FFFFFF"/>
        </w:rPr>
        <w:t>71</w:t>
      </w:r>
      <w:r w:rsidRPr="00BE65C7">
        <w:rPr>
          <w:rFonts w:ascii="Times New Roman" w:hAnsi="Times New Roman" w:cs="Times New Roman"/>
          <w:color w:val="000000" w:themeColor="text1"/>
          <w:sz w:val="24"/>
          <w:szCs w:val="24"/>
          <w:shd w:val="clear" w:color="auto" w:fill="FFFFFF"/>
        </w:rPr>
        <w:t>, 101295.</w:t>
      </w:r>
    </w:p>
    <w:p w14:paraId="45D3B151" w14:textId="3FA6205E" w:rsidR="00F52831" w:rsidRPr="00BE65C7" w:rsidRDefault="00D95908" w:rsidP="00D95908">
      <w:pPr>
        <w:rPr>
          <w:rFonts w:ascii="Times New Roman" w:hAnsi="Times New Roman" w:cs="Times New Roman"/>
          <w:color w:val="000000" w:themeColor="text1"/>
          <w:sz w:val="24"/>
          <w:szCs w:val="24"/>
        </w:rPr>
      </w:pPr>
      <w:proofErr w:type="spellStart"/>
      <w:r w:rsidRPr="00BE65C7">
        <w:rPr>
          <w:rFonts w:ascii="Times New Roman" w:hAnsi="Times New Roman" w:cs="Times New Roman"/>
          <w:color w:val="000000" w:themeColor="text1"/>
          <w:sz w:val="24"/>
          <w:szCs w:val="24"/>
        </w:rPr>
        <w:t>Manconi</w:t>
      </w:r>
      <w:proofErr w:type="spellEnd"/>
      <w:r w:rsidRPr="00BE65C7">
        <w:rPr>
          <w:rFonts w:ascii="Times New Roman" w:hAnsi="Times New Roman" w:cs="Times New Roman"/>
          <w:color w:val="000000" w:themeColor="text1"/>
          <w:sz w:val="24"/>
          <w:szCs w:val="24"/>
        </w:rPr>
        <w:t xml:space="preserve">, A., Massa, M., Yasuda, A., 2012. The role of institutional investors in propagating the crisis of 2007–2008. </w:t>
      </w:r>
      <w:r w:rsidRPr="00BE65C7">
        <w:rPr>
          <w:rFonts w:ascii="Times New Roman" w:hAnsi="Times New Roman" w:cs="Times New Roman"/>
          <w:i/>
          <w:iCs/>
          <w:color w:val="000000" w:themeColor="text1"/>
          <w:sz w:val="24"/>
          <w:szCs w:val="24"/>
        </w:rPr>
        <w:t>Journal of Financial Economics</w:t>
      </w:r>
      <w:r w:rsidRPr="00BE65C7">
        <w:rPr>
          <w:rFonts w:ascii="Times New Roman" w:hAnsi="Times New Roman" w:cs="Times New Roman"/>
          <w:color w:val="000000" w:themeColor="text1"/>
          <w:sz w:val="24"/>
          <w:szCs w:val="24"/>
        </w:rPr>
        <w:t>, 104 (3), 491–518.</w:t>
      </w:r>
    </w:p>
    <w:p w14:paraId="654642FF" w14:textId="33F5E8BE" w:rsidR="00F52831" w:rsidRDefault="00F52831" w:rsidP="00F52831">
      <w:pPr>
        <w:autoSpaceDE w:val="0"/>
        <w:autoSpaceDN w:val="0"/>
        <w:adjustRightInd w:val="0"/>
        <w:jc w:val="both"/>
        <w:rPr>
          <w:rFonts w:ascii="Times New Roman" w:hAnsi="Times New Roman"/>
          <w:color w:val="000000" w:themeColor="text1"/>
          <w:sz w:val="24"/>
          <w:szCs w:val="24"/>
        </w:rPr>
      </w:pPr>
      <w:r w:rsidRPr="00BE65C7">
        <w:rPr>
          <w:rFonts w:ascii="Times New Roman" w:hAnsi="Times New Roman"/>
          <w:color w:val="000000" w:themeColor="text1"/>
          <w:sz w:val="24"/>
          <w:szCs w:val="24"/>
        </w:rPr>
        <w:t xml:space="preserve">Miller, M. and Orr, M. (1966), </w:t>
      </w:r>
      <w:r w:rsidR="00E437C7" w:rsidRPr="00BE65C7">
        <w:rPr>
          <w:rFonts w:ascii="Times New Roman" w:hAnsi="Times New Roman"/>
          <w:color w:val="000000" w:themeColor="text1"/>
          <w:sz w:val="24"/>
          <w:szCs w:val="24"/>
        </w:rPr>
        <w:t>"</w:t>
      </w:r>
      <w:r w:rsidRPr="00BE65C7">
        <w:rPr>
          <w:rFonts w:ascii="Times New Roman" w:hAnsi="Times New Roman"/>
          <w:color w:val="000000" w:themeColor="text1"/>
          <w:sz w:val="24"/>
          <w:szCs w:val="24"/>
        </w:rPr>
        <w:t>A Model of the Demand for Money by Firms</w:t>
      </w:r>
      <w:r w:rsidR="00E437C7" w:rsidRPr="00BE65C7">
        <w:rPr>
          <w:rFonts w:ascii="Times New Roman" w:hAnsi="Times New Roman"/>
          <w:color w:val="000000" w:themeColor="text1"/>
          <w:sz w:val="24"/>
          <w:szCs w:val="24"/>
        </w:rPr>
        <w:t>"</w:t>
      </w:r>
      <w:r w:rsidRPr="00BE65C7">
        <w:rPr>
          <w:rFonts w:ascii="Times New Roman" w:hAnsi="Times New Roman"/>
          <w:color w:val="000000" w:themeColor="text1"/>
          <w:sz w:val="24"/>
          <w:szCs w:val="24"/>
        </w:rPr>
        <w:t xml:space="preserve">, </w:t>
      </w:r>
      <w:r w:rsidRPr="00BE65C7">
        <w:rPr>
          <w:rFonts w:ascii="Times New Roman" w:hAnsi="Times New Roman"/>
          <w:i/>
          <w:iCs/>
          <w:color w:val="000000" w:themeColor="text1"/>
          <w:sz w:val="24"/>
          <w:szCs w:val="24"/>
        </w:rPr>
        <w:t>The Quarterly Journal of Economics</w:t>
      </w:r>
      <w:r w:rsidRPr="00BE65C7">
        <w:rPr>
          <w:rFonts w:ascii="Times New Roman" w:hAnsi="Times New Roman"/>
          <w:color w:val="000000" w:themeColor="text1"/>
          <w:sz w:val="24"/>
          <w:szCs w:val="24"/>
        </w:rPr>
        <w:t xml:space="preserve">, Vol. 80, No.3, pp. 413-435. </w:t>
      </w:r>
    </w:p>
    <w:p w14:paraId="0BD1C0CC" w14:textId="77777777" w:rsidR="00A9456F" w:rsidRPr="00A9456F" w:rsidRDefault="00A9456F" w:rsidP="00A9456F">
      <w:pPr>
        <w:jc w:val="both"/>
        <w:rPr>
          <w:rFonts w:ascii="Times New Roman" w:hAnsi="Times New Roman" w:cs="Times New Roman"/>
          <w:color w:val="000000" w:themeColor="text1"/>
          <w:sz w:val="24"/>
          <w:szCs w:val="24"/>
        </w:rPr>
      </w:pPr>
      <w:r w:rsidRPr="00A9456F">
        <w:rPr>
          <w:rFonts w:ascii="Times New Roman" w:hAnsi="Times New Roman" w:cs="Times New Roman"/>
          <w:color w:val="222222"/>
          <w:sz w:val="24"/>
          <w:szCs w:val="24"/>
          <w:shd w:val="clear" w:color="auto" w:fill="FFFFFF"/>
        </w:rPr>
        <w:t>Nguyen, P., &amp; Rahman, N. (2020). Institutional ownership, cross‐shareholdings and corporate cash reserves in Japan. </w:t>
      </w:r>
      <w:r w:rsidRPr="00A9456F">
        <w:rPr>
          <w:rFonts w:ascii="Times New Roman" w:hAnsi="Times New Roman" w:cs="Times New Roman"/>
          <w:i/>
          <w:iCs/>
          <w:color w:val="222222"/>
          <w:sz w:val="24"/>
          <w:szCs w:val="24"/>
          <w:shd w:val="clear" w:color="auto" w:fill="FFFFFF"/>
        </w:rPr>
        <w:t>Accounting &amp; Finance</w:t>
      </w:r>
      <w:r w:rsidRPr="00A9456F">
        <w:rPr>
          <w:rFonts w:ascii="Times New Roman" w:hAnsi="Times New Roman" w:cs="Times New Roman"/>
          <w:color w:val="222222"/>
          <w:sz w:val="24"/>
          <w:szCs w:val="24"/>
          <w:shd w:val="clear" w:color="auto" w:fill="FFFFFF"/>
        </w:rPr>
        <w:t>, </w:t>
      </w:r>
      <w:r w:rsidRPr="00A9456F">
        <w:rPr>
          <w:rFonts w:ascii="Times New Roman" w:hAnsi="Times New Roman" w:cs="Times New Roman"/>
          <w:i/>
          <w:iCs/>
          <w:color w:val="222222"/>
          <w:sz w:val="24"/>
          <w:szCs w:val="24"/>
          <w:shd w:val="clear" w:color="auto" w:fill="FFFFFF"/>
        </w:rPr>
        <w:t>60</w:t>
      </w:r>
      <w:r w:rsidRPr="00A9456F">
        <w:rPr>
          <w:rFonts w:ascii="Times New Roman" w:hAnsi="Times New Roman" w:cs="Times New Roman"/>
          <w:color w:val="222222"/>
          <w:sz w:val="24"/>
          <w:szCs w:val="24"/>
          <w:shd w:val="clear" w:color="auto" w:fill="FFFFFF"/>
        </w:rPr>
        <w:t>, 1175-1207.</w:t>
      </w:r>
    </w:p>
    <w:p w14:paraId="538510EB" w14:textId="27F1B3DD" w:rsidR="00F52831" w:rsidRDefault="00F52831" w:rsidP="00F52831">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Nikolov, B., and Whited, T.M., 2014. Agency conflicts and cash: Estimates from a Dynamic model. </w:t>
      </w:r>
      <w:r w:rsidRPr="00BE65C7">
        <w:rPr>
          <w:rFonts w:ascii="Times New Roman" w:hAnsi="Times New Roman" w:cs="Times New Roman"/>
          <w:i/>
          <w:iCs/>
          <w:color w:val="000000" w:themeColor="text1"/>
          <w:sz w:val="24"/>
          <w:szCs w:val="24"/>
        </w:rPr>
        <w:t>The Journal of Finance</w:t>
      </w:r>
      <w:r w:rsidRPr="00BE65C7">
        <w:rPr>
          <w:rFonts w:ascii="Times New Roman" w:hAnsi="Times New Roman" w:cs="Times New Roman"/>
          <w:color w:val="000000" w:themeColor="text1"/>
          <w:sz w:val="24"/>
          <w:szCs w:val="24"/>
        </w:rPr>
        <w:t>, 69 (5), 1883-1921.</w:t>
      </w:r>
    </w:p>
    <w:p w14:paraId="32E6F0DF"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Opler, T., </w:t>
      </w:r>
      <w:proofErr w:type="spellStart"/>
      <w:r w:rsidRPr="00BE65C7">
        <w:rPr>
          <w:rFonts w:ascii="Times New Roman" w:hAnsi="Times New Roman" w:cs="Times New Roman"/>
          <w:color w:val="000000" w:themeColor="text1"/>
          <w:sz w:val="24"/>
          <w:szCs w:val="24"/>
        </w:rPr>
        <w:t>Pinkowitz</w:t>
      </w:r>
      <w:proofErr w:type="spellEnd"/>
      <w:r w:rsidRPr="00BE65C7">
        <w:rPr>
          <w:rFonts w:ascii="Times New Roman" w:hAnsi="Times New Roman" w:cs="Times New Roman"/>
          <w:color w:val="000000" w:themeColor="text1"/>
          <w:sz w:val="24"/>
          <w:szCs w:val="24"/>
        </w:rPr>
        <w:t>, L., Stulz, R., and Williamson, R. (1999), "The determinants and</w:t>
      </w:r>
    </w:p>
    <w:p w14:paraId="60B36B42"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implications of corporate cash holdings", </w:t>
      </w:r>
      <w:r w:rsidRPr="00BE65C7">
        <w:rPr>
          <w:rFonts w:ascii="Times New Roman" w:hAnsi="Times New Roman" w:cs="Times New Roman"/>
          <w:i/>
          <w:color w:val="000000" w:themeColor="text1"/>
          <w:sz w:val="24"/>
          <w:szCs w:val="24"/>
        </w:rPr>
        <w:t>Journal of Financial Economics</w:t>
      </w:r>
      <w:r w:rsidRPr="00BE65C7">
        <w:rPr>
          <w:rFonts w:ascii="Times New Roman" w:hAnsi="Times New Roman" w:cs="Times New Roman"/>
          <w:color w:val="000000" w:themeColor="text1"/>
          <w:sz w:val="24"/>
          <w:szCs w:val="24"/>
        </w:rPr>
        <w:t>, 52. 3–46.</w:t>
      </w:r>
    </w:p>
    <w:p w14:paraId="5E26B16B"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p>
    <w:p w14:paraId="20C25C73" w14:textId="77777777" w:rsidR="004251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Ozkan, A., and Ozkan, N. (2004), </w:t>
      </w:r>
      <w:r w:rsidR="00E437C7"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Corporate cash holdings: An empirical investigation of the</w:t>
      </w:r>
    </w:p>
    <w:p w14:paraId="0D714C09" w14:textId="2521E7B2" w:rsidR="00F528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UK companies</w:t>
      </w:r>
      <w:r w:rsidR="00E437C7"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 xml:space="preserve">, </w:t>
      </w:r>
      <w:r w:rsidRPr="00BE65C7">
        <w:rPr>
          <w:rFonts w:ascii="Times New Roman" w:hAnsi="Times New Roman" w:cs="Times New Roman"/>
          <w:i/>
          <w:iCs/>
          <w:color w:val="000000" w:themeColor="text1"/>
          <w:sz w:val="24"/>
          <w:szCs w:val="24"/>
        </w:rPr>
        <w:t>Journal of Banking and Finance</w:t>
      </w:r>
      <w:r w:rsidRPr="00BE65C7">
        <w:rPr>
          <w:rFonts w:ascii="Times New Roman" w:hAnsi="Times New Roman" w:cs="Times New Roman"/>
          <w:color w:val="000000" w:themeColor="text1"/>
          <w:sz w:val="24"/>
          <w:szCs w:val="24"/>
        </w:rPr>
        <w:t>, 28(9), 2103-2134.</w:t>
      </w:r>
    </w:p>
    <w:p w14:paraId="4E7EB9E7"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p>
    <w:p w14:paraId="6EAEBB71"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Qian, Y.Y., 2001. Government control in corporate governance as a transitional institution:</w:t>
      </w:r>
    </w:p>
    <w:p w14:paraId="4059C6CD" w14:textId="7EC71A07" w:rsidR="00F52831" w:rsidRPr="00BE65C7" w:rsidRDefault="00F52831" w:rsidP="00425131">
      <w:pPr>
        <w:pStyle w:val="CitaviBibliographyEntry"/>
        <w:tabs>
          <w:tab w:val="clear" w:pos="340"/>
          <w:tab w:val="left" w:pos="0"/>
        </w:tabs>
        <w:ind w:left="0" w:firstLine="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Lessons from China. </w:t>
      </w:r>
      <w:r w:rsidRPr="00BE65C7">
        <w:rPr>
          <w:rFonts w:ascii="Times New Roman" w:hAnsi="Times New Roman" w:cs="Times New Roman"/>
          <w:i/>
          <w:iCs/>
          <w:color w:val="000000" w:themeColor="text1"/>
          <w:sz w:val="24"/>
          <w:szCs w:val="24"/>
        </w:rPr>
        <w:t>Rethinking the Asian Miracles</w:t>
      </w:r>
      <w:r w:rsidRPr="00BE65C7">
        <w:rPr>
          <w:rFonts w:ascii="Times New Roman" w:hAnsi="Times New Roman" w:cs="Times New Roman"/>
          <w:color w:val="000000" w:themeColor="text1"/>
          <w:sz w:val="24"/>
          <w:szCs w:val="24"/>
        </w:rPr>
        <w:t>, edited by J. Stiglitz and S. Yusuf, 295</w:t>
      </w:r>
      <w:r w:rsidR="00425131"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321. Oxford University Press and the World Bank, ISBN: 0195216008.</w:t>
      </w:r>
    </w:p>
    <w:p w14:paraId="4F2C7DEA"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p>
    <w:p w14:paraId="78E752DF" w14:textId="40B3CF3A" w:rsidR="00F52831" w:rsidRDefault="00F52831" w:rsidP="00425131">
      <w:pPr>
        <w:pStyle w:val="CitaviBibliographyEntry"/>
        <w:tabs>
          <w:tab w:val="clear" w:pos="340"/>
          <w:tab w:val="left" w:pos="0"/>
        </w:tabs>
        <w:ind w:left="0" w:firstLine="0"/>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Riddick, L.A., and Whited, T.M. (2009), The corporate propensity to save, </w:t>
      </w:r>
      <w:r w:rsidRPr="00BE65C7">
        <w:rPr>
          <w:rFonts w:ascii="Times New Roman" w:hAnsi="Times New Roman" w:cs="Times New Roman"/>
          <w:i/>
          <w:iCs/>
          <w:color w:val="000000" w:themeColor="text1"/>
          <w:sz w:val="24"/>
          <w:szCs w:val="24"/>
        </w:rPr>
        <w:t>Journal of Finance</w:t>
      </w:r>
      <w:r w:rsidRPr="00BE65C7">
        <w:rPr>
          <w:rFonts w:ascii="Times New Roman" w:hAnsi="Times New Roman" w:cs="Times New Roman"/>
          <w:color w:val="000000" w:themeColor="text1"/>
          <w:sz w:val="24"/>
          <w:szCs w:val="24"/>
        </w:rPr>
        <w:t>,</w:t>
      </w:r>
      <w:r w:rsidR="00425131" w:rsidRPr="00BE65C7">
        <w:rPr>
          <w:rFonts w:ascii="Times New Roman" w:hAnsi="Times New Roman" w:cs="Times New Roman"/>
          <w:color w:val="000000" w:themeColor="text1"/>
          <w:sz w:val="24"/>
          <w:szCs w:val="24"/>
        </w:rPr>
        <w:t xml:space="preserve"> </w:t>
      </w:r>
      <w:r w:rsidRPr="00BE65C7">
        <w:rPr>
          <w:rFonts w:ascii="Times New Roman" w:hAnsi="Times New Roman" w:cs="Times New Roman"/>
          <w:color w:val="000000" w:themeColor="text1"/>
          <w:sz w:val="24"/>
          <w:szCs w:val="24"/>
        </w:rPr>
        <w:t>64(4), 1729-1766.</w:t>
      </w:r>
    </w:p>
    <w:p w14:paraId="4D21B13F" w14:textId="77777777" w:rsidR="0067046D" w:rsidRDefault="0067046D" w:rsidP="00425131">
      <w:pPr>
        <w:pStyle w:val="CitaviBibliographyEntry"/>
        <w:tabs>
          <w:tab w:val="clear" w:pos="340"/>
          <w:tab w:val="left" w:pos="0"/>
        </w:tabs>
        <w:ind w:left="0" w:firstLine="0"/>
        <w:jc w:val="both"/>
        <w:rPr>
          <w:rFonts w:ascii="Times New Roman" w:hAnsi="Times New Roman" w:cs="Times New Roman"/>
          <w:color w:val="000000" w:themeColor="text1"/>
          <w:sz w:val="24"/>
          <w:szCs w:val="24"/>
        </w:rPr>
      </w:pPr>
    </w:p>
    <w:p w14:paraId="649A8D0C" w14:textId="38AB1919" w:rsidR="0067046D" w:rsidRPr="0067046D" w:rsidRDefault="0067046D" w:rsidP="00425131">
      <w:pPr>
        <w:pStyle w:val="CitaviBibliographyEntry"/>
        <w:tabs>
          <w:tab w:val="clear" w:pos="340"/>
          <w:tab w:val="left" w:pos="0"/>
        </w:tabs>
        <w:ind w:left="0" w:firstLine="0"/>
        <w:jc w:val="both"/>
        <w:rPr>
          <w:rFonts w:ascii="Times New Roman" w:hAnsi="Times New Roman" w:cs="Times New Roman"/>
          <w:color w:val="000000" w:themeColor="text1"/>
          <w:sz w:val="24"/>
          <w:szCs w:val="24"/>
        </w:rPr>
      </w:pPr>
      <w:r w:rsidRPr="0067046D">
        <w:rPr>
          <w:rFonts w:ascii="Times New Roman" w:hAnsi="Times New Roman" w:cs="Times New Roman"/>
          <w:color w:val="222222"/>
          <w:sz w:val="24"/>
          <w:szCs w:val="24"/>
          <w:shd w:val="clear" w:color="auto" w:fill="FFFFFF"/>
        </w:rPr>
        <w:t>Shah, H. A., &amp; Shah, A. (2016). The relationship between judicial efficiency and corporate cash holdings: An international study. </w:t>
      </w:r>
      <w:r w:rsidRPr="0067046D">
        <w:rPr>
          <w:rFonts w:ascii="Times New Roman" w:hAnsi="Times New Roman" w:cs="Times New Roman"/>
          <w:i/>
          <w:iCs/>
          <w:color w:val="222222"/>
          <w:sz w:val="24"/>
          <w:szCs w:val="24"/>
          <w:shd w:val="clear" w:color="auto" w:fill="FFFFFF"/>
        </w:rPr>
        <w:t>Economic Modelling</w:t>
      </w:r>
      <w:r w:rsidRPr="0067046D">
        <w:rPr>
          <w:rFonts w:ascii="Times New Roman" w:hAnsi="Times New Roman" w:cs="Times New Roman"/>
          <w:color w:val="222222"/>
          <w:sz w:val="24"/>
          <w:szCs w:val="24"/>
          <w:shd w:val="clear" w:color="auto" w:fill="FFFFFF"/>
        </w:rPr>
        <w:t>, </w:t>
      </w:r>
      <w:r w:rsidRPr="0067046D">
        <w:rPr>
          <w:rFonts w:ascii="Times New Roman" w:hAnsi="Times New Roman" w:cs="Times New Roman"/>
          <w:i/>
          <w:iCs/>
          <w:color w:val="222222"/>
          <w:sz w:val="24"/>
          <w:szCs w:val="24"/>
          <w:shd w:val="clear" w:color="auto" w:fill="FFFFFF"/>
        </w:rPr>
        <w:t>59</w:t>
      </w:r>
      <w:r w:rsidRPr="0067046D">
        <w:rPr>
          <w:rFonts w:ascii="Times New Roman" w:hAnsi="Times New Roman" w:cs="Times New Roman"/>
          <w:color w:val="222222"/>
          <w:sz w:val="24"/>
          <w:szCs w:val="24"/>
          <w:shd w:val="clear" w:color="auto" w:fill="FFFFFF"/>
        </w:rPr>
        <w:t>, 448-462.</w:t>
      </w:r>
    </w:p>
    <w:p w14:paraId="32BF9EA6" w14:textId="77777777" w:rsidR="000004BF" w:rsidRPr="00BE65C7" w:rsidRDefault="000004BF" w:rsidP="00425131">
      <w:pPr>
        <w:pStyle w:val="CitaviBibliographyEntry"/>
        <w:tabs>
          <w:tab w:val="clear" w:pos="340"/>
          <w:tab w:val="left" w:pos="0"/>
        </w:tabs>
        <w:ind w:left="0" w:firstLine="0"/>
        <w:jc w:val="both"/>
        <w:rPr>
          <w:rFonts w:ascii="Times New Roman" w:hAnsi="Times New Roman" w:cs="Times New Roman"/>
          <w:color w:val="000000" w:themeColor="text1"/>
          <w:sz w:val="24"/>
          <w:szCs w:val="24"/>
        </w:rPr>
      </w:pPr>
    </w:p>
    <w:p w14:paraId="4233200D" w14:textId="3C08EA1A" w:rsidR="000004BF" w:rsidRPr="00BE65C7" w:rsidRDefault="000004BF" w:rsidP="000004BF">
      <w:pPr>
        <w:spacing w:line="24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Shleifer, A., </w:t>
      </w:r>
      <w:r w:rsidR="008D3FE5" w:rsidRPr="00BE65C7">
        <w:rPr>
          <w:rFonts w:ascii="Times New Roman" w:hAnsi="Times New Roman" w:cs="Times New Roman"/>
          <w:color w:val="000000" w:themeColor="text1"/>
          <w:sz w:val="24"/>
          <w:szCs w:val="24"/>
        </w:rPr>
        <w:t>and</w:t>
      </w:r>
      <w:r w:rsidRPr="00BE65C7">
        <w:rPr>
          <w:rFonts w:ascii="Times New Roman" w:hAnsi="Times New Roman" w:cs="Times New Roman"/>
          <w:color w:val="000000" w:themeColor="text1"/>
          <w:sz w:val="24"/>
          <w:szCs w:val="24"/>
        </w:rPr>
        <w:t xml:space="preserve"> </w:t>
      </w:r>
      <w:proofErr w:type="spellStart"/>
      <w:r w:rsidRPr="00BE65C7">
        <w:rPr>
          <w:rFonts w:ascii="Times New Roman" w:hAnsi="Times New Roman" w:cs="Times New Roman"/>
          <w:color w:val="000000" w:themeColor="text1"/>
          <w:sz w:val="24"/>
          <w:szCs w:val="24"/>
        </w:rPr>
        <w:t>Vishny</w:t>
      </w:r>
      <w:proofErr w:type="spellEnd"/>
      <w:r w:rsidRPr="00BE65C7">
        <w:rPr>
          <w:rFonts w:ascii="Times New Roman" w:hAnsi="Times New Roman" w:cs="Times New Roman"/>
          <w:color w:val="000000" w:themeColor="text1"/>
          <w:sz w:val="24"/>
          <w:szCs w:val="24"/>
        </w:rPr>
        <w:t xml:space="preserve">, R., 1986. Large shareholders and corporate control. </w:t>
      </w:r>
      <w:r w:rsidRPr="00BE65C7">
        <w:rPr>
          <w:rFonts w:ascii="Times New Roman" w:hAnsi="Times New Roman" w:cs="Times New Roman"/>
          <w:i/>
          <w:iCs/>
          <w:color w:val="000000" w:themeColor="text1"/>
          <w:sz w:val="24"/>
          <w:szCs w:val="24"/>
        </w:rPr>
        <w:t>Journal of Political Economy</w:t>
      </w:r>
      <w:r w:rsidRPr="00BE65C7">
        <w:rPr>
          <w:rFonts w:ascii="Times New Roman" w:hAnsi="Times New Roman" w:cs="Times New Roman"/>
          <w:color w:val="000000" w:themeColor="text1"/>
          <w:sz w:val="24"/>
          <w:szCs w:val="24"/>
        </w:rPr>
        <w:t>, 94(3), 461–488.</w:t>
      </w:r>
    </w:p>
    <w:p w14:paraId="5D631F2F" w14:textId="2196919F" w:rsidR="00F52831" w:rsidRPr="00BE65C7" w:rsidRDefault="000004BF" w:rsidP="000004BF">
      <w:pPr>
        <w:spacing w:line="24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Shleifer, A., </w:t>
      </w:r>
      <w:r w:rsidR="008D3FE5" w:rsidRPr="00BE65C7">
        <w:rPr>
          <w:rFonts w:ascii="Times New Roman" w:hAnsi="Times New Roman" w:cs="Times New Roman"/>
          <w:color w:val="000000" w:themeColor="text1"/>
          <w:sz w:val="24"/>
          <w:szCs w:val="24"/>
        </w:rPr>
        <w:t>and</w:t>
      </w:r>
      <w:r w:rsidRPr="00BE65C7">
        <w:rPr>
          <w:rFonts w:ascii="Times New Roman" w:hAnsi="Times New Roman" w:cs="Times New Roman"/>
          <w:color w:val="000000" w:themeColor="text1"/>
          <w:sz w:val="24"/>
          <w:szCs w:val="24"/>
        </w:rPr>
        <w:t xml:space="preserve"> </w:t>
      </w:r>
      <w:proofErr w:type="spellStart"/>
      <w:r w:rsidRPr="00BE65C7">
        <w:rPr>
          <w:rFonts w:ascii="Times New Roman" w:hAnsi="Times New Roman" w:cs="Times New Roman"/>
          <w:color w:val="000000" w:themeColor="text1"/>
          <w:sz w:val="24"/>
          <w:szCs w:val="24"/>
        </w:rPr>
        <w:t>Vishny</w:t>
      </w:r>
      <w:proofErr w:type="spellEnd"/>
      <w:r w:rsidRPr="00BE65C7">
        <w:rPr>
          <w:rFonts w:ascii="Times New Roman" w:hAnsi="Times New Roman" w:cs="Times New Roman"/>
          <w:color w:val="000000" w:themeColor="text1"/>
          <w:sz w:val="24"/>
          <w:szCs w:val="24"/>
        </w:rPr>
        <w:t xml:space="preserve">, R., 1997. A survey of corporate governance. </w:t>
      </w:r>
      <w:r w:rsidRPr="00BE65C7">
        <w:rPr>
          <w:rFonts w:ascii="Times New Roman" w:hAnsi="Times New Roman" w:cs="Times New Roman"/>
          <w:i/>
          <w:iCs/>
          <w:color w:val="000000" w:themeColor="text1"/>
          <w:sz w:val="24"/>
          <w:szCs w:val="24"/>
        </w:rPr>
        <w:t>The Journal of Finance</w:t>
      </w:r>
      <w:r w:rsidRPr="00BE65C7">
        <w:rPr>
          <w:rFonts w:ascii="Times New Roman" w:hAnsi="Times New Roman" w:cs="Times New Roman"/>
          <w:color w:val="000000" w:themeColor="text1"/>
          <w:sz w:val="24"/>
          <w:szCs w:val="24"/>
        </w:rPr>
        <w:t>, 52(2), 737–783.</w:t>
      </w:r>
    </w:p>
    <w:p w14:paraId="3EB036C0" w14:textId="057958ED"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Sun, Z., and Wang, Y., 2013. Does ownership structure matter? Evidence from firms</w:t>
      </w:r>
      <w:r w:rsidR="00E437C7" w:rsidRPr="00BE65C7">
        <w:rPr>
          <w:rFonts w:ascii="Times New Roman" w:hAnsi="Times New Roman" w:cs="Times New Roman"/>
          <w:color w:val="000000" w:themeColor="text1"/>
          <w:sz w:val="24"/>
          <w:szCs w:val="24"/>
        </w:rPr>
        <w:t>'</w:t>
      </w:r>
      <w:r w:rsidRPr="00BE65C7">
        <w:rPr>
          <w:rFonts w:ascii="Times New Roman" w:hAnsi="Times New Roman" w:cs="Times New Roman"/>
          <w:color w:val="000000" w:themeColor="text1"/>
          <w:sz w:val="24"/>
          <w:szCs w:val="24"/>
        </w:rPr>
        <w:t xml:space="preserve"> excess</w:t>
      </w:r>
      <w:r w:rsidR="00425131" w:rsidRPr="00BE65C7">
        <w:rPr>
          <w:rFonts w:ascii="Times New Roman" w:hAnsi="Times New Roman" w:cs="Times New Roman"/>
          <w:color w:val="000000" w:themeColor="text1"/>
          <w:sz w:val="24"/>
          <w:szCs w:val="24"/>
        </w:rPr>
        <w:t xml:space="preserve"> </w:t>
      </w:r>
      <w:r w:rsidRPr="00BE65C7">
        <w:rPr>
          <w:rFonts w:ascii="Times New Roman" w:hAnsi="Times New Roman" w:cs="Times New Roman"/>
          <w:color w:val="000000" w:themeColor="text1"/>
          <w:sz w:val="24"/>
          <w:szCs w:val="24"/>
        </w:rPr>
        <w:t xml:space="preserve">cash holdings in China. </w:t>
      </w:r>
      <w:r w:rsidRPr="00BE65C7">
        <w:rPr>
          <w:rFonts w:ascii="Times New Roman" w:hAnsi="Times New Roman" w:cs="Times New Roman"/>
          <w:i/>
          <w:iCs/>
          <w:color w:val="000000" w:themeColor="text1"/>
          <w:sz w:val="24"/>
          <w:szCs w:val="24"/>
        </w:rPr>
        <w:t>The European Journal of Finance</w:t>
      </w:r>
      <w:r w:rsidRPr="00BE65C7">
        <w:rPr>
          <w:rFonts w:ascii="Times New Roman" w:hAnsi="Times New Roman" w:cs="Times New Roman"/>
          <w:color w:val="000000" w:themeColor="text1"/>
          <w:sz w:val="24"/>
          <w:szCs w:val="24"/>
        </w:rPr>
        <w:t>, 22 (4-6), 463-483.</w:t>
      </w:r>
    </w:p>
    <w:p w14:paraId="09313414" w14:textId="77777777"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p>
    <w:p w14:paraId="3FA78BF4" w14:textId="2B0FE087"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Stulz, R.M., 1999. Globalization, corporate </w:t>
      </w:r>
      <w:r w:rsidR="00AE0325" w:rsidRPr="00BE65C7">
        <w:rPr>
          <w:rFonts w:ascii="Times New Roman" w:hAnsi="Times New Roman" w:cs="Times New Roman"/>
          <w:color w:val="000000" w:themeColor="text1"/>
          <w:sz w:val="24"/>
          <w:szCs w:val="24"/>
        </w:rPr>
        <w:t>finance,</w:t>
      </w:r>
      <w:r w:rsidRPr="00BE65C7">
        <w:rPr>
          <w:rFonts w:ascii="Times New Roman" w:hAnsi="Times New Roman" w:cs="Times New Roman"/>
          <w:color w:val="000000" w:themeColor="text1"/>
          <w:sz w:val="24"/>
          <w:szCs w:val="24"/>
        </w:rPr>
        <w:t xml:space="preserve"> and the cost of capital. </w:t>
      </w:r>
      <w:r w:rsidRPr="00BE65C7">
        <w:rPr>
          <w:rFonts w:ascii="Times New Roman" w:hAnsi="Times New Roman" w:cs="Times New Roman"/>
          <w:i/>
          <w:iCs/>
          <w:color w:val="000000" w:themeColor="text1"/>
          <w:sz w:val="24"/>
          <w:szCs w:val="24"/>
        </w:rPr>
        <w:t>Journal of Applied Corporate Finance</w:t>
      </w:r>
      <w:r w:rsidRPr="00BE65C7">
        <w:rPr>
          <w:rFonts w:ascii="Times New Roman" w:hAnsi="Times New Roman" w:cs="Times New Roman"/>
          <w:color w:val="000000" w:themeColor="text1"/>
          <w:sz w:val="24"/>
          <w:szCs w:val="24"/>
        </w:rPr>
        <w:t>, 12 (3), 8-25.</w:t>
      </w:r>
    </w:p>
    <w:p w14:paraId="19B0DB52" w14:textId="77777777"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p>
    <w:p w14:paraId="30DA9DCD" w14:textId="77777777"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Stulz, R.M., 2005. The limits of financial globalization. </w:t>
      </w:r>
      <w:r w:rsidRPr="00BE65C7">
        <w:rPr>
          <w:rFonts w:ascii="Times New Roman" w:hAnsi="Times New Roman" w:cs="Times New Roman"/>
          <w:i/>
          <w:iCs/>
          <w:color w:val="000000" w:themeColor="text1"/>
          <w:sz w:val="24"/>
          <w:szCs w:val="24"/>
        </w:rPr>
        <w:t>The Journal of Finance</w:t>
      </w:r>
      <w:r w:rsidRPr="00BE65C7">
        <w:rPr>
          <w:rFonts w:ascii="Times New Roman" w:hAnsi="Times New Roman" w:cs="Times New Roman"/>
          <w:color w:val="000000" w:themeColor="text1"/>
          <w:sz w:val="24"/>
          <w:szCs w:val="24"/>
        </w:rPr>
        <w:t>, 60 (4), 1595-1638.</w:t>
      </w:r>
    </w:p>
    <w:p w14:paraId="4DE4801D" w14:textId="77777777"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p>
    <w:p w14:paraId="5213ACAE" w14:textId="21D63BDF" w:rsidR="00F52831"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Thakur, B.P.S., and Kannadhasan, M., 2019. Corruption and cash holdings: Evidence from emerging market economies. </w:t>
      </w:r>
      <w:r w:rsidRPr="00BE65C7">
        <w:rPr>
          <w:rFonts w:ascii="Times New Roman" w:hAnsi="Times New Roman" w:cs="Times New Roman"/>
          <w:i/>
          <w:iCs/>
          <w:color w:val="000000" w:themeColor="text1"/>
          <w:sz w:val="24"/>
          <w:szCs w:val="24"/>
        </w:rPr>
        <w:t>Emerging Market Review</w:t>
      </w:r>
      <w:r w:rsidRPr="00BE65C7">
        <w:rPr>
          <w:rFonts w:ascii="Times New Roman" w:hAnsi="Times New Roman" w:cs="Times New Roman"/>
          <w:color w:val="000000" w:themeColor="text1"/>
          <w:sz w:val="24"/>
          <w:szCs w:val="24"/>
        </w:rPr>
        <w:t>, 38, 1-17.</w:t>
      </w:r>
    </w:p>
    <w:p w14:paraId="32C39834" w14:textId="77777777" w:rsidR="00870B69" w:rsidRDefault="00870B69"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p>
    <w:p w14:paraId="16BAC846" w14:textId="6B96461B" w:rsidR="00870B69" w:rsidRPr="00870B69" w:rsidRDefault="00870B69"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870B69">
        <w:rPr>
          <w:rFonts w:ascii="Times New Roman" w:hAnsi="Times New Roman" w:cs="Times New Roman"/>
          <w:color w:val="222222"/>
          <w:sz w:val="24"/>
          <w:szCs w:val="24"/>
          <w:shd w:val="clear" w:color="auto" w:fill="FFFFFF"/>
        </w:rPr>
        <w:t>Tran, Q. T. (2020). Corruption and corporate cash holdings: international evidence. </w:t>
      </w:r>
      <w:r w:rsidRPr="00870B69">
        <w:rPr>
          <w:rFonts w:ascii="Times New Roman" w:hAnsi="Times New Roman" w:cs="Times New Roman"/>
          <w:i/>
          <w:iCs/>
          <w:color w:val="222222"/>
          <w:sz w:val="24"/>
          <w:szCs w:val="24"/>
          <w:shd w:val="clear" w:color="auto" w:fill="FFFFFF"/>
        </w:rPr>
        <w:t>Journal of Multinational Financial Management</w:t>
      </w:r>
      <w:r w:rsidRPr="00870B69">
        <w:rPr>
          <w:rFonts w:ascii="Times New Roman" w:hAnsi="Times New Roman" w:cs="Times New Roman"/>
          <w:color w:val="222222"/>
          <w:sz w:val="24"/>
          <w:szCs w:val="24"/>
          <w:shd w:val="clear" w:color="auto" w:fill="FFFFFF"/>
        </w:rPr>
        <w:t>, </w:t>
      </w:r>
      <w:r w:rsidRPr="00870B69">
        <w:rPr>
          <w:rFonts w:ascii="Times New Roman" w:hAnsi="Times New Roman" w:cs="Times New Roman"/>
          <w:i/>
          <w:iCs/>
          <w:color w:val="222222"/>
          <w:sz w:val="24"/>
          <w:szCs w:val="24"/>
          <w:shd w:val="clear" w:color="auto" w:fill="FFFFFF"/>
        </w:rPr>
        <w:t>54</w:t>
      </w:r>
      <w:r w:rsidRPr="00870B69">
        <w:rPr>
          <w:rFonts w:ascii="Times New Roman" w:hAnsi="Times New Roman" w:cs="Times New Roman"/>
          <w:color w:val="222222"/>
          <w:sz w:val="24"/>
          <w:szCs w:val="24"/>
          <w:shd w:val="clear" w:color="auto" w:fill="FFFFFF"/>
        </w:rPr>
        <w:t>, 100611.</w:t>
      </w:r>
    </w:p>
    <w:p w14:paraId="57D46860" w14:textId="77777777"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p>
    <w:p w14:paraId="0AB50A90" w14:textId="77777777" w:rsidR="00F52831" w:rsidRPr="00BE65C7" w:rsidRDefault="00F52831"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Xu, X., and Li, Y., 2018. Local corruption and corporate cash holdings: Sheltering assets or agency conflicts. </w:t>
      </w:r>
      <w:r w:rsidRPr="00BE65C7">
        <w:rPr>
          <w:rFonts w:ascii="Times New Roman" w:hAnsi="Times New Roman" w:cs="Times New Roman"/>
          <w:i/>
          <w:iCs/>
          <w:color w:val="000000" w:themeColor="text1"/>
          <w:sz w:val="24"/>
          <w:szCs w:val="24"/>
        </w:rPr>
        <w:t>China Journal of Accounting Research</w:t>
      </w:r>
      <w:r w:rsidRPr="00BE65C7">
        <w:rPr>
          <w:rFonts w:ascii="Times New Roman" w:hAnsi="Times New Roman" w:cs="Times New Roman"/>
          <w:color w:val="000000" w:themeColor="text1"/>
          <w:sz w:val="24"/>
          <w:szCs w:val="24"/>
        </w:rPr>
        <w:t>, 11 (4), 307-324.</w:t>
      </w:r>
    </w:p>
    <w:p w14:paraId="01589FC3" w14:textId="77777777" w:rsidR="00A8167E" w:rsidRPr="00BE65C7" w:rsidRDefault="00A8167E"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p>
    <w:p w14:paraId="41D12929" w14:textId="4CE89A78" w:rsidR="00A8167E" w:rsidRPr="00BE65C7" w:rsidRDefault="00A8167E"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Yudan, Z., 2010. Heterogeneous institutional investors and CEO compensation. </w:t>
      </w:r>
      <w:r w:rsidRPr="00BE65C7">
        <w:rPr>
          <w:rFonts w:ascii="Times New Roman" w:hAnsi="Times New Roman" w:cs="Times New Roman"/>
          <w:i/>
          <w:iCs/>
          <w:color w:val="000000" w:themeColor="text1"/>
          <w:sz w:val="24"/>
          <w:szCs w:val="24"/>
        </w:rPr>
        <w:t>Review of Quantitative Finance &amp; Accounting</w:t>
      </w:r>
      <w:r w:rsidRPr="00BE65C7">
        <w:rPr>
          <w:rFonts w:ascii="Times New Roman" w:hAnsi="Times New Roman" w:cs="Times New Roman"/>
          <w:color w:val="000000" w:themeColor="text1"/>
          <w:sz w:val="24"/>
          <w:szCs w:val="24"/>
        </w:rPr>
        <w:t>, 35 (1), 21–46.</w:t>
      </w:r>
    </w:p>
    <w:p w14:paraId="6DF6E1B1" w14:textId="77777777" w:rsidR="00461B9A" w:rsidRPr="00BE65C7" w:rsidRDefault="00461B9A"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p>
    <w:p w14:paraId="4C48AC2B" w14:textId="11AD75D5" w:rsidR="00461B9A" w:rsidRPr="00BE65C7" w:rsidRDefault="00461B9A" w:rsidP="00425131">
      <w:pPr>
        <w:pStyle w:val="CitaviBibliographyEntry"/>
        <w:tabs>
          <w:tab w:val="clear" w:pos="340"/>
          <w:tab w:val="left" w:pos="0"/>
        </w:tabs>
        <w:ind w:left="284" w:hanging="284"/>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Zheng, Y., 2010. Heterogeneous institutional investors and CEO compensation. </w:t>
      </w:r>
      <w:r w:rsidRPr="00BE65C7">
        <w:rPr>
          <w:rFonts w:ascii="Times New Roman" w:hAnsi="Times New Roman" w:cs="Times New Roman"/>
          <w:i/>
          <w:iCs/>
          <w:color w:val="000000" w:themeColor="text1"/>
          <w:sz w:val="24"/>
          <w:szCs w:val="24"/>
        </w:rPr>
        <w:t>Review of Quantitative Finance and Accounting</w:t>
      </w:r>
      <w:r w:rsidRPr="00BE65C7">
        <w:rPr>
          <w:rFonts w:ascii="Times New Roman" w:hAnsi="Times New Roman" w:cs="Times New Roman"/>
          <w:color w:val="000000" w:themeColor="text1"/>
          <w:sz w:val="24"/>
          <w:szCs w:val="24"/>
        </w:rPr>
        <w:t>, 35(1), 21–46.</w:t>
      </w:r>
    </w:p>
    <w:p w14:paraId="5E62E810" w14:textId="77777777" w:rsidR="00F52831" w:rsidRPr="00BE65C7" w:rsidRDefault="00F52831" w:rsidP="00F52831">
      <w:pPr>
        <w:pStyle w:val="CitaviBibliographyEntry"/>
        <w:jc w:val="both"/>
        <w:rPr>
          <w:rFonts w:ascii="Times New Roman" w:hAnsi="Times New Roman" w:cs="Times New Roman"/>
          <w:color w:val="000000" w:themeColor="text1"/>
          <w:sz w:val="24"/>
          <w:szCs w:val="24"/>
        </w:rPr>
      </w:pPr>
    </w:p>
    <w:p w14:paraId="136D9F08" w14:textId="77777777" w:rsidR="00F52831" w:rsidRPr="00BE65C7" w:rsidRDefault="00F52831" w:rsidP="00F52831">
      <w:pPr>
        <w:pStyle w:val="CitaviBibliographyEntry"/>
        <w:ind w:left="0" w:firstLine="0"/>
        <w:jc w:val="both"/>
        <w:rPr>
          <w:rFonts w:ascii="Times New Roman" w:hAnsi="Times New Roman" w:cs="Times New Roman"/>
          <w:color w:val="000000" w:themeColor="text1"/>
          <w:sz w:val="24"/>
          <w:szCs w:val="24"/>
        </w:rPr>
      </w:pPr>
    </w:p>
    <w:p w14:paraId="6F7ABAFD" w14:textId="77777777" w:rsidR="00F52831" w:rsidRPr="00BE65C7" w:rsidRDefault="00F52831" w:rsidP="00F52831">
      <w:pPr>
        <w:jc w:val="both"/>
        <w:rPr>
          <w:rFonts w:ascii="Times New Roman" w:hAnsi="Times New Roman" w:cs="Times New Roman"/>
          <w:color w:val="000000" w:themeColor="text1"/>
        </w:rPr>
      </w:pPr>
    </w:p>
    <w:p w14:paraId="75BAD4EF" w14:textId="0BAB4BE2" w:rsidR="00AB28A0" w:rsidRPr="00BE65C7" w:rsidRDefault="00AE4F40" w:rsidP="00AB28A0">
      <w:pPr>
        <w:spacing w:after="0"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T</w:t>
      </w:r>
      <w:r w:rsidR="00AB28A0" w:rsidRPr="00BE65C7">
        <w:rPr>
          <w:rFonts w:ascii="Times New Roman" w:hAnsi="Times New Roman" w:cs="Times New Roman"/>
          <w:b/>
          <w:bCs/>
          <w:color w:val="000000" w:themeColor="text1"/>
          <w:sz w:val="24"/>
          <w:szCs w:val="24"/>
          <w:lang w:val="en-US"/>
        </w:rPr>
        <w:t xml:space="preserve">able </w:t>
      </w:r>
      <w:r w:rsidR="00A87EC4" w:rsidRPr="00BE65C7">
        <w:rPr>
          <w:rFonts w:ascii="Times New Roman" w:hAnsi="Times New Roman" w:cs="Times New Roman"/>
          <w:b/>
          <w:bCs/>
          <w:color w:val="000000" w:themeColor="text1"/>
          <w:sz w:val="24"/>
          <w:szCs w:val="24"/>
          <w:lang w:val="en-US"/>
        </w:rPr>
        <w:t>2</w:t>
      </w:r>
    </w:p>
    <w:p w14:paraId="1B87CF09" w14:textId="77777777" w:rsidR="00AB28A0" w:rsidRPr="00BE65C7" w:rsidRDefault="00AB28A0" w:rsidP="00AB28A0">
      <w:pPr>
        <w:spacing w:after="0"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Descriptive statistics</w:t>
      </w:r>
    </w:p>
    <w:p w14:paraId="010382DE" w14:textId="30D99904" w:rsidR="00AB28A0" w:rsidRPr="00BE65C7" w:rsidRDefault="00AB28A0" w:rsidP="00AB28A0">
      <w:pPr>
        <w:spacing w:after="0" w:line="360" w:lineRule="auto"/>
        <w:jc w:val="center"/>
        <w:rPr>
          <w:rFonts w:ascii="Times New Roman" w:hAnsi="Times New Roman" w:cs="Times New Roman"/>
          <w:b/>
          <w:bCs/>
          <w:color w:val="000000" w:themeColor="text1"/>
        </w:rPr>
      </w:pPr>
      <w:r w:rsidRPr="00BE65C7">
        <w:rPr>
          <w:rFonts w:ascii="Times New Roman" w:hAnsi="Times New Roman" w:cs="Times New Roman"/>
          <w:b/>
          <w:bCs/>
          <w:color w:val="000000" w:themeColor="text1"/>
        </w:rPr>
        <w:t xml:space="preserve">Panel A: Emerging </w:t>
      </w:r>
      <w:r w:rsidR="00F72937">
        <w:rPr>
          <w:rFonts w:ascii="Times New Roman" w:hAnsi="Times New Roman" w:cs="Times New Roman"/>
          <w:b/>
          <w:bCs/>
          <w:color w:val="000000" w:themeColor="text1"/>
        </w:rPr>
        <w:t>Economies</w:t>
      </w:r>
    </w:p>
    <w:tbl>
      <w:tblPr>
        <w:tblStyle w:val="TableGrid"/>
        <w:tblW w:w="9016" w:type="dxa"/>
        <w:tblInd w:w="-5" w:type="dxa"/>
        <w:tblLook w:val="04A0" w:firstRow="1" w:lastRow="0" w:firstColumn="1" w:lastColumn="0" w:noHBand="0" w:noVBand="1"/>
      </w:tblPr>
      <w:tblGrid>
        <w:gridCol w:w="1451"/>
        <w:gridCol w:w="1239"/>
        <w:gridCol w:w="1255"/>
        <w:gridCol w:w="1271"/>
        <w:gridCol w:w="1272"/>
        <w:gridCol w:w="1274"/>
        <w:gridCol w:w="1254"/>
      </w:tblGrid>
      <w:tr w:rsidR="00BE65C7" w:rsidRPr="00DB450A" w14:paraId="7010FD23" w14:textId="77777777" w:rsidTr="00DB450A">
        <w:tc>
          <w:tcPr>
            <w:tcW w:w="1451" w:type="dxa"/>
          </w:tcPr>
          <w:p w14:paraId="7EC020F6" w14:textId="77777777" w:rsidR="00AB28A0" w:rsidRPr="00DB450A" w:rsidRDefault="00AB28A0" w:rsidP="00443A1A">
            <w:pPr>
              <w:spacing w:line="360" w:lineRule="auto"/>
              <w:jc w:val="both"/>
              <w:rPr>
                <w:rFonts w:ascii="Times New Roman" w:hAnsi="Times New Roman" w:cs="Times New Roman"/>
                <w:color w:val="000000" w:themeColor="text1"/>
              </w:rPr>
            </w:pPr>
          </w:p>
        </w:tc>
        <w:tc>
          <w:tcPr>
            <w:tcW w:w="1239" w:type="dxa"/>
          </w:tcPr>
          <w:p w14:paraId="2BBD84EA"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Mean</w:t>
            </w:r>
          </w:p>
        </w:tc>
        <w:tc>
          <w:tcPr>
            <w:tcW w:w="1255" w:type="dxa"/>
          </w:tcPr>
          <w:p w14:paraId="20A0DAA7"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Median</w:t>
            </w:r>
          </w:p>
        </w:tc>
        <w:tc>
          <w:tcPr>
            <w:tcW w:w="1271" w:type="dxa"/>
          </w:tcPr>
          <w:p w14:paraId="55F103BF" w14:textId="4A005478"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 xml:space="preserve">Standard Deviation </w:t>
            </w:r>
          </w:p>
        </w:tc>
        <w:tc>
          <w:tcPr>
            <w:tcW w:w="1272" w:type="dxa"/>
          </w:tcPr>
          <w:p w14:paraId="1A299061" w14:textId="09B5522B"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Minimum</w:t>
            </w:r>
          </w:p>
        </w:tc>
        <w:tc>
          <w:tcPr>
            <w:tcW w:w="1274" w:type="dxa"/>
          </w:tcPr>
          <w:p w14:paraId="4794927C" w14:textId="0A517755"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Maximum</w:t>
            </w:r>
          </w:p>
        </w:tc>
        <w:tc>
          <w:tcPr>
            <w:tcW w:w="1254" w:type="dxa"/>
          </w:tcPr>
          <w:p w14:paraId="29C47032"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Obs.</w:t>
            </w:r>
          </w:p>
        </w:tc>
      </w:tr>
      <w:tr w:rsidR="00BE65C7" w:rsidRPr="00DB450A" w14:paraId="3CCE15EE" w14:textId="77777777" w:rsidTr="00DB450A">
        <w:tc>
          <w:tcPr>
            <w:tcW w:w="1451" w:type="dxa"/>
          </w:tcPr>
          <w:p w14:paraId="108BB128"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Cash</w:t>
            </w:r>
          </w:p>
        </w:tc>
        <w:tc>
          <w:tcPr>
            <w:tcW w:w="1239" w:type="dxa"/>
          </w:tcPr>
          <w:p w14:paraId="5A180227"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0.168</w:t>
            </w:r>
          </w:p>
        </w:tc>
        <w:tc>
          <w:tcPr>
            <w:tcW w:w="1255" w:type="dxa"/>
          </w:tcPr>
          <w:p w14:paraId="66177BF7"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0.113</w:t>
            </w:r>
          </w:p>
        </w:tc>
        <w:tc>
          <w:tcPr>
            <w:tcW w:w="1271" w:type="dxa"/>
          </w:tcPr>
          <w:p w14:paraId="2DFB9EDA"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0.009</w:t>
            </w:r>
          </w:p>
        </w:tc>
        <w:tc>
          <w:tcPr>
            <w:tcW w:w="1272" w:type="dxa"/>
          </w:tcPr>
          <w:p w14:paraId="2909EF28"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0.341</w:t>
            </w:r>
          </w:p>
        </w:tc>
        <w:tc>
          <w:tcPr>
            <w:tcW w:w="1274" w:type="dxa"/>
          </w:tcPr>
          <w:p w14:paraId="7D28A2D3"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0.105</w:t>
            </w:r>
          </w:p>
        </w:tc>
        <w:tc>
          <w:tcPr>
            <w:tcW w:w="1254" w:type="dxa"/>
          </w:tcPr>
          <w:p w14:paraId="1AFB7BEE" w14:textId="77777777" w:rsidR="00AB28A0" w:rsidRPr="00DB450A" w:rsidRDefault="00AB28A0" w:rsidP="00443A1A">
            <w:pPr>
              <w:rPr>
                <w:color w:val="000000" w:themeColor="text1"/>
              </w:rPr>
            </w:pPr>
            <w:r w:rsidRPr="00DB450A">
              <w:rPr>
                <w:rFonts w:ascii="Times New Roman" w:hAnsi="Times New Roman" w:cs="Times New Roman"/>
                <w:color w:val="000000" w:themeColor="text1"/>
              </w:rPr>
              <w:t>150372</w:t>
            </w:r>
          </w:p>
        </w:tc>
      </w:tr>
      <w:tr w:rsidR="00BE65C7" w:rsidRPr="00DB450A" w14:paraId="51D48552" w14:textId="77777777" w:rsidTr="00DB450A">
        <w:tc>
          <w:tcPr>
            <w:tcW w:w="1451" w:type="dxa"/>
          </w:tcPr>
          <w:p w14:paraId="542F0C89"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NWC</w:t>
            </w:r>
          </w:p>
        </w:tc>
        <w:tc>
          <w:tcPr>
            <w:tcW w:w="1239" w:type="dxa"/>
          </w:tcPr>
          <w:p w14:paraId="2C00D92F"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0.115</w:t>
            </w:r>
          </w:p>
        </w:tc>
        <w:tc>
          <w:tcPr>
            <w:tcW w:w="1255" w:type="dxa"/>
          </w:tcPr>
          <w:p w14:paraId="3798ABC1"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0.134</w:t>
            </w:r>
          </w:p>
        </w:tc>
        <w:tc>
          <w:tcPr>
            <w:tcW w:w="1271" w:type="dxa"/>
          </w:tcPr>
          <w:p w14:paraId="7701D01F"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-1.005</w:t>
            </w:r>
          </w:p>
        </w:tc>
        <w:tc>
          <w:tcPr>
            <w:tcW w:w="1272" w:type="dxa"/>
          </w:tcPr>
          <w:p w14:paraId="1B9A1A45"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0.723</w:t>
            </w:r>
          </w:p>
        </w:tc>
        <w:tc>
          <w:tcPr>
            <w:tcW w:w="1274" w:type="dxa"/>
          </w:tcPr>
          <w:p w14:paraId="01EE76DA"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0.195</w:t>
            </w:r>
          </w:p>
        </w:tc>
        <w:tc>
          <w:tcPr>
            <w:tcW w:w="1254" w:type="dxa"/>
          </w:tcPr>
          <w:p w14:paraId="34523BFF" w14:textId="77777777" w:rsidR="00AB28A0" w:rsidRPr="00DB450A" w:rsidRDefault="00AB28A0" w:rsidP="00443A1A">
            <w:pPr>
              <w:rPr>
                <w:color w:val="000000" w:themeColor="text1"/>
              </w:rPr>
            </w:pPr>
            <w:r w:rsidRPr="00DB450A">
              <w:rPr>
                <w:rFonts w:ascii="Times New Roman" w:hAnsi="Times New Roman" w:cs="Times New Roman"/>
                <w:color w:val="000000" w:themeColor="text1"/>
              </w:rPr>
              <w:t>150372</w:t>
            </w:r>
          </w:p>
        </w:tc>
      </w:tr>
      <w:tr w:rsidR="00BE65C7" w:rsidRPr="00DB450A" w14:paraId="37C243C6" w14:textId="77777777" w:rsidTr="00DB450A">
        <w:tc>
          <w:tcPr>
            <w:tcW w:w="1451" w:type="dxa"/>
          </w:tcPr>
          <w:p w14:paraId="610B89E8"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PPE</w:t>
            </w:r>
          </w:p>
        </w:tc>
        <w:tc>
          <w:tcPr>
            <w:tcW w:w="1239" w:type="dxa"/>
          </w:tcPr>
          <w:p w14:paraId="12B6716F"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0.322</w:t>
            </w:r>
          </w:p>
        </w:tc>
        <w:tc>
          <w:tcPr>
            <w:tcW w:w="1255" w:type="dxa"/>
          </w:tcPr>
          <w:p w14:paraId="7C2A753B"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0.267</w:t>
            </w:r>
          </w:p>
        </w:tc>
        <w:tc>
          <w:tcPr>
            <w:tcW w:w="1271" w:type="dxa"/>
          </w:tcPr>
          <w:p w14:paraId="03E04456"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0.006</w:t>
            </w:r>
          </w:p>
        </w:tc>
        <w:tc>
          <w:tcPr>
            <w:tcW w:w="1272" w:type="dxa"/>
          </w:tcPr>
          <w:p w14:paraId="4DAA39EF"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0.879</w:t>
            </w:r>
          </w:p>
        </w:tc>
        <w:tc>
          <w:tcPr>
            <w:tcW w:w="1274" w:type="dxa"/>
          </w:tcPr>
          <w:p w14:paraId="167D637D"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0.252</w:t>
            </w:r>
          </w:p>
        </w:tc>
        <w:tc>
          <w:tcPr>
            <w:tcW w:w="1254" w:type="dxa"/>
          </w:tcPr>
          <w:p w14:paraId="635E67D5" w14:textId="77777777" w:rsidR="00AB28A0" w:rsidRPr="00DB450A" w:rsidRDefault="00AB28A0" w:rsidP="00443A1A">
            <w:pPr>
              <w:rPr>
                <w:color w:val="000000" w:themeColor="text1"/>
              </w:rPr>
            </w:pPr>
            <w:r w:rsidRPr="00DB450A">
              <w:rPr>
                <w:rFonts w:ascii="Times New Roman" w:hAnsi="Times New Roman" w:cs="Times New Roman"/>
                <w:color w:val="000000" w:themeColor="text1"/>
              </w:rPr>
              <w:t>150372</w:t>
            </w:r>
          </w:p>
        </w:tc>
      </w:tr>
      <w:tr w:rsidR="00BE65C7" w:rsidRPr="00DB450A" w14:paraId="40A97865" w14:textId="77777777" w:rsidTr="00DB450A">
        <w:tc>
          <w:tcPr>
            <w:tcW w:w="1451" w:type="dxa"/>
          </w:tcPr>
          <w:p w14:paraId="32AEE443"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R&amp;D</w:t>
            </w:r>
          </w:p>
        </w:tc>
        <w:tc>
          <w:tcPr>
            <w:tcW w:w="1239" w:type="dxa"/>
          </w:tcPr>
          <w:p w14:paraId="7A77B64D"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0.011</w:t>
            </w:r>
          </w:p>
        </w:tc>
        <w:tc>
          <w:tcPr>
            <w:tcW w:w="1255" w:type="dxa"/>
          </w:tcPr>
          <w:p w14:paraId="5D99B19D"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0.000</w:t>
            </w:r>
          </w:p>
        </w:tc>
        <w:tc>
          <w:tcPr>
            <w:tcW w:w="1271" w:type="dxa"/>
          </w:tcPr>
          <w:p w14:paraId="6C3FC7CC"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0.000</w:t>
            </w:r>
          </w:p>
        </w:tc>
        <w:tc>
          <w:tcPr>
            <w:tcW w:w="1272" w:type="dxa"/>
          </w:tcPr>
          <w:p w14:paraId="65E0CF4C"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0.50</w:t>
            </w:r>
          </w:p>
        </w:tc>
        <w:tc>
          <w:tcPr>
            <w:tcW w:w="1274" w:type="dxa"/>
          </w:tcPr>
          <w:p w14:paraId="7C7D8FEA"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0.05</w:t>
            </w:r>
          </w:p>
        </w:tc>
        <w:tc>
          <w:tcPr>
            <w:tcW w:w="1254" w:type="dxa"/>
          </w:tcPr>
          <w:p w14:paraId="78070721" w14:textId="77777777" w:rsidR="00AB28A0" w:rsidRPr="00DB450A" w:rsidRDefault="00AB28A0" w:rsidP="00443A1A">
            <w:pPr>
              <w:rPr>
                <w:color w:val="000000" w:themeColor="text1"/>
              </w:rPr>
            </w:pPr>
            <w:r w:rsidRPr="00DB450A">
              <w:rPr>
                <w:rFonts w:ascii="Times New Roman" w:hAnsi="Times New Roman" w:cs="Times New Roman"/>
                <w:color w:val="000000" w:themeColor="text1"/>
              </w:rPr>
              <w:t>150372</w:t>
            </w:r>
          </w:p>
        </w:tc>
      </w:tr>
      <w:tr w:rsidR="00BE65C7" w:rsidRPr="00DB450A" w14:paraId="6943EEC4" w14:textId="77777777" w:rsidTr="00DB450A">
        <w:tc>
          <w:tcPr>
            <w:tcW w:w="1451" w:type="dxa"/>
          </w:tcPr>
          <w:p w14:paraId="337A54F9" w14:textId="77777777" w:rsidR="00AB28A0" w:rsidRPr="00DB450A" w:rsidRDefault="00AB28A0" w:rsidP="00443A1A">
            <w:pPr>
              <w:spacing w:line="360" w:lineRule="auto"/>
              <w:jc w:val="both"/>
              <w:rPr>
                <w:rFonts w:ascii="Times New Roman" w:hAnsi="Times New Roman" w:cs="Times New Roman"/>
                <w:color w:val="000000" w:themeColor="text1"/>
              </w:rPr>
            </w:pPr>
            <w:proofErr w:type="spellStart"/>
            <w:r w:rsidRPr="00DB450A">
              <w:rPr>
                <w:rFonts w:ascii="Times New Roman" w:hAnsi="Times New Roman" w:cs="Times New Roman"/>
                <w:color w:val="000000" w:themeColor="text1"/>
              </w:rPr>
              <w:t>SA_Index</w:t>
            </w:r>
            <w:proofErr w:type="spellEnd"/>
          </w:p>
        </w:tc>
        <w:tc>
          <w:tcPr>
            <w:tcW w:w="1239" w:type="dxa"/>
          </w:tcPr>
          <w:p w14:paraId="771AB303"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-4.86</w:t>
            </w:r>
          </w:p>
        </w:tc>
        <w:tc>
          <w:tcPr>
            <w:tcW w:w="1255" w:type="dxa"/>
          </w:tcPr>
          <w:p w14:paraId="56528322"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-4.47</w:t>
            </w:r>
          </w:p>
        </w:tc>
        <w:tc>
          <w:tcPr>
            <w:tcW w:w="1271" w:type="dxa"/>
          </w:tcPr>
          <w:p w14:paraId="367D91BC"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-8.43</w:t>
            </w:r>
          </w:p>
        </w:tc>
        <w:tc>
          <w:tcPr>
            <w:tcW w:w="1272" w:type="dxa"/>
          </w:tcPr>
          <w:p w14:paraId="0A4C9FBC"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-1.9</w:t>
            </w:r>
          </w:p>
        </w:tc>
        <w:tc>
          <w:tcPr>
            <w:tcW w:w="1274" w:type="dxa"/>
          </w:tcPr>
          <w:p w14:paraId="389898E2"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1.76</w:t>
            </w:r>
          </w:p>
        </w:tc>
        <w:tc>
          <w:tcPr>
            <w:tcW w:w="1254" w:type="dxa"/>
          </w:tcPr>
          <w:p w14:paraId="512DE8AC" w14:textId="77777777" w:rsidR="00AB28A0" w:rsidRPr="00DB450A" w:rsidRDefault="00AB28A0" w:rsidP="00443A1A">
            <w:pPr>
              <w:rPr>
                <w:color w:val="000000" w:themeColor="text1"/>
              </w:rPr>
            </w:pPr>
            <w:r w:rsidRPr="00DB450A">
              <w:rPr>
                <w:rFonts w:ascii="Times New Roman" w:hAnsi="Times New Roman" w:cs="Times New Roman"/>
                <w:color w:val="000000" w:themeColor="text1"/>
              </w:rPr>
              <w:t>150372</w:t>
            </w:r>
          </w:p>
        </w:tc>
      </w:tr>
      <w:tr w:rsidR="00BE65C7" w:rsidRPr="00DB450A" w14:paraId="3DDABE4A" w14:textId="77777777" w:rsidTr="00DB450A">
        <w:tc>
          <w:tcPr>
            <w:tcW w:w="1451" w:type="dxa"/>
          </w:tcPr>
          <w:p w14:paraId="6E2BBEB3" w14:textId="3883649A"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3_yr_sales_gr</w:t>
            </w:r>
          </w:p>
        </w:tc>
        <w:tc>
          <w:tcPr>
            <w:tcW w:w="1239" w:type="dxa"/>
          </w:tcPr>
          <w:p w14:paraId="1F3FCFA4"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0.063</w:t>
            </w:r>
          </w:p>
        </w:tc>
        <w:tc>
          <w:tcPr>
            <w:tcW w:w="1255" w:type="dxa"/>
          </w:tcPr>
          <w:p w14:paraId="6E0D8EBB"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0.024</w:t>
            </w:r>
          </w:p>
        </w:tc>
        <w:tc>
          <w:tcPr>
            <w:tcW w:w="1271" w:type="dxa"/>
          </w:tcPr>
          <w:p w14:paraId="19299911"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-0.129</w:t>
            </w:r>
          </w:p>
        </w:tc>
        <w:tc>
          <w:tcPr>
            <w:tcW w:w="1272" w:type="dxa"/>
          </w:tcPr>
          <w:p w14:paraId="6BE1E1D6"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0.381</w:t>
            </w:r>
          </w:p>
        </w:tc>
        <w:tc>
          <w:tcPr>
            <w:tcW w:w="1274" w:type="dxa"/>
          </w:tcPr>
          <w:p w14:paraId="53A1C594"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0.128</w:t>
            </w:r>
          </w:p>
        </w:tc>
        <w:tc>
          <w:tcPr>
            <w:tcW w:w="1254" w:type="dxa"/>
          </w:tcPr>
          <w:p w14:paraId="00259BE8" w14:textId="77777777" w:rsidR="00AB28A0" w:rsidRPr="00DB450A" w:rsidRDefault="00AB28A0" w:rsidP="00443A1A">
            <w:pPr>
              <w:rPr>
                <w:color w:val="000000" w:themeColor="text1"/>
              </w:rPr>
            </w:pPr>
            <w:r w:rsidRPr="00DB450A">
              <w:rPr>
                <w:rFonts w:ascii="Times New Roman" w:hAnsi="Times New Roman" w:cs="Times New Roman"/>
                <w:color w:val="000000" w:themeColor="text1"/>
              </w:rPr>
              <w:t>150372</w:t>
            </w:r>
          </w:p>
        </w:tc>
      </w:tr>
      <w:tr w:rsidR="00BE65C7" w:rsidRPr="00DB450A" w14:paraId="18EEC36B" w14:textId="77777777" w:rsidTr="00DB450A">
        <w:tc>
          <w:tcPr>
            <w:tcW w:w="1451" w:type="dxa"/>
          </w:tcPr>
          <w:p w14:paraId="0BC300C4"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Leverage</w:t>
            </w:r>
          </w:p>
        </w:tc>
        <w:tc>
          <w:tcPr>
            <w:tcW w:w="1239" w:type="dxa"/>
          </w:tcPr>
          <w:p w14:paraId="530125EF"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0.202</w:t>
            </w:r>
          </w:p>
        </w:tc>
        <w:tc>
          <w:tcPr>
            <w:tcW w:w="1255" w:type="dxa"/>
          </w:tcPr>
          <w:p w14:paraId="6E192DA5"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0.161</w:t>
            </w:r>
          </w:p>
        </w:tc>
        <w:tc>
          <w:tcPr>
            <w:tcW w:w="1271" w:type="dxa"/>
          </w:tcPr>
          <w:p w14:paraId="56F8FB64"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0.000</w:t>
            </w:r>
          </w:p>
        </w:tc>
        <w:tc>
          <w:tcPr>
            <w:tcW w:w="1272" w:type="dxa"/>
          </w:tcPr>
          <w:p w14:paraId="28D10D43"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0.562</w:t>
            </w:r>
          </w:p>
        </w:tc>
        <w:tc>
          <w:tcPr>
            <w:tcW w:w="1274" w:type="dxa"/>
          </w:tcPr>
          <w:p w14:paraId="76F68653" w14:textId="77777777" w:rsidR="00AB28A0" w:rsidRPr="00DB450A" w:rsidRDefault="00AB28A0" w:rsidP="00443A1A">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0.171</w:t>
            </w:r>
          </w:p>
        </w:tc>
        <w:tc>
          <w:tcPr>
            <w:tcW w:w="1254" w:type="dxa"/>
          </w:tcPr>
          <w:p w14:paraId="6A8C06D3" w14:textId="77777777" w:rsidR="00AB28A0" w:rsidRPr="00DB450A" w:rsidRDefault="00AB28A0" w:rsidP="00443A1A">
            <w:pPr>
              <w:rPr>
                <w:color w:val="000000" w:themeColor="text1"/>
              </w:rPr>
            </w:pPr>
            <w:r w:rsidRPr="00DB450A">
              <w:rPr>
                <w:rFonts w:ascii="Times New Roman" w:hAnsi="Times New Roman" w:cs="Times New Roman"/>
                <w:color w:val="000000" w:themeColor="text1"/>
              </w:rPr>
              <w:t>150372</w:t>
            </w:r>
          </w:p>
        </w:tc>
      </w:tr>
      <w:tr w:rsidR="00BE65C7" w:rsidRPr="00DB450A" w14:paraId="587C47C7" w14:textId="09B74BD5" w:rsidTr="00DB450A">
        <w:tc>
          <w:tcPr>
            <w:tcW w:w="1451" w:type="dxa"/>
          </w:tcPr>
          <w:p w14:paraId="1ACB8F87" w14:textId="0444F388" w:rsidR="00AB28A0" w:rsidRPr="00DB450A" w:rsidRDefault="00AB28A0"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Corruption</w:t>
            </w:r>
          </w:p>
        </w:tc>
        <w:tc>
          <w:tcPr>
            <w:tcW w:w="1239" w:type="dxa"/>
          </w:tcPr>
          <w:p w14:paraId="0E4DF59A" w14:textId="643F6DF0" w:rsidR="00AB28A0" w:rsidRPr="00DB450A" w:rsidRDefault="00AB28A0"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-0.150</w:t>
            </w:r>
          </w:p>
        </w:tc>
        <w:tc>
          <w:tcPr>
            <w:tcW w:w="1255" w:type="dxa"/>
          </w:tcPr>
          <w:p w14:paraId="5FD3DA54" w14:textId="70697F9A" w:rsidR="00AB28A0" w:rsidRPr="00DB450A" w:rsidRDefault="00AB28A0"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-0.365</w:t>
            </w:r>
          </w:p>
        </w:tc>
        <w:tc>
          <w:tcPr>
            <w:tcW w:w="1271" w:type="dxa"/>
          </w:tcPr>
          <w:p w14:paraId="5D6BA9FF" w14:textId="1A513AF9" w:rsidR="00AB28A0" w:rsidRPr="00DB450A" w:rsidRDefault="00AB28A0"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0.1401</w:t>
            </w:r>
          </w:p>
        </w:tc>
        <w:tc>
          <w:tcPr>
            <w:tcW w:w="1272" w:type="dxa"/>
          </w:tcPr>
          <w:p w14:paraId="0665818B" w14:textId="4C566404" w:rsidR="00AB28A0" w:rsidRPr="00DB450A" w:rsidRDefault="00AB28A0"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-1.203</w:t>
            </w:r>
          </w:p>
        </w:tc>
        <w:tc>
          <w:tcPr>
            <w:tcW w:w="1274" w:type="dxa"/>
          </w:tcPr>
          <w:p w14:paraId="7F27662B" w14:textId="3F7F1365" w:rsidR="00AB28A0" w:rsidRPr="00DB450A" w:rsidRDefault="00AB28A0"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1.628</w:t>
            </w:r>
          </w:p>
        </w:tc>
        <w:tc>
          <w:tcPr>
            <w:tcW w:w="1254" w:type="dxa"/>
          </w:tcPr>
          <w:p w14:paraId="25877410" w14:textId="3950867B" w:rsidR="00AB28A0" w:rsidRPr="00DB450A" w:rsidRDefault="003759F0" w:rsidP="00AB28A0">
            <w:pPr>
              <w:rPr>
                <w:rFonts w:ascii="Times New Roman" w:hAnsi="Times New Roman" w:cs="Times New Roman"/>
                <w:color w:val="000000" w:themeColor="text1"/>
              </w:rPr>
            </w:pPr>
            <w:r w:rsidRPr="00DB450A">
              <w:rPr>
                <w:rFonts w:ascii="Times New Roman" w:hAnsi="Times New Roman" w:cs="Times New Roman"/>
                <w:color w:val="000000" w:themeColor="text1"/>
              </w:rPr>
              <w:t>150372</w:t>
            </w:r>
          </w:p>
        </w:tc>
      </w:tr>
      <w:tr w:rsidR="00D84D56" w:rsidRPr="00DB450A" w14:paraId="74F7B23C" w14:textId="77777777" w:rsidTr="00DB450A">
        <w:tc>
          <w:tcPr>
            <w:tcW w:w="1451" w:type="dxa"/>
          </w:tcPr>
          <w:p w14:paraId="7C99D6AA" w14:textId="278E49DE" w:rsidR="00D84D56" w:rsidRPr="00DB450A" w:rsidRDefault="00D84D56" w:rsidP="00AB28A0">
            <w:pPr>
              <w:spacing w:line="360" w:lineRule="auto"/>
              <w:jc w:val="both"/>
              <w:rPr>
                <w:rFonts w:ascii="Times New Roman" w:hAnsi="Times New Roman" w:cs="Times New Roman"/>
                <w:color w:val="000000" w:themeColor="text1"/>
              </w:rPr>
            </w:pPr>
            <w:proofErr w:type="spellStart"/>
            <w:r w:rsidRPr="00DB450A">
              <w:rPr>
                <w:rFonts w:ascii="Times New Roman" w:hAnsi="Times New Roman" w:cs="Times New Roman"/>
                <w:color w:val="000000" w:themeColor="text1"/>
              </w:rPr>
              <w:t>Ins_Own</w:t>
            </w:r>
            <w:proofErr w:type="spellEnd"/>
          </w:p>
        </w:tc>
        <w:tc>
          <w:tcPr>
            <w:tcW w:w="1239" w:type="dxa"/>
          </w:tcPr>
          <w:p w14:paraId="34CD3FC1" w14:textId="76F13B6C" w:rsidR="00D84D56" w:rsidRPr="00DB450A" w:rsidRDefault="005259EA"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0.125</w:t>
            </w:r>
          </w:p>
        </w:tc>
        <w:tc>
          <w:tcPr>
            <w:tcW w:w="1255" w:type="dxa"/>
          </w:tcPr>
          <w:p w14:paraId="41139CAA" w14:textId="2FC309C5" w:rsidR="00D84D56" w:rsidRPr="00DB450A" w:rsidRDefault="005259EA"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0.132</w:t>
            </w:r>
          </w:p>
        </w:tc>
        <w:tc>
          <w:tcPr>
            <w:tcW w:w="1271" w:type="dxa"/>
          </w:tcPr>
          <w:p w14:paraId="286DFF86" w14:textId="39130411" w:rsidR="00D84D56" w:rsidRPr="00DB450A" w:rsidRDefault="005259EA"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0.145</w:t>
            </w:r>
          </w:p>
        </w:tc>
        <w:tc>
          <w:tcPr>
            <w:tcW w:w="1272" w:type="dxa"/>
          </w:tcPr>
          <w:p w14:paraId="1EF08263" w14:textId="2F5D8949" w:rsidR="00D84D56" w:rsidRPr="00DB450A" w:rsidRDefault="005259EA"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0.015</w:t>
            </w:r>
          </w:p>
        </w:tc>
        <w:tc>
          <w:tcPr>
            <w:tcW w:w="1274" w:type="dxa"/>
          </w:tcPr>
          <w:p w14:paraId="0BC6C71E" w14:textId="1ED71877" w:rsidR="00D84D56" w:rsidRPr="00DB450A" w:rsidRDefault="005259EA" w:rsidP="00AB28A0">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0.268</w:t>
            </w:r>
          </w:p>
        </w:tc>
        <w:tc>
          <w:tcPr>
            <w:tcW w:w="1254" w:type="dxa"/>
          </w:tcPr>
          <w:p w14:paraId="63D17162" w14:textId="7347E705" w:rsidR="00D84D56" w:rsidRPr="00DB450A" w:rsidRDefault="005259EA" w:rsidP="00AB28A0">
            <w:pPr>
              <w:rPr>
                <w:rFonts w:ascii="Times New Roman" w:hAnsi="Times New Roman" w:cs="Times New Roman"/>
                <w:color w:val="000000" w:themeColor="text1"/>
              </w:rPr>
            </w:pPr>
            <w:r w:rsidRPr="00DB450A">
              <w:rPr>
                <w:rFonts w:ascii="Times New Roman" w:hAnsi="Times New Roman" w:cs="Times New Roman"/>
                <w:color w:val="000000" w:themeColor="text1"/>
              </w:rPr>
              <w:t>150372</w:t>
            </w:r>
          </w:p>
        </w:tc>
      </w:tr>
    </w:tbl>
    <w:p w14:paraId="099700BA" w14:textId="77777777" w:rsidR="00AB28A0" w:rsidRPr="00BE65C7" w:rsidRDefault="00AB28A0" w:rsidP="00743345">
      <w:pPr>
        <w:spacing w:line="360" w:lineRule="auto"/>
        <w:jc w:val="center"/>
        <w:rPr>
          <w:rFonts w:ascii="Times New Roman" w:hAnsi="Times New Roman" w:cs="Times New Roman"/>
          <w:color w:val="000000" w:themeColor="text1"/>
          <w:sz w:val="24"/>
          <w:szCs w:val="24"/>
          <w:lang w:val="en-US"/>
        </w:rPr>
      </w:pPr>
    </w:p>
    <w:p w14:paraId="45EBF804" w14:textId="6F862BB9" w:rsidR="00763BE0" w:rsidRPr="00BE65C7" w:rsidRDefault="00763BE0" w:rsidP="00763BE0">
      <w:pPr>
        <w:spacing w:line="360" w:lineRule="auto"/>
        <w:jc w:val="center"/>
        <w:rPr>
          <w:rFonts w:ascii="Times New Roman" w:hAnsi="Times New Roman" w:cs="Times New Roman"/>
          <w:b/>
          <w:bCs/>
          <w:color w:val="000000" w:themeColor="text1"/>
          <w:lang w:val="en-US"/>
        </w:rPr>
      </w:pPr>
      <w:r w:rsidRPr="00BE65C7">
        <w:rPr>
          <w:rFonts w:ascii="Times New Roman" w:hAnsi="Times New Roman" w:cs="Times New Roman"/>
          <w:b/>
          <w:bCs/>
          <w:color w:val="000000" w:themeColor="text1"/>
          <w:lang w:val="en-US"/>
        </w:rPr>
        <w:t xml:space="preserve">Panel B: Developed </w:t>
      </w:r>
      <w:r w:rsidR="009B5F15">
        <w:rPr>
          <w:rFonts w:ascii="Times New Roman" w:hAnsi="Times New Roman" w:cs="Times New Roman"/>
          <w:b/>
          <w:bCs/>
          <w:color w:val="000000" w:themeColor="text1"/>
          <w:lang w:val="en-US"/>
        </w:rPr>
        <w:t>Countries</w:t>
      </w:r>
    </w:p>
    <w:tbl>
      <w:tblPr>
        <w:tblStyle w:val="TableGrid"/>
        <w:tblW w:w="9067" w:type="dxa"/>
        <w:tblLook w:val="04A0" w:firstRow="1" w:lastRow="0" w:firstColumn="1" w:lastColumn="0" w:noHBand="0" w:noVBand="1"/>
      </w:tblPr>
      <w:tblGrid>
        <w:gridCol w:w="1544"/>
        <w:gridCol w:w="1145"/>
        <w:gridCol w:w="1275"/>
        <w:gridCol w:w="1276"/>
        <w:gridCol w:w="1134"/>
        <w:gridCol w:w="1418"/>
        <w:gridCol w:w="1275"/>
      </w:tblGrid>
      <w:tr w:rsidR="00BE65C7" w:rsidRPr="00DB450A" w14:paraId="06C952A3" w14:textId="77777777" w:rsidTr="003632FB">
        <w:tc>
          <w:tcPr>
            <w:tcW w:w="1544" w:type="dxa"/>
          </w:tcPr>
          <w:p w14:paraId="61650208" w14:textId="77777777" w:rsidR="0062405D" w:rsidRPr="00DB450A" w:rsidRDefault="0062405D" w:rsidP="0062405D">
            <w:pPr>
              <w:spacing w:line="360" w:lineRule="auto"/>
              <w:jc w:val="both"/>
              <w:rPr>
                <w:rFonts w:ascii="Times New Roman" w:hAnsi="Times New Roman" w:cs="Times New Roman"/>
                <w:color w:val="000000" w:themeColor="text1"/>
              </w:rPr>
            </w:pPr>
          </w:p>
        </w:tc>
        <w:tc>
          <w:tcPr>
            <w:tcW w:w="1145" w:type="dxa"/>
          </w:tcPr>
          <w:p w14:paraId="7B0BDEDE"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Mean</w:t>
            </w:r>
          </w:p>
        </w:tc>
        <w:tc>
          <w:tcPr>
            <w:tcW w:w="1275" w:type="dxa"/>
          </w:tcPr>
          <w:p w14:paraId="1171F56B"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Median</w:t>
            </w:r>
          </w:p>
        </w:tc>
        <w:tc>
          <w:tcPr>
            <w:tcW w:w="1276" w:type="dxa"/>
          </w:tcPr>
          <w:p w14:paraId="4E53181F" w14:textId="512A31FF"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Standard Deviation</w:t>
            </w:r>
          </w:p>
        </w:tc>
        <w:tc>
          <w:tcPr>
            <w:tcW w:w="1134" w:type="dxa"/>
          </w:tcPr>
          <w:p w14:paraId="5BE0CCA1" w14:textId="425FCAFF"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Minimum</w:t>
            </w:r>
          </w:p>
        </w:tc>
        <w:tc>
          <w:tcPr>
            <w:tcW w:w="1418" w:type="dxa"/>
          </w:tcPr>
          <w:p w14:paraId="5A17369F"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Maximum</w:t>
            </w:r>
          </w:p>
        </w:tc>
        <w:tc>
          <w:tcPr>
            <w:tcW w:w="1275" w:type="dxa"/>
          </w:tcPr>
          <w:p w14:paraId="12A95FB5"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Obs.</w:t>
            </w:r>
          </w:p>
        </w:tc>
      </w:tr>
      <w:tr w:rsidR="00BE65C7" w:rsidRPr="00DB450A" w14:paraId="345CFECA" w14:textId="77777777" w:rsidTr="003632FB">
        <w:tc>
          <w:tcPr>
            <w:tcW w:w="1544" w:type="dxa"/>
          </w:tcPr>
          <w:p w14:paraId="2BD4B49A"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Cash</w:t>
            </w:r>
          </w:p>
        </w:tc>
        <w:tc>
          <w:tcPr>
            <w:tcW w:w="1145" w:type="dxa"/>
          </w:tcPr>
          <w:p w14:paraId="1A214712"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0.133</w:t>
            </w:r>
          </w:p>
        </w:tc>
        <w:tc>
          <w:tcPr>
            <w:tcW w:w="1275" w:type="dxa"/>
          </w:tcPr>
          <w:p w14:paraId="09B05030"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0.085</w:t>
            </w:r>
          </w:p>
        </w:tc>
        <w:tc>
          <w:tcPr>
            <w:tcW w:w="1276" w:type="dxa"/>
          </w:tcPr>
          <w:p w14:paraId="4747889F" w14:textId="5ACCE14C"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0.137</w:t>
            </w:r>
          </w:p>
        </w:tc>
        <w:tc>
          <w:tcPr>
            <w:tcW w:w="1134" w:type="dxa"/>
          </w:tcPr>
          <w:p w14:paraId="4C010253" w14:textId="1B890DD3"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0.004</w:t>
            </w:r>
          </w:p>
        </w:tc>
        <w:tc>
          <w:tcPr>
            <w:tcW w:w="1418" w:type="dxa"/>
          </w:tcPr>
          <w:p w14:paraId="5DC30F87"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0.51</w:t>
            </w:r>
          </w:p>
        </w:tc>
        <w:tc>
          <w:tcPr>
            <w:tcW w:w="1275" w:type="dxa"/>
          </w:tcPr>
          <w:p w14:paraId="34C2E877" w14:textId="77777777" w:rsidR="0062405D" w:rsidRPr="00DB450A" w:rsidRDefault="0062405D" w:rsidP="0062405D">
            <w:pPr>
              <w:rPr>
                <w:color w:val="000000" w:themeColor="text1"/>
              </w:rPr>
            </w:pPr>
            <w:r w:rsidRPr="00DB450A">
              <w:rPr>
                <w:rFonts w:ascii="Times New Roman" w:hAnsi="Times New Roman" w:cs="Times New Roman"/>
                <w:color w:val="000000" w:themeColor="text1"/>
              </w:rPr>
              <w:t>220963</w:t>
            </w:r>
          </w:p>
        </w:tc>
      </w:tr>
      <w:tr w:rsidR="00BE65C7" w:rsidRPr="00DB450A" w14:paraId="5B9970C4" w14:textId="77777777" w:rsidTr="003632FB">
        <w:tc>
          <w:tcPr>
            <w:tcW w:w="1544" w:type="dxa"/>
          </w:tcPr>
          <w:p w14:paraId="70D16A0A"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NWC</w:t>
            </w:r>
          </w:p>
        </w:tc>
        <w:tc>
          <w:tcPr>
            <w:tcW w:w="1145" w:type="dxa"/>
          </w:tcPr>
          <w:p w14:paraId="2CDDE98F"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0.091</w:t>
            </w:r>
          </w:p>
        </w:tc>
        <w:tc>
          <w:tcPr>
            <w:tcW w:w="1275" w:type="dxa"/>
          </w:tcPr>
          <w:p w14:paraId="5855EA64"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0.068</w:t>
            </w:r>
          </w:p>
        </w:tc>
        <w:tc>
          <w:tcPr>
            <w:tcW w:w="1276" w:type="dxa"/>
          </w:tcPr>
          <w:p w14:paraId="25DF1BD4" w14:textId="00EBFC6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0.142</w:t>
            </w:r>
          </w:p>
        </w:tc>
        <w:tc>
          <w:tcPr>
            <w:tcW w:w="1134" w:type="dxa"/>
          </w:tcPr>
          <w:p w14:paraId="730DD731" w14:textId="0F71B851"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-0.159</w:t>
            </w:r>
          </w:p>
        </w:tc>
        <w:tc>
          <w:tcPr>
            <w:tcW w:w="1418" w:type="dxa"/>
          </w:tcPr>
          <w:p w14:paraId="75055CF9"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0.396</w:t>
            </w:r>
          </w:p>
        </w:tc>
        <w:tc>
          <w:tcPr>
            <w:tcW w:w="1275" w:type="dxa"/>
          </w:tcPr>
          <w:p w14:paraId="6AE7D9BF" w14:textId="77777777" w:rsidR="0062405D" w:rsidRPr="00DB450A" w:rsidRDefault="0062405D" w:rsidP="0062405D">
            <w:pPr>
              <w:rPr>
                <w:color w:val="000000" w:themeColor="text1"/>
              </w:rPr>
            </w:pPr>
            <w:r w:rsidRPr="00DB450A">
              <w:rPr>
                <w:rFonts w:ascii="Times New Roman" w:hAnsi="Times New Roman" w:cs="Times New Roman"/>
                <w:color w:val="000000" w:themeColor="text1"/>
              </w:rPr>
              <w:t>220963</w:t>
            </w:r>
          </w:p>
        </w:tc>
      </w:tr>
      <w:tr w:rsidR="00BE65C7" w:rsidRPr="00DB450A" w14:paraId="7AE9B7B2" w14:textId="77777777" w:rsidTr="003632FB">
        <w:tc>
          <w:tcPr>
            <w:tcW w:w="1544" w:type="dxa"/>
          </w:tcPr>
          <w:p w14:paraId="2887FD20"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PPE</w:t>
            </w:r>
          </w:p>
        </w:tc>
        <w:tc>
          <w:tcPr>
            <w:tcW w:w="1145" w:type="dxa"/>
          </w:tcPr>
          <w:p w14:paraId="04067A03"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0.328</w:t>
            </w:r>
          </w:p>
        </w:tc>
        <w:tc>
          <w:tcPr>
            <w:tcW w:w="1275" w:type="dxa"/>
          </w:tcPr>
          <w:p w14:paraId="07838036"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0.272</w:t>
            </w:r>
          </w:p>
        </w:tc>
        <w:tc>
          <w:tcPr>
            <w:tcW w:w="1276" w:type="dxa"/>
          </w:tcPr>
          <w:p w14:paraId="2FAD965B" w14:textId="783E9C15"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0.257</w:t>
            </w:r>
          </w:p>
        </w:tc>
        <w:tc>
          <w:tcPr>
            <w:tcW w:w="1134" w:type="dxa"/>
          </w:tcPr>
          <w:p w14:paraId="5ADA5728" w14:textId="02650B36"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0.006</w:t>
            </w:r>
          </w:p>
        </w:tc>
        <w:tc>
          <w:tcPr>
            <w:tcW w:w="1418" w:type="dxa"/>
          </w:tcPr>
          <w:p w14:paraId="054E7493"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0.890</w:t>
            </w:r>
          </w:p>
        </w:tc>
        <w:tc>
          <w:tcPr>
            <w:tcW w:w="1275" w:type="dxa"/>
          </w:tcPr>
          <w:p w14:paraId="3EE1E3B7" w14:textId="77777777" w:rsidR="0062405D" w:rsidRPr="00DB450A" w:rsidRDefault="0062405D" w:rsidP="0062405D">
            <w:pPr>
              <w:rPr>
                <w:color w:val="000000" w:themeColor="text1"/>
              </w:rPr>
            </w:pPr>
            <w:r w:rsidRPr="00DB450A">
              <w:rPr>
                <w:rFonts w:ascii="Times New Roman" w:hAnsi="Times New Roman" w:cs="Times New Roman"/>
                <w:color w:val="000000" w:themeColor="text1"/>
              </w:rPr>
              <w:t>220963</w:t>
            </w:r>
          </w:p>
        </w:tc>
      </w:tr>
      <w:tr w:rsidR="00BE65C7" w:rsidRPr="00DB450A" w14:paraId="592E8C96" w14:textId="77777777" w:rsidTr="003632FB">
        <w:tc>
          <w:tcPr>
            <w:tcW w:w="1544" w:type="dxa"/>
          </w:tcPr>
          <w:p w14:paraId="73392E28"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R&amp;D</w:t>
            </w:r>
          </w:p>
        </w:tc>
        <w:tc>
          <w:tcPr>
            <w:tcW w:w="1145" w:type="dxa"/>
          </w:tcPr>
          <w:p w14:paraId="73ACB687"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0.004</w:t>
            </w:r>
          </w:p>
        </w:tc>
        <w:tc>
          <w:tcPr>
            <w:tcW w:w="1275" w:type="dxa"/>
          </w:tcPr>
          <w:p w14:paraId="43E35EF1"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0.000</w:t>
            </w:r>
          </w:p>
        </w:tc>
        <w:tc>
          <w:tcPr>
            <w:tcW w:w="1276" w:type="dxa"/>
          </w:tcPr>
          <w:p w14:paraId="61732FEB" w14:textId="14F6D954"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0.012</w:t>
            </w:r>
          </w:p>
        </w:tc>
        <w:tc>
          <w:tcPr>
            <w:tcW w:w="1134" w:type="dxa"/>
          </w:tcPr>
          <w:p w14:paraId="04BE0DCF" w14:textId="37A2077B"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0.000</w:t>
            </w:r>
          </w:p>
        </w:tc>
        <w:tc>
          <w:tcPr>
            <w:tcW w:w="1418" w:type="dxa"/>
          </w:tcPr>
          <w:p w14:paraId="0A2471E7"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0.048</w:t>
            </w:r>
          </w:p>
        </w:tc>
        <w:tc>
          <w:tcPr>
            <w:tcW w:w="1275" w:type="dxa"/>
          </w:tcPr>
          <w:p w14:paraId="3044C461" w14:textId="77777777" w:rsidR="0062405D" w:rsidRPr="00DB450A" w:rsidRDefault="0062405D" w:rsidP="0062405D">
            <w:pPr>
              <w:rPr>
                <w:color w:val="000000" w:themeColor="text1"/>
              </w:rPr>
            </w:pPr>
            <w:r w:rsidRPr="00DB450A">
              <w:rPr>
                <w:rFonts w:ascii="Times New Roman" w:hAnsi="Times New Roman" w:cs="Times New Roman"/>
                <w:color w:val="000000" w:themeColor="text1"/>
              </w:rPr>
              <w:t>220963</w:t>
            </w:r>
          </w:p>
        </w:tc>
      </w:tr>
      <w:tr w:rsidR="00BE65C7" w:rsidRPr="00DB450A" w14:paraId="3840F2C9" w14:textId="77777777" w:rsidTr="003632FB">
        <w:tc>
          <w:tcPr>
            <w:tcW w:w="1544" w:type="dxa"/>
          </w:tcPr>
          <w:p w14:paraId="14F9357D" w14:textId="1CAE8039"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3_Yr_Sales_gr</w:t>
            </w:r>
          </w:p>
        </w:tc>
        <w:tc>
          <w:tcPr>
            <w:tcW w:w="1145" w:type="dxa"/>
          </w:tcPr>
          <w:p w14:paraId="3785CA43"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0.064</w:t>
            </w:r>
          </w:p>
        </w:tc>
        <w:tc>
          <w:tcPr>
            <w:tcW w:w="1275" w:type="dxa"/>
          </w:tcPr>
          <w:p w14:paraId="22AD3B9E"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0.025</w:t>
            </w:r>
          </w:p>
        </w:tc>
        <w:tc>
          <w:tcPr>
            <w:tcW w:w="1276" w:type="dxa"/>
          </w:tcPr>
          <w:p w14:paraId="3D36B1A6" w14:textId="5CFC28BB"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0.125</w:t>
            </w:r>
          </w:p>
        </w:tc>
        <w:tc>
          <w:tcPr>
            <w:tcW w:w="1134" w:type="dxa"/>
          </w:tcPr>
          <w:p w14:paraId="6AD4D69E" w14:textId="1DBC2DF2"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-0.120</w:t>
            </w:r>
          </w:p>
        </w:tc>
        <w:tc>
          <w:tcPr>
            <w:tcW w:w="1418" w:type="dxa"/>
          </w:tcPr>
          <w:p w14:paraId="023A4A69"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0.376</w:t>
            </w:r>
          </w:p>
        </w:tc>
        <w:tc>
          <w:tcPr>
            <w:tcW w:w="1275" w:type="dxa"/>
          </w:tcPr>
          <w:p w14:paraId="2D307D3A" w14:textId="77777777" w:rsidR="0062405D" w:rsidRPr="00DB450A" w:rsidRDefault="0062405D" w:rsidP="0062405D">
            <w:pPr>
              <w:rPr>
                <w:color w:val="000000" w:themeColor="text1"/>
              </w:rPr>
            </w:pPr>
            <w:r w:rsidRPr="00DB450A">
              <w:rPr>
                <w:rFonts w:ascii="Times New Roman" w:hAnsi="Times New Roman" w:cs="Times New Roman"/>
                <w:color w:val="000000" w:themeColor="text1"/>
              </w:rPr>
              <w:t>220963</w:t>
            </w:r>
          </w:p>
        </w:tc>
      </w:tr>
      <w:tr w:rsidR="00BE65C7" w:rsidRPr="00DB450A" w14:paraId="32404AFE" w14:textId="77777777" w:rsidTr="003632FB">
        <w:tc>
          <w:tcPr>
            <w:tcW w:w="1544" w:type="dxa"/>
          </w:tcPr>
          <w:p w14:paraId="2EAEE542"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Leverage</w:t>
            </w:r>
          </w:p>
        </w:tc>
        <w:tc>
          <w:tcPr>
            <w:tcW w:w="1145" w:type="dxa"/>
          </w:tcPr>
          <w:p w14:paraId="069DDF76"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0.186</w:t>
            </w:r>
          </w:p>
        </w:tc>
        <w:tc>
          <w:tcPr>
            <w:tcW w:w="1275" w:type="dxa"/>
          </w:tcPr>
          <w:p w14:paraId="7192541B"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0.158</w:t>
            </w:r>
          </w:p>
        </w:tc>
        <w:tc>
          <w:tcPr>
            <w:tcW w:w="1276" w:type="dxa"/>
          </w:tcPr>
          <w:p w14:paraId="12D852E8" w14:textId="50B37722"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0.165</w:t>
            </w:r>
          </w:p>
        </w:tc>
        <w:tc>
          <w:tcPr>
            <w:tcW w:w="1134" w:type="dxa"/>
          </w:tcPr>
          <w:p w14:paraId="15B19063" w14:textId="19DE1A1F"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0.000</w:t>
            </w:r>
          </w:p>
        </w:tc>
        <w:tc>
          <w:tcPr>
            <w:tcW w:w="1418" w:type="dxa"/>
          </w:tcPr>
          <w:p w14:paraId="57FCF41D" w14:textId="7777777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0.563</w:t>
            </w:r>
          </w:p>
        </w:tc>
        <w:tc>
          <w:tcPr>
            <w:tcW w:w="1275" w:type="dxa"/>
          </w:tcPr>
          <w:p w14:paraId="621DF4AC" w14:textId="77777777" w:rsidR="0062405D" w:rsidRPr="00DB450A" w:rsidRDefault="0062405D" w:rsidP="0062405D">
            <w:pPr>
              <w:rPr>
                <w:color w:val="000000" w:themeColor="text1"/>
              </w:rPr>
            </w:pPr>
            <w:r w:rsidRPr="00DB450A">
              <w:rPr>
                <w:rFonts w:ascii="Times New Roman" w:hAnsi="Times New Roman" w:cs="Times New Roman"/>
                <w:color w:val="000000" w:themeColor="text1"/>
              </w:rPr>
              <w:t>220963</w:t>
            </w:r>
          </w:p>
        </w:tc>
      </w:tr>
      <w:tr w:rsidR="00BE65C7" w:rsidRPr="00DB450A" w14:paraId="3271ECA2" w14:textId="77777777" w:rsidTr="003632FB">
        <w:tc>
          <w:tcPr>
            <w:tcW w:w="1544" w:type="dxa"/>
          </w:tcPr>
          <w:p w14:paraId="51447219" w14:textId="4DB8FDE7"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Corruption</w:t>
            </w:r>
          </w:p>
        </w:tc>
        <w:tc>
          <w:tcPr>
            <w:tcW w:w="1145" w:type="dxa"/>
          </w:tcPr>
          <w:p w14:paraId="49DA102F" w14:textId="7F4F7C9D"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1.632</w:t>
            </w:r>
          </w:p>
        </w:tc>
        <w:tc>
          <w:tcPr>
            <w:tcW w:w="1275" w:type="dxa"/>
          </w:tcPr>
          <w:p w14:paraId="4DABB284" w14:textId="276C8D05"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1.747</w:t>
            </w:r>
          </w:p>
        </w:tc>
        <w:tc>
          <w:tcPr>
            <w:tcW w:w="1276" w:type="dxa"/>
          </w:tcPr>
          <w:p w14:paraId="379C6852" w14:textId="0FEE2E18"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0.127</w:t>
            </w:r>
          </w:p>
        </w:tc>
        <w:tc>
          <w:tcPr>
            <w:tcW w:w="1134" w:type="dxa"/>
          </w:tcPr>
          <w:p w14:paraId="4EEC4AD1" w14:textId="368153A3"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0.282</w:t>
            </w:r>
          </w:p>
        </w:tc>
        <w:tc>
          <w:tcPr>
            <w:tcW w:w="1418" w:type="dxa"/>
          </w:tcPr>
          <w:p w14:paraId="59FF1E19" w14:textId="0D922662" w:rsidR="0062405D" w:rsidRPr="00DB450A" w:rsidRDefault="0062405D"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2.327</w:t>
            </w:r>
          </w:p>
        </w:tc>
        <w:tc>
          <w:tcPr>
            <w:tcW w:w="1275" w:type="dxa"/>
          </w:tcPr>
          <w:p w14:paraId="4D723BEE" w14:textId="73456901" w:rsidR="0062405D" w:rsidRPr="00DB450A" w:rsidRDefault="0062405D" w:rsidP="0062405D">
            <w:pPr>
              <w:rPr>
                <w:rFonts w:ascii="Times New Roman" w:hAnsi="Times New Roman" w:cs="Times New Roman"/>
                <w:color w:val="000000" w:themeColor="text1"/>
              </w:rPr>
            </w:pPr>
            <w:r w:rsidRPr="00DB450A">
              <w:rPr>
                <w:rFonts w:ascii="Times New Roman" w:hAnsi="Times New Roman" w:cs="Times New Roman"/>
                <w:color w:val="000000" w:themeColor="text1"/>
              </w:rPr>
              <w:t>220963</w:t>
            </w:r>
          </w:p>
        </w:tc>
      </w:tr>
      <w:tr w:rsidR="00D84D56" w:rsidRPr="00DB450A" w14:paraId="3D209B8E" w14:textId="77777777" w:rsidTr="003632FB">
        <w:tc>
          <w:tcPr>
            <w:tcW w:w="1544" w:type="dxa"/>
          </w:tcPr>
          <w:p w14:paraId="24088039" w14:textId="26FC6929" w:rsidR="00D84D56" w:rsidRPr="00DB450A" w:rsidRDefault="00D84D56" w:rsidP="0062405D">
            <w:pPr>
              <w:spacing w:line="360" w:lineRule="auto"/>
              <w:jc w:val="both"/>
              <w:rPr>
                <w:rFonts w:ascii="Times New Roman" w:hAnsi="Times New Roman" w:cs="Times New Roman"/>
                <w:color w:val="000000" w:themeColor="text1"/>
              </w:rPr>
            </w:pPr>
            <w:proofErr w:type="spellStart"/>
            <w:r w:rsidRPr="00DB450A">
              <w:rPr>
                <w:rFonts w:ascii="Times New Roman" w:hAnsi="Times New Roman" w:cs="Times New Roman"/>
                <w:color w:val="000000" w:themeColor="text1"/>
              </w:rPr>
              <w:t>Ins_Own</w:t>
            </w:r>
            <w:proofErr w:type="spellEnd"/>
          </w:p>
        </w:tc>
        <w:tc>
          <w:tcPr>
            <w:tcW w:w="1145" w:type="dxa"/>
          </w:tcPr>
          <w:p w14:paraId="752BCEAA" w14:textId="0EB084A9" w:rsidR="00D84D56" w:rsidRPr="00DB450A" w:rsidRDefault="00D473FA"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 xml:space="preserve">0.175 </w:t>
            </w:r>
          </w:p>
        </w:tc>
        <w:tc>
          <w:tcPr>
            <w:tcW w:w="1275" w:type="dxa"/>
          </w:tcPr>
          <w:p w14:paraId="2CA4464C" w14:textId="70014A77" w:rsidR="00D84D56" w:rsidRPr="00DB450A" w:rsidRDefault="00D473FA"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 xml:space="preserve">0.132 </w:t>
            </w:r>
          </w:p>
        </w:tc>
        <w:tc>
          <w:tcPr>
            <w:tcW w:w="1276" w:type="dxa"/>
          </w:tcPr>
          <w:p w14:paraId="352992DF" w14:textId="31F6E831" w:rsidR="00D84D56" w:rsidRPr="00DB450A" w:rsidRDefault="00D473FA"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 xml:space="preserve">0.097 </w:t>
            </w:r>
          </w:p>
        </w:tc>
        <w:tc>
          <w:tcPr>
            <w:tcW w:w="1134" w:type="dxa"/>
          </w:tcPr>
          <w:p w14:paraId="16F456DF" w14:textId="4AE4CBF5" w:rsidR="00D84D56" w:rsidRPr="00DB450A" w:rsidRDefault="00D473FA"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 xml:space="preserve">0.065 </w:t>
            </w:r>
          </w:p>
        </w:tc>
        <w:tc>
          <w:tcPr>
            <w:tcW w:w="1418" w:type="dxa"/>
          </w:tcPr>
          <w:p w14:paraId="36B56508" w14:textId="5294DCAE" w:rsidR="00D84D56" w:rsidRPr="00DB450A" w:rsidRDefault="00D473FA" w:rsidP="0062405D">
            <w:pPr>
              <w:spacing w:line="360" w:lineRule="auto"/>
              <w:jc w:val="both"/>
              <w:rPr>
                <w:rFonts w:ascii="Times New Roman" w:hAnsi="Times New Roman" w:cs="Times New Roman"/>
                <w:color w:val="000000" w:themeColor="text1"/>
              </w:rPr>
            </w:pPr>
            <w:r w:rsidRPr="00DB450A">
              <w:rPr>
                <w:rFonts w:ascii="Times New Roman" w:hAnsi="Times New Roman" w:cs="Times New Roman"/>
                <w:color w:val="000000" w:themeColor="text1"/>
              </w:rPr>
              <w:t xml:space="preserve">0.293 </w:t>
            </w:r>
          </w:p>
        </w:tc>
        <w:tc>
          <w:tcPr>
            <w:tcW w:w="1275" w:type="dxa"/>
          </w:tcPr>
          <w:p w14:paraId="67F1AA56" w14:textId="255E2382" w:rsidR="00D84D56" w:rsidRPr="00DB450A" w:rsidRDefault="00D473FA" w:rsidP="0062405D">
            <w:pPr>
              <w:rPr>
                <w:rFonts w:ascii="Times New Roman" w:hAnsi="Times New Roman" w:cs="Times New Roman"/>
                <w:color w:val="000000" w:themeColor="text1"/>
              </w:rPr>
            </w:pPr>
            <w:r w:rsidRPr="00DB450A">
              <w:rPr>
                <w:rFonts w:ascii="Times New Roman" w:hAnsi="Times New Roman" w:cs="Times New Roman"/>
                <w:color w:val="000000" w:themeColor="text1"/>
              </w:rPr>
              <w:t>220963</w:t>
            </w:r>
          </w:p>
        </w:tc>
      </w:tr>
    </w:tbl>
    <w:p w14:paraId="56BE663C" w14:textId="7262A6E1" w:rsidR="00AB28A0" w:rsidRPr="002672B3" w:rsidRDefault="002672B3" w:rsidP="00472F28">
      <w:pPr>
        <w:spacing w:after="0" w:line="240" w:lineRule="auto"/>
        <w:jc w:val="both"/>
        <w:rPr>
          <w:rFonts w:ascii="Times New Roman" w:hAnsi="Times New Roman" w:cs="Times New Roman"/>
          <w:color w:val="000000" w:themeColor="text1"/>
          <w:sz w:val="18"/>
          <w:szCs w:val="24"/>
          <w:lang w:val="en-US"/>
        </w:rPr>
      </w:pPr>
      <w:r w:rsidRPr="002672B3">
        <w:rPr>
          <w:rFonts w:ascii="Times New Roman" w:hAnsi="Times New Roman" w:cs="Times New Roman"/>
          <w:i/>
          <w:color w:val="000000" w:themeColor="text1"/>
          <w:sz w:val="18"/>
          <w:szCs w:val="24"/>
          <w:lang w:val="en-US"/>
        </w:rPr>
        <w:t>Cash</w:t>
      </w:r>
      <w:r>
        <w:rPr>
          <w:rFonts w:ascii="Times New Roman" w:hAnsi="Times New Roman" w:cs="Times New Roman"/>
          <w:color w:val="000000" w:themeColor="text1"/>
          <w:sz w:val="18"/>
          <w:szCs w:val="24"/>
          <w:lang w:val="en-US"/>
        </w:rPr>
        <w:t xml:space="preserve"> is defined as cash and cash equivalents, </w:t>
      </w:r>
      <w:r>
        <w:rPr>
          <w:rFonts w:ascii="Times New Roman" w:hAnsi="Times New Roman" w:cs="Times New Roman"/>
          <w:i/>
          <w:color w:val="000000" w:themeColor="text1"/>
          <w:sz w:val="18"/>
          <w:szCs w:val="24"/>
          <w:lang w:val="en-US"/>
        </w:rPr>
        <w:t>NWC</w:t>
      </w:r>
      <w:r>
        <w:rPr>
          <w:rFonts w:ascii="Times New Roman" w:hAnsi="Times New Roman" w:cs="Times New Roman"/>
          <w:color w:val="000000" w:themeColor="text1"/>
          <w:sz w:val="18"/>
          <w:szCs w:val="24"/>
          <w:lang w:val="en-US"/>
        </w:rPr>
        <w:t xml:space="preserve"> is net working capital and defined as account receivables, inventories less accounts payables, </w:t>
      </w:r>
      <w:r>
        <w:rPr>
          <w:rFonts w:ascii="Times New Roman" w:hAnsi="Times New Roman" w:cs="Times New Roman"/>
          <w:i/>
          <w:color w:val="000000" w:themeColor="text1"/>
          <w:sz w:val="18"/>
          <w:szCs w:val="24"/>
          <w:lang w:val="en-US"/>
        </w:rPr>
        <w:t>PPE</w:t>
      </w:r>
      <w:r>
        <w:rPr>
          <w:rFonts w:ascii="Times New Roman" w:hAnsi="Times New Roman" w:cs="Times New Roman"/>
          <w:color w:val="000000" w:themeColor="text1"/>
          <w:sz w:val="18"/>
          <w:szCs w:val="24"/>
          <w:lang w:val="en-US"/>
        </w:rPr>
        <w:t xml:space="preserve"> is plant, property and equipment, </w:t>
      </w:r>
      <w:r>
        <w:rPr>
          <w:rFonts w:ascii="Times New Roman" w:hAnsi="Times New Roman" w:cs="Times New Roman"/>
          <w:i/>
          <w:color w:val="000000" w:themeColor="text1"/>
          <w:sz w:val="18"/>
          <w:szCs w:val="24"/>
          <w:lang w:val="en-US"/>
        </w:rPr>
        <w:t>R&amp;D</w:t>
      </w:r>
      <w:r>
        <w:rPr>
          <w:rFonts w:ascii="Times New Roman" w:hAnsi="Times New Roman" w:cs="Times New Roman"/>
          <w:color w:val="000000" w:themeColor="text1"/>
          <w:sz w:val="18"/>
          <w:szCs w:val="24"/>
          <w:lang w:val="en-US"/>
        </w:rPr>
        <w:t xml:space="preserve"> is R&amp;D expenses</w:t>
      </w:r>
      <w:r w:rsidR="00472F28">
        <w:rPr>
          <w:rFonts w:ascii="Times New Roman" w:hAnsi="Times New Roman" w:cs="Times New Roman"/>
          <w:color w:val="000000" w:themeColor="text1"/>
          <w:sz w:val="18"/>
          <w:szCs w:val="24"/>
          <w:lang w:val="en-US"/>
        </w:rPr>
        <w:t xml:space="preserve">, </w:t>
      </w:r>
      <w:r w:rsidR="00472F28" w:rsidRPr="00472F28">
        <w:rPr>
          <w:rFonts w:ascii="Times New Roman" w:hAnsi="Times New Roman" w:cs="Times New Roman"/>
          <w:i/>
          <w:color w:val="000000" w:themeColor="text1"/>
          <w:sz w:val="18"/>
          <w:szCs w:val="24"/>
          <w:lang w:val="en-US"/>
        </w:rPr>
        <w:t>3_Ys_Sales_gr</w:t>
      </w:r>
      <w:r w:rsidR="00472F28">
        <w:rPr>
          <w:rFonts w:ascii="Times New Roman" w:hAnsi="Times New Roman" w:cs="Times New Roman"/>
          <w:color w:val="000000" w:themeColor="text1"/>
          <w:sz w:val="18"/>
          <w:szCs w:val="24"/>
          <w:lang w:val="en-US"/>
        </w:rPr>
        <w:t xml:space="preserve"> is the average growth rate of sales of past consecutive three years, </w:t>
      </w:r>
      <w:r w:rsidR="00472F28">
        <w:rPr>
          <w:rFonts w:ascii="Times New Roman" w:hAnsi="Times New Roman" w:cs="Times New Roman"/>
          <w:i/>
          <w:color w:val="000000" w:themeColor="text1"/>
          <w:sz w:val="18"/>
          <w:szCs w:val="24"/>
          <w:lang w:val="en-US"/>
        </w:rPr>
        <w:t>Leverage</w:t>
      </w:r>
      <w:r w:rsidR="00472F28">
        <w:rPr>
          <w:rFonts w:ascii="Times New Roman" w:hAnsi="Times New Roman" w:cs="Times New Roman"/>
          <w:color w:val="000000" w:themeColor="text1"/>
          <w:sz w:val="18"/>
          <w:szCs w:val="24"/>
          <w:lang w:val="en-US"/>
        </w:rPr>
        <w:t xml:space="preserve"> is interest bearing long term and short term debt, </w:t>
      </w:r>
      <w:r w:rsidR="00472F28">
        <w:rPr>
          <w:rFonts w:ascii="Times New Roman" w:hAnsi="Times New Roman" w:cs="Times New Roman"/>
          <w:i/>
          <w:color w:val="000000" w:themeColor="text1"/>
          <w:sz w:val="18"/>
          <w:szCs w:val="24"/>
          <w:lang w:val="en-US"/>
        </w:rPr>
        <w:t>Corruption</w:t>
      </w:r>
      <w:r w:rsidR="00472F28">
        <w:rPr>
          <w:rFonts w:ascii="Times New Roman" w:hAnsi="Times New Roman" w:cs="Times New Roman"/>
          <w:color w:val="000000" w:themeColor="text1"/>
          <w:sz w:val="18"/>
          <w:szCs w:val="24"/>
          <w:lang w:val="en-US"/>
        </w:rPr>
        <w:t xml:space="preserve"> is </w:t>
      </w:r>
      <w:r w:rsidR="00472F28" w:rsidRPr="00472F28">
        <w:rPr>
          <w:rFonts w:ascii="Times New Roman" w:eastAsia="Calibri" w:hAnsi="Times New Roman" w:cs="Times New Roman"/>
          <w:color w:val="000000" w:themeColor="text1"/>
          <w:sz w:val="18"/>
          <w:szCs w:val="18"/>
        </w:rPr>
        <w:t>Control of corruption index ranges from -2.5 (Most corrupt) to +2.5 (least corrupt)</w:t>
      </w:r>
      <w:r w:rsidR="00472F28">
        <w:rPr>
          <w:rFonts w:ascii="Times New Roman" w:eastAsia="Calibri" w:hAnsi="Times New Roman" w:cs="Times New Roman"/>
          <w:color w:val="000000" w:themeColor="text1"/>
          <w:sz w:val="18"/>
          <w:szCs w:val="18"/>
        </w:rPr>
        <w:t xml:space="preserve"> and </w:t>
      </w:r>
      <w:proofErr w:type="spellStart"/>
      <w:r w:rsidR="00472F28">
        <w:rPr>
          <w:rFonts w:ascii="Times New Roman" w:eastAsia="Calibri" w:hAnsi="Times New Roman" w:cs="Times New Roman"/>
          <w:i/>
          <w:color w:val="000000" w:themeColor="text1"/>
          <w:sz w:val="18"/>
          <w:szCs w:val="18"/>
        </w:rPr>
        <w:t>Ins_Own</w:t>
      </w:r>
      <w:proofErr w:type="spellEnd"/>
      <w:r w:rsidR="00472F28">
        <w:rPr>
          <w:rFonts w:ascii="Times New Roman" w:eastAsia="Calibri" w:hAnsi="Times New Roman" w:cs="Times New Roman"/>
          <w:color w:val="000000" w:themeColor="text1"/>
          <w:sz w:val="18"/>
          <w:szCs w:val="18"/>
        </w:rPr>
        <w:t xml:space="preserve"> is the institutional investments (in USD million) divided by last year market value of equity.</w:t>
      </w:r>
      <w:r w:rsidR="00472F28">
        <w:rPr>
          <w:rFonts w:ascii="Times New Roman" w:hAnsi="Times New Roman" w:cs="Times New Roman"/>
          <w:color w:val="000000" w:themeColor="text1"/>
          <w:sz w:val="18"/>
          <w:szCs w:val="24"/>
          <w:lang w:val="en-US"/>
        </w:rPr>
        <w:t xml:space="preserve"> </w:t>
      </w:r>
      <w:r>
        <w:rPr>
          <w:rFonts w:ascii="Times New Roman" w:hAnsi="Times New Roman" w:cs="Times New Roman"/>
          <w:color w:val="000000" w:themeColor="text1"/>
          <w:sz w:val="18"/>
          <w:szCs w:val="24"/>
          <w:lang w:val="en-US"/>
        </w:rPr>
        <w:t>All</w:t>
      </w:r>
      <w:r w:rsidR="00472F28">
        <w:rPr>
          <w:rFonts w:ascii="Times New Roman" w:hAnsi="Times New Roman" w:cs="Times New Roman"/>
          <w:color w:val="000000" w:themeColor="text1"/>
          <w:sz w:val="18"/>
          <w:szCs w:val="24"/>
          <w:lang w:val="en-US"/>
        </w:rPr>
        <w:t xml:space="preserve"> variables except corruption and </w:t>
      </w:r>
      <w:proofErr w:type="spellStart"/>
      <w:r w:rsidR="00472F28">
        <w:rPr>
          <w:rFonts w:ascii="Times New Roman" w:hAnsi="Times New Roman" w:cs="Times New Roman"/>
          <w:color w:val="000000" w:themeColor="text1"/>
          <w:sz w:val="18"/>
          <w:szCs w:val="24"/>
          <w:lang w:val="en-US"/>
        </w:rPr>
        <w:t>ins_own</w:t>
      </w:r>
      <w:proofErr w:type="spellEnd"/>
      <w:r>
        <w:rPr>
          <w:rFonts w:ascii="Times New Roman" w:hAnsi="Times New Roman" w:cs="Times New Roman"/>
          <w:color w:val="000000" w:themeColor="text1"/>
          <w:sz w:val="18"/>
          <w:szCs w:val="24"/>
          <w:lang w:val="en-US"/>
        </w:rPr>
        <w:t xml:space="preserve"> are divided by net total assets (total assets less cash and cash equivalents)</w:t>
      </w:r>
    </w:p>
    <w:p w14:paraId="623A7546" w14:textId="77777777" w:rsidR="00562E8D" w:rsidRPr="00BE65C7" w:rsidRDefault="00562E8D" w:rsidP="00743345">
      <w:pPr>
        <w:spacing w:line="360" w:lineRule="auto"/>
        <w:jc w:val="center"/>
        <w:rPr>
          <w:rFonts w:ascii="Times New Roman" w:hAnsi="Times New Roman" w:cs="Times New Roman"/>
          <w:color w:val="000000" w:themeColor="text1"/>
          <w:sz w:val="24"/>
          <w:szCs w:val="24"/>
          <w:lang w:val="en-US"/>
        </w:rPr>
      </w:pPr>
    </w:p>
    <w:p w14:paraId="7CE7FF0E" w14:textId="77777777" w:rsidR="00562E8D" w:rsidRPr="00BE65C7" w:rsidRDefault="00562E8D" w:rsidP="00743345">
      <w:pPr>
        <w:spacing w:line="360" w:lineRule="auto"/>
        <w:jc w:val="center"/>
        <w:rPr>
          <w:rFonts w:ascii="Times New Roman" w:hAnsi="Times New Roman" w:cs="Times New Roman"/>
          <w:color w:val="000000" w:themeColor="text1"/>
          <w:sz w:val="24"/>
          <w:szCs w:val="24"/>
          <w:lang w:val="en-US"/>
        </w:rPr>
      </w:pPr>
    </w:p>
    <w:p w14:paraId="455E4F88" w14:textId="77777777" w:rsidR="00562E8D" w:rsidRPr="00BE65C7" w:rsidRDefault="00562E8D" w:rsidP="00743345">
      <w:pPr>
        <w:spacing w:line="360" w:lineRule="auto"/>
        <w:jc w:val="center"/>
        <w:rPr>
          <w:rFonts w:ascii="Times New Roman" w:hAnsi="Times New Roman" w:cs="Times New Roman"/>
          <w:color w:val="000000" w:themeColor="text1"/>
          <w:sz w:val="24"/>
          <w:szCs w:val="24"/>
          <w:lang w:val="en-US"/>
        </w:rPr>
      </w:pPr>
    </w:p>
    <w:p w14:paraId="6A80D8A1" w14:textId="77777777" w:rsidR="00562E8D" w:rsidRPr="00BE65C7" w:rsidRDefault="00562E8D" w:rsidP="00743345">
      <w:pPr>
        <w:spacing w:line="360" w:lineRule="auto"/>
        <w:jc w:val="center"/>
        <w:rPr>
          <w:rFonts w:ascii="Times New Roman" w:hAnsi="Times New Roman" w:cs="Times New Roman"/>
          <w:color w:val="000000" w:themeColor="text1"/>
          <w:sz w:val="24"/>
          <w:szCs w:val="24"/>
          <w:lang w:val="en-US"/>
        </w:rPr>
      </w:pPr>
    </w:p>
    <w:p w14:paraId="67536F26" w14:textId="591D2C8E" w:rsidR="002D14BC" w:rsidRPr="00BE65C7" w:rsidRDefault="00BE2CFB" w:rsidP="00743345">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 xml:space="preserve">Table </w:t>
      </w:r>
      <w:r w:rsidR="00A87EC4" w:rsidRPr="00BE65C7">
        <w:rPr>
          <w:rFonts w:ascii="Times New Roman" w:hAnsi="Times New Roman" w:cs="Times New Roman"/>
          <w:b/>
          <w:bCs/>
          <w:color w:val="000000" w:themeColor="text1"/>
          <w:sz w:val="24"/>
          <w:szCs w:val="24"/>
          <w:lang w:val="en-US"/>
        </w:rPr>
        <w:t>3</w:t>
      </w:r>
    </w:p>
    <w:p w14:paraId="7E2CE38E" w14:textId="35A96A1A" w:rsidR="00743345" w:rsidRPr="00BE65C7" w:rsidRDefault="00147A88" w:rsidP="00743345">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Effect of</w:t>
      </w:r>
      <w:r w:rsidR="009148FC" w:rsidRPr="00BE65C7">
        <w:rPr>
          <w:rFonts w:ascii="Times New Roman" w:hAnsi="Times New Roman" w:cs="Times New Roman"/>
          <w:b/>
          <w:bCs/>
          <w:color w:val="000000" w:themeColor="text1"/>
          <w:sz w:val="24"/>
          <w:szCs w:val="24"/>
          <w:lang w:val="en-US"/>
        </w:rPr>
        <w:t xml:space="preserve"> </w:t>
      </w:r>
      <w:r w:rsidRPr="00BE65C7">
        <w:rPr>
          <w:rFonts w:ascii="Times New Roman" w:hAnsi="Times New Roman" w:cs="Times New Roman"/>
          <w:b/>
          <w:bCs/>
          <w:color w:val="000000" w:themeColor="text1"/>
          <w:sz w:val="24"/>
          <w:szCs w:val="24"/>
          <w:lang w:val="en-US"/>
        </w:rPr>
        <w:t>institutional ownership on</w:t>
      </w:r>
      <w:r w:rsidR="00743345" w:rsidRPr="00BE65C7">
        <w:rPr>
          <w:rFonts w:ascii="Times New Roman" w:hAnsi="Times New Roman" w:cs="Times New Roman"/>
          <w:b/>
          <w:bCs/>
          <w:color w:val="000000" w:themeColor="text1"/>
          <w:sz w:val="24"/>
          <w:szCs w:val="24"/>
          <w:lang w:val="en-US"/>
        </w:rPr>
        <w:t xml:space="preserve"> firm</w:t>
      </w:r>
      <w:r w:rsidR="00E437C7" w:rsidRPr="00BE65C7">
        <w:rPr>
          <w:rFonts w:ascii="Times New Roman" w:hAnsi="Times New Roman" w:cs="Times New Roman"/>
          <w:b/>
          <w:bCs/>
          <w:color w:val="000000" w:themeColor="text1"/>
          <w:sz w:val="24"/>
          <w:szCs w:val="24"/>
          <w:lang w:val="en-US"/>
        </w:rPr>
        <w:t>'</w:t>
      </w:r>
      <w:r w:rsidR="00743345" w:rsidRPr="00BE65C7">
        <w:rPr>
          <w:rFonts w:ascii="Times New Roman" w:hAnsi="Times New Roman" w:cs="Times New Roman"/>
          <w:b/>
          <w:bCs/>
          <w:color w:val="000000" w:themeColor="text1"/>
          <w:sz w:val="24"/>
          <w:szCs w:val="24"/>
          <w:lang w:val="en-US"/>
        </w:rPr>
        <w:t>s cash holdings</w:t>
      </w:r>
    </w:p>
    <w:p w14:paraId="76A2747A" w14:textId="502E0249" w:rsidR="006754BD" w:rsidRPr="00BE65C7" w:rsidRDefault="00000000" w:rsidP="008F2F72">
      <w:pPr>
        <w:spacing w:line="360" w:lineRule="auto"/>
        <w:jc w:val="both"/>
        <w:rPr>
          <w:rFonts w:ascii="Times New Roman" w:hAnsi="Times New Roman" w:cs="Times New Roman"/>
          <w:color w:val="000000" w:themeColor="text1"/>
          <w:sz w:val="24"/>
          <w:szCs w:val="24"/>
          <w:lang w:val="en-US"/>
        </w:rPr>
      </w:pPr>
      <m:oMathPara>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t</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α</m:t>
              </m:r>
            </m:e>
            <m:sub>
              <m:r>
                <w:rPr>
                  <w:rFonts w:ascii="Cambria Math" w:hAnsi="Cambria Math" w:cs="Times New Roman"/>
                  <w:color w:val="000000" w:themeColor="text1"/>
                  <w:sz w:val="24"/>
                  <w:szCs w:val="24"/>
                  <w:lang w:val="en-US"/>
                </w:rPr>
                <m:t>c</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1</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Cash</m:t>
              </m:r>
            </m:e>
            <m:sub>
              <m:r>
                <w:rPr>
                  <w:rFonts w:ascii="Cambria Math" w:hAnsi="Cambria Math" w:cs="Times New Roman"/>
                  <w:color w:val="000000" w:themeColor="text1"/>
                  <w:sz w:val="24"/>
                  <w:szCs w:val="24"/>
                  <w:lang w:val="en-US"/>
                </w:rPr>
                <m:t>it-1</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2</m:t>
              </m:r>
            </m:sub>
          </m:sSub>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inst_own</m:t>
              </m:r>
            </m:e>
            <m:sub>
              <m:r>
                <w:rPr>
                  <w:rFonts w:ascii="Cambria Math" w:hAnsi="Cambria Math" w:cs="Times New Roman"/>
                  <w:color w:val="000000" w:themeColor="text1"/>
                  <w:sz w:val="24"/>
                  <w:szCs w:val="24"/>
                  <w:lang w:val="en-US"/>
                </w:rPr>
                <m:t>it</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β</m:t>
              </m:r>
            </m:e>
            <m:sub>
              <m:r>
                <w:rPr>
                  <w:rFonts w:ascii="Cambria Math" w:hAnsi="Cambria Math" w:cs="Times New Roman"/>
                  <w:color w:val="000000" w:themeColor="text1"/>
                  <w:sz w:val="24"/>
                  <w:szCs w:val="24"/>
                  <w:lang w:val="en-US"/>
                </w:rPr>
                <m:t>n</m:t>
              </m:r>
            </m:sub>
          </m:sSub>
          <m:r>
            <w:rPr>
              <w:rFonts w:ascii="Cambria Math" w:hAnsi="Cambria Math" w:cs="Times New Roman"/>
              <w:color w:val="000000" w:themeColor="text1"/>
              <w:sz w:val="24"/>
              <w:szCs w:val="24"/>
              <w:lang w:val="en-US"/>
            </w:rPr>
            <m:t xml:space="preserve">controls+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ε</m:t>
              </m:r>
            </m:e>
            <m:sub>
              <m:r>
                <w:rPr>
                  <w:rFonts w:ascii="Cambria Math" w:hAnsi="Cambria Math" w:cs="Times New Roman"/>
                  <w:color w:val="000000" w:themeColor="text1"/>
                  <w:sz w:val="24"/>
                  <w:szCs w:val="24"/>
                  <w:lang w:val="en-US"/>
                </w:rPr>
                <m:t>it</m:t>
              </m:r>
            </m:sub>
          </m:sSub>
        </m:oMath>
      </m:oMathPara>
    </w:p>
    <w:tbl>
      <w:tblPr>
        <w:tblStyle w:val="TableGrid"/>
        <w:tblW w:w="0" w:type="auto"/>
        <w:tblLook w:val="04A0" w:firstRow="1" w:lastRow="0" w:firstColumn="1" w:lastColumn="0" w:noHBand="0" w:noVBand="1"/>
      </w:tblPr>
      <w:tblGrid>
        <w:gridCol w:w="1803"/>
        <w:gridCol w:w="1803"/>
        <w:gridCol w:w="1803"/>
        <w:gridCol w:w="1803"/>
        <w:gridCol w:w="1804"/>
      </w:tblGrid>
      <w:tr w:rsidR="00BE65C7" w:rsidRPr="00BE65C7" w14:paraId="6328C970" w14:textId="77777777" w:rsidTr="00443A1A">
        <w:tc>
          <w:tcPr>
            <w:tcW w:w="1803" w:type="dxa"/>
          </w:tcPr>
          <w:p w14:paraId="1CFE6035" w14:textId="16529155" w:rsidR="00177660" w:rsidRPr="00BE65C7" w:rsidRDefault="00177660" w:rsidP="008F2F72">
            <w:pPr>
              <w:spacing w:line="360" w:lineRule="auto"/>
              <w:jc w:val="both"/>
              <w:rPr>
                <w:rFonts w:ascii="Times New Roman" w:hAnsi="Times New Roman" w:cs="Times New Roman"/>
                <w:color w:val="000000" w:themeColor="text1"/>
                <w:sz w:val="24"/>
                <w:szCs w:val="24"/>
              </w:rPr>
            </w:pPr>
          </w:p>
        </w:tc>
        <w:tc>
          <w:tcPr>
            <w:tcW w:w="3606" w:type="dxa"/>
            <w:gridSpan w:val="2"/>
          </w:tcPr>
          <w:p w14:paraId="3723175C" w14:textId="5F13E99A" w:rsidR="00177660" w:rsidRPr="00BE65C7" w:rsidRDefault="00177660" w:rsidP="00177660">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Emerging </w:t>
            </w:r>
            <w:r w:rsidR="009B5F15">
              <w:rPr>
                <w:rFonts w:ascii="Times New Roman" w:hAnsi="Times New Roman" w:cs="Times New Roman"/>
                <w:color w:val="000000" w:themeColor="text1"/>
                <w:sz w:val="24"/>
                <w:szCs w:val="24"/>
              </w:rPr>
              <w:t>Economies</w:t>
            </w:r>
          </w:p>
        </w:tc>
        <w:tc>
          <w:tcPr>
            <w:tcW w:w="3607" w:type="dxa"/>
            <w:gridSpan w:val="2"/>
          </w:tcPr>
          <w:p w14:paraId="41227D2C" w14:textId="227A4748" w:rsidR="00177660" w:rsidRPr="00BE65C7" w:rsidRDefault="00177660" w:rsidP="00177660">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Developed </w:t>
            </w:r>
            <w:r w:rsidR="009B5F15">
              <w:rPr>
                <w:rFonts w:ascii="Times New Roman" w:hAnsi="Times New Roman" w:cs="Times New Roman"/>
                <w:color w:val="000000" w:themeColor="text1"/>
                <w:sz w:val="24"/>
                <w:szCs w:val="24"/>
              </w:rPr>
              <w:t>Countries</w:t>
            </w:r>
          </w:p>
        </w:tc>
      </w:tr>
      <w:tr w:rsidR="00BE65C7" w:rsidRPr="00BE65C7" w14:paraId="556F92E3" w14:textId="77777777" w:rsidTr="00177660">
        <w:tc>
          <w:tcPr>
            <w:tcW w:w="1803" w:type="dxa"/>
          </w:tcPr>
          <w:p w14:paraId="2EC4C054" w14:textId="789E382D" w:rsidR="00177660" w:rsidRPr="00BE65C7" w:rsidRDefault="00177660" w:rsidP="008F2F72">
            <w:pPr>
              <w:spacing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Variables</w:t>
            </w:r>
          </w:p>
        </w:tc>
        <w:tc>
          <w:tcPr>
            <w:tcW w:w="1803" w:type="dxa"/>
          </w:tcPr>
          <w:p w14:paraId="4D132CE8" w14:textId="4AEC0EF8" w:rsidR="00177660" w:rsidRPr="00BE65C7" w:rsidRDefault="00177660" w:rsidP="00177660">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w:t>
            </w:r>
          </w:p>
        </w:tc>
        <w:tc>
          <w:tcPr>
            <w:tcW w:w="1803" w:type="dxa"/>
          </w:tcPr>
          <w:p w14:paraId="73AEAAAD" w14:textId="4E698D6D" w:rsidR="00177660" w:rsidRPr="00BE65C7" w:rsidRDefault="00177660" w:rsidP="00177660">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(2)</w:t>
            </w:r>
          </w:p>
        </w:tc>
        <w:tc>
          <w:tcPr>
            <w:tcW w:w="1803" w:type="dxa"/>
          </w:tcPr>
          <w:p w14:paraId="0ED6AC5B" w14:textId="12900E33" w:rsidR="00177660" w:rsidRPr="00BE65C7" w:rsidRDefault="00177660" w:rsidP="00177660">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(3)</w:t>
            </w:r>
          </w:p>
        </w:tc>
        <w:tc>
          <w:tcPr>
            <w:tcW w:w="1804" w:type="dxa"/>
          </w:tcPr>
          <w:p w14:paraId="5C9EDC20" w14:textId="5E557C62" w:rsidR="00177660" w:rsidRPr="00BE65C7" w:rsidRDefault="00177660" w:rsidP="00177660">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(4)</w:t>
            </w:r>
          </w:p>
        </w:tc>
      </w:tr>
      <w:tr w:rsidR="00BE65C7" w:rsidRPr="00BE65C7" w14:paraId="607AF85D" w14:textId="77777777" w:rsidTr="00177660">
        <w:tc>
          <w:tcPr>
            <w:tcW w:w="1803" w:type="dxa"/>
          </w:tcPr>
          <w:p w14:paraId="00BE6851" w14:textId="251429BC" w:rsidR="00177660" w:rsidRPr="00BE65C7" w:rsidRDefault="00000000" w:rsidP="008F2F72">
            <w:pPr>
              <w:spacing w:line="360" w:lineRule="auto"/>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Cash</m:t>
                    </m:r>
                  </m:e>
                  <m:sub>
                    <m:r>
                      <w:rPr>
                        <w:rFonts w:ascii="Cambria Math" w:hAnsi="Cambria Math" w:cs="Times New Roman"/>
                        <w:color w:val="000000" w:themeColor="text1"/>
                        <w:sz w:val="24"/>
                        <w:szCs w:val="24"/>
                      </w:rPr>
                      <m:t>it-1</m:t>
                    </m:r>
                  </m:sub>
                </m:sSub>
              </m:oMath>
            </m:oMathPara>
          </w:p>
        </w:tc>
        <w:tc>
          <w:tcPr>
            <w:tcW w:w="1803" w:type="dxa"/>
          </w:tcPr>
          <w:p w14:paraId="7E4D8CA2" w14:textId="21998943" w:rsidR="00177660" w:rsidRPr="00BE65C7" w:rsidRDefault="00177660"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0.235</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23B49FE1" w14:textId="7CA59574" w:rsidR="00177660" w:rsidRPr="00BE65C7" w:rsidRDefault="00177660"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(0.015</w:t>
            </w:r>
            <w:r w:rsidR="003D458D" w:rsidRPr="00BE65C7">
              <w:rPr>
                <w:rFonts w:ascii="Times New Roman" w:hAnsi="Times New Roman" w:cs="Times New Roman"/>
                <w:color w:val="000000" w:themeColor="text1"/>
                <w:sz w:val="24"/>
                <w:szCs w:val="24"/>
              </w:rPr>
              <w:t>1</w:t>
            </w:r>
            <w:r w:rsidRPr="00BE65C7">
              <w:rPr>
                <w:rFonts w:ascii="Times New Roman" w:hAnsi="Times New Roman" w:cs="Times New Roman"/>
                <w:color w:val="000000" w:themeColor="text1"/>
                <w:sz w:val="24"/>
                <w:szCs w:val="24"/>
              </w:rPr>
              <w:t>)</w:t>
            </w:r>
          </w:p>
        </w:tc>
        <w:tc>
          <w:tcPr>
            <w:tcW w:w="1803" w:type="dxa"/>
          </w:tcPr>
          <w:p w14:paraId="1EACAC72" w14:textId="4A8F3FA6" w:rsidR="00177660" w:rsidRPr="00BE65C7" w:rsidRDefault="00177660"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0.178</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636633E8" w14:textId="77637939" w:rsidR="00177660" w:rsidRPr="00BE65C7" w:rsidRDefault="00177660"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w:t>
            </w:r>
            <w:r w:rsidR="00EE40B3" w:rsidRPr="00BE65C7">
              <w:rPr>
                <w:rFonts w:ascii="Times New Roman" w:hAnsi="Times New Roman" w:cs="Times New Roman"/>
                <w:color w:val="000000" w:themeColor="text1"/>
                <w:sz w:val="24"/>
                <w:szCs w:val="24"/>
              </w:rPr>
              <w:t>21</w:t>
            </w:r>
            <w:r w:rsidR="003D458D" w:rsidRPr="00BE65C7">
              <w:rPr>
                <w:rFonts w:ascii="Times New Roman" w:hAnsi="Times New Roman" w:cs="Times New Roman"/>
                <w:color w:val="000000" w:themeColor="text1"/>
                <w:sz w:val="24"/>
                <w:szCs w:val="24"/>
              </w:rPr>
              <w:t>2</w:t>
            </w:r>
            <w:r w:rsidR="00EE40B3" w:rsidRPr="00BE65C7">
              <w:rPr>
                <w:rFonts w:ascii="Times New Roman" w:hAnsi="Times New Roman" w:cs="Times New Roman"/>
                <w:color w:val="000000" w:themeColor="text1"/>
                <w:sz w:val="24"/>
                <w:szCs w:val="24"/>
              </w:rPr>
              <w:t>)</w:t>
            </w:r>
          </w:p>
        </w:tc>
        <w:tc>
          <w:tcPr>
            <w:tcW w:w="1803" w:type="dxa"/>
          </w:tcPr>
          <w:p w14:paraId="4C5A2AE6" w14:textId="616F22CE" w:rsidR="00177660" w:rsidRPr="00BE65C7" w:rsidRDefault="00FC7F9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0.158</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62E24753" w14:textId="3E2E8A1A" w:rsidR="00FC7F98" w:rsidRPr="00BE65C7" w:rsidRDefault="00FC7F9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(0.024</w:t>
            </w:r>
            <w:r w:rsidR="003D458D" w:rsidRPr="00BE65C7">
              <w:rPr>
                <w:rFonts w:ascii="Times New Roman" w:hAnsi="Times New Roman" w:cs="Times New Roman"/>
                <w:color w:val="000000" w:themeColor="text1"/>
                <w:sz w:val="24"/>
                <w:szCs w:val="24"/>
              </w:rPr>
              <w:t>1</w:t>
            </w:r>
            <w:r w:rsidRPr="00BE65C7">
              <w:rPr>
                <w:rFonts w:ascii="Times New Roman" w:hAnsi="Times New Roman" w:cs="Times New Roman"/>
                <w:color w:val="000000" w:themeColor="text1"/>
                <w:sz w:val="24"/>
                <w:szCs w:val="24"/>
              </w:rPr>
              <w:t>)</w:t>
            </w:r>
          </w:p>
        </w:tc>
        <w:tc>
          <w:tcPr>
            <w:tcW w:w="1804" w:type="dxa"/>
          </w:tcPr>
          <w:p w14:paraId="3B9DF067" w14:textId="65859C8C" w:rsidR="00177660" w:rsidRPr="00BE65C7" w:rsidRDefault="00FC7F9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w:t>
            </w:r>
            <w:r w:rsidR="0036298F" w:rsidRPr="00BE65C7">
              <w:rPr>
                <w:rFonts w:ascii="Times New Roman" w:hAnsi="Times New Roman" w:cs="Times New Roman"/>
                <w:color w:val="000000" w:themeColor="text1"/>
                <w:sz w:val="24"/>
                <w:szCs w:val="24"/>
              </w:rPr>
              <w:t>3</w:t>
            </w:r>
            <w:r w:rsidRPr="00BE65C7">
              <w:rPr>
                <w:rFonts w:ascii="Times New Roman" w:hAnsi="Times New Roman" w:cs="Times New Roman"/>
                <w:color w:val="000000" w:themeColor="text1"/>
                <w:sz w:val="24"/>
                <w:szCs w:val="24"/>
              </w:rPr>
              <w:t>6</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1DD71CDC" w14:textId="1A74CDCE" w:rsidR="00FC7F98" w:rsidRPr="00BE65C7" w:rsidRDefault="00FC7F9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(0.028</w:t>
            </w:r>
            <w:r w:rsidR="003D458D" w:rsidRPr="00BE65C7">
              <w:rPr>
                <w:rFonts w:ascii="Times New Roman" w:hAnsi="Times New Roman" w:cs="Times New Roman"/>
                <w:color w:val="000000" w:themeColor="text1"/>
                <w:sz w:val="24"/>
                <w:szCs w:val="24"/>
              </w:rPr>
              <w:t>1</w:t>
            </w:r>
            <w:r w:rsidRPr="00BE65C7">
              <w:rPr>
                <w:rFonts w:ascii="Times New Roman" w:hAnsi="Times New Roman" w:cs="Times New Roman"/>
                <w:color w:val="000000" w:themeColor="text1"/>
                <w:sz w:val="24"/>
                <w:szCs w:val="24"/>
              </w:rPr>
              <w:t>)</w:t>
            </w:r>
          </w:p>
        </w:tc>
      </w:tr>
      <w:tr w:rsidR="00BE65C7" w:rsidRPr="00BE65C7" w14:paraId="6EA50D8E" w14:textId="77777777" w:rsidTr="00177660">
        <w:tc>
          <w:tcPr>
            <w:tcW w:w="1803" w:type="dxa"/>
          </w:tcPr>
          <w:p w14:paraId="06183B4E" w14:textId="0BE0090A" w:rsidR="00FC7F98" w:rsidRPr="00BE65C7" w:rsidRDefault="00000000" w:rsidP="008F2F72">
            <w:pPr>
              <w:spacing w:line="360" w:lineRule="auto"/>
              <w:jc w:val="both"/>
              <w:rPr>
                <w:rFonts w:ascii="Times New Roman" w:eastAsia="Calibri"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inst_own</m:t>
                    </m:r>
                  </m:e>
                  <m:sub>
                    <m:r>
                      <w:rPr>
                        <w:rFonts w:ascii="Cambria Math" w:hAnsi="Cambria Math" w:cs="Times New Roman"/>
                        <w:color w:val="000000" w:themeColor="text1"/>
                        <w:sz w:val="24"/>
                        <w:szCs w:val="24"/>
                      </w:rPr>
                      <m:t>it</m:t>
                    </m:r>
                  </m:sub>
                </m:sSub>
              </m:oMath>
            </m:oMathPara>
          </w:p>
        </w:tc>
        <w:tc>
          <w:tcPr>
            <w:tcW w:w="1803" w:type="dxa"/>
          </w:tcPr>
          <w:p w14:paraId="55D84EBA" w14:textId="3CAF05A9" w:rsidR="00FC7F98" w:rsidRPr="00BE65C7" w:rsidRDefault="003D458D"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w:t>
            </w:r>
            <w:r w:rsidR="00E61DF5" w:rsidRPr="00BE65C7">
              <w:rPr>
                <w:rFonts w:ascii="Times New Roman" w:hAnsi="Times New Roman" w:cs="Times New Roman"/>
                <w:color w:val="000000" w:themeColor="text1"/>
                <w:sz w:val="24"/>
                <w:szCs w:val="24"/>
              </w:rPr>
              <w:t>10</w:t>
            </w:r>
            <w:r w:rsidRPr="00BE65C7">
              <w:rPr>
                <w:rFonts w:ascii="Times New Roman" w:hAnsi="Times New Roman" w:cs="Times New Roman"/>
                <w:color w:val="000000" w:themeColor="text1"/>
                <w:sz w:val="24"/>
                <w:szCs w:val="24"/>
              </w:rPr>
              <w:t>4</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6AA7C433" w14:textId="4714211F" w:rsidR="003D458D" w:rsidRPr="00BE65C7" w:rsidRDefault="003D458D"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(0.0015)</w:t>
            </w:r>
          </w:p>
        </w:tc>
        <w:tc>
          <w:tcPr>
            <w:tcW w:w="1803" w:type="dxa"/>
          </w:tcPr>
          <w:p w14:paraId="02555B8E" w14:textId="3AEEC7C3" w:rsidR="00FC7F98" w:rsidRPr="00BE65C7" w:rsidRDefault="003D458D"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w:t>
            </w:r>
            <w:r w:rsidR="00E61DF5" w:rsidRPr="00BE65C7">
              <w:rPr>
                <w:rFonts w:ascii="Times New Roman" w:hAnsi="Times New Roman" w:cs="Times New Roman"/>
                <w:color w:val="000000" w:themeColor="text1"/>
                <w:sz w:val="24"/>
                <w:szCs w:val="24"/>
              </w:rPr>
              <w:t>12</w:t>
            </w:r>
            <w:r w:rsidRPr="00BE65C7">
              <w:rPr>
                <w:rFonts w:ascii="Times New Roman" w:hAnsi="Times New Roman" w:cs="Times New Roman"/>
                <w:color w:val="000000" w:themeColor="text1"/>
                <w:sz w:val="24"/>
                <w:szCs w:val="24"/>
              </w:rPr>
              <w:t>5</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411EC074" w14:textId="0A136F3F" w:rsidR="003D458D" w:rsidRPr="00BE65C7" w:rsidRDefault="003D458D"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(0.0021)</w:t>
            </w:r>
          </w:p>
        </w:tc>
        <w:tc>
          <w:tcPr>
            <w:tcW w:w="1803" w:type="dxa"/>
          </w:tcPr>
          <w:p w14:paraId="09550E2F" w14:textId="3D364844" w:rsidR="00FC7F98" w:rsidRPr="00BE65C7" w:rsidRDefault="00E61DF5"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-0.095</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53C9F982" w14:textId="67A45889" w:rsidR="00E61DF5" w:rsidRPr="00BE65C7" w:rsidRDefault="00E61DF5"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(0.0018)</w:t>
            </w:r>
          </w:p>
        </w:tc>
        <w:tc>
          <w:tcPr>
            <w:tcW w:w="1804" w:type="dxa"/>
          </w:tcPr>
          <w:p w14:paraId="4F865D86" w14:textId="3838D660" w:rsidR="00FC7F98" w:rsidRPr="00BE65C7" w:rsidRDefault="00E61DF5"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-0.087</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0675C221" w14:textId="6D2FE28A" w:rsidR="00E61DF5" w:rsidRPr="00BE65C7" w:rsidRDefault="00E61DF5"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(0.0054)</w:t>
            </w:r>
          </w:p>
        </w:tc>
      </w:tr>
      <w:tr w:rsidR="00BE65C7" w:rsidRPr="00BE65C7" w14:paraId="5BE73CB1" w14:textId="77777777" w:rsidTr="00177660">
        <w:tc>
          <w:tcPr>
            <w:tcW w:w="1803" w:type="dxa"/>
          </w:tcPr>
          <w:p w14:paraId="6CFC9D3E" w14:textId="4C1F730B" w:rsidR="00292E74" w:rsidRPr="00BE65C7" w:rsidRDefault="00292E74" w:rsidP="008F2F72">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NWC</w:t>
            </w:r>
          </w:p>
        </w:tc>
        <w:tc>
          <w:tcPr>
            <w:tcW w:w="1803" w:type="dxa"/>
          </w:tcPr>
          <w:p w14:paraId="322944E4" w14:textId="77777777" w:rsidR="00292E74" w:rsidRPr="00BE65C7" w:rsidRDefault="00292E74" w:rsidP="00C86A74">
            <w:pPr>
              <w:jc w:val="both"/>
              <w:rPr>
                <w:rFonts w:ascii="Times New Roman" w:hAnsi="Times New Roman" w:cs="Times New Roman"/>
                <w:color w:val="000000" w:themeColor="text1"/>
                <w:sz w:val="24"/>
                <w:szCs w:val="24"/>
              </w:rPr>
            </w:pPr>
          </w:p>
        </w:tc>
        <w:tc>
          <w:tcPr>
            <w:tcW w:w="1803" w:type="dxa"/>
          </w:tcPr>
          <w:p w14:paraId="682A3F66" w14:textId="3C89482E" w:rsidR="00292E74" w:rsidRPr="00BE65C7" w:rsidRDefault="00292E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-0.025</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7444B1EC" w14:textId="1B0BB1CA" w:rsidR="00292E74" w:rsidRPr="00BE65C7" w:rsidRDefault="00292E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803" w:type="dxa"/>
          </w:tcPr>
          <w:p w14:paraId="0A6A9570" w14:textId="77777777" w:rsidR="00292E74" w:rsidRPr="00BE65C7" w:rsidRDefault="00292E74" w:rsidP="00C86A74">
            <w:pPr>
              <w:jc w:val="both"/>
              <w:rPr>
                <w:rFonts w:ascii="Times New Roman" w:hAnsi="Times New Roman" w:cs="Times New Roman"/>
                <w:color w:val="000000" w:themeColor="text1"/>
                <w:sz w:val="24"/>
                <w:szCs w:val="24"/>
              </w:rPr>
            </w:pPr>
          </w:p>
        </w:tc>
        <w:tc>
          <w:tcPr>
            <w:tcW w:w="1804" w:type="dxa"/>
          </w:tcPr>
          <w:p w14:paraId="649705D3" w14:textId="79A2E067" w:rsidR="00292E74" w:rsidRPr="00BE65C7" w:rsidRDefault="00292E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-0.018</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35F38FFA" w14:textId="485FB1F8" w:rsidR="00292E74" w:rsidRPr="00BE65C7" w:rsidRDefault="00292E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0F004747" w14:textId="77777777" w:rsidTr="00177660">
        <w:tc>
          <w:tcPr>
            <w:tcW w:w="1803" w:type="dxa"/>
          </w:tcPr>
          <w:p w14:paraId="2663E98E" w14:textId="31CACC2B" w:rsidR="00136254" w:rsidRPr="00BE65C7" w:rsidRDefault="00136254" w:rsidP="008F2F72">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3_year growth</w:t>
            </w:r>
          </w:p>
        </w:tc>
        <w:tc>
          <w:tcPr>
            <w:tcW w:w="1803" w:type="dxa"/>
          </w:tcPr>
          <w:p w14:paraId="6203C4D0" w14:textId="77777777" w:rsidR="00136254" w:rsidRPr="00BE65C7" w:rsidRDefault="00136254" w:rsidP="00C86A74">
            <w:pPr>
              <w:jc w:val="both"/>
              <w:rPr>
                <w:rFonts w:ascii="Times New Roman" w:hAnsi="Times New Roman" w:cs="Times New Roman"/>
                <w:color w:val="000000" w:themeColor="text1"/>
                <w:sz w:val="24"/>
                <w:szCs w:val="24"/>
              </w:rPr>
            </w:pPr>
          </w:p>
        </w:tc>
        <w:tc>
          <w:tcPr>
            <w:tcW w:w="1803" w:type="dxa"/>
          </w:tcPr>
          <w:p w14:paraId="14EC4DE0" w14:textId="7887CB7F" w:rsidR="00136254" w:rsidRPr="00BE65C7" w:rsidRDefault="00594FA6" w:rsidP="00C86A74">
            <w:pPr>
              <w:jc w:val="both"/>
              <w:rPr>
                <w:rFonts w:ascii="Times New Roman" w:hAnsi="Times New Roman" w:cs="Times New Roman"/>
                <w:color w:val="000000" w:themeColor="text1"/>
                <w:sz w:val="24"/>
                <w:szCs w:val="24"/>
                <w:vertAlign w:val="superscript"/>
              </w:rPr>
            </w:pPr>
            <w:r w:rsidRPr="00BE65C7">
              <w:rPr>
                <w:rFonts w:ascii="Times New Roman" w:hAnsi="Times New Roman" w:cs="Times New Roman"/>
                <w:color w:val="000000" w:themeColor="text1"/>
                <w:sz w:val="24"/>
                <w:szCs w:val="24"/>
              </w:rPr>
              <w:t>0.004</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45A2480D" w14:textId="75B50BEE" w:rsidR="00594FA6" w:rsidRPr="00BE65C7" w:rsidRDefault="00594FA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1803" w:type="dxa"/>
          </w:tcPr>
          <w:p w14:paraId="7DB2ECD7" w14:textId="77777777" w:rsidR="00136254" w:rsidRPr="00BE65C7" w:rsidRDefault="00136254" w:rsidP="00C86A74">
            <w:pPr>
              <w:jc w:val="both"/>
              <w:rPr>
                <w:rFonts w:ascii="Times New Roman" w:hAnsi="Times New Roman" w:cs="Times New Roman"/>
                <w:color w:val="000000" w:themeColor="text1"/>
                <w:sz w:val="24"/>
                <w:szCs w:val="24"/>
              </w:rPr>
            </w:pPr>
          </w:p>
        </w:tc>
        <w:tc>
          <w:tcPr>
            <w:tcW w:w="1804" w:type="dxa"/>
          </w:tcPr>
          <w:p w14:paraId="43CE06C9" w14:textId="0C96BF8D" w:rsidR="00136254" w:rsidRPr="00BE65C7" w:rsidRDefault="00594FA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5434F74E" w14:textId="49A60536" w:rsidR="00594FA6" w:rsidRPr="00BE65C7" w:rsidRDefault="00594FA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786B64E2" w14:textId="77777777" w:rsidTr="00177660">
        <w:tc>
          <w:tcPr>
            <w:tcW w:w="1803" w:type="dxa"/>
          </w:tcPr>
          <w:p w14:paraId="79AD1EE0" w14:textId="4B0363D1" w:rsidR="007E46C8" w:rsidRPr="00BE65C7" w:rsidRDefault="007E46C8" w:rsidP="008F2F72">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R&amp;D</w:t>
            </w:r>
          </w:p>
        </w:tc>
        <w:tc>
          <w:tcPr>
            <w:tcW w:w="1803" w:type="dxa"/>
          </w:tcPr>
          <w:p w14:paraId="01868152" w14:textId="77777777" w:rsidR="007E46C8" w:rsidRPr="00BE65C7" w:rsidRDefault="007E46C8" w:rsidP="00C86A74">
            <w:pPr>
              <w:jc w:val="both"/>
              <w:rPr>
                <w:rFonts w:ascii="Times New Roman" w:hAnsi="Times New Roman" w:cs="Times New Roman"/>
                <w:color w:val="000000" w:themeColor="text1"/>
                <w:sz w:val="24"/>
                <w:szCs w:val="24"/>
              </w:rPr>
            </w:pPr>
          </w:p>
        </w:tc>
        <w:tc>
          <w:tcPr>
            <w:tcW w:w="1803" w:type="dxa"/>
          </w:tcPr>
          <w:p w14:paraId="10993D21" w14:textId="29B3266D" w:rsidR="007E46C8" w:rsidRPr="00BE65C7" w:rsidRDefault="007E46C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0.0029</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201BE9B4" w14:textId="3D97B0C8" w:rsidR="007E46C8" w:rsidRPr="00BE65C7" w:rsidRDefault="007E46C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803" w:type="dxa"/>
          </w:tcPr>
          <w:p w14:paraId="69E159BC" w14:textId="77777777" w:rsidR="007E46C8" w:rsidRPr="00BE65C7" w:rsidRDefault="007E46C8" w:rsidP="00C86A74">
            <w:pPr>
              <w:jc w:val="both"/>
              <w:rPr>
                <w:rFonts w:ascii="Times New Roman" w:hAnsi="Times New Roman" w:cs="Times New Roman"/>
                <w:color w:val="000000" w:themeColor="text1"/>
                <w:sz w:val="24"/>
                <w:szCs w:val="24"/>
              </w:rPr>
            </w:pPr>
          </w:p>
        </w:tc>
        <w:tc>
          <w:tcPr>
            <w:tcW w:w="1804" w:type="dxa"/>
          </w:tcPr>
          <w:p w14:paraId="76326406" w14:textId="0E3F33CE" w:rsidR="007E46C8" w:rsidRPr="00BE65C7" w:rsidRDefault="007E46C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0.0156</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053C613F" w14:textId="3A97A449" w:rsidR="007E46C8" w:rsidRPr="00BE65C7" w:rsidRDefault="007E46C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2261BEF1" w14:textId="77777777" w:rsidTr="00177660">
        <w:tc>
          <w:tcPr>
            <w:tcW w:w="1803" w:type="dxa"/>
          </w:tcPr>
          <w:p w14:paraId="7AAE0024" w14:textId="106CE510" w:rsidR="00811972" w:rsidRPr="00BE65C7" w:rsidRDefault="00811972" w:rsidP="008F2F72">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Leverage</w:t>
            </w:r>
          </w:p>
        </w:tc>
        <w:tc>
          <w:tcPr>
            <w:tcW w:w="1803" w:type="dxa"/>
          </w:tcPr>
          <w:p w14:paraId="00484E5B" w14:textId="77777777" w:rsidR="00811972" w:rsidRPr="00BE65C7" w:rsidRDefault="00811972" w:rsidP="00C86A74">
            <w:pPr>
              <w:jc w:val="both"/>
              <w:rPr>
                <w:rFonts w:ascii="Times New Roman" w:hAnsi="Times New Roman" w:cs="Times New Roman"/>
                <w:color w:val="000000" w:themeColor="text1"/>
                <w:sz w:val="24"/>
                <w:szCs w:val="24"/>
              </w:rPr>
            </w:pPr>
          </w:p>
        </w:tc>
        <w:tc>
          <w:tcPr>
            <w:tcW w:w="1803" w:type="dxa"/>
          </w:tcPr>
          <w:p w14:paraId="141AA7D7" w14:textId="58D5ED1A" w:rsidR="00811972" w:rsidRPr="00BE65C7" w:rsidRDefault="008119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0.195</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70F2B479" w14:textId="579088A0" w:rsidR="00811972" w:rsidRPr="00BE65C7" w:rsidRDefault="008119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(0.052)</w:t>
            </w:r>
          </w:p>
        </w:tc>
        <w:tc>
          <w:tcPr>
            <w:tcW w:w="1803" w:type="dxa"/>
          </w:tcPr>
          <w:p w14:paraId="2A0287BC" w14:textId="77777777" w:rsidR="00811972" w:rsidRPr="00BE65C7" w:rsidRDefault="00811972" w:rsidP="00C86A74">
            <w:pPr>
              <w:jc w:val="both"/>
              <w:rPr>
                <w:rFonts w:ascii="Times New Roman" w:hAnsi="Times New Roman" w:cs="Times New Roman"/>
                <w:color w:val="000000" w:themeColor="text1"/>
                <w:sz w:val="24"/>
                <w:szCs w:val="24"/>
              </w:rPr>
            </w:pPr>
          </w:p>
        </w:tc>
        <w:tc>
          <w:tcPr>
            <w:tcW w:w="1804" w:type="dxa"/>
          </w:tcPr>
          <w:p w14:paraId="667A21AB" w14:textId="21F5DF8E" w:rsidR="00811972" w:rsidRPr="00BE65C7" w:rsidRDefault="008119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0.149</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3E1E103D" w14:textId="0755D962" w:rsidR="00811972" w:rsidRPr="00BE65C7" w:rsidRDefault="008119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w:t>
            </w:r>
          </w:p>
        </w:tc>
      </w:tr>
      <w:tr w:rsidR="00BE65C7" w:rsidRPr="00BE65C7" w14:paraId="480248C9" w14:textId="77777777" w:rsidTr="00177660">
        <w:tc>
          <w:tcPr>
            <w:tcW w:w="1803" w:type="dxa"/>
          </w:tcPr>
          <w:p w14:paraId="169B390F" w14:textId="60640D22" w:rsidR="0012308E" w:rsidRPr="00BE65C7" w:rsidRDefault="00472F28" w:rsidP="008F2F72">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PPE</w:t>
            </w:r>
          </w:p>
        </w:tc>
        <w:tc>
          <w:tcPr>
            <w:tcW w:w="1803" w:type="dxa"/>
          </w:tcPr>
          <w:p w14:paraId="5BE8B197" w14:textId="77777777" w:rsidR="0012308E" w:rsidRPr="00BE65C7" w:rsidRDefault="0012308E" w:rsidP="00C86A74">
            <w:pPr>
              <w:jc w:val="both"/>
              <w:rPr>
                <w:rFonts w:ascii="Times New Roman" w:hAnsi="Times New Roman" w:cs="Times New Roman"/>
                <w:color w:val="000000" w:themeColor="text1"/>
                <w:sz w:val="24"/>
                <w:szCs w:val="24"/>
              </w:rPr>
            </w:pPr>
          </w:p>
        </w:tc>
        <w:tc>
          <w:tcPr>
            <w:tcW w:w="1803" w:type="dxa"/>
          </w:tcPr>
          <w:p w14:paraId="6EF50C08" w14:textId="14AE6296"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-0.172</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08F1D017" w14:textId="07EE652D"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1803" w:type="dxa"/>
          </w:tcPr>
          <w:p w14:paraId="3FC8BADA" w14:textId="77777777" w:rsidR="0012308E" w:rsidRPr="00BE65C7" w:rsidRDefault="0012308E" w:rsidP="00C86A74">
            <w:pPr>
              <w:jc w:val="both"/>
              <w:rPr>
                <w:rFonts w:ascii="Times New Roman" w:hAnsi="Times New Roman" w:cs="Times New Roman"/>
                <w:color w:val="000000" w:themeColor="text1"/>
                <w:sz w:val="24"/>
                <w:szCs w:val="24"/>
              </w:rPr>
            </w:pPr>
          </w:p>
        </w:tc>
        <w:tc>
          <w:tcPr>
            <w:tcW w:w="1804" w:type="dxa"/>
          </w:tcPr>
          <w:p w14:paraId="03BC7F61" w14:textId="708E0DA5"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-0.229</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12B51564" w14:textId="076B86AA"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10CDC11B" w14:textId="77777777" w:rsidTr="00177660">
        <w:tc>
          <w:tcPr>
            <w:tcW w:w="1803" w:type="dxa"/>
          </w:tcPr>
          <w:p w14:paraId="4FBBB000" w14:textId="00587641" w:rsidR="0012308E" w:rsidRPr="00BE65C7" w:rsidRDefault="0012308E" w:rsidP="008F2F72">
            <w:pPr>
              <w:spacing w:line="360" w:lineRule="auto"/>
              <w:jc w:val="both"/>
              <w:rPr>
                <w:rFonts w:ascii="Times New Roman" w:eastAsia="Calibri" w:hAnsi="Times New Roman" w:cs="Times New Roman"/>
                <w:color w:val="000000" w:themeColor="text1"/>
                <w:sz w:val="24"/>
                <w:szCs w:val="24"/>
              </w:rPr>
            </w:pPr>
            <w:proofErr w:type="spellStart"/>
            <w:r w:rsidRPr="00BE65C7">
              <w:rPr>
                <w:rFonts w:ascii="Times New Roman" w:eastAsia="Calibri" w:hAnsi="Times New Roman" w:cs="Times New Roman"/>
                <w:color w:val="000000" w:themeColor="text1"/>
                <w:sz w:val="24"/>
                <w:szCs w:val="24"/>
              </w:rPr>
              <w:t>Div_dum</w:t>
            </w:r>
            <w:proofErr w:type="spellEnd"/>
          </w:p>
        </w:tc>
        <w:tc>
          <w:tcPr>
            <w:tcW w:w="1803" w:type="dxa"/>
          </w:tcPr>
          <w:p w14:paraId="6E5BCE7B" w14:textId="77777777" w:rsidR="0012308E" w:rsidRPr="00BE65C7" w:rsidRDefault="0012308E" w:rsidP="00C86A74">
            <w:pPr>
              <w:jc w:val="both"/>
              <w:rPr>
                <w:rFonts w:ascii="Times New Roman" w:hAnsi="Times New Roman" w:cs="Times New Roman"/>
                <w:color w:val="000000" w:themeColor="text1"/>
                <w:sz w:val="24"/>
                <w:szCs w:val="24"/>
              </w:rPr>
            </w:pPr>
          </w:p>
        </w:tc>
        <w:tc>
          <w:tcPr>
            <w:tcW w:w="1803" w:type="dxa"/>
          </w:tcPr>
          <w:p w14:paraId="01A7F91F" w14:textId="0108E0D9"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0.0025</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530D46C2" w14:textId="4CCDE5FB"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803" w:type="dxa"/>
          </w:tcPr>
          <w:p w14:paraId="3F6066E7" w14:textId="77777777" w:rsidR="0012308E" w:rsidRPr="00BE65C7" w:rsidRDefault="0012308E" w:rsidP="00C86A74">
            <w:pPr>
              <w:jc w:val="both"/>
              <w:rPr>
                <w:rFonts w:ascii="Times New Roman" w:hAnsi="Times New Roman" w:cs="Times New Roman"/>
                <w:color w:val="000000" w:themeColor="text1"/>
                <w:sz w:val="24"/>
                <w:szCs w:val="24"/>
              </w:rPr>
            </w:pPr>
          </w:p>
        </w:tc>
        <w:tc>
          <w:tcPr>
            <w:tcW w:w="1804" w:type="dxa"/>
          </w:tcPr>
          <w:p w14:paraId="10E475C3" w14:textId="4CA69BD4"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0.016</w:t>
            </w:r>
            <w:r w:rsidRPr="00BE65C7">
              <w:rPr>
                <w:rFonts w:ascii="Times New Roman" w:hAnsi="Times New Roman" w:cs="Times New Roman"/>
                <w:color w:val="000000" w:themeColor="text1"/>
                <w:sz w:val="24"/>
                <w:szCs w:val="24"/>
                <w:vertAlign w:val="superscript"/>
              </w:rPr>
              <w:t>*</w:t>
            </w:r>
            <w:r w:rsidR="00C86A74" w:rsidRPr="00BE65C7">
              <w:rPr>
                <w:rFonts w:ascii="Times New Roman" w:hAnsi="Times New Roman" w:cs="Times New Roman"/>
                <w:color w:val="000000" w:themeColor="text1"/>
                <w:sz w:val="24"/>
                <w:szCs w:val="24"/>
                <w:vertAlign w:val="superscript"/>
              </w:rPr>
              <w:t>**</w:t>
            </w:r>
          </w:p>
          <w:p w14:paraId="7058915E" w14:textId="74933272" w:rsidR="0012308E" w:rsidRPr="00BE65C7" w:rsidRDefault="0012308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15882BE2" w14:textId="77777777" w:rsidTr="00177660">
        <w:tc>
          <w:tcPr>
            <w:tcW w:w="1803" w:type="dxa"/>
          </w:tcPr>
          <w:p w14:paraId="621E8709" w14:textId="257376C7" w:rsidR="003E6A76" w:rsidRPr="00BE65C7" w:rsidRDefault="003E6A76" w:rsidP="008F2F72">
            <w:pPr>
              <w:spacing w:line="360" w:lineRule="auto"/>
              <w:jc w:val="both"/>
              <w:rPr>
                <w:rFonts w:ascii="Times New Roman" w:eastAsia="Calibri" w:hAnsi="Times New Roman" w:cs="Times New Roman"/>
                <w:color w:val="000000" w:themeColor="text1"/>
                <w:sz w:val="24"/>
                <w:szCs w:val="24"/>
              </w:rPr>
            </w:pPr>
            <w:proofErr w:type="spellStart"/>
            <w:r w:rsidRPr="00BE65C7">
              <w:rPr>
                <w:rFonts w:ascii="Times New Roman" w:eastAsia="Calibri" w:hAnsi="Times New Roman" w:cs="Times New Roman"/>
                <w:color w:val="000000" w:themeColor="text1"/>
                <w:sz w:val="24"/>
                <w:szCs w:val="24"/>
              </w:rPr>
              <w:t>Sargan</w:t>
            </w:r>
            <w:r w:rsidR="005C0742" w:rsidRPr="00BE65C7">
              <w:rPr>
                <w:rFonts w:ascii="Times New Roman" w:eastAsia="Calibri" w:hAnsi="Times New Roman" w:cs="Times New Roman"/>
                <w:color w:val="000000" w:themeColor="text1"/>
                <w:sz w:val="24"/>
                <w:szCs w:val="24"/>
              </w:rPr>
              <w:t>'</w:t>
            </w:r>
            <w:r w:rsidRPr="00BE65C7">
              <w:rPr>
                <w:rFonts w:ascii="Times New Roman" w:eastAsia="Calibri" w:hAnsi="Times New Roman" w:cs="Times New Roman"/>
                <w:color w:val="000000" w:themeColor="text1"/>
                <w:sz w:val="24"/>
                <w:szCs w:val="24"/>
              </w:rPr>
              <w:t>s</w:t>
            </w:r>
            <w:proofErr w:type="spellEnd"/>
            <w:r w:rsidRPr="00BE65C7">
              <w:rPr>
                <w:rFonts w:ascii="Times New Roman" w:eastAsia="Calibri" w:hAnsi="Times New Roman" w:cs="Times New Roman"/>
                <w:color w:val="000000" w:themeColor="text1"/>
                <w:sz w:val="24"/>
                <w:szCs w:val="24"/>
              </w:rPr>
              <w:t xml:space="preserve"> test (p-value)</w:t>
            </w:r>
          </w:p>
        </w:tc>
        <w:tc>
          <w:tcPr>
            <w:tcW w:w="1803" w:type="dxa"/>
          </w:tcPr>
          <w:p w14:paraId="482F4CCB" w14:textId="45B1878A" w:rsidR="003E6A7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0.115</w:t>
            </w:r>
          </w:p>
        </w:tc>
        <w:tc>
          <w:tcPr>
            <w:tcW w:w="1803" w:type="dxa"/>
          </w:tcPr>
          <w:p w14:paraId="59A1F07F" w14:textId="73E0CC0E" w:rsidR="003E6A7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0.121</w:t>
            </w:r>
          </w:p>
        </w:tc>
        <w:tc>
          <w:tcPr>
            <w:tcW w:w="1803" w:type="dxa"/>
          </w:tcPr>
          <w:p w14:paraId="34940F6E" w14:textId="4A74A93F" w:rsidR="003E6A7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0.142</w:t>
            </w:r>
          </w:p>
        </w:tc>
        <w:tc>
          <w:tcPr>
            <w:tcW w:w="1804" w:type="dxa"/>
          </w:tcPr>
          <w:p w14:paraId="2F20B9E4" w14:textId="22574A90" w:rsidR="003E6A7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0.138</w:t>
            </w:r>
          </w:p>
        </w:tc>
      </w:tr>
      <w:tr w:rsidR="00BE65C7" w:rsidRPr="00BE65C7" w14:paraId="20C530D7" w14:textId="77777777" w:rsidTr="00177660">
        <w:tc>
          <w:tcPr>
            <w:tcW w:w="1803" w:type="dxa"/>
          </w:tcPr>
          <w:p w14:paraId="5975DC84" w14:textId="00C95C50" w:rsidR="007E6226" w:rsidRPr="00BE65C7" w:rsidRDefault="007E6226" w:rsidP="008F2F72">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AR(2) test</w:t>
            </w:r>
          </w:p>
        </w:tc>
        <w:tc>
          <w:tcPr>
            <w:tcW w:w="1803" w:type="dxa"/>
          </w:tcPr>
          <w:p w14:paraId="199999DC" w14:textId="384703F2" w:rsidR="007E622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0.485</w:t>
            </w:r>
          </w:p>
        </w:tc>
        <w:tc>
          <w:tcPr>
            <w:tcW w:w="1803" w:type="dxa"/>
          </w:tcPr>
          <w:p w14:paraId="34B04199" w14:textId="5E721BB4" w:rsidR="007E622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0.415</w:t>
            </w:r>
          </w:p>
        </w:tc>
        <w:tc>
          <w:tcPr>
            <w:tcW w:w="1803" w:type="dxa"/>
          </w:tcPr>
          <w:p w14:paraId="68D158A8" w14:textId="4C695199" w:rsidR="007E622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0.587</w:t>
            </w:r>
          </w:p>
        </w:tc>
        <w:tc>
          <w:tcPr>
            <w:tcW w:w="1804" w:type="dxa"/>
          </w:tcPr>
          <w:p w14:paraId="42430936" w14:textId="27D01575" w:rsidR="007E6226" w:rsidRPr="00BE65C7" w:rsidRDefault="007E622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0.562</w:t>
            </w:r>
          </w:p>
        </w:tc>
      </w:tr>
      <w:tr w:rsidR="00BE65C7" w:rsidRPr="00BE65C7" w14:paraId="7E2E7B61" w14:textId="77777777" w:rsidTr="00177660">
        <w:tc>
          <w:tcPr>
            <w:tcW w:w="1803" w:type="dxa"/>
          </w:tcPr>
          <w:p w14:paraId="21DCA846" w14:textId="462699BC" w:rsidR="008D6B5E" w:rsidRPr="00BE65C7" w:rsidRDefault="008D6B5E" w:rsidP="008F2F72">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Obs.</w:t>
            </w:r>
          </w:p>
        </w:tc>
        <w:tc>
          <w:tcPr>
            <w:tcW w:w="1803" w:type="dxa"/>
          </w:tcPr>
          <w:p w14:paraId="29305A40" w14:textId="0A6A1431" w:rsidR="008D6B5E" w:rsidRPr="00BE65C7" w:rsidRDefault="00C95C4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165635</w:t>
            </w:r>
          </w:p>
        </w:tc>
        <w:tc>
          <w:tcPr>
            <w:tcW w:w="1803" w:type="dxa"/>
          </w:tcPr>
          <w:p w14:paraId="3F031467" w14:textId="489F2358" w:rsidR="008D6B5E" w:rsidRPr="00BE65C7" w:rsidRDefault="00C95C4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165635</w:t>
            </w:r>
          </w:p>
        </w:tc>
        <w:tc>
          <w:tcPr>
            <w:tcW w:w="1803" w:type="dxa"/>
          </w:tcPr>
          <w:p w14:paraId="7432945F" w14:textId="2D47C99C" w:rsidR="008D6B5E" w:rsidRPr="00BE65C7" w:rsidRDefault="00C95C4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183516</w:t>
            </w:r>
          </w:p>
        </w:tc>
        <w:tc>
          <w:tcPr>
            <w:tcW w:w="1804" w:type="dxa"/>
          </w:tcPr>
          <w:p w14:paraId="5373025D" w14:textId="31BE55D6" w:rsidR="008D6B5E" w:rsidRPr="00BE65C7" w:rsidRDefault="00C95C4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183516</w:t>
            </w:r>
          </w:p>
        </w:tc>
      </w:tr>
    </w:tbl>
    <w:p w14:paraId="5A9F9D08" w14:textId="42F49FD3" w:rsidR="00472F28" w:rsidRPr="002672B3" w:rsidRDefault="002C7BF8" w:rsidP="008E1D7F">
      <w:pPr>
        <w:spacing w:after="0" w:line="240" w:lineRule="auto"/>
        <w:jc w:val="both"/>
        <w:rPr>
          <w:rFonts w:ascii="Times New Roman" w:hAnsi="Times New Roman" w:cs="Times New Roman"/>
          <w:color w:val="000000" w:themeColor="text1"/>
          <w:sz w:val="18"/>
          <w:szCs w:val="24"/>
          <w:lang w:val="en-US"/>
        </w:rPr>
      </w:pPr>
      <w:r w:rsidRPr="00260834">
        <w:rPr>
          <w:rFonts w:ascii="Times New Roman" w:hAnsi="Times New Roman" w:cs="Times New Roman"/>
          <w:b/>
          <w:bCs/>
          <w:color w:val="000000" w:themeColor="text1"/>
          <w:sz w:val="20"/>
          <w:szCs w:val="20"/>
          <w:lang w:val="en-US"/>
        </w:rPr>
        <w:t>Note</w:t>
      </w:r>
      <w:r w:rsidRPr="00260834">
        <w:rPr>
          <w:rFonts w:ascii="Times New Roman" w:hAnsi="Times New Roman" w:cs="Times New Roman"/>
          <w:color w:val="000000" w:themeColor="text1"/>
          <w:sz w:val="20"/>
          <w:szCs w:val="20"/>
          <w:lang w:val="en-US"/>
        </w:rPr>
        <w:t>: **</w:t>
      </w:r>
      <w:r w:rsidR="00677ABA" w:rsidRPr="00260834">
        <w:rPr>
          <w:rFonts w:ascii="Times New Roman" w:hAnsi="Times New Roman" w:cs="Times New Roman"/>
          <w:color w:val="000000" w:themeColor="text1"/>
          <w:sz w:val="20"/>
          <w:szCs w:val="20"/>
          <w:lang w:val="en-US"/>
        </w:rPr>
        <w:t>*</w:t>
      </w:r>
      <w:r w:rsidRPr="00260834">
        <w:rPr>
          <w:rFonts w:ascii="Times New Roman" w:hAnsi="Times New Roman" w:cs="Times New Roman"/>
          <w:color w:val="000000" w:themeColor="text1"/>
          <w:sz w:val="20"/>
          <w:szCs w:val="20"/>
          <w:lang w:val="en-US"/>
        </w:rPr>
        <w:t xml:space="preserve">: </w:t>
      </w:r>
      <w:r w:rsidR="00677ABA" w:rsidRPr="00260834">
        <w:rPr>
          <w:rFonts w:ascii="Times New Roman" w:hAnsi="Times New Roman" w:cs="Times New Roman"/>
          <w:color w:val="000000" w:themeColor="text1"/>
          <w:sz w:val="20"/>
          <w:szCs w:val="20"/>
          <w:lang w:val="en-US"/>
        </w:rPr>
        <w:t>Significant at 1%</w:t>
      </w:r>
      <w:r w:rsidRPr="00260834">
        <w:rPr>
          <w:rFonts w:ascii="Times New Roman" w:hAnsi="Times New Roman" w:cs="Times New Roman"/>
          <w:color w:val="000000" w:themeColor="text1"/>
          <w:sz w:val="20"/>
          <w:szCs w:val="20"/>
          <w:lang w:val="en-US"/>
        </w:rPr>
        <w:t>; **: Significant at 5%, and *: Significant at 10% levels.</w:t>
      </w:r>
      <w:r w:rsidR="00DB450A" w:rsidRPr="00260834">
        <w:rPr>
          <w:rFonts w:ascii="Times New Roman" w:hAnsi="Times New Roman" w:cs="Times New Roman"/>
          <w:color w:val="000000" w:themeColor="text1"/>
          <w:sz w:val="20"/>
          <w:szCs w:val="20"/>
          <w:lang w:val="en-US"/>
        </w:rPr>
        <w:t xml:space="preserve"> The figures in parentheses are the </w:t>
      </w:r>
      <w:r w:rsidR="00E42A4C" w:rsidRPr="00260834">
        <w:rPr>
          <w:rFonts w:ascii="Times New Roman" w:hAnsi="Times New Roman" w:cs="Times New Roman"/>
          <w:color w:val="000000" w:themeColor="text1"/>
          <w:sz w:val="20"/>
          <w:szCs w:val="20"/>
          <w:lang w:val="en-US"/>
        </w:rPr>
        <w:t xml:space="preserve">HAC </w:t>
      </w:r>
      <w:r w:rsidR="00DB450A" w:rsidRPr="00260834">
        <w:rPr>
          <w:rFonts w:ascii="Times New Roman" w:hAnsi="Times New Roman" w:cs="Times New Roman"/>
          <w:color w:val="000000" w:themeColor="text1"/>
          <w:sz w:val="20"/>
          <w:szCs w:val="20"/>
          <w:lang w:val="en-US"/>
        </w:rPr>
        <w:t>standard errors.</w:t>
      </w:r>
      <w:r w:rsidR="00472F28" w:rsidRPr="00472F28">
        <w:rPr>
          <w:rFonts w:ascii="Times New Roman" w:hAnsi="Times New Roman" w:cs="Times New Roman"/>
          <w:i/>
          <w:color w:val="000000" w:themeColor="text1"/>
          <w:sz w:val="18"/>
          <w:szCs w:val="24"/>
          <w:lang w:val="en-US"/>
        </w:rPr>
        <w:t xml:space="preserve"> </w:t>
      </w:r>
      <w:r w:rsidR="00472F28" w:rsidRPr="002672B3">
        <w:rPr>
          <w:rFonts w:ascii="Times New Roman" w:hAnsi="Times New Roman" w:cs="Times New Roman"/>
          <w:i/>
          <w:color w:val="000000" w:themeColor="text1"/>
          <w:sz w:val="18"/>
          <w:szCs w:val="24"/>
          <w:lang w:val="en-US"/>
        </w:rPr>
        <w:t>Cash</w:t>
      </w:r>
      <w:r w:rsidR="00472F28">
        <w:rPr>
          <w:rFonts w:ascii="Times New Roman" w:hAnsi="Times New Roman" w:cs="Times New Roman"/>
          <w:color w:val="000000" w:themeColor="text1"/>
          <w:sz w:val="18"/>
          <w:szCs w:val="24"/>
          <w:lang w:val="en-US"/>
        </w:rPr>
        <w:t xml:space="preserve"> is defined as cash and cash equivalents, </w:t>
      </w:r>
      <w:r w:rsidR="00472F28">
        <w:rPr>
          <w:rFonts w:ascii="Times New Roman" w:hAnsi="Times New Roman" w:cs="Times New Roman"/>
          <w:i/>
          <w:color w:val="000000" w:themeColor="text1"/>
          <w:sz w:val="18"/>
          <w:szCs w:val="24"/>
          <w:lang w:val="en-US"/>
        </w:rPr>
        <w:t>NWC</w:t>
      </w:r>
      <w:r w:rsidR="00472F28">
        <w:rPr>
          <w:rFonts w:ascii="Times New Roman" w:hAnsi="Times New Roman" w:cs="Times New Roman"/>
          <w:color w:val="000000" w:themeColor="text1"/>
          <w:sz w:val="18"/>
          <w:szCs w:val="24"/>
          <w:lang w:val="en-US"/>
        </w:rPr>
        <w:t xml:space="preserve"> is net working capital and defined as account receivables, inventories less accounts payables, </w:t>
      </w:r>
      <w:r w:rsidR="00472F28">
        <w:rPr>
          <w:rFonts w:ascii="Times New Roman" w:hAnsi="Times New Roman" w:cs="Times New Roman"/>
          <w:i/>
          <w:color w:val="000000" w:themeColor="text1"/>
          <w:sz w:val="18"/>
          <w:szCs w:val="24"/>
          <w:lang w:val="en-US"/>
        </w:rPr>
        <w:t>PPE</w:t>
      </w:r>
      <w:r w:rsidR="00472F28">
        <w:rPr>
          <w:rFonts w:ascii="Times New Roman" w:hAnsi="Times New Roman" w:cs="Times New Roman"/>
          <w:color w:val="000000" w:themeColor="text1"/>
          <w:sz w:val="18"/>
          <w:szCs w:val="24"/>
          <w:lang w:val="en-US"/>
        </w:rPr>
        <w:t xml:space="preserve"> is plant, property and equipment, </w:t>
      </w:r>
      <w:r w:rsidR="00472F28">
        <w:rPr>
          <w:rFonts w:ascii="Times New Roman" w:hAnsi="Times New Roman" w:cs="Times New Roman"/>
          <w:i/>
          <w:color w:val="000000" w:themeColor="text1"/>
          <w:sz w:val="18"/>
          <w:szCs w:val="24"/>
          <w:lang w:val="en-US"/>
        </w:rPr>
        <w:t>R&amp;D</w:t>
      </w:r>
      <w:r w:rsidR="00472F28">
        <w:rPr>
          <w:rFonts w:ascii="Times New Roman" w:hAnsi="Times New Roman" w:cs="Times New Roman"/>
          <w:color w:val="000000" w:themeColor="text1"/>
          <w:sz w:val="18"/>
          <w:szCs w:val="24"/>
          <w:lang w:val="en-US"/>
        </w:rPr>
        <w:t xml:space="preserve"> is R&amp;D expenses, </w:t>
      </w:r>
      <w:r w:rsidR="00472F28" w:rsidRPr="00472F28">
        <w:rPr>
          <w:rFonts w:ascii="Times New Roman" w:hAnsi="Times New Roman" w:cs="Times New Roman"/>
          <w:i/>
          <w:color w:val="000000" w:themeColor="text1"/>
          <w:sz w:val="18"/>
          <w:szCs w:val="24"/>
          <w:lang w:val="en-US"/>
        </w:rPr>
        <w:t>3_Ys_Sales_gr</w:t>
      </w:r>
      <w:r w:rsidR="00472F28">
        <w:rPr>
          <w:rFonts w:ascii="Times New Roman" w:hAnsi="Times New Roman" w:cs="Times New Roman"/>
          <w:color w:val="000000" w:themeColor="text1"/>
          <w:sz w:val="18"/>
          <w:szCs w:val="24"/>
          <w:lang w:val="en-US"/>
        </w:rPr>
        <w:t xml:space="preserve"> is the average growth rate of sales of past consecutive three years, </w:t>
      </w:r>
      <w:r w:rsidR="00472F28">
        <w:rPr>
          <w:rFonts w:ascii="Times New Roman" w:hAnsi="Times New Roman" w:cs="Times New Roman"/>
          <w:i/>
          <w:color w:val="000000" w:themeColor="text1"/>
          <w:sz w:val="18"/>
          <w:szCs w:val="24"/>
          <w:lang w:val="en-US"/>
        </w:rPr>
        <w:t>Leverage</w:t>
      </w:r>
      <w:r w:rsidR="00472F28">
        <w:rPr>
          <w:rFonts w:ascii="Times New Roman" w:hAnsi="Times New Roman" w:cs="Times New Roman"/>
          <w:color w:val="000000" w:themeColor="text1"/>
          <w:sz w:val="18"/>
          <w:szCs w:val="24"/>
          <w:lang w:val="en-US"/>
        </w:rPr>
        <w:t xml:space="preserve"> is interest bearing long term and short term debt, </w:t>
      </w:r>
      <w:proofErr w:type="spellStart"/>
      <w:r w:rsidR="00472F28">
        <w:rPr>
          <w:rFonts w:ascii="Times New Roman" w:hAnsi="Times New Roman" w:cs="Times New Roman"/>
          <w:i/>
          <w:color w:val="000000" w:themeColor="text1"/>
          <w:sz w:val="18"/>
          <w:szCs w:val="24"/>
          <w:lang w:val="en-US"/>
        </w:rPr>
        <w:t>Div_dum</w:t>
      </w:r>
      <w:proofErr w:type="spellEnd"/>
      <w:r w:rsidR="00472F28">
        <w:rPr>
          <w:rFonts w:ascii="Times New Roman" w:hAnsi="Times New Roman" w:cs="Times New Roman"/>
          <w:color w:val="000000" w:themeColor="text1"/>
          <w:sz w:val="18"/>
          <w:szCs w:val="24"/>
          <w:lang w:val="en-US"/>
        </w:rPr>
        <w:t xml:space="preserve"> is a dummy variable and is equal </w:t>
      </w:r>
      <w:r w:rsidR="008E1D7F">
        <w:rPr>
          <w:rFonts w:ascii="Times New Roman" w:hAnsi="Times New Roman" w:cs="Times New Roman"/>
          <w:color w:val="000000" w:themeColor="text1"/>
          <w:sz w:val="18"/>
          <w:szCs w:val="24"/>
          <w:lang w:val="en-US"/>
        </w:rPr>
        <w:t>to 1 if the firm paid dividend in</w:t>
      </w:r>
      <w:r w:rsidR="00472F28">
        <w:rPr>
          <w:rFonts w:ascii="Times New Roman" w:hAnsi="Times New Roman" w:cs="Times New Roman"/>
          <w:color w:val="000000" w:themeColor="text1"/>
          <w:sz w:val="18"/>
          <w:szCs w:val="24"/>
          <w:lang w:val="en-US"/>
        </w:rPr>
        <w:t xml:space="preserve"> the last fiscal year and 0 otherwise</w:t>
      </w:r>
      <w:r w:rsidR="00472F28">
        <w:rPr>
          <w:rFonts w:ascii="Times New Roman" w:eastAsia="Calibri" w:hAnsi="Times New Roman" w:cs="Times New Roman"/>
          <w:color w:val="000000" w:themeColor="text1"/>
          <w:sz w:val="18"/>
          <w:szCs w:val="18"/>
        </w:rPr>
        <w:t>.</w:t>
      </w:r>
      <w:r w:rsidR="00472F28">
        <w:rPr>
          <w:rFonts w:ascii="Times New Roman" w:hAnsi="Times New Roman" w:cs="Times New Roman"/>
          <w:color w:val="000000" w:themeColor="text1"/>
          <w:sz w:val="18"/>
          <w:szCs w:val="24"/>
          <w:lang w:val="en-US"/>
        </w:rPr>
        <w:t xml:space="preserve"> All variables except </w:t>
      </w:r>
      <w:proofErr w:type="spellStart"/>
      <w:r w:rsidR="00472F28">
        <w:rPr>
          <w:rFonts w:ascii="Times New Roman" w:hAnsi="Times New Roman" w:cs="Times New Roman"/>
          <w:color w:val="000000" w:themeColor="text1"/>
          <w:sz w:val="18"/>
          <w:szCs w:val="24"/>
          <w:lang w:val="en-US"/>
        </w:rPr>
        <w:t>div_dum</w:t>
      </w:r>
      <w:proofErr w:type="spellEnd"/>
      <w:r w:rsidR="00472F28">
        <w:rPr>
          <w:rFonts w:ascii="Times New Roman" w:hAnsi="Times New Roman" w:cs="Times New Roman"/>
          <w:color w:val="000000" w:themeColor="text1"/>
          <w:sz w:val="18"/>
          <w:szCs w:val="24"/>
          <w:lang w:val="en-US"/>
        </w:rPr>
        <w:t xml:space="preserve"> are divided by net total assets (total assets less cash and cash equivalents)</w:t>
      </w:r>
      <w:r w:rsidR="008E1D7F">
        <w:rPr>
          <w:rFonts w:ascii="Times New Roman" w:hAnsi="Times New Roman" w:cs="Times New Roman"/>
          <w:color w:val="000000" w:themeColor="text1"/>
          <w:sz w:val="18"/>
          <w:szCs w:val="24"/>
          <w:lang w:val="en-US"/>
        </w:rPr>
        <w:t xml:space="preserve">. </w:t>
      </w:r>
      <w:proofErr w:type="spellStart"/>
      <w:r w:rsidR="008E1D7F">
        <w:rPr>
          <w:rFonts w:ascii="Times New Roman" w:eastAsia="Calibri" w:hAnsi="Times New Roman" w:cs="Times New Roman"/>
          <w:i/>
          <w:color w:val="000000" w:themeColor="text1"/>
          <w:sz w:val="18"/>
          <w:szCs w:val="18"/>
        </w:rPr>
        <w:t>Ins_Own</w:t>
      </w:r>
      <w:proofErr w:type="spellEnd"/>
      <w:r w:rsidR="008E1D7F">
        <w:rPr>
          <w:rFonts w:ascii="Times New Roman" w:eastAsia="Calibri" w:hAnsi="Times New Roman" w:cs="Times New Roman"/>
          <w:color w:val="000000" w:themeColor="text1"/>
          <w:sz w:val="18"/>
          <w:szCs w:val="18"/>
        </w:rPr>
        <w:t xml:space="preserve"> is the institutional investments (in USD million) divided by last year market value of equity.</w:t>
      </w:r>
    </w:p>
    <w:p w14:paraId="022CA306" w14:textId="71C8B38C" w:rsidR="00DB450A" w:rsidRPr="00260834" w:rsidRDefault="00DB450A" w:rsidP="00DB450A">
      <w:pPr>
        <w:spacing w:line="360" w:lineRule="auto"/>
        <w:rPr>
          <w:rFonts w:ascii="Times New Roman" w:hAnsi="Times New Roman" w:cs="Times New Roman"/>
          <w:color w:val="000000" w:themeColor="text1"/>
          <w:sz w:val="20"/>
          <w:szCs w:val="20"/>
          <w:lang w:val="en-US"/>
        </w:rPr>
      </w:pPr>
    </w:p>
    <w:p w14:paraId="79EDA9D3" w14:textId="0576C81E" w:rsidR="00B16804" w:rsidRPr="00BE65C7" w:rsidRDefault="00B16804" w:rsidP="008F2F72">
      <w:pPr>
        <w:spacing w:line="360" w:lineRule="auto"/>
        <w:jc w:val="both"/>
        <w:rPr>
          <w:rFonts w:ascii="Times New Roman" w:hAnsi="Times New Roman" w:cs="Times New Roman"/>
          <w:color w:val="000000" w:themeColor="text1"/>
          <w:sz w:val="24"/>
          <w:szCs w:val="24"/>
          <w:lang w:val="en-US"/>
        </w:rPr>
      </w:pPr>
    </w:p>
    <w:p w14:paraId="3B1036A7" w14:textId="77777777" w:rsidR="00042AE1" w:rsidRPr="00BE65C7" w:rsidRDefault="00042AE1" w:rsidP="00273774">
      <w:pPr>
        <w:spacing w:line="360" w:lineRule="auto"/>
        <w:jc w:val="center"/>
        <w:rPr>
          <w:rFonts w:ascii="Times New Roman" w:hAnsi="Times New Roman" w:cs="Times New Roman"/>
          <w:color w:val="000000" w:themeColor="text1"/>
          <w:sz w:val="24"/>
          <w:szCs w:val="24"/>
          <w:lang w:val="en-US"/>
        </w:rPr>
      </w:pPr>
    </w:p>
    <w:p w14:paraId="39000FCC" w14:textId="77777777" w:rsidR="00042AE1" w:rsidRPr="00BE65C7" w:rsidRDefault="00042AE1" w:rsidP="00273774">
      <w:pPr>
        <w:spacing w:line="360" w:lineRule="auto"/>
        <w:jc w:val="center"/>
        <w:rPr>
          <w:rFonts w:ascii="Times New Roman" w:hAnsi="Times New Roman" w:cs="Times New Roman"/>
          <w:color w:val="000000" w:themeColor="text1"/>
          <w:sz w:val="24"/>
          <w:szCs w:val="24"/>
          <w:lang w:val="en-US"/>
        </w:rPr>
      </w:pPr>
    </w:p>
    <w:p w14:paraId="45872F50" w14:textId="77777777" w:rsidR="0060317B" w:rsidRPr="00BE65C7" w:rsidRDefault="0060317B" w:rsidP="00273774">
      <w:pPr>
        <w:spacing w:line="360" w:lineRule="auto"/>
        <w:jc w:val="center"/>
        <w:rPr>
          <w:rFonts w:ascii="Times New Roman" w:hAnsi="Times New Roman" w:cs="Times New Roman"/>
          <w:color w:val="000000" w:themeColor="text1"/>
          <w:sz w:val="24"/>
          <w:szCs w:val="24"/>
          <w:lang w:val="en-US"/>
        </w:rPr>
      </w:pPr>
    </w:p>
    <w:p w14:paraId="73FCB2BE" w14:textId="77777777" w:rsidR="008E1D7F" w:rsidRDefault="008E1D7F" w:rsidP="00273774">
      <w:pPr>
        <w:spacing w:line="360" w:lineRule="auto"/>
        <w:jc w:val="center"/>
        <w:rPr>
          <w:rFonts w:ascii="Times New Roman" w:hAnsi="Times New Roman" w:cs="Times New Roman"/>
          <w:b/>
          <w:bCs/>
          <w:color w:val="000000" w:themeColor="text1"/>
          <w:sz w:val="24"/>
          <w:szCs w:val="24"/>
          <w:lang w:val="en-US"/>
        </w:rPr>
      </w:pPr>
    </w:p>
    <w:p w14:paraId="7C72FA49" w14:textId="77777777" w:rsidR="008E1D7F" w:rsidRDefault="008E1D7F" w:rsidP="00273774">
      <w:pPr>
        <w:spacing w:line="360" w:lineRule="auto"/>
        <w:jc w:val="center"/>
        <w:rPr>
          <w:rFonts w:ascii="Times New Roman" w:hAnsi="Times New Roman" w:cs="Times New Roman"/>
          <w:b/>
          <w:bCs/>
          <w:color w:val="000000" w:themeColor="text1"/>
          <w:sz w:val="24"/>
          <w:szCs w:val="24"/>
          <w:lang w:val="en-US"/>
        </w:rPr>
      </w:pPr>
    </w:p>
    <w:p w14:paraId="1A3F99FC" w14:textId="64571950" w:rsidR="00870F05" w:rsidRPr="00BE65C7" w:rsidRDefault="00273774" w:rsidP="00273774">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 xml:space="preserve">Table </w:t>
      </w:r>
      <w:r w:rsidR="00A87EC4" w:rsidRPr="00BE65C7">
        <w:rPr>
          <w:rFonts w:ascii="Times New Roman" w:hAnsi="Times New Roman" w:cs="Times New Roman"/>
          <w:b/>
          <w:bCs/>
          <w:color w:val="000000" w:themeColor="text1"/>
          <w:sz w:val="24"/>
          <w:szCs w:val="24"/>
          <w:lang w:val="en-US"/>
        </w:rPr>
        <w:t>4</w:t>
      </w:r>
    </w:p>
    <w:p w14:paraId="26A8E93F" w14:textId="5C3A9AC5" w:rsidR="00273774" w:rsidRPr="00BE65C7" w:rsidRDefault="00273774" w:rsidP="00273774">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Effect of financial constraints and institutional ownership on cash holdings</w:t>
      </w:r>
    </w:p>
    <w:p w14:paraId="4F50524E" w14:textId="5EDAA95D" w:rsidR="00273774" w:rsidRPr="00BE65C7" w:rsidRDefault="00000000" w:rsidP="00042AE1">
      <w:pPr>
        <w:spacing w:after="0" w:line="360" w:lineRule="auto"/>
        <w:jc w:val="both"/>
        <w:rPr>
          <w:rFonts w:ascii="Times New Roman" w:hAnsi="Times New Roman" w:cs="Times New Roman"/>
          <w:iCs/>
          <w:color w:val="000000" w:themeColor="text1"/>
          <w:sz w:val="24"/>
          <w:szCs w:val="24"/>
          <w:lang w:val="en-US"/>
        </w:rPr>
      </w:pPr>
      <m:oMathPara>
        <m:oMath>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Cash</m:t>
              </m:r>
            </m:e>
            <m:sub>
              <m:r>
                <m:rPr>
                  <m:sty m:val="p"/>
                </m:rPr>
                <w:rPr>
                  <w:rFonts w:ascii="Cambria Math" w:hAnsi="Cambria Math" w:cs="Times New Roman"/>
                  <w:color w:val="000000" w:themeColor="text1"/>
                  <w:sz w:val="24"/>
                  <w:szCs w:val="24"/>
                  <w:lang w:val="en-US"/>
                </w:rPr>
                <m:t>it</m:t>
              </m:r>
            </m:sub>
          </m:sSub>
          <m:r>
            <m:rPr>
              <m:sty m:val="p"/>
            </m:rPr>
            <w:rPr>
              <w:rFonts w:ascii="Cambria Math" w:hAnsi="Cambria Math" w:cs="Times New Roman"/>
              <w:color w:val="000000" w:themeColor="text1"/>
              <w:sz w:val="24"/>
              <w:szCs w:val="24"/>
              <w:lang w:val="en-US"/>
            </w:rPr>
            <m:t xml:space="preserve">= </m:t>
          </m:r>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α</m:t>
              </m:r>
            </m:e>
            <m:sub>
              <m:r>
                <m:rPr>
                  <m:sty m:val="p"/>
                </m:rPr>
                <w:rPr>
                  <w:rFonts w:ascii="Cambria Math" w:hAnsi="Cambria Math" w:cs="Times New Roman"/>
                  <w:color w:val="000000" w:themeColor="text1"/>
                  <w:sz w:val="24"/>
                  <w:szCs w:val="24"/>
                  <w:lang w:val="en-US"/>
                </w:rPr>
                <m:t>i</m:t>
              </m:r>
            </m:sub>
          </m:sSub>
          <m:r>
            <m:rPr>
              <m:sty m:val="p"/>
            </m:rPr>
            <w:rPr>
              <w:rFonts w:ascii="Cambria Math" w:hAnsi="Cambria Math" w:cs="Times New Roman"/>
              <w:color w:val="000000" w:themeColor="text1"/>
              <w:sz w:val="24"/>
              <w:szCs w:val="24"/>
              <w:lang w:val="en-US"/>
            </w:rPr>
            <m:t>+</m:t>
          </m:r>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α</m:t>
              </m:r>
            </m:e>
            <m:sub>
              <m:r>
                <m:rPr>
                  <m:sty m:val="p"/>
                </m:rPr>
                <w:rPr>
                  <w:rFonts w:ascii="Cambria Math" w:hAnsi="Cambria Math" w:cs="Times New Roman"/>
                  <w:color w:val="000000" w:themeColor="text1"/>
                  <w:sz w:val="24"/>
                  <w:szCs w:val="24"/>
                  <w:lang w:val="en-US"/>
                </w:rPr>
                <m:t>t</m:t>
              </m:r>
            </m:sub>
          </m:sSub>
          <m:r>
            <m:rPr>
              <m:sty m:val="p"/>
            </m:rPr>
            <w:rPr>
              <w:rFonts w:ascii="Cambria Math" w:hAnsi="Cambria Math" w:cs="Times New Roman"/>
              <w:color w:val="000000" w:themeColor="text1"/>
              <w:sz w:val="24"/>
              <w:szCs w:val="24"/>
              <w:lang w:val="en-US"/>
            </w:rPr>
            <m:t>+</m:t>
          </m:r>
          <m:sSub>
            <m:sSubPr>
              <m:ctrlPr>
                <w:rPr>
                  <w:rFonts w:ascii="Cambria Math" w:hAnsi="Cambria Math" w:cs="Times New Roman"/>
                  <w:iCs/>
                  <w:color w:val="000000" w:themeColor="text1"/>
                  <w:sz w:val="24"/>
                  <w:szCs w:val="24"/>
                </w:rPr>
              </m:ctrlPr>
            </m:sSubPr>
            <m:e>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β</m:t>
                  </m:r>
                </m:e>
                <m:sub>
                  <m:r>
                    <m:rPr>
                      <m:sty m:val="p"/>
                    </m:rPr>
                    <w:rPr>
                      <w:rFonts w:ascii="Cambria Math" w:hAnsi="Cambria Math" w:cs="Times New Roman"/>
                      <w:color w:val="000000" w:themeColor="text1"/>
                      <w:sz w:val="24"/>
                      <w:szCs w:val="24"/>
                      <w:lang w:val="en-US"/>
                    </w:rPr>
                    <m:t>1</m:t>
                  </m:r>
                </m:sub>
              </m:sSub>
              <m:r>
                <m:rPr>
                  <m:sty m:val="p"/>
                </m:rPr>
                <w:rPr>
                  <w:rFonts w:ascii="Cambria Math" w:hAnsi="Cambria Math" w:cs="Times New Roman"/>
                  <w:color w:val="000000" w:themeColor="text1"/>
                  <w:sz w:val="24"/>
                  <w:szCs w:val="24"/>
                </w:rPr>
                <m:t>Cash</m:t>
              </m:r>
            </m:e>
            <m:sub>
              <m:r>
                <m:rPr>
                  <m:sty m:val="p"/>
                </m:rPr>
                <w:rPr>
                  <w:rFonts w:ascii="Cambria Math" w:hAnsi="Cambria Math" w:cs="Times New Roman"/>
                  <w:color w:val="000000" w:themeColor="text1"/>
                  <w:sz w:val="24"/>
                  <w:szCs w:val="24"/>
                </w:rPr>
                <m:t>it-1</m:t>
              </m:r>
            </m:sub>
          </m:sSub>
          <m:r>
            <m:rPr>
              <m:sty m:val="p"/>
            </m:rPr>
            <w:rPr>
              <w:rFonts w:ascii="Cambria Math" w:hAnsi="Cambria Math" w:cs="Times New Roman"/>
              <w:color w:val="000000" w:themeColor="text1"/>
              <w:sz w:val="24"/>
              <w:szCs w:val="24"/>
              <w:lang w:val="en-US"/>
            </w:rPr>
            <m:t xml:space="preserve">+ </m:t>
          </m:r>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β</m:t>
              </m:r>
            </m:e>
            <m:sub>
              <m:r>
                <m:rPr>
                  <m:sty m:val="p"/>
                </m:rPr>
                <w:rPr>
                  <w:rFonts w:ascii="Cambria Math" w:hAnsi="Cambria Math" w:cs="Times New Roman"/>
                  <w:color w:val="000000" w:themeColor="text1"/>
                  <w:sz w:val="24"/>
                  <w:szCs w:val="24"/>
                  <w:lang w:val="en-US"/>
                </w:rPr>
                <m:t>2</m:t>
              </m:r>
            </m:sub>
          </m:sSub>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SA_index</m:t>
              </m:r>
            </m:e>
            <m:sub>
              <m:r>
                <m:rPr>
                  <m:sty m:val="p"/>
                </m:rPr>
                <w:rPr>
                  <w:rFonts w:ascii="Cambria Math" w:hAnsi="Cambria Math" w:cs="Times New Roman"/>
                  <w:color w:val="000000" w:themeColor="text1"/>
                  <w:sz w:val="24"/>
                  <w:szCs w:val="24"/>
                  <w:lang w:val="en-US"/>
                </w:rPr>
                <m:t>it</m:t>
              </m:r>
            </m:sub>
          </m:sSub>
          <m:r>
            <m:rPr>
              <m:sty m:val="p"/>
            </m:rPr>
            <w:rPr>
              <w:rFonts w:ascii="Cambria Math" w:hAnsi="Cambria Math" w:cs="Times New Roman"/>
              <w:color w:val="000000" w:themeColor="text1"/>
              <w:sz w:val="24"/>
              <w:szCs w:val="24"/>
              <w:lang w:val="en-US"/>
            </w:rPr>
            <m:t xml:space="preserve">+ </m:t>
          </m:r>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β</m:t>
              </m:r>
            </m:e>
            <m:sub>
              <m:r>
                <m:rPr>
                  <m:sty m:val="p"/>
                </m:rPr>
                <w:rPr>
                  <w:rFonts w:ascii="Cambria Math" w:hAnsi="Cambria Math" w:cs="Times New Roman"/>
                  <w:color w:val="000000" w:themeColor="text1"/>
                  <w:sz w:val="24"/>
                  <w:szCs w:val="24"/>
                  <w:lang w:val="en-US"/>
                </w:rPr>
                <m:t>3</m:t>
              </m:r>
            </m:sub>
          </m:sSub>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inst_own</m:t>
              </m:r>
            </m:e>
            <m:sub>
              <m:r>
                <m:rPr>
                  <m:sty m:val="p"/>
                </m:rPr>
                <w:rPr>
                  <w:rFonts w:ascii="Cambria Math" w:hAnsi="Cambria Math" w:cs="Times New Roman"/>
                  <w:color w:val="000000" w:themeColor="text1"/>
                  <w:sz w:val="24"/>
                  <w:szCs w:val="24"/>
                  <w:lang w:val="en-US"/>
                </w:rPr>
                <m:t>it</m:t>
              </m:r>
            </m:sub>
          </m:sSub>
          <m:r>
            <m:rPr>
              <m:sty m:val="p"/>
            </m:rPr>
            <w:rPr>
              <w:rFonts w:ascii="Cambria Math" w:hAnsi="Cambria Math" w:cs="Times New Roman"/>
              <w:color w:val="000000" w:themeColor="text1"/>
              <w:sz w:val="24"/>
              <w:szCs w:val="24"/>
              <w:lang w:val="en-US"/>
            </w:rPr>
            <m:t>+</m:t>
          </m:r>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β</m:t>
              </m:r>
            </m:e>
            <m:sub>
              <m:r>
                <m:rPr>
                  <m:sty m:val="p"/>
                </m:rPr>
                <w:rPr>
                  <w:rFonts w:ascii="Cambria Math" w:hAnsi="Cambria Math" w:cs="Times New Roman"/>
                  <w:color w:val="000000" w:themeColor="text1"/>
                  <w:sz w:val="24"/>
                  <w:szCs w:val="24"/>
                  <w:lang w:val="en-US"/>
                </w:rPr>
                <m:t>4</m:t>
              </m:r>
            </m:sub>
          </m:sSub>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inst_own</m:t>
              </m:r>
            </m:e>
            <m:sub>
              <m:r>
                <m:rPr>
                  <m:sty m:val="p"/>
                </m:rPr>
                <w:rPr>
                  <w:rFonts w:ascii="Cambria Math" w:hAnsi="Cambria Math" w:cs="Times New Roman"/>
                  <w:color w:val="000000" w:themeColor="text1"/>
                  <w:sz w:val="24"/>
                  <w:szCs w:val="24"/>
                  <w:lang w:val="en-US"/>
                </w:rPr>
                <m:t>it</m:t>
              </m:r>
            </m:sub>
          </m:sSub>
          <m:r>
            <m:rPr>
              <m:sty m:val="p"/>
            </m:rPr>
            <w:rPr>
              <w:rFonts w:ascii="Cambria Math" w:hAnsi="Cambria Math" w:cs="Times New Roman"/>
              <w:color w:val="000000" w:themeColor="text1"/>
              <w:sz w:val="24"/>
              <w:szCs w:val="24"/>
              <w:lang w:val="en-US"/>
            </w:rPr>
            <m:t>*</m:t>
          </m:r>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SA_index</m:t>
              </m:r>
            </m:e>
            <m:sub>
              <m:r>
                <m:rPr>
                  <m:sty m:val="p"/>
                </m:rPr>
                <w:rPr>
                  <w:rFonts w:ascii="Cambria Math" w:hAnsi="Cambria Math" w:cs="Times New Roman"/>
                  <w:color w:val="000000" w:themeColor="text1"/>
                  <w:sz w:val="24"/>
                  <w:szCs w:val="24"/>
                  <w:lang w:val="en-US"/>
                </w:rPr>
                <m:t>it</m:t>
              </m:r>
            </m:sub>
          </m:sSub>
          <m:r>
            <m:rPr>
              <m:sty m:val="p"/>
            </m:rPr>
            <w:rPr>
              <w:rFonts w:ascii="Cambria Math" w:hAnsi="Cambria Math" w:cs="Times New Roman"/>
              <w:color w:val="000000" w:themeColor="text1"/>
              <w:sz w:val="24"/>
              <w:szCs w:val="24"/>
              <w:lang w:val="en-US"/>
            </w:rPr>
            <m:t xml:space="preserve">+ </m:t>
          </m:r>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ε</m:t>
              </m:r>
            </m:e>
            <m:sub>
              <m:r>
                <m:rPr>
                  <m:sty m:val="p"/>
                </m:rPr>
                <w:rPr>
                  <w:rFonts w:ascii="Cambria Math" w:hAnsi="Cambria Math" w:cs="Times New Roman"/>
                  <w:color w:val="000000" w:themeColor="text1"/>
                  <w:sz w:val="24"/>
                  <w:szCs w:val="24"/>
                  <w:lang w:val="en-US"/>
                </w:rPr>
                <m:t>it</m:t>
              </m:r>
            </m:sub>
          </m:sSub>
        </m:oMath>
      </m:oMathPara>
    </w:p>
    <w:tbl>
      <w:tblPr>
        <w:tblStyle w:val="TableGrid"/>
        <w:tblW w:w="9185" w:type="dxa"/>
        <w:tblLook w:val="04A0" w:firstRow="1" w:lastRow="0" w:firstColumn="1" w:lastColumn="0" w:noHBand="0" w:noVBand="1"/>
      </w:tblPr>
      <w:tblGrid>
        <w:gridCol w:w="3151"/>
        <w:gridCol w:w="1097"/>
        <w:gridCol w:w="1595"/>
        <w:gridCol w:w="1684"/>
        <w:gridCol w:w="1658"/>
      </w:tblGrid>
      <w:tr w:rsidR="00BE65C7" w:rsidRPr="00BE65C7" w14:paraId="5F7FC9ED" w14:textId="77777777" w:rsidTr="00295232">
        <w:tc>
          <w:tcPr>
            <w:tcW w:w="3151" w:type="dxa"/>
          </w:tcPr>
          <w:p w14:paraId="3CBEB44B" w14:textId="77777777" w:rsidR="00273774" w:rsidRPr="00BE65C7" w:rsidRDefault="00273774" w:rsidP="00443A1A">
            <w:pPr>
              <w:spacing w:line="360" w:lineRule="auto"/>
              <w:jc w:val="both"/>
              <w:rPr>
                <w:rFonts w:ascii="Times New Roman" w:hAnsi="Times New Roman" w:cs="Times New Roman"/>
                <w:color w:val="000000" w:themeColor="text1"/>
                <w:sz w:val="24"/>
                <w:szCs w:val="24"/>
              </w:rPr>
            </w:pPr>
          </w:p>
        </w:tc>
        <w:tc>
          <w:tcPr>
            <w:tcW w:w="2692" w:type="dxa"/>
            <w:gridSpan w:val="2"/>
          </w:tcPr>
          <w:p w14:paraId="7B177670" w14:textId="4537DF4E" w:rsidR="00273774" w:rsidRPr="00BE65C7" w:rsidRDefault="00273774"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Emerging </w:t>
            </w:r>
            <w:r w:rsidR="009B5F15">
              <w:rPr>
                <w:rFonts w:ascii="Times New Roman" w:hAnsi="Times New Roman" w:cs="Times New Roman"/>
                <w:color w:val="000000" w:themeColor="text1"/>
                <w:sz w:val="24"/>
                <w:szCs w:val="24"/>
              </w:rPr>
              <w:t>Economies</w:t>
            </w:r>
          </w:p>
        </w:tc>
        <w:tc>
          <w:tcPr>
            <w:tcW w:w="3342" w:type="dxa"/>
            <w:gridSpan w:val="2"/>
          </w:tcPr>
          <w:p w14:paraId="4E2794AF" w14:textId="3E0FF5B0" w:rsidR="00273774" w:rsidRPr="00BE65C7" w:rsidRDefault="00273774"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Developed </w:t>
            </w:r>
            <w:r w:rsidR="009B5F15">
              <w:rPr>
                <w:rFonts w:ascii="Times New Roman" w:hAnsi="Times New Roman" w:cs="Times New Roman"/>
                <w:color w:val="000000" w:themeColor="text1"/>
                <w:sz w:val="24"/>
                <w:szCs w:val="24"/>
              </w:rPr>
              <w:t>Countries</w:t>
            </w:r>
          </w:p>
        </w:tc>
      </w:tr>
      <w:tr w:rsidR="00BE65C7" w:rsidRPr="00BE65C7" w14:paraId="35D015F2" w14:textId="77777777" w:rsidTr="00677ABA">
        <w:tc>
          <w:tcPr>
            <w:tcW w:w="3151" w:type="dxa"/>
          </w:tcPr>
          <w:p w14:paraId="44726675" w14:textId="77777777" w:rsidR="00273774" w:rsidRPr="00BE65C7" w:rsidRDefault="00273774" w:rsidP="00443A1A">
            <w:pPr>
              <w:spacing w:line="360" w:lineRule="auto"/>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Variables</w:t>
            </w:r>
          </w:p>
        </w:tc>
        <w:tc>
          <w:tcPr>
            <w:tcW w:w="1097" w:type="dxa"/>
          </w:tcPr>
          <w:p w14:paraId="73D17CC7" w14:textId="77777777" w:rsidR="00273774" w:rsidRPr="00BE65C7" w:rsidRDefault="00273774"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w:t>
            </w:r>
          </w:p>
        </w:tc>
        <w:tc>
          <w:tcPr>
            <w:tcW w:w="1595" w:type="dxa"/>
          </w:tcPr>
          <w:p w14:paraId="46ACDC2C" w14:textId="77777777" w:rsidR="00273774" w:rsidRPr="00BE65C7" w:rsidRDefault="00273774"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(2)</w:t>
            </w:r>
          </w:p>
        </w:tc>
        <w:tc>
          <w:tcPr>
            <w:tcW w:w="1684" w:type="dxa"/>
          </w:tcPr>
          <w:p w14:paraId="708763D1" w14:textId="77777777" w:rsidR="00273774" w:rsidRPr="00BE65C7" w:rsidRDefault="00273774"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(3)</w:t>
            </w:r>
          </w:p>
        </w:tc>
        <w:tc>
          <w:tcPr>
            <w:tcW w:w="1658" w:type="dxa"/>
          </w:tcPr>
          <w:p w14:paraId="150D2EFB" w14:textId="77777777" w:rsidR="00273774" w:rsidRPr="00BE65C7" w:rsidRDefault="00273774"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(4)</w:t>
            </w:r>
          </w:p>
        </w:tc>
      </w:tr>
      <w:tr w:rsidR="00BE65C7" w:rsidRPr="00BE65C7" w14:paraId="2DF1A151" w14:textId="77777777" w:rsidTr="00677ABA">
        <w:tc>
          <w:tcPr>
            <w:tcW w:w="3151" w:type="dxa"/>
          </w:tcPr>
          <w:p w14:paraId="0AE6B8B0" w14:textId="58043E3B" w:rsidR="00273774" w:rsidRPr="00BE65C7" w:rsidRDefault="00000000" w:rsidP="00443A1A">
            <w:pPr>
              <w:spacing w:line="360" w:lineRule="auto"/>
              <w:jc w:val="both"/>
              <w:rPr>
                <w:rFonts w:ascii="Times New Roman"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Cash</m:t>
                    </m:r>
                  </m:e>
                  <m:sub>
                    <m:r>
                      <m:rPr>
                        <m:sty m:val="p"/>
                      </m:rPr>
                      <w:rPr>
                        <w:rFonts w:ascii="Cambria Math" w:hAnsi="Cambria Math" w:cs="Times New Roman"/>
                        <w:color w:val="000000" w:themeColor="text1"/>
                        <w:sz w:val="24"/>
                        <w:szCs w:val="24"/>
                      </w:rPr>
                      <m:t>it-1</m:t>
                    </m:r>
                  </m:sub>
                </m:sSub>
              </m:oMath>
            </m:oMathPara>
          </w:p>
        </w:tc>
        <w:tc>
          <w:tcPr>
            <w:tcW w:w="1097" w:type="dxa"/>
          </w:tcPr>
          <w:p w14:paraId="5047EE43" w14:textId="39883E76"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0.235</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728C4E43"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(0.0151)</w:t>
            </w:r>
          </w:p>
        </w:tc>
        <w:tc>
          <w:tcPr>
            <w:tcW w:w="1595" w:type="dxa"/>
          </w:tcPr>
          <w:p w14:paraId="0BA35CF3" w14:textId="3AD0FD8C"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0.178</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15318C74"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(0.0212)</w:t>
            </w:r>
          </w:p>
        </w:tc>
        <w:tc>
          <w:tcPr>
            <w:tcW w:w="1684" w:type="dxa"/>
          </w:tcPr>
          <w:p w14:paraId="28E5FE22" w14:textId="7E9BC50A"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0.158</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1A53167A"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(0.0241)</w:t>
            </w:r>
          </w:p>
        </w:tc>
        <w:tc>
          <w:tcPr>
            <w:tcW w:w="1658" w:type="dxa"/>
          </w:tcPr>
          <w:p w14:paraId="0091FBAC" w14:textId="38E3010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0.136</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7B70B58B"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(0.0281)</w:t>
            </w:r>
          </w:p>
        </w:tc>
      </w:tr>
      <w:tr w:rsidR="00BE65C7" w:rsidRPr="00BE65C7" w14:paraId="19B0E950" w14:textId="77777777" w:rsidTr="00677ABA">
        <w:tc>
          <w:tcPr>
            <w:tcW w:w="3151" w:type="dxa"/>
          </w:tcPr>
          <w:p w14:paraId="29C65D32" w14:textId="39CCCA8D" w:rsidR="00273774" w:rsidRPr="00BE65C7" w:rsidRDefault="00000000" w:rsidP="00443A1A">
            <w:pPr>
              <w:spacing w:line="360" w:lineRule="auto"/>
              <w:jc w:val="both"/>
              <w:rPr>
                <w:rFonts w:ascii="Times New Roman" w:eastAsia="Calibri"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oMath>
            </m:oMathPara>
          </w:p>
        </w:tc>
        <w:tc>
          <w:tcPr>
            <w:tcW w:w="1097" w:type="dxa"/>
          </w:tcPr>
          <w:p w14:paraId="39F2068E" w14:textId="77AB2EB3"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-0.104</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14F242B1"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(0.0015)</w:t>
            </w:r>
          </w:p>
        </w:tc>
        <w:tc>
          <w:tcPr>
            <w:tcW w:w="1595" w:type="dxa"/>
          </w:tcPr>
          <w:p w14:paraId="2CF53042" w14:textId="0CAF645F"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-0.125</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5549110B"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(0.0021)</w:t>
            </w:r>
          </w:p>
        </w:tc>
        <w:tc>
          <w:tcPr>
            <w:tcW w:w="1684" w:type="dxa"/>
          </w:tcPr>
          <w:p w14:paraId="6F1FAE42" w14:textId="3FAA4184"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-0.095</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2D6CFCF5"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(0.0018)</w:t>
            </w:r>
          </w:p>
        </w:tc>
        <w:tc>
          <w:tcPr>
            <w:tcW w:w="1658" w:type="dxa"/>
          </w:tcPr>
          <w:p w14:paraId="49311AE5" w14:textId="01A036DB"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-0.087</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7BE19F80" w14:textId="77777777" w:rsidR="00273774" w:rsidRPr="00BE65C7" w:rsidRDefault="00273774"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(0.0054)</w:t>
            </w:r>
          </w:p>
        </w:tc>
      </w:tr>
      <w:tr w:rsidR="00BE65C7" w:rsidRPr="00BE65C7" w14:paraId="5F734F71" w14:textId="77777777" w:rsidTr="00677ABA">
        <w:tc>
          <w:tcPr>
            <w:tcW w:w="3151" w:type="dxa"/>
          </w:tcPr>
          <w:p w14:paraId="4411D938" w14:textId="2D433577" w:rsidR="00295232" w:rsidRPr="00BE65C7" w:rsidRDefault="00000000" w:rsidP="00443A1A">
            <w:pPr>
              <w:spacing w:line="360" w:lineRule="auto"/>
              <w:jc w:val="both"/>
              <w:rPr>
                <w:rFonts w:ascii="Times New Roman" w:eastAsia="Calibri"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SA_index</m:t>
                    </m:r>
                  </m:e>
                  <m:sub>
                    <m:r>
                      <m:rPr>
                        <m:sty m:val="p"/>
                      </m:rPr>
                      <w:rPr>
                        <w:rFonts w:ascii="Cambria Math" w:hAnsi="Cambria Math" w:cs="Times New Roman"/>
                        <w:color w:val="000000" w:themeColor="text1"/>
                        <w:sz w:val="24"/>
                        <w:szCs w:val="24"/>
                      </w:rPr>
                      <m:t>it</m:t>
                    </m:r>
                  </m:sub>
                </m:sSub>
              </m:oMath>
            </m:oMathPara>
          </w:p>
        </w:tc>
        <w:tc>
          <w:tcPr>
            <w:tcW w:w="1097" w:type="dxa"/>
          </w:tcPr>
          <w:p w14:paraId="12C27852" w14:textId="7A651120" w:rsidR="00295232" w:rsidRPr="00BE65C7" w:rsidRDefault="00EA63B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0.102</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7BC71B32" w14:textId="10C25AD8" w:rsidR="00EA63B6" w:rsidRPr="00BE65C7" w:rsidRDefault="00EA63B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595" w:type="dxa"/>
          </w:tcPr>
          <w:p w14:paraId="61BC92A9" w14:textId="124EE0DB" w:rsidR="00295232" w:rsidRPr="00BE65C7" w:rsidRDefault="003D0950"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0.087</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206B55E9" w14:textId="54585996" w:rsidR="003D0950" w:rsidRPr="00BE65C7" w:rsidRDefault="003D0950"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w:t>
            </w:r>
          </w:p>
        </w:tc>
        <w:tc>
          <w:tcPr>
            <w:tcW w:w="1684" w:type="dxa"/>
          </w:tcPr>
          <w:p w14:paraId="0250A1F0" w14:textId="7714E3AF" w:rsidR="00295232" w:rsidRPr="00BE65C7" w:rsidRDefault="00EA63B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0.048</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50CB9227" w14:textId="5A02A399" w:rsidR="00EA63B6" w:rsidRPr="00BE65C7" w:rsidRDefault="00EA63B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1658" w:type="dxa"/>
          </w:tcPr>
          <w:p w14:paraId="6C6B5ADA" w14:textId="776F9E44" w:rsidR="00295232" w:rsidRPr="00BE65C7" w:rsidRDefault="00B93B8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0.041</w:t>
            </w:r>
            <w:r w:rsidR="00677ABA" w:rsidRPr="00BE65C7">
              <w:rPr>
                <w:rFonts w:ascii="Times New Roman" w:hAnsi="Times New Roman" w:cs="Times New Roman"/>
                <w:color w:val="000000" w:themeColor="text1"/>
                <w:sz w:val="24"/>
                <w:szCs w:val="24"/>
                <w:vertAlign w:val="superscript"/>
              </w:rPr>
              <w:t>**</w:t>
            </w:r>
            <w:r w:rsidRPr="00BE65C7">
              <w:rPr>
                <w:rFonts w:ascii="Times New Roman" w:hAnsi="Times New Roman" w:cs="Times New Roman"/>
                <w:color w:val="000000" w:themeColor="text1"/>
                <w:sz w:val="24"/>
                <w:szCs w:val="24"/>
                <w:vertAlign w:val="superscript"/>
              </w:rPr>
              <w:t>*</w:t>
            </w:r>
          </w:p>
          <w:p w14:paraId="2CB2B916" w14:textId="7BD36E20" w:rsidR="00B93B88" w:rsidRPr="00BE65C7" w:rsidRDefault="00B93B88"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07C32AFD" w14:textId="77777777" w:rsidTr="00677ABA">
        <w:tc>
          <w:tcPr>
            <w:tcW w:w="3151" w:type="dxa"/>
          </w:tcPr>
          <w:p w14:paraId="103ADF92" w14:textId="7DB36C87" w:rsidR="00295232" w:rsidRPr="00BE65C7" w:rsidRDefault="00000000" w:rsidP="00443A1A">
            <w:pPr>
              <w:spacing w:line="360" w:lineRule="auto"/>
              <w:jc w:val="both"/>
              <w:rPr>
                <w:rFonts w:ascii="Times New Roman" w:eastAsia="Calibri"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r>
                  <m:rPr>
                    <m:sty m:val="p"/>
                  </m:rPr>
                  <w:rPr>
                    <w:rFonts w:ascii="Cambria Math" w:hAnsi="Cambria Math" w:cs="Times New Roman"/>
                    <w:color w:val="000000" w:themeColor="text1"/>
                    <w:sz w:val="24"/>
                    <w:szCs w:val="24"/>
                  </w:rPr>
                  <m:t>*</m:t>
                </m:r>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SA_index</m:t>
                    </m:r>
                  </m:e>
                  <m:sub>
                    <m:r>
                      <m:rPr>
                        <m:sty m:val="p"/>
                      </m:rPr>
                      <w:rPr>
                        <w:rFonts w:ascii="Cambria Math" w:hAnsi="Cambria Math" w:cs="Times New Roman"/>
                        <w:color w:val="000000" w:themeColor="text1"/>
                        <w:sz w:val="24"/>
                        <w:szCs w:val="24"/>
                      </w:rPr>
                      <m:t>it</m:t>
                    </m:r>
                  </m:sub>
                </m:sSub>
              </m:oMath>
            </m:oMathPara>
          </w:p>
        </w:tc>
        <w:tc>
          <w:tcPr>
            <w:tcW w:w="1097" w:type="dxa"/>
          </w:tcPr>
          <w:p w14:paraId="05A88220" w14:textId="101793E9" w:rsidR="00295232" w:rsidRPr="00BE65C7" w:rsidRDefault="007717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0.121</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3D9FAF91" w14:textId="45231FC6" w:rsidR="00771772" w:rsidRPr="00BE65C7" w:rsidRDefault="007717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595" w:type="dxa"/>
          </w:tcPr>
          <w:p w14:paraId="0393A8B7" w14:textId="73921933" w:rsidR="00295232" w:rsidRPr="00BE65C7" w:rsidRDefault="006928B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0.115</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321F2B1D" w14:textId="71ED2473" w:rsidR="006928BE" w:rsidRPr="00BE65C7" w:rsidRDefault="006928B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(0.003)</w:t>
            </w:r>
          </w:p>
        </w:tc>
        <w:tc>
          <w:tcPr>
            <w:tcW w:w="1684" w:type="dxa"/>
          </w:tcPr>
          <w:p w14:paraId="75F5E090" w14:textId="46DDA546" w:rsidR="00295232" w:rsidRPr="00BE65C7" w:rsidRDefault="007717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-0.015</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70C5BE6A" w14:textId="47A8D642" w:rsidR="00771772" w:rsidRPr="00BE65C7" w:rsidRDefault="00771772"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w:t>
            </w:r>
          </w:p>
        </w:tc>
        <w:tc>
          <w:tcPr>
            <w:tcW w:w="1658" w:type="dxa"/>
          </w:tcPr>
          <w:p w14:paraId="10246BF5" w14:textId="401A5010" w:rsidR="00295232" w:rsidRPr="00BE65C7" w:rsidRDefault="006928B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-0.028</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6D26E244" w14:textId="731B0C8B" w:rsidR="006928BE" w:rsidRPr="00BE65C7" w:rsidRDefault="006928BE"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584789EF" w14:textId="77777777" w:rsidTr="00677ABA">
        <w:tc>
          <w:tcPr>
            <w:tcW w:w="3151" w:type="dxa"/>
          </w:tcPr>
          <w:p w14:paraId="32F3669F" w14:textId="77777777" w:rsidR="0095257F" w:rsidRPr="00BE65C7" w:rsidRDefault="0095257F" w:rsidP="0095257F">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NWC</w:t>
            </w:r>
          </w:p>
        </w:tc>
        <w:tc>
          <w:tcPr>
            <w:tcW w:w="1097" w:type="dxa"/>
          </w:tcPr>
          <w:p w14:paraId="3EB4C352" w14:textId="77777777" w:rsidR="0095257F" w:rsidRPr="00BE65C7" w:rsidRDefault="0095257F" w:rsidP="00C86A74">
            <w:pPr>
              <w:jc w:val="both"/>
              <w:rPr>
                <w:rFonts w:ascii="Times New Roman" w:hAnsi="Times New Roman" w:cs="Times New Roman"/>
                <w:color w:val="000000" w:themeColor="text1"/>
                <w:sz w:val="24"/>
                <w:szCs w:val="24"/>
              </w:rPr>
            </w:pPr>
          </w:p>
        </w:tc>
        <w:tc>
          <w:tcPr>
            <w:tcW w:w="1595" w:type="dxa"/>
          </w:tcPr>
          <w:p w14:paraId="125BB6D5" w14:textId="4C7E434A"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-0.031</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58772586" w14:textId="6381D68E"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684" w:type="dxa"/>
          </w:tcPr>
          <w:p w14:paraId="6DE77A7E" w14:textId="77777777" w:rsidR="0095257F" w:rsidRPr="00BE65C7" w:rsidRDefault="0095257F" w:rsidP="00C86A74">
            <w:pPr>
              <w:jc w:val="both"/>
              <w:rPr>
                <w:rFonts w:ascii="Times New Roman" w:hAnsi="Times New Roman" w:cs="Times New Roman"/>
                <w:color w:val="000000" w:themeColor="text1"/>
                <w:sz w:val="24"/>
                <w:szCs w:val="24"/>
              </w:rPr>
            </w:pPr>
          </w:p>
        </w:tc>
        <w:tc>
          <w:tcPr>
            <w:tcW w:w="1658" w:type="dxa"/>
          </w:tcPr>
          <w:p w14:paraId="0710E2E0" w14:textId="22E840AE"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-0.015</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6243A616" w14:textId="2DDC6452"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4E168DA2" w14:textId="77777777" w:rsidTr="00677ABA">
        <w:tc>
          <w:tcPr>
            <w:tcW w:w="3151" w:type="dxa"/>
          </w:tcPr>
          <w:p w14:paraId="4B837DE6" w14:textId="77777777" w:rsidR="0095257F" w:rsidRPr="00BE65C7" w:rsidRDefault="0095257F" w:rsidP="0095257F">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3_year growth</w:t>
            </w:r>
          </w:p>
        </w:tc>
        <w:tc>
          <w:tcPr>
            <w:tcW w:w="1097" w:type="dxa"/>
          </w:tcPr>
          <w:p w14:paraId="0E81C5DC" w14:textId="77777777" w:rsidR="0095257F" w:rsidRPr="00BE65C7" w:rsidRDefault="0095257F" w:rsidP="00C86A74">
            <w:pPr>
              <w:jc w:val="both"/>
              <w:rPr>
                <w:rFonts w:ascii="Times New Roman" w:hAnsi="Times New Roman" w:cs="Times New Roman"/>
                <w:color w:val="000000" w:themeColor="text1"/>
                <w:sz w:val="24"/>
                <w:szCs w:val="24"/>
              </w:rPr>
            </w:pPr>
          </w:p>
        </w:tc>
        <w:tc>
          <w:tcPr>
            <w:tcW w:w="1595" w:type="dxa"/>
          </w:tcPr>
          <w:p w14:paraId="7B01796C" w14:textId="5D549067" w:rsidR="0095257F" w:rsidRPr="00BE65C7" w:rsidRDefault="0095257F" w:rsidP="00C86A74">
            <w:pPr>
              <w:jc w:val="both"/>
              <w:rPr>
                <w:rFonts w:ascii="Times New Roman" w:hAnsi="Times New Roman" w:cs="Times New Roman"/>
                <w:color w:val="000000" w:themeColor="text1"/>
                <w:sz w:val="24"/>
                <w:szCs w:val="24"/>
                <w:vertAlign w:val="superscript"/>
              </w:rPr>
            </w:pPr>
            <w:r w:rsidRPr="00BE65C7">
              <w:rPr>
                <w:rFonts w:ascii="Times New Roman" w:hAnsi="Times New Roman" w:cs="Times New Roman"/>
                <w:color w:val="000000" w:themeColor="text1"/>
                <w:sz w:val="24"/>
                <w:szCs w:val="24"/>
              </w:rPr>
              <w:t>0.037</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72BCC071" w14:textId="029C2A0F"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1684" w:type="dxa"/>
          </w:tcPr>
          <w:p w14:paraId="4E2FB698" w14:textId="77777777" w:rsidR="0095257F" w:rsidRPr="00BE65C7" w:rsidRDefault="0095257F" w:rsidP="00C86A74">
            <w:pPr>
              <w:jc w:val="both"/>
              <w:rPr>
                <w:rFonts w:ascii="Times New Roman" w:hAnsi="Times New Roman" w:cs="Times New Roman"/>
                <w:color w:val="000000" w:themeColor="text1"/>
                <w:sz w:val="24"/>
                <w:szCs w:val="24"/>
              </w:rPr>
            </w:pPr>
          </w:p>
        </w:tc>
        <w:tc>
          <w:tcPr>
            <w:tcW w:w="1658" w:type="dxa"/>
          </w:tcPr>
          <w:p w14:paraId="3C0644CF" w14:textId="43062209"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2B1E8D11" w14:textId="578A9E5B"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50A3E4D8" w14:textId="77777777" w:rsidTr="00677ABA">
        <w:tc>
          <w:tcPr>
            <w:tcW w:w="3151" w:type="dxa"/>
          </w:tcPr>
          <w:p w14:paraId="52444C21" w14:textId="77777777" w:rsidR="0095257F" w:rsidRPr="00BE65C7" w:rsidRDefault="0095257F" w:rsidP="0095257F">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R&amp;D</w:t>
            </w:r>
          </w:p>
        </w:tc>
        <w:tc>
          <w:tcPr>
            <w:tcW w:w="1097" w:type="dxa"/>
          </w:tcPr>
          <w:p w14:paraId="21296462" w14:textId="77777777" w:rsidR="0095257F" w:rsidRPr="00BE65C7" w:rsidRDefault="0095257F" w:rsidP="00C86A74">
            <w:pPr>
              <w:jc w:val="both"/>
              <w:rPr>
                <w:rFonts w:ascii="Times New Roman" w:hAnsi="Times New Roman" w:cs="Times New Roman"/>
                <w:color w:val="000000" w:themeColor="text1"/>
                <w:sz w:val="24"/>
                <w:szCs w:val="24"/>
              </w:rPr>
            </w:pPr>
          </w:p>
        </w:tc>
        <w:tc>
          <w:tcPr>
            <w:tcW w:w="1595" w:type="dxa"/>
          </w:tcPr>
          <w:p w14:paraId="7BE9DBC7" w14:textId="1034B728"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3B838F5B" w14:textId="55A14F83"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684" w:type="dxa"/>
          </w:tcPr>
          <w:p w14:paraId="411F796A" w14:textId="77777777" w:rsidR="0095257F" w:rsidRPr="00BE65C7" w:rsidRDefault="0095257F" w:rsidP="00C86A74">
            <w:pPr>
              <w:jc w:val="both"/>
              <w:rPr>
                <w:rFonts w:ascii="Times New Roman" w:hAnsi="Times New Roman" w:cs="Times New Roman"/>
                <w:color w:val="000000" w:themeColor="text1"/>
                <w:sz w:val="24"/>
                <w:szCs w:val="24"/>
              </w:rPr>
            </w:pPr>
          </w:p>
        </w:tc>
        <w:tc>
          <w:tcPr>
            <w:tcW w:w="1658" w:type="dxa"/>
          </w:tcPr>
          <w:p w14:paraId="287435EC" w14:textId="5163370C"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0.0171</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5CA8BE93" w14:textId="0D4576B4"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27B99CAB" w14:textId="77777777" w:rsidTr="00677ABA">
        <w:tc>
          <w:tcPr>
            <w:tcW w:w="3151" w:type="dxa"/>
          </w:tcPr>
          <w:p w14:paraId="3A8F0B56" w14:textId="77777777" w:rsidR="0095257F" w:rsidRPr="00BE65C7" w:rsidRDefault="0095257F" w:rsidP="0095257F">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Leverage</w:t>
            </w:r>
          </w:p>
        </w:tc>
        <w:tc>
          <w:tcPr>
            <w:tcW w:w="1097" w:type="dxa"/>
          </w:tcPr>
          <w:p w14:paraId="1CB2A60E" w14:textId="77777777" w:rsidR="0095257F" w:rsidRPr="00BE65C7" w:rsidRDefault="0095257F" w:rsidP="00C86A74">
            <w:pPr>
              <w:jc w:val="both"/>
              <w:rPr>
                <w:rFonts w:ascii="Times New Roman" w:hAnsi="Times New Roman" w:cs="Times New Roman"/>
                <w:color w:val="000000" w:themeColor="text1"/>
                <w:sz w:val="24"/>
                <w:szCs w:val="24"/>
              </w:rPr>
            </w:pPr>
          </w:p>
        </w:tc>
        <w:tc>
          <w:tcPr>
            <w:tcW w:w="1595" w:type="dxa"/>
          </w:tcPr>
          <w:p w14:paraId="3CE7944F" w14:textId="4C46CACB"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0.158</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6AD31E81" w14:textId="1B316807"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(0.052)</w:t>
            </w:r>
          </w:p>
        </w:tc>
        <w:tc>
          <w:tcPr>
            <w:tcW w:w="1684" w:type="dxa"/>
          </w:tcPr>
          <w:p w14:paraId="40463466" w14:textId="77777777" w:rsidR="0095257F" w:rsidRPr="00BE65C7" w:rsidRDefault="0095257F" w:rsidP="00C86A74">
            <w:pPr>
              <w:jc w:val="both"/>
              <w:rPr>
                <w:rFonts w:ascii="Times New Roman" w:hAnsi="Times New Roman" w:cs="Times New Roman"/>
                <w:color w:val="000000" w:themeColor="text1"/>
                <w:sz w:val="24"/>
                <w:szCs w:val="24"/>
              </w:rPr>
            </w:pPr>
          </w:p>
        </w:tc>
        <w:tc>
          <w:tcPr>
            <w:tcW w:w="1658" w:type="dxa"/>
          </w:tcPr>
          <w:p w14:paraId="51709967" w14:textId="6643A611"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0.129</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36CE69B2" w14:textId="67B9DB7C"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w:t>
            </w:r>
          </w:p>
        </w:tc>
      </w:tr>
      <w:tr w:rsidR="00BE65C7" w:rsidRPr="00BE65C7" w14:paraId="7983BC94" w14:textId="77777777" w:rsidTr="00677ABA">
        <w:tc>
          <w:tcPr>
            <w:tcW w:w="3151" w:type="dxa"/>
          </w:tcPr>
          <w:p w14:paraId="16BC1F25" w14:textId="311B7392" w:rsidR="0095257F" w:rsidRPr="00BE65C7" w:rsidRDefault="00472F28" w:rsidP="0095257F">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PPE</w:t>
            </w:r>
          </w:p>
        </w:tc>
        <w:tc>
          <w:tcPr>
            <w:tcW w:w="1097" w:type="dxa"/>
          </w:tcPr>
          <w:p w14:paraId="4A038BCF" w14:textId="77777777" w:rsidR="0095257F" w:rsidRPr="00BE65C7" w:rsidRDefault="0095257F" w:rsidP="00C86A74">
            <w:pPr>
              <w:jc w:val="both"/>
              <w:rPr>
                <w:rFonts w:ascii="Times New Roman" w:hAnsi="Times New Roman" w:cs="Times New Roman"/>
                <w:color w:val="000000" w:themeColor="text1"/>
                <w:sz w:val="24"/>
                <w:szCs w:val="24"/>
              </w:rPr>
            </w:pPr>
          </w:p>
        </w:tc>
        <w:tc>
          <w:tcPr>
            <w:tcW w:w="1595" w:type="dxa"/>
          </w:tcPr>
          <w:p w14:paraId="6026006F" w14:textId="52DEA7CF"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-0.184</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6B23A6F3" w14:textId="2CEB7ABE"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1684" w:type="dxa"/>
          </w:tcPr>
          <w:p w14:paraId="51C8B7F4" w14:textId="77777777" w:rsidR="0095257F" w:rsidRPr="00BE65C7" w:rsidRDefault="0095257F" w:rsidP="00C86A74">
            <w:pPr>
              <w:jc w:val="both"/>
              <w:rPr>
                <w:rFonts w:ascii="Times New Roman" w:hAnsi="Times New Roman" w:cs="Times New Roman"/>
                <w:color w:val="000000" w:themeColor="text1"/>
                <w:sz w:val="24"/>
                <w:szCs w:val="24"/>
              </w:rPr>
            </w:pPr>
          </w:p>
        </w:tc>
        <w:tc>
          <w:tcPr>
            <w:tcW w:w="1658" w:type="dxa"/>
          </w:tcPr>
          <w:p w14:paraId="60D08B63" w14:textId="42D896C7"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-0.191</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43784F37" w14:textId="3B802FEE"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691DF50E" w14:textId="77777777" w:rsidTr="00677ABA">
        <w:tc>
          <w:tcPr>
            <w:tcW w:w="3151" w:type="dxa"/>
          </w:tcPr>
          <w:p w14:paraId="4DE68488" w14:textId="77777777" w:rsidR="0095257F" w:rsidRPr="00BE65C7" w:rsidRDefault="0095257F" w:rsidP="0095257F">
            <w:pPr>
              <w:spacing w:line="360" w:lineRule="auto"/>
              <w:jc w:val="center"/>
              <w:rPr>
                <w:rFonts w:ascii="Times New Roman" w:eastAsia="Calibri" w:hAnsi="Times New Roman" w:cs="Times New Roman"/>
                <w:color w:val="000000" w:themeColor="text1"/>
                <w:sz w:val="24"/>
                <w:szCs w:val="24"/>
              </w:rPr>
            </w:pPr>
            <w:proofErr w:type="spellStart"/>
            <w:r w:rsidRPr="00BE65C7">
              <w:rPr>
                <w:rFonts w:ascii="Times New Roman" w:eastAsia="Calibri" w:hAnsi="Times New Roman" w:cs="Times New Roman"/>
                <w:color w:val="000000" w:themeColor="text1"/>
                <w:sz w:val="24"/>
                <w:szCs w:val="24"/>
              </w:rPr>
              <w:t>Div_dum</w:t>
            </w:r>
            <w:proofErr w:type="spellEnd"/>
          </w:p>
        </w:tc>
        <w:tc>
          <w:tcPr>
            <w:tcW w:w="1097" w:type="dxa"/>
          </w:tcPr>
          <w:p w14:paraId="1F773E88" w14:textId="77777777" w:rsidR="0095257F" w:rsidRPr="00BE65C7" w:rsidRDefault="0095257F" w:rsidP="00C86A74">
            <w:pPr>
              <w:jc w:val="both"/>
              <w:rPr>
                <w:rFonts w:ascii="Times New Roman" w:hAnsi="Times New Roman" w:cs="Times New Roman"/>
                <w:color w:val="000000" w:themeColor="text1"/>
                <w:sz w:val="24"/>
                <w:szCs w:val="24"/>
              </w:rPr>
            </w:pPr>
          </w:p>
        </w:tc>
        <w:tc>
          <w:tcPr>
            <w:tcW w:w="1595" w:type="dxa"/>
          </w:tcPr>
          <w:p w14:paraId="3FBB8491" w14:textId="19FAA224"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0.005</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63678A08" w14:textId="17D996FB"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1684" w:type="dxa"/>
          </w:tcPr>
          <w:p w14:paraId="16274933" w14:textId="77777777" w:rsidR="0095257F" w:rsidRPr="00BE65C7" w:rsidRDefault="0095257F" w:rsidP="00C86A74">
            <w:pPr>
              <w:jc w:val="both"/>
              <w:rPr>
                <w:rFonts w:ascii="Times New Roman" w:hAnsi="Times New Roman" w:cs="Times New Roman"/>
                <w:color w:val="000000" w:themeColor="text1"/>
                <w:sz w:val="24"/>
                <w:szCs w:val="24"/>
              </w:rPr>
            </w:pPr>
          </w:p>
        </w:tc>
        <w:tc>
          <w:tcPr>
            <w:tcW w:w="1658" w:type="dxa"/>
          </w:tcPr>
          <w:p w14:paraId="1181C8AB" w14:textId="0A1D1D53"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0.024</w:t>
            </w:r>
            <w:r w:rsidRPr="00BE65C7">
              <w:rPr>
                <w:rFonts w:ascii="Times New Roman" w:hAnsi="Times New Roman" w:cs="Times New Roman"/>
                <w:color w:val="000000" w:themeColor="text1"/>
                <w:sz w:val="24"/>
                <w:szCs w:val="24"/>
                <w:vertAlign w:val="superscript"/>
              </w:rPr>
              <w:t>*</w:t>
            </w:r>
            <w:r w:rsidR="00677ABA" w:rsidRPr="00BE65C7">
              <w:rPr>
                <w:rFonts w:ascii="Times New Roman" w:hAnsi="Times New Roman" w:cs="Times New Roman"/>
                <w:color w:val="000000" w:themeColor="text1"/>
                <w:sz w:val="24"/>
                <w:szCs w:val="24"/>
                <w:vertAlign w:val="superscript"/>
              </w:rPr>
              <w:t>**</w:t>
            </w:r>
          </w:p>
          <w:p w14:paraId="52B4473E" w14:textId="3AFC056A"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78421425" w14:textId="77777777" w:rsidTr="00677ABA">
        <w:tc>
          <w:tcPr>
            <w:tcW w:w="3151" w:type="dxa"/>
          </w:tcPr>
          <w:p w14:paraId="5D020D86" w14:textId="77777777" w:rsidR="0095257F" w:rsidRPr="00BE65C7" w:rsidRDefault="0095257F" w:rsidP="0095257F">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Obs.</w:t>
            </w:r>
          </w:p>
        </w:tc>
        <w:tc>
          <w:tcPr>
            <w:tcW w:w="1097" w:type="dxa"/>
          </w:tcPr>
          <w:p w14:paraId="32CDB8C1" w14:textId="77777777"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165635</w:t>
            </w:r>
          </w:p>
        </w:tc>
        <w:tc>
          <w:tcPr>
            <w:tcW w:w="1595" w:type="dxa"/>
          </w:tcPr>
          <w:p w14:paraId="19358D3F" w14:textId="77777777"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165635</w:t>
            </w:r>
          </w:p>
        </w:tc>
        <w:tc>
          <w:tcPr>
            <w:tcW w:w="1684" w:type="dxa"/>
          </w:tcPr>
          <w:p w14:paraId="36786827" w14:textId="77777777"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183516</w:t>
            </w:r>
          </w:p>
        </w:tc>
        <w:tc>
          <w:tcPr>
            <w:tcW w:w="1658" w:type="dxa"/>
          </w:tcPr>
          <w:p w14:paraId="444077D6" w14:textId="77777777" w:rsidR="0095257F" w:rsidRPr="00BE65C7" w:rsidRDefault="0095257F"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183516</w:t>
            </w:r>
          </w:p>
        </w:tc>
      </w:tr>
      <w:tr w:rsidR="00BE65C7" w:rsidRPr="00BE65C7" w14:paraId="2F35FF2F" w14:textId="77777777" w:rsidTr="00677ABA">
        <w:tc>
          <w:tcPr>
            <w:tcW w:w="3151" w:type="dxa"/>
          </w:tcPr>
          <w:p w14:paraId="765D7E1F" w14:textId="0E251C29" w:rsidR="0095257F" w:rsidRPr="00BE65C7" w:rsidRDefault="0095257F" w:rsidP="0095257F">
            <w:pPr>
              <w:spacing w:line="360" w:lineRule="auto"/>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Adj R</w:t>
            </w:r>
            <w:r w:rsidRPr="00BE65C7">
              <w:rPr>
                <w:rFonts w:ascii="Times New Roman" w:eastAsia="Calibri" w:hAnsi="Times New Roman" w:cs="Times New Roman"/>
                <w:color w:val="000000" w:themeColor="text1"/>
                <w:sz w:val="24"/>
                <w:szCs w:val="24"/>
                <w:vertAlign w:val="superscript"/>
              </w:rPr>
              <w:t>2</w:t>
            </w:r>
          </w:p>
        </w:tc>
        <w:tc>
          <w:tcPr>
            <w:tcW w:w="1097" w:type="dxa"/>
          </w:tcPr>
          <w:p w14:paraId="7BBC6877" w14:textId="639568C6" w:rsidR="0095257F" w:rsidRPr="00BE65C7" w:rsidRDefault="0009717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0.451</w:t>
            </w:r>
          </w:p>
        </w:tc>
        <w:tc>
          <w:tcPr>
            <w:tcW w:w="1595" w:type="dxa"/>
          </w:tcPr>
          <w:p w14:paraId="06008B27" w14:textId="175CBBF6" w:rsidR="0095257F" w:rsidRPr="00BE65C7" w:rsidRDefault="0009717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0.517</w:t>
            </w:r>
          </w:p>
        </w:tc>
        <w:tc>
          <w:tcPr>
            <w:tcW w:w="1684" w:type="dxa"/>
          </w:tcPr>
          <w:p w14:paraId="5DE71CA0" w14:textId="44F7F3CC" w:rsidR="0095257F" w:rsidRPr="00BE65C7" w:rsidRDefault="0009717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0.528</w:t>
            </w:r>
          </w:p>
        </w:tc>
        <w:tc>
          <w:tcPr>
            <w:tcW w:w="1658" w:type="dxa"/>
          </w:tcPr>
          <w:p w14:paraId="06420E94" w14:textId="7751DEBF" w:rsidR="0095257F" w:rsidRPr="00BE65C7" w:rsidRDefault="00097176" w:rsidP="00C86A74">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0.531</w:t>
            </w:r>
          </w:p>
        </w:tc>
      </w:tr>
    </w:tbl>
    <w:p w14:paraId="1FDC1F65" w14:textId="6E5191F4" w:rsidR="008E1D7F" w:rsidRPr="008E1D7F" w:rsidRDefault="00DB450A" w:rsidP="008E1D7F">
      <w:pPr>
        <w:spacing w:after="0" w:line="240" w:lineRule="auto"/>
        <w:jc w:val="both"/>
        <w:rPr>
          <w:rFonts w:ascii="Times New Roman" w:hAnsi="Times New Roman" w:cs="Times New Roman"/>
          <w:color w:val="000000" w:themeColor="text1"/>
          <w:sz w:val="18"/>
          <w:szCs w:val="24"/>
          <w:lang w:val="en-US"/>
        </w:rPr>
      </w:pPr>
      <w:r w:rsidRPr="00260834">
        <w:rPr>
          <w:rFonts w:ascii="Times New Roman" w:hAnsi="Times New Roman" w:cs="Times New Roman"/>
          <w:b/>
          <w:bCs/>
          <w:color w:val="000000" w:themeColor="text1"/>
          <w:sz w:val="20"/>
          <w:szCs w:val="20"/>
          <w:lang w:val="en-US"/>
        </w:rPr>
        <w:t>Note</w:t>
      </w:r>
      <w:r w:rsidRPr="00260834">
        <w:rPr>
          <w:rFonts w:ascii="Times New Roman" w:hAnsi="Times New Roman" w:cs="Times New Roman"/>
          <w:color w:val="000000" w:themeColor="text1"/>
          <w:sz w:val="20"/>
          <w:szCs w:val="20"/>
          <w:lang w:val="en-US"/>
        </w:rPr>
        <w:t>: ***: Significant at 1%; **: Significant at 5%, and *: Significant at 10% levels.</w:t>
      </w:r>
      <w:r w:rsidR="00E42A4C" w:rsidRPr="00260834">
        <w:rPr>
          <w:rFonts w:ascii="Times New Roman" w:hAnsi="Times New Roman" w:cs="Times New Roman"/>
          <w:color w:val="000000" w:themeColor="text1"/>
          <w:sz w:val="20"/>
          <w:szCs w:val="20"/>
          <w:lang w:val="en-US"/>
        </w:rPr>
        <w:t xml:space="preserve"> The figures in parentheses are the HAC standard errors.</w:t>
      </w:r>
      <w:r w:rsidR="00472F28">
        <w:rPr>
          <w:rFonts w:ascii="Times New Roman" w:hAnsi="Times New Roman" w:cs="Times New Roman"/>
          <w:color w:val="000000" w:themeColor="text1"/>
          <w:sz w:val="20"/>
          <w:szCs w:val="20"/>
          <w:lang w:val="en-US"/>
        </w:rPr>
        <w:t xml:space="preserve"> </w:t>
      </w:r>
      <w:r w:rsidR="00472F28" w:rsidRPr="002672B3">
        <w:rPr>
          <w:rFonts w:ascii="Times New Roman" w:hAnsi="Times New Roman" w:cs="Times New Roman"/>
          <w:i/>
          <w:color w:val="000000" w:themeColor="text1"/>
          <w:sz w:val="18"/>
          <w:szCs w:val="24"/>
          <w:lang w:val="en-US"/>
        </w:rPr>
        <w:t>Cash</w:t>
      </w:r>
      <w:r w:rsidR="00472F28">
        <w:rPr>
          <w:rFonts w:ascii="Times New Roman" w:hAnsi="Times New Roman" w:cs="Times New Roman"/>
          <w:color w:val="000000" w:themeColor="text1"/>
          <w:sz w:val="18"/>
          <w:szCs w:val="24"/>
          <w:lang w:val="en-US"/>
        </w:rPr>
        <w:t xml:space="preserve"> is defined as cash and cash equivalents, </w:t>
      </w:r>
      <w:r w:rsidR="00472F28">
        <w:rPr>
          <w:rFonts w:ascii="Times New Roman" w:hAnsi="Times New Roman" w:cs="Times New Roman"/>
          <w:i/>
          <w:color w:val="000000" w:themeColor="text1"/>
          <w:sz w:val="18"/>
          <w:szCs w:val="24"/>
          <w:lang w:val="en-US"/>
        </w:rPr>
        <w:t>NWC</w:t>
      </w:r>
      <w:r w:rsidR="00472F28">
        <w:rPr>
          <w:rFonts w:ascii="Times New Roman" w:hAnsi="Times New Roman" w:cs="Times New Roman"/>
          <w:color w:val="000000" w:themeColor="text1"/>
          <w:sz w:val="18"/>
          <w:szCs w:val="24"/>
          <w:lang w:val="en-US"/>
        </w:rPr>
        <w:t xml:space="preserve"> is net working capital and defined as account receivables, inventories less accounts payables, </w:t>
      </w:r>
      <w:r w:rsidR="00472F28">
        <w:rPr>
          <w:rFonts w:ascii="Times New Roman" w:hAnsi="Times New Roman" w:cs="Times New Roman"/>
          <w:i/>
          <w:color w:val="000000" w:themeColor="text1"/>
          <w:sz w:val="18"/>
          <w:szCs w:val="24"/>
          <w:lang w:val="en-US"/>
        </w:rPr>
        <w:t>PPE</w:t>
      </w:r>
      <w:r w:rsidR="00472F28">
        <w:rPr>
          <w:rFonts w:ascii="Times New Roman" w:hAnsi="Times New Roman" w:cs="Times New Roman"/>
          <w:color w:val="000000" w:themeColor="text1"/>
          <w:sz w:val="18"/>
          <w:szCs w:val="24"/>
          <w:lang w:val="en-US"/>
        </w:rPr>
        <w:t xml:space="preserve"> is plant, property and equipment, </w:t>
      </w:r>
      <w:r w:rsidR="00472F28">
        <w:rPr>
          <w:rFonts w:ascii="Times New Roman" w:hAnsi="Times New Roman" w:cs="Times New Roman"/>
          <w:i/>
          <w:color w:val="000000" w:themeColor="text1"/>
          <w:sz w:val="18"/>
          <w:szCs w:val="24"/>
          <w:lang w:val="en-US"/>
        </w:rPr>
        <w:t>R&amp;D</w:t>
      </w:r>
      <w:r w:rsidR="00472F28">
        <w:rPr>
          <w:rFonts w:ascii="Times New Roman" w:hAnsi="Times New Roman" w:cs="Times New Roman"/>
          <w:color w:val="000000" w:themeColor="text1"/>
          <w:sz w:val="18"/>
          <w:szCs w:val="24"/>
          <w:lang w:val="en-US"/>
        </w:rPr>
        <w:t xml:space="preserve"> is R&amp;D expenses, </w:t>
      </w:r>
      <w:r w:rsidR="00472F28" w:rsidRPr="00472F28">
        <w:rPr>
          <w:rFonts w:ascii="Times New Roman" w:hAnsi="Times New Roman" w:cs="Times New Roman"/>
          <w:i/>
          <w:color w:val="000000" w:themeColor="text1"/>
          <w:sz w:val="18"/>
          <w:szCs w:val="24"/>
          <w:lang w:val="en-US"/>
        </w:rPr>
        <w:t>3_Ys_Sales_gr</w:t>
      </w:r>
      <w:r w:rsidR="00472F28">
        <w:rPr>
          <w:rFonts w:ascii="Times New Roman" w:hAnsi="Times New Roman" w:cs="Times New Roman"/>
          <w:color w:val="000000" w:themeColor="text1"/>
          <w:sz w:val="18"/>
          <w:szCs w:val="24"/>
          <w:lang w:val="en-US"/>
        </w:rPr>
        <w:t xml:space="preserve"> is the average growth rate of sales of past consecutive three years, </w:t>
      </w:r>
      <w:r w:rsidR="00472F28">
        <w:rPr>
          <w:rFonts w:ascii="Times New Roman" w:hAnsi="Times New Roman" w:cs="Times New Roman"/>
          <w:i/>
          <w:color w:val="000000" w:themeColor="text1"/>
          <w:sz w:val="18"/>
          <w:szCs w:val="24"/>
          <w:lang w:val="en-US"/>
        </w:rPr>
        <w:t>Leverage</w:t>
      </w:r>
      <w:r w:rsidR="00472F28">
        <w:rPr>
          <w:rFonts w:ascii="Times New Roman" w:hAnsi="Times New Roman" w:cs="Times New Roman"/>
          <w:color w:val="000000" w:themeColor="text1"/>
          <w:sz w:val="18"/>
          <w:szCs w:val="24"/>
          <w:lang w:val="en-US"/>
        </w:rPr>
        <w:t xml:space="preserve"> is interest bearing long term and short term debt, </w:t>
      </w:r>
      <w:proofErr w:type="spellStart"/>
      <w:r w:rsidR="00472F28">
        <w:rPr>
          <w:rFonts w:ascii="Times New Roman" w:hAnsi="Times New Roman" w:cs="Times New Roman"/>
          <w:i/>
          <w:color w:val="000000" w:themeColor="text1"/>
          <w:sz w:val="18"/>
          <w:szCs w:val="24"/>
          <w:lang w:val="en-US"/>
        </w:rPr>
        <w:t>Div_dum</w:t>
      </w:r>
      <w:proofErr w:type="spellEnd"/>
      <w:r w:rsidR="00472F28">
        <w:rPr>
          <w:rFonts w:ascii="Times New Roman" w:hAnsi="Times New Roman" w:cs="Times New Roman"/>
          <w:color w:val="000000" w:themeColor="text1"/>
          <w:sz w:val="18"/>
          <w:szCs w:val="24"/>
          <w:lang w:val="en-US"/>
        </w:rPr>
        <w:t xml:space="preserve"> is a dummy variable and is equal </w:t>
      </w:r>
      <w:r w:rsidR="008E1D7F">
        <w:rPr>
          <w:rFonts w:ascii="Times New Roman" w:hAnsi="Times New Roman" w:cs="Times New Roman"/>
          <w:color w:val="000000" w:themeColor="text1"/>
          <w:sz w:val="18"/>
          <w:szCs w:val="24"/>
          <w:lang w:val="en-US"/>
        </w:rPr>
        <w:t xml:space="preserve">to 1 if the firm paid dividend </w:t>
      </w:r>
      <w:r w:rsidR="00472F28">
        <w:rPr>
          <w:rFonts w:ascii="Times New Roman" w:hAnsi="Times New Roman" w:cs="Times New Roman"/>
          <w:color w:val="000000" w:themeColor="text1"/>
          <w:sz w:val="18"/>
          <w:szCs w:val="24"/>
          <w:lang w:val="en-US"/>
        </w:rPr>
        <w:t xml:space="preserve"> the last fiscal year and 0 otherwise</w:t>
      </w:r>
      <w:r w:rsidR="00472F28">
        <w:rPr>
          <w:rFonts w:ascii="Times New Roman" w:eastAsia="Calibri" w:hAnsi="Times New Roman" w:cs="Times New Roman"/>
          <w:color w:val="000000" w:themeColor="text1"/>
          <w:sz w:val="18"/>
          <w:szCs w:val="18"/>
        </w:rPr>
        <w:t>.</w:t>
      </w:r>
      <w:r w:rsidR="00472F28">
        <w:rPr>
          <w:rFonts w:ascii="Times New Roman" w:hAnsi="Times New Roman" w:cs="Times New Roman"/>
          <w:color w:val="000000" w:themeColor="text1"/>
          <w:sz w:val="18"/>
          <w:szCs w:val="24"/>
          <w:lang w:val="en-US"/>
        </w:rPr>
        <w:t xml:space="preserve"> All variables except </w:t>
      </w:r>
      <w:proofErr w:type="spellStart"/>
      <w:r w:rsidR="00472F28">
        <w:rPr>
          <w:rFonts w:ascii="Times New Roman" w:hAnsi="Times New Roman" w:cs="Times New Roman"/>
          <w:color w:val="000000" w:themeColor="text1"/>
          <w:sz w:val="18"/>
          <w:szCs w:val="24"/>
          <w:lang w:val="en-US"/>
        </w:rPr>
        <w:t>div_dum</w:t>
      </w:r>
      <w:proofErr w:type="spellEnd"/>
      <w:r w:rsidR="00472F28">
        <w:rPr>
          <w:rFonts w:ascii="Times New Roman" w:hAnsi="Times New Roman" w:cs="Times New Roman"/>
          <w:color w:val="000000" w:themeColor="text1"/>
          <w:sz w:val="18"/>
          <w:szCs w:val="24"/>
          <w:lang w:val="en-US"/>
        </w:rPr>
        <w:t xml:space="preserve"> are divided by net total assets (total assets less cash and cash equivalents)</w:t>
      </w:r>
      <w:r w:rsidR="003676B7">
        <w:rPr>
          <w:rFonts w:ascii="Times New Roman" w:hAnsi="Times New Roman" w:cs="Times New Roman"/>
          <w:color w:val="000000" w:themeColor="text1"/>
          <w:sz w:val="18"/>
          <w:szCs w:val="24"/>
          <w:lang w:val="en-US"/>
        </w:rPr>
        <w:t xml:space="preserve">. </w:t>
      </w:r>
      <w:proofErr w:type="spellStart"/>
      <w:r w:rsidR="008E1D7F">
        <w:rPr>
          <w:rFonts w:ascii="Times New Roman" w:eastAsia="Calibri" w:hAnsi="Times New Roman" w:cs="Times New Roman"/>
          <w:i/>
          <w:color w:val="000000" w:themeColor="text1"/>
          <w:sz w:val="18"/>
          <w:szCs w:val="18"/>
        </w:rPr>
        <w:t>Ins_Own</w:t>
      </w:r>
      <w:proofErr w:type="spellEnd"/>
      <w:r w:rsidR="008E1D7F">
        <w:rPr>
          <w:rFonts w:ascii="Times New Roman" w:eastAsia="Calibri" w:hAnsi="Times New Roman" w:cs="Times New Roman"/>
          <w:color w:val="000000" w:themeColor="text1"/>
          <w:sz w:val="18"/>
          <w:szCs w:val="18"/>
        </w:rPr>
        <w:t xml:space="preserve"> is the institutional investments (in USD million) divided by last year market value of equity. </w:t>
      </w:r>
      <w:proofErr w:type="spellStart"/>
      <w:r w:rsidR="008E1D7F">
        <w:rPr>
          <w:rFonts w:ascii="Times New Roman" w:eastAsia="Calibri" w:hAnsi="Times New Roman" w:cs="Times New Roman"/>
          <w:i/>
          <w:color w:val="000000" w:themeColor="text1"/>
          <w:sz w:val="18"/>
          <w:szCs w:val="18"/>
        </w:rPr>
        <w:t>SA_index</w:t>
      </w:r>
      <w:proofErr w:type="spellEnd"/>
      <w:r w:rsidR="008E1D7F">
        <w:rPr>
          <w:rFonts w:ascii="Times New Roman" w:eastAsia="Calibri" w:hAnsi="Times New Roman" w:cs="Times New Roman"/>
          <w:color w:val="000000" w:themeColor="text1"/>
          <w:sz w:val="18"/>
          <w:szCs w:val="18"/>
        </w:rPr>
        <w:t xml:space="preserve"> is the measure of financial constraint following </w:t>
      </w:r>
      <w:sdt>
        <w:sdtPr>
          <w:rPr>
            <w:rFonts w:ascii="Times New Roman" w:eastAsia="Calibri" w:hAnsi="Times New Roman" w:cs="Times New Roman"/>
            <w:color w:val="000000" w:themeColor="text1"/>
            <w:sz w:val="24"/>
            <w:szCs w:val="24"/>
          </w:rPr>
          <w:alias w:val="To edit, see citavi.com/edit"/>
          <w:tag w:val="CitaviPlaceholder#b7f93622-3fab-4cb5-a75f-c52864e1d4fd"/>
          <w:id w:val="1234038828"/>
          <w:placeholder>
            <w:docPart w:val="4325DCFFB6004A029CF0D4FBA5E53178"/>
          </w:placeholder>
        </w:sdtPr>
        <w:sdtContent>
          <w:r w:rsidR="008E1D7F" w:rsidRPr="008E1D7F">
            <w:rPr>
              <w:rFonts w:ascii="Times New Roman" w:eastAsia="Calibri" w:hAnsi="Times New Roman" w:cs="Times New Roman"/>
              <w:noProof/>
              <w:color w:val="000000" w:themeColor="text1"/>
              <w:sz w:val="18"/>
              <w:szCs w:val="18"/>
            </w:rPr>
            <w:fldChar w:fldCharType="begin"/>
          </w:r>
          <w:r w:rsidR="008E1D7F" w:rsidRPr="008E1D7F">
            <w:rPr>
              <w:rFonts w:ascii="Times New Roman" w:eastAsia="Calibri" w:hAnsi="Times New Roman" w:cs="Times New Roman"/>
              <w:noProof/>
              <w:color w:val="000000" w:themeColor="text1"/>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lYmVjZDBhLTUyMzMtNGFmZS05MjUyLTU2YzZkZjc0NTFiZiIsIlJhbmdlTGVuZ3RoIjozOSwiUmVmZXJlbmNlSWQiOiJiMWM1MjNlZS0zMGJhLTQ2NDYtYjA1NC04OTU2YTVjNDgzMz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IYWRsb2NrLCBDLkouLCBhbmQgUGllcmNlLCBKLlIuIiwiUHJvdGVjdGVkIjpmYWxzZSwiU2V4IjowLCJDcmVhdGVkQnkiOiJfU2FudGFudSBEYXMiLCJDcmVhdGVkT24iOiIyMDIxLTA3LTI3VDA3OjI1OjU5WiIsIk1vZGlmaWVkQnkiOiJfU2FudGFudSBEYXMiLCJJZCI6IjU4N2VkZTViLTVlYjYtNGZkNi1iOTU4LTk5NGRlNTMxNWY0ZiIsIk1vZGlmaWVkT24iOiIyMDIxLTA3LTI3VDA3OjI1OjU5W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}</w:instrText>
          </w:r>
          <w:r w:rsidR="008E1D7F" w:rsidRPr="008E1D7F">
            <w:rPr>
              <w:rFonts w:ascii="Times New Roman" w:eastAsia="Calibri" w:hAnsi="Times New Roman" w:cs="Times New Roman"/>
              <w:noProof/>
              <w:color w:val="000000" w:themeColor="text1"/>
              <w:sz w:val="18"/>
              <w:szCs w:val="18"/>
            </w:rPr>
            <w:fldChar w:fldCharType="separate"/>
          </w:r>
          <w:r w:rsidR="008E1D7F" w:rsidRPr="008E1D7F">
            <w:rPr>
              <w:rFonts w:ascii="Times New Roman" w:eastAsia="Calibri" w:hAnsi="Times New Roman" w:cs="Times New Roman"/>
              <w:noProof/>
              <w:color w:val="000000" w:themeColor="text1"/>
              <w:sz w:val="18"/>
              <w:szCs w:val="18"/>
            </w:rPr>
            <w:t>Hadlock and Pierce (2010</w:t>
          </w:r>
          <w:r w:rsidR="008E1D7F" w:rsidRPr="008E1D7F">
            <w:rPr>
              <w:rFonts w:ascii="Times New Roman" w:eastAsia="Calibri" w:hAnsi="Times New Roman" w:cs="Times New Roman"/>
              <w:noProof/>
              <w:color w:val="000000" w:themeColor="text1"/>
              <w:sz w:val="18"/>
              <w:szCs w:val="18"/>
            </w:rPr>
            <w:fldChar w:fldCharType="end"/>
          </w:r>
          <w:r w:rsidR="008E1D7F" w:rsidRPr="008E1D7F">
            <w:rPr>
              <w:rFonts w:ascii="Times New Roman" w:eastAsia="Calibri" w:hAnsi="Times New Roman" w:cs="Times New Roman"/>
              <w:noProof/>
              <w:color w:val="000000" w:themeColor="text1"/>
              <w:sz w:val="18"/>
              <w:szCs w:val="18"/>
            </w:rPr>
            <w:t>)</w:t>
          </w:r>
          <w:r w:rsidR="008E1D7F">
            <w:rPr>
              <w:rFonts w:ascii="Times New Roman" w:eastAsia="Calibri" w:hAnsi="Times New Roman" w:cs="Times New Roman"/>
              <w:noProof/>
              <w:color w:val="000000" w:themeColor="text1"/>
              <w:sz w:val="18"/>
              <w:szCs w:val="18"/>
            </w:rPr>
            <w:t xml:space="preserve">. </w:t>
          </w:r>
        </w:sdtContent>
      </w:sdt>
    </w:p>
    <w:p w14:paraId="29029A39" w14:textId="4D89F540" w:rsidR="00472F28" w:rsidRPr="002672B3" w:rsidRDefault="00472F28" w:rsidP="00472F28">
      <w:pPr>
        <w:spacing w:after="0" w:line="240" w:lineRule="auto"/>
        <w:jc w:val="both"/>
        <w:rPr>
          <w:rFonts w:ascii="Times New Roman" w:hAnsi="Times New Roman" w:cs="Times New Roman"/>
          <w:color w:val="000000" w:themeColor="text1"/>
          <w:sz w:val="18"/>
          <w:szCs w:val="24"/>
          <w:lang w:val="en-US"/>
        </w:rPr>
      </w:pPr>
    </w:p>
    <w:p w14:paraId="1BE96BAE" w14:textId="48053537" w:rsidR="00E42A4C" w:rsidRPr="00260834" w:rsidRDefault="00E42A4C" w:rsidP="00E42A4C">
      <w:pPr>
        <w:spacing w:line="360" w:lineRule="auto"/>
        <w:rPr>
          <w:rFonts w:ascii="Times New Roman" w:hAnsi="Times New Roman" w:cs="Times New Roman"/>
          <w:color w:val="000000" w:themeColor="text1"/>
          <w:sz w:val="20"/>
          <w:szCs w:val="20"/>
          <w:lang w:val="en-US"/>
        </w:rPr>
      </w:pPr>
    </w:p>
    <w:p w14:paraId="1A898B59" w14:textId="79A124B3" w:rsidR="00DB450A" w:rsidRPr="00BE65C7" w:rsidRDefault="00DB450A" w:rsidP="00DB450A">
      <w:pPr>
        <w:spacing w:line="360" w:lineRule="auto"/>
        <w:jc w:val="both"/>
        <w:rPr>
          <w:rFonts w:ascii="Times New Roman" w:hAnsi="Times New Roman" w:cs="Times New Roman"/>
          <w:color w:val="000000" w:themeColor="text1"/>
          <w:sz w:val="24"/>
          <w:szCs w:val="24"/>
          <w:lang w:val="en-US"/>
        </w:rPr>
      </w:pPr>
    </w:p>
    <w:p w14:paraId="1C7B03F1" w14:textId="77777777" w:rsidR="003676B7" w:rsidRDefault="003676B7" w:rsidP="008A17C1">
      <w:pPr>
        <w:spacing w:line="360" w:lineRule="auto"/>
        <w:jc w:val="center"/>
        <w:rPr>
          <w:rFonts w:ascii="Times New Roman" w:hAnsi="Times New Roman" w:cs="Times New Roman"/>
          <w:b/>
          <w:bCs/>
          <w:color w:val="000000" w:themeColor="text1"/>
          <w:sz w:val="24"/>
          <w:szCs w:val="24"/>
          <w:lang w:val="en-US"/>
        </w:rPr>
      </w:pPr>
    </w:p>
    <w:p w14:paraId="2FE9801F" w14:textId="77777777" w:rsidR="003676B7" w:rsidRDefault="003676B7" w:rsidP="008A17C1">
      <w:pPr>
        <w:spacing w:line="360" w:lineRule="auto"/>
        <w:jc w:val="center"/>
        <w:rPr>
          <w:rFonts w:ascii="Times New Roman" w:hAnsi="Times New Roman" w:cs="Times New Roman"/>
          <w:b/>
          <w:bCs/>
          <w:color w:val="000000" w:themeColor="text1"/>
          <w:sz w:val="24"/>
          <w:szCs w:val="24"/>
          <w:lang w:val="en-US"/>
        </w:rPr>
      </w:pPr>
    </w:p>
    <w:p w14:paraId="20934F49" w14:textId="77777777" w:rsidR="003676B7" w:rsidRDefault="003676B7" w:rsidP="008A17C1">
      <w:pPr>
        <w:spacing w:line="360" w:lineRule="auto"/>
        <w:jc w:val="center"/>
        <w:rPr>
          <w:rFonts w:ascii="Times New Roman" w:hAnsi="Times New Roman" w:cs="Times New Roman"/>
          <w:b/>
          <w:bCs/>
          <w:color w:val="000000" w:themeColor="text1"/>
          <w:sz w:val="24"/>
          <w:szCs w:val="24"/>
          <w:lang w:val="en-US"/>
        </w:rPr>
      </w:pPr>
    </w:p>
    <w:p w14:paraId="703EE047" w14:textId="020DF22F" w:rsidR="00870F05" w:rsidRPr="00BE65C7" w:rsidRDefault="00DB1166" w:rsidP="008A17C1">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 xml:space="preserve">Table </w:t>
      </w:r>
      <w:r w:rsidR="00A87EC4" w:rsidRPr="00BE65C7">
        <w:rPr>
          <w:rFonts w:ascii="Times New Roman" w:hAnsi="Times New Roman" w:cs="Times New Roman"/>
          <w:b/>
          <w:bCs/>
          <w:color w:val="000000" w:themeColor="text1"/>
          <w:sz w:val="24"/>
          <w:szCs w:val="24"/>
          <w:lang w:val="en-US"/>
        </w:rPr>
        <w:t>5</w:t>
      </w:r>
    </w:p>
    <w:p w14:paraId="00B8763F" w14:textId="4CA57AAC" w:rsidR="00DB1166" w:rsidRPr="00BE65C7" w:rsidRDefault="008A17C1" w:rsidP="008A17C1">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Effect of corruption on cash holdings</w:t>
      </w:r>
    </w:p>
    <w:p w14:paraId="11AC99AA" w14:textId="60826A90" w:rsidR="001C660E" w:rsidRPr="00BE65C7" w:rsidRDefault="00000000" w:rsidP="001C660E">
      <w:pPr>
        <w:spacing w:after="0" w:line="360" w:lineRule="auto"/>
        <w:jc w:val="both"/>
        <w:rPr>
          <w:rFonts w:ascii="Times New Roman" w:hAnsi="Times New Roman" w:cs="Times New Roman"/>
          <w:iCs/>
          <w:color w:val="000000" w:themeColor="text1"/>
          <w:sz w:val="20"/>
          <w:szCs w:val="20"/>
          <w:lang w:val="en-US"/>
        </w:rPr>
      </w:pPr>
      <m:oMathPara>
        <m:oMath>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Cash</m:t>
              </m:r>
            </m:e>
            <m:sub>
              <m:r>
                <m:rPr>
                  <m:sty m:val="p"/>
                </m:rPr>
                <w:rPr>
                  <w:rFonts w:ascii="Cambria Math" w:hAnsi="Cambria Math" w:cs="Times New Roman"/>
                  <w:color w:val="000000" w:themeColor="text1"/>
                  <w:sz w:val="20"/>
                  <w:szCs w:val="20"/>
                  <w:lang w:val="en-US"/>
                </w:rPr>
                <m:t>it</m:t>
              </m:r>
            </m:sub>
          </m:sSub>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α</m:t>
                  </m:r>
                </m:e>
                <m:sub>
                  <m:r>
                    <m:rPr>
                      <m:sty m:val="p"/>
                    </m:rPr>
                    <w:rPr>
                      <w:rFonts w:ascii="Cambria Math" w:hAnsi="Cambria Math" w:cs="Times New Roman"/>
                      <w:color w:val="000000" w:themeColor="text1"/>
                      <w:sz w:val="20"/>
                      <w:szCs w:val="20"/>
                      <w:lang w:val="en-US"/>
                    </w:rPr>
                    <m:t>0</m:t>
                  </m:r>
                </m:sub>
              </m:sSub>
              <m:r>
                <m:rPr>
                  <m:sty m:val="p"/>
                </m:rPr>
                <w:rPr>
                  <w:rFonts w:ascii="Cambria Math" w:hAnsi="Cambria Math" w:cs="Times New Roman"/>
                  <w:color w:val="000000" w:themeColor="text1"/>
                  <w:sz w:val="20"/>
                  <w:szCs w:val="20"/>
                  <w:lang w:val="en-US"/>
                </w:rPr>
                <m:t>+α</m:t>
              </m:r>
            </m:e>
            <m:sub>
              <m:r>
                <m:rPr>
                  <m:sty m:val="p"/>
                </m:rPr>
                <w:rPr>
                  <w:rFonts w:ascii="Cambria Math" w:hAnsi="Cambria Math" w:cs="Times New Roman"/>
                  <w:color w:val="000000" w:themeColor="text1"/>
                  <w:sz w:val="20"/>
                  <w:szCs w:val="20"/>
                  <w:lang w:val="en-US"/>
                </w:rPr>
                <m:t>i</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α</m:t>
              </m:r>
            </m:e>
            <m:sub>
              <m:r>
                <m:rPr>
                  <m:sty m:val="p"/>
                </m:rPr>
                <w:rPr>
                  <w:rFonts w:ascii="Cambria Math" w:hAnsi="Cambria Math" w:cs="Times New Roman"/>
                  <w:color w:val="000000" w:themeColor="text1"/>
                  <w:sz w:val="20"/>
                  <w:szCs w:val="20"/>
                  <w:lang w:val="en-US"/>
                </w:rPr>
                <m:t>t</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iCs/>
                  <w:color w:val="000000" w:themeColor="text1"/>
                  <w:sz w:val="24"/>
                  <w:szCs w:val="24"/>
                </w:rPr>
              </m:ctrlPr>
            </m:sSubPr>
            <m:e>
              <m:sSub>
                <m:sSubPr>
                  <m:ctrlPr>
                    <w:rPr>
                      <w:rFonts w:ascii="Cambria Math" w:hAnsi="Cambria Math" w:cs="Times New Roman"/>
                      <w:iCs/>
                      <w:color w:val="000000" w:themeColor="text1"/>
                      <w:sz w:val="24"/>
                      <w:szCs w:val="24"/>
                      <w:lang w:val="en-US"/>
                    </w:rPr>
                  </m:ctrlPr>
                </m:sSubPr>
                <m:e>
                  <m:r>
                    <m:rPr>
                      <m:sty m:val="p"/>
                    </m:rPr>
                    <w:rPr>
                      <w:rFonts w:ascii="Cambria Math" w:hAnsi="Cambria Math" w:cs="Times New Roman"/>
                      <w:color w:val="000000" w:themeColor="text1"/>
                      <w:sz w:val="24"/>
                      <w:szCs w:val="24"/>
                      <w:lang w:val="en-US"/>
                    </w:rPr>
                    <m:t>β</m:t>
                  </m:r>
                </m:e>
                <m:sub>
                  <m:r>
                    <m:rPr>
                      <m:sty m:val="p"/>
                    </m:rPr>
                    <w:rPr>
                      <w:rFonts w:ascii="Cambria Math" w:hAnsi="Cambria Math" w:cs="Times New Roman"/>
                      <w:color w:val="000000" w:themeColor="text1"/>
                      <w:sz w:val="24"/>
                      <w:szCs w:val="24"/>
                      <w:lang w:val="en-US"/>
                    </w:rPr>
                    <m:t>1</m:t>
                  </m:r>
                </m:sub>
              </m:sSub>
              <m:r>
                <m:rPr>
                  <m:sty m:val="p"/>
                </m:rPr>
                <w:rPr>
                  <w:rFonts w:ascii="Cambria Math" w:hAnsi="Cambria Math" w:cs="Times New Roman"/>
                  <w:color w:val="000000" w:themeColor="text1"/>
                  <w:sz w:val="24"/>
                  <w:szCs w:val="24"/>
                </w:rPr>
                <m:t>Cash</m:t>
              </m:r>
            </m:e>
            <m:sub>
              <m:r>
                <m:rPr>
                  <m:sty m:val="p"/>
                </m:rPr>
                <w:rPr>
                  <w:rFonts w:ascii="Cambria Math" w:hAnsi="Cambria Math" w:cs="Times New Roman"/>
                  <w:color w:val="000000" w:themeColor="text1"/>
                  <w:sz w:val="24"/>
                  <w:szCs w:val="24"/>
                </w:rPr>
                <m:t>it-1</m:t>
              </m:r>
            </m:sub>
          </m:sSub>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m:rPr>
                  <m:sty m:val="p"/>
                </m:rPr>
                <w:rPr>
                  <w:rFonts w:ascii="Cambria Math" w:hAnsi="Cambria Math" w:cs="Times New Roman"/>
                  <w:color w:val="000000" w:themeColor="text1"/>
                  <w:sz w:val="20"/>
                  <w:szCs w:val="20"/>
                  <w:lang w:val="en-US"/>
                </w:rPr>
                <m:t>2</m:t>
              </m:r>
            </m:sub>
          </m:sSub>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inst_own</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m:rPr>
                  <m:sty m:val="p"/>
                </m:rPr>
                <w:rPr>
                  <w:rFonts w:ascii="Cambria Math" w:hAnsi="Cambria Math" w:cs="Times New Roman"/>
                  <w:color w:val="000000" w:themeColor="text1"/>
                  <w:sz w:val="20"/>
                  <w:szCs w:val="20"/>
                  <w:lang w:val="en-US"/>
                </w:rPr>
                <m:t>3</m:t>
              </m:r>
            </m:sub>
          </m:sSub>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SA_index</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m:rPr>
                  <m:sty m:val="p"/>
                </m:rPr>
                <w:rPr>
                  <w:rFonts w:ascii="Cambria Math" w:hAnsi="Cambria Math" w:cs="Times New Roman"/>
                  <w:color w:val="000000" w:themeColor="text1"/>
                  <w:sz w:val="20"/>
                  <w:szCs w:val="20"/>
                  <w:lang w:val="en-US"/>
                </w:rPr>
                <m:t>4</m:t>
              </m:r>
            </m:sub>
          </m:sSub>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Corruption</m:t>
              </m:r>
            </m:e>
            <m:sub>
              <m:r>
                <m:rPr>
                  <m:sty m:val="p"/>
                </m:rPr>
                <w:rPr>
                  <w:rFonts w:ascii="Cambria Math" w:hAnsi="Cambria Math" w:cs="Times New Roman"/>
                  <w:color w:val="000000" w:themeColor="text1"/>
                  <w:sz w:val="20"/>
                  <w:szCs w:val="20"/>
                </w:rPr>
                <m:t>it</m:t>
              </m:r>
            </m:sub>
          </m:sSub>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w:rPr>
                      <w:rFonts w:ascii="Cambria Math" w:hAnsi="Cambria Math" w:cs="Times New Roman"/>
                      <w:color w:val="000000" w:themeColor="text1"/>
                      <w:sz w:val="20"/>
                      <w:szCs w:val="20"/>
                      <w:lang w:val="en-US"/>
                    </w:rPr>
                    <m:t>5</m:t>
                  </m:r>
                </m:sub>
              </m:sSub>
              <m:r>
                <m:rPr>
                  <m:sty m:val="p"/>
                </m:rPr>
                <w:rPr>
                  <w:rFonts w:ascii="Cambria Math" w:eastAsia="Calibri" w:hAnsi="Cambria Math" w:cs="Times New Roman"/>
                  <w:color w:val="000000" w:themeColor="text1"/>
                  <w:sz w:val="20"/>
                  <w:szCs w:val="20"/>
                </w:rPr>
                <m:t>Corruption*</m:t>
              </m:r>
              <m:sSub>
                <m:sSubPr>
                  <m:ctrlPr>
                    <w:rPr>
                      <w:rFonts w:ascii="Cambria Math" w:hAnsi="Cambria Math" w:cs="Times New Roman"/>
                      <w:iCs/>
                      <w:color w:val="000000" w:themeColor="text1"/>
                      <w:sz w:val="20"/>
                      <w:szCs w:val="20"/>
                    </w:rPr>
                  </m:ctrlPr>
                </m:sSubPr>
                <m:e>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inst</m:t>
                      </m:r>
                    </m:e>
                    <m:sub>
                      <m:r>
                        <m:rPr>
                          <m:sty m:val="p"/>
                        </m:rPr>
                        <w:rPr>
                          <w:rFonts w:ascii="Cambria Math" w:hAnsi="Cambria Math" w:cs="Times New Roman"/>
                          <w:color w:val="000000" w:themeColor="text1"/>
                          <w:sz w:val="20"/>
                          <w:szCs w:val="20"/>
                        </w:rPr>
                        <m:t>own</m:t>
                      </m:r>
                    </m:sub>
                  </m:sSub>
                </m:e>
                <m:sub>
                  <m:r>
                    <m:rPr>
                      <m:sty m:val="p"/>
                    </m:rPr>
                    <w:rPr>
                      <w:rFonts w:ascii="Cambria Math" w:hAnsi="Cambria Math" w:cs="Times New Roman"/>
                      <w:color w:val="000000" w:themeColor="text1"/>
                      <w:sz w:val="20"/>
                      <w:szCs w:val="20"/>
                    </w:rPr>
                    <m:t>it</m:t>
                  </m:r>
                </m:sub>
              </m:sSub>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w:rPr>
                      <w:rFonts w:ascii="Cambria Math" w:hAnsi="Cambria Math" w:cs="Times New Roman"/>
                      <w:color w:val="000000" w:themeColor="text1"/>
                      <w:sz w:val="20"/>
                      <w:szCs w:val="20"/>
                      <w:lang w:val="en-US"/>
                    </w:rPr>
                    <m:t>6</m:t>
                  </m:r>
                </m:sub>
              </m:sSub>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inst_own</m:t>
                  </m:r>
                </m:e>
                <m:sub>
                  <m:r>
                    <m:rPr>
                      <m:sty m:val="p"/>
                    </m:rPr>
                    <w:rPr>
                      <w:rFonts w:ascii="Cambria Math" w:hAnsi="Cambria Math" w:cs="Times New Roman"/>
                      <w:color w:val="000000" w:themeColor="text1"/>
                      <w:sz w:val="20"/>
                      <w:szCs w:val="20"/>
                    </w:rPr>
                    <m:t>it</m:t>
                  </m:r>
                </m:sub>
              </m:sSub>
              <m:r>
                <m:rPr>
                  <m:sty m:val="p"/>
                </m:rPr>
                <w:rPr>
                  <w:rFonts w:ascii="Cambria Math" w:eastAsia="Calibri" w:hAnsi="Cambria Math" w:cs="Times New Roman"/>
                  <w:color w:val="000000" w:themeColor="text1"/>
                  <w:sz w:val="20"/>
                  <w:szCs w:val="20"/>
                </w:rPr>
                <m:t>*</m:t>
              </m:r>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SA_index</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lang w:val="en-US"/>
                </w:rPr>
                <m:t>+β</m:t>
              </m:r>
            </m:e>
            <m:sub>
              <m:r>
                <w:rPr>
                  <w:rFonts w:ascii="Cambria Math" w:hAnsi="Cambria Math" w:cs="Times New Roman"/>
                  <w:color w:val="000000" w:themeColor="text1"/>
                  <w:sz w:val="20"/>
                  <w:szCs w:val="20"/>
                  <w:lang w:val="en-US"/>
                </w:rPr>
                <m:t>7</m:t>
              </m:r>
            </m:sub>
          </m:sSub>
          <m:r>
            <m:rPr>
              <m:sty m:val="p"/>
            </m:rPr>
            <w:rPr>
              <w:rFonts w:ascii="Cambria Math" w:eastAsia="Calibri" w:hAnsi="Cambria Math" w:cs="Times New Roman"/>
              <w:color w:val="000000" w:themeColor="text1"/>
              <w:sz w:val="20"/>
              <w:szCs w:val="20"/>
            </w:rPr>
            <m:t>Corruption*</m:t>
          </m:r>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inst_own</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rPr>
            <m:t>*</m:t>
          </m:r>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SA_index</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ε</m:t>
              </m:r>
            </m:e>
            <m:sub>
              <m:r>
                <m:rPr>
                  <m:sty m:val="p"/>
                </m:rPr>
                <w:rPr>
                  <w:rFonts w:ascii="Cambria Math" w:hAnsi="Cambria Math" w:cs="Times New Roman"/>
                  <w:color w:val="000000" w:themeColor="text1"/>
                  <w:sz w:val="20"/>
                  <w:szCs w:val="20"/>
                  <w:lang w:val="en-US"/>
                </w:rPr>
                <m:t>it</m:t>
              </m:r>
            </m:sub>
          </m:sSub>
        </m:oMath>
      </m:oMathPara>
    </w:p>
    <w:tbl>
      <w:tblPr>
        <w:tblStyle w:val="TableGrid"/>
        <w:tblW w:w="8926" w:type="dxa"/>
        <w:tblLook w:val="04A0" w:firstRow="1" w:lastRow="0" w:firstColumn="1" w:lastColumn="0" w:noHBand="0" w:noVBand="1"/>
      </w:tblPr>
      <w:tblGrid>
        <w:gridCol w:w="3962"/>
        <w:gridCol w:w="2554"/>
        <w:gridCol w:w="2410"/>
      </w:tblGrid>
      <w:tr w:rsidR="00BE65C7" w:rsidRPr="00BE65C7" w14:paraId="4413E5BD" w14:textId="77777777" w:rsidTr="009B5F15">
        <w:tc>
          <w:tcPr>
            <w:tcW w:w="3962" w:type="dxa"/>
          </w:tcPr>
          <w:p w14:paraId="19C30202" w14:textId="77777777" w:rsidR="00036F7B" w:rsidRPr="00BE65C7" w:rsidRDefault="00036F7B" w:rsidP="00C84EB1">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Variables</w:t>
            </w:r>
          </w:p>
        </w:tc>
        <w:tc>
          <w:tcPr>
            <w:tcW w:w="2554" w:type="dxa"/>
          </w:tcPr>
          <w:p w14:paraId="6930B87A" w14:textId="6AF5119C" w:rsidR="00036F7B" w:rsidRPr="00BE65C7" w:rsidRDefault="00036F7B"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Emerging</w:t>
            </w:r>
            <w:r w:rsidR="009B5F15">
              <w:rPr>
                <w:rFonts w:ascii="Times New Roman" w:hAnsi="Times New Roman" w:cs="Times New Roman"/>
                <w:color w:val="000000" w:themeColor="text1"/>
                <w:sz w:val="24"/>
                <w:szCs w:val="24"/>
              </w:rPr>
              <w:t xml:space="preserve"> Economies</w:t>
            </w:r>
          </w:p>
        </w:tc>
        <w:tc>
          <w:tcPr>
            <w:tcW w:w="2410" w:type="dxa"/>
          </w:tcPr>
          <w:p w14:paraId="6F07A037" w14:textId="7C10D084" w:rsidR="00036F7B" w:rsidRPr="00BE65C7" w:rsidRDefault="00036F7B"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Developed</w:t>
            </w:r>
            <w:r w:rsidR="009B5F15">
              <w:rPr>
                <w:rFonts w:ascii="Times New Roman" w:hAnsi="Times New Roman" w:cs="Times New Roman"/>
                <w:color w:val="000000" w:themeColor="text1"/>
                <w:sz w:val="24"/>
                <w:szCs w:val="24"/>
              </w:rPr>
              <w:t xml:space="preserve"> Countries</w:t>
            </w:r>
          </w:p>
        </w:tc>
      </w:tr>
      <w:tr w:rsidR="00BE65C7" w:rsidRPr="00BE65C7" w14:paraId="1B2CDCB5" w14:textId="77777777" w:rsidTr="009B5F15">
        <w:tc>
          <w:tcPr>
            <w:tcW w:w="3962" w:type="dxa"/>
          </w:tcPr>
          <w:p w14:paraId="6125003C" w14:textId="2A017CEA" w:rsidR="00E8785E" w:rsidRPr="00BE65C7" w:rsidRDefault="00E8785E" w:rsidP="00C84EB1">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constant</w:t>
            </w:r>
          </w:p>
        </w:tc>
        <w:tc>
          <w:tcPr>
            <w:tcW w:w="2554" w:type="dxa"/>
          </w:tcPr>
          <w:p w14:paraId="091D4E0F" w14:textId="26AACCCB" w:rsidR="00E8785E" w:rsidRPr="00BE65C7" w:rsidRDefault="00E8785E"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0.115</w:t>
            </w:r>
            <w:r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6386E412" w14:textId="509E9F4B" w:rsidR="00E8785E" w:rsidRPr="00BE65C7" w:rsidRDefault="00E8785E"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(0.042)</w:t>
            </w:r>
          </w:p>
        </w:tc>
        <w:tc>
          <w:tcPr>
            <w:tcW w:w="2410" w:type="dxa"/>
          </w:tcPr>
          <w:p w14:paraId="29DD34E5" w14:textId="097FE657" w:rsidR="00E8785E" w:rsidRPr="00BE65C7" w:rsidRDefault="00E8785E"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0.095</w:t>
            </w:r>
            <w:r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48E8846B" w14:textId="50FE264B" w:rsidR="00E8785E" w:rsidRPr="00BE65C7" w:rsidRDefault="00E8785E"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0B7D048F" w14:textId="77777777" w:rsidTr="009B5F15">
        <w:tc>
          <w:tcPr>
            <w:tcW w:w="3962" w:type="dxa"/>
          </w:tcPr>
          <w:p w14:paraId="38CDB7D4" w14:textId="47A108F3" w:rsidR="00CA5EA6" w:rsidRPr="00BE65C7" w:rsidRDefault="00000000" w:rsidP="00CA5EA6">
            <w:pPr>
              <w:spacing w:line="360" w:lineRule="auto"/>
              <w:jc w:val="center"/>
              <w:rPr>
                <w:rFonts w:ascii="Times New Roman" w:hAnsi="Times New Roman" w:cs="Times New Roman"/>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Cash</m:t>
                    </m:r>
                  </m:e>
                  <m:sub>
                    <m:r>
                      <m:rPr>
                        <m:sty m:val="p"/>
                      </m:rPr>
                      <w:rPr>
                        <w:rFonts w:ascii="Cambria Math" w:hAnsi="Cambria Math" w:cs="Times New Roman"/>
                        <w:color w:val="000000" w:themeColor="text1"/>
                        <w:sz w:val="24"/>
                        <w:szCs w:val="24"/>
                      </w:rPr>
                      <m:t>it-1</m:t>
                    </m:r>
                  </m:sub>
                </m:sSub>
              </m:oMath>
            </m:oMathPara>
          </w:p>
        </w:tc>
        <w:tc>
          <w:tcPr>
            <w:tcW w:w="2554" w:type="dxa"/>
          </w:tcPr>
          <w:p w14:paraId="5E506DFC" w14:textId="57FD406A" w:rsidR="00CA5EA6" w:rsidRPr="00BE65C7" w:rsidRDefault="00CA5EA6" w:rsidP="00CA5EA6">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       </w:t>
            </w:r>
            <w:r w:rsidR="00BD25BE">
              <w:rPr>
                <w:rFonts w:ascii="Times New Roman" w:hAnsi="Times New Roman" w:cs="Times New Roman"/>
                <w:color w:val="000000" w:themeColor="text1"/>
                <w:sz w:val="24"/>
                <w:szCs w:val="24"/>
              </w:rPr>
              <w:t xml:space="preserve">    </w:t>
            </w:r>
            <w:r w:rsidRPr="00BE65C7">
              <w:rPr>
                <w:rFonts w:ascii="Times New Roman" w:hAnsi="Times New Roman" w:cs="Times New Roman"/>
                <w:color w:val="000000" w:themeColor="text1"/>
                <w:sz w:val="24"/>
                <w:szCs w:val="24"/>
              </w:rPr>
              <w:t xml:space="preserve"> 0.172</w:t>
            </w:r>
            <w:r w:rsidRPr="00BE65C7">
              <w:rPr>
                <w:rFonts w:ascii="Times New Roman" w:hAnsi="Times New Roman" w:cs="Times New Roman"/>
                <w:color w:val="000000" w:themeColor="text1"/>
                <w:sz w:val="24"/>
                <w:szCs w:val="24"/>
                <w:vertAlign w:val="superscript"/>
              </w:rPr>
              <w:t>***</w:t>
            </w:r>
          </w:p>
          <w:p w14:paraId="47121F28" w14:textId="2B293502"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2410" w:type="dxa"/>
          </w:tcPr>
          <w:p w14:paraId="44EED1A6" w14:textId="43EEDDDF" w:rsidR="00CA5EA6" w:rsidRPr="00BE65C7" w:rsidRDefault="00CA5EA6" w:rsidP="00CA5EA6">
            <w:pPr>
              <w:jc w:val="both"/>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            0.098</w:t>
            </w:r>
            <w:r w:rsidRPr="00BE65C7">
              <w:rPr>
                <w:rFonts w:ascii="Times New Roman" w:hAnsi="Times New Roman" w:cs="Times New Roman"/>
                <w:color w:val="000000" w:themeColor="text1"/>
                <w:sz w:val="24"/>
                <w:szCs w:val="24"/>
                <w:vertAlign w:val="superscript"/>
              </w:rPr>
              <w:t>***</w:t>
            </w:r>
          </w:p>
          <w:p w14:paraId="1D42171A" w14:textId="4AB0940C"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52511E35" w14:textId="77777777" w:rsidTr="009B5F15">
        <w:tc>
          <w:tcPr>
            <w:tcW w:w="3962" w:type="dxa"/>
          </w:tcPr>
          <w:p w14:paraId="75C5B649" w14:textId="3A9263DD" w:rsidR="00CA5EA6" w:rsidRPr="00BE65C7" w:rsidRDefault="00000000" w:rsidP="00CA5EA6">
            <w:pPr>
              <w:spacing w:line="360" w:lineRule="auto"/>
              <w:jc w:val="both"/>
              <w:rPr>
                <w:rFonts w:ascii="Times New Roman" w:eastAsia="Calibri"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oMath>
            </m:oMathPara>
          </w:p>
        </w:tc>
        <w:tc>
          <w:tcPr>
            <w:tcW w:w="2554" w:type="dxa"/>
          </w:tcPr>
          <w:p w14:paraId="3CEF0AD3" w14:textId="0AB4435E"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-0.151</w:t>
            </w:r>
            <w:r w:rsidRPr="00BE65C7">
              <w:rPr>
                <w:rFonts w:ascii="Times New Roman" w:hAnsi="Times New Roman" w:cs="Times New Roman"/>
                <w:color w:val="000000" w:themeColor="text1"/>
                <w:sz w:val="24"/>
                <w:szCs w:val="24"/>
                <w:vertAlign w:val="superscript"/>
              </w:rPr>
              <w:t>***</w:t>
            </w:r>
          </w:p>
          <w:p w14:paraId="397F27AE" w14:textId="76164D2F"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2410" w:type="dxa"/>
          </w:tcPr>
          <w:p w14:paraId="44AC53BF" w14:textId="40892F20"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-0.083</w:t>
            </w:r>
            <w:r w:rsidRPr="00BE65C7">
              <w:rPr>
                <w:rFonts w:ascii="Times New Roman" w:hAnsi="Times New Roman" w:cs="Times New Roman"/>
                <w:color w:val="000000" w:themeColor="text1"/>
                <w:sz w:val="24"/>
                <w:szCs w:val="24"/>
                <w:vertAlign w:val="superscript"/>
              </w:rPr>
              <w:t>***</w:t>
            </w:r>
          </w:p>
          <w:p w14:paraId="2215B283" w14:textId="509C009B"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00BFA69A" w14:textId="77777777" w:rsidTr="009B5F15">
        <w:tc>
          <w:tcPr>
            <w:tcW w:w="3962" w:type="dxa"/>
          </w:tcPr>
          <w:p w14:paraId="0D00BA16" w14:textId="2711B426" w:rsidR="00CA5EA6" w:rsidRPr="00BE65C7" w:rsidRDefault="00000000" w:rsidP="00CA5EA6">
            <w:pPr>
              <w:spacing w:line="360" w:lineRule="auto"/>
              <w:jc w:val="both"/>
              <w:rPr>
                <w:rFonts w:ascii="Times New Roman" w:eastAsia="Calibri"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SA_index</m:t>
                    </m:r>
                  </m:e>
                  <m:sub>
                    <m:r>
                      <m:rPr>
                        <m:sty m:val="p"/>
                      </m:rPr>
                      <w:rPr>
                        <w:rFonts w:ascii="Cambria Math" w:hAnsi="Cambria Math" w:cs="Times New Roman"/>
                        <w:color w:val="000000" w:themeColor="text1"/>
                        <w:sz w:val="24"/>
                        <w:szCs w:val="24"/>
                      </w:rPr>
                      <m:t>it</m:t>
                    </m:r>
                  </m:sub>
                </m:sSub>
              </m:oMath>
            </m:oMathPara>
          </w:p>
        </w:tc>
        <w:tc>
          <w:tcPr>
            <w:tcW w:w="2554" w:type="dxa"/>
          </w:tcPr>
          <w:p w14:paraId="6FEFA7DE" w14:textId="69E1A2C5"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0.085</w:t>
            </w:r>
            <w:r w:rsidRPr="00BE65C7">
              <w:rPr>
                <w:rFonts w:ascii="Times New Roman" w:hAnsi="Times New Roman" w:cs="Times New Roman"/>
                <w:color w:val="000000" w:themeColor="text1"/>
                <w:sz w:val="24"/>
                <w:szCs w:val="24"/>
                <w:vertAlign w:val="superscript"/>
              </w:rPr>
              <w:t>***</w:t>
            </w:r>
          </w:p>
          <w:p w14:paraId="5807F399" w14:textId="77777777"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2410" w:type="dxa"/>
          </w:tcPr>
          <w:p w14:paraId="3D934EE3" w14:textId="102E544F"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0.066</w:t>
            </w:r>
            <w:r w:rsidRPr="00BE65C7">
              <w:rPr>
                <w:rFonts w:ascii="Times New Roman" w:hAnsi="Times New Roman" w:cs="Times New Roman"/>
                <w:color w:val="000000" w:themeColor="text1"/>
                <w:sz w:val="24"/>
                <w:szCs w:val="24"/>
                <w:vertAlign w:val="superscript"/>
              </w:rPr>
              <w:t>***</w:t>
            </w:r>
          </w:p>
          <w:p w14:paraId="57463653" w14:textId="77777777"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12FAE858" w14:textId="77777777" w:rsidTr="009B5F15">
        <w:tc>
          <w:tcPr>
            <w:tcW w:w="3962" w:type="dxa"/>
          </w:tcPr>
          <w:p w14:paraId="0A8B120E" w14:textId="73AC4993" w:rsidR="00CA5EA6" w:rsidRPr="00BE65C7" w:rsidRDefault="00CA5EA6" w:rsidP="00CA5EA6">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Corruption</w:t>
            </w:r>
          </w:p>
        </w:tc>
        <w:tc>
          <w:tcPr>
            <w:tcW w:w="2554" w:type="dxa"/>
          </w:tcPr>
          <w:p w14:paraId="7FA31C2A" w14:textId="5C650E06"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0.112</w:t>
            </w:r>
            <w:r w:rsidRPr="00BE65C7">
              <w:rPr>
                <w:rFonts w:ascii="Times New Roman" w:hAnsi="Times New Roman" w:cs="Times New Roman"/>
                <w:color w:val="000000" w:themeColor="text1"/>
                <w:sz w:val="24"/>
                <w:szCs w:val="24"/>
                <w:vertAlign w:val="superscript"/>
              </w:rPr>
              <w:t>***</w:t>
            </w:r>
          </w:p>
          <w:p w14:paraId="14404C39" w14:textId="02F293F4"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(0.005)</w:t>
            </w:r>
          </w:p>
        </w:tc>
        <w:tc>
          <w:tcPr>
            <w:tcW w:w="2410" w:type="dxa"/>
          </w:tcPr>
          <w:p w14:paraId="62DA2591" w14:textId="2BD7E648"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0.086</w:t>
            </w:r>
            <w:r w:rsidRPr="00BE65C7">
              <w:rPr>
                <w:rFonts w:ascii="Times New Roman" w:hAnsi="Times New Roman" w:cs="Times New Roman"/>
                <w:color w:val="000000" w:themeColor="text1"/>
                <w:sz w:val="24"/>
                <w:szCs w:val="24"/>
                <w:vertAlign w:val="superscript"/>
              </w:rPr>
              <w:t>***</w:t>
            </w:r>
          </w:p>
          <w:p w14:paraId="2FBBBF07" w14:textId="18B426FE"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0051FDFF" w14:textId="77777777" w:rsidTr="009B5F15">
        <w:tc>
          <w:tcPr>
            <w:tcW w:w="3962" w:type="dxa"/>
          </w:tcPr>
          <w:p w14:paraId="7CFF33CB" w14:textId="7E1F3A45" w:rsidR="00CA5EA6" w:rsidRPr="00BE65C7" w:rsidRDefault="00CA5EA6" w:rsidP="00CA5EA6">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Corruption*</w:t>
            </w:r>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oMath>
          </w:p>
        </w:tc>
        <w:tc>
          <w:tcPr>
            <w:tcW w:w="2554" w:type="dxa"/>
          </w:tcPr>
          <w:p w14:paraId="54FBB20A" w14:textId="55B537B0"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-0.0015</w:t>
            </w:r>
            <w:r w:rsidRPr="00BE65C7">
              <w:rPr>
                <w:rFonts w:ascii="Times New Roman" w:hAnsi="Times New Roman" w:cs="Times New Roman"/>
                <w:color w:val="000000" w:themeColor="text1"/>
                <w:sz w:val="24"/>
                <w:szCs w:val="24"/>
                <w:vertAlign w:val="superscript"/>
              </w:rPr>
              <w:t>***</w:t>
            </w:r>
          </w:p>
          <w:p w14:paraId="6572EDED" w14:textId="273FA680"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(0.017)</w:t>
            </w:r>
          </w:p>
        </w:tc>
        <w:tc>
          <w:tcPr>
            <w:tcW w:w="2410" w:type="dxa"/>
          </w:tcPr>
          <w:p w14:paraId="68A59A48" w14:textId="24262C89"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-0.0003</w:t>
            </w:r>
            <w:r w:rsidRPr="00BE65C7">
              <w:rPr>
                <w:rFonts w:ascii="Times New Roman" w:hAnsi="Times New Roman" w:cs="Times New Roman"/>
                <w:color w:val="000000" w:themeColor="text1"/>
                <w:sz w:val="24"/>
                <w:szCs w:val="24"/>
                <w:vertAlign w:val="superscript"/>
              </w:rPr>
              <w:t>***</w:t>
            </w:r>
          </w:p>
          <w:p w14:paraId="051E8E9E" w14:textId="029AAF65"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1CCB659D" w14:textId="77777777" w:rsidTr="009B5F15">
        <w:tc>
          <w:tcPr>
            <w:tcW w:w="3962" w:type="dxa"/>
          </w:tcPr>
          <w:p w14:paraId="31E805A1" w14:textId="4205EC1B" w:rsidR="00CA5EA6" w:rsidRPr="00BE65C7" w:rsidRDefault="00000000" w:rsidP="00CA5EA6">
            <w:pPr>
              <w:spacing w:line="360" w:lineRule="auto"/>
              <w:jc w:val="center"/>
              <w:rPr>
                <w:rFonts w:ascii="Times New Roman" w:eastAsia="Calibri"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r>
                  <m:rPr>
                    <m:sty m:val="p"/>
                  </m:rPr>
                  <w:rPr>
                    <w:rFonts w:ascii="Cambria Math" w:hAnsi="Cambria Math" w:cs="Times New Roman"/>
                    <w:color w:val="000000" w:themeColor="text1"/>
                    <w:sz w:val="24"/>
                    <w:szCs w:val="24"/>
                  </w:rPr>
                  <m:t>*</m:t>
                </m:r>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SA_index</m:t>
                    </m:r>
                  </m:e>
                  <m:sub>
                    <m:r>
                      <m:rPr>
                        <m:sty m:val="p"/>
                      </m:rPr>
                      <w:rPr>
                        <w:rFonts w:ascii="Cambria Math" w:hAnsi="Cambria Math" w:cs="Times New Roman"/>
                        <w:color w:val="000000" w:themeColor="text1"/>
                        <w:sz w:val="24"/>
                        <w:szCs w:val="24"/>
                      </w:rPr>
                      <m:t>it</m:t>
                    </m:r>
                  </m:sub>
                </m:sSub>
              </m:oMath>
            </m:oMathPara>
          </w:p>
        </w:tc>
        <w:tc>
          <w:tcPr>
            <w:tcW w:w="2554" w:type="dxa"/>
          </w:tcPr>
          <w:p w14:paraId="7FD0EEAE" w14:textId="3E674DB3"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0.011</w:t>
            </w:r>
            <w:r w:rsidRPr="00BE65C7">
              <w:rPr>
                <w:rFonts w:ascii="Times New Roman" w:hAnsi="Times New Roman" w:cs="Times New Roman"/>
                <w:color w:val="000000" w:themeColor="text1"/>
                <w:sz w:val="24"/>
                <w:szCs w:val="24"/>
                <w:vertAlign w:val="superscript"/>
              </w:rPr>
              <w:t>***</w:t>
            </w:r>
          </w:p>
          <w:p w14:paraId="2D2CB42D" w14:textId="0D617FAD"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(0.002)</w:t>
            </w:r>
          </w:p>
        </w:tc>
        <w:tc>
          <w:tcPr>
            <w:tcW w:w="2410" w:type="dxa"/>
          </w:tcPr>
          <w:p w14:paraId="706BCA10" w14:textId="1C1C9ADB"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-0.017</w:t>
            </w:r>
            <w:r w:rsidRPr="00BE65C7">
              <w:rPr>
                <w:rFonts w:ascii="Times New Roman" w:hAnsi="Times New Roman" w:cs="Times New Roman"/>
                <w:color w:val="000000" w:themeColor="text1"/>
                <w:sz w:val="24"/>
                <w:szCs w:val="24"/>
                <w:vertAlign w:val="superscript"/>
              </w:rPr>
              <w:t>***</w:t>
            </w:r>
          </w:p>
          <w:p w14:paraId="2708EF27" w14:textId="7233CD2F"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2CD80EDA" w14:textId="77777777" w:rsidTr="009B5F15">
        <w:tc>
          <w:tcPr>
            <w:tcW w:w="3962" w:type="dxa"/>
          </w:tcPr>
          <w:p w14:paraId="0AE5F079" w14:textId="6F4EC23E" w:rsidR="00CA5EA6" w:rsidRPr="00BE65C7" w:rsidRDefault="00CA5EA6" w:rsidP="00CA5EA6">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Corruption*</w:t>
            </w:r>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r>
                <m:rPr>
                  <m:sty m:val="p"/>
                </m:rPr>
                <w:rPr>
                  <w:rFonts w:ascii="Cambria Math" w:hAnsi="Cambria Math" w:cs="Times New Roman"/>
                  <w:color w:val="000000" w:themeColor="text1"/>
                  <w:sz w:val="24"/>
                  <w:szCs w:val="24"/>
                </w:rPr>
                <m:t>*</m:t>
              </m:r>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SA_index</m:t>
                  </m:r>
                </m:e>
                <m:sub>
                  <m:r>
                    <m:rPr>
                      <m:sty m:val="p"/>
                    </m:rPr>
                    <w:rPr>
                      <w:rFonts w:ascii="Cambria Math" w:hAnsi="Cambria Math" w:cs="Times New Roman"/>
                      <w:color w:val="000000" w:themeColor="text1"/>
                      <w:sz w:val="24"/>
                      <w:szCs w:val="24"/>
                    </w:rPr>
                    <m:t>it</m:t>
                  </m:r>
                </m:sub>
              </m:sSub>
            </m:oMath>
          </w:p>
        </w:tc>
        <w:tc>
          <w:tcPr>
            <w:tcW w:w="2554" w:type="dxa"/>
          </w:tcPr>
          <w:p w14:paraId="0A59BC41" w14:textId="106D7A56"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0.041</w:t>
            </w:r>
            <w:r w:rsidRPr="00BE65C7">
              <w:rPr>
                <w:rFonts w:ascii="Times New Roman" w:hAnsi="Times New Roman" w:cs="Times New Roman"/>
                <w:color w:val="000000" w:themeColor="text1"/>
                <w:sz w:val="24"/>
                <w:szCs w:val="24"/>
                <w:vertAlign w:val="superscript"/>
              </w:rPr>
              <w:t>***</w:t>
            </w:r>
          </w:p>
          <w:p w14:paraId="32470FED" w14:textId="0AAC5E28"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2410" w:type="dxa"/>
          </w:tcPr>
          <w:p w14:paraId="44794917" w14:textId="77777777"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0.008</w:t>
            </w:r>
            <w:r w:rsidRPr="00BE65C7">
              <w:rPr>
                <w:rFonts w:ascii="Times New Roman" w:hAnsi="Times New Roman" w:cs="Times New Roman"/>
                <w:color w:val="000000" w:themeColor="text1"/>
                <w:sz w:val="24"/>
                <w:szCs w:val="24"/>
                <w:vertAlign w:val="superscript"/>
              </w:rPr>
              <w:t>**</w:t>
            </w:r>
          </w:p>
          <w:p w14:paraId="45EDACB8" w14:textId="36A78335" w:rsidR="00CA5EA6" w:rsidRPr="00BE65C7" w:rsidRDefault="00CA5EA6" w:rsidP="00CA5EA6">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578740B2" w14:textId="77777777" w:rsidTr="009B5F15">
        <w:tc>
          <w:tcPr>
            <w:tcW w:w="3962" w:type="dxa"/>
          </w:tcPr>
          <w:p w14:paraId="21AABC29" w14:textId="70DB9097" w:rsidR="00CA5EA6" w:rsidRPr="00BE65C7" w:rsidRDefault="00CA5EA6" w:rsidP="00CA5EA6">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Controls</w:t>
            </w:r>
          </w:p>
        </w:tc>
        <w:tc>
          <w:tcPr>
            <w:tcW w:w="2554" w:type="dxa"/>
          </w:tcPr>
          <w:p w14:paraId="2E0140FF" w14:textId="7C712D4B"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410" w:type="dxa"/>
          </w:tcPr>
          <w:p w14:paraId="012730C9" w14:textId="740032E8"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0AC5C2C9" w14:textId="77777777" w:rsidTr="009B5F15">
        <w:tc>
          <w:tcPr>
            <w:tcW w:w="3962" w:type="dxa"/>
          </w:tcPr>
          <w:p w14:paraId="209D52C4" w14:textId="47168E29" w:rsidR="00CA5EA6" w:rsidRPr="00BE65C7" w:rsidRDefault="00CA5EA6" w:rsidP="00CA5EA6">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Country FE</w:t>
            </w:r>
          </w:p>
        </w:tc>
        <w:tc>
          <w:tcPr>
            <w:tcW w:w="2554" w:type="dxa"/>
          </w:tcPr>
          <w:p w14:paraId="4E7CED9D" w14:textId="78BACE7C"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410" w:type="dxa"/>
          </w:tcPr>
          <w:p w14:paraId="29B473A8" w14:textId="319072D1"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7910F2E3" w14:textId="77777777" w:rsidTr="009B5F15">
        <w:tc>
          <w:tcPr>
            <w:tcW w:w="3962" w:type="dxa"/>
          </w:tcPr>
          <w:p w14:paraId="57D79637" w14:textId="519BEB4C" w:rsidR="00CA5EA6" w:rsidRPr="00BE65C7" w:rsidRDefault="00CA5EA6" w:rsidP="00CA5EA6">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Firm FE</w:t>
            </w:r>
          </w:p>
        </w:tc>
        <w:tc>
          <w:tcPr>
            <w:tcW w:w="2554" w:type="dxa"/>
          </w:tcPr>
          <w:p w14:paraId="04AAA4CF" w14:textId="39ECB747"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410" w:type="dxa"/>
          </w:tcPr>
          <w:p w14:paraId="21815119" w14:textId="493FE809"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5B957C0A" w14:textId="77777777" w:rsidTr="009B5F15">
        <w:tc>
          <w:tcPr>
            <w:tcW w:w="3962" w:type="dxa"/>
          </w:tcPr>
          <w:p w14:paraId="4206F89F" w14:textId="3A198CE3" w:rsidR="00CA5EA6" w:rsidRPr="00BE65C7" w:rsidRDefault="00CA5EA6" w:rsidP="00CA5EA6">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Year FE</w:t>
            </w:r>
          </w:p>
        </w:tc>
        <w:tc>
          <w:tcPr>
            <w:tcW w:w="2554" w:type="dxa"/>
          </w:tcPr>
          <w:p w14:paraId="207CCB99" w14:textId="05543124"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410" w:type="dxa"/>
          </w:tcPr>
          <w:p w14:paraId="6E9B6C45" w14:textId="09EDE34F"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58F81D94" w14:textId="77777777" w:rsidTr="009B5F15">
        <w:tc>
          <w:tcPr>
            <w:tcW w:w="3962" w:type="dxa"/>
          </w:tcPr>
          <w:p w14:paraId="347A37C1" w14:textId="77777777" w:rsidR="00CA5EA6" w:rsidRPr="00BE65C7" w:rsidRDefault="00CA5EA6" w:rsidP="00CA5EA6">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Obs.</w:t>
            </w:r>
          </w:p>
        </w:tc>
        <w:tc>
          <w:tcPr>
            <w:tcW w:w="2554" w:type="dxa"/>
          </w:tcPr>
          <w:p w14:paraId="4FB9B244" w14:textId="77777777"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165635</w:t>
            </w:r>
          </w:p>
        </w:tc>
        <w:tc>
          <w:tcPr>
            <w:tcW w:w="2410" w:type="dxa"/>
          </w:tcPr>
          <w:p w14:paraId="5E441DE1" w14:textId="77777777"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183516</w:t>
            </w:r>
          </w:p>
        </w:tc>
      </w:tr>
      <w:tr w:rsidR="00BE65C7" w:rsidRPr="00BE65C7" w14:paraId="23F1289F" w14:textId="77777777" w:rsidTr="009B5F15">
        <w:tc>
          <w:tcPr>
            <w:tcW w:w="3962" w:type="dxa"/>
          </w:tcPr>
          <w:p w14:paraId="41938D4F" w14:textId="77777777" w:rsidR="00CA5EA6" w:rsidRPr="00BE65C7" w:rsidRDefault="00CA5EA6" w:rsidP="00CA5EA6">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Adj R</w:t>
            </w:r>
            <w:r w:rsidRPr="00BE65C7">
              <w:rPr>
                <w:rFonts w:ascii="Times New Roman" w:eastAsia="Calibri" w:hAnsi="Times New Roman" w:cs="Times New Roman"/>
                <w:color w:val="000000" w:themeColor="text1"/>
                <w:sz w:val="24"/>
                <w:szCs w:val="24"/>
                <w:vertAlign w:val="superscript"/>
              </w:rPr>
              <w:t>2</w:t>
            </w:r>
          </w:p>
        </w:tc>
        <w:tc>
          <w:tcPr>
            <w:tcW w:w="2554" w:type="dxa"/>
          </w:tcPr>
          <w:p w14:paraId="54A0E1AB" w14:textId="392F959F"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0.455</w:t>
            </w:r>
          </w:p>
        </w:tc>
        <w:tc>
          <w:tcPr>
            <w:tcW w:w="2410" w:type="dxa"/>
          </w:tcPr>
          <w:p w14:paraId="49AB5DB5" w14:textId="4EEEC1FF" w:rsidR="00CA5EA6" w:rsidRPr="00BE65C7" w:rsidRDefault="00CA5EA6" w:rsidP="00CA5EA6">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0.378</w:t>
            </w:r>
          </w:p>
        </w:tc>
      </w:tr>
    </w:tbl>
    <w:p w14:paraId="5EA0D26C" w14:textId="1CCC6631" w:rsidR="00AF140E" w:rsidRPr="008E1D7F" w:rsidRDefault="00DB450A" w:rsidP="00AF140E">
      <w:pPr>
        <w:spacing w:after="0" w:line="240" w:lineRule="auto"/>
        <w:jc w:val="both"/>
        <w:rPr>
          <w:rFonts w:ascii="Times New Roman" w:hAnsi="Times New Roman" w:cs="Times New Roman"/>
          <w:color w:val="000000" w:themeColor="text1"/>
          <w:sz w:val="18"/>
          <w:szCs w:val="24"/>
          <w:lang w:val="en-US"/>
        </w:rPr>
      </w:pPr>
      <w:r w:rsidRPr="00260834">
        <w:rPr>
          <w:rFonts w:ascii="Times New Roman" w:hAnsi="Times New Roman" w:cs="Times New Roman"/>
          <w:b/>
          <w:bCs/>
          <w:color w:val="000000" w:themeColor="text1"/>
          <w:sz w:val="20"/>
          <w:szCs w:val="20"/>
          <w:lang w:val="en-US"/>
        </w:rPr>
        <w:t>Note</w:t>
      </w:r>
      <w:r w:rsidRPr="00260834">
        <w:rPr>
          <w:rFonts w:ascii="Times New Roman" w:hAnsi="Times New Roman" w:cs="Times New Roman"/>
          <w:color w:val="000000" w:themeColor="text1"/>
          <w:sz w:val="20"/>
          <w:szCs w:val="20"/>
          <w:lang w:val="en-US"/>
        </w:rPr>
        <w:t xml:space="preserve">: ***: Significant at 1%; **: Significant at 5%, and *: Significant at 10% levels. The figures in parentheses are the </w:t>
      </w:r>
      <w:r w:rsidR="00E42A4C" w:rsidRPr="00260834">
        <w:rPr>
          <w:rFonts w:ascii="Times New Roman" w:hAnsi="Times New Roman" w:cs="Times New Roman"/>
          <w:color w:val="000000" w:themeColor="text1"/>
          <w:sz w:val="20"/>
          <w:szCs w:val="20"/>
          <w:lang w:val="en-US"/>
        </w:rPr>
        <w:t xml:space="preserve">HAC </w:t>
      </w:r>
      <w:r w:rsidRPr="00260834">
        <w:rPr>
          <w:rFonts w:ascii="Times New Roman" w:hAnsi="Times New Roman" w:cs="Times New Roman"/>
          <w:color w:val="000000" w:themeColor="text1"/>
          <w:sz w:val="20"/>
          <w:szCs w:val="20"/>
          <w:lang w:val="en-US"/>
        </w:rPr>
        <w:t>standard errors.</w:t>
      </w:r>
      <w:r w:rsidR="003676B7">
        <w:rPr>
          <w:rFonts w:ascii="Times New Roman" w:hAnsi="Times New Roman" w:cs="Times New Roman"/>
          <w:color w:val="000000" w:themeColor="text1"/>
          <w:sz w:val="20"/>
          <w:szCs w:val="20"/>
          <w:lang w:val="en-US"/>
        </w:rPr>
        <w:t xml:space="preserve"> </w:t>
      </w:r>
      <w:r w:rsidR="003676B7" w:rsidRPr="002672B3">
        <w:rPr>
          <w:rFonts w:ascii="Times New Roman" w:hAnsi="Times New Roman" w:cs="Times New Roman"/>
          <w:i/>
          <w:color w:val="000000" w:themeColor="text1"/>
          <w:sz w:val="18"/>
          <w:szCs w:val="24"/>
          <w:lang w:val="en-US"/>
        </w:rPr>
        <w:t>Cash</w:t>
      </w:r>
      <w:r w:rsidR="003676B7">
        <w:rPr>
          <w:rFonts w:ascii="Times New Roman" w:hAnsi="Times New Roman" w:cs="Times New Roman"/>
          <w:color w:val="000000" w:themeColor="text1"/>
          <w:sz w:val="18"/>
          <w:szCs w:val="24"/>
          <w:lang w:val="en-US"/>
        </w:rPr>
        <w:t xml:space="preserve"> is defined as cash and cash equivalents divided by net total assets</w:t>
      </w:r>
      <w:r w:rsidR="003676B7">
        <w:rPr>
          <w:rFonts w:ascii="Times New Roman" w:eastAsia="Calibri" w:hAnsi="Times New Roman" w:cs="Times New Roman"/>
          <w:color w:val="000000" w:themeColor="text1"/>
          <w:sz w:val="18"/>
          <w:szCs w:val="18"/>
        </w:rPr>
        <w:t xml:space="preserve"> </w:t>
      </w:r>
      <w:r w:rsidR="003676B7">
        <w:rPr>
          <w:rFonts w:ascii="Times New Roman" w:hAnsi="Times New Roman" w:cs="Times New Roman"/>
          <w:color w:val="000000" w:themeColor="text1"/>
          <w:sz w:val="18"/>
          <w:szCs w:val="24"/>
          <w:lang w:val="en-US"/>
        </w:rPr>
        <w:t xml:space="preserve">(total assets less cash and cash equivalents). Controls include </w:t>
      </w:r>
      <w:r w:rsidR="003676B7">
        <w:rPr>
          <w:rFonts w:ascii="Times New Roman" w:hAnsi="Times New Roman" w:cs="Times New Roman"/>
          <w:i/>
          <w:color w:val="000000" w:themeColor="text1"/>
          <w:sz w:val="18"/>
          <w:szCs w:val="24"/>
          <w:lang w:val="en-US"/>
        </w:rPr>
        <w:t>NWC</w:t>
      </w:r>
      <w:r w:rsidR="003676B7">
        <w:rPr>
          <w:rFonts w:ascii="Times New Roman" w:hAnsi="Times New Roman" w:cs="Times New Roman"/>
          <w:color w:val="000000" w:themeColor="text1"/>
          <w:sz w:val="18"/>
          <w:szCs w:val="24"/>
          <w:lang w:val="en-US"/>
        </w:rPr>
        <w:t xml:space="preserve">, </w:t>
      </w:r>
      <w:r w:rsidR="003676B7">
        <w:rPr>
          <w:rFonts w:ascii="Times New Roman" w:hAnsi="Times New Roman" w:cs="Times New Roman"/>
          <w:i/>
          <w:color w:val="000000" w:themeColor="text1"/>
          <w:sz w:val="18"/>
          <w:szCs w:val="24"/>
          <w:lang w:val="en-US"/>
        </w:rPr>
        <w:t>PPE</w:t>
      </w:r>
      <w:r w:rsidR="003676B7">
        <w:rPr>
          <w:rFonts w:ascii="Times New Roman" w:hAnsi="Times New Roman" w:cs="Times New Roman"/>
          <w:color w:val="000000" w:themeColor="text1"/>
          <w:sz w:val="18"/>
          <w:szCs w:val="24"/>
          <w:lang w:val="en-US"/>
        </w:rPr>
        <w:t xml:space="preserve">, </w:t>
      </w:r>
      <w:r w:rsidR="003676B7">
        <w:rPr>
          <w:rFonts w:ascii="Times New Roman" w:hAnsi="Times New Roman" w:cs="Times New Roman"/>
          <w:i/>
          <w:color w:val="000000" w:themeColor="text1"/>
          <w:sz w:val="18"/>
          <w:szCs w:val="24"/>
          <w:lang w:val="en-US"/>
        </w:rPr>
        <w:t>R&amp;D</w:t>
      </w:r>
      <w:r w:rsidR="003676B7">
        <w:rPr>
          <w:rFonts w:ascii="Times New Roman" w:hAnsi="Times New Roman" w:cs="Times New Roman"/>
          <w:color w:val="000000" w:themeColor="text1"/>
          <w:sz w:val="18"/>
          <w:szCs w:val="24"/>
          <w:lang w:val="en-US"/>
        </w:rPr>
        <w:t xml:space="preserve"> is R&amp;D and </w:t>
      </w:r>
      <w:r w:rsidR="003676B7">
        <w:rPr>
          <w:rFonts w:ascii="Times New Roman" w:hAnsi="Times New Roman" w:cs="Times New Roman"/>
          <w:i/>
          <w:color w:val="000000" w:themeColor="text1"/>
          <w:sz w:val="18"/>
          <w:szCs w:val="24"/>
          <w:lang w:val="en-US"/>
        </w:rPr>
        <w:t>Leverage</w:t>
      </w:r>
      <w:r w:rsidR="00AF140E">
        <w:rPr>
          <w:rFonts w:ascii="Times New Roman" w:hAnsi="Times New Roman" w:cs="Times New Roman"/>
          <w:color w:val="000000" w:themeColor="text1"/>
          <w:sz w:val="18"/>
          <w:szCs w:val="24"/>
          <w:lang w:val="en-US"/>
        </w:rPr>
        <w:t xml:space="preserve">. </w:t>
      </w:r>
      <w:proofErr w:type="spellStart"/>
      <w:r w:rsidR="00AF140E">
        <w:rPr>
          <w:rFonts w:ascii="Times New Roman" w:eastAsia="Calibri" w:hAnsi="Times New Roman" w:cs="Times New Roman"/>
          <w:i/>
          <w:color w:val="000000" w:themeColor="text1"/>
          <w:sz w:val="18"/>
          <w:szCs w:val="18"/>
        </w:rPr>
        <w:t>Ins_Own</w:t>
      </w:r>
      <w:proofErr w:type="spellEnd"/>
      <w:r w:rsidR="00AF140E">
        <w:rPr>
          <w:rFonts w:ascii="Times New Roman" w:eastAsia="Calibri" w:hAnsi="Times New Roman" w:cs="Times New Roman"/>
          <w:color w:val="000000" w:themeColor="text1"/>
          <w:sz w:val="18"/>
          <w:szCs w:val="18"/>
        </w:rPr>
        <w:t xml:space="preserve"> is the institutional investments (in USD million) divided by last year market value of equity. </w:t>
      </w:r>
      <w:proofErr w:type="spellStart"/>
      <w:r w:rsidR="00AF140E">
        <w:rPr>
          <w:rFonts w:ascii="Times New Roman" w:eastAsia="Calibri" w:hAnsi="Times New Roman" w:cs="Times New Roman"/>
          <w:i/>
          <w:color w:val="000000" w:themeColor="text1"/>
          <w:sz w:val="18"/>
          <w:szCs w:val="18"/>
        </w:rPr>
        <w:t>SA_index</w:t>
      </w:r>
      <w:proofErr w:type="spellEnd"/>
      <w:r w:rsidR="00AF140E">
        <w:rPr>
          <w:rFonts w:ascii="Times New Roman" w:eastAsia="Calibri" w:hAnsi="Times New Roman" w:cs="Times New Roman"/>
          <w:color w:val="000000" w:themeColor="text1"/>
          <w:sz w:val="18"/>
          <w:szCs w:val="18"/>
        </w:rPr>
        <w:t xml:space="preserve"> is the measure of financial constraint following </w:t>
      </w:r>
      <w:sdt>
        <w:sdtPr>
          <w:rPr>
            <w:rFonts w:ascii="Times New Roman" w:eastAsia="Calibri" w:hAnsi="Times New Roman" w:cs="Times New Roman"/>
            <w:color w:val="000000" w:themeColor="text1"/>
            <w:sz w:val="24"/>
            <w:szCs w:val="24"/>
          </w:rPr>
          <w:alias w:val="To edit, see citavi.com/edit"/>
          <w:tag w:val="CitaviPlaceholder#b7f93622-3fab-4cb5-a75f-c52864e1d4fd"/>
          <w:id w:val="-1467503864"/>
          <w:placeholder>
            <w:docPart w:val="7CC1848BFCB14AC088EA69CE3E89A48A"/>
          </w:placeholder>
        </w:sdtPr>
        <w:sdtContent>
          <w:r w:rsidR="00AF140E" w:rsidRPr="008E1D7F">
            <w:rPr>
              <w:rFonts w:ascii="Times New Roman" w:eastAsia="Calibri" w:hAnsi="Times New Roman" w:cs="Times New Roman"/>
              <w:noProof/>
              <w:color w:val="000000" w:themeColor="text1"/>
              <w:sz w:val="18"/>
              <w:szCs w:val="18"/>
            </w:rPr>
            <w:fldChar w:fldCharType="begin"/>
          </w:r>
          <w:r w:rsidR="00AF140E" w:rsidRPr="008E1D7F">
            <w:rPr>
              <w:rFonts w:ascii="Times New Roman" w:eastAsia="Calibri" w:hAnsi="Times New Roman" w:cs="Times New Roman"/>
              <w:noProof/>
              <w:color w:val="000000" w:themeColor="text1"/>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lYmVjZDBhLTUyMzMtNGFmZS05MjUyLTU2YzZkZjc0NTFiZiIsIlJhbmdlTGVuZ3RoIjozOSwiUmVmZXJlbmNlSWQiOiJiMWM1MjNlZS0zMGJhLTQ2NDYtYjA1NC04OTU2YTVjNDgzMz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IYWRsb2NrLCBDLkouLCBhbmQgUGllcmNlLCBKLlIuIiwiUHJvdGVjdGVkIjpmYWxzZSwiU2V4IjowLCJDcmVhdGVkQnkiOiJfU2FudGFudSBEYXMiLCJDcmVhdGVkT24iOiIyMDIxLTA3LTI3VDA3OjI1OjU5WiIsIk1vZGlmaWVkQnkiOiJfU2FudGFudSBEYXMiLCJJZCI6IjU4N2VkZTViLTVlYjYtNGZkNi1iOTU4LTk5NGRlNTMxNWY0ZiIsIk1vZGlmaWVkT24iOiIyMDIxLTA3LTI3VDA3OjI1OjU5W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}</w:instrText>
          </w:r>
          <w:r w:rsidR="00AF140E" w:rsidRPr="008E1D7F">
            <w:rPr>
              <w:rFonts w:ascii="Times New Roman" w:eastAsia="Calibri" w:hAnsi="Times New Roman" w:cs="Times New Roman"/>
              <w:noProof/>
              <w:color w:val="000000" w:themeColor="text1"/>
              <w:sz w:val="18"/>
              <w:szCs w:val="18"/>
            </w:rPr>
            <w:fldChar w:fldCharType="separate"/>
          </w:r>
          <w:r w:rsidR="00AF140E" w:rsidRPr="008E1D7F">
            <w:rPr>
              <w:rFonts w:ascii="Times New Roman" w:eastAsia="Calibri" w:hAnsi="Times New Roman" w:cs="Times New Roman"/>
              <w:noProof/>
              <w:color w:val="000000" w:themeColor="text1"/>
              <w:sz w:val="18"/>
              <w:szCs w:val="18"/>
            </w:rPr>
            <w:t>Hadlock and Pierce (2010</w:t>
          </w:r>
          <w:r w:rsidR="00AF140E" w:rsidRPr="008E1D7F">
            <w:rPr>
              <w:rFonts w:ascii="Times New Roman" w:eastAsia="Calibri" w:hAnsi="Times New Roman" w:cs="Times New Roman"/>
              <w:noProof/>
              <w:color w:val="000000" w:themeColor="text1"/>
              <w:sz w:val="18"/>
              <w:szCs w:val="18"/>
            </w:rPr>
            <w:fldChar w:fldCharType="end"/>
          </w:r>
          <w:r w:rsidR="00AF140E" w:rsidRPr="008E1D7F">
            <w:rPr>
              <w:rFonts w:ascii="Times New Roman" w:eastAsia="Calibri" w:hAnsi="Times New Roman" w:cs="Times New Roman"/>
              <w:noProof/>
              <w:color w:val="000000" w:themeColor="text1"/>
              <w:sz w:val="18"/>
              <w:szCs w:val="18"/>
            </w:rPr>
            <w:t>)</w:t>
          </w:r>
          <w:r w:rsidR="00AF140E">
            <w:rPr>
              <w:rFonts w:ascii="Times New Roman" w:eastAsia="Calibri" w:hAnsi="Times New Roman" w:cs="Times New Roman"/>
              <w:noProof/>
              <w:color w:val="000000" w:themeColor="text1"/>
              <w:sz w:val="18"/>
              <w:szCs w:val="18"/>
            </w:rPr>
            <w:t xml:space="preserve">. </w:t>
          </w:r>
        </w:sdtContent>
      </w:sdt>
      <w:r w:rsidR="00AF140E" w:rsidRPr="00AF140E">
        <w:rPr>
          <w:rFonts w:ascii="Times New Roman" w:hAnsi="Times New Roman" w:cs="Times New Roman"/>
          <w:i/>
          <w:color w:val="000000" w:themeColor="text1"/>
          <w:sz w:val="18"/>
          <w:szCs w:val="24"/>
          <w:lang w:val="en-US"/>
        </w:rPr>
        <w:t xml:space="preserve"> </w:t>
      </w:r>
      <w:r w:rsidR="00AF140E">
        <w:rPr>
          <w:rFonts w:ascii="Times New Roman" w:hAnsi="Times New Roman" w:cs="Times New Roman"/>
          <w:i/>
          <w:color w:val="000000" w:themeColor="text1"/>
          <w:sz w:val="18"/>
          <w:szCs w:val="24"/>
          <w:lang w:val="en-US"/>
        </w:rPr>
        <w:t>Corruption</w:t>
      </w:r>
      <w:r w:rsidR="00AF140E">
        <w:rPr>
          <w:rFonts w:ascii="Times New Roman" w:hAnsi="Times New Roman" w:cs="Times New Roman"/>
          <w:color w:val="000000" w:themeColor="text1"/>
          <w:sz w:val="18"/>
          <w:szCs w:val="24"/>
          <w:lang w:val="en-US"/>
        </w:rPr>
        <w:t xml:space="preserve"> is </w:t>
      </w:r>
      <w:r w:rsidR="00AF140E" w:rsidRPr="00472F28">
        <w:rPr>
          <w:rFonts w:ascii="Times New Roman" w:eastAsia="Calibri" w:hAnsi="Times New Roman" w:cs="Times New Roman"/>
          <w:color w:val="000000" w:themeColor="text1"/>
          <w:sz w:val="18"/>
          <w:szCs w:val="18"/>
        </w:rPr>
        <w:t>Control of corruption index ranges from -2.5 (Most corrupt) to +2.5 (least corrupt)</w:t>
      </w:r>
      <w:r w:rsidR="00AF140E">
        <w:rPr>
          <w:rFonts w:ascii="Times New Roman" w:eastAsia="Calibri" w:hAnsi="Times New Roman" w:cs="Times New Roman"/>
          <w:color w:val="000000" w:themeColor="text1"/>
          <w:sz w:val="18"/>
          <w:szCs w:val="18"/>
        </w:rPr>
        <w:t>.</w:t>
      </w:r>
    </w:p>
    <w:p w14:paraId="41131FF0" w14:textId="1BC53377" w:rsidR="00DB450A" w:rsidRPr="00260834" w:rsidRDefault="00DB450A" w:rsidP="003676B7">
      <w:pPr>
        <w:spacing w:after="0" w:line="240" w:lineRule="auto"/>
        <w:jc w:val="both"/>
        <w:rPr>
          <w:rFonts w:ascii="Times New Roman" w:hAnsi="Times New Roman" w:cs="Times New Roman"/>
          <w:color w:val="000000" w:themeColor="text1"/>
          <w:sz w:val="20"/>
          <w:szCs w:val="20"/>
          <w:lang w:val="en-US"/>
        </w:rPr>
      </w:pPr>
    </w:p>
    <w:p w14:paraId="67F03ABB" w14:textId="15BD2138" w:rsidR="00DB450A" w:rsidRPr="00BE65C7" w:rsidRDefault="00DB450A" w:rsidP="00DB450A">
      <w:pPr>
        <w:spacing w:line="360" w:lineRule="auto"/>
        <w:jc w:val="both"/>
        <w:rPr>
          <w:rFonts w:ascii="Times New Roman" w:hAnsi="Times New Roman" w:cs="Times New Roman"/>
          <w:color w:val="000000" w:themeColor="text1"/>
          <w:sz w:val="24"/>
          <w:szCs w:val="24"/>
          <w:lang w:val="en-US"/>
        </w:rPr>
      </w:pPr>
    </w:p>
    <w:p w14:paraId="4DDAE08B" w14:textId="77777777" w:rsidR="00036F7B" w:rsidRPr="00BE65C7" w:rsidRDefault="00036F7B" w:rsidP="008F2F72">
      <w:pPr>
        <w:spacing w:line="360" w:lineRule="auto"/>
        <w:jc w:val="both"/>
        <w:rPr>
          <w:rFonts w:ascii="Times New Roman" w:hAnsi="Times New Roman" w:cs="Times New Roman"/>
          <w:color w:val="000000" w:themeColor="text1"/>
          <w:sz w:val="24"/>
          <w:szCs w:val="24"/>
          <w:lang w:val="en-US"/>
        </w:rPr>
      </w:pPr>
    </w:p>
    <w:p w14:paraId="5B6CC6E8" w14:textId="77777777" w:rsidR="00562E8D" w:rsidRPr="00BE65C7" w:rsidRDefault="00562E8D" w:rsidP="00036F7B">
      <w:pPr>
        <w:spacing w:line="360" w:lineRule="auto"/>
        <w:jc w:val="center"/>
        <w:rPr>
          <w:rFonts w:ascii="Times New Roman" w:hAnsi="Times New Roman" w:cs="Times New Roman"/>
          <w:color w:val="000000" w:themeColor="text1"/>
          <w:sz w:val="24"/>
          <w:szCs w:val="24"/>
          <w:lang w:val="en-US"/>
        </w:rPr>
      </w:pPr>
    </w:p>
    <w:p w14:paraId="61F93E4C" w14:textId="77777777" w:rsidR="00562E8D" w:rsidRPr="00BE65C7" w:rsidRDefault="00562E8D" w:rsidP="00036F7B">
      <w:pPr>
        <w:spacing w:line="360" w:lineRule="auto"/>
        <w:jc w:val="center"/>
        <w:rPr>
          <w:rFonts w:ascii="Times New Roman" w:hAnsi="Times New Roman" w:cs="Times New Roman"/>
          <w:color w:val="000000" w:themeColor="text1"/>
          <w:sz w:val="24"/>
          <w:szCs w:val="24"/>
          <w:lang w:val="en-US"/>
        </w:rPr>
      </w:pPr>
    </w:p>
    <w:p w14:paraId="3EFE929A" w14:textId="77777777" w:rsidR="00562E8D" w:rsidRPr="00BE65C7" w:rsidRDefault="00562E8D" w:rsidP="00036F7B">
      <w:pPr>
        <w:spacing w:line="360" w:lineRule="auto"/>
        <w:jc w:val="center"/>
        <w:rPr>
          <w:rFonts w:ascii="Times New Roman" w:hAnsi="Times New Roman" w:cs="Times New Roman"/>
          <w:color w:val="000000" w:themeColor="text1"/>
          <w:sz w:val="24"/>
          <w:szCs w:val="24"/>
          <w:lang w:val="en-US"/>
        </w:rPr>
      </w:pPr>
    </w:p>
    <w:p w14:paraId="34B4F296" w14:textId="15F738FD" w:rsidR="008A17C1" w:rsidRPr="00BE65C7" w:rsidRDefault="008A17C1" w:rsidP="00036F7B">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 xml:space="preserve">Table </w:t>
      </w:r>
      <w:r w:rsidR="00A87EC4" w:rsidRPr="00BE65C7">
        <w:rPr>
          <w:rFonts w:ascii="Times New Roman" w:hAnsi="Times New Roman" w:cs="Times New Roman"/>
          <w:b/>
          <w:bCs/>
          <w:color w:val="000000" w:themeColor="text1"/>
          <w:sz w:val="24"/>
          <w:szCs w:val="24"/>
          <w:lang w:val="en-US"/>
        </w:rPr>
        <w:t>6</w:t>
      </w:r>
    </w:p>
    <w:p w14:paraId="393A960C" w14:textId="0CB50F09" w:rsidR="008A17C1" w:rsidRPr="00BE65C7" w:rsidRDefault="008A17C1" w:rsidP="00036F7B">
      <w:pPr>
        <w:spacing w:line="360" w:lineRule="auto"/>
        <w:jc w:val="center"/>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Cash holdings in Common Vs Civil law countries</w:t>
      </w:r>
    </w:p>
    <w:p w14:paraId="5E137F5D" w14:textId="025AC1C2" w:rsidR="00FF6C1C" w:rsidRPr="00BE65C7" w:rsidRDefault="00000000" w:rsidP="00FF6C1C">
      <w:pPr>
        <w:spacing w:after="0" w:line="360" w:lineRule="auto"/>
        <w:jc w:val="both"/>
        <w:rPr>
          <w:rFonts w:ascii="Times New Roman" w:hAnsi="Times New Roman" w:cs="Times New Roman"/>
          <w:iCs/>
          <w:color w:val="000000" w:themeColor="text1"/>
          <w:sz w:val="20"/>
          <w:szCs w:val="20"/>
          <w:lang w:val="en-US"/>
        </w:rPr>
      </w:pPr>
      <m:oMathPara>
        <m:oMath>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Cash</m:t>
              </m:r>
            </m:e>
            <m:sub>
              <m:r>
                <m:rPr>
                  <m:sty m:val="p"/>
                </m:rPr>
                <w:rPr>
                  <w:rFonts w:ascii="Cambria Math" w:hAnsi="Cambria Math" w:cs="Times New Roman"/>
                  <w:color w:val="000000" w:themeColor="text1"/>
                  <w:sz w:val="20"/>
                  <w:szCs w:val="20"/>
                  <w:lang w:val="en-US"/>
                </w:rPr>
                <m:t>it</m:t>
              </m:r>
            </m:sub>
          </m:sSub>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α</m:t>
              </m:r>
            </m:e>
            <m:sub>
              <m:r>
                <m:rPr>
                  <m:sty m:val="p"/>
                </m:rPr>
                <w:rPr>
                  <w:rFonts w:ascii="Cambria Math" w:hAnsi="Cambria Math" w:cs="Times New Roman"/>
                  <w:color w:val="000000" w:themeColor="text1"/>
                  <w:sz w:val="20"/>
                  <w:szCs w:val="20"/>
                  <w:lang w:val="en-US"/>
                </w:rPr>
                <m:t>i</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α</m:t>
              </m:r>
            </m:e>
            <m:sub>
              <m:r>
                <m:rPr>
                  <m:sty m:val="p"/>
                </m:rPr>
                <w:rPr>
                  <w:rFonts w:ascii="Cambria Math" w:hAnsi="Cambria Math" w:cs="Times New Roman"/>
                  <w:color w:val="000000" w:themeColor="text1"/>
                  <w:sz w:val="20"/>
                  <w:szCs w:val="20"/>
                  <w:lang w:val="en-US"/>
                </w:rPr>
                <m:t>t</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α</m:t>
              </m:r>
            </m:e>
            <m:sub>
              <m:r>
                <m:rPr>
                  <m:sty m:val="p"/>
                </m:rPr>
                <w:rPr>
                  <w:rFonts w:ascii="Cambria Math" w:hAnsi="Cambria Math" w:cs="Times New Roman"/>
                  <w:color w:val="000000" w:themeColor="text1"/>
                  <w:sz w:val="20"/>
                  <w:szCs w:val="20"/>
                  <w:lang w:val="en-US"/>
                </w:rPr>
                <m:t>c</m:t>
              </m:r>
            </m:sub>
          </m:sSub>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m:rPr>
                  <m:sty m:val="p"/>
                </m:rPr>
                <w:rPr>
                  <w:rFonts w:ascii="Cambria Math" w:hAnsi="Cambria Math" w:cs="Times New Roman"/>
                  <w:color w:val="000000" w:themeColor="text1"/>
                  <w:sz w:val="20"/>
                  <w:szCs w:val="20"/>
                  <w:lang w:val="en-US"/>
                </w:rPr>
                <m:t>1</m:t>
              </m:r>
            </m:sub>
          </m:sSub>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inst_own</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m:rPr>
                  <m:sty m:val="p"/>
                </m:rPr>
                <w:rPr>
                  <w:rFonts w:ascii="Cambria Math" w:hAnsi="Cambria Math" w:cs="Times New Roman"/>
                  <w:color w:val="000000" w:themeColor="text1"/>
                  <w:sz w:val="20"/>
                  <w:szCs w:val="20"/>
                  <w:lang w:val="en-US"/>
                </w:rPr>
                <m:t>2</m:t>
              </m:r>
            </m:sub>
          </m:sSub>
          <m:sSub>
            <m:sSubPr>
              <m:ctrlPr>
                <w:rPr>
                  <w:rFonts w:ascii="Cambria Math" w:hAnsi="Cambria Math" w:cs="Times New Roman"/>
                  <w:iCs/>
                  <w:color w:val="000000" w:themeColor="text1"/>
                  <w:sz w:val="20"/>
                  <w:szCs w:val="20"/>
                </w:rPr>
              </m:ctrlPr>
            </m:sSubPr>
            <m:e>
              <m:r>
                <w:rPr>
                  <w:rFonts w:ascii="Cambria Math" w:hAnsi="Cambria Math" w:cs="Times New Roman"/>
                  <w:color w:val="000000" w:themeColor="text1"/>
                  <w:sz w:val="20"/>
                  <w:szCs w:val="20"/>
                </w:rPr>
                <m:t>Common</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β</m:t>
              </m:r>
            </m:e>
            <m:sub>
              <m:r>
                <m:rPr>
                  <m:sty m:val="p"/>
                </m:rPr>
                <w:rPr>
                  <w:rFonts w:ascii="Cambria Math" w:hAnsi="Cambria Math" w:cs="Times New Roman"/>
                  <w:color w:val="000000" w:themeColor="text1"/>
                  <w:sz w:val="20"/>
                  <w:szCs w:val="20"/>
                  <w:lang w:val="en-US"/>
                </w:rPr>
                <m:t>3</m:t>
              </m:r>
            </m:sub>
          </m:sSub>
          <m:r>
            <m:rPr>
              <m:sty m:val="p"/>
            </m:rPr>
            <w:rPr>
              <w:rFonts w:ascii="Cambria Math" w:eastAsia="Calibri" w:hAnsi="Cambria Math" w:cs="Times New Roman"/>
              <w:color w:val="000000" w:themeColor="text1"/>
              <w:sz w:val="20"/>
              <w:szCs w:val="20"/>
            </w:rPr>
            <m:t>Common*</m:t>
          </m:r>
          <m:sSub>
            <m:sSubPr>
              <m:ctrlPr>
                <w:rPr>
                  <w:rFonts w:ascii="Cambria Math" w:hAnsi="Cambria Math" w:cs="Times New Roman"/>
                  <w:iCs/>
                  <w:color w:val="000000" w:themeColor="text1"/>
                  <w:sz w:val="20"/>
                  <w:szCs w:val="20"/>
                </w:rPr>
              </m:ctrlPr>
            </m:sSubPr>
            <m:e>
              <m:r>
                <m:rPr>
                  <m:sty m:val="p"/>
                </m:rPr>
                <w:rPr>
                  <w:rFonts w:ascii="Cambria Math" w:hAnsi="Cambria Math" w:cs="Times New Roman"/>
                  <w:color w:val="000000" w:themeColor="text1"/>
                  <w:sz w:val="20"/>
                  <w:szCs w:val="20"/>
                </w:rPr>
                <m:t>inst_own</m:t>
              </m:r>
            </m:e>
            <m:sub>
              <m:r>
                <m:rPr>
                  <m:sty m:val="p"/>
                </m:rPr>
                <w:rPr>
                  <w:rFonts w:ascii="Cambria Math" w:hAnsi="Cambria Math" w:cs="Times New Roman"/>
                  <w:color w:val="000000" w:themeColor="text1"/>
                  <w:sz w:val="20"/>
                  <w:szCs w:val="20"/>
                </w:rPr>
                <m:t>it</m:t>
              </m:r>
            </m:sub>
          </m:sSub>
          <m:r>
            <m:rPr>
              <m:sty m:val="p"/>
            </m:rPr>
            <w:rPr>
              <w:rFonts w:ascii="Cambria Math" w:hAnsi="Cambria Math" w:cs="Times New Roman"/>
              <w:color w:val="000000" w:themeColor="text1"/>
              <w:sz w:val="20"/>
              <w:szCs w:val="20"/>
              <w:lang w:val="en-US"/>
            </w:rPr>
            <m:t xml:space="preserve">+ </m:t>
          </m:r>
          <m:sSub>
            <m:sSubPr>
              <m:ctrlPr>
                <w:rPr>
                  <w:rFonts w:ascii="Cambria Math" w:hAnsi="Cambria Math" w:cs="Times New Roman"/>
                  <w:iCs/>
                  <w:color w:val="000000" w:themeColor="text1"/>
                  <w:sz w:val="20"/>
                  <w:szCs w:val="20"/>
                  <w:lang w:val="en-US"/>
                </w:rPr>
              </m:ctrlPr>
            </m:sSubPr>
            <m:e>
              <m:r>
                <m:rPr>
                  <m:sty m:val="p"/>
                </m:rPr>
                <w:rPr>
                  <w:rFonts w:ascii="Cambria Math" w:hAnsi="Cambria Math" w:cs="Times New Roman"/>
                  <w:color w:val="000000" w:themeColor="text1"/>
                  <w:sz w:val="20"/>
                  <w:szCs w:val="20"/>
                  <w:lang w:val="en-US"/>
                </w:rPr>
                <m:t>ε</m:t>
              </m:r>
            </m:e>
            <m:sub>
              <m:r>
                <m:rPr>
                  <m:sty m:val="p"/>
                </m:rPr>
                <w:rPr>
                  <w:rFonts w:ascii="Cambria Math" w:hAnsi="Cambria Math" w:cs="Times New Roman"/>
                  <w:color w:val="000000" w:themeColor="text1"/>
                  <w:sz w:val="20"/>
                  <w:szCs w:val="20"/>
                  <w:lang w:val="en-US"/>
                </w:rPr>
                <m:t>it</m:t>
              </m:r>
            </m:sub>
          </m:sSub>
        </m:oMath>
      </m:oMathPara>
    </w:p>
    <w:tbl>
      <w:tblPr>
        <w:tblStyle w:val="TableGrid"/>
        <w:tblW w:w="9351" w:type="dxa"/>
        <w:tblLook w:val="04A0" w:firstRow="1" w:lastRow="0" w:firstColumn="1" w:lastColumn="0" w:noHBand="0" w:noVBand="1"/>
      </w:tblPr>
      <w:tblGrid>
        <w:gridCol w:w="3962"/>
        <w:gridCol w:w="2696"/>
        <w:gridCol w:w="2693"/>
      </w:tblGrid>
      <w:tr w:rsidR="00BE65C7" w:rsidRPr="00BE65C7" w14:paraId="0DC69D67" w14:textId="77777777" w:rsidTr="009B5F15">
        <w:tc>
          <w:tcPr>
            <w:tcW w:w="3962" w:type="dxa"/>
          </w:tcPr>
          <w:p w14:paraId="7A5DCB58" w14:textId="77777777" w:rsidR="00036F7B" w:rsidRPr="00BE65C7" w:rsidRDefault="00036F7B"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Variables</w:t>
            </w:r>
          </w:p>
        </w:tc>
        <w:tc>
          <w:tcPr>
            <w:tcW w:w="2696" w:type="dxa"/>
          </w:tcPr>
          <w:p w14:paraId="7B4EF550" w14:textId="2ED50F0A" w:rsidR="00036F7B" w:rsidRPr="00BE65C7" w:rsidRDefault="00036F7B"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Emerging</w:t>
            </w:r>
            <w:r w:rsidR="009B5F15">
              <w:rPr>
                <w:rFonts w:ascii="Times New Roman" w:hAnsi="Times New Roman" w:cs="Times New Roman"/>
                <w:color w:val="000000" w:themeColor="text1"/>
                <w:sz w:val="24"/>
                <w:szCs w:val="24"/>
              </w:rPr>
              <w:t xml:space="preserve"> Economies</w:t>
            </w:r>
          </w:p>
        </w:tc>
        <w:tc>
          <w:tcPr>
            <w:tcW w:w="2693" w:type="dxa"/>
          </w:tcPr>
          <w:p w14:paraId="1F25F221" w14:textId="7C694FC8" w:rsidR="00036F7B" w:rsidRPr="00BE65C7" w:rsidRDefault="00036F7B"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Developed</w:t>
            </w:r>
            <w:r w:rsidR="009B5F15">
              <w:rPr>
                <w:rFonts w:ascii="Times New Roman" w:hAnsi="Times New Roman" w:cs="Times New Roman"/>
                <w:color w:val="000000" w:themeColor="text1"/>
                <w:sz w:val="24"/>
                <w:szCs w:val="24"/>
              </w:rPr>
              <w:t xml:space="preserve"> Countries</w:t>
            </w:r>
          </w:p>
        </w:tc>
      </w:tr>
      <w:tr w:rsidR="00BE65C7" w:rsidRPr="00BE65C7" w14:paraId="047C5252" w14:textId="77777777" w:rsidTr="009B5F15">
        <w:tc>
          <w:tcPr>
            <w:tcW w:w="3962" w:type="dxa"/>
          </w:tcPr>
          <w:p w14:paraId="5946091D" w14:textId="5ED10026" w:rsidR="001550BC" w:rsidRPr="00BE65C7" w:rsidRDefault="001550BC" w:rsidP="00443A1A">
            <w:pPr>
              <w:spacing w:line="360" w:lineRule="auto"/>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Constant</w:t>
            </w:r>
          </w:p>
        </w:tc>
        <w:tc>
          <w:tcPr>
            <w:tcW w:w="2696" w:type="dxa"/>
          </w:tcPr>
          <w:p w14:paraId="56F887DF" w14:textId="77C12A7A" w:rsidR="001550BC" w:rsidRPr="00BE65C7" w:rsidRDefault="001550BC"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0.068</w:t>
            </w:r>
            <w:r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6ED889E1" w14:textId="0CCC2A4A" w:rsidR="001550BC" w:rsidRPr="00BE65C7" w:rsidRDefault="001550BC"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2693" w:type="dxa"/>
          </w:tcPr>
          <w:p w14:paraId="796630A5" w14:textId="12448F28" w:rsidR="001550BC" w:rsidRPr="00BE65C7" w:rsidRDefault="001550BC"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0.025</w:t>
            </w:r>
            <w:r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042E6F9B" w14:textId="2557562A" w:rsidR="001550BC" w:rsidRPr="00BE65C7" w:rsidRDefault="001550BC"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r>
      <w:tr w:rsidR="00BE65C7" w:rsidRPr="00BE65C7" w14:paraId="72DAD954" w14:textId="77777777" w:rsidTr="009B5F15">
        <w:tc>
          <w:tcPr>
            <w:tcW w:w="3962" w:type="dxa"/>
          </w:tcPr>
          <w:p w14:paraId="03A9B8C2" w14:textId="099EB03F" w:rsidR="00036F7B" w:rsidRPr="00BE65C7" w:rsidRDefault="00000000" w:rsidP="00443A1A">
            <w:pPr>
              <w:spacing w:line="360" w:lineRule="auto"/>
              <w:jc w:val="both"/>
              <w:rPr>
                <w:rFonts w:ascii="Times New Roman" w:eastAsia="Calibri" w:hAnsi="Times New Roman" w:cs="Times New Roman"/>
                <w:iCs/>
                <w:color w:val="000000" w:themeColor="text1"/>
                <w:sz w:val="24"/>
                <w:szCs w:val="24"/>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oMath>
            </m:oMathPara>
          </w:p>
        </w:tc>
        <w:tc>
          <w:tcPr>
            <w:tcW w:w="2696" w:type="dxa"/>
          </w:tcPr>
          <w:p w14:paraId="2121ACDE" w14:textId="6B349BA3" w:rsidR="00036F7B" w:rsidRPr="00BE65C7" w:rsidRDefault="00036F7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w:t>
            </w:r>
            <w:r w:rsidR="00E63148" w:rsidRPr="00BE65C7">
              <w:rPr>
                <w:rFonts w:ascii="Times New Roman" w:hAnsi="Times New Roman" w:cs="Times New Roman"/>
                <w:color w:val="000000" w:themeColor="text1"/>
                <w:sz w:val="24"/>
                <w:szCs w:val="24"/>
              </w:rPr>
              <w:t>087</w:t>
            </w:r>
            <w:r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23F17194" w14:textId="6F0EBC82" w:rsidR="00036F7B" w:rsidRPr="00BE65C7" w:rsidRDefault="00036F7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2693" w:type="dxa"/>
          </w:tcPr>
          <w:p w14:paraId="009F05B3" w14:textId="5C43BF90" w:rsidR="00036F7B" w:rsidRPr="00BE65C7" w:rsidRDefault="00036F7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w:t>
            </w:r>
            <w:r w:rsidR="00E63148" w:rsidRPr="00BE65C7">
              <w:rPr>
                <w:rFonts w:ascii="Times New Roman" w:hAnsi="Times New Roman" w:cs="Times New Roman"/>
                <w:color w:val="000000" w:themeColor="text1"/>
                <w:sz w:val="24"/>
                <w:szCs w:val="24"/>
              </w:rPr>
              <w:t>48</w:t>
            </w:r>
            <w:r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6FAA49B7" w14:textId="2362CD0D" w:rsidR="00036F7B" w:rsidRPr="00BE65C7" w:rsidRDefault="00036F7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r>
      <w:tr w:rsidR="00BE65C7" w:rsidRPr="00BE65C7" w14:paraId="4760063D" w14:textId="77777777" w:rsidTr="009B5F15">
        <w:tc>
          <w:tcPr>
            <w:tcW w:w="3962" w:type="dxa"/>
          </w:tcPr>
          <w:p w14:paraId="4B3E3B60" w14:textId="7F719762" w:rsidR="00036F7B" w:rsidRPr="00BE65C7" w:rsidRDefault="00770B2C" w:rsidP="00D0367D">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Common</w:t>
            </w:r>
          </w:p>
        </w:tc>
        <w:tc>
          <w:tcPr>
            <w:tcW w:w="2696" w:type="dxa"/>
          </w:tcPr>
          <w:p w14:paraId="3C0DEFA0" w14:textId="2E18E130" w:rsidR="00036F7B" w:rsidRPr="00BE65C7" w:rsidRDefault="0026302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w:t>
            </w:r>
            <w:r w:rsidR="00123272" w:rsidRPr="00BE65C7">
              <w:rPr>
                <w:rFonts w:ascii="Times New Roman" w:hAnsi="Times New Roman" w:cs="Times New Roman"/>
                <w:color w:val="000000" w:themeColor="text1"/>
                <w:sz w:val="24"/>
                <w:szCs w:val="24"/>
              </w:rPr>
              <w:t>0.0</w:t>
            </w:r>
            <w:r w:rsidR="007A2A99" w:rsidRPr="00BE65C7">
              <w:rPr>
                <w:rFonts w:ascii="Times New Roman" w:hAnsi="Times New Roman" w:cs="Times New Roman"/>
                <w:color w:val="000000" w:themeColor="text1"/>
                <w:sz w:val="24"/>
                <w:szCs w:val="24"/>
              </w:rPr>
              <w:t>18</w:t>
            </w:r>
            <w:r w:rsidR="00123272"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2D789E3A" w14:textId="44D2EB12" w:rsidR="00123272" w:rsidRPr="00BE65C7" w:rsidRDefault="00123272"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(0.001)</w:t>
            </w:r>
          </w:p>
        </w:tc>
        <w:tc>
          <w:tcPr>
            <w:tcW w:w="2693" w:type="dxa"/>
          </w:tcPr>
          <w:p w14:paraId="1DE1C804" w14:textId="1D84884C" w:rsidR="00036F7B" w:rsidRPr="00BE65C7" w:rsidRDefault="0026302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w:t>
            </w:r>
            <w:r w:rsidR="00123272" w:rsidRPr="00BE65C7">
              <w:rPr>
                <w:rFonts w:ascii="Times New Roman" w:hAnsi="Times New Roman" w:cs="Times New Roman"/>
                <w:color w:val="000000" w:themeColor="text1"/>
                <w:sz w:val="24"/>
                <w:szCs w:val="24"/>
              </w:rPr>
              <w:t>0.0</w:t>
            </w:r>
            <w:r w:rsidR="00563B3D" w:rsidRPr="00BE65C7">
              <w:rPr>
                <w:rFonts w:ascii="Times New Roman" w:hAnsi="Times New Roman" w:cs="Times New Roman"/>
                <w:color w:val="000000" w:themeColor="text1"/>
                <w:sz w:val="24"/>
                <w:szCs w:val="24"/>
              </w:rPr>
              <w:t>037</w:t>
            </w:r>
            <w:r w:rsidR="00123272" w:rsidRPr="00BE65C7">
              <w:rPr>
                <w:rFonts w:ascii="Times New Roman" w:hAnsi="Times New Roman" w:cs="Times New Roman"/>
                <w:color w:val="000000" w:themeColor="text1"/>
                <w:sz w:val="24"/>
                <w:szCs w:val="24"/>
                <w:vertAlign w:val="superscript"/>
              </w:rPr>
              <w:t>**</w:t>
            </w:r>
          </w:p>
          <w:p w14:paraId="075AF46F" w14:textId="1ABFDD6C" w:rsidR="00123272" w:rsidRPr="00BE65C7" w:rsidRDefault="00123272"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w:t>
            </w:r>
            <w:r w:rsidR="00F52831" w:rsidRPr="00BE65C7">
              <w:rPr>
                <w:rFonts w:ascii="Times New Roman" w:hAnsi="Times New Roman" w:cs="Times New Roman"/>
                <w:color w:val="000000" w:themeColor="text1"/>
                <w:sz w:val="24"/>
                <w:szCs w:val="24"/>
              </w:rPr>
              <w:t>0</w:t>
            </w:r>
            <w:r w:rsidRPr="00BE65C7">
              <w:rPr>
                <w:rFonts w:ascii="Times New Roman" w:hAnsi="Times New Roman" w:cs="Times New Roman"/>
                <w:color w:val="000000" w:themeColor="text1"/>
                <w:sz w:val="24"/>
                <w:szCs w:val="24"/>
              </w:rPr>
              <w:t>)</w:t>
            </w:r>
          </w:p>
        </w:tc>
      </w:tr>
      <w:tr w:rsidR="00BE65C7" w:rsidRPr="00BE65C7" w14:paraId="279C6151" w14:textId="77777777" w:rsidTr="009B5F15">
        <w:tc>
          <w:tcPr>
            <w:tcW w:w="3962" w:type="dxa"/>
          </w:tcPr>
          <w:p w14:paraId="49DC29AD" w14:textId="7B3865C8" w:rsidR="00036F7B" w:rsidRPr="00BE65C7" w:rsidRDefault="00036F7B" w:rsidP="00D0367D">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w:t>
            </w:r>
            <w:r w:rsidR="00770B2C" w:rsidRPr="00BE65C7">
              <w:rPr>
                <w:rFonts w:ascii="Times New Roman" w:eastAsia="Calibri" w:hAnsi="Times New Roman" w:cs="Times New Roman"/>
                <w:iCs/>
                <w:color w:val="000000" w:themeColor="text1"/>
                <w:sz w:val="24"/>
                <w:szCs w:val="24"/>
              </w:rPr>
              <w:t>mmon</w:t>
            </w:r>
            <w:r w:rsidRPr="00BE65C7">
              <w:rPr>
                <w:rFonts w:ascii="Times New Roman" w:eastAsia="Calibri" w:hAnsi="Times New Roman" w:cs="Times New Roman"/>
                <w:iCs/>
                <w:color w:val="000000" w:themeColor="text1"/>
                <w:sz w:val="24"/>
                <w:szCs w:val="24"/>
              </w:rPr>
              <w:t>*</w:t>
            </w:r>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oMath>
          </w:p>
        </w:tc>
        <w:tc>
          <w:tcPr>
            <w:tcW w:w="2696" w:type="dxa"/>
          </w:tcPr>
          <w:p w14:paraId="340EDB4E" w14:textId="5C008D71" w:rsidR="00036F7B" w:rsidRPr="00BE65C7" w:rsidRDefault="00981832"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w:t>
            </w:r>
            <w:r w:rsidR="0093756A" w:rsidRPr="00BE65C7">
              <w:rPr>
                <w:rFonts w:ascii="Times New Roman" w:hAnsi="Times New Roman" w:cs="Times New Roman"/>
                <w:color w:val="000000" w:themeColor="text1"/>
                <w:sz w:val="24"/>
                <w:szCs w:val="24"/>
              </w:rPr>
              <w:t>0.01</w:t>
            </w:r>
            <w:r w:rsidR="00563B3D" w:rsidRPr="00BE65C7">
              <w:rPr>
                <w:rFonts w:ascii="Times New Roman" w:hAnsi="Times New Roman" w:cs="Times New Roman"/>
                <w:color w:val="000000" w:themeColor="text1"/>
                <w:sz w:val="24"/>
                <w:szCs w:val="24"/>
              </w:rPr>
              <w:t>4</w:t>
            </w:r>
            <w:r w:rsidR="0093756A" w:rsidRPr="00BE65C7">
              <w:rPr>
                <w:rFonts w:ascii="Times New Roman" w:hAnsi="Times New Roman" w:cs="Times New Roman"/>
                <w:color w:val="000000" w:themeColor="text1"/>
                <w:sz w:val="24"/>
                <w:szCs w:val="24"/>
                <w:vertAlign w:val="superscript"/>
              </w:rPr>
              <w:t>*</w:t>
            </w:r>
            <w:r w:rsidR="006622C0" w:rsidRPr="00BE65C7">
              <w:rPr>
                <w:rFonts w:ascii="Times New Roman" w:hAnsi="Times New Roman" w:cs="Times New Roman"/>
                <w:color w:val="000000" w:themeColor="text1"/>
                <w:sz w:val="24"/>
                <w:szCs w:val="24"/>
                <w:vertAlign w:val="superscript"/>
              </w:rPr>
              <w:t>**</w:t>
            </w:r>
          </w:p>
          <w:p w14:paraId="1E37B1AF" w14:textId="196F91CC" w:rsidR="0093756A" w:rsidRPr="00BE65C7" w:rsidRDefault="0093756A"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(0.000)</w:t>
            </w:r>
          </w:p>
        </w:tc>
        <w:tc>
          <w:tcPr>
            <w:tcW w:w="2693" w:type="dxa"/>
          </w:tcPr>
          <w:p w14:paraId="595EB341" w14:textId="31F7EAA6" w:rsidR="00036F7B" w:rsidRPr="00BE65C7" w:rsidRDefault="0026302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w:t>
            </w:r>
            <w:r w:rsidR="0093756A" w:rsidRPr="00BE65C7">
              <w:rPr>
                <w:rFonts w:ascii="Times New Roman" w:hAnsi="Times New Roman" w:cs="Times New Roman"/>
                <w:color w:val="000000" w:themeColor="text1"/>
                <w:sz w:val="24"/>
                <w:szCs w:val="24"/>
              </w:rPr>
              <w:t>0.00</w:t>
            </w:r>
            <w:r w:rsidR="00563B3D" w:rsidRPr="00BE65C7">
              <w:rPr>
                <w:rFonts w:ascii="Times New Roman" w:hAnsi="Times New Roman" w:cs="Times New Roman"/>
                <w:color w:val="000000" w:themeColor="text1"/>
                <w:sz w:val="24"/>
                <w:szCs w:val="24"/>
              </w:rPr>
              <w:t>1</w:t>
            </w:r>
          </w:p>
          <w:p w14:paraId="59A84643" w14:textId="77E1939C" w:rsidR="0093756A" w:rsidRPr="00BE65C7" w:rsidRDefault="0093756A"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(0.0</w:t>
            </w:r>
            <w:r w:rsidR="00C200A1" w:rsidRPr="00BE65C7">
              <w:rPr>
                <w:rFonts w:ascii="Times New Roman" w:hAnsi="Times New Roman" w:cs="Times New Roman"/>
                <w:color w:val="000000" w:themeColor="text1"/>
                <w:sz w:val="24"/>
                <w:szCs w:val="24"/>
              </w:rPr>
              <w:t>26</w:t>
            </w:r>
            <w:r w:rsidRPr="00BE65C7">
              <w:rPr>
                <w:rFonts w:ascii="Times New Roman" w:hAnsi="Times New Roman" w:cs="Times New Roman"/>
                <w:color w:val="000000" w:themeColor="text1"/>
                <w:sz w:val="24"/>
                <w:szCs w:val="24"/>
              </w:rPr>
              <w:t>)</w:t>
            </w:r>
          </w:p>
        </w:tc>
      </w:tr>
      <w:tr w:rsidR="00BE65C7" w:rsidRPr="00BE65C7" w14:paraId="200BF6F4" w14:textId="77777777" w:rsidTr="009B5F15">
        <w:tc>
          <w:tcPr>
            <w:tcW w:w="3962" w:type="dxa"/>
          </w:tcPr>
          <w:p w14:paraId="38ECDAD3" w14:textId="4F7AE9AC" w:rsidR="00BF6205" w:rsidRPr="00BE65C7" w:rsidRDefault="00BF6205" w:rsidP="004445FB">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Controls</w:t>
            </w:r>
          </w:p>
        </w:tc>
        <w:tc>
          <w:tcPr>
            <w:tcW w:w="2696" w:type="dxa"/>
          </w:tcPr>
          <w:p w14:paraId="7193A5B1" w14:textId="260A31B5" w:rsidR="00BF6205" w:rsidRPr="00BE65C7" w:rsidRDefault="00BF6205"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693" w:type="dxa"/>
          </w:tcPr>
          <w:p w14:paraId="48487DB9" w14:textId="30E2B385" w:rsidR="00BF6205" w:rsidRPr="00BE65C7" w:rsidRDefault="00BF6205"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15085E59" w14:textId="77777777" w:rsidTr="009B5F15">
        <w:tc>
          <w:tcPr>
            <w:tcW w:w="3962" w:type="dxa"/>
          </w:tcPr>
          <w:p w14:paraId="6B3297B6" w14:textId="44DE22F4" w:rsidR="004445FB" w:rsidRPr="00BE65C7" w:rsidRDefault="004445FB" w:rsidP="004445FB">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Country FE</w:t>
            </w:r>
          </w:p>
        </w:tc>
        <w:tc>
          <w:tcPr>
            <w:tcW w:w="2696" w:type="dxa"/>
          </w:tcPr>
          <w:p w14:paraId="0EF305AD" w14:textId="18EFD617"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693" w:type="dxa"/>
          </w:tcPr>
          <w:p w14:paraId="1C2D6856" w14:textId="43F4F5F7"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76035E3D" w14:textId="77777777" w:rsidTr="009B5F15">
        <w:tc>
          <w:tcPr>
            <w:tcW w:w="3962" w:type="dxa"/>
          </w:tcPr>
          <w:p w14:paraId="0DEB43C4" w14:textId="278CD4C1" w:rsidR="004445FB" w:rsidRPr="00BE65C7" w:rsidRDefault="004445FB" w:rsidP="004445FB">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Firm FE</w:t>
            </w:r>
          </w:p>
        </w:tc>
        <w:tc>
          <w:tcPr>
            <w:tcW w:w="2696" w:type="dxa"/>
          </w:tcPr>
          <w:p w14:paraId="1593687C" w14:textId="60CAC9A7"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693" w:type="dxa"/>
          </w:tcPr>
          <w:p w14:paraId="531C0BF3" w14:textId="5EA6E7D4"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4D74905C" w14:textId="77777777" w:rsidTr="009B5F15">
        <w:tc>
          <w:tcPr>
            <w:tcW w:w="3962" w:type="dxa"/>
          </w:tcPr>
          <w:p w14:paraId="74CF9C8E" w14:textId="441899E4" w:rsidR="004445FB" w:rsidRPr="00BE65C7" w:rsidRDefault="004445FB" w:rsidP="004445FB">
            <w:pPr>
              <w:spacing w:line="360" w:lineRule="auto"/>
              <w:jc w:val="center"/>
              <w:rPr>
                <w:rFonts w:ascii="Times New Roman" w:eastAsia="Calibri" w:hAnsi="Times New Roman" w:cs="Times New Roman"/>
                <w:iCs/>
                <w:color w:val="000000" w:themeColor="text1"/>
                <w:sz w:val="24"/>
                <w:szCs w:val="24"/>
              </w:rPr>
            </w:pPr>
            <w:r w:rsidRPr="00BE65C7">
              <w:rPr>
                <w:rFonts w:ascii="Times New Roman" w:eastAsia="Calibri" w:hAnsi="Times New Roman" w:cs="Times New Roman"/>
                <w:iCs/>
                <w:color w:val="000000" w:themeColor="text1"/>
                <w:sz w:val="24"/>
                <w:szCs w:val="24"/>
              </w:rPr>
              <w:t>Year FE</w:t>
            </w:r>
          </w:p>
        </w:tc>
        <w:tc>
          <w:tcPr>
            <w:tcW w:w="2696" w:type="dxa"/>
          </w:tcPr>
          <w:p w14:paraId="5BB5EA45" w14:textId="7ED48C8D"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c>
          <w:tcPr>
            <w:tcW w:w="2693" w:type="dxa"/>
          </w:tcPr>
          <w:p w14:paraId="6CE94E7A" w14:textId="3B20FD6D"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Yes</w:t>
            </w:r>
          </w:p>
        </w:tc>
      </w:tr>
      <w:tr w:rsidR="00BE65C7" w:rsidRPr="00BE65C7" w14:paraId="43ADD8CA" w14:textId="77777777" w:rsidTr="009B5F15">
        <w:tc>
          <w:tcPr>
            <w:tcW w:w="3962" w:type="dxa"/>
          </w:tcPr>
          <w:p w14:paraId="354E2643" w14:textId="77777777" w:rsidR="004445FB" w:rsidRPr="00BE65C7" w:rsidRDefault="004445FB" w:rsidP="004445FB">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Obs.</w:t>
            </w:r>
          </w:p>
        </w:tc>
        <w:tc>
          <w:tcPr>
            <w:tcW w:w="2696" w:type="dxa"/>
          </w:tcPr>
          <w:p w14:paraId="121E96E8" w14:textId="741CE04C"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171554</w:t>
            </w:r>
          </w:p>
        </w:tc>
        <w:tc>
          <w:tcPr>
            <w:tcW w:w="2693" w:type="dxa"/>
          </w:tcPr>
          <w:p w14:paraId="3A900F75" w14:textId="2782D7A7"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216317</w:t>
            </w:r>
          </w:p>
        </w:tc>
      </w:tr>
      <w:tr w:rsidR="00BE65C7" w:rsidRPr="00BE65C7" w14:paraId="19FF7664" w14:textId="77777777" w:rsidTr="009B5F15">
        <w:tc>
          <w:tcPr>
            <w:tcW w:w="3962" w:type="dxa"/>
          </w:tcPr>
          <w:p w14:paraId="7F629CB0" w14:textId="77777777" w:rsidR="004445FB" w:rsidRPr="00BE65C7" w:rsidRDefault="004445FB" w:rsidP="004445FB">
            <w:pPr>
              <w:spacing w:line="360" w:lineRule="auto"/>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Adj R</w:t>
            </w:r>
            <w:r w:rsidRPr="00BE65C7">
              <w:rPr>
                <w:rFonts w:ascii="Times New Roman" w:eastAsia="Calibri" w:hAnsi="Times New Roman" w:cs="Times New Roman"/>
                <w:color w:val="000000" w:themeColor="text1"/>
                <w:sz w:val="24"/>
                <w:szCs w:val="24"/>
                <w:vertAlign w:val="superscript"/>
              </w:rPr>
              <w:t>2</w:t>
            </w:r>
          </w:p>
        </w:tc>
        <w:tc>
          <w:tcPr>
            <w:tcW w:w="2696" w:type="dxa"/>
          </w:tcPr>
          <w:p w14:paraId="05220DF1" w14:textId="2D063B85"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0.18</w:t>
            </w:r>
          </w:p>
        </w:tc>
        <w:tc>
          <w:tcPr>
            <w:tcW w:w="2693" w:type="dxa"/>
          </w:tcPr>
          <w:p w14:paraId="067D8FBA" w14:textId="428CFD77" w:rsidR="004445FB" w:rsidRPr="00BE65C7" w:rsidRDefault="004445FB" w:rsidP="00562E8D">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0.13</w:t>
            </w:r>
          </w:p>
        </w:tc>
      </w:tr>
    </w:tbl>
    <w:p w14:paraId="44948925" w14:textId="5B1B0C46" w:rsidR="003177F1" w:rsidRPr="003177F1" w:rsidRDefault="00DB450A" w:rsidP="003177F1">
      <w:pPr>
        <w:spacing w:after="0" w:line="240" w:lineRule="auto"/>
        <w:jc w:val="both"/>
        <w:rPr>
          <w:rFonts w:ascii="Times New Roman" w:hAnsi="Times New Roman" w:cs="Times New Roman"/>
          <w:color w:val="000000" w:themeColor="text1"/>
          <w:sz w:val="18"/>
          <w:szCs w:val="24"/>
          <w:lang w:val="en-US"/>
        </w:rPr>
      </w:pPr>
      <w:r w:rsidRPr="00260834">
        <w:rPr>
          <w:rFonts w:ascii="Times New Roman" w:hAnsi="Times New Roman" w:cs="Times New Roman"/>
          <w:b/>
          <w:bCs/>
          <w:color w:val="000000" w:themeColor="text1"/>
          <w:sz w:val="20"/>
          <w:szCs w:val="20"/>
          <w:lang w:val="en-US"/>
        </w:rPr>
        <w:t>Note</w:t>
      </w:r>
      <w:r w:rsidRPr="00260834">
        <w:rPr>
          <w:rFonts w:ascii="Times New Roman" w:hAnsi="Times New Roman" w:cs="Times New Roman"/>
          <w:color w:val="000000" w:themeColor="text1"/>
          <w:sz w:val="20"/>
          <w:szCs w:val="20"/>
          <w:lang w:val="en-US"/>
        </w:rPr>
        <w:t xml:space="preserve">: ***: Significant at 1%; **: Significant at 5%, and *: Significant at 10% levels. The figures in parentheses are the </w:t>
      </w:r>
      <w:r w:rsidR="00E42A4C" w:rsidRPr="00260834">
        <w:rPr>
          <w:rFonts w:ascii="Times New Roman" w:hAnsi="Times New Roman" w:cs="Times New Roman"/>
          <w:color w:val="000000" w:themeColor="text1"/>
          <w:sz w:val="20"/>
          <w:szCs w:val="20"/>
          <w:lang w:val="en-US"/>
        </w:rPr>
        <w:t xml:space="preserve">HAC </w:t>
      </w:r>
      <w:r w:rsidRPr="00260834">
        <w:rPr>
          <w:rFonts w:ascii="Times New Roman" w:hAnsi="Times New Roman" w:cs="Times New Roman"/>
          <w:color w:val="000000" w:themeColor="text1"/>
          <w:sz w:val="20"/>
          <w:szCs w:val="20"/>
          <w:lang w:val="en-US"/>
        </w:rPr>
        <w:t>standard errors.</w:t>
      </w:r>
      <w:r w:rsidR="003177F1">
        <w:rPr>
          <w:rFonts w:ascii="Times New Roman" w:hAnsi="Times New Roman" w:cs="Times New Roman"/>
          <w:color w:val="000000" w:themeColor="text1"/>
          <w:sz w:val="20"/>
          <w:szCs w:val="20"/>
          <w:lang w:val="en-US"/>
        </w:rPr>
        <w:t xml:space="preserve"> </w:t>
      </w:r>
      <w:r w:rsidR="003177F1" w:rsidRPr="002672B3">
        <w:rPr>
          <w:rFonts w:ascii="Times New Roman" w:hAnsi="Times New Roman" w:cs="Times New Roman"/>
          <w:i/>
          <w:color w:val="000000" w:themeColor="text1"/>
          <w:sz w:val="18"/>
          <w:szCs w:val="24"/>
          <w:lang w:val="en-US"/>
        </w:rPr>
        <w:t>Cash</w:t>
      </w:r>
      <w:r w:rsidR="003177F1">
        <w:rPr>
          <w:rFonts w:ascii="Times New Roman" w:hAnsi="Times New Roman" w:cs="Times New Roman"/>
          <w:color w:val="000000" w:themeColor="text1"/>
          <w:sz w:val="18"/>
          <w:szCs w:val="24"/>
          <w:lang w:val="en-US"/>
        </w:rPr>
        <w:t xml:space="preserve"> is defined as cash and cash equivalents divided by net total assets</w:t>
      </w:r>
      <w:r w:rsidR="003177F1">
        <w:rPr>
          <w:rFonts w:ascii="Times New Roman" w:eastAsia="Calibri" w:hAnsi="Times New Roman" w:cs="Times New Roman"/>
          <w:color w:val="000000" w:themeColor="text1"/>
          <w:sz w:val="18"/>
          <w:szCs w:val="18"/>
        </w:rPr>
        <w:t xml:space="preserve"> </w:t>
      </w:r>
      <w:r w:rsidR="003177F1">
        <w:rPr>
          <w:rFonts w:ascii="Times New Roman" w:hAnsi="Times New Roman" w:cs="Times New Roman"/>
          <w:color w:val="000000" w:themeColor="text1"/>
          <w:sz w:val="18"/>
          <w:szCs w:val="24"/>
          <w:lang w:val="en-US"/>
        </w:rPr>
        <w:t xml:space="preserve">(total assets less cash and cash equivalents). Controls include </w:t>
      </w:r>
      <w:r w:rsidR="003177F1">
        <w:rPr>
          <w:rFonts w:ascii="Times New Roman" w:hAnsi="Times New Roman" w:cs="Times New Roman"/>
          <w:i/>
          <w:color w:val="000000" w:themeColor="text1"/>
          <w:sz w:val="18"/>
          <w:szCs w:val="24"/>
          <w:lang w:val="en-US"/>
        </w:rPr>
        <w:t>NWC</w:t>
      </w:r>
      <w:r w:rsidR="003177F1">
        <w:rPr>
          <w:rFonts w:ascii="Times New Roman" w:hAnsi="Times New Roman" w:cs="Times New Roman"/>
          <w:color w:val="000000" w:themeColor="text1"/>
          <w:sz w:val="18"/>
          <w:szCs w:val="24"/>
          <w:lang w:val="en-US"/>
        </w:rPr>
        <w:t xml:space="preserve">, </w:t>
      </w:r>
      <w:r w:rsidR="003177F1">
        <w:rPr>
          <w:rFonts w:ascii="Times New Roman" w:hAnsi="Times New Roman" w:cs="Times New Roman"/>
          <w:i/>
          <w:color w:val="000000" w:themeColor="text1"/>
          <w:sz w:val="18"/>
          <w:szCs w:val="24"/>
          <w:lang w:val="en-US"/>
        </w:rPr>
        <w:t>PPE</w:t>
      </w:r>
      <w:r w:rsidR="003177F1">
        <w:rPr>
          <w:rFonts w:ascii="Times New Roman" w:hAnsi="Times New Roman" w:cs="Times New Roman"/>
          <w:color w:val="000000" w:themeColor="text1"/>
          <w:sz w:val="18"/>
          <w:szCs w:val="24"/>
          <w:lang w:val="en-US"/>
        </w:rPr>
        <w:t xml:space="preserve">, </w:t>
      </w:r>
      <w:r w:rsidR="003177F1">
        <w:rPr>
          <w:rFonts w:ascii="Times New Roman" w:hAnsi="Times New Roman" w:cs="Times New Roman"/>
          <w:i/>
          <w:color w:val="000000" w:themeColor="text1"/>
          <w:sz w:val="18"/>
          <w:szCs w:val="24"/>
          <w:lang w:val="en-US"/>
        </w:rPr>
        <w:t>R&amp;D</w:t>
      </w:r>
      <w:r w:rsidR="003177F1">
        <w:rPr>
          <w:rFonts w:ascii="Times New Roman" w:hAnsi="Times New Roman" w:cs="Times New Roman"/>
          <w:color w:val="000000" w:themeColor="text1"/>
          <w:sz w:val="18"/>
          <w:szCs w:val="24"/>
          <w:lang w:val="en-US"/>
        </w:rPr>
        <w:t xml:space="preserve"> is R&amp;D and </w:t>
      </w:r>
      <w:r w:rsidR="003177F1">
        <w:rPr>
          <w:rFonts w:ascii="Times New Roman" w:hAnsi="Times New Roman" w:cs="Times New Roman"/>
          <w:i/>
          <w:color w:val="000000" w:themeColor="text1"/>
          <w:sz w:val="18"/>
          <w:szCs w:val="24"/>
          <w:lang w:val="en-US"/>
        </w:rPr>
        <w:t>Leverage</w:t>
      </w:r>
      <w:r w:rsidR="003177F1">
        <w:rPr>
          <w:rFonts w:ascii="Times New Roman" w:hAnsi="Times New Roman" w:cs="Times New Roman"/>
          <w:color w:val="000000" w:themeColor="text1"/>
          <w:sz w:val="18"/>
          <w:szCs w:val="24"/>
          <w:lang w:val="en-US"/>
        </w:rPr>
        <w:t xml:space="preserve">. </w:t>
      </w:r>
      <w:proofErr w:type="spellStart"/>
      <w:r w:rsidR="003177F1">
        <w:rPr>
          <w:rFonts w:ascii="Times New Roman" w:eastAsia="Calibri" w:hAnsi="Times New Roman" w:cs="Times New Roman"/>
          <w:i/>
          <w:color w:val="000000" w:themeColor="text1"/>
          <w:sz w:val="18"/>
          <w:szCs w:val="18"/>
        </w:rPr>
        <w:t>Ins_Own</w:t>
      </w:r>
      <w:proofErr w:type="spellEnd"/>
      <w:r w:rsidR="003177F1">
        <w:rPr>
          <w:rFonts w:ascii="Times New Roman" w:eastAsia="Calibri" w:hAnsi="Times New Roman" w:cs="Times New Roman"/>
          <w:color w:val="000000" w:themeColor="text1"/>
          <w:sz w:val="18"/>
          <w:szCs w:val="18"/>
        </w:rPr>
        <w:t xml:space="preserve"> is the institutional investments (in USD million) divided by last year market value of equity. </w:t>
      </w:r>
      <w:r w:rsidR="003177F1">
        <w:rPr>
          <w:rFonts w:ascii="Times New Roman" w:eastAsia="Calibri" w:hAnsi="Times New Roman" w:cs="Times New Roman"/>
          <w:i/>
          <w:color w:val="000000" w:themeColor="text1"/>
          <w:sz w:val="18"/>
          <w:szCs w:val="18"/>
        </w:rPr>
        <w:t>Common</w:t>
      </w:r>
      <w:r w:rsidR="003177F1">
        <w:rPr>
          <w:rFonts w:ascii="Times New Roman" w:eastAsia="Calibri" w:hAnsi="Times New Roman" w:cs="Times New Roman"/>
          <w:color w:val="000000" w:themeColor="text1"/>
          <w:sz w:val="18"/>
          <w:szCs w:val="18"/>
        </w:rPr>
        <w:t xml:space="preserve"> is a binary variable and is coded as 1 if the country belongs to the common law regime and 0 if it belongs to the civil law regime.</w:t>
      </w:r>
    </w:p>
    <w:p w14:paraId="63B43E20" w14:textId="0FCFD699" w:rsidR="00DB450A" w:rsidRPr="00260834" w:rsidRDefault="00DB450A" w:rsidP="00DB450A">
      <w:pPr>
        <w:spacing w:line="360" w:lineRule="auto"/>
        <w:rPr>
          <w:rFonts w:ascii="Times New Roman" w:hAnsi="Times New Roman" w:cs="Times New Roman"/>
          <w:color w:val="000000" w:themeColor="text1"/>
          <w:sz w:val="20"/>
          <w:szCs w:val="20"/>
          <w:lang w:val="en-US"/>
        </w:rPr>
      </w:pPr>
    </w:p>
    <w:p w14:paraId="0D5672C8" w14:textId="1188FED9" w:rsidR="00127AC2" w:rsidRDefault="00127AC2">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14:paraId="1ADD0F05" w14:textId="11D68675" w:rsidR="00127AC2" w:rsidRPr="009A64BD" w:rsidRDefault="00127AC2" w:rsidP="00127AC2">
      <w:pPr>
        <w:rPr>
          <w:rFonts w:ascii="Times New Roman" w:hAnsi="Times New Roman" w:cs="Times New Roman"/>
          <w:b/>
          <w:bCs/>
        </w:rPr>
      </w:pPr>
      <w:r>
        <w:rPr>
          <w:rFonts w:ascii="Times New Roman" w:hAnsi="Times New Roman" w:cs="Times New Roman"/>
          <w:b/>
          <w:bCs/>
        </w:rPr>
        <w:t xml:space="preserve">Table 7: </w:t>
      </w:r>
      <w:r w:rsidR="009B5F15">
        <w:rPr>
          <w:rFonts w:ascii="Times New Roman" w:hAnsi="Times New Roman" w:cs="Times New Roman"/>
          <w:b/>
          <w:bCs/>
        </w:rPr>
        <w:t xml:space="preserve">Uncovering Impact Heterogeneity </w:t>
      </w:r>
    </w:p>
    <w:p w14:paraId="2D95FA73" w14:textId="77777777" w:rsidR="00127AC2" w:rsidRPr="009A64BD" w:rsidRDefault="00127AC2" w:rsidP="00127AC2">
      <w:pPr>
        <w:rPr>
          <w:rFonts w:ascii="Times New Roman" w:hAnsi="Times New Roman" w:cs="Times New Roman"/>
          <w:b/>
          <w:bCs/>
        </w:rPr>
      </w:pPr>
      <w:r w:rsidRPr="009A64BD">
        <w:rPr>
          <w:rFonts w:ascii="Times New Roman" w:hAnsi="Times New Roman" w:cs="Times New Roman"/>
          <w:b/>
          <w:bCs/>
        </w:rPr>
        <w:t>Panel A: Developed Market</w:t>
      </w:r>
    </w:p>
    <w:tbl>
      <w:tblPr>
        <w:tblStyle w:val="TableGrid"/>
        <w:tblW w:w="0" w:type="auto"/>
        <w:tblLook w:val="04A0" w:firstRow="1" w:lastRow="0" w:firstColumn="1" w:lastColumn="0" w:noHBand="0" w:noVBand="1"/>
      </w:tblPr>
      <w:tblGrid>
        <w:gridCol w:w="2254"/>
        <w:gridCol w:w="2254"/>
        <w:gridCol w:w="2254"/>
        <w:gridCol w:w="2254"/>
      </w:tblGrid>
      <w:tr w:rsidR="00127AC2" w:rsidRPr="00F9197D" w14:paraId="283F3DED" w14:textId="77777777" w:rsidTr="00443A1A">
        <w:tc>
          <w:tcPr>
            <w:tcW w:w="2254" w:type="dxa"/>
          </w:tcPr>
          <w:p w14:paraId="6DB5DA20" w14:textId="77777777" w:rsidR="00127AC2" w:rsidRPr="00F9197D" w:rsidRDefault="00127AC2" w:rsidP="00443A1A">
            <w:pPr>
              <w:rPr>
                <w:rFonts w:ascii="Times New Roman" w:hAnsi="Times New Roman" w:cs="Times New Roman"/>
                <w:b/>
                <w:bCs/>
              </w:rPr>
            </w:pPr>
            <w:r w:rsidRPr="00F9197D">
              <w:rPr>
                <w:rFonts w:ascii="Times New Roman" w:hAnsi="Times New Roman" w:cs="Times New Roman"/>
                <w:b/>
                <w:bCs/>
              </w:rPr>
              <w:t>Variable</w:t>
            </w:r>
          </w:p>
        </w:tc>
        <w:tc>
          <w:tcPr>
            <w:tcW w:w="2254" w:type="dxa"/>
          </w:tcPr>
          <w:p w14:paraId="747E0159" w14:textId="257F147E" w:rsidR="00127AC2" w:rsidRPr="009A64BD" w:rsidRDefault="009A347B" w:rsidP="00443A1A">
            <w:pPr>
              <w:jc w:val="center"/>
              <w:rPr>
                <w:rFonts w:ascii="Times New Roman" w:hAnsi="Times New Roman" w:cs="Times New Roman"/>
                <w:b/>
                <w:bCs/>
              </w:rPr>
            </w:pPr>
            <w:r>
              <w:rPr>
                <w:rFonts w:ascii="Times New Roman" w:hAnsi="Times New Roman" w:cs="Times New Roman"/>
                <w:b/>
                <w:bCs/>
              </w:rPr>
              <w:t xml:space="preserve">Quantile: </w:t>
            </w:r>
            <w:r w:rsidR="00127AC2" w:rsidRPr="009A64BD">
              <w:rPr>
                <w:rFonts w:ascii="Times New Roman" w:hAnsi="Times New Roman" w:cs="Times New Roman"/>
                <w:b/>
                <w:bCs/>
              </w:rPr>
              <w:t>0.25</w:t>
            </w:r>
          </w:p>
        </w:tc>
        <w:tc>
          <w:tcPr>
            <w:tcW w:w="2254" w:type="dxa"/>
          </w:tcPr>
          <w:p w14:paraId="210699C3" w14:textId="0734316C" w:rsidR="00127AC2" w:rsidRPr="009A64BD" w:rsidRDefault="009A347B" w:rsidP="00443A1A">
            <w:pPr>
              <w:jc w:val="center"/>
              <w:rPr>
                <w:rFonts w:ascii="Times New Roman" w:hAnsi="Times New Roman" w:cs="Times New Roman"/>
                <w:b/>
                <w:bCs/>
              </w:rPr>
            </w:pPr>
            <w:r>
              <w:rPr>
                <w:rFonts w:ascii="Times New Roman" w:hAnsi="Times New Roman" w:cs="Times New Roman"/>
                <w:b/>
                <w:bCs/>
              </w:rPr>
              <w:t xml:space="preserve">Quantile: </w:t>
            </w:r>
            <w:r w:rsidR="00127AC2" w:rsidRPr="009A64BD">
              <w:rPr>
                <w:rFonts w:ascii="Times New Roman" w:hAnsi="Times New Roman" w:cs="Times New Roman"/>
                <w:b/>
                <w:bCs/>
              </w:rPr>
              <w:t>0.50</w:t>
            </w:r>
          </w:p>
        </w:tc>
        <w:tc>
          <w:tcPr>
            <w:tcW w:w="2254" w:type="dxa"/>
          </w:tcPr>
          <w:p w14:paraId="15458D02" w14:textId="36F4980D" w:rsidR="00127AC2" w:rsidRPr="009A64BD" w:rsidRDefault="009A347B" w:rsidP="00443A1A">
            <w:pPr>
              <w:jc w:val="center"/>
              <w:rPr>
                <w:rFonts w:ascii="Times New Roman" w:hAnsi="Times New Roman" w:cs="Times New Roman"/>
                <w:b/>
                <w:bCs/>
              </w:rPr>
            </w:pPr>
            <w:r>
              <w:rPr>
                <w:rFonts w:ascii="Times New Roman" w:hAnsi="Times New Roman" w:cs="Times New Roman"/>
                <w:b/>
                <w:bCs/>
              </w:rPr>
              <w:t xml:space="preserve">Quantile: </w:t>
            </w:r>
            <w:r w:rsidR="00127AC2" w:rsidRPr="009A64BD">
              <w:rPr>
                <w:rFonts w:ascii="Times New Roman" w:hAnsi="Times New Roman" w:cs="Times New Roman"/>
                <w:b/>
                <w:bCs/>
              </w:rPr>
              <w:t>0.75</w:t>
            </w:r>
          </w:p>
        </w:tc>
      </w:tr>
      <w:tr w:rsidR="00127AC2" w:rsidRPr="00F9197D" w14:paraId="4AA5E2A1" w14:textId="77777777" w:rsidTr="00443A1A">
        <w:tc>
          <w:tcPr>
            <w:tcW w:w="2254" w:type="dxa"/>
          </w:tcPr>
          <w:p w14:paraId="1D37696B" w14:textId="0F58CF1F" w:rsidR="00127AC2" w:rsidRPr="00F9197D" w:rsidRDefault="00127AC2" w:rsidP="00443A1A">
            <w:pPr>
              <w:jc w:val="center"/>
              <w:rPr>
                <w:rFonts w:ascii="Times New Roman" w:hAnsi="Times New Roman" w:cs="Times New Roman"/>
              </w:rPr>
            </w:pPr>
          </w:p>
        </w:tc>
        <w:tc>
          <w:tcPr>
            <w:tcW w:w="2254" w:type="dxa"/>
          </w:tcPr>
          <w:p w14:paraId="69BDB663" w14:textId="4A754159" w:rsidR="00127AC2" w:rsidRPr="00F9197D" w:rsidRDefault="00127AC2" w:rsidP="00443A1A">
            <w:pPr>
              <w:jc w:val="center"/>
              <w:rPr>
                <w:rFonts w:ascii="Times New Roman" w:hAnsi="Times New Roman" w:cs="Times New Roman"/>
              </w:rPr>
            </w:pPr>
          </w:p>
        </w:tc>
        <w:tc>
          <w:tcPr>
            <w:tcW w:w="2254" w:type="dxa"/>
          </w:tcPr>
          <w:p w14:paraId="746B711E" w14:textId="2AA65771" w:rsidR="00127AC2" w:rsidRPr="00F9197D" w:rsidRDefault="00127AC2" w:rsidP="00443A1A">
            <w:pPr>
              <w:jc w:val="center"/>
              <w:rPr>
                <w:rFonts w:ascii="Times New Roman" w:hAnsi="Times New Roman" w:cs="Times New Roman"/>
              </w:rPr>
            </w:pPr>
          </w:p>
        </w:tc>
        <w:tc>
          <w:tcPr>
            <w:tcW w:w="2254" w:type="dxa"/>
          </w:tcPr>
          <w:p w14:paraId="13EEC91C" w14:textId="6801DDC9" w:rsidR="00127AC2" w:rsidRPr="00F9197D" w:rsidRDefault="00127AC2" w:rsidP="00443A1A">
            <w:pPr>
              <w:jc w:val="center"/>
              <w:rPr>
                <w:rFonts w:ascii="Times New Roman" w:hAnsi="Times New Roman" w:cs="Times New Roman"/>
              </w:rPr>
            </w:pPr>
          </w:p>
        </w:tc>
      </w:tr>
      <w:tr w:rsidR="00127AC2" w:rsidRPr="00F9197D" w14:paraId="5D415A75" w14:textId="77777777" w:rsidTr="00443A1A">
        <w:tc>
          <w:tcPr>
            <w:tcW w:w="2254" w:type="dxa"/>
          </w:tcPr>
          <w:p w14:paraId="58F421D0"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Cash</w:t>
            </w:r>
            <w:r w:rsidRPr="00F9197D">
              <w:rPr>
                <w:rFonts w:ascii="Times New Roman" w:hAnsi="Times New Roman" w:cs="Times New Roman"/>
                <w:vertAlign w:val="subscript"/>
              </w:rPr>
              <w:t>it-1</w:t>
            </w:r>
          </w:p>
        </w:tc>
        <w:tc>
          <w:tcPr>
            <w:tcW w:w="2254" w:type="dxa"/>
          </w:tcPr>
          <w:p w14:paraId="28C214E9"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0.007</w:t>
            </w:r>
            <w:r w:rsidRPr="00F9197D">
              <w:rPr>
                <w:rFonts w:ascii="Times New Roman" w:hAnsi="Times New Roman" w:cs="Times New Roman"/>
                <w:vertAlign w:val="superscript"/>
              </w:rPr>
              <w:t>***</w:t>
            </w:r>
          </w:p>
          <w:p w14:paraId="38A8FB26"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(0.001)</w:t>
            </w:r>
          </w:p>
        </w:tc>
        <w:tc>
          <w:tcPr>
            <w:tcW w:w="2254" w:type="dxa"/>
          </w:tcPr>
          <w:p w14:paraId="45B7A5BD"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0.105</w:t>
            </w:r>
            <w:r w:rsidRPr="00F9197D">
              <w:rPr>
                <w:rFonts w:ascii="Times New Roman" w:hAnsi="Times New Roman" w:cs="Times New Roman"/>
                <w:vertAlign w:val="superscript"/>
              </w:rPr>
              <w:t>***</w:t>
            </w:r>
          </w:p>
          <w:p w14:paraId="315E21B2"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(0.002)</w:t>
            </w:r>
          </w:p>
        </w:tc>
        <w:tc>
          <w:tcPr>
            <w:tcW w:w="2254" w:type="dxa"/>
          </w:tcPr>
          <w:p w14:paraId="033F81EF"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0.173</w:t>
            </w:r>
            <w:r w:rsidRPr="00F9197D">
              <w:rPr>
                <w:rFonts w:ascii="Times New Roman" w:hAnsi="Times New Roman" w:cs="Times New Roman"/>
                <w:vertAlign w:val="superscript"/>
              </w:rPr>
              <w:t>***</w:t>
            </w:r>
          </w:p>
          <w:p w14:paraId="36686040"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(0.000)</w:t>
            </w:r>
          </w:p>
        </w:tc>
      </w:tr>
      <w:tr w:rsidR="00127AC2" w:rsidRPr="00F9197D" w14:paraId="1703CFF5" w14:textId="77777777" w:rsidTr="00443A1A">
        <w:tc>
          <w:tcPr>
            <w:tcW w:w="2254" w:type="dxa"/>
          </w:tcPr>
          <w:p w14:paraId="2F3817DE" w14:textId="77777777" w:rsidR="00127AC2" w:rsidRPr="00F9197D" w:rsidRDefault="00000000" w:rsidP="00443A1A">
            <w:pPr>
              <w:jc w:val="center"/>
              <w:rPr>
                <w:rFonts w:ascii="Times New Roman" w:hAnsi="Times New Roman" w:cs="Times New Roman"/>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oMath>
            </m:oMathPara>
          </w:p>
        </w:tc>
        <w:tc>
          <w:tcPr>
            <w:tcW w:w="2254" w:type="dxa"/>
          </w:tcPr>
          <w:p w14:paraId="15F85F91"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-0.012</w:t>
            </w:r>
            <w:r w:rsidRPr="00F9197D">
              <w:rPr>
                <w:rFonts w:ascii="Times New Roman" w:hAnsi="Times New Roman" w:cs="Times New Roman"/>
                <w:vertAlign w:val="superscript"/>
              </w:rPr>
              <w:t>***</w:t>
            </w:r>
          </w:p>
          <w:p w14:paraId="7476EED3"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(0.000)</w:t>
            </w:r>
          </w:p>
        </w:tc>
        <w:tc>
          <w:tcPr>
            <w:tcW w:w="2254" w:type="dxa"/>
          </w:tcPr>
          <w:p w14:paraId="11B51ADA"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-0.078</w:t>
            </w:r>
            <w:r w:rsidRPr="00F9197D">
              <w:rPr>
                <w:rFonts w:ascii="Times New Roman" w:hAnsi="Times New Roman" w:cs="Times New Roman"/>
                <w:vertAlign w:val="superscript"/>
              </w:rPr>
              <w:t>***</w:t>
            </w:r>
          </w:p>
          <w:p w14:paraId="6BD3DCF5"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(0.001)</w:t>
            </w:r>
          </w:p>
        </w:tc>
        <w:tc>
          <w:tcPr>
            <w:tcW w:w="2254" w:type="dxa"/>
          </w:tcPr>
          <w:p w14:paraId="39D092F3"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-0.125</w:t>
            </w:r>
            <w:r w:rsidRPr="00F9197D">
              <w:rPr>
                <w:rFonts w:ascii="Times New Roman" w:hAnsi="Times New Roman" w:cs="Times New Roman"/>
                <w:vertAlign w:val="superscript"/>
              </w:rPr>
              <w:t>***</w:t>
            </w:r>
          </w:p>
          <w:p w14:paraId="11A23624"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(0.002)</w:t>
            </w:r>
          </w:p>
        </w:tc>
      </w:tr>
      <w:tr w:rsidR="00127AC2" w:rsidRPr="00F9197D" w14:paraId="67CAD7BF" w14:textId="77777777" w:rsidTr="00443A1A">
        <w:tc>
          <w:tcPr>
            <w:tcW w:w="2254" w:type="dxa"/>
          </w:tcPr>
          <w:p w14:paraId="084DAB6C" w14:textId="77777777" w:rsidR="00127AC2" w:rsidRPr="00F9197D" w:rsidRDefault="00127AC2" w:rsidP="00443A1A">
            <w:pPr>
              <w:jc w:val="center"/>
              <w:rPr>
                <w:rFonts w:ascii="Times New Roman" w:eastAsia="Aptos" w:hAnsi="Times New Roman" w:cs="Times New Roman"/>
                <w:iCs/>
                <w:color w:val="000000" w:themeColor="text1"/>
                <w:sz w:val="24"/>
                <w:szCs w:val="24"/>
              </w:rPr>
            </w:pPr>
            <w:r w:rsidRPr="00F9197D">
              <w:rPr>
                <w:rFonts w:ascii="Times New Roman" w:eastAsia="Aptos" w:hAnsi="Times New Roman" w:cs="Times New Roman"/>
                <w:iCs/>
                <w:color w:val="000000" w:themeColor="text1"/>
                <w:sz w:val="24"/>
                <w:szCs w:val="24"/>
              </w:rPr>
              <w:t>Controls</w:t>
            </w:r>
          </w:p>
        </w:tc>
        <w:tc>
          <w:tcPr>
            <w:tcW w:w="2254" w:type="dxa"/>
          </w:tcPr>
          <w:p w14:paraId="26B5F14D"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YES</w:t>
            </w:r>
          </w:p>
        </w:tc>
        <w:tc>
          <w:tcPr>
            <w:tcW w:w="2254" w:type="dxa"/>
          </w:tcPr>
          <w:p w14:paraId="2CF6F11D"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YES</w:t>
            </w:r>
          </w:p>
        </w:tc>
        <w:tc>
          <w:tcPr>
            <w:tcW w:w="2254" w:type="dxa"/>
          </w:tcPr>
          <w:p w14:paraId="188CACB8"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YES</w:t>
            </w:r>
          </w:p>
        </w:tc>
      </w:tr>
      <w:tr w:rsidR="00B556B3" w:rsidRPr="00F9197D" w14:paraId="3B91D146" w14:textId="77777777" w:rsidTr="00443A1A">
        <w:tc>
          <w:tcPr>
            <w:tcW w:w="2254" w:type="dxa"/>
          </w:tcPr>
          <w:p w14:paraId="5C85D639" w14:textId="4389024E" w:rsidR="00B556B3" w:rsidRPr="00F9197D" w:rsidRDefault="00B556B3" w:rsidP="00B556B3">
            <w:pPr>
              <w:jc w:val="center"/>
              <w:rPr>
                <w:rFonts w:ascii="Times New Roman" w:eastAsia="Aptos" w:hAnsi="Times New Roman" w:cs="Times New Roman"/>
                <w:iCs/>
                <w:color w:val="000000" w:themeColor="text1"/>
                <w:sz w:val="24"/>
                <w:szCs w:val="24"/>
              </w:rPr>
            </w:pPr>
            <w:r>
              <w:rPr>
                <w:rFonts w:ascii="Times New Roman" w:hAnsi="Times New Roman" w:cs="Times New Roman"/>
              </w:rPr>
              <w:t>Intercept</w:t>
            </w:r>
          </w:p>
        </w:tc>
        <w:tc>
          <w:tcPr>
            <w:tcW w:w="2254" w:type="dxa"/>
          </w:tcPr>
          <w:p w14:paraId="7A2A558E" w14:textId="77777777"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0.063</w:t>
            </w:r>
            <w:r w:rsidRPr="00F9197D">
              <w:rPr>
                <w:rFonts w:ascii="Times New Roman" w:hAnsi="Times New Roman" w:cs="Times New Roman"/>
                <w:vertAlign w:val="superscript"/>
              </w:rPr>
              <w:t>***</w:t>
            </w:r>
          </w:p>
          <w:p w14:paraId="15782BC4" w14:textId="45212604"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(0.000)</w:t>
            </w:r>
          </w:p>
        </w:tc>
        <w:tc>
          <w:tcPr>
            <w:tcW w:w="2254" w:type="dxa"/>
          </w:tcPr>
          <w:p w14:paraId="23BC43FE" w14:textId="77777777" w:rsidR="00B556B3" w:rsidRPr="00F9197D" w:rsidRDefault="00B556B3" w:rsidP="00B556B3">
            <w:pPr>
              <w:jc w:val="center"/>
              <w:rPr>
                <w:rFonts w:ascii="Times New Roman" w:hAnsi="Times New Roman" w:cs="Times New Roman"/>
                <w:vertAlign w:val="superscript"/>
              </w:rPr>
            </w:pPr>
            <w:r w:rsidRPr="00F9197D">
              <w:rPr>
                <w:rFonts w:ascii="Times New Roman" w:hAnsi="Times New Roman" w:cs="Times New Roman"/>
              </w:rPr>
              <w:t>0.186</w:t>
            </w:r>
            <w:r w:rsidRPr="00F9197D">
              <w:rPr>
                <w:rFonts w:ascii="Times New Roman" w:hAnsi="Times New Roman" w:cs="Times New Roman"/>
                <w:vertAlign w:val="superscript"/>
              </w:rPr>
              <w:t>***</w:t>
            </w:r>
          </w:p>
          <w:p w14:paraId="3E33B6A0" w14:textId="08892744"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(0.001)</w:t>
            </w:r>
          </w:p>
        </w:tc>
        <w:tc>
          <w:tcPr>
            <w:tcW w:w="2254" w:type="dxa"/>
          </w:tcPr>
          <w:p w14:paraId="10B413D4" w14:textId="77777777"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0.359</w:t>
            </w:r>
            <w:r w:rsidRPr="00F9197D">
              <w:rPr>
                <w:rFonts w:ascii="Times New Roman" w:hAnsi="Times New Roman" w:cs="Times New Roman"/>
                <w:vertAlign w:val="superscript"/>
              </w:rPr>
              <w:t>***</w:t>
            </w:r>
          </w:p>
          <w:p w14:paraId="60F1E958" w14:textId="6769615D"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(0.002)</w:t>
            </w:r>
          </w:p>
        </w:tc>
      </w:tr>
      <w:tr w:rsidR="00B556B3" w:rsidRPr="00F9197D" w14:paraId="11073C34" w14:textId="77777777" w:rsidTr="00443A1A">
        <w:tc>
          <w:tcPr>
            <w:tcW w:w="2254" w:type="dxa"/>
          </w:tcPr>
          <w:p w14:paraId="6BC3B079" w14:textId="1DDC6ABB" w:rsidR="00B556B3" w:rsidRPr="00F9197D" w:rsidRDefault="00B556B3" w:rsidP="00B556B3">
            <w:pPr>
              <w:jc w:val="center"/>
              <w:rPr>
                <w:rFonts w:ascii="Times New Roman" w:eastAsia="Aptos" w:hAnsi="Times New Roman" w:cs="Times New Roman"/>
                <w:iCs/>
                <w:color w:val="000000" w:themeColor="text1"/>
                <w:sz w:val="24"/>
                <w:szCs w:val="24"/>
              </w:rPr>
            </w:pPr>
            <w:r w:rsidRPr="00F9197D">
              <w:rPr>
                <w:rFonts w:ascii="Times New Roman" w:eastAsia="Aptos" w:hAnsi="Times New Roman" w:cs="Times New Roman"/>
                <w:iCs/>
                <w:color w:val="000000" w:themeColor="text1"/>
                <w:sz w:val="24"/>
                <w:szCs w:val="24"/>
              </w:rPr>
              <w:t>Ps</w:t>
            </w:r>
            <w:r w:rsidR="00E96008">
              <w:rPr>
                <w:rFonts w:ascii="Times New Roman" w:eastAsia="Aptos" w:hAnsi="Times New Roman" w:cs="Times New Roman"/>
                <w:iCs/>
                <w:color w:val="000000" w:themeColor="text1"/>
                <w:sz w:val="24"/>
                <w:szCs w:val="24"/>
              </w:rPr>
              <w:t>e</w:t>
            </w:r>
            <w:r w:rsidRPr="00F9197D">
              <w:rPr>
                <w:rFonts w:ascii="Times New Roman" w:eastAsia="Aptos" w:hAnsi="Times New Roman" w:cs="Times New Roman"/>
                <w:iCs/>
                <w:color w:val="000000" w:themeColor="text1"/>
                <w:sz w:val="24"/>
                <w:szCs w:val="24"/>
              </w:rPr>
              <w:t>udo R</w:t>
            </w:r>
            <w:r w:rsidRPr="00F9197D">
              <w:rPr>
                <w:rFonts w:ascii="Times New Roman" w:eastAsia="Aptos" w:hAnsi="Times New Roman" w:cs="Times New Roman"/>
                <w:iCs/>
                <w:color w:val="000000" w:themeColor="text1"/>
                <w:sz w:val="24"/>
                <w:szCs w:val="24"/>
                <w:vertAlign w:val="superscript"/>
              </w:rPr>
              <w:t>2</w:t>
            </w:r>
          </w:p>
        </w:tc>
        <w:tc>
          <w:tcPr>
            <w:tcW w:w="2254" w:type="dxa"/>
          </w:tcPr>
          <w:p w14:paraId="4D55F5FC" w14:textId="77777777"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0.033</w:t>
            </w:r>
          </w:p>
        </w:tc>
        <w:tc>
          <w:tcPr>
            <w:tcW w:w="2254" w:type="dxa"/>
          </w:tcPr>
          <w:p w14:paraId="75CAB144" w14:textId="77777777"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0.098</w:t>
            </w:r>
          </w:p>
        </w:tc>
        <w:tc>
          <w:tcPr>
            <w:tcW w:w="2254" w:type="dxa"/>
          </w:tcPr>
          <w:p w14:paraId="7BFF6D0B" w14:textId="77777777" w:rsidR="00B556B3" w:rsidRPr="00F9197D" w:rsidRDefault="00B556B3" w:rsidP="00B556B3">
            <w:pPr>
              <w:jc w:val="center"/>
              <w:rPr>
                <w:rFonts w:ascii="Times New Roman" w:hAnsi="Times New Roman" w:cs="Times New Roman"/>
              </w:rPr>
            </w:pPr>
            <w:r w:rsidRPr="00F9197D">
              <w:rPr>
                <w:rFonts w:ascii="Times New Roman" w:hAnsi="Times New Roman" w:cs="Times New Roman"/>
              </w:rPr>
              <w:t>0.234</w:t>
            </w:r>
          </w:p>
        </w:tc>
      </w:tr>
      <w:tr w:rsidR="00B556B3" w:rsidRPr="00F9197D" w14:paraId="11CE2E34" w14:textId="77777777" w:rsidTr="00443A1A">
        <w:tc>
          <w:tcPr>
            <w:tcW w:w="2254" w:type="dxa"/>
          </w:tcPr>
          <w:p w14:paraId="5D9D5E72" w14:textId="77777777" w:rsidR="00B556B3" w:rsidRPr="00F9197D" w:rsidRDefault="00B556B3" w:rsidP="00B556B3">
            <w:pPr>
              <w:jc w:val="center"/>
              <w:rPr>
                <w:rFonts w:ascii="Times New Roman" w:eastAsia="Aptos" w:hAnsi="Times New Roman" w:cs="Times New Roman"/>
                <w:iCs/>
                <w:color w:val="000000" w:themeColor="text1"/>
                <w:sz w:val="24"/>
                <w:szCs w:val="24"/>
              </w:rPr>
            </w:pPr>
            <w:r>
              <w:rPr>
                <w:rFonts w:ascii="Times New Roman" w:eastAsia="Aptos" w:hAnsi="Times New Roman" w:cs="Times New Roman"/>
                <w:iCs/>
                <w:color w:val="000000" w:themeColor="text1"/>
                <w:sz w:val="24"/>
                <w:szCs w:val="24"/>
              </w:rPr>
              <w:t>Obs.</w:t>
            </w:r>
          </w:p>
        </w:tc>
        <w:tc>
          <w:tcPr>
            <w:tcW w:w="2254" w:type="dxa"/>
          </w:tcPr>
          <w:p w14:paraId="793D2728" w14:textId="77777777" w:rsidR="00B556B3" w:rsidRPr="00F9197D" w:rsidRDefault="00B556B3" w:rsidP="00B556B3">
            <w:pPr>
              <w:jc w:val="center"/>
              <w:rPr>
                <w:rFonts w:ascii="Times New Roman" w:hAnsi="Times New Roman" w:cs="Times New Roman"/>
              </w:rPr>
            </w:pPr>
            <w:r w:rsidRPr="007E39E0">
              <w:rPr>
                <w:rFonts w:ascii="Times New Roman" w:hAnsi="Times New Roman" w:cs="Times New Roman"/>
                <w:color w:val="000000" w:themeColor="text1"/>
                <w:sz w:val="24"/>
                <w:szCs w:val="24"/>
              </w:rPr>
              <w:t>183516</w:t>
            </w:r>
          </w:p>
        </w:tc>
        <w:tc>
          <w:tcPr>
            <w:tcW w:w="2254" w:type="dxa"/>
          </w:tcPr>
          <w:p w14:paraId="3A143160" w14:textId="77777777" w:rsidR="00B556B3" w:rsidRPr="00F9197D" w:rsidRDefault="00B556B3" w:rsidP="00B556B3">
            <w:pPr>
              <w:jc w:val="center"/>
              <w:rPr>
                <w:rFonts w:ascii="Times New Roman" w:hAnsi="Times New Roman" w:cs="Times New Roman"/>
              </w:rPr>
            </w:pPr>
            <w:r w:rsidRPr="00E64903">
              <w:rPr>
                <w:rFonts w:ascii="Times New Roman" w:hAnsi="Times New Roman" w:cs="Times New Roman"/>
                <w:color w:val="000000" w:themeColor="text1"/>
                <w:sz w:val="24"/>
                <w:szCs w:val="24"/>
              </w:rPr>
              <w:t>183516</w:t>
            </w:r>
          </w:p>
        </w:tc>
        <w:tc>
          <w:tcPr>
            <w:tcW w:w="2254" w:type="dxa"/>
          </w:tcPr>
          <w:p w14:paraId="33B715DA" w14:textId="77777777" w:rsidR="00B556B3" w:rsidRPr="00F9197D" w:rsidRDefault="00B556B3" w:rsidP="00B556B3">
            <w:pPr>
              <w:jc w:val="center"/>
              <w:rPr>
                <w:rFonts w:ascii="Times New Roman" w:hAnsi="Times New Roman" w:cs="Times New Roman"/>
              </w:rPr>
            </w:pPr>
            <w:r w:rsidRPr="00E64903">
              <w:rPr>
                <w:rFonts w:ascii="Times New Roman" w:hAnsi="Times New Roman" w:cs="Times New Roman"/>
                <w:color w:val="000000" w:themeColor="text1"/>
                <w:sz w:val="24"/>
                <w:szCs w:val="24"/>
              </w:rPr>
              <w:t>183516</w:t>
            </w:r>
          </w:p>
        </w:tc>
      </w:tr>
    </w:tbl>
    <w:p w14:paraId="2DCF4AD9" w14:textId="3F78B917" w:rsidR="00127AC2" w:rsidRPr="008F5E60" w:rsidRDefault="00870FD0" w:rsidP="008F5E60">
      <w:pPr>
        <w:jc w:val="both"/>
        <w:rPr>
          <w:rFonts w:ascii="Times New Roman" w:hAnsi="Times New Roman" w:cs="Times New Roman"/>
          <w:sz w:val="18"/>
          <w:szCs w:val="18"/>
        </w:rPr>
      </w:pPr>
      <w:r w:rsidRPr="00870FD0">
        <w:rPr>
          <w:rFonts w:ascii="Times New Roman" w:hAnsi="Times New Roman" w:cs="Times New Roman"/>
          <w:b/>
          <w:bCs/>
        </w:rPr>
        <w:t>Note:</w:t>
      </w:r>
      <w:r>
        <w:rPr>
          <w:rFonts w:ascii="Times New Roman" w:hAnsi="Times New Roman" w:cs="Times New Roman"/>
        </w:rPr>
        <w:t xml:space="preserve"> </w:t>
      </w:r>
      <w:r w:rsidR="009B5F15" w:rsidRPr="008F5E60">
        <w:rPr>
          <w:rFonts w:ascii="Times New Roman" w:hAnsi="Times New Roman" w:cs="Times New Roman"/>
          <w:sz w:val="18"/>
          <w:szCs w:val="18"/>
        </w:rPr>
        <w:t xml:space="preserve">The results pertain to panel unconditional quantile regression. </w:t>
      </w:r>
      <w:r w:rsidR="00127AC2" w:rsidRPr="008F5E60">
        <w:rPr>
          <w:rFonts w:ascii="Times New Roman" w:hAnsi="Times New Roman" w:cs="Times New Roman"/>
          <w:sz w:val="18"/>
          <w:szCs w:val="18"/>
        </w:rPr>
        <w:t>*** indicates significant at 1%; Quantile regression component: Huber Sandwich Standard Errors and Covariance; Bandwidth Method: Hall-</w:t>
      </w:r>
      <w:proofErr w:type="spellStart"/>
      <w:r w:rsidR="00127AC2" w:rsidRPr="008F5E60">
        <w:rPr>
          <w:rFonts w:ascii="Times New Roman" w:hAnsi="Times New Roman" w:cs="Times New Roman"/>
          <w:sz w:val="18"/>
          <w:szCs w:val="18"/>
        </w:rPr>
        <w:t>Sheather</w:t>
      </w:r>
      <w:proofErr w:type="spellEnd"/>
      <w:r w:rsidR="00127AC2" w:rsidRPr="008F5E60">
        <w:rPr>
          <w:rFonts w:ascii="Times New Roman" w:hAnsi="Times New Roman" w:cs="Times New Roman"/>
          <w:sz w:val="18"/>
          <w:szCs w:val="18"/>
        </w:rPr>
        <w:t xml:space="preserve"> (</w:t>
      </w:r>
      <w:proofErr w:type="spellStart"/>
      <w:r w:rsidR="00127AC2" w:rsidRPr="008F5E60">
        <w:rPr>
          <w:rFonts w:ascii="Times New Roman" w:hAnsi="Times New Roman" w:cs="Times New Roman"/>
          <w:sz w:val="18"/>
          <w:szCs w:val="18"/>
        </w:rPr>
        <w:t>bw</w:t>
      </w:r>
      <w:proofErr w:type="spellEnd"/>
      <w:r w:rsidR="00127AC2" w:rsidRPr="008F5E60">
        <w:rPr>
          <w:rFonts w:ascii="Times New Roman" w:hAnsi="Times New Roman" w:cs="Times New Roman"/>
          <w:sz w:val="18"/>
          <w:szCs w:val="18"/>
        </w:rPr>
        <w:t xml:space="preserve">=0.013 for tau = 0.25; </w:t>
      </w:r>
      <w:proofErr w:type="spellStart"/>
      <w:r w:rsidR="00127AC2" w:rsidRPr="008F5E60">
        <w:rPr>
          <w:rFonts w:ascii="Times New Roman" w:hAnsi="Times New Roman" w:cs="Times New Roman"/>
          <w:sz w:val="18"/>
          <w:szCs w:val="18"/>
        </w:rPr>
        <w:t>bw</w:t>
      </w:r>
      <w:proofErr w:type="spellEnd"/>
      <w:r w:rsidR="00127AC2" w:rsidRPr="008F5E60">
        <w:rPr>
          <w:rFonts w:ascii="Times New Roman" w:hAnsi="Times New Roman" w:cs="Times New Roman"/>
          <w:sz w:val="18"/>
          <w:szCs w:val="18"/>
        </w:rPr>
        <w:t xml:space="preserve">=0.019 for tau = 0.50 and </w:t>
      </w:r>
      <w:proofErr w:type="spellStart"/>
      <w:r w:rsidR="00127AC2" w:rsidRPr="008F5E60">
        <w:rPr>
          <w:rFonts w:ascii="Times New Roman" w:hAnsi="Times New Roman" w:cs="Times New Roman"/>
          <w:sz w:val="18"/>
          <w:szCs w:val="18"/>
        </w:rPr>
        <w:t>bw</w:t>
      </w:r>
      <w:proofErr w:type="spellEnd"/>
      <w:r w:rsidR="00127AC2" w:rsidRPr="008F5E60">
        <w:rPr>
          <w:rFonts w:ascii="Times New Roman" w:hAnsi="Times New Roman" w:cs="Times New Roman"/>
          <w:sz w:val="18"/>
          <w:szCs w:val="18"/>
        </w:rPr>
        <w:t>=0.013 for tau = 0.75); Sparsity Method: Kernel (</w:t>
      </w:r>
      <w:proofErr w:type="spellStart"/>
      <w:r w:rsidR="00127AC2" w:rsidRPr="008F5E60">
        <w:rPr>
          <w:rFonts w:ascii="Times New Roman" w:hAnsi="Times New Roman" w:cs="Times New Roman"/>
          <w:sz w:val="18"/>
          <w:szCs w:val="18"/>
        </w:rPr>
        <w:t>Epanechnikov</w:t>
      </w:r>
      <w:proofErr w:type="spellEnd"/>
      <w:r w:rsidR="00127AC2" w:rsidRPr="008F5E60">
        <w:rPr>
          <w:rFonts w:ascii="Times New Roman" w:hAnsi="Times New Roman" w:cs="Times New Roman"/>
          <w:sz w:val="18"/>
          <w:szCs w:val="18"/>
        </w:rPr>
        <w:t>) using residuals.</w:t>
      </w:r>
      <w:r w:rsidR="008F5E60" w:rsidRPr="008F5E60">
        <w:rPr>
          <w:rFonts w:ascii="Times New Roman" w:hAnsi="Times New Roman" w:cs="Times New Roman"/>
          <w:sz w:val="18"/>
          <w:szCs w:val="18"/>
        </w:rPr>
        <w:t xml:space="preserve"> </w:t>
      </w:r>
      <w:r w:rsidR="008F5E60" w:rsidRPr="008F5E60">
        <w:rPr>
          <w:rFonts w:ascii="Times New Roman" w:hAnsi="Times New Roman" w:cs="Times New Roman"/>
          <w:i/>
          <w:color w:val="000000" w:themeColor="text1"/>
          <w:sz w:val="18"/>
          <w:szCs w:val="18"/>
          <w:lang w:val="en-US"/>
        </w:rPr>
        <w:t>Cash</w:t>
      </w:r>
      <w:r w:rsidR="008F5E60" w:rsidRPr="008F5E60">
        <w:rPr>
          <w:rFonts w:ascii="Times New Roman" w:hAnsi="Times New Roman" w:cs="Times New Roman"/>
          <w:color w:val="000000" w:themeColor="text1"/>
          <w:sz w:val="18"/>
          <w:szCs w:val="18"/>
          <w:lang w:val="en-US"/>
        </w:rPr>
        <w:t xml:space="preserve"> is defined as cash and cash equivalents divided by net total assets</w:t>
      </w:r>
      <w:r w:rsidR="008F5E60" w:rsidRPr="008F5E60">
        <w:rPr>
          <w:rFonts w:ascii="Times New Roman" w:eastAsia="Calibri" w:hAnsi="Times New Roman" w:cs="Times New Roman"/>
          <w:color w:val="000000" w:themeColor="text1"/>
          <w:sz w:val="18"/>
          <w:szCs w:val="18"/>
        </w:rPr>
        <w:t xml:space="preserve"> </w:t>
      </w:r>
      <w:r w:rsidR="008F5E60" w:rsidRPr="008F5E60">
        <w:rPr>
          <w:rFonts w:ascii="Times New Roman" w:hAnsi="Times New Roman" w:cs="Times New Roman"/>
          <w:color w:val="000000" w:themeColor="text1"/>
          <w:sz w:val="18"/>
          <w:szCs w:val="18"/>
          <w:lang w:val="en-US"/>
        </w:rPr>
        <w:t xml:space="preserve">(total assets less cash and cash equivalents). Controls include </w:t>
      </w:r>
      <w:r w:rsidR="008F5E60" w:rsidRPr="008F5E60">
        <w:rPr>
          <w:rFonts w:ascii="Times New Roman" w:hAnsi="Times New Roman" w:cs="Times New Roman"/>
          <w:i/>
          <w:color w:val="000000" w:themeColor="text1"/>
          <w:sz w:val="18"/>
          <w:szCs w:val="18"/>
          <w:lang w:val="en-US"/>
        </w:rPr>
        <w:t>NWC</w:t>
      </w:r>
      <w:r w:rsidR="008F5E60" w:rsidRPr="008F5E60">
        <w:rPr>
          <w:rFonts w:ascii="Times New Roman" w:hAnsi="Times New Roman" w:cs="Times New Roman"/>
          <w:color w:val="000000" w:themeColor="text1"/>
          <w:sz w:val="18"/>
          <w:szCs w:val="18"/>
          <w:lang w:val="en-US"/>
        </w:rPr>
        <w:t xml:space="preserve">, </w:t>
      </w:r>
      <w:r w:rsidR="008F5E60" w:rsidRPr="008F5E60">
        <w:rPr>
          <w:rFonts w:ascii="Times New Roman" w:hAnsi="Times New Roman" w:cs="Times New Roman"/>
          <w:i/>
          <w:color w:val="000000" w:themeColor="text1"/>
          <w:sz w:val="18"/>
          <w:szCs w:val="18"/>
          <w:lang w:val="en-US"/>
        </w:rPr>
        <w:t>PPE</w:t>
      </w:r>
      <w:r w:rsidR="008F5E60" w:rsidRPr="008F5E60">
        <w:rPr>
          <w:rFonts w:ascii="Times New Roman" w:hAnsi="Times New Roman" w:cs="Times New Roman"/>
          <w:color w:val="000000" w:themeColor="text1"/>
          <w:sz w:val="18"/>
          <w:szCs w:val="18"/>
          <w:lang w:val="en-US"/>
        </w:rPr>
        <w:t xml:space="preserve">, </w:t>
      </w:r>
      <w:r w:rsidR="008F5E60" w:rsidRPr="008F5E60">
        <w:rPr>
          <w:rFonts w:ascii="Times New Roman" w:hAnsi="Times New Roman" w:cs="Times New Roman"/>
          <w:i/>
          <w:color w:val="000000" w:themeColor="text1"/>
          <w:sz w:val="18"/>
          <w:szCs w:val="18"/>
          <w:lang w:val="en-US"/>
        </w:rPr>
        <w:t>R&amp;D</w:t>
      </w:r>
      <w:r w:rsidR="008F5E60" w:rsidRPr="008F5E60">
        <w:rPr>
          <w:rFonts w:ascii="Times New Roman" w:hAnsi="Times New Roman" w:cs="Times New Roman"/>
          <w:color w:val="000000" w:themeColor="text1"/>
          <w:sz w:val="18"/>
          <w:szCs w:val="18"/>
          <w:lang w:val="en-US"/>
        </w:rPr>
        <w:t xml:space="preserve"> is R&amp;D and </w:t>
      </w:r>
      <w:r w:rsidR="008F5E60" w:rsidRPr="008F5E60">
        <w:rPr>
          <w:rFonts w:ascii="Times New Roman" w:hAnsi="Times New Roman" w:cs="Times New Roman"/>
          <w:i/>
          <w:color w:val="000000" w:themeColor="text1"/>
          <w:sz w:val="18"/>
          <w:szCs w:val="18"/>
          <w:lang w:val="en-US"/>
        </w:rPr>
        <w:t>Leverage</w:t>
      </w:r>
      <w:r w:rsidR="008F5E60" w:rsidRPr="008F5E60">
        <w:rPr>
          <w:rFonts w:ascii="Times New Roman" w:hAnsi="Times New Roman" w:cs="Times New Roman"/>
          <w:color w:val="000000" w:themeColor="text1"/>
          <w:sz w:val="18"/>
          <w:szCs w:val="18"/>
          <w:lang w:val="en-US"/>
        </w:rPr>
        <w:t xml:space="preserve">. </w:t>
      </w:r>
      <w:proofErr w:type="spellStart"/>
      <w:r w:rsidR="008F5E60" w:rsidRPr="008F5E60">
        <w:rPr>
          <w:rFonts w:ascii="Times New Roman" w:eastAsia="Calibri" w:hAnsi="Times New Roman" w:cs="Times New Roman"/>
          <w:i/>
          <w:color w:val="000000" w:themeColor="text1"/>
          <w:sz w:val="18"/>
          <w:szCs w:val="18"/>
        </w:rPr>
        <w:t>Ins_Own</w:t>
      </w:r>
      <w:proofErr w:type="spellEnd"/>
      <w:r w:rsidR="008F5E60" w:rsidRPr="008F5E60">
        <w:rPr>
          <w:rFonts w:ascii="Times New Roman" w:eastAsia="Calibri" w:hAnsi="Times New Roman" w:cs="Times New Roman"/>
          <w:color w:val="000000" w:themeColor="text1"/>
          <w:sz w:val="18"/>
          <w:szCs w:val="18"/>
        </w:rPr>
        <w:t xml:space="preserve"> is the institutional investments (in USD million) divided by last year market value of equity.</w:t>
      </w:r>
    </w:p>
    <w:p w14:paraId="04772507" w14:textId="77777777" w:rsidR="00127AC2" w:rsidRDefault="00127AC2" w:rsidP="00127AC2">
      <w:pPr>
        <w:jc w:val="both"/>
        <w:rPr>
          <w:rFonts w:ascii="Times New Roman" w:hAnsi="Times New Roman" w:cs="Times New Roman"/>
        </w:rPr>
      </w:pPr>
    </w:p>
    <w:p w14:paraId="69D427E0" w14:textId="77777777" w:rsidR="00127AC2" w:rsidRPr="009A64BD" w:rsidRDefault="00127AC2" w:rsidP="00127AC2">
      <w:pPr>
        <w:rPr>
          <w:rFonts w:ascii="Times New Roman" w:hAnsi="Times New Roman" w:cs="Times New Roman"/>
          <w:b/>
          <w:bCs/>
        </w:rPr>
      </w:pPr>
      <w:r w:rsidRPr="009A64BD">
        <w:rPr>
          <w:rFonts w:ascii="Times New Roman" w:hAnsi="Times New Roman" w:cs="Times New Roman"/>
          <w:b/>
          <w:bCs/>
        </w:rPr>
        <w:t>Panel B: Emerging Market</w:t>
      </w:r>
    </w:p>
    <w:tbl>
      <w:tblPr>
        <w:tblStyle w:val="TableGrid"/>
        <w:tblW w:w="0" w:type="auto"/>
        <w:tblLook w:val="04A0" w:firstRow="1" w:lastRow="0" w:firstColumn="1" w:lastColumn="0" w:noHBand="0" w:noVBand="1"/>
      </w:tblPr>
      <w:tblGrid>
        <w:gridCol w:w="2254"/>
        <w:gridCol w:w="2254"/>
        <w:gridCol w:w="2254"/>
        <w:gridCol w:w="2254"/>
      </w:tblGrid>
      <w:tr w:rsidR="00127AC2" w:rsidRPr="00F9197D" w14:paraId="4077200C" w14:textId="77777777" w:rsidTr="00443A1A">
        <w:tc>
          <w:tcPr>
            <w:tcW w:w="2254" w:type="dxa"/>
          </w:tcPr>
          <w:p w14:paraId="0B0AAE45" w14:textId="77777777" w:rsidR="00127AC2" w:rsidRPr="00F9197D" w:rsidRDefault="00127AC2" w:rsidP="00443A1A">
            <w:pPr>
              <w:rPr>
                <w:rFonts w:ascii="Times New Roman" w:hAnsi="Times New Roman" w:cs="Times New Roman"/>
                <w:b/>
                <w:bCs/>
              </w:rPr>
            </w:pPr>
            <w:r w:rsidRPr="00F9197D">
              <w:rPr>
                <w:rFonts w:ascii="Times New Roman" w:hAnsi="Times New Roman" w:cs="Times New Roman"/>
                <w:b/>
                <w:bCs/>
              </w:rPr>
              <w:t>Variable</w:t>
            </w:r>
          </w:p>
        </w:tc>
        <w:tc>
          <w:tcPr>
            <w:tcW w:w="2254" w:type="dxa"/>
          </w:tcPr>
          <w:p w14:paraId="33CC4424" w14:textId="472023CE" w:rsidR="00127AC2" w:rsidRPr="009A64BD" w:rsidRDefault="009A347B" w:rsidP="00443A1A">
            <w:pPr>
              <w:jc w:val="center"/>
              <w:rPr>
                <w:rFonts w:ascii="Times New Roman" w:hAnsi="Times New Roman" w:cs="Times New Roman"/>
                <w:b/>
                <w:bCs/>
              </w:rPr>
            </w:pPr>
            <w:r>
              <w:rPr>
                <w:rFonts w:ascii="Times New Roman" w:hAnsi="Times New Roman" w:cs="Times New Roman"/>
                <w:b/>
                <w:bCs/>
              </w:rPr>
              <w:t xml:space="preserve">Quantile: </w:t>
            </w:r>
            <w:r w:rsidR="00127AC2" w:rsidRPr="009A64BD">
              <w:rPr>
                <w:rFonts w:ascii="Times New Roman" w:hAnsi="Times New Roman" w:cs="Times New Roman"/>
                <w:b/>
                <w:bCs/>
              </w:rPr>
              <w:t>0.25</w:t>
            </w:r>
          </w:p>
        </w:tc>
        <w:tc>
          <w:tcPr>
            <w:tcW w:w="2254" w:type="dxa"/>
          </w:tcPr>
          <w:p w14:paraId="3E5EDFF6" w14:textId="07C40113" w:rsidR="00127AC2" w:rsidRPr="009A64BD" w:rsidRDefault="009A347B" w:rsidP="00443A1A">
            <w:pPr>
              <w:jc w:val="center"/>
              <w:rPr>
                <w:rFonts w:ascii="Times New Roman" w:hAnsi="Times New Roman" w:cs="Times New Roman"/>
                <w:b/>
                <w:bCs/>
              </w:rPr>
            </w:pPr>
            <w:r>
              <w:rPr>
                <w:rFonts w:ascii="Times New Roman" w:hAnsi="Times New Roman" w:cs="Times New Roman"/>
                <w:b/>
                <w:bCs/>
              </w:rPr>
              <w:t xml:space="preserve">Quantile: </w:t>
            </w:r>
            <w:r w:rsidR="00127AC2" w:rsidRPr="009A64BD">
              <w:rPr>
                <w:rFonts w:ascii="Times New Roman" w:hAnsi="Times New Roman" w:cs="Times New Roman"/>
                <w:b/>
                <w:bCs/>
              </w:rPr>
              <w:t>0.50</w:t>
            </w:r>
          </w:p>
        </w:tc>
        <w:tc>
          <w:tcPr>
            <w:tcW w:w="2254" w:type="dxa"/>
          </w:tcPr>
          <w:p w14:paraId="58C2B3C3" w14:textId="1BB2A561" w:rsidR="00127AC2" w:rsidRPr="009A64BD" w:rsidRDefault="009A347B" w:rsidP="00443A1A">
            <w:pPr>
              <w:jc w:val="center"/>
              <w:rPr>
                <w:rFonts w:ascii="Times New Roman" w:hAnsi="Times New Roman" w:cs="Times New Roman"/>
                <w:b/>
                <w:bCs/>
              </w:rPr>
            </w:pPr>
            <w:r>
              <w:rPr>
                <w:rFonts w:ascii="Times New Roman" w:hAnsi="Times New Roman" w:cs="Times New Roman"/>
                <w:b/>
                <w:bCs/>
              </w:rPr>
              <w:t xml:space="preserve">Quantile: </w:t>
            </w:r>
            <w:r w:rsidR="00127AC2" w:rsidRPr="009A64BD">
              <w:rPr>
                <w:rFonts w:ascii="Times New Roman" w:hAnsi="Times New Roman" w:cs="Times New Roman"/>
                <w:b/>
                <w:bCs/>
              </w:rPr>
              <w:t>0.75</w:t>
            </w:r>
          </w:p>
        </w:tc>
      </w:tr>
      <w:tr w:rsidR="00127AC2" w:rsidRPr="00F9197D" w14:paraId="0CF307AC" w14:textId="77777777" w:rsidTr="00443A1A">
        <w:tc>
          <w:tcPr>
            <w:tcW w:w="2254" w:type="dxa"/>
          </w:tcPr>
          <w:p w14:paraId="35154EE4" w14:textId="077C48BB" w:rsidR="00127AC2" w:rsidRPr="00F9197D" w:rsidRDefault="00127AC2" w:rsidP="00443A1A">
            <w:pPr>
              <w:jc w:val="center"/>
              <w:rPr>
                <w:rFonts w:ascii="Times New Roman" w:hAnsi="Times New Roman" w:cs="Times New Roman"/>
              </w:rPr>
            </w:pPr>
          </w:p>
        </w:tc>
        <w:tc>
          <w:tcPr>
            <w:tcW w:w="2254" w:type="dxa"/>
          </w:tcPr>
          <w:p w14:paraId="0F514D3D" w14:textId="65E46ED2" w:rsidR="00127AC2" w:rsidRPr="00F9197D" w:rsidRDefault="00127AC2" w:rsidP="00443A1A">
            <w:pPr>
              <w:jc w:val="center"/>
              <w:rPr>
                <w:rFonts w:ascii="Times New Roman" w:hAnsi="Times New Roman" w:cs="Times New Roman"/>
              </w:rPr>
            </w:pPr>
          </w:p>
        </w:tc>
        <w:tc>
          <w:tcPr>
            <w:tcW w:w="2254" w:type="dxa"/>
          </w:tcPr>
          <w:p w14:paraId="2EB2BA24" w14:textId="7C8A6F80" w:rsidR="00127AC2" w:rsidRPr="00F9197D" w:rsidRDefault="00127AC2" w:rsidP="00443A1A">
            <w:pPr>
              <w:jc w:val="center"/>
              <w:rPr>
                <w:rFonts w:ascii="Times New Roman" w:hAnsi="Times New Roman" w:cs="Times New Roman"/>
              </w:rPr>
            </w:pPr>
          </w:p>
        </w:tc>
        <w:tc>
          <w:tcPr>
            <w:tcW w:w="2254" w:type="dxa"/>
          </w:tcPr>
          <w:p w14:paraId="05D66526" w14:textId="3B606834" w:rsidR="00127AC2" w:rsidRPr="00F9197D" w:rsidRDefault="00127AC2" w:rsidP="00443A1A">
            <w:pPr>
              <w:jc w:val="center"/>
              <w:rPr>
                <w:rFonts w:ascii="Times New Roman" w:hAnsi="Times New Roman" w:cs="Times New Roman"/>
              </w:rPr>
            </w:pPr>
          </w:p>
        </w:tc>
      </w:tr>
      <w:tr w:rsidR="00127AC2" w:rsidRPr="00F9197D" w14:paraId="0F39A410" w14:textId="77777777" w:rsidTr="00443A1A">
        <w:tc>
          <w:tcPr>
            <w:tcW w:w="2254" w:type="dxa"/>
          </w:tcPr>
          <w:p w14:paraId="627A130B"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Cash</w:t>
            </w:r>
            <w:r w:rsidRPr="00F9197D">
              <w:rPr>
                <w:rFonts w:ascii="Times New Roman" w:hAnsi="Times New Roman" w:cs="Times New Roman"/>
                <w:vertAlign w:val="subscript"/>
              </w:rPr>
              <w:t>it-1</w:t>
            </w:r>
          </w:p>
        </w:tc>
        <w:tc>
          <w:tcPr>
            <w:tcW w:w="2254" w:type="dxa"/>
          </w:tcPr>
          <w:p w14:paraId="00398ABB"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w:t>
            </w:r>
            <w:r>
              <w:rPr>
                <w:rFonts w:ascii="Times New Roman" w:hAnsi="Times New Roman" w:cs="Times New Roman"/>
              </w:rPr>
              <w:t>15</w:t>
            </w:r>
            <w:r w:rsidRPr="00F9197D">
              <w:rPr>
                <w:rFonts w:ascii="Times New Roman" w:hAnsi="Times New Roman" w:cs="Times New Roman"/>
                <w:vertAlign w:val="superscript"/>
              </w:rPr>
              <w:t>***</w:t>
            </w:r>
          </w:p>
          <w:p w14:paraId="3A8BD378"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(0.001)</w:t>
            </w:r>
          </w:p>
        </w:tc>
        <w:tc>
          <w:tcPr>
            <w:tcW w:w="2254" w:type="dxa"/>
          </w:tcPr>
          <w:p w14:paraId="213C6A87"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0.1</w:t>
            </w:r>
            <w:r>
              <w:rPr>
                <w:rFonts w:ascii="Times New Roman" w:hAnsi="Times New Roman" w:cs="Times New Roman"/>
              </w:rPr>
              <w:t>43</w:t>
            </w:r>
            <w:r w:rsidRPr="00F9197D">
              <w:rPr>
                <w:rFonts w:ascii="Times New Roman" w:hAnsi="Times New Roman" w:cs="Times New Roman"/>
                <w:vertAlign w:val="superscript"/>
              </w:rPr>
              <w:t>***</w:t>
            </w:r>
          </w:p>
          <w:p w14:paraId="25CF8D4B"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w:t>
            </w:r>
            <w:r>
              <w:rPr>
                <w:rFonts w:ascii="Times New Roman" w:hAnsi="Times New Roman" w:cs="Times New Roman"/>
              </w:rPr>
              <w:t>3</w:t>
            </w:r>
            <w:r w:rsidRPr="00F9197D">
              <w:rPr>
                <w:rFonts w:ascii="Times New Roman" w:hAnsi="Times New Roman" w:cs="Times New Roman"/>
              </w:rPr>
              <w:t>)</w:t>
            </w:r>
          </w:p>
        </w:tc>
        <w:tc>
          <w:tcPr>
            <w:tcW w:w="2254" w:type="dxa"/>
          </w:tcPr>
          <w:p w14:paraId="266C3E54"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w:t>
            </w:r>
            <w:r>
              <w:rPr>
                <w:rFonts w:ascii="Times New Roman" w:hAnsi="Times New Roman" w:cs="Times New Roman"/>
              </w:rPr>
              <w:t>186</w:t>
            </w:r>
            <w:r w:rsidRPr="00F9197D">
              <w:rPr>
                <w:rFonts w:ascii="Times New Roman" w:hAnsi="Times New Roman" w:cs="Times New Roman"/>
                <w:vertAlign w:val="superscript"/>
              </w:rPr>
              <w:t>***</w:t>
            </w:r>
          </w:p>
          <w:p w14:paraId="219FEC51"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w:t>
            </w:r>
            <w:r>
              <w:rPr>
                <w:rFonts w:ascii="Times New Roman" w:hAnsi="Times New Roman" w:cs="Times New Roman"/>
              </w:rPr>
              <w:t>5</w:t>
            </w:r>
            <w:r w:rsidRPr="00F9197D">
              <w:rPr>
                <w:rFonts w:ascii="Times New Roman" w:hAnsi="Times New Roman" w:cs="Times New Roman"/>
              </w:rPr>
              <w:t>)</w:t>
            </w:r>
          </w:p>
        </w:tc>
      </w:tr>
      <w:tr w:rsidR="00127AC2" w:rsidRPr="00F9197D" w14:paraId="6B9BAB04" w14:textId="77777777" w:rsidTr="00443A1A">
        <w:tc>
          <w:tcPr>
            <w:tcW w:w="2254" w:type="dxa"/>
          </w:tcPr>
          <w:p w14:paraId="3157BBFA" w14:textId="77777777" w:rsidR="00127AC2" w:rsidRPr="00F9197D" w:rsidRDefault="00000000" w:rsidP="00443A1A">
            <w:pPr>
              <w:jc w:val="center"/>
              <w:rPr>
                <w:rFonts w:ascii="Times New Roman" w:hAnsi="Times New Roman" w:cs="Times New Roman"/>
              </w:rPr>
            </w:pPr>
            <m:oMathPara>
              <m:oMath>
                <m:sSub>
                  <m:sSubPr>
                    <m:ctrlPr>
                      <w:rPr>
                        <w:rFonts w:ascii="Cambria Math" w:hAnsi="Cambria Math" w:cs="Times New Roman"/>
                        <w:iCs/>
                        <w:color w:val="000000" w:themeColor="text1"/>
                        <w:sz w:val="24"/>
                        <w:szCs w:val="24"/>
                      </w:rPr>
                    </m:ctrlPr>
                  </m:sSubPr>
                  <m:e>
                    <m:r>
                      <m:rPr>
                        <m:sty m:val="p"/>
                      </m:rPr>
                      <w:rPr>
                        <w:rFonts w:ascii="Cambria Math" w:hAnsi="Cambria Math" w:cs="Times New Roman"/>
                        <w:color w:val="000000" w:themeColor="text1"/>
                        <w:sz w:val="24"/>
                        <w:szCs w:val="24"/>
                      </w:rPr>
                      <m:t>inst_own</m:t>
                    </m:r>
                  </m:e>
                  <m:sub>
                    <m:r>
                      <m:rPr>
                        <m:sty m:val="p"/>
                      </m:rPr>
                      <w:rPr>
                        <w:rFonts w:ascii="Cambria Math" w:hAnsi="Cambria Math" w:cs="Times New Roman"/>
                        <w:color w:val="000000" w:themeColor="text1"/>
                        <w:sz w:val="24"/>
                        <w:szCs w:val="24"/>
                      </w:rPr>
                      <m:t>it</m:t>
                    </m:r>
                  </m:sub>
                </m:sSub>
              </m:oMath>
            </m:oMathPara>
          </w:p>
        </w:tc>
        <w:tc>
          <w:tcPr>
            <w:tcW w:w="2254" w:type="dxa"/>
          </w:tcPr>
          <w:p w14:paraId="0DD32836"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w:t>
            </w:r>
            <w:r>
              <w:rPr>
                <w:rFonts w:ascii="Times New Roman" w:hAnsi="Times New Roman" w:cs="Times New Roman"/>
              </w:rPr>
              <w:t>01</w:t>
            </w:r>
            <w:r w:rsidRPr="00F9197D">
              <w:rPr>
                <w:rFonts w:ascii="Times New Roman" w:hAnsi="Times New Roman" w:cs="Times New Roman"/>
                <w:vertAlign w:val="superscript"/>
              </w:rPr>
              <w:t>***</w:t>
            </w:r>
          </w:p>
          <w:p w14:paraId="78BA508B"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(0.000)</w:t>
            </w:r>
          </w:p>
        </w:tc>
        <w:tc>
          <w:tcPr>
            <w:tcW w:w="2254" w:type="dxa"/>
          </w:tcPr>
          <w:p w14:paraId="1EB0D5CA"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w:t>
            </w:r>
            <w:r>
              <w:rPr>
                <w:rFonts w:ascii="Times New Roman" w:hAnsi="Times New Roman" w:cs="Times New Roman"/>
              </w:rPr>
              <w:t>93</w:t>
            </w:r>
            <w:r w:rsidRPr="00F9197D">
              <w:rPr>
                <w:rFonts w:ascii="Times New Roman" w:hAnsi="Times New Roman" w:cs="Times New Roman"/>
                <w:vertAlign w:val="superscript"/>
              </w:rPr>
              <w:t>***</w:t>
            </w:r>
          </w:p>
          <w:p w14:paraId="01067270"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(0.001)</w:t>
            </w:r>
          </w:p>
        </w:tc>
        <w:tc>
          <w:tcPr>
            <w:tcW w:w="2254" w:type="dxa"/>
          </w:tcPr>
          <w:p w14:paraId="6F60F42C"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-0.1</w:t>
            </w:r>
            <w:r>
              <w:rPr>
                <w:rFonts w:ascii="Times New Roman" w:hAnsi="Times New Roman" w:cs="Times New Roman"/>
              </w:rPr>
              <w:t>61</w:t>
            </w:r>
            <w:r w:rsidRPr="00F9197D">
              <w:rPr>
                <w:rFonts w:ascii="Times New Roman" w:hAnsi="Times New Roman" w:cs="Times New Roman"/>
                <w:vertAlign w:val="superscript"/>
              </w:rPr>
              <w:t>***</w:t>
            </w:r>
          </w:p>
          <w:p w14:paraId="758432BE"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(0.002)</w:t>
            </w:r>
          </w:p>
        </w:tc>
      </w:tr>
      <w:tr w:rsidR="00127AC2" w:rsidRPr="00F9197D" w14:paraId="673ABF48" w14:textId="77777777" w:rsidTr="00443A1A">
        <w:tc>
          <w:tcPr>
            <w:tcW w:w="2254" w:type="dxa"/>
          </w:tcPr>
          <w:p w14:paraId="4DFCAC5E" w14:textId="77777777" w:rsidR="00127AC2" w:rsidRPr="00F9197D" w:rsidRDefault="00127AC2" w:rsidP="00443A1A">
            <w:pPr>
              <w:jc w:val="center"/>
              <w:rPr>
                <w:rFonts w:ascii="Times New Roman" w:eastAsia="Aptos" w:hAnsi="Times New Roman" w:cs="Times New Roman"/>
                <w:iCs/>
                <w:color w:val="000000" w:themeColor="text1"/>
                <w:sz w:val="24"/>
                <w:szCs w:val="24"/>
              </w:rPr>
            </w:pPr>
            <w:r w:rsidRPr="00F9197D">
              <w:rPr>
                <w:rFonts w:ascii="Times New Roman" w:eastAsia="Aptos" w:hAnsi="Times New Roman" w:cs="Times New Roman"/>
                <w:iCs/>
                <w:color w:val="000000" w:themeColor="text1"/>
                <w:sz w:val="24"/>
                <w:szCs w:val="24"/>
              </w:rPr>
              <w:t>Controls</w:t>
            </w:r>
          </w:p>
        </w:tc>
        <w:tc>
          <w:tcPr>
            <w:tcW w:w="2254" w:type="dxa"/>
          </w:tcPr>
          <w:p w14:paraId="716D6BFC"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YES</w:t>
            </w:r>
          </w:p>
        </w:tc>
        <w:tc>
          <w:tcPr>
            <w:tcW w:w="2254" w:type="dxa"/>
          </w:tcPr>
          <w:p w14:paraId="0DD49A96"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YES</w:t>
            </w:r>
          </w:p>
        </w:tc>
        <w:tc>
          <w:tcPr>
            <w:tcW w:w="2254" w:type="dxa"/>
          </w:tcPr>
          <w:p w14:paraId="303B1FAB" w14:textId="77777777" w:rsidR="00127AC2" w:rsidRPr="00F9197D" w:rsidRDefault="00127AC2" w:rsidP="00443A1A">
            <w:pPr>
              <w:jc w:val="center"/>
              <w:rPr>
                <w:rFonts w:ascii="Times New Roman" w:hAnsi="Times New Roman" w:cs="Times New Roman"/>
              </w:rPr>
            </w:pPr>
            <w:r w:rsidRPr="00F9197D">
              <w:rPr>
                <w:rFonts w:ascii="Times New Roman" w:hAnsi="Times New Roman" w:cs="Times New Roman"/>
              </w:rPr>
              <w:t>YES</w:t>
            </w:r>
          </w:p>
        </w:tc>
      </w:tr>
      <w:tr w:rsidR="009A347B" w:rsidRPr="00F9197D" w14:paraId="3B17A6FF" w14:textId="77777777" w:rsidTr="00443A1A">
        <w:tc>
          <w:tcPr>
            <w:tcW w:w="2254" w:type="dxa"/>
          </w:tcPr>
          <w:p w14:paraId="53C91707" w14:textId="3D63D725" w:rsidR="009A347B" w:rsidRPr="00F9197D" w:rsidRDefault="009A347B" w:rsidP="009A347B">
            <w:pPr>
              <w:jc w:val="center"/>
              <w:rPr>
                <w:rFonts w:ascii="Times New Roman" w:eastAsia="Aptos" w:hAnsi="Times New Roman" w:cs="Times New Roman"/>
                <w:iCs/>
                <w:color w:val="000000" w:themeColor="text1"/>
                <w:sz w:val="24"/>
                <w:szCs w:val="24"/>
              </w:rPr>
            </w:pPr>
            <w:r>
              <w:rPr>
                <w:rFonts w:ascii="Times New Roman" w:eastAsia="Aptos" w:hAnsi="Times New Roman" w:cs="Times New Roman"/>
                <w:iCs/>
                <w:color w:val="000000" w:themeColor="text1"/>
                <w:sz w:val="24"/>
                <w:szCs w:val="24"/>
              </w:rPr>
              <w:t>Intercept</w:t>
            </w:r>
          </w:p>
        </w:tc>
        <w:tc>
          <w:tcPr>
            <w:tcW w:w="2254" w:type="dxa"/>
          </w:tcPr>
          <w:p w14:paraId="7F5BE4B3" w14:textId="77777777" w:rsidR="009A347B" w:rsidRPr="00F9197D" w:rsidRDefault="009A347B" w:rsidP="009A347B">
            <w:pPr>
              <w:jc w:val="center"/>
              <w:rPr>
                <w:rFonts w:ascii="Times New Roman" w:hAnsi="Times New Roman" w:cs="Times New Roman"/>
              </w:rPr>
            </w:pPr>
            <w:r w:rsidRPr="00F9197D">
              <w:rPr>
                <w:rFonts w:ascii="Times New Roman" w:hAnsi="Times New Roman" w:cs="Times New Roman"/>
              </w:rPr>
              <w:t>0.0</w:t>
            </w:r>
            <w:r>
              <w:rPr>
                <w:rFonts w:ascii="Times New Roman" w:hAnsi="Times New Roman" w:cs="Times New Roman"/>
              </w:rPr>
              <w:t>5</w:t>
            </w:r>
            <w:r w:rsidRPr="00F9197D">
              <w:rPr>
                <w:rFonts w:ascii="Times New Roman" w:hAnsi="Times New Roman" w:cs="Times New Roman"/>
              </w:rPr>
              <w:t>3</w:t>
            </w:r>
            <w:r w:rsidRPr="00F9197D">
              <w:rPr>
                <w:rFonts w:ascii="Times New Roman" w:hAnsi="Times New Roman" w:cs="Times New Roman"/>
                <w:vertAlign w:val="superscript"/>
              </w:rPr>
              <w:t>***</w:t>
            </w:r>
          </w:p>
          <w:p w14:paraId="64855AA2" w14:textId="0361AE80" w:rsidR="009A347B" w:rsidRPr="00F9197D" w:rsidRDefault="009A347B" w:rsidP="009A347B">
            <w:pPr>
              <w:jc w:val="center"/>
              <w:rPr>
                <w:rFonts w:ascii="Times New Roman" w:hAnsi="Times New Roman" w:cs="Times New Roman"/>
              </w:rPr>
            </w:pPr>
            <w:r w:rsidRPr="00F9197D">
              <w:rPr>
                <w:rFonts w:ascii="Times New Roman" w:hAnsi="Times New Roman" w:cs="Times New Roman"/>
              </w:rPr>
              <w:t>(0.000)</w:t>
            </w:r>
          </w:p>
        </w:tc>
        <w:tc>
          <w:tcPr>
            <w:tcW w:w="2254" w:type="dxa"/>
          </w:tcPr>
          <w:p w14:paraId="5570278F" w14:textId="77777777" w:rsidR="009A347B" w:rsidRPr="00F9197D" w:rsidRDefault="009A347B" w:rsidP="009A347B">
            <w:pPr>
              <w:jc w:val="center"/>
              <w:rPr>
                <w:rFonts w:ascii="Times New Roman" w:hAnsi="Times New Roman" w:cs="Times New Roman"/>
                <w:vertAlign w:val="superscript"/>
              </w:rPr>
            </w:pPr>
            <w:r w:rsidRPr="00F9197D">
              <w:rPr>
                <w:rFonts w:ascii="Times New Roman" w:hAnsi="Times New Roman" w:cs="Times New Roman"/>
              </w:rPr>
              <w:t>0.1</w:t>
            </w:r>
            <w:r>
              <w:rPr>
                <w:rFonts w:ascii="Times New Roman" w:hAnsi="Times New Roman" w:cs="Times New Roman"/>
              </w:rPr>
              <w:t>33</w:t>
            </w:r>
            <w:r w:rsidRPr="00F9197D">
              <w:rPr>
                <w:rFonts w:ascii="Times New Roman" w:hAnsi="Times New Roman" w:cs="Times New Roman"/>
                <w:vertAlign w:val="superscript"/>
              </w:rPr>
              <w:t>***</w:t>
            </w:r>
          </w:p>
          <w:p w14:paraId="6AF2D2B0" w14:textId="4AAA8898" w:rsidR="009A347B" w:rsidRPr="00F9197D" w:rsidRDefault="009A347B" w:rsidP="009A347B">
            <w:pPr>
              <w:jc w:val="center"/>
              <w:rPr>
                <w:rFonts w:ascii="Times New Roman" w:hAnsi="Times New Roman" w:cs="Times New Roman"/>
              </w:rPr>
            </w:pPr>
            <w:r w:rsidRPr="00F9197D">
              <w:rPr>
                <w:rFonts w:ascii="Times New Roman" w:hAnsi="Times New Roman" w:cs="Times New Roman"/>
              </w:rPr>
              <w:t>(0.001)</w:t>
            </w:r>
          </w:p>
        </w:tc>
        <w:tc>
          <w:tcPr>
            <w:tcW w:w="2254" w:type="dxa"/>
          </w:tcPr>
          <w:p w14:paraId="0B46FB6D" w14:textId="77777777" w:rsidR="009A347B" w:rsidRPr="00F9197D" w:rsidRDefault="009A347B" w:rsidP="009A347B">
            <w:pPr>
              <w:jc w:val="center"/>
              <w:rPr>
                <w:rFonts w:ascii="Times New Roman" w:hAnsi="Times New Roman" w:cs="Times New Roman"/>
              </w:rPr>
            </w:pPr>
            <w:r w:rsidRPr="00F9197D">
              <w:rPr>
                <w:rFonts w:ascii="Times New Roman" w:hAnsi="Times New Roman" w:cs="Times New Roman"/>
              </w:rPr>
              <w:t>0.</w:t>
            </w:r>
            <w:r>
              <w:rPr>
                <w:rFonts w:ascii="Times New Roman" w:hAnsi="Times New Roman" w:cs="Times New Roman"/>
              </w:rPr>
              <w:t>273</w:t>
            </w:r>
            <w:r w:rsidRPr="00F9197D">
              <w:rPr>
                <w:rFonts w:ascii="Times New Roman" w:hAnsi="Times New Roman" w:cs="Times New Roman"/>
                <w:vertAlign w:val="superscript"/>
              </w:rPr>
              <w:t>***</w:t>
            </w:r>
          </w:p>
          <w:p w14:paraId="0089A1FA" w14:textId="3D282DA9" w:rsidR="009A347B" w:rsidRPr="00F9197D" w:rsidRDefault="009A347B" w:rsidP="009A347B">
            <w:pPr>
              <w:jc w:val="center"/>
              <w:rPr>
                <w:rFonts w:ascii="Times New Roman" w:hAnsi="Times New Roman" w:cs="Times New Roman"/>
              </w:rPr>
            </w:pPr>
            <w:r w:rsidRPr="00F9197D">
              <w:rPr>
                <w:rFonts w:ascii="Times New Roman" w:hAnsi="Times New Roman" w:cs="Times New Roman"/>
              </w:rPr>
              <w:t>(0.00</w:t>
            </w:r>
            <w:r>
              <w:rPr>
                <w:rFonts w:ascii="Times New Roman" w:hAnsi="Times New Roman" w:cs="Times New Roman"/>
              </w:rPr>
              <w:t>5</w:t>
            </w:r>
            <w:r w:rsidRPr="00F9197D">
              <w:rPr>
                <w:rFonts w:ascii="Times New Roman" w:hAnsi="Times New Roman" w:cs="Times New Roman"/>
              </w:rPr>
              <w:t>)</w:t>
            </w:r>
          </w:p>
        </w:tc>
      </w:tr>
      <w:tr w:rsidR="009A347B" w:rsidRPr="00F9197D" w14:paraId="48191579" w14:textId="77777777" w:rsidTr="00443A1A">
        <w:tc>
          <w:tcPr>
            <w:tcW w:w="2254" w:type="dxa"/>
          </w:tcPr>
          <w:p w14:paraId="1D095A35" w14:textId="0C7C8090" w:rsidR="009A347B" w:rsidRDefault="00E96008" w:rsidP="009A347B">
            <w:pPr>
              <w:jc w:val="center"/>
              <w:rPr>
                <w:rFonts w:ascii="Times New Roman" w:eastAsia="Aptos" w:hAnsi="Times New Roman" w:cs="Times New Roman"/>
                <w:iCs/>
                <w:color w:val="000000" w:themeColor="text1"/>
                <w:sz w:val="24"/>
                <w:szCs w:val="24"/>
              </w:rPr>
            </w:pPr>
            <w:r w:rsidRPr="00F9197D">
              <w:rPr>
                <w:rFonts w:ascii="Times New Roman" w:eastAsia="Aptos" w:hAnsi="Times New Roman" w:cs="Times New Roman"/>
                <w:iCs/>
                <w:color w:val="000000" w:themeColor="text1"/>
                <w:sz w:val="24"/>
                <w:szCs w:val="24"/>
              </w:rPr>
              <w:t>Pseudo</w:t>
            </w:r>
            <w:r w:rsidR="009A347B" w:rsidRPr="00F9197D">
              <w:rPr>
                <w:rFonts w:ascii="Times New Roman" w:eastAsia="Aptos" w:hAnsi="Times New Roman" w:cs="Times New Roman"/>
                <w:iCs/>
                <w:color w:val="000000" w:themeColor="text1"/>
                <w:sz w:val="24"/>
                <w:szCs w:val="24"/>
              </w:rPr>
              <w:t xml:space="preserve"> R</w:t>
            </w:r>
            <w:r w:rsidR="009A347B" w:rsidRPr="00F9197D">
              <w:rPr>
                <w:rFonts w:ascii="Times New Roman" w:eastAsia="Aptos" w:hAnsi="Times New Roman" w:cs="Times New Roman"/>
                <w:iCs/>
                <w:color w:val="000000" w:themeColor="text1"/>
                <w:sz w:val="24"/>
                <w:szCs w:val="24"/>
                <w:vertAlign w:val="superscript"/>
              </w:rPr>
              <w:t>2</w:t>
            </w:r>
          </w:p>
        </w:tc>
        <w:tc>
          <w:tcPr>
            <w:tcW w:w="2254" w:type="dxa"/>
          </w:tcPr>
          <w:p w14:paraId="0AD65CBA" w14:textId="1FC41A3A" w:rsidR="009A347B" w:rsidRPr="00B36198" w:rsidRDefault="009A347B" w:rsidP="009A347B">
            <w:pPr>
              <w:jc w:val="center"/>
              <w:rPr>
                <w:rFonts w:ascii="Times New Roman" w:hAnsi="Times New Roman" w:cs="Times New Roman"/>
                <w:color w:val="000000" w:themeColor="text1"/>
                <w:sz w:val="24"/>
                <w:szCs w:val="24"/>
              </w:rPr>
            </w:pPr>
            <w:r w:rsidRPr="00F9197D">
              <w:rPr>
                <w:rFonts w:ascii="Times New Roman" w:hAnsi="Times New Roman" w:cs="Times New Roman"/>
              </w:rPr>
              <w:t>0.03</w:t>
            </w:r>
            <w:r>
              <w:rPr>
                <w:rFonts w:ascii="Times New Roman" w:hAnsi="Times New Roman" w:cs="Times New Roman"/>
              </w:rPr>
              <w:t>1</w:t>
            </w:r>
          </w:p>
        </w:tc>
        <w:tc>
          <w:tcPr>
            <w:tcW w:w="2254" w:type="dxa"/>
          </w:tcPr>
          <w:p w14:paraId="5CB00B42" w14:textId="412EE336" w:rsidR="009A347B" w:rsidRPr="00B36198" w:rsidRDefault="009A347B" w:rsidP="009A347B">
            <w:pPr>
              <w:jc w:val="center"/>
              <w:rPr>
                <w:rFonts w:ascii="Times New Roman" w:hAnsi="Times New Roman" w:cs="Times New Roman"/>
                <w:color w:val="000000" w:themeColor="text1"/>
                <w:sz w:val="24"/>
                <w:szCs w:val="24"/>
              </w:rPr>
            </w:pPr>
            <w:r w:rsidRPr="00F9197D">
              <w:rPr>
                <w:rFonts w:ascii="Times New Roman" w:hAnsi="Times New Roman" w:cs="Times New Roman"/>
              </w:rPr>
              <w:t>0.0</w:t>
            </w:r>
            <w:r>
              <w:rPr>
                <w:rFonts w:ascii="Times New Roman" w:hAnsi="Times New Roman" w:cs="Times New Roman"/>
              </w:rPr>
              <w:t>67</w:t>
            </w:r>
          </w:p>
        </w:tc>
        <w:tc>
          <w:tcPr>
            <w:tcW w:w="2254" w:type="dxa"/>
          </w:tcPr>
          <w:p w14:paraId="68ACCBF3" w14:textId="3ECF54AD" w:rsidR="009A347B" w:rsidRPr="00B36198" w:rsidRDefault="009A347B" w:rsidP="009A347B">
            <w:pPr>
              <w:jc w:val="center"/>
              <w:rPr>
                <w:rFonts w:ascii="Times New Roman" w:hAnsi="Times New Roman" w:cs="Times New Roman"/>
                <w:color w:val="000000" w:themeColor="text1"/>
                <w:sz w:val="24"/>
                <w:szCs w:val="24"/>
              </w:rPr>
            </w:pPr>
            <w:r w:rsidRPr="00F9197D">
              <w:rPr>
                <w:rFonts w:ascii="Times New Roman" w:hAnsi="Times New Roman" w:cs="Times New Roman"/>
              </w:rPr>
              <w:t>0.</w:t>
            </w:r>
            <w:r>
              <w:rPr>
                <w:rFonts w:ascii="Times New Roman" w:hAnsi="Times New Roman" w:cs="Times New Roman"/>
              </w:rPr>
              <w:t>137</w:t>
            </w:r>
          </w:p>
        </w:tc>
      </w:tr>
      <w:tr w:rsidR="009A347B" w:rsidRPr="00F9197D" w14:paraId="49C889C3" w14:textId="77777777" w:rsidTr="00443A1A">
        <w:tc>
          <w:tcPr>
            <w:tcW w:w="2254" w:type="dxa"/>
          </w:tcPr>
          <w:p w14:paraId="156E60CD" w14:textId="77777777" w:rsidR="009A347B" w:rsidRPr="00F9197D" w:rsidRDefault="009A347B" w:rsidP="009A347B">
            <w:pPr>
              <w:jc w:val="center"/>
              <w:rPr>
                <w:rFonts w:ascii="Times New Roman" w:eastAsia="Aptos" w:hAnsi="Times New Roman" w:cs="Times New Roman"/>
                <w:iCs/>
                <w:color w:val="000000" w:themeColor="text1"/>
                <w:sz w:val="24"/>
                <w:szCs w:val="24"/>
              </w:rPr>
            </w:pPr>
            <w:r>
              <w:rPr>
                <w:rFonts w:ascii="Times New Roman" w:eastAsia="Aptos" w:hAnsi="Times New Roman" w:cs="Times New Roman"/>
                <w:iCs/>
                <w:color w:val="000000" w:themeColor="text1"/>
                <w:sz w:val="24"/>
                <w:szCs w:val="24"/>
              </w:rPr>
              <w:t>Obs.</w:t>
            </w:r>
          </w:p>
        </w:tc>
        <w:tc>
          <w:tcPr>
            <w:tcW w:w="2254" w:type="dxa"/>
          </w:tcPr>
          <w:p w14:paraId="46846772" w14:textId="77777777" w:rsidR="009A347B" w:rsidRPr="00F9197D" w:rsidRDefault="009A347B" w:rsidP="009A347B">
            <w:pPr>
              <w:jc w:val="center"/>
              <w:rPr>
                <w:rFonts w:ascii="Times New Roman" w:hAnsi="Times New Roman" w:cs="Times New Roman"/>
              </w:rPr>
            </w:pPr>
            <w:r w:rsidRPr="00B36198">
              <w:rPr>
                <w:rFonts w:ascii="Times New Roman" w:hAnsi="Times New Roman" w:cs="Times New Roman"/>
                <w:color w:val="000000" w:themeColor="text1"/>
                <w:sz w:val="24"/>
                <w:szCs w:val="24"/>
              </w:rPr>
              <w:t>165635</w:t>
            </w:r>
          </w:p>
        </w:tc>
        <w:tc>
          <w:tcPr>
            <w:tcW w:w="2254" w:type="dxa"/>
          </w:tcPr>
          <w:p w14:paraId="60816B7C" w14:textId="77777777" w:rsidR="009A347B" w:rsidRPr="00F9197D" w:rsidRDefault="009A347B" w:rsidP="009A347B">
            <w:pPr>
              <w:jc w:val="center"/>
              <w:rPr>
                <w:rFonts w:ascii="Times New Roman" w:hAnsi="Times New Roman" w:cs="Times New Roman"/>
              </w:rPr>
            </w:pPr>
            <w:r w:rsidRPr="00B36198">
              <w:rPr>
                <w:rFonts w:ascii="Times New Roman" w:hAnsi="Times New Roman" w:cs="Times New Roman"/>
                <w:color w:val="000000" w:themeColor="text1"/>
                <w:sz w:val="24"/>
                <w:szCs w:val="24"/>
              </w:rPr>
              <w:t>165635</w:t>
            </w:r>
          </w:p>
        </w:tc>
        <w:tc>
          <w:tcPr>
            <w:tcW w:w="2254" w:type="dxa"/>
          </w:tcPr>
          <w:p w14:paraId="6005638A" w14:textId="77777777" w:rsidR="009A347B" w:rsidRPr="00F9197D" w:rsidRDefault="009A347B" w:rsidP="009A347B">
            <w:pPr>
              <w:jc w:val="center"/>
              <w:rPr>
                <w:rFonts w:ascii="Times New Roman" w:hAnsi="Times New Roman" w:cs="Times New Roman"/>
              </w:rPr>
            </w:pPr>
            <w:r w:rsidRPr="00B36198">
              <w:rPr>
                <w:rFonts w:ascii="Times New Roman" w:hAnsi="Times New Roman" w:cs="Times New Roman"/>
                <w:color w:val="000000" w:themeColor="text1"/>
                <w:sz w:val="24"/>
                <w:szCs w:val="24"/>
              </w:rPr>
              <w:t>165635</w:t>
            </w:r>
          </w:p>
        </w:tc>
      </w:tr>
    </w:tbl>
    <w:p w14:paraId="2D59D582" w14:textId="47C2D415" w:rsidR="00127AC2" w:rsidRPr="008F5E60" w:rsidRDefault="00870FD0" w:rsidP="008F5E60">
      <w:pPr>
        <w:jc w:val="both"/>
        <w:rPr>
          <w:rFonts w:ascii="Times New Roman" w:hAnsi="Times New Roman" w:cs="Times New Roman"/>
          <w:sz w:val="18"/>
          <w:szCs w:val="18"/>
        </w:rPr>
      </w:pPr>
      <w:r w:rsidRPr="00870FD0">
        <w:rPr>
          <w:rFonts w:ascii="Times New Roman" w:hAnsi="Times New Roman" w:cs="Times New Roman"/>
          <w:b/>
          <w:bCs/>
        </w:rPr>
        <w:t>Note:</w:t>
      </w:r>
      <w:r>
        <w:rPr>
          <w:rFonts w:ascii="Times New Roman" w:hAnsi="Times New Roman" w:cs="Times New Roman"/>
        </w:rPr>
        <w:t xml:space="preserve"> </w:t>
      </w:r>
      <w:r w:rsidR="009B5F15" w:rsidRPr="008F5E60">
        <w:rPr>
          <w:rFonts w:ascii="Times New Roman" w:hAnsi="Times New Roman" w:cs="Times New Roman"/>
          <w:sz w:val="18"/>
          <w:szCs w:val="18"/>
        </w:rPr>
        <w:t xml:space="preserve">The results pertain to panel unconditional quantile regression. </w:t>
      </w:r>
      <w:r w:rsidR="00127AC2" w:rsidRPr="008F5E60">
        <w:rPr>
          <w:rFonts w:ascii="Times New Roman" w:hAnsi="Times New Roman" w:cs="Times New Roman"/>
          <w:sz w:val="18"/>
          <w:szCs w:val="18"/>
        </w:rPr>
        <w:t>*** indicates significant at 1%; Quantile regression component: Huber Sandwich Standard Errors and Covariance; Bandwidth Method: Hall-</w:t>
      </w:r>
      <w:proofErr w:type="spellStart"/>
      <w:r w:rsidR="00127AC2" w:rsidRPr="008F5E60">
        <w:rPr>
          <w:rFonts w:ascii="Times New Roman" w:hAnsi="Times New Roman" w:cs="Times New Roman"/>
          <w:sz w:val="18"/>
          <w:szCs w:val="18"/>
        </w:rPr>
        <w:t>Sheather</w:t>
      </w:r>
      <w:proofErr w:type="spellEnd"/>
      <w:r w:rsidR="00127AC2" w:rsidRPr="008F5E60">
        <w:rPr>
          <w:rFonts w:ascii="Times New Roman" w:hAnsi="Times New Roman" w:cs="Times New Roman"/>
          <w:sz w:val="18"/>
          <w:szCs w:val="18"/>
        </w:rPr>
        <w:t xml:space="preserve"> (</w:t>
      </w:r>
      <w:proofErr w:type="spellStart"/>
      <w:r w:rsidR="00127AC2" w:rsidRPr="008F5E60">
        <w:rPr>
          <w:rFonts w:ascii="Times New Roman" w:hAnsi="Times New Roman" w:cs="Times New Roman"/>
          <w:sz w:val="18"/>
          <w:szCs w:val="18"/>
        </w:rPr>
        <w:t>bw</w:t>
      </w:r>
      <w:proofErr w:type="spellEnd"/>
      <w:r w:rsidR="00127AC2" w:rsidRPr="008F5E60">
        <w:rPr>
          <w:rFonts w:ascii="Times New Roman" w:hAnsi="Times New Roman" w:cs="Times New Roman"/>
          <w:sz w:val="18"/>
          <w:szCs w:val="18"/>
        </w:rPr>
        <w:t xml:space="preserve">=0.013 for tau = 0.25; </w:t>
      </w:r>
      <w:proofErr w:type="spellStart"/>
      <w:r w:rsidR="00127AC2" w:rsidRPr="008F5E60">
        <w:rPr>
          <w:rFonts w:ascii="Times New Roman" w:hAnsi="Times New Roman" w:cs="Times New Roman"/>
          <w:sz w:val="18"/>
          <w:szCs w:val="18"/>
        </w:rPr>
        <w:t>bw</w:t>
      </w:r>
      <w:proofErr w:type="spellEnd"/>
      <w:r w:rsidR="00127AC2" w:rsidRPr="008F5E60">
        <w:rPr>
          <w:rFonts w:ascii="Times New Roman" w:hAnsi="Times New Roman" w:cs="Times New Roman"/>
          <w:sz w:val="18"/>
          <w:szCs w:val="18"/>
        </w:rPr>
        <w:t xml:space="preserve">=0.018 for tau = 0.50 and </w:t>
      </w:r>
      <w:proofErr w:type="spellStart"/>
      <w:r w:rsidR="00127AC2" w:rsidRPr="008F5E60">
        <w:rPr>
          <w:rFonts w:ascii="Times New Roman" w:hAnsi="Times New Roman" w:cs="Times New Roman"/>
          <w:sz w:val="18"/>
          <w:szCs w:val="18"/>
        </w:rPr>
        <w:t>bw</w:t>
      </w:r>
      <w:proofErr w:type="spellEnd"/>
      <w:r w:rsidR="00127AC2" w:rsidRPr="008F5E60">
        <w:rPr>
          <w:rFonts w:ascii="Times New Roman" w:hAnsi="Times New Roman" w:cs="Times New Roman"/>
          <w:sz w:val="18"/>
          <w:szCs w:val="18"/>
        </w:rPr>
        <w:t>=0.013 for tau = 0.75); Sparsity Method: Kernel (</w:t>
      </w:r>
      <w:proofErr w:type="spellStart"/>
      <w:r w:rsidR="00127AC2" w:rsidRPr="008F5E60">
        <w:rPr>
          <w:rFonts w:ascii="Times New Roman" w:hAnsi="Times New Roman" w:cs="Times New Roman"/>
          <w:sz w:val="18"/>
          <w:szCs w:val="18"/>
        </w:rPr>
        <w:t>Epanechnikov</w:t>
      </w:r>
      <w:proofErr w:type="spellEnd"/>
      <w:r w:rsidR="00127AC2" w:rsidRPr="008F5E60">
        <w:rPr>
          <w:rFonts w:ascii="Times New Roman" w:hAnsi="Times New Roman" w:cs="Times New Roman"/>
          <w:sz w:val="18"/>
          <w:szCs w:val="18"/>
        </w:rPr>
        <w:t>) using residuals.</w:t>
      </w:r>
      <w:r w:rsidR="008F5E60" w:rsidRPr="008F5E60">
        <w:rPr>
          <w:rFonts w:ascii="Times New Roman" w:hAnsi="Times New Roman" w:cs="Times New Roman"/>
          <w:sz w:val="18"/>
          <w:szCs w:val="18"/>
        </w:rPr>
        <w:t xml:space="preserve"> </w:t>
      </w:r>
      <w:r w:rsidR="008F5E60" w:rsidRPr="008F5E60">
        <w:rPr>
          <w:rFonts w:ascii="Times New Roman" w:hAnsi="Times New Roman" w:cs="Times New Roman"/>
          <w:i/>
          <w:color w:val="000000" w:themeColor="text1"/>
          <w:sz w:val="18"/>
          <w:szCs w:val="18"/>
          <w:lang w:val="en-US"/>
        </w:rPr>
        <w:t>Cash</w:t>
      </w:r>
      <w:r w:rsidR="008F5E60" w:rsidRPr="008F5E60">
        <w:rPr>
          <w:rFonts w:ascii="Times New Roman" w:hAnsi="Times New Roman" w:cs="Times New Roman"/>
          <w:color w:val="000000" w:themeColor="text1"/>
          <w:sz w:val="18"/>
          <w:szCs w:val="18"/>
          <w:lang w:val="en-US"/>
        </w:rPr>
        <w:t xml:space="preserve"> is defined as cash and cash equivalents divided by net total assets</w:t>
      </w:r>
      <w:r w:rsidR="008F5E60" w:rsidRPr="008F5E60">
        <w:rPr>
          <w:rFonts w:ascii="Times New Roman" w:eastAsia="Calibri" w:hAnsi="Times New Roman" w:cs="Times New Roman"/>
          <w:color w:val="000000" w:themeColor="text1"/>
          <w:sz w:val="18"/>
          <w:szCs w:val="18"/>
        </w:rPr>
        <w:t xml:space="preserve"> </w:t>
      </w:r>
      <w:r w:rsidR="008F5E60" w:rsidRPr="008F5E60">
        <w:rPr>
          <w:rFonts w:ascii="Times New Roman" w:hAnsi="Times New Roman" w:cs="Times New Roman"/>
          <w:color w:val="000000" w:themeColor="text1"/>
          <w:sz w:val="18"/>
          <w:szCs w:val="18"/>
          <w:lang w:val="en-US"/>
        </w:rPr>
        <w:t xml:space="preserve">(total assets less cash and cash equivalents). Controls include </w:t>
      </w:r>
      <w:r w:rsidR="008F5E60" w:rsidRPr="008F5E60">
        <w:rPr>
          <w:rFonts w:ascii="Times New Roman" w:hAnsi="Times New Roman" w:cs="Times New Roman"/>
          <w:i/>
          <w:color w:val="000000" w:themeColor="text1"/>
          <w:sz w:val="18"/>
          <w:szCs w:val="18"/>
          <w:lang w:val="en-US"/>
        </w:rPr>
        <w:t>NWC</w:t>
      </w:r>
      <w:r w:rsidR="008F5E60" w:rsidRPr="008F5E60">
        <w:rPr>
          <w:rFonts w:ascii="Times New Roman" w:hAnsi="Times New Roman" w:cs="Times New Roman"/>
          <w:color w:val="000000" w:themeColor="text1"/>
          <w:sz w:val="18"/>
          <w:szCs w:val="18"/>
          <w:lang w:val="en-US"/>
        </w:rPr>
        <w:t xml:space="preserve">, </w:t>
      </w:r>
      <w:r w:rsidR="008F5E60" w:rsidRPr="008F5E60">
        <w:rPr>
          <w:rFonts w:ascii="Times New Roman" w:hAnsi="Times New Roman" w:cs="Times New Roman"/>
          <w:i/>
          <w:color w:val="000000" w:themeColor="text1"/>
          <w:sz w:val="18"/>
          <w:szCs w:val="18"/>
          <w:lang w:val="en-US"/>
        </w:rPr>
        <w:t>PPE</w:t>
      </w:r>
      <w:r w:rsidR="008F5E60" w:rsidRPr="008F5E60">
        <w:rPr>
          <w:rFonts w:ascii="Times New Roman" w:hAnsi="Times New Roman" w:cs="Times New Roman"/>
          <w:color w:val="000000" w:themeColor="text1"/>
          <w:sz w:val="18"/>
          <w:szCs w:val="18"/>
          <w:lang w:val="en-US"/>
        </w:rPr>
        <w:t xml:space="preserve">, </w:t>
      </w:r>
      <w:r w:rsidR="008F5E60" w:rsidRPr="008F5E60">
        <w:rPr>
          <w:rFonts w:ascii="Times New Roman" w:hAnsi="Times New Roman" w:cs="Times New Roman"/>
          <w:i/>
          <w:color w:val="000000" w:themeColor="text1"/>
          <w:sz w:val="18"/>
          <w:szCs w:val="18"/>
          <w:lang w:val="en-US"/>
        </w:rPr>
        <w:t>R&amp;D</w:t>
      </w:r>
      <w:r w:rsidR="008F5E60" w:rsidRPr="008F5E60">
        <w:rPr>
          <w:rFonts w:ascii="Times New Roman" w:hAnsi="Times New Roman" w:cs="Times New Roman"/>
          <w:color w:val="000000" w:themeColor="text1"/>
          <w:sz w:val="18"/>
          <w:szCs w:val="18"/>
          <w:lang w:val="en-US"/>
        </w:rPr>
        <w:t xml:space="preserve"> is R&amp;D and </w:t>
      </w:r>
      <w:r w:rsidR="008F5E60" w:rsidRPr="008F5E60">
        <w:rPr>
          <w:rFonts w:ascii="Times New Roman" w:hAnsi="Times New Roman" w:cs="Times New Roman"/>
          <w:i/>
          <w:color w:val="000000" w:themeColor="text1"/>
          <w:sz w:val="18"/>
          <w:szCs w:val="18"/>
          <w:lang w:val="en-US"/>
        </w:rPr>
        <w:t>Leverage</w:t>
      </w:r>
      <w:r w:rsidR="008F5E60" w:rsidRPr="008F5E60">
        <w:rPr>
          <w:rFonts w:ascii="Times New Roman" w:hAnsi="Times New Roman" w:cs="Times New Roman"/>
          <w:color w:val="000000" w:themeColor="text1"/>
          <w:sz w:val="18"/>
          <w:szCs w:val="18"/>
          <w:lang w:val="en-US"/>
        </w:rPr>
        <w:t xml:space="preserve">. </w:t>
      </w:r>
      <w:proofErr w:type="spellStart"/>
      <w:r w:rsidR="008F5E60" w:rsidRPr="008F5E60">
        <w:rPr>
          <w:rFonts w:ascii="Times New Roman" w:eastAsia="Calibri" w:hAnsi="Times New Roman" w:cs="Times New Roman"/>
          <w:i/>
          <w:color w:val="000000" w:themeColor="text1"/>
          <w:sz w:val="18"/>
          <w:szCs w:val="18"/>
        </w:rPr>
        <w:t>Ins_Own</w:t>
      </w:r>
      <w:proofErr w:type="spellEnd"/>
      <w:r w:rsidR="008F5E60" w:rsidRPr="008F5E60">
        <w:rPr>
          <w:rFonts w:ascii="Times New Roman" w:eastAsia="Calibri" w:hAnsi="Times New Roman" w:cs="Times New Roman"/>
          <w:color w:val="000000" w:themeColor="text1"/>
          <w:sz w:val="18"/>
          <w:szCs w:val="18"/>
        </w:rPr>
        <w:t xml:space="preserve"> is the institutional investments (in USD million) divided by last year market value of equity.</w:t>
      </w:r>
    </w:p>
    <w:p w14:paraId="6A60A3A2" w14:textId="77777777" w:rsidR="00127AC2" w:rsidRPr="00F9197D" w:rsidRDefault="00127AC2" w:rsidP="00127AC2">
      <w:pPr>
        <w:jc w:val="both"/>
        <w:rPr>
          <w:rFonts w:ascii="Times New Roman" w:hAnsi="Times New Roman" w:cs="Times New Roman"/>
        </w:rPr>
      </w:pPr>
    </w:p>
    <w:p w14:paraId="4FA57DEF" w14:textId="77777777" w:rsidR="00DB450A" w:rsidRPr="00127AC2" w:rsidRDefault="00DB450A" w:rsidP="00DB450A">
      <w:pPr>
        <w:spacing w:line="360" w:lineRule="auto"/>
        <w:jc w:val="both"/>
        <w:rPr>
          <w:rFonts w:ascii="Times New Roman" w:hAnsi="Times New Roman" w:cs="Times New Roman"/>
          <w:color w:val="000000" w:themeColor="text1"/>
          <w:sz w:val="24"/>
          <w:szCs w:val="24"/>
        </w:rPr>
      </w:pPr>
    </w:p>
    <w:p w14:paraId="7342D335" w14:textId="56A8306C" w:rsidR="006622C0" w:rsidRPr="00BE65C7" w:rsidRDefault="006622C0" w:rsidP="006622C0">
      <w:pPr>
        <w:spacing w:line="360" w:lineRule="auto"/>
        <w:rPr>
          <w:rFonts w:ascii="Times New Roman" w:hAnsi="Times New Roman" w:cs="Times New Roman"/>
          <w:color w:val="000000" w:themeColor="text1"/>
          <w:sz w:val="24"/>
          <w:szCs w:val="24"/>
          <w:lang w:val="en-US"/>
        </w:rPr>
      </w:pPr>
      <w:r w:rsidRPr="00BE65C7">
        <w:rPr>
          <w:rFonts w:ascii="Times New Roman" w:hAnsi="Times New Roman" w:cs="Times New Roman"/>
          <w:color w:val="000000" w:themeColor="text1"/>
          <w:sz w:val="24"/>
          <w:szCs w:val="24"/>
          <w:lang w:val="en-US"/>
        </w:rPr>
        <w:t xml:space="preserve"> </w:t>
      </w:r>
    </w:p>
    <w:p w14:paraId="14664C4A" w14:textId="1463E889" w:rsidR="00870F05" w:rsidRPr="00BE65C7" w:rsidRDefault="00870F05" w:rsidP="008F2F72">
      <w:pPr>
        <w:spacing w:line="360" w:lineRule="auto"/>
        <w:jc w:val="both"/>
        <w:rPr>
          <w:rFonts w:ascii="Times New Roman" w:hAnsi="Times New Roman" w:cs="Times New Roman"/>
          <w:color w:val="000000" w:themeColor="text1"/>
          <w:sz w:val="24"/>
          <w:szCs w:val="24"/>
          <w:lang w:val="en-US"/>
        </w:rPr>
      </w:pPr>
    </w:p>
    <w:p w14:paraId="57DC9F58" w14:textId="18933F34" w:rsidR="00410FDC" w:rsidRPr="00BE65C7" w:rsidRDefault="00410FDC" w:rsidP="008F2F72">
      <w:pPr>
        <w:spacing w:line="360" w:lineRule="auto"/>
        <w:jc w:val="both"/>
        <w:rPr>
          <w:rFonts w:ascii="Times New Roman" w:hAnsi="Times New Roman" w:cs="Times New Roman"/>
          <w:color w:val="000000" w:themeColor="text1"/>
          <w:sz w:val="24"/>
          <w:szCs w:val="24"/>
          <w:lang w:val="en-US"/>
        </w:rPr>
      </w:pPr>
    </w:p>
    <w:p w14:paraId="63EC6EC7" w14:textId="0062ADAD" w:rsidR="0060317B" w:rsidRPr="00BE65C7" w:rsidRDefault="0060317B" w:rsidP="008F2F72">
      <w:pPr>
        <w:spacing w:line="360" w:lineRule="auto"/>
        <w:jc w:val="both"/>
        <w:rPr>
          <w:rFonts w:ascii="Times New Roman" w:hAnsi="Times New Roman" w:cs="Times New Roman"/>
          <w:color w:val="000000" w:themeColor="text1"/>
          <w:sz w:val="24"/>
          <w:szCs w:val="24"/>
          <w:lang w:val="en-US"/>
        </w:rPr>
      </w:pPr>
    </w:p>
    <w:p w14:paraId="4F033956" w14:textId="0C98991F" w:rsidR="00410FDC" w:rsidRPr="00BE65C7" w:rsidRDefault="00410FDC" w:rsidP="008F2F72">
      <w:pPr>
        <w:spacing w:line="360" w:lineRule="auto"/>
        <w:jc w:val="both"/>
        <w:rPr>
          <w:rFonts w:ascii="Times New Roman" w:hAnsi="Times New Roman" w:cs="Times New Roman"/>
          <w:b/>
          <w:bCs/>
          <w:color w:val="000000" w:themeColor="text1"/>
          <w:sz w:val="24"/>
          <w:szCs w:val="24"/>
          <w:lang w:val="en-US"/>
        </w:rPr>
      </w:pPr>
      <w:r w:rsidRPr="00BE65C7">
        <w:rPr>
          <w:rFonts w:ascii="Times New Roman" w:hAnsi="Times New Roman" w:cs="Times New Roman"/>
          <w:b/>
          <w:bCs/>
          <w:color w:val="000000" w:themeColor="text1"/>
          <w:sz w:val="24"/>
          <w:szCs w:val="24"/>
          <w:lang w:val="en-US"/>
        </w:rPr>
        <w:t>Appendix</w:t>
      </w:r>
      <w:r w:rsidR="00A87EC4" w:rsidRPr="00BE65C7">
        <w:rPr>
          <w:rFonts w:ascii="Times New Roman" w:hAnsi="Times New Roman" w:cs="Times New Roman"/>
          <w:b/>
          <w:bCs/>
          <w:color w:val="000000" w:themeColor="text1"/>
          <w:sz w:val="24"/>
          <w:szCs w:val="24"/>
          <w:lang w:val="en-US"/>
        </w:rPr>
        <w:t xml:space="preserve"> I</w:t>
      </w:r>
      <w:r w:rsidR="00562E8D" w:rsidRPr="00BE65C7">
        <w:rPr>
          <w:rFonts w:ascii="Times New Roman" w:hAnsi="Times New Roman" w:cs="Times New Roman"/>
          <w:b/>
          <w:bCs/>
          <w:color w:val="000000" w:themeColor="text1"/>
          <w:sz w:val="24"/>
          <w:szCs w:val="24"/>
          <w:lang w:val="en-US"/>
        </w:rPr>
        <w:t>: Variable definition</w:t>
      </w:r>
    </w:p>
    <w:tbl>
      <w:tblPr>
        <w:tblStyle w:val="TableGrid"/>
        <w:tblW w:w="9918" w:type="dxa"/>
        <w:tblLayout w:type="fixed"/>
        <w:tblLook w:val="04A0" w:firstRow="1" w:lastRow="0" w:firstColumn="1" w:lastColumn="0" w:noHBand="0" w:noVBand="1"/>
      </w:tblPr>
      <w:tblGrid>
        <w:gridCol w:w="1722"/>
        <w:gridCol w:w="5739"/>
        <w:gridCol w:w="2457"/>
      </w:tblGrid>
      <w:tr w:rsidR="00BE65C7" w:rsidRPr="00BE65C7" w14:paraId="4D13EB27" w14:textId="77777777" w:rsidTr="009312EF">
        <w:tc>
          <w:tcPr>
            <w:tcW w:w="1722" w:type="dxa"/>
          </w:tcPr>
          <w:p w14:paraId="21708637"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Variable</w:t>
            </w:r>
          </w:p>
        </w:tc>
        <w:tc>
          <w:tcPr>
            <w:tcW w:w="5739" w:type="dxa"/>
          </w:tcPr>
          <w:p w14:paraId="74D9B0FD"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Measure</w:t>
            </w:r>
          </w:p>
        </w:tc>
        <w:tc>
          <w:tcPr>
            <w:tcW w:w="2457" w:type="dxa"/>
          </w:tcPr>
          <w:p w14:paraId="5E67BEE9"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Source</w:t>
            </w:r>
          </w:p>
        </w:tc>
      </w:tr>
      <w:tr w:rsidR="00BE65C7" w:rsidRPr="00BE65C7" w14:paraId="7B634ED0" w14:textId="77777777" w:rsidTr="009312EF">
        <w:tc>
          <w:tcPr>
            <w:tcW w:w="1722" w:type="dxa"/>
          </w:tcPr>
          <w:p w14:paraId="10311056"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Cash</w:t>
            </w:r>
          </w:p>
        </w:tc>
        <w:tc>
          <w:tcPr>
            <w:tcW w:w="5739" w:type="dxa"/>
          </w:tcPr>
          <w:p w14:paraId="454C6C90" w14:textId="54C39889" w:rsidR="00870F05" w:rsidRPr="00BE65C7" w:rsidRDefault="007E39E0" w:rsidP="00443A1A">
            <w:pPr>
              <w:jc w:val="cente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(Cash+cash equivalents)</m:t>
                    </m:r>
                  </m:num>
                  <m:den>
                    <m:r>
                      <w:rPr>
                        <w:rFonts w:ascii="Cambria Math" w:hAnsi="Cambria Math" w:cs="Times New Roman"/>
                        <w:color w:val="000000" w:themeColor="text1"/>
                        <w:sz w:val="24"/>
                        <w:szCs w:val="24"/>
                      </w:rPr>
                      <m:t>(Total Assets-cash-cash equivalents)</m:t>
                    </m:r>
                  </m:den>
                </m:f>
              </m:oMath>
            </m:oMathPara>
          </w:p>
        </w:tc>
        <w:tc>
          <w:tcPr>
            <w:tcW w:w="2457" w:type="dxa"/>
          </w:tcPr>
          <w:p w14:paraId="1FEDA86E" w14:textId="77777777" w:rsidR="00870F05" w:rsidRPr="00BE65C7" w:rsidRDefault="00870F05" w:rsidP="00443A1A">
            <w:pPr>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Bloomberg</w:t>
            </w:r>
          </w:p>
        </w:tc>
      </w:tr>
      <w:tr w:rsidR="00BE65C7" w:rsidRPr="00BE65C7" w14:paraId="5E35F00B" w14:textId="77777777" w:rsidTr="009312EF">
        <w:tc>
          <w:tcPr>
            <w:tcW w:w="1722" w:type="dxa"/>
          </w:tcPr>
          <w:p w14:paraId="2BD36D03"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Age</w:t>
            </w:r>
          </w:p>
        </w:tc>
        <w:tc>
          <w:tcPr>
            <w:tcW w:w="5739" w:type="dxa"/>
          </w:tcPr>
          <w:p w14:paraId="6909D1D9"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Age from the date of listing in the stock exchange</w:t>
            </w:r>
          </w:p>
        </w:tc>
        <w:tc>
          <w:tcPr>
            <w:tcW w:w="2457" w:type="dxa"/>
          </w:tcPr>
          <w:p w14:paraId="38C44FCB" w14:textId="77777777" w:rsidR="00870F05" w:rsidRPr="00BE65C7" w:rsidRDefault="00870F05" w:rsidP="00443A1A">
            <w:pPr>
              <w:jc w:val="both"/>
              <w:rPr>
                <w:color w:val="000000" w:themeColor="text1"/>
              </w:rPr>
            </w:pPr>
            <w:r w:rsidRPr="00BE65C7">
              <w:rPr>
                <w:rFonts w:ascii="Times New Roman" w:eastAsia="Calibri" w:hAnsi="Times New Roman" w:cs="Times New Roman"/>
                <w:color w:val="000000" w:themeColor="text1"/>
                <w:sz w:val="24"/>
                <w:szCs w:val="24"/>
              </w:rPr>
              <w:t>Bloomberg</w:t>
            </w:r>
          </w:p>
        </w:tc>
      </w:tr>
      <w:tr w:rsidR="00BE65C7" w:rsidRPr="00BE65C7" w14:paraId="3B88B33E" w14:textId="77777777" w:rsidTr="009312EF">
        <w:tc>
          <w:tcPr>
            <w:tcW w:w="1722" w:type="dxa"/>
          </w:tcPr>
          <w:p w14:paraId="5646B2E8"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Cash from Operations (CFO)</w:t>
            </w:r>
          </w:p>
        </w:tc>
        <w:tc>
          <w:tcPr>
            <w:tcW w:w="5739" w:type="dxa"/>
          </w:tcPr>
          <w:p w14:paraId="714A511C" w14:textId="6ED26444" w:rsidR="00870F05" w:rsidRPr="00BE65C7" w:rsidRDefault="00000000" w:rsidP="00443A1A">
            <w:pPr>
              <w:jc w:val="center"/>
              <w:rPr>
                <w:rFonts w:ascii="Times New Roman"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(Cash from operations)</m:t>
                    </m:r>
                  </m:num>
                  <m:den>
                    <m:r>
                      <w:rPr>
                        <w:rFonts w:ascii="Cambria Math" w:hAnsi="Cambria Math" w:cs="Times New Roman"/>
                        <w:color w:val="000000" w:themeColor="text1"/>
                        <w:sz w:val="24"/>
                        <w:szCs w:val="24"/>
                      </w:rPr>
                      <m:t>(Total Assets-cash-cash equivalents)</m:t>
                    </m:r>
                  </m:den>
                </m:f>
              </m:oMath>
            </m:oMathPara>
          </w:p>
        </w:tc>
        <w:tc>
          <w:tcPr>
            <w:tcW w:w="2457" w:type="dxa"/>
          </w:tcPr>
          <w:p w14:paraId="4B168F6A" w14:textId="77777777" w:rsidR="00870F05" w:rsidRPr="00BE65C7" w:rsidRDefault="00870F05" w:rsidP="00443A1A">
            <w:pPr>
              <w:jc w:val="both"/>
              <w:rPr>
                <w:color w:val="000000" w:themeColor="text1"/>
              </w:rPr>
            </w:pPr>
            <w:r w:rsidRPr="00BE65C7">
              <w:rPr>
                <w:rFonts w:ascii="Times New Roman" w:eastAsia="Calibri" w:hAnsi="Times New Roman" w:cs="Times New Roman"/>
                <w:color w:val="000000" w:themeColor="text1"/>
                <w:sz w:val="24"/>
                <w:szCs w:val="24"/>
              </w:rPr>
              <w:t>Bloomberg</w:t>
            </w:r>
          </w:p>
        </w:tc>
      </w:tr>
      <w:tr w:rsidR="00BE65C7" w:rsidRPr="00BE65C7" w14:paraId="01C4048D" w14:textId="77777777" w:rsidTr="009312EF">
        <w:tc>
          <w:tcPr>
            <w:tcW w:w="1722" w:type="dxa"/>
          </w:tcPr>
          <w:p w14:paraId="06513448"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Net working capital (NWC)</w:t>
            </w:r>
          </w:p>
        </w:tc>
        <w:tc>
          <w:tcPr>
            <w:tcW w:w="5739" w:type="dxa"/>
          </w:tcPr>
          <w:p w14:paraId="744F7110" w14:textId="11035800" w:rsidR="00870F05" w:rsidRPr="00BE65C7" w:rsidRDefault="00000000" w:rsidP="00443A1A">
            <w:pPr>
              <w:jc w:val="center"/>
              <w:rPr>
                <w:rFonts w:ascii="Times New Roman" w:eastAsia="Calibri"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Inventories+Account Receivables-Account payables</m:t>
                        </m:r>
                      </m:e>
                    </m:d>
                  </m:num>
                  <m:den>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Total Assets-cash-cash equivalents</m:t>
                        </m:r>
                      </m:e>
                    </m:d>
                  </m:den>
                </m:f>
              </m:oMath>
            </m:oMathPara>
          </w:p>
        </w:tc>
        <w:tc>
          <w:tcPr>
            <w:tcW w:w="2457" w:type="dxa"/>
          </w:tcPr>
          <w:p w14:paraId="26B17AE2" w14:textId="77777777" w:rsidR="00870F05" w:rsidRPr="00BE65C7" w:rsidRDefault="00870F05" w:rsidP="00443A1A">
            <w:pPr>
              <w:jc w:val="both"/>
              <w:rPr>
                <w:color w:val="000000" w:themeColor="text1"/>
              </w:rPr>
            </w:pPr>
            <w:r w:rsidRPr="00BE65C7">
              <w:rPr>
                <w:rFonts w:ascii="Times New Roman" w:eastAsia="Calibri" w:hAnsi="Times New Roman" w:cs="Times New Roman"/>
                <w:color w:val="000000" w:themeColor="text1"/>
                <w:sz w:val="24"/>
                <w:szCs w:val="24"/>
              </w:rPr>
              <w:t>Bloomberg</w:t>
            </w:r>
          </w:p>
        </w:tc>
      </w:tr>
      <w:tr w:rsidR="00BE65C7" w:rsidRPr="00BE65C7" w14:paraId="6636492E" w14:textId="77777777" w:rsidTr="009312EF">
        <w:tc>
          <w:tcPr>
            <w:tcW w:w="1722" w:type="dxa"/>
          </w:tcPr>
          <w:p w14:paraId="57EF3D88"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Plant, Property and Equipment (PPE)</w:t>
            </w:r>
          </w:p>
        </w:tc>
        <w:tc>
          <w:tcPr>
            <w:tcW w:w="5739" w:type="dxa"/>
          </w:tcPr>
          <w:p w14:paraId="10187FF9" w14:textId="3AB927AC" w:rsidR="00870F05" w:rsidRPr="00BE65C7" w:rsidRDefault="00000000" w:rsidP="00443A1A">
            <w:pPr>
              <w:jc w:val="center"/>
              <w:rPr>
                <w:rFonts w:ascii="Times New Roman" w:eastAsia="Calibri"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 xml:space="preserve">Plant, Property and Equipment </m:t>
                    </m:r>
                    <m:r>
                      <w:rPr>
                        <w:rFonts w:ascii="Cambria Math" w:hAnsi="Cambria Math" w:cs="Times New Roman"/>
                        <w:color w:val="000000" w:themeColor="text1"/>
                        <w:sz w:val="24"/>
                        <w:szCs w:val="24"/>
                      </w:rPr>
                      <m:t>)</m:t>
                    </m:r>
                  </m:num>
                  <m:den>
                    <m:r>
                      <w:rPr>
                        <w:rFonts w:ascii="Cambria Math" w:hAnsi="Cambria Math" w:cs="Times New Roman"/>
                        <w:color w:val="000000" w:themeColor="text1"/>
                        <w:sz w:val="24"/>
                        <w:szCs w:val="24"/>
                      </w:rPr>
                      <m:t>(Total Assets-cash-cash equivalents)</m:t>
                    </m:r>
                  </m:den>
                </m:f>
              </m:oMath>
            </m:oMathPara>
          </w:p>
        </w:tc>
        <w:tc>
          <w:tcPr>
            <w:tcW w:w="2457" w:type="dxa"/>
          </w:tcPr>
          <w:p w14:paraId="16F23DB7" w14:textId="77777777" w:rsidR="00870F05" w:rsidRPr="00BE65C7" w:rsidRDefault="00870F05" w:rsidP="00443A1A">
            <w:pPr>
              <w:jc w:val="both"/>
              <w:rPr>
                <w:color w:val="000000" w:themeColor="text1"/>
              </w:rPr>
            </w:pPr>
            <w:r w:rsidRPr="00BE65C7">
              <w:rPr>
                <w:rFonts w:ascii="Times New Roman" w:eastAsia="Calibri" w:hAnsi="Times New Roman" w:cs="Times New Roman"/>
                <w:color w:val="000000" w:themeColor="text1"/>
                <w:sz w:val="24"/>
                <w:szCs w:val="24"/>
              </w:rPr>
              <w:t>Bloomberg</w:t>
            </w:r>
          </w:p>
        </w:tc>
      </w:tr>
      <w:tr w:rsidR="00BE65C7" w:rsidRPr="00BE65C7" w14:paraId="0F02F7D4" w14:textId="77777777" w:rsidTr="009312EF">
        <w:tc>
          <w:tcPr>
            <w:tcW w:w="1722" w:type="dxa"/>
          </w:tcPr>
          <w:p w14:paraId="4BA2504A"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Research and Development (R&amp;D)</w:t>
            </w:r>
          </w:p>
        </w:tc>
        <w:tc>
          <w:tcPr>
            <w:tcW w:w="5739" w:type="dxa"/>
          </w:tcPr>
          <w:p w14:paraId="2CEEF3E9" w14:textId="3D68F905" w:rsidR="00870F05" w:rsidRPr="00BE65C7" w:rsidRDefault="00000000" w:rsidP="00443A1A">
            <w:pPr>
              <w:jc w:val="center"/>
              <w:rPr>
                <w:rFonts w:ascii="Times New Roman" w:eastAsia="Calibri"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(R&amp;D Expenses)</m:t>
                    </m:r>
                  </m:num>
                  <m:den>
                    <m:r>
                      <w:rPr>
                        <w:rFonts w:ascii="Cambria Math" w:hAnsi="Cambria Math" w:cs="Times New Roman"/>
                        <w:color w:val="000000" w:themeColor="text1"/>
                        <w:sz w:val="24"/>
                        <w:szCs w:val="24"/>
                      </w:rPr>
                      <m:t>(Total Assets-cash-cash equivalents)</m:t>
                    </m:r>
                  </m:den>
                </m:f>
              </m:oMath>
            </m:oMathPara>
          </w:p>
        </w:tc>
        <w:tc>
          <w:tcPr>
            <w:tcW w:w="2457" w:type="dxa"/>
          </w:tcPr>
          <w:p w14:paraId="661000FE" w14:textId="77777777" w:rsidR="00870F05" w:rsidRPr="00BE65C7" w:rsidRDefault="00870F05" w:rsidP="00443A1A">
            <w:pPr>
              <w:jc w:val="both"/>
              <w:rPr>
                <w:color w:val="000000" w:themeColor="text1"/>
              </w:rPr>
            </w:pPr>
            <w:r w:rsidRPr="00BE65C7">
              <w:rPr>
                <w:rFonts w:ascii="Times New Roman" w:eastAsia="Calibri" w:hAnsi="Times New Roman" w:cs="Times New Roman"/>
                <w:color w:val="000000" w:themeColor="text1"/>
                <w:sz w:val="24"/>
                <w:szCs w:val="24"/>
              </w:rPr>
              <w:t>Bloomberg</w:t>
            </w:r>
          </w:p>
        </w:tc>
      </w:tr>
      <w:tr w:rsidR="00BE65C7" w:rsidRPr="00BE65C7" w14:paraId="55010FE6" w14:textId="77777777" w:rsidTr="009312EF">
        <w:tc>
          <w:tcPr>
            <w:tcW w:w="1722" w:type="dxa"/>
          </w:tcPr>
          <w:p w14:paraId="7FEA3489"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Return on Assets (ROA)</w:t>
            </w:r>
          </w:p>
        </w:tc>
        <w:tc>
          <w:tcPr>
            <w:tcW w:w="5739" w:type="dxa"/>
          </w:tcPr>
          <w:p w14:paraId="56EE78A2" w14:textId="354E4D6E" w:rsidR="00870F05" w:rsidRPr="00BE65C7" w:rsidRDefault="00000000" w:rsidP="00443A1A">
            <w:pPr>
              <w:jc w:val="center"/>
              <w:rPr>
                <w:rFonts w:ascii="Times New Roman" w:eastAsia="Calibri"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(Earnings before interest and taxes)</m:t>
                    </m:r>
                  </m:num>
                  <m:den>
                    <m:r>
                      <w:rPr>
                        <w:rFonts w:ascii="Cambria Math" w:hAnsi="Cambria Math" w:cs="Times New Roman"/>
                        <w:color w:val="000000" w:themeColor="text1"/>
                        <w:sz w:val="24"/>
                        <w:szCs w:val="24"/>
                      </w:rPr>
                      <m:t>(Total Assets-cash-cash equivalents)</m:t>
                    </m:r>
                  </m:den>
                </m:f>
              </m:oMath>
            </m:oMathPara>
          </w:p>
        </w:tc>
        <w:tc>
          <w:tcPr>
            <w:tcW w:w="2457" w:type="dxa"/>
          </w:tcPr>
          <w:p w14:paraId="1596CB47" w14:textId="77777777" w:rsidR="00870F05" w:rsidRPr="00BE65C7" w:rsidRDefault="00870F05" w:rsidP="00443A1A">
            <w:pPr>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Bloomberg</w:t>
            </w:r>
          </w:p>
        </w:tc>
      </w:tr>
      <w:tr w:rsidR="00BE65C7" w:rsidRPr="00BE65C7" w14:paraId="25E5BDAB" w14:textId="77777777" w:rsidTr="009312EF">
        <w:tc>
          <w:tcPr>
            <w:tcW w:w="1722" w:type="dxa"/>
          </w:tcPr>
          <w:p w14:paraId="24CBD1BC" w14:textId="77777777" w:rsidR="00870F05" w:rsidRPr="00BE65C7" w:rsidRDefault="00870F05" w:rsidP="00443A1A">
            <w:pPr>
              <w:jc w:val="center"/>
              <w:rPr>
                <w:rFonts w:ascii="Times New Roman" w:hAnsi="Times New Roman" w:cs="Times New Roman"/>
                <w:color w:val="000000" w:themeColor="text1"/>
                <w:sz w:val="24"/>
                <w:szCs w:val="24"/>
              </w:rPr>
            </w:pPr>
            <w:proofErr w:type="spellStart"/>
            <w:r w:rsidRPr="00BE65C7">
              <w:rPr>
                <w:rFonts w:ascii="Times New Roman" w:hAnsi="Times New Roman" w:cs="Times New Roman"/>
                <w:color w:val="000000" w:themeColor="text1"/>
                <w:sz w:val="24"/>
                <w:szCs w:val="24"/>
              </w:rPr>
              <w:t>SA_Index</w:t>
            </w:r>
            <w:proofErr w:type="spellEnd"/>
          </w:p>
        </w:tc>
        <w:tc>
          <w:tcPr>
            <w:tcW w:w="5739" w:type="dxa"/>
          </w:tcPr>
          <w:p w14:paraId="3A39D158" w14:textId="77777777" w:rsidR="00870F05" w:rsidRPr="00BE65C7" w:rsidRDefault="00870F05" w:rsidP="00443A1A">
            <w:pPr>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(-0.737×Size) + (0.043 × Size</w:t>
            </w:r>
            <w:r w:rsidRPr="00BE65C7">
              <w:rPr>
                <w:rFonts w:ascii="Times New Roman" w:eastAsia="Calibri" w:hAnsi="Times New Roman" w:cs="Times New Roman"/>
                <w:color w:val="000000" w:themeColor="text1"/>
                <w:sz w:val="24"/>
                <w:szCs w:val="24"/>
                <w:vertAlign w:val="superscript"/>
              </w:rPr>
              <w:t>2</w:t>
            </w:r>
            <w:r w:rsidRPr="00BE65C7">
              <w:rPr>
                <w:rFonts w:ascii="Times New Roman" w:eastAsia="Calibri" w:hAnsi="Times New Roman" w:cs="Times New Roman"/>
                <w:color w:val="000000" w:themeColor="text1"/>
                <w:sz w:val="24"/>
                <w:szCs w:val="24"/>
              </w:rPr>
              <w:t>) – (0.04 × Age)</w:t>
            </w:r>
          </w:p>
        </w:tc>
        <w:tc>
          <w:tcPr>
            <w:tcW w:w="2457" w:type="dxa"/>
          </w:tcPr>
          <w:p w14:paraId="5720F1B6" w14:textId="2E52230F" w:rsidR="00870F05" w:rsidRPr="00BE65C7" w:rsidRDefault="00000000" w:rsidP="00443A1A">
            <w:pPr>
              <w:jc w:val="both"/>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alias w:val="To edit, see citavi.com/edit"/>
                <w:tag w:val="CitaviPlaceholder#b7f93622-3fab-4cb5-a75f-c52864e1d4fd"/>
                <w:id w:val="-1699995332"/>
                <w:placeholder>
                  <w:docPart w:val="8828226E10614CF7A877B1FA2ED81A92"/>
                </w:placeholder>
              </w:sdtPr>
              <w:sdtContent>
                <w:r w:rsidR="00870F05" w:rsidRPr="00BE65C7">
                  <w:rPr>
                    <w:rFonts w:ascii="Times New Roman" w:eastAsia="Calibri" w:hAnsi="Times New Roman" w:cs="Times New Roman"/>
                    <w:noProof/>
                    <w:color w:val="000000" w:themeColor="text1"/>
                    <w:sz w:val="24"/>
                    <w:szCs w:val="24"/>
                  </w:rPr>
                  <w:fldChar w:fldCharType="begin"/>
                </w:r>
                <w:r w:rsidR="00870F05" w:rsidRPr="00BE65C7">
                  <w:rPr>
                    <w:rFonts w:ascii="Times New Roman" w:eastAsia="Calibri"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lYmVjZDBhLTUyMzMtNGFmZS05MjUyLTU2YzZkZjc0NTFiZiIsIlJhbmdlTGVuZ3RoIjozOSwiUmVmZXJlbmNlSWQiOiJiMWM1MjNlZS0zMGJhLTQ2NDYtYjA1NC04OTU2YTVjNDgzMz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IYWRsb2NrLCBDLkouLCBhbmQgUGllcmNlLCBKLlIuIiwiUHJvdGVjdGVkIjpmYWxzZSwiU2V4IjowLCJDcmVhdGVkQnkiOiJfU2FudGFudSBEYXMiLCJDcmVhdGVkT24iOiIyMDIxLTA3LTI3VDA3OjI1OjU5WiIsIk1vZGlmaWVkQnkiOiJfU2FudGFudSBEYXMiLCJJZCI6IjU4N2VkZTViLTVlYjYtNGZkNi1iOTU4LTk5NGRlNTMxNWY0ZiIsIk1vZGlmaWVkT24iOiIyMDIxLTA3LTI3VDA3OjI1OjU5W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}</w:instrText>
                </w:r>
                <w:r w:rsidR="00870F05" w:rsidRPr="00BE65C7">
                  <w:rPr>
                    <w:rFonts w:ascii="Times New Roman" w:eastAsia="Calibri" w:hAnsi="Times New Roman" w:cs="Times New Roman"/>
                    <w:noProof/>
                    <w:color w:val="000000" w:themeColor="text1"/>
                    <w:sz w:val="24"/>
                    <w:szCs w:val="24"/>
                  </w:rPr>
                  <w:fldChar w:fldCharType="separate"/>
                </w:r>
                <w:r w:rsidR="00870F05" w:rsidRPr="00BE65C7">
                  <w:rPr>
                    <w:rFonts w:ascii="Times New Roman" w:eastAsia="Calibri" w:hAnsi="Times New Roman" w:cs="Times New Roman"/>
                    <w:noProof/>
                    <w:color w:val="000000" w:themeColor="text1"/>
                    <w:sz w:val="24"/>
                    <w:szCs w:val="24"/>
                  </w:rPr>
                  <w:t>Hadlock and Pierce, 2010</w:t>
                </w:r>
                <w:r w:rsidR="00870F05" w:rsidRPr="00BE65C7">
                  <w:rPr>
                    <w:rFonts w:ascii="Times New Roman" w:eastAsia="Calibri" w:hAnsi="Times New Roman" w:cs="Times New Roman"/>
                    <w:noProof/>
                    <w:color w:val="000000" w:themeColor="text1"/>
                    <w:sz w:val="24"/>
                    <w:szCs w:val="24"/>
                  </w:rPr>
                  <w:fldChar w:fldCharType="end"/>
                </w:r>
              </w:sdtContent>
            </w:sdt>
          </w:p>
        </w:tc>
      </w:tr>
      <w:tr w:rsidR="00BE65C7" w:rsidRPr="00BE65C7" w14:paraId="50A8B101" w14:textId="77777777" w:rsidTr="009312EF">
        <w:tc>
          <w:tcPr>
            <w:tcW w:w="1722" w:type="dxa"/>
          </w:tcPr>
          <w:p w14:paraId="79AA07D5"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 xml:space="preserve">Size </w:t>
            </w:r>
          </w:p>
        </w:tc>
        <w:tc>
          <w:tcPr>
            <w:tcW w:w="5739" w:type="dxa"/>
          </w:tcPr>
          <w:p w14:paraId="0AFB77DC" w14:textId="0D9F84FA" w:rsidR="00870F05" w:rsidRPr="00BE65C7" w:rsidRDefault="00870F05" w:rsidP="00443A1A">
            <w:pPr>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Natural log of (</w:t>
            </w:r>
            <m:oMath>
              <m:r>
                <w:rPr>
                  <w:rFonts w:ascii="Cambria Math" w:hAnsi="Cambria Math" w:cs="Times New Roman"/>
                  <w:color w:val="000000" w:themeColor="text1"/>
                  <w:sz w:val="24"/>
                  <w:szCs w:val="24"/>
                </w:rPr>
                <m:t>Total Assets-cash-cash equivalents)</m:t>
              </m:r>
            </m:oMath>
          </w:p>
        </w:tc>
        <w:tc>
          <w:tcPr>
            <w:tcW w:w="2457" w:type="dxa"/>
          </w:tcPr>
          <w:p w14:paraId="6C31E19A" w14:textId="77777777" w:rsidR="00870F05" w:rsidRPr="00BE65C7" w:rsidRDefault="00870F05" w:rsidP="00443A1A">
            <w:pPr>
              <w:jc w:val="both"/>
              <w:rPr>
                <w:rFonts w:ascii="Times New Roman" w:eastAsia="Calibri" w:hAnsi="Times New Roman" w:cs="Times New Roman"/>
                <w:noProof/>
                <w:color w:val="000000" w:themeColor="text1"/>
                <w:sz w:val="24"/>
                <w:szCs w:val="24"/>
              </w:rPr>
            </w:pPr>
            <w:r w:rsidRPr="00BE65C7">
              <w:rPr>
                <w:rFonts w:ascii="Times New Roman" w:eastAsia="Calibri" w:hAnsi="Times New Roman" w:cs="Times New Roman"/>
                <w:color w:val="000000" w:themeColor="text1"/>
                <w:sz w:val="24"/>
                <w:szCs w:val="24"/>
              </w:rPr>
              <w:t>Authors own</w:t>
            </w:r>
          </w:p>
        </w:tc>
      </w:tr>
      <w:tr w:rsidR="00BE65C7" w:rsidRPr="00BE65C7" w14:paraId="1922CF92" w14:textId="77777777" w:rsidTr="009312EF">
        <w:tc>
          <w:tcPr>
            <w:tcW w:w="1722" w:type="dxa"/>
          </w:tcPr>
          <w:p w14:paraId="729B481B" w14:textId="77777777" w:rsidR="00870F05" w:rsidRPr="00BE65C7" w:rsidRDefault="00870F05" w:rsidP="00443A1A">
            <w:pPr>
              <w:jc w:val="center"/>
              <w:rPr>
                <w:rFonts w:ascii="Times New Roman" w:hAnsi="Times New Roman" w:cs="Times New Roman"/>
                <w:color w:val="000000" w:themeColor="text1"/>
                <w:sz w:val="24"/>
                <w:szCs w:val="24"/>
              </w:rPr>
            </w:pPr>
            <w:proofErr w:type="spellStart"/>
            <w:r w:rsidRPr="00BE65C7">
              <w:rPr>
                <w:rFonts w:ascii="Times New Roman" w:hAnsi="Times New Roman" w:cs="Times New Roman"/>
                <w:color w:val="000000" w:themeColor="text1"/>
                <w:sz w:val="24"/>
                <w:szCs w:val="24"/>
              </w:rPr>
              <w:t>Sales_growth</w:t>
            </w:r>
            <w:proofErr w:type="spellEnd"/>
          </w:p>
        </w:tc>
        <w:tc>
          <w:tcPr>
            <w:tcW w:w="5739" w:type="dxa"/>
          </w:tcPr>
          <w:p w14:paraId="4A2A1E5B" w14:textId="77777777" w:rsidR="00870F05" w:rsidRPr="00BE65C7" w:rsidRDefault="00870F05" w:rsidP="00443A1A">
            <w:pPr>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3-years moving average of sales growth</w:t>
            </w:r>
          </w:p>
        </w:tc>
        <w:tc>
          <w:tcPr>
            <w:tcW w:w="2457" w:type="dxa"/>
          </w:tcPr>
          <w:p w14:paraId="4CDB6E49" w14:textId="77777777" w:rsidR="00870F05" w:rsidRPr="00BE65C7" w:rsidRDefault="00870F05" w:rsidP="00443A1A">
            <w:pPr>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Bloomberg</w:t>
            </w:r>
          </w:p>
        </w:tc>
      </w:tr>
      <w:tr w:rsidR="00BE65C7" w:rsidRPr="00BE65C7" w14:paraId="3C2325CA" w14:textId="77777777" w:rsidTr="009312EF">
        <w:tc>
          <w:tcPr>
            <w:tcW w:w="1722" w:type="dxa"/>
          </w:tcPr>
          <w:p w14:paraId="6781E0D7" w14:textId="77777777"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Leverage</w:t>
            </w:r>
          </w:p>
        </w:tc>
        <w:tc>
          <w:tcPr>
            <w:tcW w:w="5739" w:type="dxa"/>
          </w:tcPr>
          <w:p w14:paraId="7C9B78E9" w14:textId="17002B0C" w:rsidR="00870F05" w:rsidRPr="00BE65C7" w:rsidRDefault="00000000" w:rsidP="00443A1A">
            <w:pPr>
              <w:jc w:val="center"/>
              <w:rPr>
                <w:rFonts w:ascii="Times New Roman" w:eastAsia="Calibri"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(Interest bearing long term and short term debt)</m:t>
                    </m:r>
                  </m:num>
                  <m:den>
                    <m:r>
                      <w:rPr>
                        <w:rFonts w:ascii="Cambria Math" w:hAnsi="Cambria Math" w:cs="Times New Roman"/>
                        <w:color w:val="000000" w:themeColor="text1"/>
                        <w:sz w:val="24"/>
                        <w:szCs w:val="24"/>
                      </w:rPr>
                      <m:t>(Total Assets-cash-cash equivalents)</m:t>
                    </m:r>
                  </m:den>
                </m:f>
              </m:oMath>
            </m:oMathPara>
          </w:p>
        </w:tc>
        <w:tc>
          <w:tcPr>
            <w:tcW w:w="2457" w:type="dxa"/>
          </w:tcPr>
          <w:p w14:paraId="737A768E" w14:textId="77777777" w:rsidR="00870F05" w:rsidRPr="00BE65C7" w:rsidRDefault="00870F05" w:rsidP="00443A1A">
            <w:pPr>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Bloomberg</w:t>
            </w:r>
          </w:p>
        </w:tc>
      </w:tr>
      <w:tr w:rsidR="00BE65C7" w:rsidRPr="00BE65C7" w14:paraId="0438A473" w14:textId="77777777" w:rsidTr="009312EF">
        <w:tc>
          <w:tcPr>
            <w:tcW w:w="1722" w:type="dxa"/>
          </w:tcPr>
          <w:p w14:paraId="66037D53" w14:textId="2AE742F1" w:rsidR="00870F05" w:rsidRPr="00BE65C7" w:rsidRDefault="00870F05" w:rsidP="00443A1A">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Institutional investors</w:t>
            </w:r>
          </w:p>
        </w:tc>
        <w:tc>
          <w:tcPr>
            <w:tcW w:w="5739" w:type="dxa"/>
          </w:tcPr>
          <w:p w14:paraId="2EEBB444" w14:textId="30101D07" w:rsidR="00870F05" w:rsidRPr="00BE65C7" w:rsidRDefault="00000000" w:rsidP="00443A1A">
            <w:pPr>
              <w:jc w:val="center"/>
              <w:rPr>
                <w:rFonts w:ascii="Times New Roman" w:eastAsia="Calibri" w:hAnsi="Times New Roman" w:cs="Times New Roman"/>
                <w:color w:val="000000" w:themeColor="text1"/>
                <w:sz w:val="24"/>
                <w:szCs w:val="24"/>
              </w:rPr>
            </w:pPr>
            <m:oMathPara>
              <m:oMath>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Institutional investment (US $ million)</m:t>
                    </m:r>
                  </m:num>
                  <m:den>
                    <m:r>
                      <w:rPr>
                        <w:rFonts w:ascii="Cambria Math" w:eastAsia="Calibri" w:hAnsi="Cambria Math" w:cs="Times New Roman"/>
                        <w:color w:val="000000" w:themeColor="text1"/>
                        <w:sz w:val="24"/>
                        <w:szCs w:val="24"/>
                      </w:rPr>
                      <m:t>Market value of equity (US $ million)</m:t>
                    </m:r>
                  </m:den>
                </m:f>
              </m:oMath>
            </m:oMathPara>
          </w:p>
        </w:tc>
        <w:tc>
          <w:tcPr>
            <w:tcW w:w="2457" w:type="dxa"/>
          </w:tcPr>
          <w:p w14:paraId="236F69C0" w14:textId="33BCCE02" w:rsidR="00870F05" w:rsidRPr="00BE65C7" w:rsidRDefault="00870F05" w:rsidP="00443A1A">
            <w:pPr>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Authors</w:t>
            </w:r>
            <w:r w:rsidR="00E437C7" w:rsidRPr="00BE65C7">
              <w:rPr>
                <w:rFonts w:ascii="Times New Roman" w:eastAsia="Calibri" w:hAnsi="Times New Roman" w:cs="Times New Roman"/>
                <w:color w:val="000000" w:themeColor="text1"/>
                <w:sz w:val="24"/>
                <w:szCs w:val="24"/>
              </w:rPr>
              <w:t>'</w:t>
            </w:r>
            <w:r w:rsidRPr="00BE65C7">
              <w:rPr>
                <w:rFonts w:ascii="Times New Roman" w:eastAsia="Calibri" w:hAnsi="Times New Roman" w:cs="Times New Roman"/>
                <w:color w:val="000000" w:themeColor="text1"/>
                <w:sz w:val="24"/>
                <w:szCs w:val="24"/>
              </w:rPr>
              <w:t xml:space="preserve"> calculation</w:t>
            </w:r>
          </w:p>
        </w:tc>
      </w:tr>
      <w:tr w:rsidR="00785E27" w:rsidRPr="00BE65C7" w14:paraId="50C1D258" w14:textId="77777777" w:rsidTr="009312EF">
        <w:tc>
          <w:tcPr>
            <w:tcW w:w="1722" w:type="dxa"/>
          </w:tcPr>
          <w:p w14:paraId="77480A63" w14:textId="2C7E0DD3" w:rsidR="00785E27" w:rsidRPr="00BE65C7" w:rsidRDefault="00785E27" w:rsidP="00785E27">
            <w:pPr>
              <w:jc w:val="center"/>
              <w:rPr>
                <w:rFonts w:ascii="Times New Roman" w:hAnsi="Times New Roman" w:cs="Times New Roman"/>
                <w:color w:val="000000" w:themeColor="text1"/>
                <w:sz w:val="24"/>
                <w:szCs w:val="24"/>
              </w:rPr>
            </w:pPr>
            <w:r w:rsidRPr="00BE65C7">
              <w:rPr>
                <w:rFonts w:ascii="Times New Roman" w:hAnsi="Times New Roman" w:cs="Times New Roman"/>
                <w:color w:val="000000" w:themeColor="text1"/>
                <w:sz w:val="24"/>
                <w:szCs w:val="24"/>
              </w:rPr>
              <w:t>Corruption</w:t>
            </w:r>
          </w:p>
        </w:tc>
        <w:tc>
          <w:tcPr>
            <w:tcW w:w="5739" w:type="dxa"/>
          </w:tcPr>
          <w:p w14:paraId="21C36CA1" w14:textId="116B2433" w:rsidR="00785E27" w:rsidRPr="00BE65C7" w:rsidRDefault="00785E27" w:rsidP="00785E27">
            <w:pPr>
              <w:jc w:val="center"/>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Control of corruption index ranges from -2.5 (Most corrupt) to +2.5 (least corrupt)</w:t>
            </w:r>
          </w:p>
        </w:tc>
        <w:tc>
          <w:tcPr>
            <w:tcW w:w="2457" w:type="dxa"/>
          </w:tcPr>
          <w:p w14:paraId="612B2F48" w14:textId="2AFFD999" w:rsidR="00785E27" w:rsidRPr="00BE65C7" w:rsidRDefault="00785E27" w:rsidP="00785E27">
            <w:pPr>
              <w:jc w:val="both"/>
              <w:rPr>
                <w:rFonts w:ascii="Times New Roman" w:eastAsia="Calibri" w:hAnsi="Times New Roman" w:cs="Times New Roman"/>
                <w:color w:val="000000" w:themeColor="text1"/>
                <w:sz w:val="24"/>
                <w:szCs w:val="24"/>
              </w:rPr>
            </w:pPr>
            <w:r w:rsidRPr="00BE65C7">
              <w:rPr>
                <w:rFonts w:ascii="Times New Roman" w:eastAsia="Calibri" w:hAnsi="Times New Roman" w:cs="Times New Roman"/>
                <w:color w:val="000000" w:themeColor="text1"/>
                <w:sz w:val="24"/>
                <w:szCs w:val="24"/>
              </w:rPr>
              <w:t>World Governance Indicators, IMF Database</w:t>
            </w:r>
          </w:p>
        </w:tc>
      </w:tr>
    </w:tbl>
    <w:p w14:paraId="6796DB86" w14:textId="77777777" w:rsidR="00870F05" w:rsidRDefault="00870F05" w:rsidP="008F2F72">
      <w:pPr>
        <w:spacing w:line="360" w:lineRule="auto"/>
        <w:jc w:val="both"/>
        <w:rPr>
          <w:rFonts w:ascii="Times New Roman" w:hAnsi="Times New Roman" w:cs="Times New Roman"/>
          <w:color w:val="000000" w:themeColor="text1"/>
          <w:sz w:val="24"/>
          <w:szCs w:val="24"/>
          <w:lang w:val="en-US"/>
        </w:rPr>
      </w:pPr>
    </w:p>
    <w:p w14:paraId="0FF8A034" w14:textId="77777777" w:rsidR="00650051" w:rsidRDefault="00650051" w:rsidP="008F2F72">
      <w:pPr>
        <w:spacing w:line="360" w:lineRule="auto"/>
        <w:jc w:val="both"/>
        <w:rPr>
          <w:rFonts w:ascii="Times New Roman" w:hAnsi="Times New Roman" w:cs="Times New Roman"/>
          <w:color w:val="000000" w:themeColor="text1"/>
          <w:sz w:val="24"/>
          <w:szCs w:val="24"/>
          <w:lang w:val="en-US"/>
        </w:rPr>
      </w:pPr>
    </w:p>
    <w:p w14:paraId="42D34E84" w14:textId="01DB4DA3" w:rsidR="008507BE" w:rsidRDefault="008507BE" w:rsidP="008507BE">
      <w:bookmarkStart w:id="1" w:name="_Hlk163594546"/>
    </w:p>
    <w:bookmarkEnd w:id="1"/>
    <w:p w14:paraId="7DE06220" w14:textId="77777777" w:rsidR="004F19AF" w:rsidRDefault="004F19AF" w:rsidP="004F19AF">
      <w:pPr>
        <w:jc w:val="center"/>
        <w:rPr>
          <w:b/>
          <w:bCs/>
          <w:sz w:val="28"/>
          <w:szCs w:val="28"/>
          <w:lang w:val="en-US"/>
        </w:rPr>
      </w:pPr>
      <w:r>
        <w:rPr>
          <w:rFonts w:ascii="Times New Roman" w:hAnsi="Times New Roman" w:cs="Times New Roman"/>
          <w:color w:val="000000" w:themeColor="text1"/>
          <w:sz w:val="24"/>
          <w:szCs w:val="24"/>
        </w:rPr>
        <w:br w:type="page"/>
      </w:r>
      <w:r w:rsidRPr="00FF5C6C">
        <w:rPr>
          <w:b/>
          <w:bCs/>
          <w:sz w:val="28"/>
          <w:szCs w:val="28"/>
          <w:lang w:val="en-US"/>
        </w:rPr>
        <w:t>Declaration of Interest Statement</w:t>
      </w:r>
    </w:p>
    <w:p w14:paraId="242160CF" w14:textId="77777777" w:rsidR="004F19AF" w:rsidRDefault="004F19AF" w:rsidP="004F19AF">
      <w:pPr>
        <w:jc w:val="center"/>
        <w:rPr>
          <w:b/>
          <w:bCs/>
          <w:sz w:val="28"/>
          <w:szCs w:val="28"/>
          <w:lang w:val="en-US"/>
        </w:rPr>
      </w:pPr>
    </w:p>
    <w:p w14:paraId="2F8BB05B" w14:textId="77777777" w:rsidR="004F19AF" w:rsidRPr="00FF5C6C" w:rsidRDefault="004F19AF" w:rsidP="004F19AF">
      <w:pPr>
        <w:rPr>
          <w:b/>
          <w:bCs/>
          <w:sz w:val="28"/>
          <w:szCs w:val="28"/>
          <w:lang w:val="en-US"/>
        </w:rPr>
      </w:pPr>
      <w:r>
        <w:rPr>
          <w:b/>
          <w:bCs/>
          <w:sz w:val="28"/>
          <w:szCs w:val="28"/>
          <w:lang w:val="en-US"/>
        </w:rPr>
        <w:t>The authors have no conflicts of interests to declare.</w:t>
      </w:r>
    </w:p>
    <w:p w14:paraId="0E5F6465" w14:textId="1CF94DA8" w:rsidR="004F19AF" w:rsidRPr="004F19AF" w:rsidRDefault="004F19AF">
      <w:pPr>
        <w:rPr>
          <w:rFonts w:ascii="Times New Roman" w:hAnsi="Times New Roman" w:cs="Times New Roman"/>
          <w:color w:val="000000" w:themeColor="text1"/>
          <w:sz w:val="24"/>
          <w:szCs w:val="24"/>
          <w:lang w:val="en-US"/>
        </w:rPr>
      </w:pPr>
    </w:p>
    <w:p w14:paraId="3D04D807" w14:textId="092E98F0" w:rsidR="00650051" w:rsidRPr="008507BE" w:rsidRDefault="00650051" w:rsidP="008F2F72">
      <w:pPr>
        <w:spacing w:line="360" w:lineRule="auto"/>
        <w:jc w:val="both"/>
        <w:rPr>
          <w:rFonts w:ascii="Times New Roman" w:hAnsi="Times New Roman" w:cs="Times New Roman"/>
          <w:color w:val="000000" w:themeColor="text1"/>
          <w:sz w:val="24"/>
          <w:szCs w:val="24"/>
        </w:rPr>
      </w:pPr>
    </w:p>
    <w:sectPr w:rsidR="00650051" w:rsidRPr="008507BE" w:rsidSect="0054153E">
      <w:footerReference w:type="default" r:id="rId10"/>
      <w:pgSz w:w="11906" w:h="16838"/>
      <w:pgMar w:top="144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9379E" w14:textId="77777777" w:rsidR="00AB6102" w:rsidRDefault="00AB6102" w:rsidP="00DF05AC">
      <w:pPr>
        <w:spacing w:after="0" w:line="240" w:lineRule="auto"/>
      </w:pPr>
      <w:r>
        <w:separator/>
      </w:r>
    </w:p>
  </w:endnote>
  <w:endnote w:type="continuationSeparator" w:id="0">
    <w:p w14:paraId="5B52CD60" w14:textId="77777777" w:rsidR="00AB6102" w:rsidRDefault="00AB6102" w:rsidP="00DF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208313"/>
      <w:docPartObj>
        <w:docPartGallery w:val="Page Numbers (Bottom of Page)"/>
        <w:docPartUnique/>
      </w:docPartObj>
    </w:sdtPr>
    <w:sdtEndPr>
      <w:rPr>
        <w:noProof/>
      </w:rPr>
    </w:sdtEndPr>
    <w:sdtContent>
      <w:p w14:paraId="23AD34C6" w14:textId="7C08C3C8" w:rsidR="003676B7" w:rsidRDefault="003676B7">
        <w:pPr>
          <w:pStyle w:val="Footer"/>
          <w:jc w:val="right"/>
        </w:pPr>
        <w:r>
          <w:fldChar w:fldCharType="begin"/>
        </w:r>
        <w:r>
          <w:instrText xml:space="preserve"> PAGE   \* MERGEFORMAT </w:instrText>
        </w:r>
        <w:r>
          <w:fldChar w:fldCharType="separate"/>
        </w:r>
        <w:r w:rsidR="00F7578F">
          <w:rPr>
            <w:noProof/>
          </w:rPr>
          <w:t>23</w:t>
        </w:r>
        <w:r>
          <w:rPr>
            <w:noProof/>
          </w:rPr>
          <w:fldChar w:fldCharType="end"/>
        </w:r>
      </w:p>
    </w:sdtContent>
  </w:sdt>
  <w:p w14:paraId="438CE6C1" w14:textId="77777777" w:rsidR="003676B7" w:rsidRDefault="00367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B4254" w14:textId="77777777" w:rsidR="00AB6102" w:rsidRDefault="00AB6102" w:rsidP="00DF05AC">
      <w:pPr>
        <w:spacing w:after="0" w:line="240" w:lineRule="auto"/>
      </w:pPr>
      <w:r>
        <w:separator/>
      </w:r>
    </w:p>
  </w:footnote>
  <w:footnote w:type="continuationSeparator" w:id="0">
    <w:p w14:paraId="7122022A" w14:textId="77777777" w:rsidR="00AB6102" w:rsidRDefault="00AB6102" w:rsidP="00DF05AC">
      <w:pPr>
        <w:spacing w:after="0" w:line="240" w:lineRule="auto"/>
      </w:pPr>
      <w:r>
        <w:continuationSeparator/>
      </w:r>
    </w:p>
  </w:footnote>
  <w:footnote w:id="1">
    <w:p w14:paraId="4E665FA3" w14:textId="466DA29A" w:rsidR="00D008EC" w:rsidRPr="00FF0201" w:rsidRDefault="00D008EC" w:rsidP="00D008EC">
      <w:pPr>
        <w:pStyle w:val="FootnoteText"/>
        <w:jc w:val="both"/>
        <w:rPr>
          <w:lang w:val="en-GB"/>
        </w:rPr>
      </w:pPr>
      <w:r>
        <w:rPr>
          <w:rStyle w:val="FootnoteReference"/>
        </w:rPr>
        <w:footnoteRef/>
      </w:r>
      <w:r>
        <w:t xml:space="preserve"> </w:t>
      </w:r>
      <w:r w:rsidRPr="004F2CCD">
        <w:rPr>
          <w:rFonts w:ascii="Times New Roman" w:hAnsi="Times New Roman" w:cs="Times New Roman"/>
          <w:b/>
          <w:bCs/>
        </w:rPr>
        <w:t>Corresponding author:</w:t>
      </w:r>
      <w:r w:rsidRPr="004F2CCD">
        <w:rPr>
          <w:rFonts w:ascii="Times New Roman" w:hAnsi="Times New Roman" w:cs="Times New Roman"/>
        </w:rPr>
        <w:t xml:space="preserve"> </w:t>
      </w:r>
      <w:r w:rsidRPr="004F2CCD">
        <w:rPr>
          <w:rFonts w:ascii="Times New Roman" w:hAnsi="Times New Roman" w:cs="Times New Roman"/>
          <w:i/>
          <w:iCs/>
        </w:rPr>
        <w:t>Tapas Mishra</w:t>
      </w:r>
      <w:r w:rsidRPr="004F2CCD">
        <w:rPr>
          <w:rFonts w:ascii="Times New Roman" w:hAnsi="Times New Roman" w:cs="Times New Roman"/>
        </w:rPr>
        <w:t xml:space="preserve">, </w:t>
      </w:r>
      <w:r>
        <w:rPr>
          <w:rFonts w:ascii="Times New Roman" w:hAnsi="Times New Roman" w:cs="Times New Roman"/>
        </w:rPr>
        <w:t xml:space="preserve">Professor of Financial Economics, </w:t>
      </w:r>
      <w:r w:rsidRPr="004F2CCD">
        <w:rPr>
          <w:rFonts w:ascii="Times New Roman" w:hAnsi="Times New Roman" w:cs="Times New Roman"/>
        </w:rPr>
        <w:t>University of Southampton</w:t>
      </w:r>
      <w:r>
        <w:rPr>
          <w:rFonts w:ascii="Times New Roman" w:hAnsi="Times New Roman" w:cs="Times New Roman"/>
        </w:rPr>
        <w:t>.</w:t>
      </w:r>
      <w:r w:rsidRPr="004F2CCD">
        <w:rPr>
          <w:rFonts w:ascii="Times New Roman" w:hAnsi="Times New Roman" w:cs="Times New Roman"/>
        </w:rPr>
        <w:t xml:space="preserve"> E-mail: </w:t>
      </w:r>
      <w:hyperlink r:id="rId1" w:history="1">
        <w:r w:rsidRPr="004F2CCD">
          <w:rPr>
            <w:rStyle w:val="Hyperlink"/>
            <w:rFonts w:ascii="Times New Roman" w:hAnsi="Times New Roman" w:cs="Times New Roman"/>
          </w:rPr>
          <w:t>t.k.mishra@soton.ac.uk</w:t>
        </w:r>
      </w:hyperlink>
      <w:r w:rsidRPr="004F2CCD">
        <w:rPr>
          <w:rFonts w:ascii="Times New Roman" w:hAnsi="Times New Roman" w:cs="Times New Roman"/>
        </w:rPr>
        <w:t>. Contact details of</w:t>
      </w:r>
      <w:r>
        <w:rPr>
          <w:rFonts w:ascii="Times New Roman" w:hAnsi="Times New Roman" w:cs="Times New Roman"/>
        </w:rPr>
        <w:t xml:space="preserve"> co-authors</w:t>
      </w:r>
      <w:r w:rsidRPr="004F2CCD">
        <w:rPr>
          <w:rFonts w:ascii="Times New Roman" w:hAnsi="Times New Roman" w:cs="Times New Roman"/>
        </w:rPr>
        <w:t xml:space="preserve">: </w:t>
      </w:r>
      <w:r w:rsidRPr="004F2CCD">
        <w:rPr>
          <w:rFonts w:ascii="Times New Roman" w:hAnsi="Times New Roman" w:cs="Times New Roman"/>
          <w:i/>
          <w:iCs/>
        </w:rPr>
        <w:t>Santanu Das</w:t>
      </w:r>
      <w:r w:rsidRPr="004F2CCD">
        <w:rPr>
          <w:rFonts w:ascii="Times New Roman" w:hAnsi="Times New Roman" w:cs="Times New Roman"/>
        </w:rPr>
        <w:t xml:space="preserve"> (E-mail: </w:t>
      </w:r>
      <w:hyperlink r:id="rId2" w:history="1">
        <w:r w:rsidRPr="00F135C9">
          <w:rPr>
            <w:rStyle w:val="Hyperlink"/>
            <w:rFonts w:ascii="Times New Roman" w:eastAsia="Times New Roman" w:hAnsi="Times New Roman" w:cs="Times New Roman"/>
            <w:b/>
            <w:bCs/>
            <w:lang w:val="en-GB"/>
          </w:rPr>
          <w:t>santanud@iifmbhopal.edu.in</w:t>
        </w:r>
      </w:hyperlink>
      <w:r w:rsidRPr="004F2CCD">
        <w:rPr>
          <w:rFonts w:ascii="Times New Roman" w:eastAsia="Times New Roman" w:hAnsi="Times New Roman" w:cs="Times New Roman"/>
          <w:b/>
          <w:bCs/>
          <w:lang w:val="en-GB"/>
        </w:rPr>
        <w:t xml:space="preserve">), </w:t>
      </w:r>
      <w:r w:rsidRPr="004F2CCD">
        <w:rPr>
          <w:rFonts w:ascii="Times New Roman" w:eastAsia="Times New Roman" w:hAnsi="Times New Roman" w:cs="Times New Roman"/>
          <w:i/>
          <w:iCs/>
          <w:lang w:val="en-GB"/>
        </w:rPr>
        <w:t>Ashish Kumar</w:t>
      </w:r>
      <w:r w:rsidRPr="004F2CCD">
        <w:rPr>
          <w:rFonts w:ascii="Times New Roman" w:eastAsia="Times New Roman" w:hAnsi="Times New Roman" w:cs="Times New Roman"/>
          <w:b/>
          <w:bCs/>
          <w:lang w:val="en-GB"/>
        </w:rPr>
        <w:t xml:space="preserve"> (</w:t>
      </w:r>
      <w:r w:rsidRPr="004F2CCD">
        <w:rPr>
          <w:rFonts w:ascii="Times New Roman" w:eastAsia="Times New Roman" w:hAnsi="Times New Roman" w:cs="Times New Roman"/>
          <w:lang w:val="en-GB"/>
        </w:rPr>
        <w:t xml:space="preserve">E-mail: </w:t>
      </w:r>
      <w:hyperlink r:id="rId3" w:history="1">
        <w:r w:rsidRPr="004F2CCD">
          <w:rPr>
            <w:rStyle w:val="Hyperlink"/>
            <w:rFonts w:ascii="Times New Roman" w:eastAsia="Times New Roman" w:hAnsi="Times New Roman" w:cs="Times New Roman"/>
          </w:rPr>
          <w:t>ashish.kumar@iimkashipur.ac.in</w:t>
        </w:r>
      </w:hyperlink>
      <w:r w:rsidRPr="004F2CCD">
        <w:rPr>
          <w:rStyle w:val="Hyperlink"/>
          <w:rFonts w:ascii="Times New Roman" w:eastAsia="Times New Roman" w:hAnsi="Times New Roman" w:cs="Times New Roman"/>
        </w:rPr>
        <w:t>)</w:t>
      </w:r>
    </w:p>
  </w:footnote>
  <w:footnote w:id="2">
    <w:p w14:paraId="6972D350" w14:textId="1C906320" w:rsidR="003676B7" w:rsidRPr="00E0546E" w:rsidRDefault="003676B7">
      <w:pPr>
        <w:pStyle w:val="FootnoteText"/>
        <w:rPr>
          <w:rFonts w:ascii="Times New Roman" w:hAnsi="Times New Roman" w:cs="Times New Roman"/>
        </w:rPr>
      </w:pPr>
      <w:r w:rsidRPr="00E0546E">
        <w:rPr>
          <w:rStyle w:val="FootnoteReference"/>
          <w:rFonts w:ascii="Times New Roman" w:hAnsi="Times New Roman" w:cs="Times New Roman"/>
        </w:rPr>
        <w:footnoteRef/>
      </w:r>
      <w:r w:rsidRPr="00E0546E">
        <w:rPr>
          <w:rFonts w:ascii="Times New Roman" w:hAnsi="Times New Roman" w:cs="Times New Roman"/>
        </w:rPr>
        <w:t xml:space="preserve"> Lee and Kim (2024) construct a two-period optimal liquidation problem to study the optimal intertemporal liquidation strategies to meet the </w:t>
      </w:r>
      <w:r w:rsidRPr="00E0546E">
        <w:rPr>
          <w:rStyle w:val="singlehighlightclass"/>
          <w:rFonts w:ascii="Times New Roman" w:hAnsi="Times New Roman" w:cs="Times New Roman"/>
        </w:rPr>
        <w:t>cash</w:t>
      </w:r>
      <w:r w:rsidRPr="00E0546E">
        <w:rPr>
          <w:rFonts w:ascii="Times New Roman" w:hAnsi="Times New Roman" w:cs="Times New Roman"/>
        </w:rPr>
        <w:t xml:space="preserve"> requirements of large </w:t>
      </w:r>
      <w:r w:rsidRPr="00E0546E">
        <w:rPr>
          <w:rStyle w:val="singlehighlightclass"/>
          <w:rFonts w:ascii="Times New Roman" w:hAnsi="Times New Roman" w:cs="Times New Roman"/>
        </w:rPr>
        <w:t>institutional</w:t>
      </w:r>
      <w:r w:rsidRPr="00E0546E">
        <w:rPr>
          <w:rFonts w:ascii="Times New Roman" w:hAnsi="Times New Roman" w:cs="Times New Roman"/>
        </w:rPr>
        <w:t xml:space="preserve"> </w:t>
      </w:r>
      <w:r w:rsidRPr="00E0546E">
        <w:rPr>
          <w:rStyle w:val="singlehighlightclass"/>
          <w:rFonts w:ascii="Times New Roman" w:hAnsi="Times New Roman" w:cs="Times New Roman"/>
        </w:rPr>
        <w:t xml:space="preserve">investors. </w:t>
      </w:r>
      <w:r w:rsidRPr="00E0546E">
        <w:rPr>
          <w:rFonts w:ascii="Times New Roman" w:hAnsi="Times New Roman" w:cs="Times New Roman"/>
          <w:color w:val="000000" w:themeColor="text1"/>
          <w:lang w:val="en-US"/>
        </w:rPr>
        <w:t>Ataullah et al. (2022) demonstrate that institutional heterogeneity can improve firms’ long-term growth and the institutions that focus on regular income seem to resist cuts in the event of exogenous shocks, such as the COVID-19.</w:t>
      </w:r>
    </w:p>
  </w:footnote>
  <w:footnote w:id="3">
    <w:p w14:paraId="46E63531" w14:textId="7DDEB509" w:rsidR="003676B7" w:rsidRPr="00E0546E" w:rsidRDefault="003676B7">
      <w:pPr>
        <w:pStyle w:val="FootnoteText"/>
        <w:rPr>
          <w:rFonts w:ascii="Times New Roman" w:hAnsi="Times New Roman" w:cs="Times New Roman"/>
        </w:rPr>
      </w:pPr>
      <w:r w:rsidRPr="00E0546E">
        <w:rPr>
          <w:rStyle w:val="FootnoteReference"/>
          <w:rFonts w:ascii="Times New Roman" w:hAnsi="Times New Roman" w:cs="Times New Roman"/>
        </w:rPr>
        <w:footnoteRef/>
      </w:r>
      <w:r w:rsidRPr="00E0546E">
        <w:rPr>
          <w:rFonts w:ascii="Times New Roman" w:hAnsi="Times New Roman" w:cs="Times New Roman"/>
        </w:rPr>
        <w:t xml:space="preserve"> Klettner (2021) analyses, for instance, </w:t>
      </w:r>
      <w:r w:rsidRPr="00E0546E">
        <w:rPr>
          <w:rStyle w:val="hgkelc"/>
          <w:rFonts w:ascii="Times New Roman" w:hAnsi="Times New Roman" w:cs="Times New Roman"/>
          <w:lang w:val="en"/>
        </w:rPr>
        <w:t>national stewardship codes to understand cross-country variations in investor stewardship policy. The author notes that s</w:t>
      </w:r>
      <w:proofErr w:type="spellStart"/>
      <w:r w:rsidRPr="00E0546E">
        <w:rPr>
          <w:rFonts w:ascii="Times New Roman" w:hAnsi="Times New Roman" w:cs="Times New Roman"/>
        </w:rPr>
        <w:t>tewardship</w:t>
      </w:r>
      <w:proofErr w:type="spellEnd"/>
      <w:r w:rsidRPr="00E0546E">
        <w:rPr>
          <w:rFonts w:ascii="Times New Roman" w:hAnsi="Times New Roman" w:cs="Times New Roman"/>
        </w:rPr>
        <w:t xml:space="preserve"> codes influence the shareholder–manager relationship and can encourage integration of wider economic and societal concerns into corporate finance.</w:t>
      </w:r>
    </w:p>
  </w:footnote>
  <w:footnote w:id="4">
    <w:p w14:paraId="277C38C9" w14:textId="32C4D455" w:rsidR="00E952BE" w:rsidRPr="00E952BE" w:rsidRDefault="00E952BE">
      <w:pPr>
        <w:pStyle w:val="FootnoteText"/>
      </w:pPr>
      <w:r>
        <w:rPr>
          <w:rStyle w:val="FootnoteReference"/>
        </w:rPr>
        <w:footnoteRef/>
      </w:r>
      <w:r>
        <w:t xml:space="preserve"> Thanks to an anonymous referee for offering insights to this note.</w:t>
      </w:r>
    </w:p>
  </w:footnote>
  <w:footnote w:id="5">
    <w:p w14:paraId="0DCF0C2D" w14:textId="77777777" w:rsidR="003676B7" w:rsidRPr="00DF05AC" w:rsidRDefault="003676B7" w:rsidP="001B2320">
      <w:pPr>
        <w:pStyle w:val="FootnoteText"/>
        <w:rPr>
          <w:lang w:val="en-US"/>
        </w:rPr>
      </w:pPr>
      <w:r>
        <w:rPr>
          <w:rStyle w:val="FootnoteReference"/>
        </w:rPr>
        <w:footnoteRef/>
      </w:r>
      <w:r>
        <w:t xml:space="preserve"> </w:t>
      </w:r>
      <w:hyperlink r:id="rId4" w:history="1">
        <w:r w:rsidRPr="00E8127E">
          <w:rPr>
            <w:rStyle w:val="Hyperlink"/>
            <w:rFonts w:ascii="Times New Roman" w:hAnsi="Times New Roman" w:cs="Times New Roman"/>
          </w:rPr>
          <w:t>https://worldpopulationreview.com/country-rankings/common-law-countries</w:t>
        </w:r>
      </w:hyperlink>
      <w:r>
        <w:rPr>
          <w:rFonts w:ascii="Times New Roman" w:hAnsi="Times New Roman" w:cs="Times New Roman"/>
        </w:rPr>
        <w:t>, accessed on June 11,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C764"/>
      </v:shape>
    </w:pict>
  </w:numPicBullet>
  <w:abstractNum w:abstractNumId="0" w15:restartNumberingAfterBreak="0">
    <w:nsid w:val="089443C5"/>
    <w:multiLevelType w:val="multilevel"/>
    <w:tmpl w:val="4C8298EA"/>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12957FF3"/>
    <w:multiLevelType w:val="hybridMultilevel"/>
    <w:tmpl w:val="34CCDE04"/>
    <w:lvl w:ilvl="0" w:tplc="49605A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3107DB"/>
    <w:multiLevelType w:val="multilevel"/>
    <w:tmpl w:val="FBC2D554"/>
    <w:lvl w:ilvl="0">
      <w:start w:val="4"/>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31A96326"/>
    <w:multiLevelType w:val="multilevel"/>
    <w:tmpl w:val="0A32989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34222C5F"/>
    <w:multiLevelType w:val="hybridMultilevel"/>
    <w:tmpl w:val="EC30B68C"/>
    <w:lvl w:ilvl="0" w:tplc="C206F0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E0193"/>
    <w:multiLevelType w:val="hybridMultilevel"/>
    <w:tmpl w:val="0150959A"/>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B212E9"/>
    <w:multiLevelType w:val="multilevel"/>
    <w:tmpl w:val="3778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25F3F"/>
    <w:multiLevelType w:val="multilevel"/>
    <w:tmpl w:val="757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563488">
    <w:abstractNumId w:val="3"/>
  </w:num>
  <w:num w:numId="2" w16cid:durableId="1238250007">
    <w:abstractNumId w:val="7"/>
  </w:num>
  <w:num w:numId="3" w16cid:durableId="1925527317">
    <w:abstractNumId w:val="6"/>
  </w:num>
  <w:num w:numId="4" w16cid:durableId="738401505">
    <w:abstractNumId w:val="5"/>
  </w:num>
  <w:num w:numId="5" w16cid:durableId="1332293829">
    <w:abstractNumId w:val="2"/>
  </w:num>
  <w:num w:numId="6" w16cid:durableId="395779672">
    <w:abstractNumId w:val="0"/>
  </w:num>
  <w:num w:numId="7" w16cid:durableId="338778247">
    <w:abstractNumId w:val="4"/>
  </w:num>
  <w:num w:numId="8" w16cid:durableId="206112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0sDS1NDY3NTQzNDJW0lEKTi0uzszPAykwqgUASuYOHSwAAAA="/>
  </w:docVars>
  <w:rsids>
    <w:rsidRoot w:val="005D69E7"/>
    <w:rsid w:val="000004BF"/>
    <w:rsid w:val="00004920"/>
    <w:rsid w:val="000059EE"/>
    <w:rsid w:val="00006A10"/>
    <w:rsid w:val="000110E7"/>
    <w:rsid w:val="0001466D"/>
    <w:rsid w:val="0002527A"/>
    <w:rsid w:val="00033DC7"/>
    <w:rsid w:val="00034BD2"/>
    <w:rsid w:val="00034CC0"/>
    <w:rsid w:val="00036F7B"/>
    <w:rsid w:val="0004198C"/>
    <w:rsid w:val="0004282D"/>
    <w:rsid w:val="00042AE1"/>
    <w:rsid w:val="0004579E"/>
    <w:rsid w:val="000624B8"/>
    <w:rsid w:val="000671ED"/>
    <w:rsid w:val="00073935"/>
    <w:rsid w:val="00073E9F"/>
    <w:rsid w:val="000841BC"/>
    <w:rsid w:val="00090BA7"/>
    <w:rsid w:val="00091635"/>
    <w:rsid w:val="00095FDD"/>
    <w:rsid w:val="00097176"/>
    <w:rsid w:val="000A18E9"/>
    <w:rsid w:val="000A6547"/>
    <w:rsid w:val="000A6E75"/>
    <w:rsid w:val="000B2837"/>
    <w:rsid w:val="000B7E5A"/>
    <w:rsid w:val="000C1A0D"/>
    <w:rsid w:val="000D25F2"/>
    <w:rsid w:val="000D4F7B"/>
    <w:rsid w:val="000E058F"/>
    <w:rsid w:val="000E081E"/>
    <w:rsid w:val="000E1846"/>
    <w:rsid w:val="000E21DD"/>
    <w:rsid w:val="000E5178"/>
    <w:rsid w:val="000E64F6"/>
    <w:rsid w:val="000F23B9"/>
    <w:rsid w:val="000F23C2"/>
    <w:rsid w:val="000F4458"/>
    <w:rsid w:val="000F511F"/>
    <w:rsid w:val="000F612E"/>
    <w:rsid w:val="000F6614"/>
    <w:rsid w:val="000F7469"/>
    <w:rsid w:val="00102B26"/>
    <w:rsid w:val="00103203"/>
    <w:rsid w:val="00110F4F"/>
    <w:rsid w:val="0011189B"/>
    <w:rsid w:val="00113703"/>
    <w:rsid w:val="0012093E"/>
    <w:rsid w:val="0012308E"/>
    <w:rsid w:val="00123272"/>
    <w:rsid w:val="00125A2C"/>
    <w:rsid w:val="0012602A"/>
    <w:rsid w:val="00127AC2"/>
    <w:rsid w:val="00127D37"/>
    <w:rsid w:val="00131B8E"/>
    <w:rsid w:val="00133595"/>
    <w:rsid w:val="00133C70"/>
    <w:rsid w:val="00133EC2"/>
    <w:rsid w:val="00135201"/>
    <w:rsid w:val="00135B1C"/>
    <w:rsid w:val="00136254"/>
    <w:rsid w:val="00147A88"/>
    <w:rsid w:val="001515DD"/>
    <w:rsid w:val="001538C2"/>
    <w:rsid w:val="001550BC"/>
    <w:rsid w:val="00155BAC"/>
    <w:rsid w:val="00155D36"/>
    <w:rsid w:val="001566AC"/>
    <w:rsid w:val="00163ADC"/>
    <w:rsid w:val="00164A00"/>
    <w:rsid w:val="001713AE"/>
    <w:rsid w:val="00173BD4"/>
    <w:rsid w:val="00175839"/>
    <w:rsid w:val="00177660"/>
    <w:rsid w:val="00182DA1"/>
    <w:rsid w:val="001863E8"/>
    <w:rsid w:val="00187EB7"/>
    <w:rsid w:val="0019130B"/>
    <w:rsid w:val="00192CD8"/>
    <w:rsid w:val="0019740D"/>
    <w:rsid w:val="001A498F"/>
    <w:rsid w:val="001A6172"/>
    <w:rsid w:val="001B2320"/>
    <w:rsid w:val="001B7A77"/>
    <w:rsid w:val="001C09B4"/>
    <w:rsid w:val="001C2494"/>
    <w:rsid w:val="001C57FA"/>
    <w:rsid w:val="001C660E"/>
    <w:rsid w:val="001D2CFA"/>
    <w:rsid w:val="001D7A74"/>
    <w:rsid w:val="001E11F9"/>
    <w:rsid w:val="001E1B4F"/>
    <w:rsid w:val="001E31B4"/>
    <w:rsid w:val="001F1C03"/>
    <w:rsid w:val="001F1CAF"/>
    <w:rsid w:val="001F4D3D"/>
    <w:rsid w:val="001F7260"/>
    <w:rsid w:val="002026BD"/>
    <w:rsid w:val="00203FEB"/>
    <w:rsid w:val="00210354"/>
    <w:rsid w:val="00216145"/>
    <w:rsid w:val="00220A0B"/>
    <w:rsid w:val="00222097"/>
    <w:rsid w:val="00222D38"/>
    <w:rsid w:val="00224600"/>
    <w:rsid w:val="00233AB9"/>
    <w:rsid w:val="00240115"/>
    <w:rsid w:val="0024148C"/>
    <w:rsid w:val="00241C84"/>
    <w:rsid w:val="00247691"/>
    <w:rsid w:val="00251257"/>
    <w:rsid w:val="00253BAB"/>
    <w:rsid w:val="00260834"/>
    <w:rsid w:val="00261367"/>
    <w:rsid w:val="0026302B"/>
    <w:rsid w:val="00263ED6"/>
    <w:rsid w:val="0026572E"/>
    <w:rsid w:val="002672B3"/>
    <w:rsid w:val="00267623"/>
    <w:rsid w:val="00272DAA"/>
    <w:rsid w:val="00273244"/>
    <w:rsid w:val="00273774"/>
    <w:rsid w:val="0027494F"/>
    <w:rsid w:val="0027502D"/>
    <w:rsid w:val="00276528"/>
    <w:rsid w:val="00276C18"/>
    <w:rsid w:val="00281B25"/>
    <w:rsid w:val="002868D5"/>
    <w:rsid w:val="00287032"/>
    <w:rsid w:val="0029107B"/>
    <w:rsid w:val="00292E74"/>
    <w:rsid w:val="00295232"/>
    <w:rsid w:val="002A0F09"/>
    <w:rsid w:val="002A17D3"/>
    <w:rsid w:val="002B2355"/>
    <w:rsid w:val="002B4DAB"/>
    <w:rsid w:val="002B50F0"/>
    <w:rsid w:val="002B6E37"/>
    <w:rsid w:val="002C37A7"/>
    <w:rsid w:val="002C7BF8"/>
    <w:rsid w:val="002D0293"/>
    <w:rsid w:val="002D14BC"/>
    <w:rsid w:val="002D694B"/>
    <w:rsid w:val="002E3690"/>
    <w:rsid w:val="002E67D7"/>
    <w:rsid w:val="002F1A60"/>
    <w:rsid w:val="002F1DBE"/>
    <w:rsid w:val="002F40AB"/>
    <w:rsid w:val="00300679"/>
    <w:rsid w:val="00301176"/>
    <w:rsid w:val="00302A8A"/>
    <w:rsid w:val="00304B02"/>
    <w:rsid w:val="003050A4"/>
    <w:rsid w:val="0030778B"/>
    <w:rsid w:val="003177F1"/>
    <w:rsid w:val="00326372"/>
    <w:rsid w:val="00330B91"/>
    <w:rsid w:val="00333FA3"/>
    <w:rsid w:val="003428F5"/>
    <w:rsid w:val="00347728"/>
    <w:rsid w:val="003516B2"/>
    <w:rsid w:val="00354597"/>
    <w:rsid w:val="003565BE"/>
    <w:rsid w:val="0036298F"/>
    <w:rsid w:val="003632FB"/>
    <w:rsid w:val="003676B7"/>
    <w:rsid w:val="00367CCE"/>
    <w:rsid w:val="0037442E"/>
    <w:rsid w:val="003759F0"/>
    <w:rsid w:val="003763A7"/>
    <w:rsid w:val="003765F0"/>
    <w:rsid w:val="003804CA"/>
    <w:rsid w:val="00381163"/>
    <w:rsid w:val="0038387C"/>
    <w:rsid w:val="00383BB5"/>
    <w:rsid w:val="00384B96"/>
    <w:rsid w:val="00395B5D"/>
    <w:rsid w:val="00396C14"/>
    <w:rsid w:val="00397387"/>
    <w:rsid w:val="00397F70"/>
    <w:rsid w:val="003A09FF"/>
    <w:rsid w:val="003A0BE1"/>
    <w:rsid w:val="003A2395"/>
    <w:rsid w:val="003B1917"/>
    <w:rsid w:val="003B6759"/>
    <w:rsid w:val="003C08A4"/>
    <w:rsid w:val="003C52DB"/>
    <w:rsid w:val="003D043A"/>
    <w:rsid w:val="003D08F0"/>
    <w:rsid w:val="003D0950"/>
    <w:rsid w:val="003D210E"/>
    <w:rsid w:val="003D458D"/>
    <w:rsid w:val="003D6133"/>
    <w:rsid w:val="003E3BA7"/>
    <w:rsid w:val="003E669F"/>
    <w:rsid w:val="003E6A76"/>
    <w:rsid w:val="003E7C88"/>
    <w:rsid w:val="003E7E45"/>
    <w:rsid w:val="003F04ED"/>
    <w:rsid w:val="00401748"/>
    <w:rsid w:val="00410FDC"/>
    <w:rsid w:val="0041202F"/>
    <w:rsid w:val="00425131"/>
    <w:rsid w:val="00425D1B"/>
    <w:rsid w:val="00434C39"/>
    <w:rsid w:val="00437D38"/>
    <w:rsid w:val="00443A1A"/>
    <w:rsid w:val="004445FB"/>
    <w:rsid w:val="00452F3C"/>
    <w:rsid w:val="004530D4"/>
    <w:rsid w:val="00453D0E"/>
    <w:rsid w:val="0045508E"/>
    <w:rsid w:val="00461B9A"/>
    <w:rsid w:val="0046328D"/>
    <w:rsid w:val="00463301"/>
    <w:rsid w:val="00470B6A"/>
    <w:rsid w:val="00472F28"/>
    <w:rsid w:val="00475F5D"/>
    <w:rsid w:val="00482773"/>
    <w:rsid w:val="00486629"/>
    <w:rsid w:val="00494E77"/>
    <w:rsid w:val="004969D9"/>
    <w:rsid w:val="00496B3C"/>
    <w:rsid w:val="004A4F69"/>
    <w:rsid w:val="004B07AF"/>
    <w:rsid w:val="004B2262"/>
    <w:rsid w:val="004B3A95"/>
    <w:rsid w:val="004B43A6"/>
    <w:rsid w:val="004B6BF2"/>
    <w:rsid w:val="004C18E0"/>
    <w:rsid w:val="004C19BD"/>
    <w:rsid w:val="004C4F70"/>
    <w:rsid w:val="004D01AD"/>
    <w:rsid w:val="004D485E"/>
    <w:rsid w:val="004D5E6B"/>
    <w:rsid w:val="004E2F9C"/>
    <w:rsid w:val="004E4693"/>
    <w:rsid w:val="004E5F72"/>
    <w:rsid w:val="004E7196"/>
    <w:rsid w:val="004F19AF"/>
    <w:rsid w:val="004F2CCD"/>
    <w:rsid w:val="004F3691"/>
    <w:rsid w:val="00501116"/>
    <w:rsid w:val="005026D0"/>
    <w:rsid w:val="00505660"/>
    <w:rsid w:val="00517AC2"/>
    <w:rsid w:val="00524C76"/>
    <w:rsid w:val="005259EA"/>
    <w:rsid w:val="0053579D"/>
    <w:rsid w:val="00537374"/>
    <w:rsid w:val="0054153E"/>
    <w:rsid w:val="005424C5"/>
    <w:rsid w:val="0054642C"/>
    <w:rsid w:val="00550593"/>
    <w:rsid w:val="005564E9"/>
    <w:rsid w:val="00562E8D"/>
    <w:rsid w:val="00563B3D"/>
    <w:rsid w:val="00566802"/>
    <w:rsid w:val="00571069"/>
    <w:rsid w:val="00571C5C"/>
    <w:rsid w:val="00574DA7"/>
    <w:rsid w:val="00577234"/>
    <w:rsid w:val="005778AB"/>
    <w:rsid w:val="005779F6"/>
    <w:rsid w:val="00582A7F"/>
    <w:rsid w:val="00584C5C"/>
    <w:rsid w:val="00593F2C"/>
    <w:rsid w:val="005947AC"/>
    <w:rsid w:val="00594B2B"/>
    <w:rsid w:val="00594FA6"/>
    <w:rsid w:val="0059627D"/>
    <w:rsid w:val="005A56C8"/>
    <w:rsid w:val="005A672B"/>
    <w:rsid w:val="005A6FD1"/>
    <w:rsid w:val="005B38D7"/>
    <w:rsid w:val="005B7773"/>
    <w:rsid w:val="005C0742"/>
    <w:rsid w:val="005C1467"/>
    <w:rsid w:val="005C2B6B"/>
    <w:rsid w:val="005C65D2"/>
    <w:rsid w:val="005C776A"/>
    <w:rsid w:val="005D1711"/>
    <w:rsid w:val="005D5267"/>
    <w:rsid w:val="005D69E7"/>
    <w:rsid w:val="005F0C24"/>
    <w:rsid w:val="005F2CED"/>
    <w:rsid w:val="00600970"/>
    <w:rsid w:val="00602CCD"/>
    <w:rsid w:val="0060317B"/>
    <w:rsid w:val="00611E58"/>
    <w:rsid w:val="006139CC"/>
    <w:rsid w:val="00614D3C"/>
    <w:rsid w:val="0062405D"/>
    <w:rsid w:val="00632994"/>
    <w:rsid w:val="00634B4D"/>
    <w:rsid w:val="00636335"/>
    <w:rsid w:val="00644055"/>
    <w:rsid w:val="00644969"/>
    <w:rsid w:val="00644B22"/>
    <w:rsid w:val="00650051"/>
    <w:rsid w:val="00650DAD"/>
    <w:rsid w:val="0065218B"/>
    <w:rsid w:val="00660044"/>
    <w:rsid w:val="0066111C"/>
    <w:rsid w:val="006622C0"/>
    <w:rsid w:val="00666A61"/>
    <w:rsid w:val="00667280"/>
    <w:rsid w:val="006676D9"/>
    <w:rsid w:val="0067046D"/>
    <w:rsid w:val="006754BD"/>
    <w:rsid w:val="00677401"/>
    <w:rsid w:val="00677ABA"/>
    <w:rsid w:val="006928BE"/>
    <w:rsid w:val="00692C4F"/>
    <w:rsid w:val="00696E87"/>
    <w:rsid w:val="0069701D"/>
    <w:rsid w:val="006A4DE4"/>
    <w:rsid w:val="006A6F01"/>
    <w:rsid w:val="006B0591"/>
    <w:rsid w:val="006B2F10"/>
    <w:rsid w:val="006B5610"/>
    <w:rsid w:val="006C4A47"/>
    <w:rsid w:val="006D7629"/>
    <w:rsid w:val="006D7712"/>
    <w:rsid w:val="006D79AE"/>
    <w:rsid w:val="006E20BB"/>
    <w:rsid w:val="006E7729"/>
    <w:rsid w:val="006F1D6D"/>
    <w:rsid w:val="006F3922"/>
    <w:rsid w:val="006F4B5D"/>
    <w:rsid w:val="006F7ECD"/>
    <w:rsid w:val="007024E1"/>
    <w:rsid w:val="00702770"/>
    <w:rsid w:val="00712D7B"/>
    <w:rsid w:val="00715338"/>
    <w:rsid w:val="007158AB"/>
    <w:rsid w:val="00716ACA"/>
    <w:rsid w:val="00720020"/>
    <w:rsid w:val="00724F45"/>
    <w:rsid w:val="00725B5F"/>
    <w:rsid w:val="00727DE4"/>
    <w:rsid w:val="00727EAD"/>
    <w:rsid w:val="0073589F"/>
    <w:rsid w:val="00740BDD"/>
    <w:rsid w:val="00743345"/>
    <w:rsid w:val="00752055"/>
    <w:rsid w:val="007540C8"/>
    <w:rsid w:val="007549A9"/>
    <w:rsid w:val="00755EDE"/>
    <w:rsid w:val="007562EC"/>
    <w:rsid w:val="00761654"/>
    <w:rsid w:val="00761BC6"/>
    <w:rsid w:val="00761E45"/>
    <w:rsid w:val="00761F90"/>
    <w:rsid w:val="00762E7D"/>
    <w:rsid w:val="00763BE0"/>
    <w:rsid w:val="007659AD"/>
    <w:rsid w:val="00765AC0"/>
    <w:rsid w:val="00770B2C"/>
    <w:rsid w:val="00771772"/>
    <w:rsid w:val="0077702C"/>
    <w:rsid w:val="00781E25"/>
    <w:rsid w:val="00785E27"/>
    <w:rsid w:val="0078632A"/>
    <w:rsid w:val="00786B56"/>
    <w:rsid w:val="00792435"/>
    <w:rsid w:val="007A2A99"/>
    <w:rsid w:val="007A47DE"/>
    <w:rsid w:val="007A5BB8"/>
    <w:rsid w:val="007B10A0"/>
    <w:rsid w:val="007B2894"/>
    <w:rsid w:val="007B6B31"/>
    <w:rsid w:val="007D1DC3"/>
    <w:rsid w:val="007D6507"/>
    <w:rsid w:val="007D7051"/>
    <w:rsid w:val="007E0714"/>
    <w:rsid w:val="007E39E0"/>
    <w:rsid w:val="007E446B"/>
    <w:rsid w:val="007E46C8"/>
    <w:rsid w:val="007E6226"/>
    <w:rsid w:val="007E7E04"/>
    <w:rsid w:val="007F7375"/>
    <w:rsid w:val="0080184F"/>
    <w:rsid w:val="0080543F"/>
    <w:rsid w:val="00807FE1"/>
    <w:rsid w:val="00810816"/>
    <w:rsid w:val="00810AD8"/>
    <w:rsid w:val="00811972"/>
    <w:rsid w:val="0081277D"/>
    <w:rsid w:val="0081375F"/>
    <w:rsid w:val="008232C5"/>
    <w:rsid w:val="00824633"/>
    <w:rsid w:val="00827030"/>
    <w:rsid w:val="00827191"/>
    <w:rsid w:val="00830DAD"/>
    <w:rsid w:val="0083193A"/>
    <w:rsid w:val="00832C22"/>
    <w:rsid w:val="0083495F"/>
    <w:rsid w:val="008370E5"/>
    <w:rsid w:val="0084050B"/>
    <w:rsid w:val="00845E46"/>
    <w:rsid w:val="008507BE"/>
    <w:rsid w:val="00850916"/>
    <w:rsid w:val="00854218"/>
    <w:rsid w:val="00856F08"/>
    <w:rsid w:val="0086681F"/>
    <w:rsid w:val="00866B27"/>
    <w:rsid w:val="00870B69"/>
    <w:rsid w:val="00870F05"/>
    <w:rsid w:val="00870FD0"/>
    <w:rsid w:val="00873E00"/>
    <w:rsid w:val="00874486"/>
    <w:rsid w:val="008870E9"/>
    <w:rsid w:val="00892A85"/>
    <w:rsid w:val="008955E1"/>
    <w:rsid w:val="0089733B"/>
    <w:rsid w:val="008A0FC0"/>
    <w:rsid w:val="008A17C1"/>
    <w:rsid w:val="008D0AA7"/>
    <w:rsid w:val="008D1735"/>
    <w:rsid w:val="008D2DFC"/>
    <w:rsid w:val="008D3FE5"/>
    <w:rsid w:val="008D560D"/>
    <w:rsid w:val="008D6B5E"/>
    <w:rsid w:val="008E1D7F"/>
    <w:rsid w:val="008E6C51"/>
    <w:rsid w:val="008F225B"/>
    <w:rsid w:val="008F2AF4"/>
    <w:rsid w:val="008F2F72"/>
    <w:rsid w:val="008F5E60"/>
    <w:rsid w:val="00902390"/>
    <w:rsid w:val="009026AE"/>
    <w:rsid w:val="00911515"/>
    <w:rsid w:val="009148FC"/>
    <w:rsid w:val="00915CE8"/>
    <w:rsid w:val="009204EB"/>
    <w:rsid w:val="00920ECB"/>
    <w:rsid w:val="009215EA"/>
    <w:rsid w:val="00930918"/>
    <w:rsid w:val="00930AF6"/>
    <w:rsid w:val="009312EF"/>
    <w:rsid w:val="0093227B"/>
    <w:rsid w:val="00936488"/>
    <w:rsid w:val="0093756A"/>
    <w:rsid w:val="00937B8B"/>
    <w:rsid w:val="009404EB"/>
    <w:rsid w:val="00941D30"/>
    <w:rsid w:val="009515F9"/>
    <w:rsid w:val="0095257F"/>
    <w:rsid w:val="00952BC6"/>
    <w:rsid w:val="00960933"/>
    <w:rsid w:val="00960A44"/>
    <w:rsid w:val="00973569"/>
    <w:rsid w:val="00975D67"/>
    <w:rsid w:val="00981832"/>
    <w:rsid w:val="00992A26"/>
    <w:rsid w:val="00995283"/>
    <w:rsid w:val="009A1898"/>
    <w:rsid w:val="009A347B"/>
    <w:rsid w:val="009A368F"/>
    <w:rsid w:val="009A680E"/>
    <w:rsid w:val="009B5F15"/>
    <w:rsid w:val="009C42FF"/>
    <w:rsid w:val="009C60E9"/>
    <w:rsid w:val="009C7693"/>
    <w:rsid w:val="009D14C5"/>
    <w:rsid w:val="009D2411"/>
    <w:rsid w:val="009D31E4"/>
    <w:rsid w:val="009D3559"/>
    <w:rsid w:val="009D39E2"/>
    <w:rsid w:val="009D3FA2"/>
    <w:rsid w:val="009D4802"/>
    <w:rsid w:val="009D5B91"/>
    <w:rsid w:val="009D6695"/>
    <w:rsid w:val="009E378B"/>
    <w:rsid w:val="009E45E5"/>
    <w:rsid w:val="009E7E7A"/>
    <w:rsid w:val="009F2B1A"/>
    <w:rsid w:val="009F5A6E"/>
    <w:rsid w:val="00A00C28"/>
    <w:rsid w:val="00A00DF8"/>
    <w:rsid w:val="00A139F5"/>
    <w:rsid w:val="00A179B9"/>
    <w:rsid w:val="00A20816"/>
    <w:rsid w:val="00A21B67"/>
    <w:rsid w:val="00A23B07"/>
    <w:rsid w:val="00A3603B"/>
    <w:rsid w:val="00A3786E"/>
    <w:rsid w:val="00A4297C"/>
    <w:rsid w:val="00A47C27"/>
    <w:rsid w:val="00A63FA3"/>
    <w:rsid w:val="00A6730C"/>
    <w:rsid w:val="00A73D0A"/>
    <w:rsid w:val="00A75E0C"/>
    <w:rsid w:val="00A8167E"/>
    <w:rsid w:val="00A81752"/>
    <w:rsid w:val="00A86982"/>
    <w:rsid w:val="00A86BFD"/>
    <w:rsid w:val="00A87EC4"/>
    <w:rsid w:val="00A91DF6"/>
    <w:rsid w:val="00A93D5C"/>
    <w:rsid w:val="00A9456F"/>
    <w:rsid w:val="00A96591"/>
    <w:rsid w:val="00AA07F6"/>
    <w:rsid w:val="00AA1481"/>
    <w:rsid w:val="00AA3C6C"/>
    <w:rsid w:val="00AA7501"/>
    <w:rsid w:val="00AB1891"/>
    <w:rsid w:val="00AB28A0"/>
    <w:rsid w:val="00AB4BC8"/>
    <w:rsid w:val="00AB5F8D"/>
    <w:rsid w:val="00AB6102"/>
    <w:rsid w:val="00AD321A"/>
    <w:rsid w:val="00AD3C6B"/>
    <w:rsid w:val="00AE0325"/>
    <w:rsid w:val="00AE12ED"/>
    <w:rsid w:val="00AE16CA"/>
    <w:rsid w:val="00AE4F40"/>
    <w:rsid w:val="00AF140E"/>
    <w:rsid w:val="00AF4CF4"/>
    <w:rsid w:val="00AF7B66"/>
    <w:rsid w:val="00B01FD2"/>
    <w:rsid w:val="00B02EC1"/>
    <w:rsid w:val="00B16804"/>
    <w:rsid w:val="00B202A5"/>
    <w:rsid w:val="00B20A9F"/>
    <w:rsid w:val="00B23AE5"/>
    <w:rsid w:val="00B25F14"/>
    <w:rsid w:val="00B27021"/>
    <w:rsid w:val="00B32473"/>
    <w:rsid w:val="00B377F1"/>
    <w:rsid w:val="00B41555"/>
    <w:rsid w:val="00B41EAC"/>
    <w:rsid w:val="00B453C9"/>
    <w:rsid w:val="00B50198"/>
    <w:rsid w:val="00B5380B"/>
    <w:rsid w:val="00B54ADD"/>
    <w:rsid w:val="00B556B3"/>
    <w:rsid w:val="00B63E9A"/>
    <w:rsid w:val="00B646D7"/>
    <w:rsid w:val="00B65948"/>
    <w:rsid w:val="00B7395E"/>
    <w:rsid w:val="00B763A8"/>
    <w:rsid w:val="00B903EE"/>
    <w:rsid w:val="00B93B88"/>
    <w:rsid w:val="00B94E3D"/>
    <w:rsid w:val="00B95219"/>
    <w:rsid w:val="00B96AB2"/>
    <w:rsid w:val="00BA1A15"/>
    <w:rsid w:val="00BA753B"/>
    <w:rsid w:val="00BB703F"/>
    <w:rsid w:val="00BC042B"/>
    <w:rsid w:val="00BC2251"/>
    <w:rsid w:val="00BC36A6"/>
    <w:rsid w:val="00BC75C5"/>
    <w:rsid w:val="00BD0246"/>
    <w:rsid w:val="00BD0628"/>
    <w:rsid w:val="00BD1AB9"/>
    <w:rsid w:val="00BD25BE"/>
    <w:rsid w:val="00BD3EDA"/>
    <w:rsid w:val="00BD4A18"/>
    <w:rsid w:val="00BD5C4E"/>
    <w:rsid w:val="00BE2CFB"/>
    <w:rsid w:val="00BE65C7"/>
    <w:rsid w:val="00BF3037"/>
    <w:rsid w:val="00BF6205"/>
    <w:rsid w:val="00C01E16"/>
    <w:rsid w:val="00C200A1"/>
    <w:rsid w:val="00C206C0"/>
    <w:rsid w:val="00C20F26"/>
    <w:rsid w:val="00C212BC"/>
    <w:rsid w:val="00C24B1B"/>
    <w:rsid w:val="00C368DE"/>
    <w:rsid w:val="00C52A42"/>
    <w:rsid w:val="00C6015E"/>
    <w:rsid w:val="00C612DB"/>
    <w:rsid w:val="00C703D7"/>
    <w:rsid w:val="00C74D2A"/>
    <w:rsid w:val="00C774F7"/>
    <w:rsid w:val="00C80E12"/>
    <w:rsid w:val="00C81FE1"/>
    <w:rsid w:val="00C8283F"/>
    <w:rsid w:val="00C84EA3"/>
    <w:rsid w:val="00C84EB1"/>
    <w:rsid w:val="00C85C54"/>
    <w:rsid w:val="00C86705"/>
    <w:rsid w:val="00C86A74"/>
    <w:rsid w:val="00C87A9B"/>
    <w:rsid w:val="00C95C4E"/>
    <w:rsid w:val="00CA4453"/>
    <w:rsid w:val="00CA5EA6"/>
    <w:rsid w:val="00CB7E14"/>
    <w:rsid w:val="00CC28CD"/>
    <w:rsid w:val="00CC337B"/>
    <w:rsid w:val="00CC7CF6"/>
    <w:rsid w:val="00CD04DF"/>
    <w:rsid w:val="00CD282A"/>
    <w:rsid w:val="00CE0A25"/>
    <w:rsid w:val="00CE157A"/>
    <w:rsid w:val="00CE476D"/>
    <w:rsid w:val="00CE6970"/>
    <w:rsid w:val="00CF6F04"/>
    <w:rsid w:val="00CF7350"/>
    <w:rsid w:val="00D008EC"/>
    <w:rsid w:val="00D00B00"/>
    <w:rsid w:val="00D0367D"/>
    <w:rsid w:val="00D07984"/>
    <w:rsid w:val="00D14668"/>
    <w:rsid w:val="00D15BC3"/>
    <w:rsid w:val="00D17548"/>
    <w:rsid w:val="00D20E0B"/>
    <w:rsid w:val="00D210CA"/>
    <w:rsid w:val="00D254E0"/>
    <w:rsid w:val="00D32D6F"/>
    <w:rsid w:val="00D33FDE"/>
    <w:rsid w:val="00D36144"/>
    <w:rsid w:val="00D41C35"/>
    <w:rsid w:val="00D46165"/>
    <w:rsid w:val="00D4649B"/>
    <w:rsid w:val="00D46BD1"/>
    <w:rsid w:val="00D47314"/>
    <w:rsid w:val="00D473FA"/>
    <w:rsid w:val="00D53522"/>
    <w:rsid w:val="00D5551C"/>
    <w:rsid w:val="00D5607C"/>
    <w:rsid w:val="00D5646C"/>
    <w:rsid w:val="00D604E0"/>
    <w:rsid w:val="00D607EA"/>
    <w:rsid w:val="00D70522"/>
    <w:rsid w:val="00D71153"/>
    <w:rsid w:val="00D73058"/>
    <w:rsid w:val="00D75655"/>
    <w:rsid w:val="00D758EC"/>
    <w:rsid w:val="00D84C40"/>
    <w:rsid w:val="00D84D56"/>
    <w:rsid w:val="00D84F2F"/>
    <w:rsid w:val="00D9223C"/>
    <w:rsid w:val="00D922D8"/>
    <w:rsid w:val="00D94B36"/>
    <w:rsid w:val="00D95908"/>
    <w:rsid w:val="00DA694B"/>
    <w:rsid w:val="00DB1166"/>
    <w:rsid w:val="00DB2BEB"/>
    <w:rsid w:val="00DB36EA"/>
    <w:rsid w:val="00DB450A"/>
    <w:rsid w:val="00DB50CB"/>
    <w:rsid w:val="00DC11BE"/>
    <w:rsid w:val="00DC322D"/>
    <w:rsid w:val="00DD00C4"/>
    <w:rsid w:val="00DD16DE"/>
    <w:rsid w:val="00DD18E9"/>
    <w:rsid w:val="00DD4069"/>
    <w:rsid w:val="00DD45E8"/>
    <w:rsid w:val="00DD5FAE"/>
    <w:rsid w:val="00DD650B"/>
    <w:rsid w:val="00DD752D"/>
    <w:rsid w:val="00DD7883"/>
    <w:rsid w:val="00DE01DA"/>
    <w:rsid w:val="00DE368B"/>
    <w:rsid w:val="00DE3FD6"/>
    <w:rsid w:val="00DF05AC"/>
    <w:rsid w:val="00DF5EB2"/>
    <w:rsid w:val="00DF65A4"/>
    <w:rsid w:val="00E02595"/>
    <w:rsid w:val="00E0546E"/>
    <w:rsid w:val="00E063BC"/>
    <w:rsid w:val="00E17B3D"/>
    <w:rsid w:val="00E23784"/>
    <w:rsid w:val="00E243F2"/>
    <w:rsid w:val="00E34F32"/>
    <w:rsid w:val="00E37666"/>
    <w:rsid w:val="00E42093"/>
    <w:rsid w:val="00E42311"/>
    <w:rsid w:val="00E42A4C"/>
    <w:rsid w:val="00E437C7"/>
    <w:rsid w:val="00E4468C"/>
    <w:rsid w:val="00E45CFA"/>
    <w:rsid w:val="00E5732C"/>
    <w:rsid w:val="00E61DF5"/>
    <w:rsid w:val="00E63148"/>
    <w:rsid w:val="00E64602"/>
    <w:rsid w:val="00E661FD"/>
    <w:rsid w:val="00E70326"/>
    <w:rsid w:val="00E704B8"/>
    <w:rsid w:val="00E707A2"/>
    <w:rsid w:val="00E73541"/>
    <w:rsid w:val="00E754AB"/>
    <w:rsid w:val="00E76114"/>
    <w:rsid w:val="00E831CB"/>
    <w:rsid w:val="00E8369E"/>
    <w:rsid w:val="00E83877"/>
    <w:rsid w:val="00E84374"/>
    <w:rsid w:val="00E86AC9"/>
    <w:rsid w:val="00E8785E"/>
    <w:rsid w:val="00E90756"/>
    <w:rsid w:val="00E90D75"/>
    <w:rsid w:val="00E9246B"/>
    <w:rsid w:val="00E952BE"/>
    <w:rsid w:val="00E96008"/>
    <w:rsid w:val="00EA63B6"/>
    <w:rsid w:val="00EA7F8E"/>
    <w:rsid w:val="00EB0630"/>
    <w:rsid w:val="00EB6B51"/>
    <w:rsid w:val="00EC0C82"/>
    <w:rsid w:val="00EC1989"/>
    <w:rsid w:val="00EC4DF4"/>
    <w:rsid w:val="00EC5A7F"/>
    <w:rsid w:val="00EC6706"/>
    <w:rsid w:val="00ED2A10"/>
    <w:rsid w:val="00ED2EC7"/>
    <w:rsid w:val="00EE0E57"/>
    <w:rsid w:val="00EE36A1"/>
    <w:rsid w:val="00EE3F42"/>
    <w:rsid w:val="00EE40B3"/>
    <w:rsid w:val="00EE7323"/>
    <w:rsid w:val="00EE76E1"/>
    <w:rsid w:val="00EE7864"/>
    <w:rsid w:val="00EE7C20"/>
    <w:rsid w:val="00EF3C98"/>
    <w:rsid w:val="00EF4B98"/>
    <w:rsid w:val="00F02B3B"/>
    <w:rsid w:val="00F02D56"/>
    <w:rsid w:val="00F034A6"/>
    <w:rsid w:val="00F0742E"/>
    <w:rsid w:val="00F2168E"/>
    <w:rsid w:val="00F369AA"/>
    <w:rsid w:val="00F3765F"/>
    <w:rsid w:val="00F4497D"/>
    <w:rsid w:val="00F52831"/>
    <w:rsid w:val="00F54192"/>
    <w:rsid w:val="00F60383"/>
    <w:rsid w:val="00F63CE9"/>
    <w:rsid w:val="00F67291"/>
    <w:rsid w:val="00F70138"/>
    <w:rsid w:val="00F70D3C"/>
    <w:rsid w:val="00F72937"/>
    <w:rsid w:val="00F7388E"/>
    <w:rsid w:val="00F74532"/>
    <w:rsid w:val="00F74A58"/>
    <w:rsid w:val="00F7578F"/>
    <w:rsid w:val="00F8011F"/>
    <w:rsid w:val="00F81034"/>
    <w:rsid w:val="00F8416F"/>
    <w:rsid w:val="00F86C0F"/>
    <w:rsid w:val="00F92082"/>
    <w:rsid w:val="00F9356B"/>
    <w:rsid w:val="00F9430A"/>
    <w:rsid w:val="00F9677E"/>
    <w:rsid w:val="00F97681"/>
    <w:rsid w:val="00FB190F"/>
    <w:rsid w:val="00FB3033"/>
    <w:rsid w:val="00FB35A4"/>
    <w:rsid w:val="00FB4901"/>
    <w:rsid w:val="00FB4AE4"/>
    <w:rsid w:val="00FC095A"/>
    <w:rsid w:val="00FC0B39"/>
    <w:rsid w:val="00FC7BA7"/>
    <w:rsid w:val="00FC7F98"/>
    <w:rsid w:val="00FD309C"/>
    <w:rsid w:val="00FD47C0"/>
    <w:rsid w:val="00FD70F6"/>
    <w:rsid w:val="00FE2091"/>
    <w:rsid w:val="00FE6DD0"/>
    <w:rsid w:val="00FF00CD"/>
    <w:rsid w:val="00FF0201"/>
    <w:rsid w:val="00FF2F9C"/>
    <w:rsid w:val="00FF3699"/>
    <w:rsid w:val="00FF39EF"/>
    <w:rsid w:val="00FF6C1C"/>
    <w:rsid w:val="00FF6D3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5EFA1"/>
  <w15:chartTrackingRefBased/>
  <w15:docId w15:val="{6E460F26-FB58-4E87-B8BA-3D0A765A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8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1081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3BC"/>
    <w:pPr>
      <w:ind w:left="720"/>
      <w:contextualSpacing/>
    </w:pPr>
  </w:style>
  <w:style w:type="character" w:styleId="PlaceholderText">
    <w:name w:val="Placeholder Text"/>
    <w:basedOn w:val="DefaultParagraphFont"/>
    <w:uiPriority w:val="99"/>
    <w:semiHidden/>
    <w:rsid w:val="00BE2CFB"/>
    <w:rPr>
      <w:color w:val="808080"/>
    </w:rPr>
  </w:style>
  <w:style w:type="table" w:styleId="TableGrid">
    <w:name w:val="Table Grid"/>
    <w:basedOn w:val="TableNormal"/>
    <w:uiPriority w:val="39"/>
    <w:rsid w:val="008271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argin-bottom-2">
    <w:name w:val="u--margin-bottom-2"/>
    <w:basedOn w:val="Normal"/>
    <w:rsid w:val="009F5A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F5A6E"/>
    <w:rPr>
      <w:b/>
      <w:bCs/>
    </w:rPr>
  </w:style>
  <w:style w:type="character" w:customStyle="1" w:styleId="Heading2Char">
    <w:name w:val="Heading 2 Char"/>
    <w:basedOn w:val="DefaultParagraphFont"/>
    <w:link w:val="Heading2"/>
    <w:uiPriority w:val="9"/>
    <w:rsid w:val="00810816"/>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81081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noteText">
    <w:name w:val="footnote text"/>
    <w:basedOn w:val="Normal"/>
    <w:link w:val="FootnoteTextChar"/>
    <w:uiPriority w:val="99"/>
    <w:unhideWhenUsed/>
    <w:rsid w:val="00DF05AC"/>
    <w:pPr>
      <w:spacing w:after="0" w:line="240" w:lineRule="auto"/>
    </w:pPr>
    <w:rPr>
      <w:sz w:val="20"/>
      <w:szCs w:val="20"/>
    </w:rPr>
  </w:style>
  <w:style w:type="character" w:customStyle="1" w:styleId="FootnoteTextChar">
    <w:name w:val="Footnote Text Char"/>
    <w:basedOn w:val="DefaultParagraphFont"/>
    <w:link w:val="FootnoteText"/>
    <w:uiPriority w:val="99"/>
    <w:rsid w:val="00DF05AC"/>
    <w:rPr>
      <w:sz w:val="20"/>
      <w:szCs w:val="20"/>
    </w:rPr>
  </w:style>
  <w:style w:type="character" w:styleId="FootnoteReference">
    <w:name w:val="footnote reference"/>
    <w:basedOn w:val="DefaultParagraphFont"/>
    <w:uiPriority w:val="99"/>
    <w:semiHidden/>
    <w:unhideWhenUsed/>
    <w:rsid w:val="00DF05AC"/>
    <w:rPr>
      <w:vertAlign w:val="superscript"/>
    </w:rPr>
  </w:style>
  <w:style w:type="character" w:styleId="Hyperlink">
    <w:name w:val="Hyperlink"/>
    <w:basedOn w:val="DefaultParagraphFont"/>
    <w:uiPriority w:val="99"/>
    <w:unhideWhenUsed/>
    <w:rsid w:val="00DF05AC"/>
    <w:rPr>
      <w:color w:val="0563C1" w:themeColor="hyperlink"/>
      <w:u w:val="single"/>
    </w:rPr>
  </w:style>
  <w:style w:type="character" w:customStyle="1" w:styleId="UnresolvedMention1">
    <w:name w:val="Unresolved Mention1"/>
    <w:basedOn w:val="DefaultParagraphFont"/>
    <w:uiPriority w:val="99"/>
    <w:semiHidden/>
    <w:unhideWhenUsed/>
    <w:rsid w:val="00DF05AC"/>
    <w:rPr>
      <w:color w:val="605E5C"/>
      <w:shd w:val="clear" w:color="auto" w:fill="E1DFDD"/>
    </w:rPr>
  </w:style>
  <w:style w:type="character" w:customStyle="1" w:styleId="Heading1Char">
    <w:name w:val="Heading 1 Char"/>
    <w:basedOn w:val="DefaultParagraphFont"/>
    <w:link w:val="Heading1"/>
    <w:uiPriority w:val="9"/>
    <w:rsid w:val="00F52831"/>
    <w:rPr>
      <w:rFonts w:asciiTheme="majorHAnsi" w:eastAsiaTheme="majorEastAsia" w:hAnsiTheme="majorHAnsi" w:cstheme="majorBidi"/>
      <w:color w:val="2F5496" w:themeColor="accent1" w:themeShade="BF"/>
      <w:sz w:val="32"/>
      <w:szCs w:val="32"/>
    </w:rPr>
  </w:style>
  <w:style w:type="paragraph" w:customStyle="1" w:styleId="CitaviBibliographyEntry">
    <w:name w:val="Citavi Bibliography Entry"/>
    <w:basedOn w:val="Normal"/>
    <w:link w:val="CitaviBibliographyEntryChar"/>
    <w:uiPriority w:val="99"/>
    <w:rsid w:val="00F52831"/>
    <w:pPr>
      <w:tabs>
        <w:tab w:val="left" w:pos="340"/>
      </w:tabs>
      <w:spacing w:after="0"/>
      <w:ind w:left="340" w:hanging="340"/>
    </w:pPr>
    <w:rPr>
      <w:lang w:val="en-US"/>
    </w:rPr>
  </w:style>
  <w:style w:type="character" w:customStyle="1" w:styleId="CitaviBibliographyEntryChar">
    <w:name w:val="Citavi Bibliography Entry Char"/>
    <w:basedOn w:val="DefaultParagraphFont"/>
    <w:link w:val="CitaviBibliographyEntry"/>
    <w:uiPriority w:val="99"/>
    <w:rsid w:val="00F52831"/>
    <w:rPr>
      <w:lang w:val="en-US"/>
    </w:rPr>
  </w:style>
  <w:style w:type="character" w:customStyle="1" w:styleId="title-text">
    <w:name w:val="title-text"/>
    <w:basedOn w:val="DefaultParagraphFont"/>
    <w:rsid w:val="00F52831"/>
  </w:style>
  <w:style w:type="character" w:styleId="CommentReference">
    <w:name w:val="annotation reference"/>
    <w:basedOn w:val="DefaultParagraphFont"/>
    <w:uiPriority w:val="99"/>
    <w:semiHidden/>
    <w:unhideWhenUsed/>
    <w:rsid w:val="006B2F10"/>
    <w:rPr>
      <w:sz w:val="16"/>
      <w:szCs w:val="16"/>
    </w:rPr>
  </w:style>
  <w:style w:type="paragraph" w:styleId="CommentText">
    <w:name w:val="annotation text"/>
    <w:basedOn w:val="Normal"/>
    <w:link w:val="CommentTextChar"/>
    <w:uiPriority w:val="99"/>
    <w:unhideWhenUsed/>
    <w:rsid w:val="006B2F10"/>
    <w:pPr>
      <w:spacing w:line="240" w:lineRule="auto"/>
    </w:pPr>
    <w:rPr>
      <w:sz w:val="20"/>
      <w:szCs w:val="20"/>
    </w:rPr>
  </w:style>
  <w:style w:type="character" w:customStyle="1" w:styleId="CommentTextChar">
    <w:name w:val="Comment Text Char"/>
    <w:basedOn w:val="DefaultParagraphFont"/>
    <w:link w:val="CommentText"/>
    <w:uiPriority w:val="99"/>
    <w:rsid w:val="006B2F10"/>
    <w:rPr>
      <w:sz w:val="20"/>
      <w:szCs w:val="20"/>
    </w:rPr>
  </w:style>
  <w:style w:type="paragraph" w:styleId="CommentSubject">
    <w:name w:val="annotation subject"/>
    <w:basedOn w:val="CommentText"/>
    <w:next w:val="CommentText"/>
    <w:link w:val="CommentSubjectChar"/>
    <w:uiPriority w:val="99"/>
    <w:semiHidden/>
    <w:unhideWhenUsed/>
    <w:rsid w:val="006B2F10"/>
    <w:rPr>
      <w:b/>
      <w:bCs/>
    </w:rPr>
  </w:style>
  <w:style w:type="character" w:customStyle="1" w:styleId="CommentSubjectChar">
    <w:name w:val="Comment Subject Char"/>
    <w:basedOn w:val="CommentTextChar"/>
    <w:link w:val="CommentSubject"/>
    <w:uiPriority w:val="99"/>
    <w:semiHidden/>
    <w:rsid w:val="006B2F10"/>
    <w:rPr>
      <w:b/>
      <w:bCs/>
      <w:sz w:val="20"/>
      <w:szCs w:val="20"/>
    </w:rPr>
  </w:style>
  <w:style w:type="paragraph" w:styleId="Header">
    <w:name w:val="header"/>
    <w:basedOn w:val="Normal"/>
    <w:link w:val="HeaderChar"/>
    <w:uiPriority w:val="99"/>
    <w:unhideWhenUsed/>
    <w:rsid w:val="00A17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9B9"/>
  </w:style>
  <w:style w:type="paragraph" w:styleId="Footer">
    <w:name w:val="footer"/>
    <w:basedOn w:val="Normal"/>
    <w:link w:val="FooterChar"/>
    <w:uiPriority w:val="99"/>
    <w:unhideWhenUsed/>
    <w:rsid w:val="00A17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9B9"/>
  </w:style>
  <w:style w:type="paragraph" w:styleId="NoSpacing">
    <w:name w:val="No Spacing"/>
    <w:uiPriority w:val="1"/>
    <w:qFormat/>
    <w:rsid w:val="00E70326"/>
    <w:pPr>
      <w:spacing w:after="0" w:line="240" w:lineRule="auto"/>
    </w:pPr>
  </w:style>
  <w:style w:type="paragraph" w:styleId="Revision">
    <w:name w:val="Revision"/>
    <w:hidden/>
    <w:uiPriority w:val="99"/>
    <w:semiHidden/>
    <w:rsid w:val="00FF00CD"/>
    <w:pPr>
      <w:spacing w:after="0" w:line="240" w:lineRule="auto"/>
    </w:pPr>
  </w:style>
  <w:style w:type="character" w:customStyle="1" w:styleId="hlfld-title">
    <w:name w:val="hlfld-title"/>
    <w:basedOn w:val="DefaultParagraphFont"/>
    <w:rsid w:val="00650051"/>
  </w:style>
  <w:style w:type="character" w:customStyle="1" w:styleId="singlehighlightclass">
    <w:name w:val="single_highlight_class"/>
    <w:basedOn w:val="DefaultParagraphFont"/>
    <w:rsid w:val="00650051"/>
  </w:style>
  <w:style w:type="character" w:customStyle="1" w:styleId="hlfld-contribauthor">
    <w:name w:val="hlfld-contribauthor"/>
    <w:basedOn w:val="DefaultParagraphFont"/>
    <w:rsid w:val="00650051"/>
  </w:style>
  <w:style w:type="character" w:customStyle="1" w:styleId="comma-separator">
    <w:name w:val="comma-separator"/>
    <w:basedOn w:val="DefaultParagraphFont"/>
    <w:rsid w:val="00650051"/>
  </w:style>
  <w:style w:type="paragraph" w:customStyle="1" w:styleId="metaepubdate">
    <w:name w:val="meta__epubdate"/>
    <w:basedOn w:val="Normal"/>
    <w:rsid w:val="006500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ccordion-tabbedtab-mobile">
    <w:name w:val="accordion-tabbed__tab-mobile"/>
    <w:basedOn w:val="DefaultParagraphFont"/>
    <w:rsid w:val="008507BE"/>
  </w:style>
  <w:style w:type="table" w:styleId="PlainTable2">
    <w:name w:val="Plain Table 2"/>
    <w:basedOn w:val="TableNormal"/>
    <w:uiPriority w:val="42"/>
    <w:rsid w:val="00B763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gkelc">
    <w:name w:val="hgkelc"/>
    <w:basedOn w:val="DefaultParagraphFont"/>
    <w:rsid w:val="009404EB"/>
  </w:style>
  <w:style w:type="character" w:customStyle="1" w:styleId="metrics-score">
    <w:name w:val="metrics-score"/>
    <w:basedOn w:val="DefaultParagraphFont"/>
    <w:rsid w:val="00B96AB2"/>
  </w:style>
  <w:style w:type="character" w:customStyle="1" w:styleId="nlmarticle-title">
    <w:name w:val="nlm_article-title"/>
    <w:basedOn w:val="DefaultParagraphFont"/>
    <w:rsid w:val="00B9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435881">
      <w:bodyDiv w:val="1"/>
      <w:marLeft w:val="0"/>
      <w:marRight w:val="0"/>
      <w:marTop w:val="0"/>
      <w:marBottom w:val="0"/>
      <w:divBdr>
        <w:top w:val="none" w:sz="0" w:space="0" w:color="auto"/>
        <w:left w:val="none" w:sz="0" w:space="0" w:color="auto"/>
        <w:bottom w:val="none" w:sz="0" w:space="0" w:color="auto"/>
        <w:right w:val="none" w:sz="0" w:space="0" w:color="auto"/>
      </w:divBdr>
      <w:divsChild>
        <w:div w:id="528567834">
          <w:marLeft w:val="0"/>
          <w:marRight w:val="0"/>
          <w:marTop w:val="0"/>
          <w:marBottom w:val="0"/>
          <w:divBdr>
            <w:top w:val="none" w:sz="0" w:space="0" w:color="auto"/>
            <w:left w:val="none" w:sz="0" w:space="0" w:color="auto"/>
            <w:bottom w:val="none" w:sz="0" w:space="0" w:color="auto"/>
            <w:right w:val="none" w:sz="0" w:space="0" w:color="auto"/>
          </w:divBdr>
          <w:divsChild>
            <w:div w:id="1951400884">
              <w:marLeft w:val="0"/>
              <w:marRight w:val="0"/>
              <w:marTop w:val="0"/>
              <w:marBottom w:val="0"/>
              <w:divBdr>
                <w:top w:val="none" w:sz="0" w:space="0" w:color="auto"/>
                <w:left w:val="none" w:sz="0" w:space="0" w:color="auto"/>
                <w:bottom w:val="none" w:sz="0" w:space="0" w:color="auto"/>
                <w:right w:val="none" w:sz="0" w:space="0" w:color="auto"/>
              </w:divBdr>
            </w:div>
          </w:divsChild>
        </w:div>
        <w:div w:id="1875968375">
          <w:marLeft w:val="0"/>
          <w:marRight w:val="0"/>
          <w:marTop w:val="0"/>
          <w:marBottom w:val="0"/>
          <w:divBdr>
            <w:top w:val="none" w:sz="0" w:space="0" w:color="auto"/>
            <w:left w:val="none" w:sz="0" w:space="0" w:color="auto"/>
            <w:bottom w:val="none" w:sz="0" w:space="0" w:color="auto"/>
            <w:right w:val="none" w:sz="0" w:space="0" w:color="auto"/>
          </w:divBdr>
          <w:divsChild>
            <w:div w:id="12003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5410">
      <w:bodyDiv w:val="1"/>
      <w:marLeft w:val="0"/>
      <w:marRight w:val="0"/>
      <w:marTop w:val="0"/>
      <w:marBottom w:val="0"/>
      <w:divBdr>
        <w:top w:val="none" w:sz="0" w:space="0" w:color="auto"/>
        <w:left w:val="none" w:sz="0" w:space="0" w:color="auto"/>
        <w:bottom w:val="none" w:sz="0" w:space="0" w:color="auto"/>
        <w:right w:val="none" w:sz="0" w:space="0" w:color="auto"/>
      </w:divBdr>
    </w:div>
    <w:div w:id="1024015421">
      <w:bodyDiv w:val="1"/>
      <w:marLeft w:val="0"/>
      <w:marRight w:val="0"/>
      <w:marTop w:val="0"/>
      <w:marBottom w:val="0"/>
      <w:divBdr>
        <w:top w:val="none" w:sz="0" w:space="0" w:color="auto"/>
        <w:left w:val="none" w:sz="0" w:space="0" w:color="auto"/>
        <w:bottom w:val="none" w:sz="0" w:space="0" w:color="auto"/>
        <w:right w:val="none" w:sz="0" w:space="0" w:color="auto"/>
      </w:divBdr>
      <w:divsChild>
        <w:div w:id="537859228">
          <w:marLeft w:val="0"/>
          <w:marRight w:val="0"/>
          <w:marTop w:val="0"/>
          <w:marBottom w:val="0"/>
          <w:divBdr>
            <w:top w:val="none" w:sz="0" w:space="0" w:color="auto"/>
            <w:left w:val="none" w:sz="0" w:space="0" w:color="auto"/>
            <w:bottom w:val="none" w:sz="0" w:space="0" w:color="auto"/>
            <w:right w:val="none" w:sz="0" w:space="0" w:color="auto"/>
          </w:divBdr>
          <w:divsChild>
            <w:div w:id="1564098432">
              <w:marLeft w:val="0"/>
              <w:marRight w:val="0"/>
              <w:marTop w:val="0"/>
              <w:marBottom w:val="0"/>
              <w:divBdr>
                <w:top w:val="none" w:sz="0" w:space="0" w:color="auto"/>
                <w:left w:val="none" w:sz="0" w:space="0" w:color="auto"/>
                <w:bottom w:val="none" w:sz="0" w:space="0" w:color="auto"/>
                <w:right w:val="none" w:sz="0" w:space="0" w:color="auto"/>
              </w:divBdr>
            </w:div>
            <w:div w:id="6812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5716">
      <w:bodyDiv w:val="1"/>
      <w:marLeft w:val="0"/>
      <w:marRight w:val="0"/>
      <w:marTop w:val="0"/>
      <w:marBottom w:val="0"/>
      <w:divBdr>
        <w:top w:val="none" w:sz="0" w:space="0" w:color="auto"/>
        <w:left w:val="none" w:sz="0" w:space="0" w:color="auto"/>
        <w:bottom w:val="none" w:sz="0" w:space="0" w:color="auto"/>
        <w:right w:val="none" w:sz="0" w:space="0" w:color="auto"/>
      </w:divBdr>
      <w:divsChild>
        <w:div w:id="340089838">
          <w:marLeft w:val="0"/>
          <w:marRight w:val="0"/>
          <w:marTop w:val="0"/>
          <w:marBottom w:val="0"/>
          <w:divBdr>
            <w:top w:val="none" w:sz="0" w:space="0" w:color="auto"/>
            <w:left w:val="none" w:sz="0" w:space="0" w:color="auto"/>
            <w:bottom w:val="none" w:sz="0" w:space="0" w:color="auto"/>
            <w:right w:val="none" w:sz="0" w:space="0" w:color="auto"/>
          </w:divBdr>
          <w:divsChild>
            <w:div w:id="48189379">
              <w:marLeft w:val="0"/>
              <w:marRight w:val="0"/>
              <w:marTop w:val="0"/>
              <w:marBottom w:val="0"/>
              <w:divBdr>
                <w:top w:val="none" w:sz="0" w:space="0" w:color="auto"/>
                <w:left w:val="none" w:sz="0" w:space="0" w:color="auto"/>
                <w:bottom w:val="none" w:sz="0" w:space="0" w:color="auto"/>
                <w:right w:val="none" w:sz="0" w:space="0" w:color="auto"/>
              </w:divBdr>
              <w:divsChild>
                <w:div w:id="1129973">
                  <w:marLeft w:val="0"/>
                  <w:marRight w:val="0"/>
                  <w:marTop w:val="0"/>
                  <w:marBottom w:val="0"/>
                  <w:divBdr>
                    <w:top w:val="none" w:sz="0" w:space="0" w:color="auto"/>
                    <w:left w:val="none" w:sz="0" w:space="0" w:color="auto"/>
                    <w:bottom w:val="none" w:sz="0" w:space="0" w:color="auto"/>
                    <w:right w:val="none" w:sz="0" w:space="0" w:color="auto"/>
                  </w:divBdr>
                  <w:divsChild>
                    <w:div w:id="18593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6526">
      <w:bodyDiv w:val="1"/>
      <w:marLeft w:val="0"/>
      <w:marRight w:val="0"/>
      <w:marTop w:val="0"/>
      <w:marBottom w:val="0"/>
      <w:divBdr>
        <w:top w:val="none" w:sz="0" w:space="0" w:color="auto"/>
        <w:left w:val="none" w:sz="0" w:space="0" w:color="auto"/>
        <w:bottom w:val="none" w:sz="0" w:space="0" w:color="auto"/>
        <w:right w:val="none" w:sz="0" w:space="0" w:color="auto"/>
      </w:divBdr>
    </w:div>
    <w:div w:id="1610433119">
      <w:bodyDiv w:val="1"/>
      <w:marLeft w:val="0"/>
      <w:marRight w:val="0"/>
      <w:marTop w:val="0"/>
      <w:marBottom w:val="0"/>
      <w:divBdr>
        <w:top w:val="none" w:sz="0" w:space="0" w:color="auto"/>
        <w:left w:val="none" w:sz="0" w:space="0" w:color="auto"/>
        <w:bottom w:val="none" w:sz="0" w:space="0" w:color="auto"/>
        <w:right w:val="none" w:sz="0" w:space="0" w:color="auto"/>
      </w:divBdr>
      <w:divsChild>
        <w:div w:id="725449195">
          <w:marLeft w:val="0"/>
          <w:marRight w:val="0"/>
          <w:marTop w:val="0"/>
          <w:marBottom w:val="0"/>
          <w:divBdr>
            <w:top w:val="none" w:sz="0" w:space="0" w:color="auto"/>
            <w:left w:val="none" w:sz="0" w:space="0" w:color="auto"/>
            <w:bottom w:val="none" w:sz="0" w:space="0" w:color="auto"/>
            <w:right w:val="none" w:sz="0" w:space="0" w:color="auto"/>
          </w:divBdr>
          <w:divsChild>
            <w:div w:id="1970043886">
              <w:marLeft w:val="0"/>
              <w:marRight w:val="0"/>
              <w:marTop w:val="0"/>
              <w:marBottom w:val="0"/>
              <w:divBdr>
                <w:top w:val="none" w:sz="0" w:space="0" w:color="auto"/>
                <w:left w:val="none" w:sz="0" w:space="0" w:color="auto"/>
                <w:bottom w:val="none" w:sz="0" w:space="0" w:color="auto"/>
                <w:right w:val="none" w:sz="0" w:space="0" w:color="auto"/>
              </w:divBdr>
            </w:div>
            <w:div w:id="3754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9893">
      <w:bodyDiv w:val="1"/>
      <w:marLeft w:val="0"/>
      <w:marRight w:val="0"/>
      <w:marTop w:val="0"/>
      <w:marBottom w:val="0"/>
      <w:divBdr>
        <w:top w:val="none" w:sz="0" w:space="0" w:color="auto"/>
        <w:left w:val="none" w:sz="0" w:space="0" w:color="auto"/>
        <w:bottom w:val="none" w:sz="0" w:space="0" w:color="auto"/>
        <w:right w:val="none" w:sz="0" w:space="0" w:color="auto"/>
      </w:divBdr>
      <w:divsChild>
        <w:div w:id="2102405404">
          <w:marLeft w:val="0"/>
          <w:marRight w:val="0"/>
          <w:marTop w:val="0"/>
          <w:marBottom w:val="0"/>
          <w:divBdr>
            <w:top w:val="none" w:sz="0" w:space="0" w:color="auto"/>
            <w:left w:val="none" w:sz="0" w:space="0" w:color="auto"/>
            <w:bottom w:val="none" w:sz="0" w:space="0" w:color="auto"/>
            <w:right w:val="none" w:sz="0" w:space="0" w:color="auto"/>
          </w:divBdr>
          <w:divsChild>
            <w:div w:id="919027850">
              <w:marLeft w:val="0"/>
              <w:marRight w:val="0"/>
              <w:marTop w:val="0"/>
              <w:marBottom w:val="0"/>
              <w:divBdr>
                <w:top w:val="none" w:sz="0" w:space="0" w:color="auto"/>
                <w:left w:val="none" w:sz="0" w:space="0" w:color="auto"/>
                <w:bottom w:val="none" w:sz="0" w:space="0" w:color="auto"/>
                <w:right w:val="none" w:sz="0" w:space="0" w:color="auto"/>
              </w:divBdr>
              <w:divsChild>
                <w:div w:id="411859117">
                  <w:marLeft w:val="0"/>
                  <w:marRight w:val="0"/>
                  <w:marTop w:val="0"/>
                  <w:marBottom w:val="0"/>
                  <w:divBdr>
                    <w:top w:val="none" w:sz="0" w:space="0" w:color="auto"/>
                    <w:left w:val="none" w:sz="0" w:space="0" w:color="auto"/>
                    <w:bottom w:val="none" w:sz="0" w:space="0" w:color="auto"/>
                    <w:right w:val="none" w:sz="0" w:space="0" w:color="auto"/>
                  </w:divBdr>
                  <w:divsChild>
                    <w:div w:id="998269612">
                      <w:marLeft w:val="0"/>
                      <w:marRight w:val="0"/>
                      <w:marTop w:val="0"/>
                      <w:marBottom w:val="0"/>
                      <w:divBdr>
                        <w:top w:val="none" w:sz="0" w:space="0" w:color="auto"/>
                        <w:left w:val="none" w:sz="0" w:space="0" w:color="auto"/>
                        <w:bottom w:val="none" w:sz="0" w:space="0" w:color="auto"/>
                        <w:right w:val="none" w:sz="0" w:space="0" w:color="auto"/>
                      </w:divBdr>
                      <w:divsChild>
                        <w:div w:id="2133328337">
                          <w:marLeft w:val="0"/>
                          <w:marRight w:val="0"/>
                          <w:marTop w:val="0"/>
                          <w:marBottom w:val="0"/>
                          <w:divBdr>
                            <w:top w:val="none" w:sz="0" w:space="0" w:color="auto"/>
                            <w:left w:val="none" w:sz="0" w:space="0" w:color="auto"/>
                            <w:bottom w:val="none" w:sz="0" w:space="0" w:color="auto"/>
                            <w:right w:val="none" w:sz="0" w:space="0" w:color="auto"/>
                          </w:divBdr>
                          <w:divsChild>
                            <w:div w:id="95491457">
                              <w:marLeft w:val="0"/>
                              <w:marRight w:val="0"/>
                              <w:marTop w:val="0"/>
                              <w:marBottom w:val="0"/>
                              <w:divBdr>
                                <w:top w:val="none" w:sz="0" w:space="0" w:color="auto"/>
                                <w:left w:val="none" w:sz="0" w:space="0" w:color="auto"/>
                                <w:bottom w:val="none" w:sz="0" w:space="0" w:color="auto"/>
                                <w:right w:val="none" w:sz="0" w:space="0" w:color="auto"/>
                              </w:divBdr>
                              <w:divsChild>
                                <w:div w:id="368723559">
                                  <w:marLeft w:val="0"/>
                                  <w:marRight w:val="0"/>
                                  <w:marTop w:val="0"/>
                                  <w:marBottom w:val="0"/>
                                  <w:divBdr>
                                    <w:top w:val="none" w:sz="0" w:space="0" w:color="auto"/>
                                    <w:left w:val="none" w:sz="0" w:space="0" w:color="auto"/>
                                    <w:bottom w:val="none" w:sz="0" w:space="0" w:color="auto"/>
                                    <w:right w:val="none" w:sz="0" w:space="0" w:color="auto"/>
                                  </w:divBdr>
                                  <w:divsChild>
                                    <w:div w:id="1223129383">
                                      <w:marLeft w:val="0"/>
                                      <w:marRight w:val="0"/>
                                      <w:marTop w:val="0"/>
                                      <w:marBottom w:val="0"/>
                                      <w:divBdr>
                                        <w:top w:val="none" w:sz="0" w:space="0" w:color="auto"/>
                                        <w:left w:val="none" w:sz="0" w:space="0" w:color="auto"/>
                                        <w:bottom w:val="none" w:sz="0" w:space="0" w:color="auto"/>
                                        <w:right w:val="none" w:sz="0" w:space="0" w:color="auto"/>
                                      </w:divBdr>
                                      <w:divsChild>
                                        <w:div w:id="1430468130">
                                          <w:marLeft w:val="0"/>
                                          <w:marRight w:val="0"/>
                                          <w:marTop w:val="0"/>
                                          <w:marBottom w:val="0"/>
                                          <w:divBdr>
                                            <w:top w:val="none" w:sz="0" w:space="0" w:color="auto"/>
                                            <w:left w:val="none" w:sz="0" w:space="0" w:color="auto"/>
                                            <w:bottom w:val="none" w:sz="0" w:space="0" w:color="auto"/>
                                            <w:right w:val="none" w:sz="0" w:space="0" w:color="auto"/>
                                          </w:divBdr>
                                        </w:div>
                                      </w:divsChild>
                                    </w:div>
                                    <w:div w:id="353655712">
                                      <w:marLeft w:val="0"/>
                                      <w:marRight w:val="0"/>
                                      <w:marTop w:val="0"/>
                                      <w:marBottom w:val="0"/>
                                      <w:divBdr>
                                        <w:top w:val="none" w:sz="0" w:space="0" w:color="auto"/>
                                        <w:left w:val="none" w:sz="0" w:space="0" w:color="auto"/>
                                        <w:bottom w:val="none" w:sz="0" w:space="0" w:color="auto"/>
                                        <w:right w:val="none" w:sz="0" w:space="0" w:color="auto"/>
                                      </w:divBdr>
                                      <w:divsChild>
                                        <w:div w:id="29379162">
                                          <w:marLeft w:val="0"/>
                                          <w:marRight w:val="0"/>
                                          <w:marTop w:val="0"/>
                                          <w:marBottom w:val="0"/>
                                          <w:divBdr>
                                            <w:top w:val="none" w:sz="0" w:space="0" w:color="auto"/>
                                            <w:left w:val="none" w:sz="0" w:space="0" w:color="auto"/>
                                            <w:bottom w:val="none" w:sz="0" w:space="0" w:color="auto"/>
                                            <w:right w:val="none" w:sz="0" w:space="0" w:color="auto"/>
                                          </w:divBdr>
                                        </w:div>
                                        <w:div w:id="2086493861">
                                          <w:marLeft w:val="0"/>
                                          <w:marRight w:val="0"/>
                                          <w:marTop w:val="0"/>
                                          <w:marBottom w:val="0"/>
                                          <w:divBdr>
                                            <w:top w:val="none" w:sz="0" w:space="0" w:color="auto"/>
                                            <w:left w:val="none" w:sz="0" w:space="0" w:color="auto"/>
                                            <w:bottom w:val="none" w:sz="0" w:space="0" w:color="auto"/>
                                            <w:right w:val="none" w:sz="0" w:space="0" w:color="auto"/>
                                          </w:divBdr>
                                        </w:div>
                                      </w:divsChild>
                                    </w:div>
                                    <w:div w:id="1289434336">
                                      <w:marLeft w:val="0"/>
                                      <w:marRight w:val="0"/>
                                      <w:marTop w:val="0"/>
                                      <w:marBottom w:val="0"/>
                                      <w:divBdr>
                                        <w:top w:val="none" w:sz="0" w:space="0" w:color="auto"/>
                                        <w:left w:val="none" w:sz="0" w:space="0" w:color="auto"/>
                                        <w:bottom w:val="none" w:sz="0" w:space="0" w:color="auto"/>
                                        <w:right w:val="none" w:sz="0" w:space="0" w:color="auto"/>
                                      </w:divBdr>
                                      <w:divsChild>
                                        <w:div w:id="2029864346">
                                          <w:marLeft w:val="0"/>
                                          <w:marRight w:val="0"/>
                                          <w:marTop w:val="0"/>
                                          <w:marBottom w:val="0"/>
                                          <w:divBdr>
                                            <w:top w:val="none" w:sz="0" w:space="0" w:color="auto"/>
                                            <w:left w:val="none" w:sz="0" w:space="0" w:color="auto"/>
                                            <w:bottom w:val="none" w:sz="0" w:space="0" w:color="auto"/>
                                            <w:right w:val="none" w:sz="0" w:space="0" w:color="auto"/>
                                          </w:divBdr>
                                          <w:divsChild>
                                            <w:div w:id="904535126">
                                              <w:marLeft w:val="0"/>
                                              <w:marRight w:val="0"/>
                                              <w:marTop w:val="0"/>
                                              <w:marBottom w:val="0"/>
                                              <w:divBdr>
                                                <w:top w:val="none" w:sz="0" w:space="0" w:color="auto"/>
                                                <w:left w:val="none" w:sz="0" w:space="0" w:color="auto"/>
                                                <w:bottom w:val="none" w:sz="0" w:space="0" w:color="auto"/>
                                                <w:right w:val="none" w:sz="0" w:space="0" w:color="auto"/>
                                              </w:divBdr>
                                            </w:div>
                                            <w:div w:id="703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447204">
          <w:marLeft w:val="0"/>
          <w:marRight w:val="0"/>
          <w:marTop w:val="0"/>
          <w:marBottom w:val="0"/>
          <w:divBdr>
            <w:top w:val="none" w:sz="0" w:space="0" w:color="auto"/>
            <w:left w:val="none" w:sz="0" w:space="0" w:color="auto"/>
            <w:bottom w:val="none" w:sz="0" w:space="0" w:color="auto"/>
            <w:right w:val="none" w:sz="0" w:space="0" w:color="auto"/>
          </w:divBdr>
          <w:divsChild>
            <w:div w:id="1724255869">
              <w:marLeft w:val="0"/>
              <w:marRight w:val="0"/>
              <w:marTop w:val="0"/>
              <w:marBottom w:val="0"/>
              <w:divBdr>
                <w:top w:val="none" w:sz="0" w:space="0" w:color="auto"/>
                <w:left w:val="none" w:sz="0" w:space="0" w:color="auto"/>
                <w:bottom w:val="none" w:sz="0" w:space="0" w:color="auto"/>
                <w:right w:val="none" w:sz="0" w:space="0" w:color="auto"/>
              </w:divBdr>
              <w:divsChild>
                <w:div w:id="1431971398">
                  <w:marLeft w:val="0"/>
                  <w:marRight w:val="0"/>
                  <w:marTop w:val="0"/>
                  <w:marBottom w:val="0"/>
                  <w:divBdr>
                    <w:top w:val="none" w:sz="0" w:space="0" w:color="auto"/>
                    <w:left w:val="none" w:sz="0" w:space="0" w:color="auto"/>
                    <w:bottom w:val="none" w:sz="0" w:space="0" w:color="auto"/>
                    <w:right w:val="none" w:sz="0" w:space="0" w:color="auto"/>
                  </w:divBdr>
                  <w:divsChild>
                    <w:div w:id="1228414697">
                      <w:marLeft w:val="0"/>
                      <w:marRight w:val="0"/>
                      <w:marTop w:val="0"/>
                      <w:marBottom w:val="0"/>
                      <w:divBdr>
                        <w:top w:val="none" w:sz="0" w:space="0" w:color="auto"/>
                        <w:left w:val="none" w:sz="0" w:space="0" w:color="auto"/>
                        <w:bottom w:val="none" w:sz="0" w:space="0" w:color="auto"/>
                        <w:right w:val="none" w:sz="0" w:space="0" w:color="auto"/>
                      </w:divBdr>
                      <w:divsChild>
                        <w:div w:id="54864624">
                          <w:marLeft w:val="0"/>
                          <w:marRight w:val="0"/>
                          <w:marTop w:val="0"/>
                          <w:marBottom w:val="0"/>
                          <w:divBdr>
                            <w:top w:val="none" w:sz="0" w:space="0" w:color="auto"/>
                            <w:left w:val="none" w:sz="0" w:space="0" w:color="auto"/>
                            <w:bottom w:val="none" w:sz="0" w:space="0" w:color="auto"/>
                            <w:right w:val="none" w:sz="0" w:space="0" w:color="auto"/>
                          </w:divBdr>
                          <w:divsChild>
                            <w:div w:id="1216239966">
                              <w:marLeft w:val="0"/>
                              <w:marRight w:val="0"/>
                              <w:marTop w:val="0"/>
                              <w:marBottom w:val="0"/>
                              <w:divBdr>
                                <w:top w:val="none" w:sz="0" w:space="0" w:color="auto"/>
                                <w:left w:val="none" w:sz="0" w:space="0" w:color="auto"/>
                                <w:bottom w:val="none" w:sz="0" w:space="0" w:color="auto"/>
                                <w:right w:val="none" w:sz="0" w:space="0" w:color="auto"/>
                              </w:divBdr>
                              <w:divsChild>
                                <w:div w:id="1474329153">
                                  <w:marLeft w:val="0"/>
                                  <w:marRight w:val="0"/>
                                  <w:marTop w:val="0"/>
                                  <w:marBottom w:val="0"/>
                                  <w:divBdr>
                                    <w:top w:val="none" w:sz="0" w:space="0" w:color="auto"/>
                                    <w:left w:val="none" w:sz="0" w:space="0" w:color="auto"/>
                                    <w:bottom w:val="none" w:sz="0" w:space="0" w:color="auto"/>
                                    <w:right w:val="none" w:sz="0" w:space="0" w:color="auto"/>
                                  </w:divBdr>
                                  <w:divsChild>
                                    <w:div w:id="1746758285">
                                      <w:marLeft w:val="0"/>
                                      <w:marRight w:val="0"/>
                                      <w:marTop w:val="0"/>
                                      <w:marBottom w:val="0"/>
                                      <w:divBdr>
                                        <w:top w:val="none" w:sz="0" w:space="0" w:color="auto"/>
                                        <w:left w:val="none" w:sz="0" w:space="0" w:color="auto"/>
                                        <w:bottom w:val="none" w:sz="0" w:space="0" w:color="auto"/>
                                        <w:right w:val="none" w:sz="0" w:space="0" w:color="auto"/>
                                      </w:divBdr>
                                      <w:divsChild>
                                        <w:div w:id="2752912">
                                          <w:marLeft w:val="0"/>
                                          <w:marRight w:val="0"/>
                                          <w:marTop w:val="0"/>
                                          <w:marBottom w:val="0"/>
                                          <w:divBdr>
                                            <w:top w:val="none" w:sz="0" w:space="0" w:color="auto"/>
                                            <w:left w:val="none" w:sz="0" w:space="0" w:color="auto"/>
                                            <w:bottom w:val="none" w:sz="0" w:space="0" w:color="auto"/>
                                            <w:right w:val="none" w:sz="0" w:space="0" w:color="auto"/>
                                          </w:divBdr>
                                          <w:divsChild>
                                            <w:div w:id="571434184">
                                              <w:marLeft w:val="0"/>
                                              <w:marRight w:val="0"/>
                                              <w:marTop w:val="0"/>
                                              <w:marBottom w:val="0"/>
                                              <w:divBdr>
                                                <w:top w:val="none" w:sz="0" w:space="0" w:color="auto"/>
                                                <w:left w:val="none" w:sz="0" w:space="0" w:color="auto"/>
                                                <w:bottom w:val="none" w:sz="0" w:space="0" w:color="auto"/>
                                                <w:right w:val="none" w:sz="0" w:space="0" w:color="auto"/>
                                              </w:divBdr>
                                              <w:divsChild>
                                                <w:div w:id="1166360264">
                                                  <w:marLeft w:val="0"/>
                                                  <w:marRight w:val="0"/>
                                                  <w:marTop w:val="0"/>
                                                  <w:marBottom w:val="0"/>
                                                  <w:divBdr>
                                                    <w:top w:val="none" w:sz="0" w:space="0" w:color="auto"/>
                                                    <w:left w:val="none" w:sz="0" w:space="0" w:color="auto"/>
                                                    <w:bottom w:val="none" w:sz="0" w:space="0" w:color="auto"/>
                                                    <w:right w:val="none" w:sz="0" w:space="0" w:color="auto"/>
                                                  </w:divBdr>
                                                  <w:divsChild>
                                                    <w:div w:id="1730180730">
                                                      <w:marLeft w:val="0"/>
                                                      <w:marRight w:val="0"/>
                                                      <w:marTop w:val="0"/>
                                                      <w:marBottom w:val="0"/>
                                                      <w:divBdr>
                                                        <w:top w:val="none" w:sz="0" w:space="0" w:color="auto"/>
                                                        <w:left w:val="none" w:sz="0" w:space="0" w:color="auto"/>
                                                        <w:bottom w:val="none" w:sz="0" w:space="0" w:color="auto"/>
                                                        <w:right w:val="none" w:sz="0" w:space="0" w:color="auto"/>
                                                      </w:divBdr>
                                                      <w:divsChild>
                                                        <w:div w:id="9958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31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1467-8551.126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library.wiley.com/doi/10.1111/1467-8551.1246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ashish.kumar@iimkashipur.ac.in" TargetMode="External"/><Relationship Id="rId2" Type="http://schemas.openxmlformats.org/officeDocument/2006/relationships/hyperlink" Target="mailto:santanud@iifmbhopal.edu.in" TargetMode="External"/><Relationship Id="rId1" Type="http://schemas.openxmlformats.org/officeDocument/2006/relationships/hyperlink" Target="mailto:t.k.mishra@soton.ac.uk" TargetMode="External"/><Relationship Id="rId4" Type="http://schemas.openxmlformats.org/officeDocument/2006/relationships/hyperlink" Target="https://worldpopulationreview.com/country-rankings/common-law-countr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28226E10614CF7A877B1FA2ED81A92"/>
        <w:category>
          <w:name w:val="General"/>
          <w:gallery w:val="placeholder"/>
        </w:category>
        <w:types>
          <w:type w:val="bbPlcHdr"/>
        </w:types>
        <w:behaviors>
          <w:behavior w:val="content"/>
        </w:behaviors>
        <w:guid w:val="{0C868671-B0C5-45C9-A123-48D0304D7936}"/>
      </w:docPartPr>
      <w:docPartBody>
        <w:p w:rsidR="007D4677" w:rsidRDefault="004D5B92" w:rsidP="004D5B92">
          <w:pPr>
            <w:pStyle w:val="8828226E10614CF7A877B1FA2ED81A92"/>
          </w:pPr>
          <w:r w:rsidRPr="00E43679">
            <w:rPr>
              <w:rStyle w:val="PlaceholderText"/>
            </w:rPr>
            <w:t>Click or tap here to enter text.</w:t>
          </w:r>
        </w:p>
      </w:docPartBody>
    </w:docPart>
    <w:docPart>
      <w:docPartPr>
        <w:name w:val="4325DCFFB6004A029CF0D4FBA5E53178"/>
        <w:category>
          <w:name w:val="General"/>
          <w:gallery w:val="placeholder"/>
        </w:category>
        <w:types>
          <w:type w:val="bbPlcHdr"/>
        </w:types>
        <w:behaviors>
          <w:behavior w:val="content"/>
        </w:behaviors>
        <w:guid w:val="{E77CBE93-AAC7-49F1-B61B-126A1495C454}"/>
      </w:docPartPr>
      <w:docPartBody>
        <w:p w:rsidR="00F51009" w:rsidRDefault="004C4D03" w:rsidP="004C4D03">
          <w:pPr>
            <w:pStyle w:val="4325DCFFB6004A029CF0D4FBA5E53178"/>
          </w:pPr>
          <w:r w:rsidRPr="00E43679">
            <w:rPr>
              <w:rStyle w:val="PlaceholderText"/>
            </w:rPr>
            <w:t>Click or tap here to enter text.</w:t>
          </w:r>
        </w:p>
      </w:docPartBody>
    </w:docPart>
    <w:docPart>
      <w:docPartPr>
        <w:name w:val="7CC1848BFCB14AC088EA69CE3E89A48A"/>
        <w:category>
          <w:name w:val="General"/>
          <w:gallery w:val="placeholder"/>
        </w:category>
        <w:types>
          <w:type w:val="bbPlcHdr"/>
        </w:types>
        <w:behaviors>
          <w:behavior w:val="content"/>
        </w:behaviors>
        <w:guid w:val="{01BA0968-01B9-476E-8AA9-E06A4C5B4FE0}"/>
      </w:docPartPr>
      <w:docPartBody>
        <w:p w:rsidR="00F51009" w:rsidRDefault="004C4D03" w:rsidP="004C4D03">
          <w:pPr>
            <w:pStyle w:val="7CC1848BFCB14AC088EA69CE3E89A48A"/>
          </w:pPr>
          <w:r w:rsidRPr="00E436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92"/>
    <w:rsid w:val="000107EE"/>
    <w:rsid w:val="00071553"/>
    <w:rsid w:val="000E47D6"/>
    <w:rsid w:val="000E4A84"/>
    <w:rsid w:val="000F2DF5"/>
    <w:rsid w:val="001C1946"/>
    <w:rsid w:val="002245C2"/>
    <w:rsid w:val="00231668"/>
    <w:rsid w:val="0024329C"/>
    <w:rsid w:val="002555EA"/>
    <w:rsid w:val="002A5CB5"/>
    <w:rsid w:val="002C5CB7"/>
    <w:rsid w:val="002D2818"/>
    <w:rsid w:val="003138DE"/>
    <w:rsid w:val="00316C0E"/>
    <w:rsid w:val="003371FB"/>
    <w:rsid w:val="003C3DB6"/>
    <w:rsid w:val="00461F14"/>
    <w:rsid w:val="00490F17"/>
    <w:rsid w:val="004A69BE"/>
    <w:rsid w:val="004C19BD"/>
    <w:rsid w:val="004C4D03"/>
    <w:rsid w:val="004D5B92"/>
    <w:rsid w:val="0051336A"/>
    <w:rsid w:val="005E10DA"/>
    <w:rsid w:val="005E7A42"/>
    <w:rsid w:val="00640D75"/>
    <w:rsid w:val="00680634"/>
    <w:rsid w:val="00694429"/>
    <w:rsid w:val="0069470D"/>
    <w:rsid w:val="006C0A82"/>
    <w:rsid w:val="006F433F"/>
    <w:rsid w:val="00704418"/>
    <w:rsid w:val="00781E96"/>
    <w:rsid w:val="007D4677"/>
    <w:rsid w:val="00811F74"/>
    <w:rsid w:val="00823AB1"/>
    <w:rsid w:val="00886D8F"/>
    <w:rsid w:val="008C23B5"/>
    <w:rsid w:val="009435C7"/>
    <w:rsid w:val="00983A20"/>
    <w:rsid w:val="009A2D9D"/>
    <w:rsid w:val="009B7AB7"/>
    <w:rsid w:val="009C16D2"/>
    <w:rsid w:val="009D31E4"/>
    <w:rsid w:val="009D5E13"/>
    <w:rsid w:val="00A15910"/>
    <w:rsid w:val="00A27BA8"/>
    <w:rsid w:val="00AD70FD"/>
    <w:rsid w:val="00B51C6A"/>
    <w:rsid w:val="00CE0375"/>
    <w:rsid w:val="00CE53F6"/>
    <w:rsid w:val="00D05A66"/>
    <w:rsid w:val="00D0785F"/>
    <w:rsid w:val="00D67338"/>
    <w:rsid w:val="00DB63E9"/>
    <w:rsid w:val="00DE0AF6"/>
    <w:rsid w:val="00E64594"/>
    <w:rsid w:val="00EA1F44"/>
    <w:rsid w:val="00EB6A00"/>
    <w:rsid w:val="00F4439C"/>
    <w:rsid w:val="00F51009"/>
    <w:rsid w:val="00F920BF"/>
    <w:rsid w:val="00F9768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D03"/>
    <w:rPr>
      <w:color w:val="808080"/>
    </w:rPr>
  </w:style>
  <w:style w:type="paragraph" w:customStyle="1" w:styleId="8828226E10614CF7A877B1FA2ED81A92">
    <w:name w:val="8828226E10614CF7A877B1FA2ED81A92"/>
    <w:rsid w:val="004D5B92"/>
  </w:style>
  <w:style w:type="paragraph" w:customStyle="1" w:styleId="4325DCFFB6004A029CF0D4FBA5E53178">
    <w:name w:val="4325DCFFB6004A029CF0D4FBA5E53178"/>
    <w:rsid w:val="004C4D03"/>
  </w:style>
  <w:style w:type="paragraph" w:customStyle="1" w:styleId="7CC1848BFCB14AC088EA69CE3E89A48A">
    <w:name w:val="7CC1848BFCB14AC088EA69CE3E89A48A"/>
    <w:rsid w:val="004C4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CCF1-13C3-4E40-AD5D-CB132889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11868</Words>
  <Characters>67648</Characters>
  <Application>Microsoft Office Word</Application>
  <DocSecurity>0</DocSecurity>
  <Lines>563</Lines>
  <Paragraphs>158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Ataullah, A., H. Le, and G. Wood,. Institutional Investor Heterogeneity and Corp</vt:lpstr>
      <vt:lpstr>Bates, T.W., Kahle, K.M., and Stulz, R., 2009. Why Do U.S. Firms Hold So Much Mo</vt:lpstr>
      <vt:lpstr>    Klettner, A. 2021. Stewardship Codes and the Role of Institutional Investors in </vt:lpstr>
      <vt:lpstr>Lee, C., Wang, C., 2021. Firms' cash reserve, financial constraint, and geopolit</vt:lpstr>
      <vt:lpstr/>
      <vt:lpstr>Lee, C., and Park, H., 2016. Financial constraints, board governance standards, </vt:lpstr>
    </vt:vector>
  </TitlesOfParts>
  <Company/>
  <LinksUpToDate>false</LinksUpToDate>
  <CharactersWithSpaces>79358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Das</dc:creator>
  <cp:keywords/>
  <dc:description/>
  <cp:lastModifiedBy>Tapas Mishra</cp:lastModifiedBy>
  <cp:revision>2</cp:revision>
  <cp:lastPrinted>2022-07-05T05:01:00Z</cp:lastPrinted>
  <dcterms:created xsi:type="dcterms:W3CDTF">2024-12-02T21:37:00Z</dcterms:created>
  <dcterms:modified xsi:type="dcterms:W3CDTF">2024-12-02T21:37:00Z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6a88a945c05bccfa9f0874d9cd14aeccdc28e32e578a5ca22122fc1512d78bbf</vt:lpwstr>
  </property>
</Properties>
</file>