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5D2A3" w14:textId="77777777" w:rsidR="00F45415" w:rsidRDefault="00F45415" w:rsidP="00F45415">
      <w:pPr>
        <w:rPr>
          <w:b/>
          <w:bCs/>
        </w:rPr>
      </w:pPr>
    </w:p>
    <w:p w14:paraId="40AD0EB4" w14:textId="4DFE4B05" w:rsidR="00E07A3F" w:rsidRDefault="003C38BC" w:rsidP="00FC7DB4">
      <w:pPr>
        <w:spacing w:line="360" w:lineRule="auto"/>
        <w:jc w:val="center"/>
        <w:rPr>
          <w:b/>
          <w:bCs/>
        </w:rPr>
      </w:pPr>
      <w:r>
        <w:rPr>
          <w:b/>
          <w:bCs/>
        </w:rPr>
        <w:t xml:space="preserve">Screening to identify people with type 2 diabetes at risk of liver cancer in primary care </w:t>
      </w:r>
      <w:r w:rsidR="00B85035" w:rsidRPr="00B85035">
        <w:rPr>
          <w:b/>
          <w:bCs/>
        </w:rPr>
        <w:t xml:space="preserve">- </w:t>
      </w:r>
      <w:r w:rsidR="00B85035">
        <w:rPr>
          <w:b/>
          <w:bCs/>
        </w:rPr>
        <w:t>a</w:t>
      </w:r>
      <w:r w:rsidR="00B85035" w:rsidRPr="00B85035">
        <w:rPr>
          <w:b/>
          <w:bCs/>
        </w:rPr>
        <w:t xml:space="preserve"> </w:t>
      </w:r>
      <w:r w:rsidR="00B85035">
        <w:rPr>
          <w:b/>
          <w:bCs/>
        </w:rPr>
        <w:t>r</w:t>
      </w:r>
      <w:r w:rsidR="00B85035" w:rsidRPr="00B85035">
        <w:rPr>
          <w:b/>
          <w:bCs/>
        </w:rPr>
        <w:t xml:space="preserve">andomised </w:t>
      </w:r>
      <w:r w:rsidR="00B85035">
        <w:rPr>
          <w:b/>
          <w:bCs/>
        </w:rPr>
        <w:t>c</w:t>
      </w:r>
      <w:r w:rsidR="00B85035" w:rsidRPr="00B85035">
        <w:rPr>
          <w:b/>
          <w:bCs/>
        </w:rPr>
        <w:t>ontrol</w:t>
      </w:r>
      <w:r w:rsidR="00B3450F">
        <w:rPr>
          <w:b/>
          <w:bCs/>
        </w:rPr>
        <w:t>led</w:t>
      </w:r>
      <w:r w:rsidR="00B85035" w:rsidRPr="00B85035">
        <w:rPr>
          <w:b/>
          <w:bCs/>
        </w:rPr>
        <w:t xml:space="preserve"> </w:t>
      </w:r>
      <w:r w:rsidR="00B85035">
        <w:rPr>
          <w:b/>
          <w:bCs/>
        </w:rPr>
        <w:t>t</w:t>
      </w:r>
      <w:r w:rsidR="00B85035" w:rsidRPr="00B85035">
        <w:rPr>
          <w:b/>
          <w:bCs/>
        </w:rPr>
        <w:t>rial</w:t>
      </w:r>
      <w:r w:rsidR="005A0A81">
        <w:rPr>
          <w:b/>
          <w:bCs/>
        </w:rPr>
        <w:t xml:space="preserve"> </w:t>
      </w:r>
      <w:proofErr w:type="gramStart"/>
      <w:r w:rsidR="005A0A81">
        <w:rPr>
          <w:b/>
          <w:bCs/>
        </w:rPr>
        <w:t>PROTOCOL</w:t>
      </w:r>
      <w:proofErr w:type="gramEnd"/>
    </w:p>
    <w:p w14:paraId="38694D63" w14:textId="77777777" w:rsidR="005A0A81" w:rsidRDefault="005A0A81" w:rsidP="00FC7DB4">
      <w:pPr>
        <w:spacing w:line="360" w:lineRule="auto"/>
        <w:rPr>
          <w:rFonts w:eastAsia="Calibri" w:cstheme="minorHAnsi"/>
          <w:b/>
          <w:bCs/>
          <w:sz w:val="22"/>
          <w:szCs w:val="22"/>
          <w:lang w:val="en-US"/>
        </w:rPr>
      </w:pPr>
    </w:p>
    <w:p w14:paraId="65082ECD" w14:textId="3A16AD6D" w:rsidR="00A1288B" w:rsidRPr="008C07B2" w:rsidRDefault="008C07B2" w:rsidP="00FC7DB4">
      <w:pPr>
        <w:spacing w:line="360" w:lineRule="auto"/>
        <w:jc w:val="center"/>
        <w:rPr>
          <w:rFonts w:eastAsia="Calibri" w:cstheme="minorHAnsi"/>
          <w:sz w:val="22"/>
          <w:szCs w:val="22"/>
          <w:lang w:val="en-US"/>
        </w:rPr>
      </w:pPr>
      <w:r w:rsidRPr="002A5F6E">
        <w:rPr>
          <w:rFonts w:eastAsia="Calibri" w:cstheme="minorHAnsi"/>
          <w:sz w:val="22"/>
          <w:szCs w:val="22"/>
          <w:lang w:val="en-US"/>
        </w:rPr>
        <w:t>Ryan M Buchanan*</w:t>
      </w:r>
      <w:r w:rsidR="00343A30" w:rsidRPr="002A5F6E">
        <w:rPr>
          <w:rFonts w:ascii="Calibri" w:eastAsia="Calibri" w:hAnsi="Calibri" w:cs="Calibri"/>
          <w:sz w:val="22"/>
          <w:szCs w:val="22"/>
          <w:vertAlign w:val="superscript"/>
          <w:lang w:val="en-US"/>
        </w:rPr>
        <w:t>†</w:t>
      </w:r>
      <w:r w:rsidRPr="002A5F6E">
        <w:rPr>
          <w:rFonts w:eastAsia="Calibri" w:cstheme="minorHAnsi"/>
          <w:sz w:val="22"/>
          <w:szCs w:val="22"/>
          <w:lang w:val="en-US"/>
        </w:rPr>
        <w:t>,</w:t>
      </w:r>
      <w:r w:rsidR="00AF1FE8" w:rsidRPr="002A5F6E">
        <w:rPr>
          <w:rFonts w:eastAsia="Calibri" w:cstheme="minorHAnsi"/>
          <w:sz w:val="22"/>
          <w:szCs w:val="22"/>
          <w:lang w:val="en-US"/>
        </w:rPr>
        <w:t xml:space="preserve"> Tina </w:t>
      </w:r>
      <w:proofErr w:type="spellStart"/>
      <w:r w:rsidR="00AF1FE8" w:rsidRPr="002A5F6E">
        <w:rPr>
          <w:rFonts w:eastAsia="Calibri" w:cstheme="minorHAnsi"/>
          <w:sz w:val="22"/>
          <w:szCs w:val="22"/>
          <w:lang w:val="en-US"/>
        </w:rPr>
        <w:t>Reinson</w:t>
      </w:r>
      <w:proofErr w:type="spellEnd"/>
      <w:r w:rsidR="00AF1FE8" w:rsidRPr="002A5F6E">
        <w:rPr>
          <w:rFonts w:eastAsia="Calibri" w:cstheme="minorHAnsi"/>
          <w:sz w:val="22"/>
          <w:szCs w:val="22"/>
          <w:lang w:val="en-US"/>
        </w:rPr>
        <w:t>*,</w:t>
      </w:r>
      <w:r w:rsidRPr="002A5F6E">
        <w:rPr>
          <w:rFonts w:eastAsia="Calibri" w:cstheme="minorHAnsi"/>
          <w:sz w:val="22"/>
          <w:szCs w:val="22"/>
          <w:lang w:val="en-US"/>
        </w:rPr>
        <w:t xml:space="preserve"> </w:t>
      </w:r>
      <w:r w:rsidR="005B58AF" w:rsidRPr="002A5F6E">
        <w:rPr>
          <w:rFonts w:eastAsia="Calibri" w:cstheme="minorHAnsi"/>
          <w:sz w:val="22"/>
          <w:szCs w:val="22"/>
          <w:lang w:val="en-US"/>
        </w:rPr>
        <w:t xml:space="preserve">Josh Bilson, </w:t>
      </w:r>
      <w:r w:rsidR="005B58AF">
        <w:rPr>
          <w:rFonts w:eastAsia="Calibri" w:cstheme="minorHAnsi"/>
          <w:sz w:val="22"/>
          <w:szCs w:val="22"/>
          <w:lang w:val="en-US"/>
        </w:rPr>
        <w:t xml:space="preserve">Hazel Woodland, </w:t>
      </w:r>
      <w:proofErr w:type="spellStart"/>
      <w:r w:rsidR="00DF70FB" w:rsidRPr="002A5F6E">
        <w:rPr>
          <w:rFonts w:eastAsia="Calibri" w:cstheme="minorHAnsi"/>
          <w:sz w:val="22"/>
          <w:szCs w:val="22"/>
          <w:lang w:val="en-US"/>
        </w:rPr>
        <w:t>Chinonso</w:t>
      </w:r>
      <w:proofErr w:type="spellEnd"/>
      <w:r w:rsidR="00DF70FB" w:rsidRPr="002A5F6E">
        <w:rPr>
          <w:rFonts w:eastAsia="Calibri" w:cstheme="minorHAnsi"/>
          <w:sz w:val="22"/>
          <w:szCs w:val="22"/>
          <w:lang w:val="en-US"/>
        </w:rPr>
        <w:t xml:space="preserve"> </w:t>
      </w:r>
      <w:proofErr w:type="spellStart"/>
      <w:r w:rsidR="00DF70FB" w:rsidRPr="002A5F6E">
        <w:rPr>
          <w:rFonts w:eastAsia="Calibri" w:cstheme="minorHAnsi"/>
          <w:sz w:val="22"/>
          <w:szCs w:val="22"/>
          <w:lang w:val="en-US"/>
        </w:rPr>
        <w:t>Nwoguh</w:t>
      </w:r>
      <w:proofErr w:type="spellEnd"/>
      <w:r w:rsidR="00DF70FB" w:rsidRPr="002A5F6E">
        <w:rPr>
          <w:rFonts w:eastAsia="Calibri" w:cstheme="minorHAnsi"/>
          <w:sz w:val="22"/>
          <w:szCs w:val="22"/>
          <w:lang w:val="en-US"/>
        </w:rPr>
        <w:t xml:space="preserve">, </w:t>
      </w:r>
      <w:r w:rsidRPr="002A5F6E">
        <w:rPr>
          <w:rFonts w:eastAsia="Calibri" w:cstheme="minorHAnsi"/>
          <w:sz w:val="22"/>
          <w:szCs w:val="22"/>
          <w:lang w:val="en-US"/>
        </w:rPr>
        <w:t xml:space="preserve">Keith Cooper, Scott Harris, </w:t>
      </w:r>
      <w:r w:rsidR="006F095A" w:rsidRPr="002A5F6E">
        <w:rPr>
          <w:rFonts w:eastAsia="Calibri" w:cstheme="minorHAnsi"/>
          <w:sz w:val="22"/>
          <w:szCs w:val="22"/>
          <w:lang w:val="en-US"/>
        </w:rPr>
        <w:t>Karen</w:t>
      </w:r>
      <w:r w:rsidR="006F095A">
        <w:rPr>
          <w:rFonts w:eastAsia="Calibri" w:cstheme="minorHAnsi"/>
          <w:sz w:val="22"/>
          <w:szCs w:val="22"/>
          <w:lang w:val="en-US"/>
        </w:rPr>
        <w:t xml:space="preserve"> Malone, </w:t>
      </w:r>
      <w:r>
        <w:rPr>
          <w:rFonts w:eastAsia="Calibri" w:cstheme="minorHAnsi"/>
          <w:sz w:val="22"/>
          <w:szCs w:val="22"/>
          <w:lang w:val="en-US"/>
        </w:rPr>
        <w:t>Christopher D Byrne</w:t>
      </w:r>
    </w:p>
    <w:p w14:paraId="1C90BAD1" w14:textId="5BF6C0BE" w:rsidR="008C07B2" w:rsidRPr="00343A30" w:rsidRDefault="008C07B2" w:rsidP="00343A30">
      <w:pPr>
        <w:spacing w:line="360" w:lineRule="auto"/>
        <w:rPr>
          <w:rFonts w:eastAsia="Calibri" w:cstheme="minorHAnsi"/>
          <w:sz w:val="22"/>
          <w:szCs w:val="22"/>
          <w:lang w:val="en-US"/>
        </w:rPr>
      </w:pPr>
      <w:r w:rsidRPr="00343A30">
        <w:rPr>
          <w:rFonts w:eastAsia="Calibri" w:cstheme="minorHAnsi"/>
          <w:sz w:val="22"/>
          <w:szCs w:val="22"/>
          <w:lang w:val="en-US"/>
        </w:rPr>
        <w:t>*</w:t>
      </w:r>
      <w:r w:rsidR="00343A30">
        <w:rPr>
          <w:rFonts w:eastAsia="Calibri" w:cstheme="minorHAnsi"/>
          <w:sz w:val="22"/>
          <w:szCs w:val="22"/>
          <w:lang w:val="en-US"/>
        </w:rPr>
        <w:t>J</w:t>
      </w:r>
      <w:r w:rsidRPr="00343A30">
        <w:rPr>
          <w:rFonts w:eastAsia="Calibri" w:cstheme="minorHAnsi"/>
          <w:sz w:val="22"/>
          <w:szCs w:val="22"/>
          <w:lang w:val="en-US"/>
        </w:rPr>
        <w:t>oint first author</w:t>
      </w:r>
      <w:r w:rsidR="00097760">
        <w:rPr>
          <w:rFonts w:eastAsia="Calibri" w:cstheme="minorHAnsi"/>
          <w:sz w:val="22"/>
          <w:szCs w:val="22"/>
          <w:lang w:val="en-US"/>
        </w:rPr>
        <w:t>s</w:t>
      </w:r>
    </w:p>
    <w:p w14:paraId="30F6A50F" w14:textId="3677BDF1" w:rsidR="00343A30" w:rsidRDefault="00343A30" w:rsidP="00343A30">
      <w:pPr>
        <w:spacing w:line="360" w:lineRule="auto"/>
        <w:rPr>
          <w:rFonts w:ascii="Calibri" w:eastAsia="Calibri" w:hAnsi="Calibri" w:cs="Calibri"/>
          <w:sz w:val="22"/>
          <w:szCs w:val="22"/>
          <w:lang w:val="en-US"/>
        </w:rPr>
      </w:pPr>
      <w:r w:rsidRPr="00343A30">
        <w:rPr>
          <w:rFonts w:ascii="Calibri" w:eastAsia="Calibri" w:hAnsi="Calibri" w:cs="Calibri"/>
          <w:sz w:val="22"/>
          <w:szCs w:val="22"/>
          <w:vertAlign w:val="superscript"/>
          <w:lang w:val="en-US"/>
        </w:rPr>
        <w:t>†</w:t>
      </w:r>
      <w:r w:rsidRPr="00343A30">
        <w:rPr>
          <w:rFonts w:ascii="Calibri" w:eastAsia="Calibri" w:hAnsi="Calibri" w:cs="Calibri"/>
          <w:sz w:val="22"/>
          <w:szCs w:val="22"/>
          <w:lang w:val="en-US"/>
        </w:rPr>
        <w:t>Corresponding author</w:t>
      </w:r>
      <w:r w:rsidR="00ED094F">
        <w:rPr>
          <w:rFonts w:ascii="Calibri" w:eastAsia="Calibri" w:hAnsi="Calibri" w:cs="Calibri"/>
          <w:sz w:val="22"/>
          <w:szCs w:val="22"/>
          <w:lang w:val="en-US"/>
        </w:rPr>
        <w:t>: Ryan M Buchanan, Room Ac19, South Academic Block, University Hospital Southampton, Southampton, UK, SO16 6YD</w:t>
      </w:r>
    </w:p>
    <w:p w14:paraId="4FEB1FC3" w14:textId="2ABE9D9E" w:rsidR="00343A30" w:rsidRDefault="00343A30" w:rsidP="00343A30">
      <w:pPr>
        <w:spacing w:line="360" w:lineRule="auto"/>
        <w:rPr>
          <w:rFonts w:ascii="Calibri" w:eastAsia="Calibri" w:hAnsi="Calibri" w:cs="Calibri"/>
          <w:sz w:val="22"/>
          <w:szCs w:val="22"/>
          <w:lang w:val="en-US"/>
        </w:rPr>
      </w:pPr>
      <w:r w:rsidRPr="00343A30">
        <w:rPr>
          <w:rFonts w:ascii="Calibri" w:eastAsia="Calibri" w:hAnsi="Calibri" w:cs="Calibri"/>
          <w:sz w:val="22"/>
          <w:szCs w:val="22"/>
          <w:lang w:val="en-US"/>
        </w:rPr>
        <w:t>Ryan.buchanan@soton.ac.uk</w:t>
      </w:r>
    </w:p>
    <w:p w14:paraId="537BA1BB" w14:textId="4A6043EE" w:rsidR="00343A30" w:rsidRDefault="00000000" w:rsidP="00343A30">
      <w:pPr>
        <w:spacing w:line="360" w:lineRule="auto"/>
        <w:rPr>
          <w:rFonts w:ascii="Calibri" w:eastAsia="Calibri" w:hAnsi="Calibri" w:cs="Calibri"/>
          <w:sz w:val="22"/>
          <w:szCs w:val="22"/>
          <w:lang w:val="en-US"/>
        </w:rPr>
      </w:pPr>
      <w:hyperlink r:id="rId8" w:history="1">
        <w:r w:rsidR="005B58AF" w:rsidRPr="00FA46E0">
          <w:rPr>
            <w:rStyle w:val="Hyperlink"/>
            <w:rFonts w:ascii="Calibri" w:eastAsia="Calibri" w:hAnsi="Calibri" w:cs="Calibri"/>
            <w:sz w:val="22"/>
            <w:szCs w:val="22"/>
            <w:lang w:val="en-US"/>
          </w:rPr>
          <w:t>t.reinson@soton.ac.uk</w:t>
        </w:r>
      </w:hyperlink>
    </w:p>
    <w:p w14:paraId="5BCA8214" w14:textId="6638EB78" w:rsidR="005B58AF" w:rsidRDefault="00000000" w:rsidP="00343A30">
      <w:pPr>
        <w:spacing w:line="360" w:lineRule="auto"/>
        <w:rPr>
          <w:rFonts w:ascii="Calibri" w:eastAsia="Calibri" w:hAnsi="Calibri" w:cs="Calibri"/>
          <w:sz w:val="22"/>
          <w:szCs w:val="22"/>
          <w:lang w:val="en-US"/>
        </w:rPr>
      </w:pPr>
      <w:hyperlink r:id="rId9" w:history="1">
        <w:r w:rsidR="005B58AF" w:rsidRPr="00FA46E0">
          <w:rPr>
            <w:rStyle w:val="Hyperlink"/>
            <w:rFonts w:ascii="Calibri" w:eastAsia="Calibri" w:hAnsi="Calibri" w:cs="Calibri"/>
            <w:sz w:val="22"/>
            <w:szCs w:val="22"/>
            <w:lang w:val="en-US"/>
          </w:rPr>
          <w:t>josh.bilson@soton.ac.uk</w:t>
        </w:r>
      </w:hyperlink>
    </w:p>
    <w:p w14:paraId="1E2D4CB3" w14:textId="56BD877F" w:rsidR="005B58AF" w:rsidRDefault="005B58AF" w:rsidP="00343A30">
      <w:pPr>
        <w:spacing w:line="360" w:lineRule="auto"/>
        <w:rPr>
          <w:rFonts w:ascii="Calibri" w:eastAsia="Calibri" w:hAnsi="Calibri" w:cs="Calibri"/>
          <w:sz w:val="22"/>
          <w:szCs w:val="22"/>
          <w:lang w:val="en-US"/>
        </w:rPr>
      </w:pPr>
      <w:r>
        <w:rPr>
          <w:rFonts w:ascii="Calibri" w:eastAsia="Calibri" w:hAnsi="Calibri" w:cs="Calibri"/>
          <w:sz w:val="22"/>
          <w:szCs w:val="22"/>
          <w:lang w:val="en-US"/>
        </w:rPr>
        <w:t>Hazel.woodland@nhs.net</w:t>
      </w:r>
    </w:p>
    <w:p w14:paraId="1485C36D" w14:textId="55E1B039" w:rsidR="00DF70FB" w:rsidRDefault="00DF70FB" w:rsidP="00343A30">
      <w:pPr>
        <w:spacing w:line="360" w:lineRule="auto"/>
        <w:rPr>
          <w:rFonts w:ascii="Calibri" w:eastAsia="Calibri" w:hAnsi="Calibri" w:cs="Calibri"/>
          <w:sz w:val="22"/>
          <w:szCs w:val="22"/>
          <w:lang w:val="en-US"/>
        </w:rPr>
      </w:pPr>
      <w:r w:rsidRPr="002A5F6E">
        <w:rPr>
          <w:rFonts w:ascii="Calibri" w:eastAsia="Calibri" w:hAnsi="Calibri" w:cs="Calibri"/>
          <w:sz w:val="22"/>
          <w:szCs w:val="22"/>
          <w:lang w:val="en-US"/>
        </w:rPr>
        <w:t>chinonso.nwoguh@soton.ac.uk</w:t>
      </w:r>
    </w:p>
    <w:p w14:paraId="7A3B0AE0" w14:textId="4FA1FC93" w:rsidR="00343A30" w:rsidRDefault="00343A30" w:rsidP="00343A30">
      <w:pPr>
        <w:spacing w:line="360" w:lineRule="auto"/>
        <w:rPr>
          <w:rFonts w:ascii="Calibri" w:eastAsia="Calibri" w:hAnsi="Calibri" w:cs="Calibri"/>
          <w:sz w:val="22"/>
          <w:szCs w:val="22"/>
          <w:lang w:val="en-US"/>
        </w:rPr>
      </w:pPr>
      <w:r w:rsidRPr="00343A30">
        <w:rPr>
          <w:rFonts w:ascii="Calibri" w:eastAsia="Calibri" w:hAnsi="Calibri" w:cs="Calibri"/>
          <w:sz w:val="22"/>
          <w:szCs w:val="22"/>
          <w:lang w:val="en-US"/>
        </w:rPr>
        <w:t>k.cooper@soton.ac.uk</w:t>
      </w:r>
    </w:p>
    <w:p w14:paraId="71135ABD" w14:textId="7E603EFD" w:rsidR="00343A30" w:rsidRDefault="00343A30" w:rsidP="00343A30">
      <w:pPr>
        <w:spacing w:line="360" w:lineRule="auto"/>
        <w:rPr>
          <w:rFonts w:ascii="Calibri" w:eastAsia="Calibri" w:hAnsi="Calibri" w:cs="Calibri"/>
          <w:sz w:val="22"/>
          <w:szCs w:val="22"/>
          <w:lang w:val="en-US"/>
        </w:rPr>
      </w:pPr>
      <w:r w:rsidRPr="00343A30">
        <w:rPr>
          <w:rFonts w:ascii="Calibri" w:eastAsia="Calibri" w:hAnsi="Calibri" w:cs="Calibri"/>
          <w:sz w:val="22"/>
          <w:szCs w:val="22"/>
          <w:lang w:val="en-US"/>
        </w:rPr>
        <w:t>sharris@southampton.ac.uk</w:t>
      </w:r>
    </w:p>
    <w:p w14:paraId="68FB2E88" w14:textId="002CC713" w:rsidR="00343A30" w:rsidRPr="00D9736B" w:rsidRDefault="00343A30" w:rsidP="00343A30">
      <w:pPr>
        <w:spacing w:line="360" w:lineRule="auto"/>
        <w:rPr>
          <w:rFonts w:ascii="Calibri" w:eastAsia="Calibri" w:hAnsi="Calibri" w:cs="Calibri"/>
          <w:color w:val="000000" w:themeColor="text1"/>
          <w:sz w:val="22"/>
          <w:szCs w:val="22"/>
          <w:lang w:val="en-US"/>
        </w:rPr>
      </w:pPr>
      <w:r w:rsidRPr="00D9736B">
        <w:rPr>
          <w:rFonts w:ascii="Calibri" w:eastAsia="Calibri" w:hAnsi="Calibri" w:cs="Calibri"/>
          <w:color w:val="000000" w:themeColor="text1"/>
          <w:sz w:val="22"/>
          <w:szCs w:val="22"/>
          <w:lang w:val="en-US"/>
        </w:rPr>
        <w:t>karenmalone1@nhs.net</w:t>
      </w:r>
    </w:p>
    <w:p w14:paraId="0B08532E" w14:textId="30D7F916" w:rsidR="00343A30" w:rsidRPr="00D9736B" w:rsidRDefault="00343A30" w:rsidP="00343A30">
      <w:pPr>
        <w:spacing w:line="360" w:lineRule="auto"/>
        <w:rPr>
          <w:rFonts w:eastAsia="Calibri" w:cstheme="minorHAnsi"/>
          <w:color w:val="000000" w:themeColor="text1"/>
          <w:sz w:val="22"/>
          <w:szCs w:val="22"/>
          <w:lang w:val="en-US"/>
        </w:rPr>
      </w:pPr>
      <w:r w:rsidRPr="00D9736B">
        <w:rPr>
          <w:rFonts w:eastAsia="Calibri" w:cstheme="minorHAnsi"/>
          <w:color w:val="000000" w:themeColor="text1"/>
          <w:sz w:val="22"/>
          <w:szCs w:val="22"/>
          <w:lang w:val="en-US"/>
        </w:rPr>
        <w:t>c.d.byrne@soton.ac.uk</w:t>
      </w:r>
    </w:p>
    <w:p w14:paraId="2B8AFC2F" w14:textId="77777777" w:rsidR="00343A30" w:rsidRPr="00D9736B" w:rsidRDefault="00343A30" w:rsidP="00343A30">
      <w:pPr>
        <w:spacing w:line="360" w:lineRule="auto"/>
        <w:rPr>
          <w:rFonts w:eastAsia="Calibri" w:cstheme="minorHAnsi"/>
          <w:color w:val="000000" w:themeColor="text1"/>
          <w:sz w:val="22"/>
          <w:szCs w:val="22"/>
          <w:lang w:val="en-US"/>
        </w:rPr>
      </w:pPr>
    </w:p>
    <w:p w14:paraId="50705E88" w14:textId="48D432B5" w:rsidR="00A1288B" w:rsidRPr="00D9736B" w:rsidRDefault="00343A30" w:rsidP="00FC7DB4">
      <w:pPr>
        <w:spacing w:line="360" w:lineRule="auto"/>
        <w:rPr>
          <w:rFonts w:eastAsia="Calibri" w:cstheme="minorHAnsi"/>
          <w:b/>
          <w:bCs/>
          <w:color w:val="000000" w:themeColor="text1"/>
          <w:sz w:val="22"/>
          <w:szCs w:val="22"/>
          <w:lang w:val="en-US"/>
        </w:rPr>
      </w:pPr>
      <w:r w:rsidRPr="00D9736B">
        <w:rPr>
          <w:rFonts w:eastAsia="Calibri" w:cstheme="minorHAnsi"/>
          <w:b/>
          <w:bCs/>
          <w:color w:val="000000" w:themeColor="text1"/>
          <w:sz w:val="22"/>
          <w:szCs w:val="22"/>
          <w:lang w:val="en-US"/>
        </w:rPr>
        <w:t>Key words</w:t>
      </w:r>
      <w:r w:rsidRPr="00D9736B">
        <w:rPr>
          <w:rFonts w:eastAsia="Calibri" w:cstheme="minorHAnsi"/>
          <w:color w:val="000000" w:themeColor="text1"/>
          <w:sz w:val="22"/>
          <w:szCs w:val="22"/>
          <w:lang w:val="en-US"/>
        </w:rPr>
        <w:t xml:space="preserve">: </w:t>
      </w:r>
      <w:r w:rsidR="002B2F89">
        <w:rPr>
          <w:rFonts w:cstheme="minorHAnsi"/>
          <w:color w:val="000000" w:themeColor="text1"/>
          <w:sz w:val="22"/>
          <w:szCs w:val="22"/>
          <w:shd w:val="clear" w:color="auto" w:fill="FFFFFF"/>
        </w:rPr>
        <w:t>Hepatology, Diabetes &amp; endocrinology, Health care costs, Randomized Controlled Trial, Hepatobiliary cancer.</w:t>
      </w:r>
    </w:p>
    <w:p w14:paraId="0198E60E" w14:textId="77777777" w:rsidR="00ED094F" w:rsidRPr="00D9736B" w:rsidRDefault="00ED094F" w:rsidP="00FC7DB4">
      <w:pPr>
        <w:spacing w:line="360" w:lineRule="auto"/>
        <w:rPr>
          <w:rFonts w:eastAsia="Calibri" w:cstheme="minorHAnsi"/>
          <w:b/>
          <w:bCs/>
          <w:color w:val="000000" w:themeColor="text1"/>
          <w:sz w:val="22"/>
          <w:szCs w:val="22"/>
          <w:lang w:val="en-US"/>
        </w:rPr>
      </w:pPr>
    </w:p>
    <w:p w14:paraId="69C8DC2F" w14:textId="5F574529" w:rsidR="00A1288B" w:rsidRPr="00D9736B" w:rsidRDefault="00ED094F" w:rsidP="00FC7DB4">
      <w:pPr>
        <w:spacing w:line="360" w:lineRule="auto"/>
        <w:rPr>
          <w:rFonts w:eastAsia="Calibri" w:cstheme="minorHAnsi"/>
          <w:b/>
          <w:bCs/>
          <w:sz w:val="22"/>
          <w:szCs w:val="22"/>
          <w:lang w:val="en-US"/>
        </w:rPr>
      </w:pPr>
      <w:r w:rsidRPr="00D9736B">
        <w:rPr>
          <w:rFonts w:eastAsia="Calibri" w:cstheme="minorHAnsi"/>
          <w:b/>
          <w:bCs/>
          <w:sz w:val="22"/>
          <w:szCs w:val="22"/>
          <w:lang w:val="en-US"/>
        </w:rPr>
        <w:t xml:space="preserve">Word count: </w:t>
      </w:r>
      <w:r w:rsidRPr="00D9736B">
        <w:rPr>
          <w:rFonts w:eastAsia="Calibri" w:cstheme="minorHAnsi"/>
          <w:sz w:val="22"/>
          <w:szCs w:val="22"/>
          <w:lang w:val="en-US"/>
        </w:rPr>
        <w:t>40</w:t>
      </w:r>
      <w:r w:rsidR="00097760">
        <w:rPr>
          <w:rFonts w:eastAsia="Calibri" w:cstheme="minorHAnsi"/>
          <w:sz w:val="22"/>
          <w:szCs w:val="22"/>
          <w:lang w:val="en-US"/>
        </w:rPr>
        <w:t>27</w:t>
      </w:r>
      <w:r w:rsidRPr="00D9736B">
        <w:rPr>
          <w:rFonts w:eastAsia="Calibri" w:cstheme="minorHAnsi"/>
          <w:sz w:val="22"/>
          <w:szCs w:val="22"/>
          <w:lang w:val="en-US"/>
        </w:rPr>
        <w:t xml:space="preserve"> excluding abstract and references</w:t>
      </w:r>
    </w:p>
    <w:p w14:paraId="596DB64F" w14:textId="77777777" w:rsidR="00ED094F" w:rsidRDefault="00ED094F" w:rsidP="00FC7DB4">
      <w:pPr>
        <w:spacing w:line="360" w:lineRule="auto"/>
        <w:rPr>
          <w:rFonts w:eastAsia="Calibri" w:cstheme="minorHAnsi"/>
          <w:b/>
          <w:bCs/>
          <w:sz w:val="22"/>
          <w:szCs w:val="22"/>
          <w:lang w:val="en-US"/>
        </w:rPr>
      </w:pPr>
    </w:p>
    <w:p w14:paraId="1F8FE0BA" w14:textId="77777777" w:rsidR="00ED094F" w:rsidRDefault="00ED094F">
      <w:pPr>
        <w:rPr>
          <w:rFonts w:eastAsia="Calibri" w:cstheme="minorHAnsi"/>
          <w:b/>
          <w:bCs/>
          <w:sz w:val="22"/>
          <w:szCs w:val="22"/>
          <w:lang w:val="en-US"/>
        </w:rPr>
      </w:pPr>
      <w:r>
        <w:rPr>
          <w:rFonts w:eastAsia="Calibri" w:cstheme="minorHAnsi"/>
          <w:b/>
          <w:bCs/>
          <w:sz w:val="22"/>
          <w:szCs w:val="22"/>
          <w:lang w:val="en-US"/>
        </w:rPr>
        <w:br w:type="page"/>
      </w:r>
    </w:p>
    <w:p w14:paraId="217F6226" w14:textId="39E153D5" w:rsidR="00A1288B" w:rsidRDefault="008C07B2" w:rsidP="00FC7DB4">
      <w:pPr>
        <w:spacing w:line="360" w:lineRule="auto"/>
        <w:rPr>
          <w:rFonts w:eastAsia="Calibri" w:cstheme="minorHAnsi"/>
          <w:b/>
          <w:bCs/>
          <w:sz w:val="22"/>
          <w:szCs w:val="22"/>
          <w:lang w:val="en-US"/>
        </w:rPr>
      </w:pPr>
      <w:r>
        <w:rPr>
          <w:rFonts w:eastAsia="Calibri" w:cstheme="minorHAnsi"/>
          <w:b/>
          <w:bCs/>
          <w:sz w:val="22"/>
          <w:szCs w:val="22"/>
          <w:lang w:val="en-US"/>
        </w:rPr>
        <w:lastRenderedPageBreak/>
        <w:t>Abstract</w:t>
      </w:r>
      <w:r w:rsidR="0014566B">
        <w:rPr>
          <w:rFonts w:eastAsia="Calibri" w:cstheme="minorHAnsi"/>
          <w:b/>
          <w:bCs/>
          <w:sz w:val="22"/>
          <w:szCs w:val="22"/>
          <w:lang w:val="en-US"/>
        </w:rPr>
        <w:t xml:space="preserve"> </w:t>
      </w:r>
    </w:p>
    <w:p w14:paraId="5D889300" w14:textId="77777777" w:rsidR="008C07B2" w:rsidRDefault="008C07B2" w:rsidP="00FC7DB4">
      <w:pPr>
        <w:spacing w:line="360" w:lineRule="auto"/>
        <w:rPr>
          <w:rFonts w:eastAsia="Calibri" w:cstheme="minorHAnsi"/>
          <w:b/>
          <w:bCs/>
          <w:sz w:val="22"/>
          <w:szCs w:val="22"/>
          <w:lang w:val="en-US"/>
        </w:rPr>
      </w:pPr>
    </w:p>
    <w:p w14:paraId="3601A7E7" w14:textId="3AE99B54" w:rsidR="00A1288B" w:rsidRPr="0079308B" w:rsidRDefault="008C07B2" w:rsidP="00FC7DB4">
      <w:pPr>
        <w:spacing w:line="360" w:lineRule="auto"/>
        <w:rPr>
          <w:b/>
          <w:bCs/>
          <w:sz w:val="22"/>
          <w:szCs w:val="22"/>
        </w:rPr>
      </w:pPr>
      <w:r w:rsidRPr="0079308B">
        <w:rPr>
          <w:b/>
          <w:bCs/>
          <w:sz w:val="22"/>
          <w:szCs w:val="22"/>
        </w:rPr>
        <w:t>Introduction</w:t>
      </w:r>
    </w:p>
    <w:p w14:paraId="02E117D9" w14:textId="77777777" w:rsidR="00967E88" w:rsidRPr="0079308B" w:rsidRDefault="00967E88" w:rsidP="00FC7DB4">
      <w:pPr>
        <w:spacing w:line="360" w:lineRule="auto"/>
        <w:rPr>
          <w:sz w:val="22"/>
          <w:szCs w:val="22"/>
        </w:rPr>
      </w:pPr>
    </w:p>
    <w:p w14:paraId="789315DE" w14:textId="1BEEF83D" w:rsidR="00A1288B" w:rsidRPr="0079308B" w:rsidRDefault="00A1288B" w:rsidP="00FC7DB4">
      <w:pPr>
        <w:spacing w:line="360" w:lineRule="auto"/>
        <w:rPr>
          <w:sz w:val="22"/>
          <w:szCs w:val="22"/>
        </w:rPr>
      </w:pPr>
      <w:r w:rsidRPr="0079308B">
        <w:rPr>
          <w:sz w:val="22"/>
          <w:szCs w:val="22"/>
        </w:rPr>
        <w:t xml:space="preserve">Hepatocellular carcinoma </w:t>
      </w:r>
      <w:r w:rsidR="00A25862" w:rsidRPr="0079308B">
        <w:rPr>
          <w:sz w:val="22"/>
          <w:szCs w:val="22"/>
        </w:rPr>
        <w:t>[</w:t>
      </w:r>
      <w:r w:rsidRPr="0079308B">
        <w:rPr>
          <w:sz w:val="22"/>
          <w:szCs w:val="22"/>
        </w:rPr>
        <w:t>HCC</w:t>
      </w:r>
      <w:r w:rsidR="00A25862" w:rsidRPr="0079308B">
        <w:rPr>
          <w:sz w:val="22"/>
          <w:szCs w:val="22"/>
        </w:rPr>
        <w:t>]</w:t>
      </w:r>
      <w:r w:rsidRPr="0079308B">
        <w:rPr>
          <w:sz w:val="22"/>
          <w:szCs w:val="22"/>
        </w:rPr>
        <w:t xml:space="preserve"> is expected to become the 3</w:t>
      </w:r>
      <w:r w:rsidRPr="0079308B">
        <w:rPr>
          <w:sz w:val="22"/>
          <w:szCs w:val="22"/>
          <w:vertAlign w:val="superscript"/>
        </w:rPr>
        <w:t>rd</w:t>
      </w:r>
      <w:r w:rsidRPr="0079308B">
        <w:rPr>
          <w:sz w:val="22"/>
          <w:szCs w:val="22"/>
        </w:rPr>
        <w:t xml:space="preserve"> most common cause of cancer death world-wide by 2030</w:t>
      </w:r>
      <w:r w:rsidR="00E43CB6" w:rsidRPr="0079308B">
        <w:rPr>
          <w:sz w:val="22"/>
          <w:szCs w:val="22"/>
        </w:rPr>
        <w:t>. The increase in HCC is in large part due to</w:t>
      </w:r>
      <w:r w:rsidRPr="0079308B">
        <w:rPr>
          <w:sz w:val="22"/>
          <w:szCs w:val="22"/>
        </w:rPr>
        <w:t xml:space="preserve"> </w:t>
      </w:r>
      <w:r w:rsidR="00E43CB6" w:rsidRPr="0079308B">
        <w:rPr>
          <w:sz w:val="22"/>
          <w:szCs w:val="22"/>
        </w:rPr>
        <w:t xml:space="preserve">the </w:t>
      </w:r>
      <w:r w:rsidRPr="0079308B">
        <w:rPr>
          <w:sz w:val="22"/>
          <w:szCs w:val="22"/>
        </w:rPr>
        <w:t xml:space="preserve">rising prevalence of risk factors such as type 2 diabetes </w:t>
      </w:r>
      <w:r w:rsidR="00A25862" w:rsidRPr="0079308B">
        <w:rPr>
          <w:sz w:val="22"/>
          <w:szCs w:val="22"/>
        </w:rPr>
        <w:t>[</w:t>
      </w:r>
      <w:r w:rsidRPr="0079308B">
        <w:rPr>
          <w:sz w:val="22"/>
          <w:szCs w:val="22"/>
        </w:rPr>
        <w:t>T2DM</w:t>
      </w:r>
      <w:r w:rsidR="00A25862" w:rsidRPr="0079308B">
        <w:rPr>
          <w:sz w:val="22"/>
          <w:szCs w:val="22"/>
        </w:rPr>
        <w:t>]</w:t>
      </w:r>
      <w:r w:rsidRPr="0079308B">
        <w:rPr>
          <w:sz w:val="22"/>
          <w:szCs w:val="22"/>
        </w:rPr>
        <w:t xml:space="preserve">. Up to 1 in 20 people living with T2DM have liver cirrhosis and they have a 1-2% incidence of HCC per year. </w:t>
      </w:r>
    </w:p>
    <w:p w14:paraId="3DBAD465" w14:textId="77777777" w:rsidR="00A1288B" w:rsidRPr="0079308B" w:rsidRDefault="00A1288B" w:rsidP="00FC7DB4">
      <w:pPr>
        <w:spacing w:line="360" w:lineRule="auto"/>
        <w:rPr>
          <w:sz w:val="22"/>
          <w:szCs w:val="22"/>
        </w:rPr>
      </w:pPr>
    </w:p>
    <w:p w14:paraId="4ED9471A" w14:textId="2CB946EF" w:rsidR="00A1288B" w:rsidRPr="0079308B" w:rsidRDefault="00A1288B" w:rsidP="00FC7DB4">
      <w:pPr>
        <w:spacing w:line="360" w:lineRule="auto"/>
        <w:rPr>
          <w:sz w:val="22"/>
          <w:szCs w:val="22"/>
        </w:rPr>
      </w:pPr>
      <w:r w:rsidRPr="0079308B">
        <w:rPr>
          <w:sz w:val="22"/>
          <w:szCs w:val="22"/>
        </w:rPr>
        <w:t xml:space="preserve">Patients with cirrhosis enter surveillance for HCC to identify early-stage, curable </w:t>
      </w:r>
      <w:r w:rsidR="006E1DBF" w:rsidRPr="0079308B">
        <w:rPr>
          <w:sz w:val="22"/>
          <w:szCs w:val="22"/>
        </w:rPr>
        <w:t>tumours</w:t>
      </w:r>
      <w:r w:rsidRPr="0079308B">
        <w:rPr>
          <w:sz w:val="22"/>
          <w:szCs w:val="22"/>
        </w:rPr>
        <w:t>. A diagnosis of T2DM does not mandate testing to identify patients with cirrhosis</w:t>
      </w:r>
      <w:r w:rsidR="00B32372" w:rsidRPr="0079308B">
        <w:rPr>
          <w:sz w:val="22"/>
          <w:szCs w:val="22"/>
        </w:rPr>
        <w:t xml:space="preserve"> with testing restricted to those with </w:t>
      </w:r>
      <w:r w:rsidR="00BF314F" w:rsidRPr="0079308B">
        <w:rPr>
          <w:sz w:val="22"/>
          <w:szCs w:val="22"/>
        </w:rPr>
        <w:t xml:space="preserve">additional </w:t>
      </w:r>
      <w:r w:rsidR="00B32372" w:rsidRPr="0079308B">
        <w:rPr>
          <w:sz w:val="22"/>
          <w:szCs w:val="22"/>
        </w:rPr>
        <w:t>risk</w:t>
      </w:r>
      <w:r w:rsidR="00BF314F" w:rsidRPr="0079308B">
        <w:rPr>
          <w:sz w:val="22"/>
          <w:szCs w:val="22"/>
        </w:rPr>
        <w:t>s.</w:t>
      </w:r>
      <w:r w:rsidRPr="0079308B">
        <w:rPr>
          <w:sz w:val="22"/>
          <w:szCs w:val="22"/>
        </w:rPr>
        <w:t xml:space="preserve"> </w:t>
      </w:r>
      <w:r w:rsidR="00BF314F" w:rsidRPr="0079308B">
        <w:rPr>
          <w:sz w:val="22"/>
          <w:szCs w:val="22"/>
        </w:rPr>
        <w:t>T</w:t>
      </w:r>
      <w:r w:rsidRPr="0079308B">
        <w:rPr>
          <w:sz w:val="22"/>
          <w:szCs w:val="22"/>
        </w:rPr>
        <w:t xml:space="preserve">here has never been a trial </w:t>
      </w:r>
      <w:r w:rsidR="00BF314F" w:rsidRPr="0079308B">
        <w:rPr>
          <w:sz w:val="22"/>
          <w:szCs w:val="22"/>
        </w:rPr>
        <w:t xml:space="preserve">and nested cost-effectiveness evaluation </w:t>
      </w:r>
      <w:r w:rsidRPr="0079308B">
        <w:rPr>
          <w:sz w:val="22"/>
          <w:szCs w:val="22"/>
        </w:rPr>
        <w:t xml:space="preserve">comparing </w:t>
      </w:r>
      <w:r w:rsidR="00BF314F" w:rsidRPr="0079308B">
        <w:rPr>
          <w:sz w:val="22"/>
          <w:szCs w:val="22"/>
        </w:rPr>
        <w:t>screening</w:t>
      </w:r>
      <w:r w:rsidRPr="0079308B">
        <w:rPr>
          <w:sz w:val="22"/>
          <w:szCs w:val="22"/>
        </w:rPr>
        <w:t xml:space="preserve"> all patients with T2DM</w:t>
      </w:r>
      <w:r w:rsidR="00415096" w:rsidRPr="0079308B">
        <w:rPr>
          <w:sz w:val="22"/>
          <w:szCs w:val="22"/>
        </w:rPr>
        <w:t xml:space="preserve"> for cirrhosis</w:t>
      </w:r>
      <w:r w:rsidRPr="0079308B">
        <w:rPr>
          <w:sz w:val="22"/>
          <w:szCs w:val="22"/>
        </w:rPr>
        <w:t xml:space="preserve"> against usual care</w:t>
      </w:r>
      <w:r w:rsidR="00BF314F" w:rsidRPr="0079308B">
        <w:rPr>
          <w:sz w:val="22"/>
          <w:szCs w:val="22"/>
        </w:rPr>
        <w:t>.</w:t>
      </w:r>
      <w:r w:rsidR="00A85B41" w:rsidRPr="0079308B">
        <w:rPr>
          <w:sz w:val="22"/>
          <w:szCs w:val="22"/>
        </w:rPr>
        <w:t xml:space="preserve"> </w:t>
      </w:r>
    </w:p>
    <w:p w14:paraId="0089A15E" w14:textId="77777777" w:rsidR="00A1288B" w:rsidRPr="0079308B" w:rsidRDefault="00A1288B" w:rsidP="00FC7DB4">
      <w:pPr>
        <w:spacing w:line="360" w:lineRule="auto"/>
        <w:rPr>
          <w:sz w:val="22"/>
          <w:szCs w:val="22"/>
        </w:rPr>
      </w:pPr>
    </w:p>
    <w:p w14:paraId="3B003C5C" w14:textId="3DCF8CB5" w:rsidR="00A1288B" w:rsidRPr="0079308B" w:rsidRDefault="00A1288B" w:rsidP="00FC7DB4">
      <w:pPr>
        <w:spacing w:line="360" w:lineRule="auto"/>
        <w:rPr>
          <w:b/>
          <w:bCs/>
          <w:sz w:val="22"/>
          <w:szCs w:val="22"/>
        </w:rPr>
      </w:pPr>
      <w:r w:rsidRPr="0079308B">
        <w:rPr>
          <w:b/>
          <w:bCs/>
          <w:sz w:val="22"/>
          <w:szCs w:val="22"/>
        </w:rPr>
        <w:t>Methods</w:t>
      </w:r>
      <w:r w:rsidR="008C07B2" w:rsidRPr="0079308B">
        <w:rPr>
          <w:b/>
          <w:bCs/>
          <w:sz w:val="22"/>
          <w:szCs w:val="22"/>
        </w:rPr>
        <w:t xml:space="preserve"> and analysis</w:t>
      </w:r>
    </w:p>
    <w:p w14:paraId="1836E9F6" w14:textId="76FEA72A" w:rsidR="009E243B" w:rsidRPr="0079308B" w:rsidRDefault="009E243B" w:rsidP="00FC7DB4">
      <w:pPr>
        <w:spacing w:line="360" w:lineRule="auto"/>
        <w:rPr>
          <w:sz w:val="22"/>
          <w:szCs w:val="22"/>
        </w:rPr>
      </w:pPr>
      <w:r w:rsidRPr="0079308B">
        <w:rPr>
          <w:sz w:val="22"/>
          <w:szCs w:val="22"/>
        </w:rPr>
        <w:t xml:space="preserve">The study will use a multi-centre, unblinded individual randomised controlled trial design. The aim will be to determine the effectiveness and cost-effectiveness of screening all adults with T2DM to identify those at high risk of HCC. </w:t>
      </w:r>
    </w:p>
    <w:p w14:paraId="3FC9A1F0" w14:textId="77777777" w:rsidR="009E243B" w:rsidRPr="0079308B" w:rsidRDefault="009E243B" w:rsidP="00FC7DB4">
      <w:pPr>
        <w:spacing w:line="360" w:lineRule="auto"/>
        <w:rPr>
          <w:sz w:val="22"/>
          <w:szCs w:val="22"/>
        </w:rPr>
      </w:pPr>
    </w:p>
    <w:p w14:paraId="0B1CF7F9" w14:textId="04C893A0" w:rsidR="00A1288B" w:rsidRPr="0079308B" w:rsidRDefault="009E243B" w:rsidP="00FC7DB4">
      <w:pPr>
        <w:spacing w:line="360" w:lineRule="auto"/>
        <w:rPr>
          <w:sz w:val="22"/>
          <w:szCs w:val="22"/>
        </w:rPr>
      </w:pPr>
      <w:r w:rsidRPr="0079308B">
        <w:rPr>
          <w:sz w:val="22"/>
          <w:szCs w:val="22"/>
        </w:rPr>
        <w:t>The</w:t>
      </w:r>
      <w:r w:rsidR="00A1288B" w:rsidRPr="0079308B">
        <w:rPr>
          <w:sz w:val="22"/>
          <w:szCs w:val="22"/>
        </w:rPr>
        <w:t xml:space="preserve"> recruitment strategy has been supported by </w:t>
      </w:r>
      <w:r w:rsidR="003C38BC" w:rsidRPr="0079308B">
        <w:rPr>
          <w:sz w:val="22"/>
          <w:szCs w:val="22"/>
        </w:rPr>
        <w:t xml:space="preserve">patient and public involvement </w:t>
      </w:r>
      <w:r w:rsidR="00A25862" w:rsidRPr="0079308B">
        <w:rPr>
          <w:sz w:val="22"/>
          <w:szCs w:val="22"/>
        </w:rPr>
        <w:t>[</w:t>
      </w:r>
      <w:r w:rsidR="00A1288B" w:rsidRPr="0079308B">
        <w:rPr>
          <w:sz w:val="22"/>
          <w:szCs w:val="22"/>
        </w:rPr>
        <w:t>PPI</w:t>
      </w:r>
      <w:r w:rsidR="00A25862" w:rsidRPr="0079308B">
        <w:rPr>
          <w:sz w:val="22"/>
          <w:szCs w:val="22"/>
        </w:rPr>
        <w:t>]</w:t>
      </w:r>
      <w:r w:rsidR="00A1288B" w:rsidRPr="0079308B">
        <w:rPr>
          <w:sz w:val="22"/>
          <w:szCs w:val="22"/>
        </w:rPr>
        <w:t xml:space="preserve">. </w:t>
      </w:r>
      <w:r w:rsidR="00B32372" w:rsidRPr="0079308B">
        <w:rPr>
          <w:sz w:val="22"/>
          <w:szCs w:val="22"/>
        </w:rPr>
        <w:t>P</w:t>
      </w:r>
      <w:r w:rsidR="00A1288B" w:rsidRPr="0079308B">
        <w:rPr>
          <w:sz w:val="22"/>
          <w:szCs w:val="22"/>
        </w:rPr>
        <w:t xml:space="preserve">articipants will be identified via an automated search of primary care records and </w:t>
      </w:r>
      <w:r w:rsidR="00B32372" w:rsidRPr="0079308B">
        <w:rPr>
          <w:sz w:val="22"/>
          <w:szCs w:val="22"/>
        </w:rPr>
        <w:t xml:space="preserve">invited </w:t>
      </w:r>
      <w:r w:rsidR="006E1DBF" w:rsidRPr="0079308B">
        <w:rPr>
          <w:sz w:val="22"/>
          <w:szCs w:val="22"/>
        </w:rPr>
        <w:t xml:space="preserve">to participate </w:t>
      </w:r>
      <w:r w:rsidR="00B32372" w:rsidRPr="0079308B">
        <w:rPr>
          <w:sz w:val="22"/>
          <w:szCs w:val="22"/>
        </w:rPr>
        <w:t xml:space="preserve">via text. </w:t>
      </w:r>
      <w:r w:rsidR="00A1288B" w:rsidRPr="0079308B">
        <w:rPr>
          <w:sz w:val="22"/>
          <w:szCs w:val="22"/>
        </w:rPr>
        <w:t xml:space="preserve">320 participants will be randomised to </w:t>
      </w:r>
      <w:r w:rsidR="00BF314F" w:rsidRPr="0079308B">
        <w:rPr>
          <w:sz w:val="22"/>
          <w:szCs w:val="22"/>
        </w:rPr>
        <w:t>screening</w:t>
      </w:r>
      <w:r w:rsidR="00A1288B" w:rsidRPr="0079308B">
        <w:rPr>
          <w:sz w:val="22"/>
          <w:szCs w:val="22"/>
        </w:rPr>
        <w:t>.</w:t>
      </w:r>
      <w:r w:rsidR="006E1DBF" w:rsidRPr="0079308B">
        <w:rPr>
          <w:sz w:val="22"/>
          <w:szCs w:val="22"/>
        </w:rPr>
        <w:t xml:space="preserve"> Screening</w:t>
      </w:r>
      <w:r w:rsidR="002F1B3C" w:rsidRPr="0079308B">
        <w:rPr>
          <w:sz w:val="22"/>
          <w:szCs w:val="22"/>
        </w:rPr>
        <w:t xml:space="preserve"> will include measurement of </w:t>
      </w:r>
      <w:proofErr w:type="gramStart"/>
      <w:r w:rsidR="00A1288B" w:rsidRPr="0079308B">
        <w:rPr>
          <w:sz w:val="22"/>
          <w:szCs w:val="22"/>
        </w:rPr>
        <w:t>bio-markers</w:t>
      </w:r>
      <w:proofErr w:type="gramEnd"/>
      <w:r w:rsidR="00FB3A71" w:rsidRPr="0079308B">
        <w:rPr>
          <w:sz w:val="22"/>
          <w:szCs w:val="22"/>
        </w:rPr>
        <w:t xml:space="preserve"> for liver fibrosis</w:t>
      </w:r>
      <w:r w:rsidR="00B32372" w:rsidRPr="0079308B">
        <w:rPr>
          <w:sz w:val="22"/>
          <w:szCs w:val="22"/>
        </w:rPr>
        <w:t xml:space="preserve"> </w:t>
      </w:r>
      <w:r w:rsidR="00A25862" w:rsidRPr="0079308B">
        <w:rPr>
          <w:sz w:val="22"/>
          <w:szCs w:val="22"/>
        </w:rPr>
        <w:t>[</w:t>
      </w:r>
      <w:r w:rsidR="003C38BC" w:rsidRPr="0079308B">
        <w:rPr>
          <w:sz w:val="22"/>
          <w:szCs w:val="22"/>
        </w:rPr>
        <w:t>ELF</w:t>
      </w:r>
      <w:r w:rsidR="003C38BC" w:rsidRPr="0079308B">
        <w:rPr>
          <w:rFonts w:ascii="Calibri" w:hAnsi="Calibri" w:cs="Calibri"/>
          <w:sz w:val="22"/>
          <w:szCs w:val="22"/>
        </w:rPr>
        <w:t>™</w:t>
      </w:r>
      <w:r w:rsidR="00B32372" w:rsidRPr="0079308B">
        <w:rPr>
          <w:sz w:val="22"/>
          <w:szCs w:val="22"/>
        </w:rPr>
        <w:t xml:space="preserve"> and Fib-4</w:t>
      </w:r>
      <w:r w:rsidR="00A25862" w:rsidRPr="0079308B">
        <w:rPr>
          <w:sz w:val="22"/>
          <w:szCs w:val="22"/>
        </w:rPr>
        <w:t>]</w:t>
      </w:r>
      <w:r w:rsidR="00A1288B" w:rsidRPr="0079308B">
        <w:rPr>
          <w:sz w:val="22"/>
          <w:szCs w:val="22"/>
        </w:rPr>
        <w:t xml:space="preserve"> and vibration controlled transient elastography. Another 320 participants</w:t>
      </w:r>
      <w:r w:rsidR="002F1B3C" w:rsidRPr="0079308B">
        <w:rPr>
          <w:sz w:val="22"/>
          <w:szCs w:val="22"/>
        </w:rPr>
        <w:t xml:space="preserve"> will be randomised to </w:t>
      </w:r>
      <w:r w:rsidRPr="0079308B">
        <w:rPr>
          <w:sz w:val="22"/>
          <w:szCs w:val="22"/>
        </w:rPr>
        <w:t xml:space="preserve">standard </w:t>
      </w:r>
      <w:r w:rsidR="002F1B3C" w:rsidRPr="0079308B">
        <w:rPr>
          <w:sz w:val="22"/>
          <w:szCs w:val="22"/>
        </w:rPr>
        <w:t>care</w:t>
      </w:r>
      <w:r w:rsidR="00BF314F" w:rsidRPr="0079308B">
        <w:rPr>
          <w:sz w:val="22"/>
          <w:szCs w:val="22"/>
        </w:rPr>
        <w:t>.</w:t>
      </w:r>
    </w:p>
    <w:p w14:paraId="7161D02A" w14:textId="77777777" w:rsidR="00A1288B" w:rsidRPr="0079308B" w:rsidRDefault="00A1288B" w:rsidP="00FC7DB4">
      <w:pPr>
        <w:spacing w:line="360" w:lineRule="auto"/>
        <w:rPr>
          <w:sz w:val="22"/>
          <w:szCs w:val="22"/>
        </w:rPr>
      </w:pPr>
    </w:p>
    <w:p w14:paraId="507BCAC0" w14:textId="41535BCA" w:rsidR="00A1288B" w:rsidRPr="0079308B" w:rsidRDefault="009E243B" w:rsidP="00FC7DB4">
      <w:pPr>
        <w:spacing w:line="360" w:lineRule="auto"/>
        <w:rPr>
          <w:sz w:val="22"/>
          <w:szCs w:val="22"/>
        </w:rPr>
      </w:pPr>
      <w:r w:rsidRPr="0079308B">
        <w:rPr>
          <w:sz w:val="22"/>
          <w:szCs w:val="22"/>
        </w:rPr>
        <w:t>Demographic</w:t>
      </w:r>
      <w:r w:rsidR="00930E97" w:rsidRPr="0079308B">
        <w:rPr>
          <w:sz w:val="22"/>
          <w:szCs w:val="22"/>
        </w:rPr>
        <w:t xml:space="preserve"> and medical history</w:t>
      </w:r>
      <w:r w:rsidRPr="0079308B">
        <w:rPr>
          <w:sz w:val="22"/>
          <w:szCs w:val="22"/>
        </w:rPr>
        <w:t xml:space="preserve"> data will be collected at baseline from all participants. </w:t>
      </w:r>
      <w:r w:rsidR="00FB3A71" w:rsidRPr="0079308B">
        <w:rPr>
          <w:sz w:val="22"/>
          <w:szCs w:val="22"/>
        </w:rPr>
        <w:t>Outcome data will be collected remotely from healthcare records. The p</w:t>
      </w:r>
      <w:r w:rsidR="00A1288B" w:rsidRPr="0079308B">
        <w:rPr>
          <w:sz w:val="22"/>
          <w:szCs w:val="22"/>
        </w:rPr>
        <w:t xml:space="preserve">rimary outcome is the proportion of participants in each arm who are referred into HCC surveillance </w:t>
      </w:r>
      <w:r w:rsidR="00930E97" w:rsidRPr="0079308B">
        <w:rPr>
          <w:sz w:val="22"/>
          <w:szCs w:val="22"/>
        </w:rPr>
        <w:t>following testing for liver disease within</w:t>
      </w:r>
      <w:r w:rsidR="00A1288B" w:rsidRPr="0079308B">
        <w:rPr>
          <w:sz w:val="22"/>
          <w:szCs w:val="22"/>
        </w:rPr>
        <w:t xml:space="preserve"> 12months</w:t>
      </w:r>
      <w:r w:rsidR="00930E97" w:rsidRPr="0079308B">
        <w:rPr>
          <w:sz w:val="22"/>
          <w:szCs w:val="22"/>
        </w:rPr>
        <w:t xml:space="preserve"> of randomisation.</w:t>
      </w:r>
      <w:r w:rsidR="00B32372" w:rsidRPr="0079308B">
        <w:rPr>
          <w:sz w:val="22"/>
          <w:szCs w:val="22"/>
        </w:rPr>
        <w:t xml:space="preserve"> </w:t>
      </w:r>
      <w:r w:rsidR="00A1288B" w:rsidRPr="0079308B">
        <w:rPr>
          <w:sz w:val="22"/>
          <w:szCs w:val="22"/>
        </w:rPr>
        <w:t xml:space="preserve">The results will be used to calculate the incremental cost-effectiveness ratio of </w:t>
      </w:r>
      <w:r w:rsidR="00BF314F" w:rsidRPr="0079308B">
        <w:rPr>
          <w:sz w:val="22"/>
          <w:szCs w:val="22"/>
        </w:rPr>
        <w:t>screening</w:t>
      </w:r>
      <w:r w:rsidR="00A1288B" w:rsidRPr="0079308B">
        <w:rPr>
          <w:sz w:val="22"/>
          <w:szCs w:val="22"/>
        </w:rPr>
        <w:t xml:space="preserve"> </w:t>
      </w:r>
      <w:r w:rsidR="00B32372" w:rsidRPr="0079308B">
        <w:rPr>
          <w:sz w:val="22"/>
          <w:szCs w:val="22"/>
        </w:rPr>
        <w:t>via a</w:t>
      </w:r>
      <w:r w:rsidR="00A1288B" w:rsidRPr="0079308B">
        <w:rPr>
          <w:sz w:val="22"/>
          <w:szCs w:val="22"/>
        </w:rPr>
        <w:t xml:space="preserve"> Markov model.</w:t>
      </w:r>
    </w:p>
    <w:p w14:paraId="381E0C61" w14:textId="77777777" w:rsidR="00A1288B" w:rsidRPr="0079308B" w:rsidRDefault="00A1288B" w:rsidP="00FC7DB4">
      <w:pPr>
        <w:spacing w:line="360" w:lineRule="auto"/>
        <w:rPr>
          <w:sz w:val="22"/>
          <w:szCs w:val="22"/>
        </w:rPr>
      </w:pPr>
    </w:p>
    <w:p w14:paraId="73CDBCE7" w14:textId="06C0918E" w:rsidR="00A1288B" w:rsidRPr="0079308B" w:rsidRDefault="008C07B2" w:rsidP="00FC7DB4">
      <w:pPr>
        <w:spacing w:line="360" w:lineRule="auto"/>
        <w:rPr>
          <w:b/>
          <w:bCs/>
          <w:sz w:val="22"/>
          <w:szCs w:val="22"/>
        </w:rPr>
      </w:pPr>
      <w:r w:rsidRPr="0079308B">
        <w:rPr>
          <w:b/>
          <w:bCs/>
          <w:sz w:val="22"/>
          <w:szCs w:val="22"/>
        </w:rPr>
        <w:t>Ethics and dissemination</w:t>
      </w:r>
    </w:p>
    <w:p w14:paraId="36D4D7B0" w14:textId="14885B38" w:rsidR="00A1288B" w:rsidRPr="0079308B" w:rsidRDefault="00A1288B" w:rsidP="00FC7DB4">
      <w:pPr>
        <w:spacing w:line="360" w:lineRule="auto"/>
        <w:rPr>
          <w:sz w:val="22"/>
          <w:szCs w:val="22"/>
        </w:rPr>
      </w:pPr>
      <w:r w:rsidRPr="0079308B">
        <w:rPr>
          <w:sz w:val="22"/>
          <w:szCs w:val="22"/>
        </w:rPr>
        <w:lastRenderedPageBreak/>
        <w:t xml:space="preserve">The results of this study will be presented directly to </w:t>
      </w:r>
      <w:r w:rsidR="00415096" w:rsidRPr="0079308B">
        <w:rPr>
          <w:sz w:val="22"/>
          <w:szCs w:val="22"/>
        </w:rPr>
        <w:t>NHS England</w:t>
      </w:r>
      <w:r w:rsidRPr="0079308B">
        <w:rPr>
          <w:sz w:val="22"/>
          <w:szCs w:val="22"/>
        </w:rPr>
        <w:t xml:space="preserve">. </w:t>
      </w:r>
      <w:r w:rsidR="00262F86" w:rsidRPr="0079308B">
        <w:rPr>
          <w:sz w:val="22"/>
          <w:szCs w:val="22"/>
        </w:rPr>
        <w:t>Additional d</w:t>
      </w:r>
      <w:r w:rsidRPr="0079308B">
        <w:rPr>
          <w:sz w:val="22"/>
          <w:szCs w:val="22"/>
        </w:rPr>
        <w:t xml:space="preserve">issemination </w:t>
      </w:r>
      <w:r w:rsidR="00262F86" w:rsidRPr="0079308B">
        <w:rPr>
          <w:sz w:val="22"/>
          <w:szCs w:val="22"/>
        </w:rPr>
        <w:t xml:space="preserve">via </w:t>
      </w:r>
      <w:r w:rsidR="00262F86" w:rsidRPr="00C653D9">
        <w:rPr>
          <w:sz w:val="22"/>
          <w:szCs w:val="22"/>
        </w:rPr>
        <w:t xml:space="preserve">conference proceedings and publication </w:t>
      </w:r>
      <w:r w:rsidRPr="00C653D9">
        <w:rPr>
          <w:sz w:val="22"/>
          <w:szCs w:val="22"/>
        </w:rPr>
        <w:t xml:space="preserve">will be supported by our </w:t>
      </w:r>
      <w:r w:rsidR="009E243B" w:rsidRPr="00C653D9">
        <w:rPr>
          <w:sz w:val="22"/>
          <w:szCs w:val="22"/>
        </w:rPr>
        <w:t>PPI team</w:t>
      </w:r>
      <w:r w:rsidRPr="00C653D9">
        <w:rPr>
          <w:sz w:val="22"/>
          <w:szCs w:val="22"/>
        </w:rPr>
        <w:t xml:space="preserve">. </w:t>
      </w:r>
      <w:r w:rsidR="00C653D9" w:rsidRPr="00C653D9">
        <w:rPr>
          <w:sz w:val="22"/>
          <w:szCs w:val="22"/>
        </w:rPr>
        <w:t>Ethical approval was granted by the West of Scotland Research Ethics Service [</w:t>
      </w:r>
      <w:proofErr w:type="spellStart"/>
      <w:r w:rsidR="00C653D9" w:rsidRPr="00C653D9">
        <w:rPr>
          <w:sz w:val="22"/>
          <w:szCs w:val="22"/>
        </w:rPr>
        <w:t>WoSRES</w:t>
      </w:r>
      <w:proofErr w:type="spellEnd"/>
      <w:r w:rsidR="00C653D9" w:rsidRPr="00C653D9">
        <w:rPr>
          <w:sz w:val="22"/>
          <w:szCs w:val="22"/>
        </w:rPr>
        <w:t>] on 2nd August 2023, REC reference 23/WS/0102.</w:t>
      </w:r>
    </w:p>
    <w:p w14:paraId="239B05F8" w14:textId="77777777" w:rsidR="008C07B2" w:rsidRPr="0079308B" w:rsidRDefault="008C07B2" w:rsidP="00FC7DB4">
      <w:pPr>
        <w:spacing w:line="360" w:lineRule="auto"/>
        <w:rPr>
          <w:sz w:val="22"/>
          <w:szCs w:val="22"/>
        </w:rPr>
      </w:pPr>
    </w:p>
    <w:p w14:paraId="052F91A1" w14:textId="4F6128DB" w:rsidR="008C07B2" w:rsidRPr="0079308B" w:rsidRDefault="008C07B2" w:rsidP="00FC7DB4">
      <w:pPr>
        <w:spacing w:line="360" w:lineRule="auto"/>
        <w:rPr>
          <w:rFonts w:eastAsia="Calibri" w:cstheme="minorHAnsi"/>
          <w:sz w:val="22"/>
          <w:szCs w:val="22"/>
          <w:lang w:val="en-US"/>
        </w:rPr>
      </w:pPr>
      <w:r w:rsidRPr="0079308B">
        <w:rPr>
          <w:b/>
          <w:bCs/>
          <w:sz w:val="22"/>
          <w:szCs w:val="22"/>
        </w:rPr>
        <w:t>Trial registration</w:t>
      </w:r>
      <w:r w:rsidRPr="0079308B">
        <w:rPr>
          <w:sz w:val="22"/>
          <w:szCs w:val="22"/>
        </w:rPr>
        <w:t xml:space="preserve">: </w:t>
      </w:r>
      <w:r w:rsidRPr="0079308B">
        <w:rPr>
          <w:rFonts w:eastAsia="Calibri" w:cstheme="minorHAnsi"/>
          <w:sz w:val="22"/>
          <w:szCs w:val="22"/>
          <w:lang w:val="en-US"/>
        </w:rPr>
        <w:t>ISRCTN17017677</w:t>
      </w:r>
    </w:p>
    <w:p w14:paraId="7B0ACC18" w14:textId="77777777" w:rsidR="00E07A3F" w:rsidRPr="0079308B" w:rsidRDefault="00E07A3F" w:rsidP="00FC7DB4">
      <w:pPr>
        <w:spacing w:line="360" w:lineRule="auto"/>
        <w:rPr>
          <w:rFonts w:eastAsia="Calibri" w:cstheme="minorHAnsi"/>
          <w:b/>
          <w:bCs/>
          <w:sz w:val="22"/>
          <w:szCs w:val="22"/>
          <w:lang w:val="en-US"/>
        </w:rPr>
      </w:pPr>
    </w:p>
    <w:p w14:paraId="21F617AC" w14:textId="5A3A8A34" w:rsidR="00041AE9" w:rsidRPr="0079308B" w:rsidRDefault="00041AE9" w:rsidP="00FC7DB4">
      <w:pPr>
        <w:spacing w:line="360" w:lineRule="auto"/>
        <w:rPr>
          <w:rFonts w:eastAsia="Calibri" w:cstheme="minorHAnsi"/>
          <w:b/>
          <w:bCs/>
          <w:sz w:val="22"/>
          <w:szCs w:val="22"/>
          <w:lang w:val="en-US"/>
        </w:rPr>
      </w:pPr>
      <w:r w:rsidRPr="0079308B">
        <w:rPr>
          <w:rFonts w:eastAsia="Calibri" w:cstheme="minorHAnsi"/>
          <w:b/>
          <w:bCs/>
          <w:sz w:val="22"/>
          <w:szCs w:val="22"/>
          <w:lang w:val="en-US"/>
        </w:rPr>
        <w:t>Article summary</w:t>
      </w:r>
    </w:p>
    <w:p w14:paraId="26337EA7" w14:textId="5806F7A8" w:rsidR="008C07B2" w:rsidRPr="0079308B" w:rsidRDefault="008C07B2" w:rsidP="00FC7DB4">
      <w:pPr>
        <w:spacing w:line="360" w:lineRule="auto"/>
        <w:rPr>
          <w:rFonts w:eastAsia="Calibri" w:cstheme="minorHAnsi"/>
          <w:i/>
          <w:iCs/>
          <w:sz w:val="22"/>
          <w:szCs w:val="22"/>
          <w:lang w:val="en-US"/>
        </w:rPr>
      </w:pPr>
      <w:r w:rsidRPr="0079308B">
        <w:rPr>
          <w:rFonts w:eastAsia="Calibri" w:cstheme="minorHAnsi"/>
          <w:i/>
          <w:iCs/>
          <w:sz w:val="22"/>
          <w:szCs w:val="22"/>
          <w:lang w:val="en-US"/>
        </w:rPr>
        <w:t>Strengths and limitations of this study</w:t>
      </w:r>
    </w:p>
    <w:p w14:paraId="4922FEFD" w14:textId="2BC085C2" w:rsidR="00465FC2" w:rsidRPr="0079308B" w:rsidRDefault="004613DA" w:rsidP="00FC7DB4">
      <w:pPr>
        <w:pStyle w:val="ListParagraph"/>
        <w:numPr>
          <w:ilvl w:val="0"/>
          <w:numId w:val="9"/>
        </w:numPr>
        <w:spacing w:line="360" w:lineRule="auto"/>
        <w:rPr>
          <w:rFonts w:eastAsia="Calibri" w:cstheme="minorHAnsi"/>
          <w:sz w:val="22"/>
          <w:szCs w:val="22"/>
          <w:lang w:val="en-US"/>
        </w:rPr>
      </w:pPr>
      <w:r w:rsidRPr="0079308B">
        <w:rPr>
          <w:rFonts w:eastAsia="Calibri" w:cstheme="minorHAnsi"/>
          <w:sz w:val="22"/>
          <w:szCs w:val="22"/>
          <w:lang w:val="en-US"/>
        </w:rPr>
        <w:t>First c</w:t>
      </w:r>
      <w:r w:rsidR="008C07B2" w:rsidRPr="0079308B">
        <w:rPr>
          <w:rFonts w:eastAsia="Calibri" w:cstheme="minorHAnsi"/>
          <w:sz w:val="22"/>
          <w:szCs w:val="22"/>
          <w:lang w:val="en-US"/>
        </w:rPr>
        <w:t>ompar</w:t>
      </w:r>
      <w:r w:rsidRPr="0079308B">
        <w:rPr>
          <w:rFonts w:eastAsia="Calibri" w:cstheme="minorHAnsi"/>
          <w:sz w:val="22"/>
          <w:szCs w:val="22"/>
          <w:lang w:val="en-US"/>
        </w:rPr>
        <w:t xml:space="preserve">ison via an RCT </w:t>
      </w:r>
      <w:r w:rsidR="008C07B2" w:rsidRPr="0079308B">
        <w:rPr>
          <w:rFonts w:eastAsia="Calibri" w:cstheme="minorHAnsi"/>
          <w:sz w:val="22"/>
          <w:szCs w:val="22"/>
          <w:lang w:val="en-US"/>
        </w:rPr>
        <w:t>between risk factor-based testing</w:t>
      </w:r>
      <w:r w:rsidR="00BA4D5E" w:rsidRPr="0079308B">
        <w:rPr>
          <w:rFonts w:eastAsia="Calibri" w:cstheme="minorHAnsi"/>
          <w:sz w:val="22"/>
          <w:szCs w:val="22"/>
          <w:lang w:val="en-US"/>
        </w:rPr>
        <w:t xml:space="preserve"> for liver disease</w:t>
      </w:r>
      <w:r w:rsidR="008C07B2" w:rsidRPr="0079308B">
        <w:rPr>
          <w:rFonts w:eastAsia="Calibri" w:cstheme="minorHAnsi"/>
          <w:sz w:val="22"/>
          <w:szCs w:val="22"/>
          <w:lang w:val="en-US"/>
        </w:rPr>
        <w:t xml:space="preserve"> in people with T2DM</w:t>
      </w:r>
      <w:r w:rsidRPr="0079308B">
        <w:rPr>
          <w:rFonts w:eastAsia="Calibri" w:cstheme="minorHAnsi"/>
          <w:sz w:val="22"/>
          <w:szCs w:val="22"/>
          <w:lang w:val="en-US"/>
        </w:rPr>
        <w:t xml:space="preserve"> </w:t>
      </w:r>
      <w:r w:rsidR="00A25862" w:rsidRPr="0079308B">
        <w:rPr>
          <w:rFonts w:eastAsia="Calibri" w:cstheme="minorHAnsi"/>
          <w:sz w:val="22"/>
          <w:szCs w:val="22"/>
          <w:lang w:val="en-US"/>
        </w:rPr>
        <w:t>[</w:t>
      </w:r>
      <w:r w:rsidRPr="0079308B">
        <w:rPr>
          <w:rFonts w:eastAsia="Calibri" w:cstheme="minorHAnsi"/>
          <w:sz w:val="22"/>
          <w:szCs w:val="22"/>
          <w:lang w:val="en-US"/>
        </w:rPr>
        <w:t>usual care in the U</w:t>
      </w:r>
      <w:r w:rsidR="00415096" w:rsidRPr="0079308B">
        <w:rPr>
          <w:rFonts w:eastAsia="Calibri" w:cstheme="minorHAnsi"/>
          <w:sz w:val="22"/>
          <w:szCs w:val="22"/>
          <w:lang w:val="en-US"/>
        </w:rPr>
        <w:t>nited Kingdom</w:t>
      </w:r>
      <w:r w:rsidR="00A25862" w:rsidRPr="0079308B">
        <w:rPr>
          <w:rFonts w:eastAsia="Calibri" w:cstheme="minorHAnsi"/>
          <w:sz w:val="22"/>
          <w:szCs w:val="22"/>
          <w:lang w:val="en-US"/>
        </w:rPr>
        <w:t>]</w:t>
      </w:r>
      <w:r w:rsidR="008C07B2" w:rsidRPr="0079308B">
        <w:rPr>
          <w:rFonts w:eastAsia="Calibri" w:cstheme="minorHAnsi"/>
          <w:sz w:val="22"/>
          <w:szCs w:val="22"/>
          <w:lang w:val="en-US"/>
        </w:rPr>
        <w:t xml:space="preserve"> </w:t>
      </w:r>
      <w:r w:rsidRPr="0079308B">
        <w:rPr>
          <w:rFonts w:eastAsia="Calibri" w:cstheme="minorHAnsi"/>
          <w:sz w:val="22"/>
          <w:szCs w:val="22"/>
          <w:lang w:val="en-US"/>
        </w:rPr>
        <w:t>and</w:t>
      </w:r>
      <w:r w:rsidR="008C07B2" w:rsidRPr="0079308B">
        <w:rPr>
          <w:rFonts w:eastAsia="Calibri" w:cstheme="minorHAnsi"/>
          <w:sz w:val="22"/>
          <w:szCs w:val="22"/>
          <w:lang w:val="en-US"/>
        </w:rPr>
        <w:t xml:space="preserve"> </w:t>
      </w:r>
      <w:r w:rsidR="003C38BC" w:rsidRPr="0079308B">
        <w:rPr>
          <w:rFonts w:eastAsia="Calibri" w:cstheme="minorHAnsi"/>
          <w:sz w:val="22"/>
          <w:szCs w:val="22"/>
          <w:lang w:val="en-US"/>
        </w:rPr>
        <w:t>screening offered to</w:t>
      </w:r>
      <w:r w:rsidR="008C07B2" w:rsidRPr="0079308B">
        <w:rPr>
          <w:rFonts w:eastAsia="Calibri" w:cstheme="minorHAnsi"/>
          <w:sz w:val="22"/>
          <w:szCs w:val="22"/>
          <w:lang w:val="en-US"/>
        </w:rPr>
        <w:t xml:space="preserve"> all adults with T2DM.</w:t>
      </w:r>
    </w:p>
    <w:p w14:paraId="01DA48E7" w14:textId="00EBFEAD" w:rsidR="008C07B2" w:rsidRPr="0079308B" w:rsidRDefault="008C07B2" w:rsidP="00FC7DB4">
      <w:pPr>
        <w:pStyle w:val="ListParagraph"/>
        <w:numPr>
          <w:ilvl w:val="0"/>
          <w:numId w:val="9"/>
        </w:numPr>
        <w:spacing w:line="360" w:lineRule="auto"/>
        <w:rPr>
          <w:rFonts w:eastAsia="Calibri" w:cstheme="minorHAnsi"/>
          <w:sz w:val="22"/>
          <w:szCs w:val="22"/>
          <w:lang w:val="en-US"/>
        </w:rPr>
      </w:pPr>
      <w:r w:rsidRPr="0079308B">
        <w:rPr>
          <w:rFonts w:eastAsia="Calibri" w:cstheme="minorHAnsi"/>
          <w:sz w:val="22"/>
          <w:szCs w:val="22"/>
          <w:lang w:val="en-US"/>
        </w:rPr>
        <w:t>Provides definitive cost-effectiveness of both approaches and impact on liver cancer diagnosis and survival</w:t>
      </w:r>
      <w:r w:rsidR="00B32372" w:rsidRPr="0079308B">
        <w:rPr>
          <w:rFonts w:eastAsia="Calibri" w:cstheme="minorHAnsi"/>
          <w:sz w:val="22"/>
          <w:szCs w:val="22"/>
          <w:lang w:val="en-US"/>
        </w:rPr>
        <w:t xml:space="preserve"> in a real-world setting.</w:t>
      </w:r>
    </w:p>
    <w:p w14:paraId="20926F7A" w14:textId="45740D7C" w:rsidR="008C07B2" w:rsidRPr="0079308B" w:rsidRDefault="008C07B2" w:rsidP="00FC7DB4">
      <w:pPr>
        <w:pStyle w:val="ListParagraph"/>
        <w:numPr>
          <w:ilvl w:val="0"/>
          <w:numId w:val="9"/>
        </w:numPr>
        <w:spacing w:line="360" w:lineRule="auto"/>
        <w:rPr>
          <w:rFonts w:eastAsia="Calibri" w:cstheme="minorHAnsi"/>
          <w:sz w:val="22"/>
          <w:szCs w:val="22"/>
          <w:lang w:val="en-US"/>
        </w:rPr>
      </w:pPr>
      <w:r w:rsidRPr="0079308B">
        <w:rPr>
          <w:rFonts w:eastAsia="Calibri" w:cstheme="minorHAnsi"/>
          <w:sz w:val="22"/>
          <w:szCs w:val="22"/>
          <w:lang w:val="en-US"/>
        </w:rPr>
        <w:t xml:space="preserve">Will </w:t>
      </w:r>
      <w:r w:rsidR="004613DA" w:rsidRPr="0079308B">
        <w:rPr>
          <w:rFonts w:eastAsia="Calibri" w:cstheme="minorHAnsi"/>
          <w:sz w:val="22"/>
          <w:szCs w:val="22"/>
          <w:lang w:val="en-US"/>
        </w:rPr>
        <w:t>delineate</w:t>
      </w:r>
      <w:r w:rsidRPr="0079308B">
        <w:rPr>
          <w:rFonts w:eastAsia="Calibri" w:cstheme="minorHAnsi"/>
          <w:sz w:val="22"/>
          <w:szCs w:val="22"/>
          <w:lang w:val="en-US"/>
        </w:rPr>
        <w:t xml:space="preserve"> relative cost-effectiveness of different non-invasive tests to identify significant liver disease in people with T2DM.</w:t>
      </w:r>
    </w:p>
    <w:p w14:paraId="44614858" w14:textId="35F820C1" w:rsidR="008C07B2" w:rsidRPr="0079308B" w:rsidRDefault="008C07B2" w:rsidP="00FC7DB4">
      <w:pPr>
        <w:pStyle w:val="ListParagraph"/>
        <w:numPr>
          <w:ilvl w:val="0"/>
          <w:numId w:val="9"/>
        </w:numPr>
        <w:spacing w:line="360" w:lineRule="auto"/>
        <w:rPr>
          <w:rFonts w:eastAsia="Calibri" w:cstheme="minorHAnsi"/>
          <w:sz w:val="22"/>
          <w:szCs w:val="22"/>
          <w:lang w:val="en-US"/>
        </w:rPr>
      </w:pPr>
      <w:r w:rsidRPr="0079308B">
        <w:rPr>
          <w:rFonts w:eastAsia="Calibri" w:cstheme="minorHAnsi"/>
          <w:sz w:val="22"/>
          <w:szCs w:val="22"/>
          <w:lang w:val="en-US"/>
        </w:rPr>
        <w:t>Trial limited to United Kingdom so usual care may not be internationally representative.</w:t>
      </w:r>
    </w:p>
    <w:p w14:paraId="34C8576C" w14:textId="14CCB367" w:rsidR="008C07B2" w:rsidRPr="0079308B" w:rsidRDefault="005C50B4" w:rsidP="00FC7DB4">
      <w:pPr>
        <w:pStyle w:val="ListParagraph"/>
        <w:numPr>
          <w:ilvl w:val="0"/>
          <w:numId w:val="9"/>
        </w:numPr>
        <w:spacing w:line="360" w:lineRule="auto"/>
        <w:rPr>
          <w:rFonts w:eastAsia="Calibri" w:cstheme="minorHAnsi"/>
          <w:sz w:val="22"/>
          <w:szCs w:val="22"/>
          <w:lang w:val="en-US"/>
        </w:rPr>
      </w:pPr>
      <w:r w:rsidRPr="0079308B">
        <w:rPr>
          <w:rFonts w:eastAsia="Calibri" w:cstheme="minorHAnsi"/>
          <w:sz w:val="22"/>
          <w:szCs w:val="22"/>
          <w:lang w:val="en-US"/>
        </w:rPr>
        <w:t>S</w:t>
      </w:r>
      <w:r w:rsidR="008C07B2" w:rsidRPr="0079308B">
        <w:rPr>
          <w:rFonts w:eastAsia="Calibri" w:cstheme="minorHAnsi"/>
          <w:sz w:val="22"/>
          <w:szCs w:val="22"/>
          <w:lang w:val="en-US"/>
        </w:rPr>
        <w:t xml:space="preserve">hort </w:t>
      </w:r>
      <w:r w:rsidRPr="0079308B">
        <w:rPr>
          <w:rFonts w:eastAsia="Calibri" w:cstheme="minorHAnsi"/>
          <w:sz w:val="22"/>
          <w:szCs w:val="22"/>
          <w:lang w:val="en-US"/>
        </w:rPr>
        <w:t xml:space="preserve">study time-horizon </w:t>
      </w:r>
      <w:r w:rsidR="008C07B2" w:rsidRPr="0079308B">
        <w:rPr>
          <w:rFonts w:eastAsia="Calibri" w:cstheme="minorHAnsi"/>
          <w:sz w:val="22"/>
          <w:szCs w:val="22"/>
          <w:lang w:val="en-US"/>
        </w:rPr>
        <w:t xml:space="preserve">therefore observation of clinical outcomes subject </w:t>
      </w:r>
      <w:r w:rsidR="00FB3D41" w:rsidRPr="0079308B">
        <w:rPr>
          <w:rFonts w:eastAsia="Calibri" w:cstheme="minorHAnsi"/>
          <w:sz w:val="22"/>
          <w:szCs w:val="22"/>
          <w:lang w:val="en-US"/>
        </w:rPr>
        <w:t>of</w:t>
      </w:r>
      <w:r w:rsidR="008C07B2" w:rsidRPr="0079308B">
        <w:rPr>
          <w:rFonts w:eastAsia="Calibri" w:cstheme="minorHAnsi"/>
          <w:sz w:val="22"/>
          <w:szCs w:val="22"/>
          <w:lang w:val="en-US"/>
        </w:rPr>
        <w:t xml:space="preserve"> modelling rather than real-world observation.</w:t>
      </w:r>
    </w:p>
    <w:p w14:paraId="1A129748" w14:textId="77777777" w:rsidR="008C07B2" w:rsidRPr="0079308B" w:rsidRDefault="008C07B2" w:rsidP="00E07A3F">
      <w:pPr>
        <w:rPr>
          <w:rFonts w:eastAsia="Calibri" w:cstheme="minorHAnsi"/>
          <w:sz w:val="22"/>
          <w:szCs w:val="22"/>
          <w:lang w:val="en-US"/>
        </w:rPr>
      </w:pPr>
    </w:p>
    <w:p w14:paraId="47781459" w14:textId="7B8C9F2E" w:rsidR="00E02B49" w:rsidRPr="0079308B" w:rsidRDefault="00E02B49">
      <w:pPr>
        <w:rPr>
          <w:rFonts w:eastAsia="Times New Roman" w:cstheme="minorHAnsi"/>
          <w:color w:val="242831"/>
          <w:kern w:val="0"/>
          <w:sz w:val="22"/>
          <w:szCs w:val="22"/>
          <w14:ligatures w14:val="none"/>
        </w:rPr>
      </w:pPr>
      <w:r w:rsidRPr="0079308B">
        <w:rPr>
          <w:rFonts w:eastAsia="Times New Roman" w:cstheme="minorHAnsi"/>
          <w:color w:val="242831"/>
          <w:kern w:val="0"/>
          <w:sz w:val="22"/>
          <w:szCs w:val="22"/>
          <w14:ligatures w14:val="none"/>
        </w:rPr>
        <w:br w:type="page"/>
      </w:r>
    </w:p>
    <w:p w14:paraId="5CC3ADAE" w14:textId="77777777" w:rsidR="00465FC2" w:rsidRPr="0079308B" w:rsidRDefault="00465FC2" w:rsidP="00E07A3F">
      <w:pPr>
        <w:rPr>
          <w:rFonts w:eastAsia="Times New Roman" w:cstheme="minorHAnsi"/>
          <w:color w:val="242831"/>
          <w:kern w:val="0"/>
          <w:sz w:val="22"/>
          <w:szCs w:val="22"/>
          <w14:ligatures w14:val="none"/>
        </w:rPr>
      </w:pPr>
    </w:p>
    <w:p w14:paraId="3D7BC85D" w14:textId="2DD08A0E" w:rsidR="003D4428" w:rsidRPr="0079308B" w:rsidRDefault="00465FC2" w:rsidP="00E07A3F">
      <w:pPr>
        <w:rPr>
          <w:rFonts w:eastAsia="Calibri" w:cstheme="minorHAnsi"/>
          <w:b/>
          <w:bCs/>
          <w:sz w:val="22"/>
          <w:szCs w:val="22"/>
          <w:u w:val="single"/>
          <w:lang w:val="en-US"/>
        </w:rPr>
      </w:pPr>
      <w:r w:rsidRPr="0079308B">
        <w:rPr>
          <w:rFonts w:eastAsia="Calibri" w:cstheme="minorHAnsi"/>
          <w:b/>
          <w:bCs/>
          <w:sz w:val="22"/>
          <w:szCs w:val="22"/>
          <w:u w:val="single"/>
          <w:lang w:val="en-US"/>
        </w:rPr>
        <w:t>Introduction</w:t>
      </w:r>
    </w:p>
    <w:p w14:paraId="2ADCE38C" w14:textId="77777777" w:rsidR="00465FC2" w:rsidRPr="0079308B" w:rsidRDefault="00465FC2" w:rsidP="002658F6">
      <w:pPr>
        <w:spacing w:line="360" w:lineRule="auto"/>
        <w:rPr>
          <w:rFonts w:eastAsia="Calibri" w:cstheme="minorHAnsi"/>
          <w:b/>
          <w:bCs/>
          <w:sz w:val="22"/>
          <w:szCs w:val="22"/>
          <w:lang w:val="en-US"/>
        </w:rPr>
      </w:pPr>
    </w:p>
    <w:p w14:paraId="3D823B7F" w14:textId="465E3538" w:rsidR="002658F6" w:rsidRPr="0079308B" w:rsidRDefault="002658F6" w:rsidP="002658F6">
      <w:pPr>
        <w:spacing w:line="360" w:lineRule="auto"/>
        <w:rPr>
          <w:rFonts w:eastAsia="Calibri" w:cstheme="minorHAnsi"/>
          <w:sz w:val="22"/>
          <w:szCs w:val="22"/>
          <w:lang w:val="en-US"/>
        </w:rPr>
      </w:pPr>
      <w:r w:rsidRPr="0079308B">
        <w:rPr>
          <w:rFonts w:eastAsia="Calibri" w:cstheme="minorHAnsi"/>
          <w:sz w:val="22"/>
          <w:szCs w:val="22"/>
          <w:lang w:val="en-US"/>
        </w:rPr>
        <w:t xml:space="preserve">Cancer is the leading cause of mortality in patients with type 2 diabetes mellitus </w:t>
      </w:r>
      <w:r w:rsidR="00A25862" w:rsidRPr="0079308B">
        <w:rPr>
          <w:rFonts w:eastAsia="Calibri" w:cstheme="minorHAnsi"/>
          <w:sz w:val="22"/>
          <w:szCs w:val="22"/>
          <w:lang w:val="en-US"/>
        </w:rPr>
        <w:t>[</w:t>
      </w:r>
      <w:r w:rsidRPr="0079308B">
        <w:rPr>
          <w:rFonts w:eastAsia="Calibri" w:cstheme="minorHAnsi"/>
          <w:sz w:val="22"/>
          <w:szCs w:val="22"/>
          <w:lang w:val="en-US"/>
        </w:rPr>
        <w:t>T2DM</w:t>
      </w:r>
      <w:r w:rsidR="00A25862" w:rsidRPr="0079308B">
        <w:rPr>
          <w:rFonts w:eastAsia="Calibri" w:cstheme="minorHAnsi"/>
          <w:sz w:val="22"/>
          <w:szCs w:val="22"/>
          <w:lang w:val="en-US"/>
        </w:rPr>
        <w:t>]</w:t>
      </w:r>
      <w:r w:rsidR="00A25862" w:rsidRPr="0079308B">
        <w:rPr>
          <w:rFonts w:eastAsia="Calibri" w:cstheme="minorHAnsi"/>
          <w:noProof/>
          <w:sz w:val="22"/>
          <w:szCs w:val="22"/>
          <w:lang w:val="en-US"/>
        </w:rPr>
        <w:t>[</w:t>
      </w:r>
      <w:r w:rsidR="008E25D0" w:rsidRPr="0079308B">
        <w:rPr>
          <w:rFonts w:eastAsia="Calibri" w:cstheme="minorHAnsi"/>
          <w:noProof/>
          <w:sz w:val="22"/>
          <w:szCs w:val="22"/>
          <w:lang w:val="en-US"/>
        </w:rPr>
        <w:t>1</w:t>
      </w:r>
      <w:r w:rsidR="00A25862" w:rsidRPr="0079308B">
        <w:rPr>
          <w:rFonts w:eastAsia="Calibri" w:cstheme="minorHAnsi"/>
          <w:noProof/>
          <w:sz w:val="22"/>
          <w:szCs w:val="22"/>
          <w:lang w:val="en-US"/>
        </w:rPr>
        <w:t>]</w:t>
      </w:r>
      <w:r w:rsidRPr="0079308B">
        <w:rPr>
          <w:rFonts w:eastAsia="Calibri" w:cstheme="minorHAnsi"/>
          <w:sz w:val="22"/>
          <w:szCs w:val="22"/>
          <w:lang w:val="en-US"/>
        </w:rPr>
        <w:t xml:space="preserve"> and T2DM is strongly associated with site-specific cancers including </w:t>
      </w:r>
      <w:r w:rsidR="00AC01BA" w:rsidRPr="0079308B">
        <w:rPr>
          <w:rFonts w:eastAsia="Calibri" w:cstheme="minorHAnsi"/>
          <w:sz w:val="22"/>
          <w:szCs w:val="22"/>
          <w:lang w:val="en-US"/>
        </w:rPr>
        <w:t>h</w:t>
      </w:r>
      <w:r w:rsidRPr="0079308B">
        <w:rPr>
          <w:rFonts w:eastAsia="Calibri" w:cstheme="minorHAnsi"/>
          <w:sz w:val="22"/>
          <w:szCs w:val="22"/>
          <w:lang w:val="en-US"/>
        </w:rPr>
        <w:t xml:space="preserve">epatocellular carcinoma </w:t>
      </w:r>
      <w:r w:rsidR="00A25862" w:rsidRPr="0079308B">
        <w:rPr>
          <w:rFonts w:eastAsia="Calibri" w:cstheme="minorHAnsi"/>
          <w:sz w:val="22"/>
          <w:szCs w:val="22"/>
          <w:lang w:val="en-US"/>
        </w:rPr>
        <w:t>[</w:t>
      </w:r>
      <w:r w:rsidRPr="0079308B">
        <w:rPr>
          <w:rFonts w:eastAsia="Calibri" w:cstheme="minorHAnsi"/>
          <w:sz w:val="22"/>
          <w:szCs w:val="22"/>
          <w:lang w:val="en-US"/>
        </w:rPr>
        <w:t>HCC</w:t>
      </w:r>
      <w:r w:rsidR="00A25862" w:rsidRPr="0079308B">
        <w:rPr>
          <w:rFonts w:eastAsia="Calibri" w:cstheme="minorHAnsi"/>
          <w:sz w:val="22"/>
          <w:szCs w:val="22"/>
          <w:lang w:val="en-US"/>
        </w:rPr>
        <w:t>]</w:t>
      </w:r>
      <w:r w:rsidRPr="0079308B">
        <w:rPr>
          <w:rFonts w:eastAsia="Calibri" w:cstheme="minorHAnsi"/>
          <w:sz w:val="22"/>
          <w:szCs w:val="22"/>
          <w:lang w:val="en-US"/>
        </w:rPr>
        <w:t>.</w:t>
      </w:r>
      <w:r w:rsidR="00A25862" w:rsidRPr="0079308B">
        <w:rPr>
          <w:rFonts w:eastAsia="Calibri" w:cstheme="minorHAnsi"/>
          <w:noProof/>
          <w:sz w:val="22"/>
          <w:szCs w:val="22"/>
          <w:lang w:val="en-US"/>
        </w:rPr>
        <w:t>[</w:t>
      </w:r>
      <w:r w:rsidR="008E25D0" w:rsidRPr="0079308B">
        <w:rPr>
          <w:rFonts w:eastAsia="Calibri" w:cstheme="minorHAnsi"/>
          <w:noProof/>
          <w:sz w:val="22"/>
          <w:szCs w:val="22"/>
          <w:lang w:val="en-US"/>
        </w:rPr>
        <w:t>2</w:t>
      </w:r>
      <w:r w:rsidR="00A25862" w:rsidRPr="0079308B">
        <w:rPr>
          <w:rFonts w:eastAsia="Calibri" w:cstheme="minorHAnsi"/>
          <w:noProof/>
          <w:sz w:val="22"/>
          <w:szCs w:val="22"/>
          <w:lang w:val="en-US"/>
        </w:rPr>
        <w:t>]</w:t>
      </w:r>
      <w:r w:rsidRPr="0079308B">
        <w:rPr>
          <w:rFonts w:eastAsia="Calibri" w:cstheme="minorHAnsi"/>
          <w:sz w:val="22"/>
          <w:szCs w:val="22"/>
          <w:lang w:val="en-US"/>
        </w:rPr>
        <w:t xml:space="preserve"> 830,200 people died from HCC in 2020 and the incidence of HCC is expected to increase by 55% in the next 20 years.</w:t>
      </w:r>
      <w:r w:rsidR="00A25862" w:rsidRPr="0079308B">
        <w:rPr>
          <w:rFonts w:eastAsia="Calibri" w:cstheme="minorHAnsi"/>
          <w:noProof/>
          <w:sz w:val="22"/>
          <w:szCs w:val="22"/>
          <w:lang w:val="en-US"/>
        </w:rPr>
        <w:t>[</w:t>
      </w:r>
      <w:r w:rsidR="008E25D0" w:rsidRPr="0079308B">
        <w:rPr>
          <w:rFonts w:eastAsia="Calibri" w:cstheme="minorHAnsi"/>
          <w:noProof/>
          <w:sz w:val="22"/>
          <w:szCs w:val="22"/>
          <w:lang w:val="en-US"/>
        </w:rPr>
        <w:t>3</w:t>
      </w:r>
      <w:r w:rsidR="00A25862" w:rsidRPr="0079308B">
        <w:rPr>
          <w:rFonts w:eastAsia="Calibri" w:cstheme="minorHAnsi"/>
          <w:noProof/>
          <w:sz w:val="22"/>
          <w:szCs w:val="22"/>
          <w:lang w:val="en-US"/>
        </w:rPr>
        <w:t>]</w:t>
      </w:r>
      <w:r w:rsidRPr="0079308B">
        <w:rPr>
          <w:rFonts w:eastAsia="Calibri" w:cstheme="minorHAnsi"/>
          <w:sz w:val="22"/>
          <w:szCs w:val="22"/>
          <w:lang w:val="en-US"/>
        </w:rPr>
        <w:t xml:space="preserve"> HCC is now the fastest growing indication for liver transplantation</w:t>
      </w:r>
      <w:r w:rsidR="00A25862" w:rsidRPr="0079308B">
        <w:rPr>
          <w:rFonts w:eastAsia="Calibri" w:cstheme="minorHAnsi"/>
          <w:noProof/>
          <w:sz w:val="22"/>
          <w:szCs w:val="22"/>
          <w:lang w:val="en-US"/>
        </w:rPr>
        <w:t>[</w:t>
      </w:r>
      <w:r w:rsidR="008E25D0" w:rsidRPr="0079308B">
        <w:rPr>
          <w:rFonts w:eastAsia="Calibri" w:cstheme="minorHAnsi"/>
          <w:noProof/>
          <w:sz w:val="22"/>
          <w:szCs w:val="22"/>
          <w:lang w:val="en-US"/>
        </w:rPr>
        <w:t>4</w:t>
      </w:r>
      <w:r w:rsidR="00A25862" w:rsidRPr="0079308B">
        <w:rPr>
          <w:rFonts w:eastAsia="Calibri" w:cstheme="minorHAnsi"/>
          <w:noProof/>
          <w:sz w:val="22"/>
          <w:szCs w:val="22"/>
          <w:lang w:val="en-US"/>
        </w:rPr>
        <w:t>]</w:t>
      </w:r>
      <w:r w:rsidRPr="0079308B">
        <w:rPr>
          <w:rFonts w:eastAsia="Calibri" w:cstheme="minorHAnsi"/>
          <w:sz w:val="22"/>
          <w:szCs w:val="22"/>
          <w:lang w:val="en-US"/>
        </w:rPr>
        <w:t xml:space="preserve"> and it is expected to become the 3</w:t>
      </w:r>
      <w:r w:rsidRPr="0079308B">
        <w:rPr>
          <w:rFonts w:eastAsia="Calibri" w:cstheme="minorHAnsi"/>
          <w:sz w:val="22"/>
          <w:szCs w:val="22"/>
          <w:vertAlign w:val="superscript"/>
          <w:lang w:val="en-US"/>
        </w:rPr>
        <w:t>rd</w:t>
      </w:r>
      <w:r w:rsidRPr="0079308B">
        <w:rPr>
          <w:rFonts w:eastAsia="Calibri" w:cstheme="minorHAnsi"/>
          <w:sz w:val="22"/>
          <w:szCs w:val="22"/>
          <w:lang w:val="en-US"/>
        </w:rPr>
        <w:t xml:space="preserve"> most common cause of cancer death worldwide by 2030.</w:t>
      </w:r>
      <w:r w:rsidR="00A25862" w:rsidRPr="0079308B">
        <w:rPr>
          <w:rFonts w:eastAsia="Calibri" w:cstheme="minorHAnsi"/>
          <w:noProof/>
          <w:sz w:val="22"/>
          <w:szCs w:val="22"/>
          <w:lang w:val="en-US"/>
        </w:rPr>
        <w:t>[</w:t>
      </w:r>
      <w:r w:rsidR="008E25D0" w:rsidRPr="0079308B">
        <w:rPr>
          <w:rFonts w:eastAsia="Calibri" w:cstheme="minorHAnsi"/>
          <w:noProof/>
          <w:sz w:val="22"/>
          <w:szCs w:val="22"/>
          <w:lang w:val="en-US"/>
        </w:rPr>
        <w:t>5</w:t>
      </w:r>
      <w:r w:rsidR="00A25862" w:rsidRPr="0079308B">
        <w:rPr>
          <w:rFonts w:eastAsia="Calibri" w:cstheme="minorHAnsi"/>
          <w:noProof/>
          <w:sz w:val="22"/>
          <w:szCs w:val="22"/>
          <w:lang w:val="en-US"/>
        </w:rPr>
        <w:t>]</w:t>
      </w:r>
      <w:r w:rsidRPr="0079308B">
        <w:rPr>
          <w:rFonts w:eastAsia="Calibri" w:cstheme="minorHAnsi"/>
          <w:sz w:val="22"/>
          <w:szCs w:val="22"/>
          <w:lang w:val="en-US"/>
        </w:rPr>
        <w:t xml:space="preserve"> HCC has a very poor prognosis with a 5-year survival of ~20%.</w:t>
      </w:r>
      <w:r w:rsidR="00A25862" w:rsidRPr="0079308B">
        <w:rPr>
          <w:rFonts w:eastAsia="Calibri" w:cstheme="minorHAnsi"/>
          <w:noProof/>
          <w:sz w:val="22"/>
          <w:szCs w:val="22"/>
          <w:lang w:val="en-US"/>
        </w:rPr>
        <w:t>[</w:t>
      </w:r>
      <w:r w:rsidR="008E25D0" w:rsidRPr="0079308B">
        <w:rPr>
          <w:rFonts w:eastAsia="Calibri" w:cstheme="minorHAnsi"/>
          <w:noProof/>
          <w:sz w:val="22"/>
          <w:szCs w:val="22"/>
          <w:lang w:val="en-US"/>
        </w:rPr>
        <w:t>6</w:t>
      </w:r>
      <w:r w:rsidR="00A25862" w:rsidRPr="0079308B">
        <w:rPr>
          <w:rFonts w:eastAsia="Calibri" w:cstheme="minorHAnsi"/>
          <w:noProof/>
          <w:sz w:val="22"/>
          <w:szCs w:val="22"/>
          <w:lang w:val="en-US"/>
        </w:rPr>
        <w:t>]</w:t>
      </w:r>
      <w:r w:rsidRPr="0079308B">
        <w:rPr>
          <w:rFonts w:eastAsia="Calibri" w:cstheme="minorHAnsi"/>
          <w:sz w:val="22"/>
          <w:szCs w:val="22"/>
          <w:lang w:val="en-US"/>
        </w:rPr>
        <w:t xml:space="preserve"> However, if cases are identified at an early stage curative treatments are available which include surgical resection, liver transplant or </w:t>
      </w:r>
      <w:proofErr w:type="spellStart"/>
      <w:r w:rsidRPr="0079308B">
        <w:rPr>
          <w:rFonts w:eastAsia="Calibri" w:cstheme="minorHAnsi"/>
          <w:sz w:val="22"/>
          <w:szCs w:val="22"/>
          <w:lang w:val="en-US"/>
        </w:rPr>
        <w:t>tumour</w:t>
      </w:r>
      <w:proofErr w:type="spellEnd"/>
      <w:r w:rsidRPr="0079308B">
        <w:rPr>
          <w:rFonts w:eastAsia="Calibri" w:cstheme="minorHAnsi"/>
          <w:sz w:val="22"/>
          <w:szCs w:val="22"/>
          <w:lang w:val="en-US"/>
        </w:rPr>
        <w:t xml:space="preserve"> ablation.</w:t>
      </w:r>
      <w:r w:rsidR="00A25862" w:rsidRPr="0079308B">
        <w:rPr>
          <w:rFonts w:eastAsia="Calibri" w:cstheme="minorHAnsi"/>
          <w:noProof/>
          <w:sz w:val="22"/>
          <w:szCs w:val="22"/>
          <w:lang w:val="en-US"/>
        </w:rPr>
        <w:t>[</w:t>
      </w:r>
      <w:r w:rsidR="008E25D0" w:rsidRPr="0079308B">
        <w:rPr>
          <w:rFonts w:eastAsia="Calibri" w:cstheme="minorHAnsi"/>
          <w:noProof/>
          <w:sz w:val="22"/>
          <w:szCs w:val="22"/>
          <w:lang w:val="en-US"/>
        </w:rPr>
        <w:t>6</w:t>
      </w:r>
      <w:r w:rsidR="00A25862" w:rsidRPr="0079308B">
        <w:rPr>
          <w:rFonts w:eastAsia="Calibri" w:cstheme="minorHAnsi"/>
          <w:noProof/>
          <w:sz w:val="22"/>
          <w:szCs w:val="22"/>
          <w:lang w:val="en-US"/>
        </w:rPr>
        <w:t>]</w:t>
      </w:r>
    </w:p>
    <w:p w14:paraId="4831480F" w14:textId="77777777" w:rsidR="002658F6" w:rsidRPr="0079308B" w:rsidRDefault="002658F6" w:rsidP="002658F6">
      <w:pPr>
        <w:spacing w:line="360" w:lineRule="auto"/>
        <w:rPr>
          <w:rFonts w:eastAsia="Calibri" w:cstheme="minorHAnsi"/>
          <w:sz w:val="22"/>
          <w:szCs w:val="22"/>
          <w:lang w:val="en-US"/>
        </w:rPr>
      </w:pPr>
    </w:p>
    <w:p w14:paraId="530A4970" w14:textId="27F9AD06" w:rsidR="008A3CA0" w:rsidRPr="0079308B" w:rsidRDefault="002658F6">
      <w:pPr>
        <w:spacing w:line="360" w:lineRule="auto"/>
        <w:rPr>
          <w:rFonts w:eastAsia="Calibri" w:cstheme="minorHAnsi"/>
          <w:sz w:val="22"/>
          <w:szCs w:val="22"/>
          <w:lang w:val="en-US"/>
        </w:rPr>
      </w:pPr>
      <w:r w:rsidRPr="0079308B">
        <w:rPr>
          <w:rFonts w:eastAsia="Calibri" w:cstheme="minorHAnsi"/>
          <w:sz w:val="22"/>
          <w:szCs w:val="22"/>
          <w:lang w:val="en-US"/>
        </w:rPr>
        <w:t xml:space="preserve">A major </w:t>
      </w:r>
      <w:r w:rsidR="00890F66" w:rsidRPr="0079308B">
        <w:rPr>
          <w:rFonts w:eastAsia="Calibri" w:cstheme="minorHAnsi"/>
          <w:sz w:val="22"/>
          <w:szCs w:val="22"/>
          <w:lang w:val="en-US"/>
        </w:rPr>
        <w:t>driver</w:t>
      </w:r>
      <w:r w:rsidRPr="0079308B">
        <w:rPr>
          <w:rFonts w:eastAsia="Calibri" w:cstheme="minorHAnsi"/>
          <w:sz w:val="22"/>
          <w:szCs w:val="22"/>
          <w:lang w:val="en-US"/>
        </w:rPr>
        <w:t xml:space="preserve"> for </w:t>
      </w:r>
      <w:r w:rsidR="00890F66" w:rsidRPr="0079308B">
        <w:rPr>
          <w:rFonts w:eastAsia="Calibri" w:cstheme="minorHAnsi"/>
          <w:sz w:val="22"/>
          <w:szCs w:val="22"/>
          <w:lang w:val="en-US"/>
        </w:rPr>
        <w:t>the i</w:t>
      </w:r>
      <w:r w:rsidRPr="0079308B">
        <w:rPr>
          <w:rFonts w:eastAsia="Calibri" w:cstheme="minorHAnsi"/>
          <w:sz w:val="22"/>
          <w:szCs w:val="22"/>
          <w:lang w:val="en-US"/>
        </w:rPr>
        <w:t xml:space="preserve">ncreasing </w:t>
      </w:r>
      <w:r w:rsidR="00890F66" w:rsidRPr="0079308B">
        <w:rPr>
          <w:rFonts w:eastAsia="Calibri" w:cstheme="minorHAnsi"/>
          <w:sz w:val="22"/>
          <w:szCs w:val="22"/>
          <w:lang w:val="en-US"/>
        </w:rPr>
        <w:t xml:space="preserve">number of </w:t>
      </w:r>
      <w:r w:rsidRPr="0079308B">
        <w:rPr>
          <w:rFonts w:eastAsia="Calibri" w:cstheme="minorHAnsi"/>
          <w:sz w:val="22"/>
          <w:szCs w:val="22"/>
          <w:lang w:val="en-US"/>
        </w:rPr>
        <w:t>deaths from HCC is the increasing global prevalence of T2</w:t>
      </w:r>
      <w:proofErr w:type="gramStart"/>
      <w:r w:rsidRPr="0079308B">
        <w:rPr>
          <w:rFonts w:eastAsia="Calibri" w:cstheme="minorHAnsi"/>
          <w:sz w:val="22"/>
          <w:szCs w:val="22"/>
          <w:lang w:val="en-US"/>
        </w:rPr>
        <w:t>DM.</w:t>
      </w:r>
      <w:r w:rsidR="00A25862" w:rsidRPr="0079308B">
        <w:rPr>
          <w:rFonts w:eastAsia="Calibri" w:cstheme="minorHAnsi"/>
          <w:noProof/>
          <w:sz w:val="22"/>
          <w:szCs w:val="22"/>
          <w:lang w:val="en-US"/>
        </w:rPr>
        <w:t>[</w:t>
      </w:r>
      <w:proofErr w:type="gramEnd"/>
      <w:r w:rsidR="008E25D0" w:rsidRPr="0079308B">
        <w:rPr>
          <w:rFonts w:eastAsia="Calibri" w:cstheme="minorHAnsi"/>
          <w:noProof/>
          <w:sz w:val="22"/>
          <w:szCs w:val="22"/>
          <w:lang w:val="en-US"/>
        </w:rPr>
        <w:t>3,5,7</w:t>
      </w:r>
      <w:r w:rsidR="00A25862" w:rsidRPr="0079308B">
        <w:rPr>
          <w:rFonts w:eastAsia="Calibri" w:cstheme="minorHAnsi"/>
          <w:noProof/>
          <w:sz w:val="22"/>
          <w:szCs w:val="22"/>
          <w:lang w:val="en-US"/>
        </w:rPr>
        <w:t>]</w:t>
      </w:r>
      <w:r w:rsidRPr="0079308B">
        <w:rPr>
          <w:rFonts w:eastAsia="Calibri" w:cstheme="minorHAnsi"/>
          <w:sz w:val="22"/>
          <w:szCs w:val="22"/>
          <w:lang w:val="en-US"/>
        </w:rPr>
        <w:t xml:space="preserve"> T2DM causes liver steatosis, inflammation, fibrosis and liver cirrhosis</w:t>
      </w:r>
      <w:r w:rsidR="00894803" w:rsidRPr="0079308B">
        <w:rPr>
          <w:rFonts w:eastAsia="Calibri" w:cstheme="minorHAnsi"/>
          <w:sz w:val="22"/>
          <w:szCs w:val="22"/>
          <w:lang w:val="en-US"/>
        </w:rPr>
        <w:t xml:space="preserve"> and p</w:t>
      </w:r>
      <w:r w:rsidRPr="0079308B">
        <w:rPr>
          <w:rFonts w:eastAsia="Calibri" w:cstheme="minorHAnsi"/>
          <w:sz w:val="22"/>
          <w:szCs w:val="22"/>
          <w:lang w:val="en-US"/>
        </w:rPr>
        <w:t>atients with significant liver fibrosis or cirrhosis are at risk of HCC.</w:t>
      </w:r>
      <w:r w:rsidR="00A25862" w:rsidRPr="0079308B">
        <w:rPr>
          <w:rFonts w:eastAsia="Calibri" w:cstheme="minorHAnsi"/>
          <w:noProof/>
          <w:sz w:val="22"/>
          <w:szCs w:val="22"/>
          <w:lang w:val="en-US"/>
        </w:rPr>
        <w:t>[</w:t>
      </w:r>
      <w:r w:rsidR="008E25D0" w:rsidRPr="0079308B">
        <w:rPr>
          <w:rFonts w:eastAsia="Calibri" w:cstheme="minorHAnsi"/>
          <w:noProof/>
          <w:sz w:val="22"/>
          <w:szCs w:val="22"/>
          <w:lang w:val="en-US"/>
        </w:rPr>
        <w:t>8,9</w:t>
      </w:r>
      <w:r w:rsidR="00A25862" w:rsidRPr="0079308B">
        <w:rPr>
          <w:rFonts w:eastAsia="Calibri" w:cstheme="minorHAnsi"/>
          <w:noProof/>
          <w:sz w:val="22"/>
          <w:szCs w:val="22"/>
          <w:lang w:val="en-US"/>
        </w:rPr>
        <w:t>]</w:t>
      </w:r>
      <w:r w:rsidRPr="0079308B">
        <w:rPr>
          <w:rFonts w:eastAsia="Calibri" w:cstheme="minorHAnsi"/>
          <w:sz w:val="22"/>
          <w:szCs w:val="22"/>
          <w:lang w:val="en-US"/>
        </w:rPr>
        <w:t xml:space="preserve"> There is a high prevalence of all stages of liver disease in people living with T2DM.</w:t>
      </w:r>
      <w:r w:rsidR="00A25862" w:rsidRPr="0079308B">
        <w:rPr>
          <w:rFonts w:eastAsia="Calibri" w:cstheme="minorHAnsi"/>
          <w:noProof/>
          <w:sz w:val="22"/>
          <w:szCs w:val="22"/>
          <w:lang w:val="en-US"/>
        </w:rPr>
        <w:t>[</w:t>
      </w:r>
      <w:r w:rsidR="008E25D0" w:rsidRPr="0079308B">
        <w:rPr>
          <w:rFonts w:eastAsia="Calibri" w:cstheme="minorHAnsi"/>
          <w:noProof/>
          <w:sz w:val="22"/>
          <w:szCs w:val="22"/>
          <w:lang w:val="en-US"/>
        </w:rPr>
        <w:t>10–14</w:t>
      </w:r>
      <w:r w:rsidR="00A25862" w:rsidRPr="0079308B">
        <w:rPr>
          <w:rFonts w:eastAsia="Calibri" w:cstheme="minorHAnsi"/>
          <w:noProof/>
          <w:sz w:val="22"/>
          <w:szCs w:val="22"/>
          <w:lang w:val="en-US"/>
        </w:rPr>
        <w:t>]</w:t>
      </w:r>
      <w:r w:rsidR="008A3CA0" w:rsidRPr="0079308B">
        <w:rPr>
          <w:rFonts w:eastAsia="Calibri" w:cstheme="minorHAnsi"/>
          <w:sz w:val="22"/>
          <w:szCs w:val="22"/>
          <w:lang w:val="en-US"/>
        </w:rPr>
        <w:t xml:space="preserve">. </w:t>
      </w:r>
    </w:p>
    <w:p w14:paraId="7A7495B1" w14:textId="77777777" w:rsidR="008A3CA0" w:rsidRPr="0079308B" w:rsidRDefault="008A3CA0">
      <w:pPr>
        <w:spacing w:line="360" w:lineRule="auto"/>
        <w:rPr>
          <w:rFonts w:eastAsia="Calibri" w:cstheme="minorHAnsi"/>
          <w:sz w:val="22"/>
          <w:szCs w:val="22"/>
          <w:lang w:val="en-US"/>
        </w:rPr>
      </w:pPr>
    </w:p>
    <w:p w14:paraId="4CC20EC5" w14:textId="681918A5" w:rsidR="00023F88" w:rsidRPr="0079308B" w:rsidRDefault="002658F6">
      <w:pPr>
        <w:spacing w:line="360" w:lineRule="auto"/>
        <w:rPr>
          <w:rFonts w:ascii="Segoe UI" w:eastAsia="Times New Roman" w:hAnsi="Segoe UI" w:cs="Segoe UI"/>
          <w:color w:val="212121"/>
          <w:lang w:eastAsia="en-GB"/>
        </w:rPr>
      </w:pPr>
      <w:r w:rsidRPr="0079308B">
        <w:rPr>
          <w:rFonts w:eastAsia="Calibri" w:cstheme="minorHAnsi"/>
          <w:sz w:val="22"/>
          <w:szCs w:val="22"/>
          <w:lang w:val="en-US"/>
        </w:rPr>
        <w:t xml:space="preserve">International guidance recommends biannual surveillance for HCC in patients with liver cirrhosis </w:t>
      </w:r>
      <w:r w:rsidR="008E25D0" w:rsidRPr="0079308B">
        <w:rPr>
          <w:rFonts w:eastAsia="Calibri" w:cstheme="minorHAnsi"/>
          <w:sz w:val="22"/>
          <w:szCs w:val="22"/>
          <w:lang w:val="en-US"/>
        </w:rPr>
        <w:t xml:space="preserve">via ultrasound imaging </w:t>
      </w:r>
      <w:r w:rsidRPr="0079308B">
        <w:rPr>
          <w:rFonts w:eastAsia="Calibri" w:cstheme="minorHAnsi"/>
          <w:sz w:val="22"/>
          <w:szCs w:val="22"/>
          <w:lang w:val="en-US"/>
        </w:rPr>
        <w:t>however, less than one third of incident cases of HCC in patients with T2DM are identified via surveillance.</w:t>
      </w:r>
      <w:r w:rsidR="00A25862" w:rsidRPr="0079308B">
        <w:rPr>
          <w:rFonts w:eastAsia="Calibri" w:cstheme="minorHAnsi"/>
          <w:noProof/>
          <w:sz w:val="22"/>
          <w:szCs w:val="22"/>
          <w:lang w:val="en-US"/>
        </w:rPr>
        <w:t>[</w:t>
      </w:r>
      <w:r w:rsidR="008E25D0" w:rsidRPr="0079308B">
        <w:rPr>
          <w:rFonts w:eastAsia="Calibri" w:cstheme="minorHAnsi"/>
          <w:noProof/>
          <w:sz w:val="22"/>
          <w:szCs w:val="22"/>
          <w:lang w:val="en-US"/>
        </w:rPr>
        <w:t>15</w:t>
      </w:r>
      <w:r w:rsidR="00A25862" w:rsidRPr="0079308B">
        <w:rPr>
          <w:rFonts w:eastAsia="Calibri" w:cstheme="minorHAnsi"/>
          <w:noProof/>
          <w:sz w:val="22"/>
          <w:szCs w:val="22"/>
          <w:lang w:val="en-US"/>
        </w:rPr>
        <w:t>]</w:t>
      </w:r>
      <w:r w:rsidRPr="0079308B">
        <w:rPr>
          <w:rFonts w:eastAsia="Calibri" w:cstheme="minorHAnsi"/>
          <w:sz w:val="22"/>
          <w:szCs w:val="22"/>
          <w:lang w:val="en-US"/>
        </w:rPr>
        <w:t xml:space="preserve"> </w:t>
      </w:r>
      <w:r w:rsidR="00894803" w:rsidRPr="0079308B">
        <w:rPr>
          <w:rFonts w:eastAsia="Calibri" w:cstheme="minorHAnsi"/>
          <w:sz w:val="22"/>
          <w:szCs w:val="22"/>
          <w:lang w:val="en-US"/>
        </w:rPr>
        <w:t>I</w:t>
      </w:r>
      <w:r w:rsidR="008E25D0" w:rsidRPr="0079308B">
        <w:rPr>
          <w:rFonts w:eastAsia="Calibri" w:cstheme="minorHAnsi"/>
          <w:sz w:val="22"/>
          <w:szCs w:val="22"/>
          <w:lang w:val="en-US"/>
        </w:rPr>
        <w:t>dentification</w:t>
      </w:r>
      <w:r w:rsidR="00894803" w:rsidRPr="0079308B">
        <w:rPr>
          <w:rFonts w:eastAsia="Calibri" w:cstheme="minorHAnsi"/>
          <w:sz w:val="22"/>
          <w:szCs w:val="22"/>
          <w:lang w:val="en-US"/>
        </w:rPr>
        <w:t xml:space="preserve"> of HCC</w:t>
      </w:r>
      <w:r w:rsidR="008E25D0" w:rsidRPr="0079308B">
        <w:rPr>
          <w:rFonts w:eastAsia="Calibri" w:cstheme="minorHAnsi"/>
          <w:sz w:val="22"/>
          <w:szCs w:val="22"/>
          <w:lang w:val="en-US"/>
        </w:rPr>
        <w:t xml:space="preserve"> via surveillance</w:t>
      </w:r>
      <w:r w:rsidRPr="0079308B">
        <w:rPr>
          <w:rFonts w:eastAsia="Calibri" w:cstheme="minorHAnsi"/>
          <w:sz w:val="22"/>
          <w:szCs w:val="22"/>
          <w:lang w:val="en-US"/>
        </w:rPr>
        <w:t xml:space="preserve"> is important</w:t>
      </w:r>
      <w:r w:rsidR="008E25D0" w:rsidRPr="0079308B">
        <w:rPr>
          <w:rFonts w:eastAsia="Calibri" w:cstheme="minorHAnsi"/>
          <w:sz w:val="22"/>
          <w:szCs w:val="22"/>
          <w:lang w:val="en-US"/>
        </w:rPr>
        <w:t xml:space="preserve"> </w:t>
      </w:r>
      <w:r w:rsidRPr="0079308B">
        <w:rPr>
          <w:rFonts w:eastAsia="Calibri" w:cstheme="minorHAnsi"/>
          <w:sz w:val="22"/>
          <w:szCs w:val="22"/>
          <w:lang w:val="en-US"/>
        </w:rPr>
        <w:t xml:space="preserve">as cancers that are identified </w:t>
      </w:r>
      <w:r w:rsidR="008E25D0" w:rsidRPr="0079308B">
        <w:rPr>
          <w:rFonts w:eastAsia="Calibri" w:cstheme="minorHAnsi"/>
          <w:sz w:val="22"/>
          <w:szCs w:val="22"/>
          <w:lang w:val="en-US"/>
        </w:rPr>
        <w:t xml:space="preserve">in patients who are </w:t>
      </w:r>
      <w:r w:rsidR="00AC01BA" w:rsidRPr="0079308B">
        <w:rPr>
          <w:rFonts w:eastAsia="Calibri" w:cstheme="minorHAnsi"/>
          <w:sz w:val="22"/>
          <w:szCs w:val="22"/>
          <w:lang w:val="en-US"/>
        </w:rPr>
        <w:t>undergoing regular</w:t>
      </w:r>
      <w:r w:rsidR="00894803" w:rsidRPr="0079308B">
        <w:rPr>
          <w:rFonts w:eastAsia="Calibri" w:cstheme="minorHAnsi"/>
          <w:sz w:val="22"/>
          <w:szCs w:val="22"/>
          <w:lang w:val="en-US"/>
        </w:rPr>
        <w:t xml:space="preserve"> </w:t>
      </w:r>
      <w:r w:rsidRPr="0079308B">
        <w:rPr>
          <w:rFonts w:eastAsia="Calibri" w:cstheme="minorHAnsi"/>
          <w:sz w:val="22"/>
          <w:szCs w:val="22"/>
          <w:lang w:val="en-US"/>
        </w:rPr>
        <w:t>surveillance have better outcomes.</w:t>
      </w:r>
      <w:r w:rsidR="00A25862" w:rsidRPr="0079308B">
        <w:rPr>
          <w:rFonts w:eastAsia="Calibri" w:cstheme="minorHAnsi"/>
          <w:noProof/>
          <w:sz w:val="22"/>
          <w:szCs w:val="22"/>
          <w:lang w:val="en-US"/>
        </w:rPr>
        <w:t>[</w:t>
      </w:r>
      <w:r w:rsidR="008E25D0" w:rsidRPr="0079308B">
        <w:rPr>
          <w:rFonts w:eastAsia="Calibri" w:cstheme="minorHAnsi"/>
          <w:noProof/>
          <w:sz w:val="22"/>
          <w:szCs w:val="22"/>
          <w:lang w:val="en-US"/>
        </w:rPr>
        <w:t>16</w:t>
      </w:r>
      <w:r w:rsidR="00A25862" w:rsidRPr="0079308B">
        <w:rPr>
          <w:rFonts w:eastAsia="Calibri" w:cstheme="minorHAnsi"/>
          <w:noProof/>
          <w:sz w:val="22"/>
          <w:szCs w:val="22"/>
          <w:lang w:val="en-US"/>
        </w:rPr>
        <w:t>]</w:t>
      </w:r>
      <w:r w:rsidRPr="0079308B">
        <w:rPr>
          <w:rFonts w:eastAsia="Calibri" w:cstheme="minorHAnsi"/>
          <w:sz w:val="22"/>
          <w:szCs w:val="22"/>
          <w:lang w:val="en-US"/>
        </w:rPr>
        <w:t xml:space="preserve"> To engage patients with T2DM with HCC surveillance it is necessary to first identify patients with cirrhosis. In the past liver disease was hard to identify because it progresses without signs or symptoms. However, several approaches have now been validated in patients with T2DM to identify asymptomatic disease. These include</w:t>
      </w:r>
      <w:r w:rsidR="00AC01BA" w:rsidRPr="0079308B">
        <w:rPr>
          <w:rFonts w:eastAsia="Calibri" w:cstheme="minorHAnsi"/>
          <w:sz w:val="22"/>
          <w:szCs w:val="22"/>
          <w:lang w:val="en-US"/>
        </w:rPr>
        <w:t xml:space="preserve"> utilization of</w:t>
      </w:r>
      <w:r w:rsidRPr="0079308B">
        <w:rPr>
          <w:rFonts w:eastAsia="Calibri" w:cstheme="minorHAnsi"/>
          <w:sz w:val="22"/>
          <w:szCs w:val="22"/>
          <w:lang w:val="en-US"/>
        </w:rPr>
        <w:t xml:space="preserve"> blood tests </w:t>
      </w:r>
      <w:r w:rsidR="00AC01BA" w:rsidRPr="0079308B">
        <w:rPr>
          <w:rFonts w:eastAsia="Calibri" w:cstheme="minorHAnsi"/>
          <w:sz w:val="22"/>
          <w:szCs w:val="22"/>
          <w:lang w:val="en-US"/>
        </w:rPr>
        <w:t xml:space="preserve">such </w:t>
      </w:r>
      <w:r w:rsidR="008A3CA0" w:rsidRPr="0079308B">
        <w:rPr>
          <w:rFonts w:eastAsia="Calibri" w:cstheme="minorHAnsi"/>
          <w:sz w:val="22"/>
          <w:szCs w:val="22"/>
          <w:lang w:val="en-US"/>
        </w:rPr>
        <w:t>as the Fibrosis-4 test</w:t>
      </w:r>
      <w:r w:rsidRPr="0079308B">
        <w:rPr>
          <w:rFonts w:eastAsia="Calibri" w:cstheme="minorHAnsi"/>
          <w:sz w:val="22"/>
          <w:szCs w:val="22"/>
          <w:lang w:val="en-US"/>
        </w:rPr>
        <w:t xml:space="preserve"> </w:t>
      </w:r>
      <w:r w:rsidR="00A25862" w:rsidRPr="0079308B">
        <w:rPr>
          <w:rFonts w:eastAsia="Calibri" w:cstheme="minorHAnsi"/>
          <w:sz w:val="22"/>
          <w:szCs w:val="22"/>
          <w:lang w:val="en-US"/>
        </w:rPr>
        <w:t>[</w:t>
      </w:r>
      <w:r w:rsidRPr="0079308B">
        <w:rPr>
          <w:rFonts w:eastAsia="Calibri" w:cstheme="minorHAnsi"/>
          <w:sz w:val="22"/>
          <w:szCs w:val="22"/>
          <w:lang w:val="en-US"/>
        </w:rPr>
        <w:t>FIB-4</w:t>
      </w:r>
      <w:r w:rsidR="00A25862" w:rsidRPr="0079308B">
        <w:rPr>
          <w:rFonts w:eastAsia="Calibri" w:cstheme="minorHAnsi"/>
          <w:sz w:val="22"/>
          <w:szCs w:val="22"/>
          <w:lang w:val="en-US"/>
        </w:rPr>
        <w:t>]</w:t>
      </w:r>
      <w:r w:rsidR="00A25862" w:rsidRPr="0079308B">
        <w:rPr>
          <w:rFonts w:eastAsia="Calibri" w:cstheme="minorHAnsi"/>
          <w:noProof/>
          <w:sz w:val="22"/>
          <w:szCs w:val="22"/>
          <w:lang w:val="en-US"/>
        </w:rPr>
        <w:t>[</w:t>
      </w:r>
      <w:r w:rsidR="008E25D0" w:rsidRPr="0079308B">
        <w:rPr>
          <w:rFonts w:eastAsia="Calibri" w:cstheme="minorHAnsi"/>
          <w:noProof/>
          <w:sz w:val="22"/>
          <w:szCs w:val="22"/>
          <w:lang w:val="en-US"/>
        </w:rPr>
        <w:t>17</w:t>
      </w:r>
      <w:r w:rsidR="00A25862" w:rsidRPr="0079308B">
        <w:rPr>
          <w:rFonts w:eastAsia="Calibri" w:cstheme="minorHAnsi"/>
          <w:noProof/>
          <w:sz w:val="22"/>
          <w:szCs w:val="22"/>
          <w:lang w:val="en-US"/>
        </w:rPr>
        <w:t>]</w:t>
      </w:r>
      <w:r w:rsidRPr="0079308B">
        <w:rPr>
          <w:rFonts w:eastAsia="Calibri" w:cstheme="minorHAnsi"/>
          <w:sz w:val="22"/>
          <w:szCs w:val="22"/>
          <w:lang w:val="en-US"/>
        </w:rPr>
        <w:t xml:space="preserve"> and the Enhanced Liver Fibrosis </w:t>
      </w:r>
      <w:r w:rsidR="00A25862" w:rsidRPr="0079308B">
        <w:rPr>
          <w:rFonts w:eastAsia="Calibri" w:cstheme="minorHAnsi"/>
          <w:sz w:val="22"/>
          <w:szCs w:val="22"/>
          <w:lang w:val="en-US"/>
        </w:rPr>
        <w:t>[</w:t>
      </w:r>
      <w:r w:rsidR="003C38BC" w:rsidRPr="0079308B">
        <w:rPr>
          <w:sz w:val="22"/>
          <w:szCs w:val="22"/>
        </w:rPr>
        <w:t>ELF</w:t>
      </w:r>
      <w:r w:rsidR="003C38BC" w:rsidRPr="0079308B">
        <w:rPr>
          <w:rFonts w:ascii="Calibri" w:hAnsi="Calibri" w:cs="Calibri"/>
          <w:sz w:val="22"/>
          <w:szCs w:val="22"/>
        </w:rPr>
        <w:t>™</w:t>
      </w:r>
      <w:r w:rsidR="00A25862" w:rsidRPr="0079308B">
        <w:rPr>
          <w:rFonts w:eastAsia="Calibri" w:cstheme="minorHAnsi"/>
          <w:sz w:val="22"/>
          <w:szCs w:val="22"/>
          <w:lang w:val="en-US"/>
        </w:rPr>
        <w:t>]</w:t>
      </w:r>
      <w:r w:rsidRPr="0079308B">
        <w:rPr>
          <w:rFonts w:eastAsia="Calibri" w:cstheme="minorHAnsi"/>
          <w:sz w:val="22"/>
          <w:szCs w:val="22"/>
          <w:lang w:val="en-US"/>
        </w:rPr>
        <w:t xml:space="preserve"> test </w:t>
      </w:r>
      <w:r w:rsidR="00A25862" w:rsidRPr="0079308B">
        <w:rPr>
          <w:rFonts w:eastAsia="Calibri" w:cstheme="minorHAnsi"/>
          <w:noProof/>
          <w:sz w:val="22"/>
          <w:szCs w:val="22"/>
          <w:lang w:val="en-US"/>
        </w:rPr>
        <w:t>[</w:t>
      </w:r>
      <w:r w:rsidR="008E25D0" w:rsidRPr="0079308B">
        <w:rPr>
          <w:rFonts w:eastAsia="Calibri" w:cstheme="minorHAnsi"/>
          <w:noProof/>
          <w:sz w:val="22"/>
          <w:szCs w:val="22"/>
          <w:lang w:val="en-US"/>
        </w:rPr>
        <w:t>18</w:t>
      </w:r>
      <w:proofErr w:type="gramStart"/>
      <w:r w:rsidR="00A25862" w:rsidRPr="0079308B">
        <w:rPr>
          <w:rFonts w:eastAsia="Calibri" w:cstheme="minorHAnsi"/>
          <w:noProof/>
          <w:sz w:val="22"/>
          <w:szCs w:val="22"/>
          <w:lang w:val="en-US"/>
        </w:rPr>
        <w:t>]</w:t>
      </w:r>
      <w:r w:rsidR="008A3CA0" w:rsidRPr="0079308B">
        <w:rPr>
          <w:rFonts w:eastAsia="Calibri" w:cstheme="minorHAnsi"/>
          <w:sz w:val="22"/>
          <w:szCs w:val="22"/>
          <w:lang w:val="en-US"/>
        </w:rPr>
        <w:t>,</w:t>
      </w:r>
      <w:r w:rsidRPr="0079308B">
        <w:rPr>
          <w:rFonts w:eastAsia="Calibri" w:cstheme="minorHAnsi"/>
          <w:sz w:val="22"/>
          <w:szCs w:val="22"/>
          <w:vertAlign w:val="superscript"/>
          <w:lang w:val="en-US"/>
        </w:rPr>
        <w:t xml:space="preserve"> </w:t>
      </w:r>
      <w:r w:rsidRPr="0079308B">
        <w:rPr>
          <w:rFonts w:eastAsia="Calibri" w:cstheme="minorHAnsi"/>
          <w:sz w:val="22"/>
          <w:szCs w:val="22"/>
          <w:lang w:val="en-US"/>
        </w:rPr>
        <w:t xml:space="preserve"> as</w:t>
      </w:r>
      <w:proofErr w:type="gramEnd"/>
      <w:r w:rsidRPr="0079308B">
        <w:rPr>
          <w:rFonts w:eastAsia="Calibri" w:cstheme="minorHAnsi"/>
          <w:sz w:val="22"/>
          <w:szCs w:val="22"/>
          <w:lang w:val="en-US"/>
        </w:rPr>
        <w:t xml:space="preserve"> well as a simple scan of the liver which uses vibration controlled transient </w:t>
      </w:r>
      <w:r w:rsidRPr="0079308B">
        <w:rPr>
          <w:rFonts w:ascii="Calibri" w:eastAsia="Calibri" w:hAnsi="Calibri" w:cs="Calibri"/>
          <w:sz w:val="22"/>
          <w:szCs w:val="22"/>
          <w:lang w:val="en-US"/>
        </w:rPr>
        <w:t xml:space="preserve">elastography </w:t>
      </w:r>
      <w:r w:rsidR="00A25862" w:rsidRPr="0079308B">
        <w:rPr>
          <w:rFonts w:ascii="Calibri" w:eastAsia="Calibri" w:hAnsi="Calibri" w:cs="Calibri"/>
          <w:sz w:val="22"/>
          <w:szCs w:val="22"/>
          <w:lang w:val="en-US"/>
        </w:rPr>
        <w:t>[</w:t>
      </w:r>
      <w:r w:rsidRPr="0079308B">
        <w:rPr>
          <w:rFonts w:ascii="Calibri" w:eastAsia="Calibri" w:hAnsi="Calibri" w:cs="Calibri"/>
          <w:sz w:val="22"/>
          <w:szCs w:val="22"/>
          <w:lang w:val="en-US"/>
        </w:rPr>
        <w:t>VCTE</w:t>
      </w:r>
      <w:r w:rsidR="00A25862" w:rsidRPr="0079308B">
        <w:rPr>
          <w:rFonts w:ascii="Calibri" w:eastAsia="Calibri" w:hAnsi="Calibri" w:cs="Calibri"/>
          <w:sz w:val="22"/>
          <w:szCs w:val="22"/>
          <w:lang w:val="en-US"/>
        </w:rPr>
        <w:t>]</w:t>
      </w:r>
      <w:r w:rsidRPr="0079308B">
        <w:rPr>
          <w:rFonts w:ascii="Calibri" w:eastAsia="Calibri" w:hAnsi="Calibri" w:cs="Calibri"/>
          <w:sz w:val="22"/>
          <w:szCs w:val="22"/>
          <w:lang w:val="en-US"/>
        </w:rPr>
        <w:t xml:space="preserve"> to assess the liver stiffness</w:t>
      </w:r>
      <w:r w:rsidR="00A25862" w:rsidRPr="0079308B">
        <w:rPr>
          <w:rFonts w:ascii="Calibri" w:eastAsia="Calibri" w:hAnsi="Calibri" w:cs="Calibri"/>
          <w:noProof/>
          <w:sz w:val="22"/>
          <w:szCs w:val="22"/>
          <w:lang w:val="en-US"/>
        </w:rPr>
        <w:t>[</w:t>
      </w:r>
      <w:r w:rsidR="001B2D3B" w:rsidRPr="0079308B">
        <w:rPr>
          <w:rFonts w:ascii="Calibri" w:eastAsia="Calibri" w:hAnsi="Calibri" w:cs="Calibri"/>
          <w:noProof/>
          <w:sz w:val="22"/>
          <w:szCs w:val="22"/>
          <w:lang w:val="en-US"/>
        </w:rPr>
        <w:t>17,19–21</w:t>
      </w:r>
      <w:r w:rsidR="00A25862" w:rsidRPr="0079308B">
        <w:rPr>
          <w:rFonts w:ascii="Calibri" w:eastAsia="Calibri" w:hAnsi="Calibri" w:cs="Calibri"/>
          <w:noProof/>
          <w:sz w:val="22"/>
          <w:szCs w:val="22"/>
          <w:lang w:val="en-US"/>
        </w:rPr>
        <w:t>]</w:t>
      </w:r>
      <w:r w:rsidRPr="0079308B">
        <w:rPr>
          <w:rFonts w:ascii="Calibri" w:eastAsia="Calibri" w:hAnsi="Calibri" w:cs="Calibri"/>
          <w:sz w:val="22"/>
          <w:szCs w:val="22"/>
          <w:lang w:val="en-US"/>
        </w:rPr>
        <w:t xml:space="preserve"> </w:t>
      </w:r>
      <w:r w:rsidR="008A3CA0" w:rsidRPr="0079308B">
        <w:rPr>
          <w:rFonts w:ascii="Calibri" w:eastAsia="Calibri" w:hAnsi="Calibri" w:cs="Calibri"/>
          <w:sz w:val="22"/>
          <w:szCs w:val="22"/>
          <w:lang w:val="en-US"/>
        </w:rPr>
        <w:t>as a validated</w:t>
      </w:r>
      <w:r w:rsidRPr="0079308B">
        <w:rPr>
          <w:rFonts w:ascii="Calibri" w:eastAsia="Calibri" w:hAnsi="Calibri" w:cs="Calibri"/>
          <w:sz w:val="22"/>
          <w:szCs w:val="22"/>
          <w:lang w:val="en-US"/>
        </w:rPr>
        <w:t xml:space="preserve"> marker of fibrosis</w:t>
      </w:r>
      <w:r w:rsidR="001B2D3B" w:rsidRPr="0079308B">
        <w:rPr>
          <w:rFonts w:ascii="Calibri" w:eastAsia="Calibri" w:hAnsi="Calibri" w:cs="Calibri"/>
          <w:sz w:val="22"/>
          <w:szCs w:val="22"/>
          <w:lang w:val="en-US"/>
        </w:rPr>
        <w:t>.</w:t>
      </w:r>
    </w:p>
    <w:p w14:paraId="3DBB4F0D" w14:textId="77777777" w:rsidR="00023F88" w:rsidRPr="0079308B" w:rsidRDefault="00023F88" w:rsidP="002658F6">
      <w:pPr>
        <w:spacing w:line="360" w:lineRule="auto"/>
        <w:rPr>
          <w:rFonts w:eastAsia="Calibri" w:cstheme="minorHAnsi"/>
          <w:sz w:val="22"/>
          <w:szCs w:val="22"/>
          <w:lang w:val="en-US"/>
        </w:rPr>
      </w:pPr>
    </w:p>
    <w:p w14:paraId="2561EED1" w14:textId="48E0E64D" w:rsidR="002658F6" w:rsidRPr="0079308B" w:rsidRDefault="002658F6" w:rsidP="00010E2E">
      <w:pPr>
        <w:spacing w:line="360" w:lineRule="auto"/>
        <w:rPr>
          <w:rFonts w:eastAsia="Calibri" w:cstheme="minorHAnsi"/>
          <w:color w:val="000000" w:themeColor="text1"/>
          <w:sz w:val="22"/>
          <w:szCs w:val="22"/>
          <w:lang w:val="en-US"/>
        </w:rPr>
      </w:pPr>
      <w:r w:rsidRPr="0079308B">
        <w:rPr>
          <w:rFonts w:cstheme="minorHAnsi"/>
          <w:sz w:val="22"/>
          <w:szCs w:val="22"/>
        </w:rPr>
        <w:t>In addition to HCC surveillance early-diagnosis of liver disease c</w:t>
      </w:r>
      <w:r w:rsidR="008E25D0" w:rsidRPr="0079308B">
        <w:rPr>
          <w:rFonts w:cstheme="minorHAnsi"/>
          <w:sz w:val="22"/>
          <w:szCs w:val="22"/>
        </w:rPr>
        <w:t>an</w:t>
      </w:r>
      <w:r w:rsidRPr="0079308B">
        <w:rPr>
          <w:rFonts w:cstheme="minorHAnsi"/>
          <w:sz w:val="22"/>
          <w:szCs w:val="22"/>
        </w:rPr>
        <w:t xml:space="preserve"> facilitate </w:t>
      </w:r>
      <w:r w:rsidR="008E25D0" w:rsidRPr="0079308B">
        <w:rPr>
          <w:rFonts w:cstheme="minorHAnsi"/>
          <w:sz w:val="22"/>
          <w:szCs w:val="22"/>
        </w:rPr>
        <w:t xml:space="preserve">positive </w:t>
      </w:r>
      <w:r w:rsidRPr="0079308B">
        <w:rPr>
          <w:rFonts w:cstheme="minorHAnsi"/>
          <w:sz w:val="22"/>
          <w:szCs w:val="22"/>
        </w:rPr>
        <w:t>intervention</w:t>
      </w:r>
      <w:r w:rsidR="008E25D0" w:rsidRPr="0079308B">
        <w:rPr>
          <w:rFonts w:cstheme="minorHAnsi"/>
          <w:sz w:val="22"/>
          <w:szCs w:val="22"/>
        </w:rPr>
        <w:t>s</w:t>
      </w:r>
      <w:r w:rsidR="00BE38E1" w:rsidRPr="0079308B">
        <w:rPr>
          <w:rFonts w:cstheme="minorHAnsi"/>
          <w:sz w:val="22"/>
          <w:szCs w:val="22"/>
        </w:rPr>
        <w:t xml:space="preserve"> aim</w:t>
      </w:r>
      <w:r w:rsidR="00415096" w:rsidRPr="0079308B">
        <w:rPr>
          <w:rFonts w:cstheme="minorHAnsi"/>
          <w:sz w:val="22"/>
          <w:szCs w:val="22"/>
        </w:rPr>
        <w:t>ed</w:t>
      </w:r>
      <w:r w:rsidR="00BE38E1" w:rsidRPr="0079308B">
        <w:rPr>
          <w:rFonts w:cstheme="minorHAnsi"/>
          <w:sz w:val="22"/>
          <w:szCs w:val="22"/>
        </w:rPr>
        <w:t xml:space="preserve"> a</w:t>
      </w:r>
      <w:r w:rsidR="00415096" w:rsidRPr="0079308B">
        <w:rPr>
          <w:rFonts w:cstheme="minorHAnsi"/>
          <w:sz w:val="22"/>
          <w:szCs w:val="22"/>
        </w:rPr>
        <w:t>t</w:t>
      </w:r>
      <w:r w:rsidR="00BE38E1" w:rsidRPr="0079308B">
        <w:rPr>
          <w:rFonts w:cstheme="minorHAnsi"/>
          <w:sz w:val="22"/>
          <w:szCs w:val="22"/>
        </w:rPr>
        <w:t xml:space="preserve"> improving patient outcomes. These include</w:t>
      </w:r>
      <w:r w:rsidRPr="0079308B">
        <w:rPr>
          <w:rFonts w:cstheme="minorHAnsi"/>
          <w:sz w:val="22"/>
          <w:szCs w:val="22"/>
        </w:rPr>
        <w:t xml:space="preserve"> optimisation of blood </w:t>
      </w:r>
      <w:r w:rsidR="00BE38E1" w:rsidRPr="0079308B">
        <w:rPr>
          <w:rFonts w:cstheme="minorHAnsi"/>
          <w:sz w:val="22"/>
          <w:szCs w:val="22"/>
        </w:rPr>
        <w:t>glucose</w:t>
      </w:r>
      <w:r w:rsidRPr="0079308B">
        <w:rPr>
          <w:rFonts w:cstheme="minorHAnsi"/>
          <w:sz w:val="22"/>
          <w:szCs w:val="22"/>
        </w:rPr>
        <w:t xml:space="preserve"> control</w:t>
      </w:r>
      <w:r w:rsidR="00BE38E1" w:rsidRPr="0079308B">
        <w:rPr>
          <w:rFonts w:cstheme="minorHAnsi"/>
          <w:sz w:val="22"/>
          <w:szCs w:val="22"/>
        </w:rPr>
        <w:t xml:space="preserve"> in people with T2DM</w:t>
      </w:r>
      <w:r w:rsidRPr="0079308B">
        <w:rPr>
          <w:rFonts w:cstheme="minorHAnsi"/>
          <w:sz w:val="22"/>
          <w:szCs w:val="22"/>
        </w:rPr>
        <w:t xml:space="preserve">, </w:t>
      </w:r>
      <w:r w:rsidRPr="0079308B">
        <w:rPr>
          <w:rFonts w:cstheme="minorHAnsi"/>
          <w:color w:val="000000" w:themeColor="text1"/>
          <w:sz w:val="22"/>
          <w:szCs w:val="22"/>
        </w:rPr>
        <w:t>dietary modification</w:t>
      </w:r>
      <w:r w:rsidR="00BE38E1" w:rsidRPr="0079308B">
        <w:rPr>
          <w:rFonts w:cstheme="minorHAnsi"/>
          <w:color w:val="000000" w:themeColor="text1"/>
          <w:sz w:val="22"/>
          <w:szCs w:val="22"/>
        </w:rPr>
        <w:t xml:space="preserve"> and treatments to facilitate weight loss</w:t>
      </w:r>
      <w:r w:rsidRPr="0079308B">
        <w:rPr>
          <w:rFonts w:cstheme="minorHAnsi"/>
          <w:color w:val="000000" w:themeColor="text1"/>
          <w:sz w:val="22"/>
          <w:szCs w:val="22"/>
        </w:rPr>
        <w:t xml:space="preserve">, moderation, or complete abstinence from alcohol </w:t>
      </w:r>
      <w:r w:rsidR="00A25862" w:rsidRPr="0079308B">
        <w:rPr>
          <w:rFonts w:cstheme="minorHAnsi"/>
          <w:color w:val="000000" w:themeColor="text1"/>
          <w:sz w:val="22"/>
          <w:szCs w:val="22"/>
        </w:rPr>
        <w:t>[</w:t>
      </w:r>
      <w:r w:rsidRPr="0079308B">
        <w:rPr>
          <w:rFonts w:cstheme="minorHAnsi"/>
          <w:color w:val="000000" w:themeColor="text1"/>
          <w:sz w:val="22"/>
          <w:szCs w:val="22"/>
        </w:rPr>
        <w:t xml:space="preserve">a co-factor in liver disease progression for these </w:t>
      </w:r>
      <w:proofErr w:type="gramStart"/>
      <w:r w:rsidRPr="0079308B">
        <w:rPr>
          <w:rFonts w:cstheme="minorHAnsi"/>
          <w:color w:val="000000" w:themeColor="text1"/>
          <w:sz w:val="22"/>
          <w:szCs w:val="22"/>
        </w:rPr>
        <w:t>patients</w:t>
      </w:r>
      <w:r w:rsidR="00A25862" w:rsidRPr="0079308B">
        <w:rPr>
          <w:rFonts w:cstheme="minorHAnsi"/>
          <w:noProof/>
          <w:color w:val="000000" w:themeColor="text1"/>
          <w:sz w:val="22"/>
          <w:szCs w:val="22"/>
        </w:rPr>
        <w:t>[</w:t>
      </w:r>
      <w:proofErr w:type="gramEnd"/>
      <w:r w:rsidR="001B2D3B" w:rsidRPr="0079308B">
        <w:rPr>
          <w:rFonts w:cstheme="minorHAnsi"/>
          <w:noProof/>
          <w:color w:val="000000" w:themeColor="text1"/>
          <w:sz w:val="22"/>
          <w:szCs w:val="22"/>
        </w:rPr>
        <w:t>22</w:t>
      </w:r>
      <w:r w:rsidR="00A25862" w:rsidRPr="0079308B">
        <w:rPr>
          <w:rFonts w:cstheme="minorHAnsi"/>
          <w:noProof/>
          <w:color w:val="000000" w:themeColor="text1"/>
          <w:sz w:val="22"/>
          <w:szCs w:val="22"/>
        </w:rPr>
        <w:t>]</w:t>
      </w:r>
      <w:r w:rsidR="00A25862" w:rsidRPr="0079308B">
        <w:rPr>
          <w:rFonts w:cstheme="minorHAnsi"/>
          <w:color w:val="000000" w:themeColor="text1"/>
          <w:sz w:val="22"/>
          <w:szCs w:val="22"/>
        </w:rPr>
        <w:t>]</w:t>
      </w:r>
      <w:r w:rsidR="00894803" w:rsidRPr="0079308B">
        <w:rPr>
          <w:rFonts w:cstheme="minorHAnsi"/>
          <w:color w:val="000000" w:themeColor="text1"/>
          <w:sz w:val="22"/>
          <w:szCs w:val="22"/>
        </w:rPr>
        <w:t xml:space="preserve"> </w:t>
      </w:r>
      <w:r w:rsidRPr="0079308B">
        <w:rPr>
          <w:rFonts w:cstheme="minorHAnsi"/>
          <w:color w:val="000000" w:themeColor="text1"/>
          <w:sz w:val="22"/>
          <w:szCs w:val="22"/>
        </w:rPr>
        <w:t xml:space="preserve">and potentially pharmacotherapy </w:t>
      </w:r>
      <w:r w:rsidRPr="0079308B">
        <w:rPr>
          <w:rFonts w:ascii="Calibri" w:hAnsi="Calibri" w:cs="Calibri"/>
          <w:color w:val="000000" w:themeColor="text1"/>
          <w:sz w:val="22"/>
          <w:szCs w:val="22"/>
        </w:rPr>
        <w:t>that reduces fibrogenesis</w:t>
      </w:r>
      <w:r w:rsidR="00BE38E1" w:rsidRPr="0079308B">
        <w:rPr>
          <w:rFonts w:ascii="Calibri" w:hAnsi="Calibri" w:cs="Calibri"/>
          <w:color w:val="000000" w:themeColor="text1"/>
          <w:sz w:val="22"/>
          <w:szCs w:val="22"/>
        </w:rPr>
        <w:t>. With respect to the latter, on 14</w:t>
      </w:r>
      <w:r w:rsidR="00BE38E1" w:rsidRPr="0079308B">
        <w:rPr>
          <w:rFonts w:ascii="Calibri" w:hAnsi="Calibri" w:cs="Calibri"/>
          <w:color w:val="000000" w:themeColor="text1"/>
          <w:sz w:val="22"/>
          <w:szCs w:val="22"/>
          <w:vertAlign w:val="superscript"/>
        </w:rPr>
        <w:t>th</w:t>
      </w:r>
      <w:r w:rsidR="00BE38E1" w:rsidRPr="0079308B">
        <w:rPr>
          <w:rFonts w:ascii="Calibri" w:hAnsi="Calibri" w:cs="Calibri"/>
          <w:color w:val="000000" w:themeColor="text1"/>
          <w:sz w:val="22"/>
          <w:szCs w:val="22"/>
        </w:rPr>
        <w:t xml:space="preserve"> March 2024, </w:t>
      </w:r>
      <w:proofErr w:type="spellStart"/>
      <w:proofErr w:type="gramStart"/>
      <w:r w:rsidR="00041AE9" w:rsidRPr="0079308B">
        <w:rPr>
          <w:rFonts w:ascii="Calibri" w:hAnsi="Calibri" w:cs="Calibri"/>
          <w:color w:val="000000" w:themeColor="text1"/>
          <w:sz w:val="22"/>
          <w:szCs w:val="22"/>
        </w:rPr>
        <w:t>R</w:t>
      </w:r>
      <w:r w:rsidR="00BE38E1" w:rsidRPr="0079308B">
        <w:rPr>
          <w:rFonts w:ascii="Calibri" w:hAnsi="Calibri" w:cs="Calibri"/>
          <w:color w:val="000000" w:themeColor="text1"/>
          <w:sz w:val="22"/>
          <w:szCs w:val="22"/>
        </w:rPr>
        <w:t>esmetirom</w:t>
      </w:r>
      <w:proofErr w:type="spellEnd"/>
      <w:r w:rsidR="00A25862" w:rsidRPr="0079308B">
        <w:rPr>
          <w:rFonts w:ascii="Calibri" w:hAnsi="Calibri" w:cs="Calibri"/>
          <w:noProof/>
          <w:color w:val="000000" w:themeColor="text1"/>
          <w:sz w:val="22"/>
          <w:szCs w:val="22"/>
        </w:rPr>
        <w:t>[</w:t>
      </w:r>
      <w:proofErr w:type="gramEnd"/>
      <w:r w:rsidR="001B2D3B" w:rsidRPr="0079308B">
        <w:rPr>
          <w:rFonts w:ascii="Calibri" w:hAnsi="Calibri" w:cs="Calibri"/>
          <w:noProof/>
          <w:color w:val="000000" w:themeColor="text1"/>
          <w:sz w:val="22"/>
          <w:szCs w:val="22"/>
        </w:rPr>
        <w:t>23</w:t>
      </w:r>
      <w:r w:rsidR="00A25862" w:rsidRPr="0079308B">
        <w:rPr>
          <w:rFonts w:ascii="Calibri" w:hAnsi="Calibri" w:cs="Calibri"/>
          <w:noProof/>
          <w:color w:val="000000" w:themeColor="text1"/>
          <w:sz w:val="22"/>
          <w:szCs w:val="22"/>
        </w:rPr>
        <w:t>]</w:t>
      </w:r>
      <w:r w:rsidR="00BE38E1" w:rsidRPr="0079308B">
        <w:rPr>
          <w:rFonts w:ascii="Calibri" w:hAnsi="Calibri" w:cs="Calibri"/>
          <w:color w:val="000000" w:themeColor="text1"/>
          <w:kern w:val="0"/>
          <w:sz w:val="22"/>
          <w:szCs w:val="22"/>
        </w:rPr>
        <w:t xml:space="preserve"> was given conditional approval by the US Food and Drug Administration </w:t>
      </w:r>
      <w:r w:rsidR="00A25862" w:rsidRPr="0079308B">
        <w:rPr>
          <w:rFonts w:ascii="Calibri" w:hAnsi="Calibri" w:cs="Calibri"/>
          <w:color w:val="000000" w:themeColor="text1"/>
          <w:kern w:val="0"/>
          <w:sz w:val="22"/>
          <w:szCs w:val="22"/>
        </w:rPr>
        <w:t>[</w:t>
      </w:r>
      <w:r w:rsidR="00BE38E1" w:rsidRPr="0079308B">
        <w:rPr>
          <w:rFonts w:ascii="Calibri" w:hAnsi="Calibri" w:cs="Calibri"/>
          <w:color w:val="000000" w:themeColor="text1"/>
          <w:kern w:val="0"/>
          <w:sz w:val="22"/>
          <w:szCs w:val="22"/>
        </w:rPr>
        <w:t>FDA</w:t>
      </w:r>
      <w:r w:rsidR="00A25862" w:rsidRPr="0079308B">
        <w:rPr>
          <w:rFonts w:ascii="Calibri" w:hAnsi="Calibri" w:cs="Calibri"/>
          <w:color w:val="000000" w:themeColor="text1"/>
          <w:kern w:val="0"/>
          <w:sz w:val="22"/>
          <w:szCs w:val="22"/>
        </w:rPr>
        <w:t>]</w:t>
      </w:r>
      <w:r w:rsidR="00BE38E1" w:rsidRPr="0079308B">
        <w:rPr>
          <w:rFonts w:ascii="Calibri" w:hAnsi="Calibri" w:cs="Calibri"/>
          <w:color w:val="000000" w:themeColor="text1"/>
          <w:kern w:val="0"/>
          <w:sz w:val="22"/>
          <w:szCs w:val="22"/>
        </w:rPr>
        <w:t xml:space="preserve"> for the </w:t>
      </w:r>
      <w:r w:rsidR="00BE38E1" w:rsidRPr="0079308B">
        <w:rPr>
          <w:rFonts w:ascii="Calibri" w:hAnsi="Calibri" w:cs="Calibri"/>
          <w:color w:val="000000" w:themeColor="text1"/>
          <w:kern w:val="0"/>
          <w:sz w:val="22"/>
          <w:szCs w:val="22"/>
        </w:rPr>
        <w:lastRenderedPageBreak/>
        <w:t xml:space="preserve">treatment </w:t>
      </w:r>
      <w:r w:rsidR="00BE38E1" w:rsidRPr="0079308B">
        <w:rPr>
          <w:rFonts w:ascii="Calibri" w:hAnsi="Calibri" w:cs="Calibri"/>
          <w:color w:val="000000" w:themeColor="text1"/>
          <w:sz w:val="22"/>
          <w:szCs w:val="22"/>
          <w:shd w:val="clear" w:color="auto" w:fill="FFFFFF"/>
        </w:rPr>
        <w:t xml:space="preserve">of adults with noncirrhotic non-alcoholic steatohepatitis </w:t>
      </w:r>
      <w:r w:rsidR="00A25862" w:rsidRPr="0079308B">
        <w:rPr>
          <w:rFonts w:ascii="Calibri" w:hAnsi="Calibri" w:cs="Calibri"/>
          <w:color w:val="000000" w:themeColor="text1"/>
          <w:sz w:val="22"/>
          <w:szCs w:val="22"/>
          <w:shd w:val="clear" w:color="auto" w:fill="FFFFFF"/>
        </w:rPr>
        <w:t>[</w:t>
      </w:r>
      <w:r w:rsidR="00BE38E1" w:rsidRPr="0079308B">
        <w:rPr>
          <w:rFonts w:ascii="Calibri" w:hAnsi="Calibri" w:cs="Calibri"/>
          <w:color w:val="000000" w:themeColor="text1"/>
          <w:sz w:val="22"/>
          <w:szCs w:val="22"/>
          <w:shd w:val="clear" w:color="auto" w:fill="FFFFFF"/>
        </w:rPr>
        <w:t>NASH</w:t>
      </w:r>
      <w:r w:rsidR="00A25862" w:rsidRPr="0079308B">
        <w:rPr>
          <w:rFonts w:ascii="Calibri" w:hAnsi="Calibri" w:cs="Calibri"/>
          <w:color w:val="000000" w:themeColor="text1"/>
          <w:sz w:val="22"/>
          <w:szCs w:val="22"/>
          <w:shd w:val="clear" w:color="auto" w:fill="FFFFFF"/>
        </w:rPr>
        <w:t>]</w:t>
      </w:r>
      <w:r w:rsidR="00BE38E1" w:rsidRPr="0079308B">
        <w:rPr>
          <w:rFonts w:ascii="Calibri" w:hAnsi="Calibri" w:cs="Calibri"/>
          <w:color w:val="000000" w:themeColor="text1"/>
          <w:sz w:val="22"/>
          <w:szCs w:val="22"/>
          <w:shd w:val="clear" w:color="auto" w:fill="FFFFFF"/>
        </w:rPr>
        <w:t xml:space="preserve"> with moderate to advanced liver scarring </w:t>
      </w:r>
      <w:r w:rsidR="00A25862" w:rsidRPr="0079308B">
        <w:rPr>
          <w:rFonts w:ascii="Calibri" w:hAnsi="Calibri" w:cs="Calibri"/>
          <w:color w:val="000000" w:themeColor="text1"/>
          <w:sz w:val="22"/>
          <w:szCs w:val="22"/>
          <w:shd w:val="clear" w:color="auto" w:fill="FFFFFF"/>
        </w:rPr>
        <w:t>[</w:t>
      </w:r>
      <w:r w:rsidR="00BE38E1" w:rsidRPr="0079308B">
        <w:rPr>
          <w:rFonts w:ascii="Calibri" w:hAnsi="Calibri" w:cs="Calibri"/>
          <w:color w:val="000000" w:themeColor="text1"/>
          <w:sz w:val="22"/>
          <w:szCs w:val="22"/>
          <w:shd w:val="clear" w:color="auto" w:fill="FFFFFF"/>
        </w:rPr>
        <w:t>fibrosis</w:t>
      </w:r>
      <w:r w:rsidR="00A25862" w:rsidRPr="0079308B">
        <w:rPr>
          <w:rFonts w:ascii="Calibri" w:hAnsi="Calibri" w:cs="Calibri"/>
          <w:color w:val="000000" w:themeColor="text1"/>
          <w:sz w:val="22"/>
          <w:szCs w:val="22"/>
          <w:shd w:val="clear" w:color="auto" w:fill="FFFFFF"/>
        </w:rPr>
        <w:t>]</w:t>
      </w:r>
      <w:r w:rsidR="00BE38E1" w:rsidRPr="0079308B">
        <w:rPr>
          <w:rFonts w:ascii="Calibri" w:hAnsi="Calibri" w:cs="Calibri"/>
          <w:color w:val="000000" w:themeColor="text1"/>
          <w:sz w:val="22"/>
          <w:szCs w:val="22"/>
          <w:shd w:val="clear" w:color="auto" w:fill="FFFFFF"/>
        </w:rPr>
        <w:t xml:space="preserve"> alongside diet and exercise</w:t>
      </w:r>
      <w:r w:rsidR="00BE38E1" w:rsidRPr="0079308B">
        <w:rPr>
          <w:rFonts w:ascii="Calibri" w:hAnsi="Calibri" w:cs="Calibri"/>
          <w:color w:val="000000" w:themeColor="text1"/>
          <w:kern w:val="0"/>
          <w:sz w:val="22"/>
          <w:szCs w:val="22"/>
        </w:rPr>
        <w:t>.</w:t>
      </w:r>
      <w:r w:rsidR="00BE38E1" w:rsidRPr="0079308B">
        <w:rPr>
          <w:rFonts w:ascii="Segoe UI" w:hAnsi="Segoe UI" w:cs="Segoe UI"/>
          <w:color w:val="000000" w:themeColor="text1"/>
          <w:kern w:val="0"/>
          <w:sz w:val="18"/>
          <w:szCs w:val="18"/>
        </w:rPr>
        <w:t xml:space="preserve"> </w:t>
      </w:r>
      <w:r w:rsidRPr="0079308B">
        <w:rPr>
          <w:rFonts w:cstheme="minorHAnsi"/>
          <w:color w:val="000000" w:themeColor="text1"/>
          <w:sz w:val="22"/>
          <w:szCs w:val="22"/>
        </w:rPr>
        <w:t xml:space="preserve"> Furthermore, selected patients could </w:t>
      </w:r>
      <w:r w:rsidR="00BE38E1" w:rsidRPr="0079308B">
        <w:rPr>
          <w:rFonts w:cstheme="minorHAnsi"/>
          <w:color w:val="000000" w:themeColor="text1"/>
          <w:sz w:val="22"/>
          <w:szCs w:val="22"/>
        </w:rPr>
        <w:t>be prescribed</w:t>
      </w:r>
      <w:r w:rsidRPr="0079308B">
        <w:rPr>
          <w:rFonts w:cstheme="minorHAnsi"/>
          <w:color w:val="000000" w:themeColor="text1"/>
          <w:sz w:val="22"/>
          <w:szCs w:val="22"/>
        </w:rPr>
        <w:t xml:space="preserve"> beta blocker therapy to reduce mortality from bleeding oesophageal varices</w:t>
      </w:r>
      <w:r w:rsidR="00BE38E1" w:rsidRPr="0079308B">
        <w:rPr>
          <w:rFonts w:cstheme="minorHAnsi"/>
          <w:color w:val="000000" w:themeColor="text1"/>
          <w:sz w:val="22"/>
          <w:szCs w:val="22"/>
        </w:rPr>
        <w:t xml:space="preserve"> and</w:t>
      </w:r>
      <w:r w:rsidRPr="0079308B">
        <w:rPr>
          <w:rFonts w:cstheme="minorHAnsi"/>
          <w:color w:val="000000" w:themeColor="text1"/>
          <w:sz w:val="22"/>
          <w:szCs w:val="22"/>
        </w:rPr>
        <w:t xml:space="preserve"> </w:t>
      </w:r>
      <w:r w:rsidR="00BE38E1" w:rsidRPr="0079308B">
        <w:rPr>
          <w:rFonts w:cstheme="minorHAnsi"/>
          <w:color w:val="000000" w:themeColor="text1"/>
          <w:sz w:val="22"/>
          <w:szCs w:val="22"/>
        </w:rPr>
        <w:t xml:space="preserve">to </w:t>
      </w:r>
      <w:r w:rsidRPr="0079308B">
        <w:rPr>
          <w:rFonts w:cstheme="minorHAnsi"/>
          <w:color w:val="000000" w:themeColor="text1"/>
          <w:sz w:val="22"/>
          <w:szCs w:val="22"/>
        </w:rPr>
        <w:t>reduce risk of liver decompensation</w:t>
      </w:r>
      <w:r w:rsidR="00F07262" w:rsidRPr="0079308B">
        <w:rPr>
          <w:rFonts w:cstheme="minorHAnsi"/>
          <w:color w:val="000000" w:themeColor="text1"/>
          <w:sz w:val="22"/>
          <w:szCs w:val="22"/>
        </w:rPr>
        <w:t>.</w:t>
      </w:r>
      <w:r w:rsidR="00A25862" w:rsidRPr="0079308B">
        <w:rPr>
          <w:rFonts w:cstheme="minorHAnsi"/>
          <w:noProof/>
          <w:color w:val="000000" w:themeColor="text1"/>
          <w:sz w:val="22"/>
          <w:szCs w:val="22"/>
        </w:rPr>
        <w:t>[</w:t>
      </w:r>
      <w:r w:rsidR="001B2D3B" w:rsidRPr="0079308B">
        <w:rPr>
          <w:rFonts w:cstheme="minorHAnsi"/>
          <w:noProof/>
          <w:color w:val="000000" w:themeColor="text1"/>
          <w:sz w:val="22"/>
          <w:szCs w:val="22"/>
        </w:rPr>
        <w:t>24</w:t>
      </w:r>
      <w:r w:rsidR="00A25862" w:rsidRPr="0079308B">
        <w:rPr>
          <w:rFonts w:cstheme="minorHAnsi"/>
          <w:noProof/>
          <w:color w:val="000000" w:themeColor="text1"/>
          <w:sz w:val="22"/>
          <w:szCs w:val="22"/>
        </w:rPr>
        <w:t>]</w:t>
      </w:r>
    </w:p>
    <w:p w14:paraId="6475CB7A" w14:textId="77777777" w:rsidR="0003104A" w:rsidRPr="0079308B" w:rsidRDefault="0003104A" w:rsidP="0003104A">
      <w:pPr>
        <w:spacing w:line="360" w:lineRule="auto"/>
        <w:rPr>
          <w:rFonts w:cstheme="minorHAnsi"/>
          <w:sz w:val="22"/>
          <w:szCs w:val="22"/>
        </w:rPr>
      </w:pPr>
    </w:p>
    <w:p w14:paraId="0E196ECB" w14:textId="39C3798D" w:rsidR="0018443B" w:rsidRPr="0079308B" w:rsidRDefault="00023F88" w:rsidP="0003104A">
      <w:pPr>
        <w:spacing w:line="360" w:lineRule="auto"/>
        <w:rPr>
          <w:rFonts w:cstheme="minorHAnsi"/>
          <w:sz w:val="22"/>
          <w:szCs w:val="22"/>
        </w:rPr>
      </w:pPr>
      <w:r w:rsidRPr="0079308B">
        <w:rPr>
          <w:rFonts w:cstheme="minorHAnsi"/>
          <w:sz w:val="22"/>
          <w:szCs w:val="22"/>
        </w:rPr>
        <w:t>In addition to being recommended in the USA</w:t>
      </w:r>
      <w:r w:rsidR="00A25862" w:rsidRPr="0079308B">
        <w:rPr>
          <w:rFonts w:cstheme="minorHAnsi"/>
          <w:noProof/>
          <w:sz w:val="22"/>
          <w:szCs w:val="22"/>
        </w:rPr>
        <w:t>[</w:t>
      </w:r>
      <w:r w:rsidR="001B2D3B" w:rsidRPr="0079308B">
        <w:rPr>
          <w:rFonts w:cstheme="minorHAnsi"/>
          <w:noProof/>
          <w:sz w:val="22"/>
          <w:szCs w:val="22"/>
        </w:rPr>
        <w:t>25,26</w:t>
      </w:r>
      <w:r w:rsidR="00A25862" w:rsidRPr="0079308B">
        <w:rPr>
          <w:rFonts w:cstheme="minorHAnsi"/>
          <w:noProof/>
          <w:sz w:val="22"/>
          <w:szCs w:val="22"/>
        </w:rPr>
        <w:t>]</w:t>
      </w:r>
      <w:r w:rsidRPr="0079308B">
        <w:rPr>
          <w:rFonts w:cstheme="minorHAnsi"/>
          <w:sz w:val="22"/>
          <w:szCs w:val="22"/>
        </w:rPr>
        <w:t>, s</w:t>
      </w:r>
      <w:r w:rsidR="0018443B" w:rsidRPr="0079308B">
        <w:rPr>
          <w:rFonts w:cstheme="minorHAnsi"/>
          <w:sz w:val="22"/>
          <w:szCs w:val="22"/>
        </w:rPr>
        <w:t xml:space="preserve">creening for liver disease in patients with T2DM and obesity has recently been adopted as a national pilot in England </w:t>
      </w:r>
      <w:r w:rsidR="00BE38E1" w:rsidRPr="0079308B">
        <w:rPr>
          <w:rFonts w:cstheme="minorHAnsi"/>
          <w:sz w:val="22"/>
          <w:szCs w:val="22"/>
        </w:rPr>
        <w:t>that</w:t>
      </w:r>
      <w:r w:rsidR="00B76128" w:rsidRPr="0079308B">
        <w:rPr>
          <w:rFonts w:cstheme="minorHAnsi"/>
          <w:sz w:val="22"/>
          <w:szCs w:val="22"/>
        </w:rPr>
        <w:t xml:space="preserve"> has been</w:t>
      </w:r>
      <w:r w:rsidR="0018443B" w:rsidRPr="0079308B">
        <w:rPr>
          <w:rFonts w:cstheme="minorHAnsi"/>
          <w:sz w:val="22"/>
          <w:szCs w:val="22"/>
        </w:rPr>
        <w:t xml:space="preserve"> </w:t>
      </w:r>
      <w:r w:rsidR="00722D8A" w:rsidRPr="0079308B">
        <w:rPr>
          <w:rFonts w:cstheme="minorHAnsi"/>
          <w:sz w:val="22"/>
          <w:szCs w:val="22"/>
        </w:rPr>
        <w:t xml:space="preserve">funded by the </w:t>
      </w:r>
      <w:r w:rsidR="00BE38E1" w:rsidRPr="0079308B">
        <w:rPr>
          <w:rFonts w:cstheme="minorHAnsi"/>
          <w:sz w:val="22"/>
          <w:szCs w:val="22"/>
        </w:rPr>
        <w:t xml:space="preserve">National Health Service England </w:t>
      </w:r>
      <w:r w:rsidR="00A25862" w:rsidRPr="0079308B">
        <w:rPr>
          <w:rFonts w:cstheme="minorHAnsi"/>
          <w:sz w:val="22"/>
          <w:szCs w:val="22"/>
        </w:rPr>
        <w:t>[</w:t>
      </w:r>
      <w:r w:rsidR="0018443B" w:rsidRPr="0079308B">
        <w:rPr>
          <w:rFonts w:cstheme="minorHAnsi"/>
          <w:sz w:val="22"/>
          <w:szCs w:val="22"/>
        </w:rPr>
        <w:t>NHS</w:t>
      </w:r>
      <w:r w:rsidR="00722D8A" w:rsidRPr="0079308B">
        <w:rPr>
          <w:rFonts w:cstheme="minorHAnsi"/>
          <w:sz w:val="22"/>
          <w:szCs w:val="22"/>
        </w:rPr>
        <w:t>E</w:t>
      </w:r>
      <w:r w:rsidR="00A25862" w:rsidRPr="0079308B">
        <w:rPr>
          <w:rFonts w:cstheme="minorHAnsi"/>
          <w:sz w:val="22"/>
          <w:szCs w:val="22"/>
        </w:rPr>
        <w:t>]</w:t>
      </w:r>
      <w:r w:rsidR="00722D8A" w:rsidRPr="0079308B">
        <w:rPr>
          <w:rFonts w:cstheme="minorHAnsi"/>
          <w:sz w:val="22"/>
          <w:szCs w:val="22"/>
        </w:rPr>
        <w:t xml:space="preserve"> cancer service</w:t>
      </w:r>
      <w:r w:rsidR="00894803" w:rsidRPr="0079308B">
        <w:rPr>
          <w:rFonts w:cstheme="minorHAnsi"/>
          <w:sz w:val="22"/>
          <w:szCs w:val="22"/>
        </w:rPr>
        <w:t>.</w:t>
      </w:r>
      <w:r w:rsidR="00A25862" w:rsidRPr="0079308B">
        <w:rPr>
          <w:rFonts w:cstheme="minorHAnsi"/>
          <w:noProof/>
          <w:sz w:val="22"/>
          <w:szCs w:val="22"/>
        </w:rPr>
        <w:t>[</w:t>
      </w:r>
      <w:r w:rsidR="001B2D3B" w:rsidRPr="0079308B">
        <w:rPr>
          <w:rFonts w:cstheme="minorHAnsi"/>
          <w:noProof/>
          <w:sz w:val="22"/>
          <w:szCs w:val="22"/>
        </w:rPr>
        <w:t>27</w:t>
      </w:r>
      <w:r w:rsidR="00A25862" w:rsidRPr="0079308B">
        <w:rPr>
          <w:rFonts w:cstheme="minorHAnsi"/>
          <w:noProof/>
          <w:sz w:val="22"/>
          <w:szCs w:val="22"/>
        </w:rPr>
        <w:t>]</w:t>
      </w:r>
      <w:r w:rsidR="00722D8A" w:rsidRPr="0079308B">
        <w:rPr>
          <w:rFonts w:cstheme="minorHAnsi"/>
          <w:sz w:val="22"/>
          <w:szCs w:val="22"/>
        </w:rPr>
        <w:t xml:space="preserve"> </w:t>
      </w:r>
      <w:r w:rsidR="0018443B" w:rsidRPr="0079308B">
        <w:rPr>
          <w:rFonts w:cstheme="minorHAnsi"/>
          <w:sz w:val="22"/>
          <w:szCs w:val="22"/>
        </w:rPr>
        <w:t xml:space="preserve">The national pilot uses a </w:t>
      </w:r>
      <w:r w:rsidR="00F07262" w:rsidRPr="0079308B">
        <w:rPr>
          <w:rFonts w:cstheme="minorHAnsi"/>
          <w:sz w:val="22"/>
          <w:szCs w:val="22"/>
        </w:rPr>
        <w:t>primary care</w:t>
      </w:r>
      <w:r w:rsidR="0018443B" w:rsidRPr="0079308B">
        <w:rPr>
          <w:rFonts w:cstheme="minorHAnsi"/>
          <w:sz w:val="22"/>
          <w:szCs w:val="22"/>
        </w:rPr>
        <w:t xml:space="preserve"> based search </w:t>
      </w:r>
      <w:r w:rsidR="00F27FF7" w:rsidRPr="0079308B">
        <w:rPr>
          <w:rFonts w:cstheme="minorHAnsi"/>
          <w:sz w:val="22"/>
          <w:szCs w:val="22"/>
        </w:rPr>
        <w:t xml:space="preserve">algorithm </w:t>
      </w:r>
      <w:r w:rsidR="0018443B" w:rsidRPr="0079308B">
        <w:rPr>
          <w:rFonts w:cstheme="minorHAnsi"/>
          <w:sz w:val="22"/>
          <w:szCs w:val="22"/>
        </w:rPr>
        <w:t>for T2DM a</w:t>
      </w:r>
      <w:r w:rsidR="00BE38E1" w:rsidRPr="0079308B">
        <w:rPr>
          <w:rFonts w:cstheme="minorHAnsi"/>
          <w:sz w:val="22"/>
          <w:szCs w:val="22"/>
        </w:rPr>
        <w:t>s well as</w:t>
      </w:r>
      <w:r w:rsidR="0018443B" w:rsidRPr="0079308B">
        <w:rPr>
          <w:rFonts w:cstheme="minorHAnsi"/>
          <w:sz w:val="22"/>
          <w:szCs w:val="22"/>
        </w:rPr>
        <w:t xml:space="preserve"> other risk factors for liver disease</w:t>
      </w:r>
      <w:r w:rsidR="00BE38E1" w:rsidRPr="0079308B">
        <w:rPr>
          <w:rFonts w:cstheme="minorHAnsi"/>
          <w:sz w:val="22"/>
          <w:szCs w:val="22"/>
        </w:rPr>
        <w:t xml:space="preserve"> </w:t>
      </w:r>
      <w:r w:rsidR="00A25862" w:rsidRPr="0079308B">
        <w:rPr>
          <w:rFonts w:cstheme="minorHAnsi"/>
          <w:sz w:val="22"/>
          <w:szCs w:val="22"/>
        </w:rPr>
        <w:t>[</w:t>
      </w:r>
      <w:r w:rsidR="00BE38E1" w:rsidRPr="0079308B">
        <w:rPr>
          <w:rFonts w:cstheme="minorHAnsi"/>
          <w:sz w:val="22"/>
          <w:szCs w:val="22"/>
        </w:rPr>
        <w:t>such as hazardous alcohol consumption</w:t>
      </w:r>
      <w:r w:rsidR="00A25862" w:rsidRPr="0079308B">
        <w:rPr>
          <w:rFonts w:cstheme="minorHAnsi"/>
          <w:sz w:val="22"/>
          <w:szCs w:val="22"/>
        </w:rPr>
        <w:t>]</w:t>
      </w:r>
      <w:r w:rsidR="0018443B" w:rsidRPr="0079308B">
        <w:rPr>
          <w:rFonts w:cstheme="minorHAnsi"/>
          <w:sz w:val="22"/>
          <w:szCs w:val="22"/>
        </w:rPr>
        <w:t xml:space="preserve"> and then invites patients into a cascade of non-invasive tests for fibrosis. </w:t>
      </w:r>
    </w:p>
    <w:p w14:paraId="488D2D44" w14:textId="77777777" w:rsidR="00F27FF7" w:rsidRPr="0079308B" w:rsidRDefault="00F27FF7" w:rsidP="0003104A">
      <w:pPr>
        <w:spacing w:line="360" w:lineRule="auto"/>
        <w:rPr>
          <w:rFonts w:cstheme="minorHAnsi"/>
          <w:sz w:val="22"/>
          <w:szCs w:val="22"/>
        </w:rPr>
      </w:pPr>
    </w:p>
    <w:p w14:paraId="0B445246" w14:textId="2AAF376B" w:rsidR="00562055" w:rsidRPr="0079308B" w:rsidRDefault="00F27FF7" w:rsidP="0003104A">
      <w:pPr>
        <w:spacing w:line="360" w:lineRule="auto"/>
        <w:rPr>
          <w:rFonts w:cstheme="minorHAnsi"/>
          <w:sz w:val="22"/>
          <w:szCs w:val="22"/>
        </w:rPr>
      </w:pPr>
      <w:r w:rsidRPr="0079308B">
        <w:rPr>
          <w:rFonts w:cstheme="minorHAnsi"/>
          <w:sz w:val="22"/>
          <w:szCs w:val="22"/>
        </w:rPr>
        <w:t xml:space="preserve">Whilst patients with T2DM </w:t>
      </w:r>
      <w:r w:rsidR="00BE38E1" w:rsidRPr="0079308B">
        <w:rPr>
          <w:rFonts w:cstheme="minorHAnsi"/>
          <w:sz w:val="22"/>
          <w:szCs w:val="22"/>
        </w:rPr>
        <w:t>are known to have an increased risk</w:t>
      </w:r>
      <w:r w:rsidRPr="0079308B">
        <w:rPr>
          <w:rFonts w:cstheme="minorHAnsi"/>
          <w:sz w:val="22"/>
          <w:szCs w:val="22"/>
        </w:rPr>
        <w:t xml:space="preserve"> of fibrosis and </w:t>
      </w:r>
      <w:proofErr w:type="gramStart"/>
      <w:r w:rsidRPr="0079308B">
        <w:rPr>
          <w:rFonts w:cstheme="minorHAnsi"/>
          <w:sz w:val="22"/>
          <w:szCs w:val="22"/>
        </w:rPr>
        <w:t>cirrhosis</w:t>
      </w:r>
      <w:r w:rsidR="00A25862" w:rsidRPr="0079308B">
        <w:rPr>
          <w:rFonts w:cstheme="minorHAnsi"/>
          <w:noProof/>
          <w:sz w:val="22"/>
          <w:szCs w:val="22"/>
        </w:rPr>
        <w:t>[</w:t>
      </w:r>
      <w:proofErr w:type="gramEnd"/>
      <w:r w:rsidR="001B2D3B" w:rsidRPr="0079308B">
        <w:rPr>
          <w:rFonts w:cstheme="minorHAnsi"/>
          <w:noProof/>
          <w:sz w:val="22"/>
          <w:szCs w:val="22"/>
        </w:rPr>
        <w:t>28</w:t>
      </w:r>
      <w:r w:rsidR="00A25862" w:rsidRPr="0079308B">
        <w:rPr>
          <w:rFonts w:cstheme="minorHAnsi"/>
          <w:noProof/>
          <w:sz w:val="22"/>
          <w:szCs w:val="22"/>
        </w:rPr>
        <w:t>]</w:t>
      </w:r>
      <w:r w:rsidR="001B2D3B" w:rsidRPr="0079308B">
        <w:rPr>
          <w:rFonts w:cstheme="minorHAnsi"/>
          <w:sz w:val="22"/>
          <w:szCs w:val="22"/>
        </w:rPr>
        <w:t xml:space="preserve"> </w:t>
      </w:r>
      <w:r w:rsidRPr="0079308B">
        <w:rPr>
          <w:rFonts w:cstheme="minorHAnsi"/>
          <w:sz w:val="22"/>
          <w:szCs w:val="22"/>
        </w:rPr>
        <w:t>there is a lack of empirical evidence supporting</w:t>
      </w:r>
      <w:r w:rsidR="00BE38E1" w:rsidRPr="0079308B">
        <w:rPr>
          <w:rFonts w:cstheme="minorHAnsi"/>
          <w:sz w:val="22"/>
          <w:szCs w:val="22"/>
        </w:rPr>
        <w:t xml:space="preserve"> implementation of this NHSE</w:t>
      </w:r>
      <w:r w:rsidRPr="0079308B">
        <w:rPr>
          <w:rFonts w:cstheme="minorHAnsi"/>
          <w:sz w:val="22"/>
          <w:szCs w:val="22"/>
        </w:rPr>
        <w:t xml:space="preserve"> programme. Just three studies have tested a diagnostic pathway for liver disease against a contemporaneous </w:t>
      </w:r>
      <w:proofErr w:type="gramStart"/>
      <w:r w:rsidRPr="0079308B">
        <w:rPr>
          <w:rFonts w:cstheme="minorHAnsi"/>
          <w:sz w:val="22"/>
          <w:szCs w:val="22"/>
        </w:rPr>
        <w:t>control</w:t>
      </w:r>
      <w:r w:rsidR="00A25862" w:rsidRPr="0079308B">
        <w:rPr>
          <w:rFonts w:cstheme="minorHAnsi"/>
          <w:noProof/>
          <w:sz w:val="22"/>
          <w:szCs w:val="22"/>
        </w:rPr>
        <w:t>[</w:t>
      </w:r>
      <w:proofErr w:type="gramEnd"/>
      <w:r w:rsidR="001B2D3B" w:rsidRPr="0079308B">
        <w:rPr>
          <w:rFonts w:cstheme="minorHAnsi"/>
          <w:noProof/>
          <w:sz w:val="22"/>
          <w:szCs w:val="22"/>
        </w:rPr>
        <w:t>29–31</w:t>
      </w:r>
      <w:r w:rsidR="00A25862" w:rsidRPr="0079308B">
        <w:rPr>
          <w:rFonts w:cstheme="minorHAnsi"/>
          <w:noProof/>
          <w:sz w:val="22"/>
          <w:szCs w:val="22"/>
        </w:rPr>
        <w:t>]</w:t>
      </w:r>
      <w:r w:rsidRPr="0079308B">
        <w:rPr>
          <w:rFonts w:cstheme="minorHAnsi"/>
          <w:sz w:val="22"/>
          <w:szCs w:val="22"/>
        </w:rPr>
        <w:t xml:space="preserve"> and </w:t>
      </w:r>
      <w:r w:rsidR="00CA4392" w:rsidRPr="0079308B">
        <w:rPr>
          <w:rFonts w:cstheme="minorHAnsi"/>
          <w:sz w:val="22"/>
          <w:szCs w:val="22"/>
        </w:rPr>
        <w:t xml:space="preserve">just one specifically focussed on </w:t>
      </w:r>
      <w:r w:rsidR="00415096" w:rsidRPr="0079308B">
        <w:rPr>
          <w:rFonts w:cstheme="minorHAnsi"/>
          <w:sz w:val="22"/>
          <w:szCs w:val="22"/>
        </w:rPr>
        <w:t>liver disease in patients with T2DM</w:t>
      </w:r>
      <w:r w:rsidR="000D3BA7" w:rsidRPr="0079308B">
        <w:rPr>
          <w:rFonts w:cstheme="minorHAnsi"/>
          <w:sz w:val="22"/>
          <w:szCs w:val="22"/>
        </w:rPr>
        <w:t>.</w:t>
      </w:r>
      <w:r w:rsidR="00A25862" w:rsidRPr="0079308B">
        <w:rPr>
          <w:rFonts w:cstheme="minorHAnsi"/>
          <w:noProof/>
          <w:sz w:val="22"/>
          <w:szCs w:val="22"/>
        </w:rPr>
        <w:t>[</w:t>
      </w:r>
      <w:r w:rsidR="001B2D3B" w:rsidRPr="0079308B">
        <w:rPr>
          <w:rFonts w:cstheme="minorHAnsi"/>
          <w:noProof/>
          <w:sz w:val="22"/>
          <w:szCs w:val="22"/>
        </w:rPr>
        <w:t>30</w:t>
      </w:r>
      <w:r w:rsidR="00A25862" w:rsidRPr="0079308B">
        <w:rPr>
          <w:rFonts w:cstheme="minorHAnsi"/>
          <w:noProof/>
          <w:sz w:val="22"/>
          <w:szCs w:val="22"/>
        </w:rPr>
        <w:t>]</w:t>
      </w:r>
      <w:r w:rsidRPr="0079308B">
        <w:rPr>
          <w:rFonts w:cstheme="minorHAnsi"/>
          <w:sz w:val="22"/>
          <w:szCs w:val="22"/>
        </w:rPr>
        <w:t xml:space="preserve"> </w:t>
      </w:r>
    </w:p>
    <w:p w14:paraId="3A62DBAE" w14:textId="77777777" w:rsidR="00562055" w:rsidRPr="0079308B" w:rsidRDefault="00562055" w:rsidP="0003104A">
      <w:pPr>
        <w:spacing w:line="360" w:lineRule="auto"/>
        <w:rPr>
          <w:rFonts w:cstheme="minorHAnsi"/>
          <w:sz w:val="22"/>
          <w:szCs w:val="22"/>
        </w:rPr>
      </w:pPr>
    </w:p>
    <w:p w14:paraId="48A4131B" w14:textId="230C9972" w:rsidR="0018443B" w:rsidRPr="0079308B" w:rsidRDefault="00562055" w:rsidP="0003104A">
      <w:pPr>
        <w:spacing w:line="360" w:lineRule="auto"/>
        <w:rPr>
          <w:rFonts w:cstheme="minorHAnsi"/>
          <w:sz w:val="22"/>
          <w:szCs w:val="22"/>
        </w:rPr>
      </w:pPr>
      <w:r w:rsidRPr="0079308B">
        <w:rPr>
          <w:rFonts w:cstheme="minorHAnsi"/>
          <w:sz w:val="22"/>
          <w:szCs w:val="22"/>
        </w:rPr>
        <w:t>T</w:t>
      </w:r>
      <w:r w:rsidR="0018443B" w:rsidRPr="0079308B">
        <w:rPr>
          <w:rFonts w:cstheme="minorHAnsi"/>
          <w:sz w:val="22"/>
          <w:szCs w:val="22"/>
        </w:rPr>
        <w:t xml:space="preserve">he </w:t>
      </w:r>
      <w:r w:rsidR="00722D8A" w:rsidRPr="0079308B">
        <w:rPr>
          <w:rFonts w:cstheme="minorHAnsi"/>
          <w:sz w:val="22"/>
          <w:szCs w:val="22"/>
        </w:rPr>
        <w:t xml:space="preserve">NHSE </w:t>
      </w:r>
      <w:r w:rsidR="0018443B" w:rsidRPr="0079308B">
        <w:rPr>
          <w:rFonts w:cstheme="minorHAnsi"/>
          <w:sz w:val="22"/>
          <w:szCs w:val="22"/>
        </w:rPr>
        <w:t xml:space="preserve">pilot is different from the current national </w:t>
      </w:r>
      <w:r w:rsidR="00A25862" w:rsidRPr="0079308B">
        <w:rPr>
          <w:rFonts w:cstheme="minorHAnsi"/>
          <w:sz w:val="22"/>
          <w:szCs w:val="22"/>
        </w:rPr>
        <w:t>[</w:t>
      </w:r>
      <w:r w:rsidR="00023F88" w:rsidRPr="0079308B">
        <w:rPr>
          <w:rFonts w:cstheme="minorHAnsi"/>
          <w:sz w:val="22"/>
          <w:szCs w:val="22"/>
        </w:rPr>
        <w:t>NICE</w:t>
      </w:r>
      <w:r w:rsidR="00A25862" w:rsidRPr="0079308B">
        <w:rPr>
          <w:rFonts w:cstheme="minorHAnsi"/>
          <w:sz w:val="22"/>
          <w:szCs w:val="22"/>
        </w:rPr>
        <w:t>]</w:t>
      </w:r>
      <w:r w:rsidR="00023F88" w:rsidRPr="0079308B">
        <w:rPr>
          <w:rFonts w:cstheme="minorHAnsi"/>
          <w:sz w:val="22"/>
          <w:szCs w:val="22"/>
        </w:rPr>
        <w:t xml:space="preserve"> </w:t>
      </w:r>
      <w:r w:rsidR="0018443B" w:rsidRPr="0079308B">
        <w:rPr>
          <w:rFonts w:cstheme="minorHAnsi"/>
          <w:sz w:val="22"/>
          <w:szCs w:val="22"/>
        </w:rPr>
        <w:t>guidelines in the UK which recommend</w:t>
      </w:r>
      <w:r w:rsidR="00B76128" w:rsidRPr="0079308B">
        <w:rPr>
          <w:rFonts w:cstheme="minorHAnsi"/>
          <w:sz w:val="22"/>
          <w:szCs w:val="22"/>
        </w:rPr>
        <w:t>s</w:t>
      </w:r>
      <w:r w:rsidR="0018443B" w:rsidRPr="0079308B">
        <w:rPr>
          <w:rFonts w:cstheme="minorHAnsi"/>
          <w:sz w:val="22"/>
          <w:szCs w:val="22"/>
        </w:rPr>
        <w:t xml:space="preserve"> testing for liver disease is restricted to </w:t>
      </w:r>
      <w:r w:rsidR="00722D8A" w:rsidRPr="0079308B">
        <w:rPr>
          <w:rFonts w:cstheme="minorHAnsi"/>
          <w:sz w:val="22"/>
          <w:szCs w:val="22"/>
        </w:rPr>
        <w:t>patients with risk factors for liver cirrhosis including a fatty liver on ultrasound imaging, abnormal liver enzyme levels and potentially harmful levels of alcohol consumption</w:t>
      </w:r>
      <w:r w:rsidR="0018443B" w:rsidRPr="0079308B">
        <w:rPr>
          <w:rFonts w:cstheme="minorHAnsi"/>
          <w:sz w:val="22"/>
          <w:szCs w:val="22"/>
        </w:rPr>
        <w:t>.</w:t>
      </w:r>
      <w:r w:rsidR="00A25862" w:rsidRPr="0079308B">
        <w:rPr>
          <w:rFonts w:cstheme="minorHAnsi"/>
          <w:noProof/>
          <w:sz w:val="22"/>
          <w:szCs w:val="22"/>
        </w:rPr>
        <w:t>[</w:t>
      </w:r>
      <w:r w:rsidR="001B2D3B" w:rsidRPr="0079308B">
        <w:rPr>
          <w:rFonts w:cstheme="minorHAnsi"/>
          <w:noProof/>
          <w:sz w:val="22"/>
          <w:szCs w:val="22"/>
        </w:rPr>
        <w:t>32</w:t>
      </w:r>
      <w:r w:rsidR="00A25862" w:rsidRPr="0079308B">
        <w:rPr>
          <w:rFonts w:cstheme="minorHAnsi"/>
          <w:noProof/>
          <w:sz w:val="22"/>
          <w:szCs w:val="22"/>
        </w:rPr>
        <w:t>]</w:t>
      </w:r>
      <w:r w:rsidR="0018443B" w:rsidRPr="0079308B">
        <w:rPr>
          <w:rFonts w:cstheme="minorHAnsi"/>
          <w:sz w:val="22"/>
          <w:szCs w:val="22"/>
        </w:rPr>
        <w:t xml:space="preserve"> </w:t>
      </w:r>
      <w:r w:rsidR="00B76128" w:rsidRPr="0079308B">
        <w:rPr>
          <w:rFonts w:cstheme="minorHAnsi"/>
          <w:sz w:val="22"/>
          <w:szCs w:val="22"/>
        </w:rPr>
        <w:t xml:space="preserve">T2DM alone is not a risk factor that currently </w:t>
      </w:r>
      <w:r w:rsidR="002D4750" w:rsidRPr="0079308B">
        <w:rPr>
          <w:rFonts w:cstheme="minorHAnsi"/>
          <w:sz w:val="22"/>
          <w:szCs w:val="22"/>
        </w:rPr>
        <w:t>mandates</w:t>
      </w:r>
      <w:r w:rsidR="00B76128" w:rsidRPr="0079308B">
        <w:rPr>
          <w:rFonts w:cstheme="minorHAnsi"/>
          <w:sz w:val="22"/>
          <w:szCs w:val="22"/>
        </w:rPr>
        <w:t xml:space="preserve"> assessment. The</w:t>
      </w:r>
      <w:r w:rsidR="0018443B" w:rsidRPr="0079308B">
        <w:rPr>
          <w:rFonts w:cstheme="minorHAnsi"/>
          <w:sz w:val="22"/>
          <w:szCs w:val="22"/>
        </w:rPr>
        <w:t xml:space="preserve"> reason for </w:t>
      </w:r>
      <w:r w:rsidR="00CA4392" w:rsidRPr="0079308B">
        <w:rPr>
          <w:rFonts w:cstheme="minorHAnsi"/>
          <w:sz w:val="22"/>
          <w:szCs w:val="22"/>
        </w:rPr>
        <w:t>these narrow criteria</w:t>
      </w:r>
      <w:r w:rsidR="0018443B" w:rsidRPr="0079308B">
        <w:rPr>
          <w:rFonts w:cstheme="minorHAnsi"/>
          <w:sz w:val="22"/>
          <w:szCs w:val="22"/>
        </w:rPr>
        <w:t xml:space="preserve"> is </w:t>
      </w:r>
      <w:r w:rsidR="00B76128" w:rsidRPr="0079308B">
        <w:rPr>
          <w:rFonts w:cstheme="minorHAnsi"/>
          <w:sz w:val="22"/>
          <w:szCs w:val="22"/>
        </w:rPr>
        <w:t xml:space="preserve">a </w:t>
      </w:r>
      <w:r w:rsidR="00F27FF7" w:rsidRPr="0079308B">
        <w:rPr>
          <w:rFonts w:cstheme="minorHAnsi"/>
          <w:sz w:val="22"/>
          <w:szCs w:val="22"/>
        </w:rPr>
        <w:t>lack of cost-effectiveness data supporting wider eligibility for testing</w:t>
      </w:r>
      <w:r w:rsidR="00B76128" w:rsidRPr="0079308B">
        <w:rPr>
          <w:rFonts w:cstheme="minorHAnsi"/>
          <w:sz w:val="22"/>
          <w:szCs w:val="22"/>
        </w:rPr>
        <w:t>.</w:t>
      </w:r>
      <w:r w:rsidR="00A25862" w:rsidRPr="0079308B">
        <w:rPr>
          <w:rFonts w:cstheme="minorHAnsi"/>
          <w:noProof/>
          <w:sz w:val="22"/>
          <w:szCs w:val="22"/>
        </w:rPr>
        <w:t>[</w:t>
      </w:r>
      <w:r w:rsidR="001B2D3B" w:rsidRPr="0079308B">
        <w:rPr>
          <w:rFonts w:cstheme="minorHAnsi"/>
          <w:noProof/>
          <w:sz w:val="22"/>
          <w:szCs w:val="22"/>
        </w:rPr>
        <w:t>33</w:t>
      </w:r>
      <w:r w:rsidR="00A25862" w:rsidRPr="0079308B">
        <w:rPr>
          <w:rFonts w:cstheme="minorHAnsi"/>
          <w:noProof/>
          <w:sz w:val="22"/>
          <w:szCs w:val="22"/>
        </w:rPr>
        <w:t>]</w:t>
      </w:r>
    </w:p>
    <w:p w14:paraId="5844E32B" w14:textId="77777777" w:rsidR="00722D8A" w:rsidRPr="0079308B" w:rsidRDefault="00722D8A" w:rsidP="0003104A">
      <w:pPr>
        <w:spacing w:line="360" w:lineRule="auto"/>
        <w:rPr>
          <w:rFonts w:cstheme="minorHAnsi"/>
          <w:sz w:val="22"/>
          <w:szCs w:val="22"/>
        </w:rPr>
      </w:pPr>
    </w:p>
    <w:p w14:paraId="29230200" w14:textId="60C188C1" w:rsidR="00BA6207" w:rsidRPr="0079308B" w:rsidRDefault="00722D8A" w:rsidP="00BA6207">
      <w:pPr>
        <w:spacing w:line="360" w:lineRule="auto"/>
        <w:rPr>
          <w:rFonts w:cstheme="minorHAnsi"/>
          <w:sz w:val="22"/>
          <w:szCs w:val="22"/>
        </w:rPr>
      </w:pPr>
      <w:r w:rsidRPr="0079308B">
        <w:rPr>
          <w:rFonts w:cstheme="minorHAnsi"/>
          <w:sz w:val="22"/>
          <w:szCs w:val="22"/>
        </w:rPr>
        <w:t>The NICE</w:t>
      </w:r>
      <w:r w:rsidR="002B388A" w:rsidRPr="0079308B">
        <w:rPr>
          <w:rFonts w:cstheme="minorHAnsi"/>
          <w:sz w:val="22"/>
          <w:szCs w:val="22"/>
        </w:rPr>
        <w:t xml:space="preserve"> NAFLD</w:t>
      </w:r>
      <w:r w:rsidRPr="0079308B">
        <w:rPr>
          <w:rFonts w:cstheme="minorHAnsi"/>
          <w:sz w:val="22"/>
          <w:szCs w:val="22"/>
        </w:rPr>
        <w:t xml:space="preserve"> guideline</w:t>
      </w:r>
      <w:r w:rsidR="002B388A" w:rsidRPr="0079308B">
        <w:rPr>
          <w:rFonts w:cstheme="minorHAnsi"/>
          <w:sz w:val="22"/>
          <w:szCs w:val="22"/>
        </w:rPr>
        <w:t xml:space="preserve"> </w:t>
      </w:r>
      <w:r w:rsidR="00A25862" w:rsidRPr="0079308B">
        <w:rPr>
          <w:rFonts w:cstheme="minorHAnsi"/>
          <w:sz w:val="22"/>
          <w:szCs w:val="22"/>
        </w:rPr>
        <w:t>[</w:t>
      </w:r>
      <w:r w:rsidR="002B388A" w:rsidRPr="0079308B">
        <w:rPr>
          <w:rFonts w:cstheme="minorHAnsi"/>
          <w:sz w:val="22"/>
          <w:szCs w:val="22"/>
        </w:rPr>
        <w:t>ng49</w:t>
      </w:r>
      <w:r w:rsidR="00A25862" w:rsidRPr="0079308B">
        <w:rPr>
          <w:rFonts w:cstheme="minorHAnsi"/>
          <w:sz w:val="22"/>
          <w:szCs w:val="22"/>
        </w:rPr>
        <w:t>]</w:t>
      </w:r>
      <w:r w:rsidRPr="0079308B">
        <w:rPr>
          <w:rFonts w:cstheme="minorHAnsi"/>
          <w:sz w:val="22"/>
          <w:szCs w:val="22"/>
        </w:rPr>
        <w:t xml:space="preserve"> was published in 2016</w:t>
      </w:r>
      <w:r w:rsidR="00A25862" w:rsidRPr="0079308B">
        <w:rPr>
          <w:rFonts w:cstheme="minorHAnsi"/>
          <w:noProof/>
          <w:sz w:val="22"/>
          <w:szCs w:val="22"/>
        </w:rPr>
        <w:t>[</w:t>
      </w:r>
      <w:r w:rsidR="001B2D3B" w:rsidRPr="0079308B">
        <w:rPr>
          <w:rFonts w:cstheme="minorHAnsi"/>
          <w:noProof/>
          <w:sz w:val="22"/>
          <w:szCs w:val="22"/>
        </w:rPr>
        <w:t>32</w:t>
      </w:r>
      <w:r w:rsidR="00A25862" w:rsidRPr="0079308B">
        <w:rPr>
          <w:rFonts w:cstheme="minorHAnsi"/>
          <w:noProof/>
          <w:sz w:val="22"/>
          <w:szCs w:val="22"/>
        </w:rPr>
        <w:t>]</w:t>
      </w:r>
      <w:r w:rsidRPr="0079308B">
        <w:rPr>
          <w:rFonts w:cstheme="minorHAnsi"/>
          <w:sz w:val="22"/>
          <w:szCs w:val="22"/>
        </w:rPr>
        <w:t xml:space="preserve"> </w:t>
      </w:r>
      <w:r w:rsidR="00A02628" w:rsidRPr="0079308B">
        <w:rPr>
          <w:rFonts w:cstheme="minorHAnsi"/>
          <w:sz w:val="22"/>
          <w:szCs w:val="22"/>
        </w:rPr>
        <w:t>and s</w:t>
      </w:r>
      <w:r w:rsidRPr="0079308B">
        <w:rPr>
          <w:rFonts w:cstheme="minorHAnsi"/>
          <w:sz w:val="22"/>
          <w:szCs w:val="22"/>
        </w:rPr>
        <w:t xml:space="preserve">ince </w:t>
      </w:r>
      <w:r w:rsidR="00A02628" w:rsidRPr="0079308B">
        <w:rPr>
          <w:rFonts w:cstheme="minorHAnsi"/>
          <w:sz w:val="22"/>
          <w:szCs w:val="22"/>
        </w:rPr>
        <w:t xml:space="preserve">its </w:t>
      </w:r>
      <w:r w:rsidRPr="0079308B">
        <w:rPr>
          <w:rFonts w:cstheme="minorHAnsi"/>
          <w:sz w:val="22"/>
          <w:szCs w:val="22"/>
        </w:rPr>
        <w:t xml:space="preserve">publication researchers have </w:t>
      </w:r>
      <w:r w:rsidR="00BA6207" w:rsidRPr="0079308B">
        <w:rPr>
          <w:rFonts w:cstheme="minorHAnsi"/>
          <w:sz w:val="22"/>
          <w:szCs w:val="22"/>
        </w:rPr>
        <w:t>modelled</w:t>
      </w:r>
      <w:r w:rsidRPr="0079308B">
        <w:rPr>
          <w:rFonts w:cstheme="minorHAnsi"/>
          <w:sz w:val="22"/>
          <w:szCs w:val="22"/>
        </w:rPr>
        <w:t xml:space="preserve"> the cost-effectiveness of testing for liver disease in patients with T2</w:t>
      </w:r>
      <w:proofErr w:type="gramStart"/>
      <w:r w:rsidRPr="0079308B">
        <w:rPr>
          <w:rFonts w:cstheme="minorHAnsi"/>
          <w:sz w:val="22"/>
          <w:szCs w:val="22"/>
        </w:rPr>
        <w:t>DM</w:t>
      </w:r>
      <w:r w:rsidR="00A25862" w:rsidRPr="0079308B">
        <w:rPr>
          <w:rFonts w:cstheme="minorHAnsi"/>
          <w:noProof/>
          <w:sz w:val="22"/>
          <w:szCs w:val="22"/>
        </w:rPr>
        <w:t>[</w:t>
      </w:r>
      <w:proofErr w:type="gramEnd"/>
      <w:r w:rsidR="001B2D3B" w:rsidRPr="0079308B">
        <w:rPr>
          <w:rFonts w:cstheme="minorHAnsi"/>
          <w:noProof/>
          <w:sz w:val="22"/>
          <w:szCs w:val="22"/>
        </w:rPr>
        <w:t>34–36</w:t>
      </w:r>
      <w:r w:rsidR="00A25862" w:rsidRPr="0079308B">
        <w:rPr>
          <w:rFonts w:cstheme="minorHAnsi"/>
          <w:noProof/>
          <w:sz w:val="22"/>
          <w:szCs w:val="22"/>
        </w:rPr>
        <w:t>]</w:t>
      </w:r>
      <w:r w:rsidR="00A02628" w:rsidRPr="0079308B">
        <w:rPr>
          <w:rFonts w:cstheme="minorHAnsi"/>
          <w:sz w:val="22"/>
          <w:szCs w:val="22"/>
        </w:rPr>
        <w:t xml:space="preserve">. </w:t>
      </w:r>
      <w:r w:rsidR="00023F88" w:rsidRPr="0079308B">
        <w:rPr>
          <w:rFonts w:cstheme="minorHAnsi"/>
          <w:sz w:val="22"/>
          <w:szCs w:val="22"/>
        </w:rPr>
        <w:t>Published m</w:t>
      </w:r>
      <w:r w:rsidR="00E53921" w:rsidRPr="0079308B">
        <w:rPr>
          <w:rFonts w:cstheme="minorHAnsi"/>
          <w:sz w:val="22"/>
          <w:szCs w:val="22"/>
        </w:rPr>
        <w:t xml:space="preserve">odels have compared testing strategies </w:t>
      </w:r>
      <w:r w:rsidR="00B76128" w:rsidRPr="0079308B">
        <w:rPr>
          <w:rFonts w:cstheme="minorHAnsi"/>
          <w:sz w:val="22"/>
          <w:szCs w:val="22"/>
        </w:rPr>
        <w:t xml:space="preserve">that include </w:t>
      </w:r>
      <w:r w:rsidR="00E53921" w:rsidRPr="0079308B">
        <w:rPr>
          <w:rFonts w:cstheme="minorHAnsi"/>
          <w:sz w:val="22"/>
          <w:szCs w:val="22"/>
        </w:rPr>
        <w:t>novel biomarkers and VCTE against standard care where standard care inc</w:t>
      </w:r>
      <w:r w:rsidR="00965853" w:rsidRPr="0079308B">
        <w:rPr>
          <w:rFonts w:cstheme="minorHAnsi"/>
          <w:sz w:val="22"/>
          <w:szCs w:val="22"/>
        </w:rPr>
        <w:t>l</w:t>
      </w:r>
      <w:r w:rsidR="00E53921" w:rsidRPr="0079308B">
        <w:rPr>
          <w:rFonts w:cstheme="minorHAnsi"/>
          <w:sz w:val="22"/>
          <w:szCs w:val="22"/>
        </w:rPr>
        <w:t xml:space="preserve">udes history, physical examination, </w:t>
      </w:r>
      <w:r w:rsidR="00415096" w:rsidRPr="0079308B">
        <w:rPr>
          <w:rFonts w:cstheme="minorHAnsi"/>
          <w:sz w:val="22"/>
          <w:szCs w:val="22"/>
        </w:rPr>
        <w:t>liver ‘function’ tests</w:t>
      </w:r>
      <w:r w:rsidR="000C7637" w:rsidRPr="0079308B">
        <w:rPr>
          <w:rFonts w:cstheme="minorHAnsi"/>
          <w:sz w:val="22"/>
          <w:szCs w:val="22"/>
        </w:rPr>
        <w:t xml:space="preserve"> </w:t>
      </w:r>
      <w:r w:rsidR="00A25862" w:rsidRPr="0079308B">
        <w:rPr>
          <w:rFonts w:cstheme="minorHAnsi"/>
          <w:sz w:val="22"/>
          <w:szCs w:val="22"/>
        </w:rPr>
        <w:t>[</w:t>
      </w:r>
      <w:r w:rsidR="000C7637" w:rsidRPr="0079308B">
        <w:rPr>
          <w:rFonts w:cstheme="minorHAnsi"/>
          <w:sz w:val="22"/>
          <w:szCs w:val="22"/>
        </w:rPr>
        <w:t>LFTs</w:t>
      </w:r>
      <w:r w:rsidR="00A25862" w:rsidRPr="0079308B">
        <w:rPr>
          <w:rFonts w:cstheme="minorHAnsi"/>
          <w:sz w:val="22"/>
          <w:szCs w:val="22"/>
        </w:rPr>
        <w:t>]</w:t>
      </w:r>
      <w:r w:rsidR="00E53921" w:rsidRPr="0079308B">
        <w:rPr>
          <w:rFonts w:cstheme="minorHAnsi"/>
          <w:sz w:val="22"/>
          <w:szCs w:val="22"/>
        </w:rPr>
        <w:t xml:space="preserve"> and an ultrasound scan. The sensitivity and specificity of each approach is pre-defined and parameterises models that calculate the health gain for patients correctly categorised with liver disease and offsets this against the cost of the different testing approaches by calculating an </w:t>
      </w:r>
      <w:r w:rsidR="00415096" w:rsidRPr="0079308B">
        <w:rPr>
          <w:rFonts w:cstheme="minorHAnsi"/>
          <w:sz w:val="22"/>
          <w:szCs w:val="22"/>
        </w:rPr>
        <w:t xml:space="preserve">incremental cost-effectiveness ratio </w:t>
      </w:r>
      <w:r w:rsidR="00A25862" w:rsidRPr="0079308B">
        <w:rPr>
          <w:rFonts w:cstheme="minorHAnsi"/>
          <w:sz w:val="22"/>
          <w:szCs w:val="22"/>
        </w:rPr>
        <w:t>[</w:t>
      </w:r>
      <w:r w:rsidR="00E53921" w:rsidRPr="0079308B">
        <w:rPr>
          <w:rFonts w:cstheme="minorHAnsi"/>
          <w:sz w:val="22"/>
          <w:szCs w:val="22"/>
        </w:rPr>
        <w:t>ICER</w:t>
      </w:r>
      <w:proofErr w:type="gramStart"/>
      <w:r w:rsidR="00A25862" w:rsidRPr="0079308B">
        <w:rPr>
          <w:rFonts w:cstheme="minorHAnsi"/>
          <w:sz w:val="22"/>
          <w:szCs w:val="22"/>
        </w:rPr>
        <w:t>]</w:t>
      </w:r>
      <w:r w:rsidR="00E53921" w:rsidRPr="0079308B">
        <w:rPr>
          <w:rFonts w:cstheme="minorHAnsi"/>
          <w:sz w:val="22"/>
          <w:szCs w:val="22"/>
        </w:rPr>
        <w:t>.</w:t>
      </w:r>
      <w:r w:rsidR="00A25862" w:rsidRPr="0079308B">
        <w:rPr>
          <w:rFonts w:cstheme="minorHAnsi"/>
          <w:noProof/>
          <w:sz w:val="22"/>
          <w:szCs w:val="22"/>
        </w:rPr>
        <w:t>[</w:t>
      </w:r>
      <w:proofErr w:type="gramEnd"/>
      <w:r w:rsidR="001B2D3B" w:rsidRPr="0079308B">
        <w:rPr>
          <w:rFonts w:cstheme="minorHAnsi"/>
          <w:noProof/>
          <w:sz w:val="22"/>
          <w:szCs w:val="22"/>
        </w:rPr>
        <w:t>34,36</w:t>
      </w:r>
      <w:r w:rsidR="00A25862" w:rsidRPr="0079308B">
        <w:rPr>
          <w:rFonts w:cstheme="minorHAnsi"/>
          <w:noProof/>
          <w:sz w:val="22"/>
          <w:szCs w:val="22"/>
        </w:rPr>
        <w:t>]</w:t>
      </w:r>
      <w:r w:rsidR="00E53921" w:rsidRPr="0079308B">
        <w:rPr>
          <w:rFonts w:cstheme="minorHAnsi"/>
          <w:sz w:val="22"/>
          <w:szCs w:val="22"/>
        </w:rPr>
        <w:t xml:space="preserve"> </w:t>
      </w:r>
      <w:r w:rsidR="005C6514" w:rsidRPr="0079308B">
        <w:rPr>
          <w:rFonts w:cstheme="minorHAnsi"/>
          <w:sz w:val="22"/>
          <w:szCs w:val="22"/>
        </w:rPr>
        <w:t xml:space="preserve">Most recently, </w:t>
      </w:r>
      <w:proofErr w:type="spellStart"/>
      <w:r w:rsidR="005C6514" w:rsidRPr="0079308B">
        <w:rPr>
          <w:rFonts w:cstheme="minorHAnsi"/>
          <w:sz w:val="22"/>
          <w:szCs w:val="22"/>
        </w:rPr>
        <w:t>Forlano</w:t>
      </w:r>
      <w:proofErr w:type="spellEnd"/>
      <w:r w:rsidR="005C6514" w:rsidRPr="0079308B">
        <w:rPr>
          <w:rFonts w:cstheme="minorHAnsi"/>
          <w:sz w:val="22"/>
          <w:szCs w:val="22"/>
        </w:rPr>
        <w:t xml:space="preserve"> et al. modelled the ICER for screening in patients with T2DM. The model was parameterised using cross-sectional data from a cohort of patients with T2DM living in London </w:t>
      </w:r>
      <w:r w:rsidR="00A25862" w:rsidRPr="0079308B">
        <w:rPr>
          <w:rFonts w:cstheme="minorHAnsi"/>
          <w:sz w:val="22"/>
          <w:szCs w:val="22"/>
        </w:rPr>
        <w:t>[</w:t>
      </w:r>
      <w:r w:rsidR="005C6514" w:rsidRPr="0079308B">
        <w:rPr>
          <w:rFonts w:cstheme="minorHAnsi"/>
          <w:sz w:val="22"/>
          <w:szCs w:val="22"/>
        </w:rPr>
        <w:t>UK</w:t>
      </w:r>
      <w:r w:rsidR="00A25862" w:rsidRPr="0079308B">
        <w:rPr>
          <w:rFonts w:cstheme="minorHAnsi"/>
          <w:sz w:val="22"/>
          <w:szCs w:val="22"/>
        </w:rPr>
        <w:t>]</w:t>
      </w:r>
      <w:r w:rsidR="005C6514" w:rsidRPr="0079308B">
        <w:rPr>
          <w:rFonts w:cstheme="minorHAnsi"/>
          <w:sz w:val="22"/>
          <w:szCs w:val="22"/>
        </w:rPr>
        <w:t xml:space="preserve"> that were all tested for liver cirrhosis using with FIB-4, </w:t>
      </w:r>
      <w:r w:rsidR="003C38BC" w:rsidRPr="0079308B">
        <w:rPr>
          <w:sz w:val="22"/>
          <w:szCs w:val="22"/>
        </w:rPr>
        <w:t>ELF</w:t>
      </w:r>
      <w:r w:rsidR="003C38BC" w:rsidRPr="0079308B">
        <w:rPr>
          <w:rFonts w:ascii="Calibri" w:hAnsi="Calibri" w:cs="Calibri"/>
          <w:sz w:val="22"/>
          <w:szCs w:val="22"/>
        </w:rPr>
        <w:t>™</w:t>
      </w:r>
      <w:r w:rsidR="005C6514" w:rsidRPr="0079308B">
        <w:rPr>
          <w:rFonts w:cstheme="minorHAnsi"/>
          <w:sz w:val="22"/>
          <w:szCs w:val="22"/>
        </w:rPr>
        <w:t xml:space="preserve">, VCTE and in 19/249 cases, liver </w:t>
      </w:r>
      <w:r w:rsidR="005C6514" w:rsidRPr="0079308B">
        <w:rPr>
          <w:rFonts w:cstheme="minorHAnsi"/>
          <w:sz w:val="22"/>
          <w:szCs w:val="22"/>
        </w:rPr>
        <w:lastRenderedPageBreak/>
        <w:t xml:space="preserve">biopsy. The costs and outcomes associated with </w:t>
      </w:r>
      <w:r w:rsidR="000C4406" w:rsidRPr="0079308B">
        <w:rPr>
          <w:rFonts w:cstheme="minorHAnsi"/>
          <w:sz w:val="22"/>
          <w:szCs w:val="22"/>
        </w:rPr>
        <w:t xml:space="preserve">testing this </w:t>
      </w:r>
      <w:r w:rsidR="005C6514" w:rsidRPr="0079308B">
        <w:rPr>
          <w:rFonts w:cstheme="minorHAnsi"/>
          <w:sz w:val="22"/>
          <w:szCs w:val="22"/>
        </w:rPr>
        <w:t xml:space="preserve">cohort were compared to a usual care </w:t>
      </w:r>
      <w:r w:rsidR="00A25862" w:rsidRPr="0079308B">
        <w:rPr>
          <w:rFonts w:cstheme="minorHAnsi"/>
          <w:sz w:val="22"/>
          <w:szCs w:val="22"/>
        </w:rPr>
        <w:t>[</w:t>
      </w:r>
      <w:r w:rsidR="00F07262" w:rsidRPr="0079308B">
        <w:rPr>
          <w:rFonts w:cstheme="minorHAnsi"/>
          <w:sz w:val="22"/>
          <w:szCs w:val="22"/>
        </w:rPr>
        <w:t>primary care</w:t>
      </w:r>
      <w:r w:rsidR="00E53921" w:rsidRPr="0079308B">
        <w:rPr>
          <w:rFonts w:cstheme="minorHAnsi"/>
          <w:sz w:val="22"/>
          <w:szCs w:val="22"/>
        </w:rPr>
        <w:t xml:space="preserve"> diagnosis</w:t>
      </w:r>
      <w:r w:rsidR="00A25862" w:rsidRPr="0079308B">
        <w:rPr>
          <w:rFonts w:cstheme="minorHAnsi"/>
          <w:sz w:val="22"/>
          <w:szCs w:val="22"/>
        </w:rPr>
        <w:t>]</w:t>
      </w:r>
      <w:r w:rsidR="00E53921" w:rsidRPr="0079308B">
        <w:rPr>
          <w:rFonts w:cstheme="minorHAnsi"/>
          <w:sz w:val="22"/>
          <w:szCs w:val="22"/>
        </w:rPr>
        <w:t xml:space="preserve"> that was less accurate. In the base case </w:t>
      </w:r>
      <w:proofErr w:type="gramStart"/>
      <w:r w:rsidR="00E53921" w:rsidRPr="0079308B">
        <w:rPr>
          <w:rFonts w:cstheme="minorHAnsi"/>
          <w:sz w:val="22"/>
          <w:szCs w:val="22"/>
        </w:rPr>
        <w:t>analysis</w:t>
      </w:r>
      <w:proofErr w:type="gramEnd"/>
      <w:r w:rsidR="00E53921" w:rsidRPr="0079308B">
        <w:rPr>
          <w:rFonts w:cstheme="minorHAnsi"/>
          <w:sz w:val="22"/>
          <w:szCs w:val="22"/>
        </w:rPr>
        <w:t xml:space="preserve"> the ICER was well below NICE cost-effectiveness thresholds with the additional costs of testing being offset by the gain from an accurate early diagnosis. </w:t>
      </w:r>
    </w:p>
    <w:p w14:paraId="1844D10C" w14:textId="77777777" w:rsidR="00965853" w:rsidRPr="0079308B" w:rsidRDefault="00965853" w:rsidP="00BA6207">
      <w:pPr>
        <w:spacing w:line="360" w:lineRule="auto"/>
        <w:rPr>
          <w:rFonts w:cstheme="minorHAnsi"/>
          <w:sz w:val="22"/>
          <w:szCs w:val="22"/>
        </w:rPr>
      </w:pPr>
    </w:p>
    <w:p w14:paraId="60D6E877" w14:textId="78D46A27" w:rsidR="00965853" w:rsidRPr="0079308B" w:rsidRDefault="00965853" w:rsidP="00BA6207">
      <w:pPr>
        <w:spacing w:line="360" w:lineRule="auto"/>
        <w:rPr>
          <w:rFonts w:cstheme="minorHAnsi"/>
          <w:sz w:val="22"/>
          <w:szCs w:val="22"/>
        </w:rPr>
      </w:pPr>
      <w:r w:rsidRPr="0079308B">
        <w:rPr>
          <w:rFonts w:cstheme="minorHAnsi"/>
          <w:sz w:val="22"/>
          <w:szCs w:val="22"/>
        </w:rPr>
        <w:t xml:space="preserve">However, there are challenges with extrapolating prior models to </w:t>
      </w:r>
      <w:r w:rsidR="002D4750" w:rsidRPr="0079308B">
        <w:rPr>
          <w:rFonts w:cstheme="minorHAnsi"/>
          <w:sz w:val="22"/>
          <w:szCs w:val="22"/>
        </w:rPr>
        <w:t>a real-world intervention</w:t>
      </w:r>
      <w:r w:rsidR="00E02B49" w:rsidRPr="0079308B">
        <w:rPr>
          <w:rFonts w:cstheme="minorHAnsi"/>
          <w:sz w:val="22"/>
          <w:szCs w:val="22"/>
        </w:rPr>
        <w:t xml:space="preserve"> such as the NHSE pilot </w:t>
      </w:r>
      <w:r w:rsidRPr="0079308B">
        <w:rPr>
          <w:rFonts w:cstheme="minorHAnsi"/>
          <w:sz w:val="22"/>
          <w:szCs w:val="22"/>
        </w:rPr>
        <w:t xml:space="preserve">that aims to test </w:t>
      </w:r>
      <w:r w:rsidR="00D7137A" w:rsidRPr="0079308B">
        <w:rPr>
          <w:rFonts w:cstheme="minorHAnsi"/>
          <w:sz w:val="22"/>
          <w:szCs w:val="22"/>
        </w:rPr>
        <w:t xml:space="preserve">a broader range of </w:t>
      </w:r>
      <w:r w:rsidR="00F40FB4" w:rsidRPr="0079308B">
        <w:rPr>
          <w:rFonts w:cstheme="minorHAnsi"/>
          <w:sz w:val="22"/>
          <w:szCs w:val="22"/>
        </w:rPr>
        <w:t>adults</w:t>
      </w:r>
      <w:r w:rsidRPr="0079308B">
        <w:rPr>
          <w:rFonts w:cstheme="minorHAnsi"/>
          <w:sz w:val="22"/>
          <w:szCs w:val="22"/>
        </w:rPr>
        <w:t xml:space="preserve"> with T2DM for liver disease</w:t>
      </w:r>
      <w:r w:rsidR="00F40FB4" w:rsidRPr="0079308B">
        <w:rPr>
          <w:rFonts w:cstheme="minorHAnsi"/>
          <w:sz w:val="22"/>
          <w:szCs w:val="22"/>
        </w:rPr>
        <w:t xml:space="preserve"> as part of routine care</w:t>
      </w:r>
      <w:r w:rsidRPr="0079308B">
        <w:rPr>
          <w:rFonts w:cstheme="minorHAnsi"/>
          <w:sz w:val="22"/>
          <w:szCs w:val="22"/>
        </w:rPr>
        <w:t xml:space="preserve">. Firstly, </w:t>
      </w:r>
      <w:r w:rsidR="00D7137A" w:rsidRPr="0079308B">
        <w:rPr>
          <w:rFonts w:cstheme="minorHAnsi"/>
          <w:sz w:val="22"/>
          <w:szCs w:val="22"/>
        </w:rPr>
        <w:t xml:space="preserve">we don’t know </w:t>
      </w:r>
      <w:r w:rsidR="00FC3AA4" w:rsidRPr="0079308B">
        <w:rPr>
          <w:rFonts w:cstheme="minorHAnsi"/>
          <w:sz w:val="22"/>
          <w:szCs w:val="22"/>
        </w:rPr>
        <w:t xml:space="preserve">the characteristics of </w:t>
      </w:r>
      <w:r w:rsidRPr="0079308B">
        <w:rPr>
          <w:rFonts w:cstheme="minorHAnsi"/>
          <w:sz w:val="22"/>
          <w:szCs w:val="22"/>
        </w:rPr>
        <w:t xml:space="preserve">patients </w:t>
      </w:r>
      <w:r w:rsidR="00FC3AA4" w:rsidRPr="0079308B">
        <w:rPr>
          <w:rFonts w:cstheme="minorHAnsi"/>
          <w:sz w:val="22"/>
          <w:szCs w:val="22"/>
        </w:rPr>
        <w:t xml:space="preserve">who will </w:t>
      </w:r>
      <w:r w:rsidRPr="0079308B">
        <w:rPr>
          <w:rFonts w:cstheme="minorHAnsi"/>
          <w:sz w:val="22"/>
          <w:szCs w:val="22"/>
        </w:rPr>
        <w:t>respond to an invitation from primary care for liver assessment</w:t>
      </w:r>
      <w:r w:rsidR="002B388A" w:rsidRPr="0079308B">
        <w:rPr>
          <w:rFonts w:cstheme="minorHAnsi"/>
          <w:sz w:val="22"/>
          <w:szCs w:val="22"/>
        </w:rPr>
        <w:t xml:space="preserve">. </w:t>
      </w:r>
      <w:r w:rsidR="00C653D9">
        <w:rPr>
          <w:rFonts w:cstheme="minorHAnsi"/>
          <w:sz w:val="22"/>
          <w:szCs w:val="22"/>
        </w:rPr>
        <w:t>These characteristics are important -</w:t>
      </w:r>
      <w:r w:rsidR="002B388A" w:rsidRPr="0079308B">
        <w:rPr>
          <w:rFonts w:cstheme="minorHAnsi"/>
          <w:sz w:val="22"/>
          <w:szCs w:val="22"/>
        </w:rPr>
        <w:t xml:space="preserve"> it is likely that </w:t>
      </w:r>
      <w:r w:rsidR="00E02B49" w:rsidRPr="0079308B">
        <w:rPr>
          <w:rFonts w:cstheme="minorHAnsi"/>
          <w:sz w:val="22"/>
          <w:szCs w:val="22"/>
        </w:rPr>
        <w:t>p</w:t>
      </w:r>
      <w:r w:rsidRPr="0079308B">
        <w:rPr>
          <w:rFonts w:cstheme="minorHAnsi"/>
          <w:sz w:val="22"/>
          <w:szCs w:val="22"/>
        </w:rPr>
        <w:t>atient age and comorbidities will influence their probability of having liver disease and their personal gain from an early diagnosis</w:t>
      </w:r>
      <w:r w:rsidR="002B388A" w:rsidRPr="0079308B">
        <w:rPr>
          <w:rFonts w:cstheme="minorHAnsi"/>
          <w:sz w:val="22"/>
          <w:szCs w:val="22"/>
        </w:rPr>
        <w:t>.</w:t>
      </w:r>
      <w:r w:rsidRPr="0079308B">
        <w:rPr>
          <w:rFonts w:cstheme="minorHAnsi"/>
          <w:sz w:val="22"/>
          <w:szCs w:val="22"/>
        </w:rPr>
        <w:t xml:space="preserve"> Secondly, </w:t>
      </w:r>
      <w:r w:rsidR="00D7137A" w:rsidRPr="0079308B">
        <w:rPr>
          <w:rFonts w:cstheme="minorHAnsi"/>
          <w:sz w:val="22"/>
          <w:szCs w:val="22"/>
        </w:rPr>
        <w:t xml:space="preserve">we don’t know </w:t>
      </w:r>
      <w:r w:rsidRPr="0079308B">
        <w:rPr>
          <w:rFonts w:cstheme="minorHAnsi"/>
          <w:sz w:val="22"/>
          <w:szCs w:val="22"/>
        </w:rPr>
        <w:t xml:space="preserve">what proportion of this cohort </w:t>
      </w:r>
      <w:r w:rsidR="00D7137A" w:rsidRPr="0079308B">
        <w:rPr>
          <w:rFonts w:cstheme="minorHAnsi"/>
          <w:sz w:val="22"/>
          <w:szCs w:val="22"/>
        </w:rPr>
        <w:t>meet clinical criteria</w:t>
      </w:r>
      <w:r w:rsidRPr="0079308B">
        <w:rPr>
          <w:rFonts w:cstheme="minorHAnsi"/>
          <w:sz w:val="22"/>
          <w:szCs w:val="22"/>
        </w:rPr>
        <w:t xml:space="preserve"> </w:t>
      </w:r>
      <w:r w:rsidR="00D7137A" w:rsidRPr="0079308B">
        <w:rPr>
          <w:rFonts w:cstheme="minorHAnsi"/>
          <w:sz w:val="22"/>
          <w:szCs w:val="22"/>
        </w:rPr>
        <w:t>for</w:t>
      </w:r>
      <w:r w:rsidRPr="0079308B">
        <w:rPr>
          <w:rFonts w:cstheme="minorHAnsi"/>
          <w:sz w:val="22"/>
          <w:szCs w:val="22"/>
        </w:rPr>
        <w:t xml:space="preserve"> interventions that convey the </w:t>
      </w:r>
      <w:r w:rsidR="00B76128" w:rsidRPr="0079308B">
        <w:rPr>
          <w:rFonts w:cstheme="minorHAnsi"/>
          <w:sz w:val="22"/>
          <w:szCs w:val="22"/>
        </w:rPr>
        <w:t>advantage of</w:t>
      </w:r>
      <w:r w:rsidRPr="0079308B">
        <w:rPr>
          <w:rFonts w:cstheme="minorHAnsi"/>
          <w:sz w:val="22"/>
          <w:szCs w:val="22"/>
        </w:rPr>
        <w:t xml:space="preserve"> early diagnosis</w:t>
      </w:r>
      <w:r w:rsidR="00E02B49" w:rsidRPr="0079308B">
        <w:rPr>
          <w:rFonts w:cstheme="minorHAnsi"/>
          <w:sz w:val="22"/>
          <w:szCs w:val="22"/>
        </w:rPr>
        <w:t>,</w:t>
      </w:r>
      <w:r w:rsidRPr="0079308B">
        <w:rPr>
          <w:rFonts w:cstheme="minorHAnsi"/>
          <w:sz w:val="22"/>
          <w:szCs w:val="22"/>
        </w:rPr>
        <w:t xml:space="preserve"> </w:t>
      </w:r>
      <w:proofErr w:type="gramStart"/>
      <w:r w:rsidRPr="0079308B">
        <w:rPr>
          <w:rFonts w:cstheme="minorHAnsi"/>
          <w:sz w:val="22"/>
          <w:szCs w:val="22"/>
        </w:rPr>
        <w:t>e.g.</w:t>
      </w:r>
      <w:proofErr w:type="gramEnd"/>
      <w:r w:rsidRPr="0079308B">
        <w:rPr>
          <w:rFonts w:cstheme="minorHAnsi"/>
          <w:sz w:val="22"/>
          <w:szCs w:val="22"/>
        </w:rPr>
        <w:t xml:space="preserve"> what proportion enter an HCC surveillance pathway and what proportion have CSPH and are started on </w:t>
      </w:r>
      <w:r w:rsidR="000C7637" w:rsidRPr="0079308B">
        <w:rPr>
          <w:rFonts w:cstheme="minorHAnsi"/>
          <w:sz w:val="22"/>
          <w:szCs w:val="22"/>
        </w:rPr>
        <w:t>beta blockers</w:t>
      </w:r>
      <w:r w:rsidR="002B388A" w:rsidRPr="0079308B">
        <w:rPr>
          <w:rFonts w:cstheme="minorHAnsi"/>
          <w:sz w:val="22"/>
          <w:szCs w:val="22"/>
        </w:rPr>
        <w:t>.</w:t>
      </w:r>
      <w:r w:rsidRPr="0079308B">
        <w:rPr>
          <w:rFonts w:cstheme="minorHAnsi"/>
          <w:sz w:val="22"/>
          <w:szCs w:val="22"/>
        </w:rPr>
        <w:t xml:space="preserve"> </w:t>
      </w:r>
      <w:r w:rsidR="00F40FB4" w:rsidRPr="0079308B">
        <w:rPr>
          <w:rFonts w:cstheme="minorHAnsi"/>
          <w:sz w:val="22"/>
          <w:szCs w:val="22"/>
        </w:rPr>
        <w:t>T</w:t>
      </w:r>
      <w:r w:rsidRPr="0079308B">
        <w:rPr>
          <w:rFonts w:cstheme="minorHAnsi"/>
          <w:sz w:val="22"/>
          <w:szCs w:val="22"/>
        </w:rPr>
        <w:t xml:space="preserve">hirdly, </w:t>
      </w:r>
      <w:r w:rsidR="00E312B1" w:rsidRPr="0079308B">
        <w:rPr>
          <w:rFonts w:cstheme="minorHAnsi"/>
          <w:sz w:val="22"/>
          <w:szCs w:val="22"/>
        </w:rPr>
        <w:t xml:space="preserve">we don’t know </w:t>
      </w:r>
      <w:r w:rsidRPr="0079308B">
        <w:rPr>
          <w:rFonts w:cstheme="minorHAnsi"/>
          <w:sz w:val="22"/>
          <w:szCs w:val="22"/>
        </w:rPr>
        <w:t>the real-world performance of standard care</w:t>
      </w:r>
      <w:r w:rsidR="00A02628" w:rsidRPr="0079308B">
        <w:rPr>
          <w:rFonts w:cstheme="minorHAnsi"/>
          <w:sz w:val="22"/>
          <w:szCs w:val="22"/>
        </w:rPr>
        <w:t xml:space="preserve"> in the UK</w:t>
      </w:r>
      <w:r w:rsidR="002B388A" w:rsidRPr="0079308B">
        <w:rPr>
          <w:rFonts w:cstheme="minorHAnsi"/>
          <w:sz w:val="22"/>
          <w:szCs w:val="22"/>
        </w:rPr>
        <w:t>.</w:t>
      </w:r>
      <w:r w:rsidRPr="0079308B">
        <w:rPr>
          <w:rFonts w:cstheme="minorHAnsi"/>
          <w:sz w:val="22"/>
          <w:szCs w:val="22"/>
        </w:rPr>
        <w:t xml:space="preserve">  </w:t>
      </w:r>
      <w:r w:rsidR="00F40FB4" w:rsidRPr="0079308B">
        <w:rPr>
          <w:rFonts w:cstheme="minorHAnsi"/>
          <w:sz w:val="22"/>
          <w:szCs w:val="22"/>
        </w:rPr>
        <w:t>M</w:t>
      </w:r>
      <w:r w:rsidRPr="0079308B">
        <w:rPr>
          <w:rFonts w:cstheme="minorHAnsi"/>
          <w:sz w:val="22"/>
          <w:szCs w:val="22"/>
        </w:rPr>
        <w:t xml:space="preserve">ost patients with T2DM do not get tested for liver </w:t>
      </w:r>
      <w:r w:rsidR="00B76128" w:rsidRPr="0079308B">
        <w:rPr>
          <w:rFonts w:cstheme="minorHAnsi"/>
          <w:sz w:val="22"/>
          <w:szCs w:val="22"/>
        </w:rPr>
        <w:t>disease</w:t>
      </w:r>
      <w:r w:rsidR="002B388A" w:rsidRPr="0079308B">
        <w:rPr>
          <w:rFonts w:cstheme="minorHAnsi"/>
          <w:sz w:val="22"/>
          <w:szCs w:val="22"/>
        </w:rPr>
        <w:t>,</w:t>
      </w:r>
      <w:r w:rsidR="00B76128" w:rsidRPr="0079308B">
        <w:rPr>
          <w:rFonts w:cstheme="minorHAnsi"/>
          <w:sz w:val="22"/>
          <w:szCs w:val="22"/>
        </w:rPr>
        <w:t xml:space="preserve"> </w:t>
      </w:r>
      <w:r w:rsidRPr="0079308B">
        <w:rPr>
          <w:rFonts w:cstheme="minorHAnsi"/>
          <w:sz w:val="22"/>
          <w:szCs w:val="22"/>
        </w:rPr>
        <w:t xml:space="preserve">despite </w:t>
      </w:r>
      <w:r w:rsidR="00F40FB4" w:rsidRPr="0079308B">
        <w:rPr>
          <w:rFonts w:cstheme="minorHAnsi"/>
          <w:sz w:val="22"/>
          <w:szCs w:val="22"/>
        </w:rPr>
        <w:t xml:space="preserve">their heightened risk because they are not assessed for the </w:t>
      </w:r>
      <w:r w:rsidR="00B76128" w:rsidRPr="0079308B">
        <w:rPr>
          <w:rFonts w:cstheme="minorHAnsi"/>
          <w:sz w:val="22"/>
          <w:szCs w:val="22"/>
        </w:rPr>
        <w:t>additional</w:t>
      </w:r>
      <w:r w:rsidR="00F40FB4" w:rsidRPr="0079308B">
        <w:rPr>
          <w:rFonts w:cstheme="minorHAnsi"/>
          <w:sz w:val="22"/>
          <w:szCs w:val="22"/>
        </w:rPr>
        <w:t xml:space="preserve"> risk factors that are needed to qualify for testing</w:t>
      </w:r>
      <w:r w:rsidR="002B388A" w:rsidRPr="0079308B">
        <w:rPr>
          <w:rFonts w:cstheme="minorHAnsi"/>
          <w:sz w:val="22"/>
          <w:szCs w:val="22"/>
        </w:rPr>
        <w:t>.</w:t>
      </w:r>
      <w:r w:rsidR="00F40FB4" w:rsidRPr="0079308B">
        <w:rPr>
          <w:rFonts w:cstheme="minorHAnsi"/>
          <w:sz w:val="22"/>
          <w:szCs w:val="22"/>
        </w:rPr>
        <w:t xml:space="preserve"> </w:t>
      </w:r>
      <w:r w:rsidR="002B388A" w:rsidRPr="0079308B">
        <w:rPr>
          <w:rFonts w:cstheme="minorHAnsi"/>
          <w:sz w:val="22"/>
          <w:szCs w:val="22"/>
        </w:rPr>
        <w:t>For example,</w:t>
      </w:r>
      <w:r w:rsidR="00F40FB4" w:rsidRPr="0079308B">
        <w:rPr>
          <w:rFonts w:cstheme="minorHAnsi"/>
          <w:sz w:val="22"/>
          <w:szCs w:val="22"/>
        </w:rPr>
        <w:t xml:space="preserve"> LFTs are not part of an annual diabetes check up in the UK</w:t>
      </w:r>
      <w:r w:rsidR="002B388A" w:rsidRPr="0079308B">
        <w:rPr>
          <w:rFonts w:cstheme="minorHAnsi"/>
          <w:sz w:val="22"/>
          <w:szCs w:val="22"/>
        </w:rPr>
        <w:t xml:space="preserve"> and may or may not be measured when patients are considered for statin treatment;</w:t>
      </w:r>
      <w:r w:rsidR="00F40FB4" w:rsidRPr="0079308B">
        <w:rPr>
          <w:rFonts w:cstheme="minorHAnsi"/>
          <w:sz w:val="22"/>
          <w:szCs w:val="22"/>
        </w:rPr>
        <w:t xml:space="preserve"> liver ultrasound</w:t>
      </w:r>
      <w:r w:rsidR="002B388A" w:rsidRPr="0079308B">
        <w:rPr>
          <w:rFonts w:cstheme="minorHAnsi"/>
          <w:sz w:val="22"/>
          <w:szCs w:val="22"/>
        </w:rPr>
        <w:t xml:space="preserve"> is</w:t>
      </w:r>
      <w:r w:rsidR="00F40FB4" w:rsidRPr="0079308B">
        <w:rPr>
          <w:rFonts w:cstheme="minorHAnsi"/>
          <w:sz w:val="22"/>
          <w:szCs w:val="22"/>
        </w:rPr>
        <w:t xml:space="preserve"> not </w:t>
      </w:r>
      <w:r w:rsidR="002B388A" w:rsidRPr="0079308B">
        <w:rPr>
          <w:rFonts w:cstheme="minorHAnsi"/>
          <w:sz w:val="22"/>
          <w:szCs w:val="22"/>
        </w:rPr>
        <w:t xml:space="preserve">a </w:t>
      </w:r>
      <w:r w:rsidR="00F40FB4" w:rsidRPr="0079308B">
        <w:rPr>
          <w:rFonts w:cstheme="minorHAnsi"/>
          <w:sz w:val="22"/>
          <w:szCs w:val="22"/>
        </w:rPr>
        <w:t>routine</w:t>
      </w:r>
      <w:r w:rsidR="002B388A" w:rsidRPr="0079308B">
        <w:rPr>
          <w:rFonts w:cstheme="minorHAnsi"/>
          <w:sz w:val="22"/>
          <w:szCs w:val="22"/>
        </w:rPr>
        <w:t xml:space="preserve"> test,</w:t>
      </w:r>
      <w:r w:rsidR="00F40FB4" w:rsidRPr="0079308B">
        <w:rPr>
          <w:rFonts w:cstheme="minorHAnsi"/>
          <w:sz w:val="22"/>
          <w:szCs w:val="22"/>
        </w:rPr>
        <w:t xml:space="preserve"> and alcohol consumption is not accurately or consistently assessed in primary care. </w:t>
      </w:r>
      <w:r w:rsidR="002B388A" w:rsidRPr="0079308B">
        <w:rPr>
          <w:rFonts w:cstheme="minorHAnsi"/>
          <w:sz w:val="22"/>
          <w:szCs w:val="22"/>
        </w:rPr>
        <w:t>F</w:t>
      </w:r>
      <w:r w:rsidR="00F40FB4" w:rsidRPr="0079308B">
        <w:rPr>
          <w:rFonts w:cstheme="minorHAnsi"/>
          <w:sz w:val="22"/>
          <w:szCs w:val="22"/>
        </w:rPr>
        <w:t xml:space="preserve">inally, previous economic evaluations </w:t>
      </w:r>
      <w:r w:rsidR="00B76128" w:rsidRPr="0079308B">
        <w:rPr>
          <w:rFonts w:cstheme="minorHAnsi"/>
          <w:sz w:val="22"/>
          <w:szCs w:val="22"/>
        </w:rPr>
        <w:t xml:space="preserve">are outdated as they </w:t>
      </w:r>
      <w:r w:rsidR="00F40FB4" w:rsidRPr="0079308B">
        <w:rPr>
          <w:rFonts w:cstheme="minorHAnsi"/>
          <w:sz w:val="22"/>
          <w:szCs w:val="22"/>
        </w:rPr>
        <w:t>use primary care</w:t>
      </w:r>
      <w:r w:rsidR="00B76128" w:rsidRPr="0079308B">
        <w:rPr>
          <w:rFonts w:cstheme="minorHAnsi"/>
          <w:sz w:val="22"/>
          <w:szCs w:val="22"/>
        </w:rPr>
        <w:t>-</w:t>
      </w:r>
      <w:r w:rsidR="00F40FB4" w:rsidRPr="0079308B">
        <w:rPr>
          <w:rFonts w:cstheme="minorHAnsi"/>
          <w:sz w:val="22"/>
          <w:szCs w:val="22"/>
        </w:rPr>
        <w:t>based assessments</w:t>
      </w:r>
      <w:r w:rsidR="00B76128" w:rsidRPr="0079308B">
        <w:rPr>
          <w:rFonts w:cstheme="minorHAnsi"/>
          <w:sz w:val="22"/>
          <w:szCs w:val="22"/>
        </w:rPr>
        <w:t xml:space="preserve"> </w:t>
      </w:r>
      <w:r w:rsidR="00A25862" w:rsidRPr="0079308B">
        <w:rPr>
          <w:rFonts w:cstheme="minorHAnsi"/>
          <w:sz w:val="22"/>
          <w:szCs w:val="22"/>
        </w:rPr>
        <w:t>[</w:t>
      </w:r>
      <w:proofErr w:type="gramStart"/>
      <w:r w:rsidR="00B76128" w:rsidRPr="0079308B">
        <w:rPr>
          <w:rFonts w:cstheme="minorHAnsi"/>
          <w:sz w:val="22"/>
          <w:szCs w:val="22"/>
        </w:rPr>
        <w:t>e.g.</w:t>
      </w:r>
      <w:proofErr w:type="gramEnd"/>
      <w:r w:rsidR="00B76128" w:rsidRPr="0079308B">
        <w:rPr>
          <w:rFonts w:cstheme="minorHAnsi"/>
          <w:sz w:val="22"/>
          <w:szCs w:val="22"/>
        </w:rPr>
        <w:t xml:space="preserve"> history and examination</w:t>
      </w:r>
      <w:r w:rsidR="00A25862" w:rsidRPr="0079308B">
        <w:rPr>
          <w:rFonts w:cstheme="minorHAnsi"/>
          <w:sz w:val="22"/>
          <w:szCs w:val="22"/>
        </w:rPr>
        <w:t>]</w:t>
      </w:r>
      <w:r w:rsidR="00F40FB4" w:rsidRPr="0079308B">
        <w:rPr>
          <w:rFonts w:cstheme="minorHAnsi"/>
          <w:sz w:val="22"/>
          <w:szCs w:val="22"/>
        </w:rPr>
        <w:t xml:space="preserve"> that do not incorporate </w:t>
      </w:r>
      <w:r w:rsidR="00E312B1" w:rsidRPr="0079308B">
        <w:rPr>
          <w:rFonts w:cstheme="minorHAnsi"/>
          <w:sz w:val="22"/>
          <w:szCs w:val="22"/>
        </w:rPr>
        <w:t>tests for fibrosis</w:t>
      </w:r>
      <w:r w:rsidR="000C7637" w:rsidRPr="0079308B">
        <w:rPr>
          <w:rFonts w:cstheme="minorHAnsi"/>
          <w:sz w:val="22"/>
          <w:szCs w:val="22"/>
        </w:rPr>
        <w:t xml:space="preserve"> </w:t>
      </w:r>
      <w:r w:rsidR="00A25862" w:rsidRPr="0079308B">
        <w:rPr>
          <w:rFonts w:cstheme="minorHAnsi"/>
          <w:sz w:val="22"/>
          <w:szCs w:val="22"/>
        </w:rPr>
        <w:t>[</w:t>
      </w:r>
      <w:r w:rsidR="000C7637" w:rsidRPr="0079308B">
        <w:rPr>
          <w:rFonts w:cstheme="minorHAnsi"/>
          <w:sz w:val="22"/>
          <w:szCs w:val="22"/>
        </w:rPr>
        <w:t>e.g. Fib-4 and VCTE</w:t>
      </w:r>
      <w:r w:rsidR="00A25862" w:rsidRPr="0079308B">
        <w:rPr>
          <w:rFonts w:cstheme="minorHAnsi"/>
          <w:sz w:val="22"/>
          <w:szCs w:val="22"/>
        </w:rPr>
        <w:t>]</w:t>
      </w:r>
      <w:r w:rsidR="00F40FB4" w:rsidRPr="0079308B">
        <w:rPr>
          <w:rFonts w:cstheme="minorHAnsi"/>
          <w:sz w:val="22"/>
          <w:szCs w:val="22"/>
        </w:rPr>
        <w:t xml:space="preserve">. </w:t>
      </w:r>
      <w:r w:rsidR="002B388A" w:rsidRPr="0079308B">
        <w:rPr>
          <w:rFonts w:cstheme="minorHAnsi"/>
          <w:sz w:val="22"/>
          <w:szCs w:val="22"/>
        </w:rPr>
        <w:t xml:space="preserve">Since the NICE NAFLD Guideline in 2016, </w:t>
      </w:r>
      <w:r w:rsidR="000C7637" w:rsidRPr="0079308B">
        <w:rPr>
          <w:rFonts w:cstheme="minorHAnsi"/>
          <w:sz w:val="22"/>
          <w:szCs w:val="22"/>
        </w:rPr>
        <w:t>tests for liver fibrosis</w:t>
      </w:r>
      <w:r w:rsidR="00F40FB4" w:rsidRPr="0079308B">
        <w:rPr>
          <w:rFonts w:cstheme="minorHAnsi"/>
          <w:sz w:val="22"/>
          <w:szCs w:val="22"/>
        </w:rPr>
        <w:t xml:space="preserve"> are widely integrated into community diagnostic pathways for liver disease and therefore </w:t>
      </w:r>
      <w:r w:rsidR="002B388A" w:rsidRPr="0079308B">
        <w:rPr>
          <w:rFonts w:cstheme="minorHAnsi"/>
          <w:sz w:val="22"/>
          <w:szCs w:val="22"/>
        </w:rPr>
        <w:t xml:space="preserve">in future </w:t>
      </w:r>
      <w:r w:rsidR="00E02B49" w:rsidRPr="0079308B">
        <w:rPr>
          <w:rFonts w:cstheme="minorHAnsi"/>
          <w:sz w:val="22"/>
          <w:szCs w:val="22"/>
        </w:rPr>
        <w:t>studies</w:t>
      </w:r>
      <w:r w:rsidR="00023F88" w:rsidRPr="0079308B">
        <w:rPr>
          <w:rFonts w:cstheme="minorHAnsi"/>
          <w:sz w:val="22"/>
          <w:szCs w:val="22"/>
        </w:rPr>
        <w:t xml:space="preserve"> models of ‘</w:t>
      </w:r>
      <w:r w:rsidR="00B76128" w:rsidRPr="0079308B">
        <w:rPr>
          <w:rFonts w:cstheme="minorHAnsi"/>
          <w:sz w:val="22"/>
          <w:szCs w:val="22"/>
        </w:rPr>
        <w:t>usual care</w:t>
      </w:r>
      <w:r w:rsidR="00023F88" w:rsidRPr="0079308B">
        <w:rPr>
          <w:rFonts w:cstheme="minorHAnsi"/>
          <w:sz w:val="22"/>
          <w:szCs w:val="22"/>
        </w:rPr>
        <w:t>’</w:t>
      </w:r>
      <w:r w:rsidR="00B76128" w:rsidRPr="0079308B">
        <w:rPr>
          <w:rFonts w:cstheme="minorHAnsi"/>
          <w:sz w:val="22"/>
          <w:szCs w:val="22"/>
        </w:rPr>
        <w:t xml:space="preserve"> need to reflect this. </w:t>
      </w:r>
    </w:p>
    <w:p w14:paraId="42E1FAB2" w14:textId="77777777" w:rsidR="00F27FF7" w:rsidRPr="0079308B" w:rsidRDefault="00F27FF7" w:rsidP="0003104A">
      <w:pPr>
        <w:spacing w:line="360" w:lineRule="auto"/>
        <w:rPr>
          <w:rFonts w:cstheme="minorHAnsi"/>
          <w:sz w:val="22"/>
          <w:szCs w:val="22"/>
        </w:rPr>
      </w:pPr>
    </w:p>
    <w:p w14:paraId="328ABF20" w14:textId="4A4BB976" w:rsidR="00F27FF7" w:rsidRPr="0079308B" w:rsidRDefault="00F27FF7" w:rsidP="0003104A">
      <w:pPr>
        <w:spacing w:line="360" w:lineRule="auto"/>
        <w:rPr>
          <w:rFonts w:cstheme="minorHAnsi"/>
          <w:sz w:val="22"/>
          <w:szCs w:val="22"/>
        </w:rPr>
      </w:pPr>
      <w:r w:rsidRPr="0079308B">
        <w:rPr>
          <w:rFonts w:cstheme="minorHAnsi"/>
          <w:sz w:val="22"/>
          <w:szCs w:val="22"/>
        </w:rPr>
        <w:t xml:space="preserve">This study protocol describes a </w:t>
      </w:r>
      <w:r w:rsidR="00F40FB4" w:rsidRPr="0079308B">
        <w:rPr>
          <w:rFonts w:cstheme="minorHAnsi"/>
          <w:sz w:val="22"/>
          <w:szCs w:val="22"/>
        </w:rPr>
        <w:t xml:space="preserve">randomised controlled trial with a nested cost-effectiveness evaluation. The study </w:t>
      </w:r>
      <w:r w:rsidRPr="0079308B">
        <w:rPr>
          <w:rFonts w:cstheme="minorHAnsi"/>
          <w:sz w:val="22"/>
          <w:szCs w:val="22"/>
        </w:rPr>
        <w:t xml:space="preserve">aims to </w:t>
      </w:r>
      <w:r w:rsidR="00DF70FB" w:rsidRPr="0079308B">
        <w:rPr>
          <w:rFonts w:cstheme="minorHAnsi"/>
          <w:sz w:val="22"/>
          <w:szCs w:val="22"/>
        </w:rPr>
        <w:t>compare the number of participants referred for HCC surveillance between an intervention where patients with</w:t>
      </w:r>
      <w:r w:rsidR="00F40FB4" w:rsidRPr="0079308B">
        <w:rPr>
          <w:rFonts w:cstheme="minorHAnsi"/>
          <w:sz w:val="22"/>
          <w:szCs w:val="22"/>
        </w:rPr>
        <w:t xml:space="preserve"> T2DM are universally offered </w:t>
      </w:r>
      <w:r w:rsidR="003C38BC" w:rsidRPr="0079308B">
        <w:rPr>
          <w:rFonts w:cstheme="minorHAnsi"/>
          <w:sz w:val="22"/>
          <w:szCs w:val="22"/>
        </w:rPr>
        <w:t>screening</w:t>
      </w:r>
      <w:r w:rsidR="00F40FB4" w:rsidRPr="0079308B">
        <w:rPr>
          <w:rFonts w:cstheme="minorHAnsi"/>
          <w:sz w:val="22"/>
          <w:szCs w:val="22"/>
        </w:rPr>
        <w:t xml:space="preserve"> for liver disease</w:t>
      </w:r>
      <w:r w:rsidR="002B388A" w:rsidRPr="0079308B">
        <w:rPr>
          <w:rFonts w:cstheme="minorHAnsi"/>
          <w:sz w:val="22"/>
          <w:szCs w:val="22"/>
        </w:rPr>
        <w:t xml:space="preserve"> </w:t>
      </w:r>
      <w:r w:rsidR="00DF70FB" w:rsidRPr="0079308B">
        <w:rPr>
          <w:rFonts w:cstheme="minorHAnsi"/>
          <w:sz w:val="22"/>
          <w:szCs w:val="22"/>
        </w:rPr>
        <w:t>against usual care.</w:t>
      </w:r>
    </w:p>
    <w:p w14:paraId="683A40C0" w14:textId="77777777" w:rsidR="00F27FF7" w:rsidRPr="0079308B" w:rsidRDefault="00F27FF7" w:rsidP="0018443B">
      <w:pPr>
        <w:rPr>
          <w:rFonts w:cstheme="minorHAnsi"/>
          <w:sz w:val="22"/>
          <w:szCs w:val="22"/>
        </w:rPr>
      </w:pPr>
    </w:p>
    <w:p w14:paraId="066ED75D" w14:textId="59EAE3B8" w:rsidR="00E02B49" w:rsidRPr="0079308B" w:rsidRDefault="00E02B49">
      <w:pPr>
        <w:rPr>
          <w:rFonts w:cstheme="minorHAnsi"/>
          <w:sz w:val="22"/>
          <w:szCs w:val="22"/>
        </w:rPr>
      </w:pPr>
      <w:r w:rsidRPr="0079308B">
        <w:rPr>
          <w:rFonts w:cstheme="minorHAnsi"/>
          <w:sz w:val="22"/>
          <w:szCs w:val="22"/>
        </w:rPr>
        <w:br w:type="page"/>
      </w:r>
    </w:p>
    <w:p w14:paraId="232EFF2F" w14:textId="77777777" w:rsidR="00465FC2" w:rsidRPr="0079308B" w:rsidRDefault="00465FC2" w:rsidP="00F025AA">
      <w:pPr>
        <w:spacing w:line="360" w:lineRule="auto"/>
        <w:rPr>
          <w:rFonts w:cstheme="minorHAnsi"/>
          <w:sz w:val="22"/>
          <w:szCs w:val="22"/>
        </w:rPr>
      </w:pPr>
    </w:p>
    <w:p w14:paraId="0FF74F82" w14:textId="0BACAF05" w:rsidR="003D4428" w:rsidRPr="0079308B" w:rsidRDefault="005C50B4" w:rsidP="00F025AA">
      <w:pPr>
        <w:spacing w:line="360" w:lineRule="auto"/>
        <w:rPr>
          <w:rFonts w:cstheme="minorHAnsi"/>
          <w:b/>
          <w:bCs/>
          <w:sz w:val="22"/>
          <w:szCs w:val="22"/>
          <w:u w:val="single"/>
        </w:rPr>
      </w:pPr>
      <w:r w:rsidRPr="0079308B">
        <w:rPr>
          <w:rFonts w:cstheme="minorHAnsi"/>
          <w:b/>
          <w:bCs/>
          <w:sz w:val="22"/>
          <w:szCs w:val="22"/>
          <w:u w:val="single"/>
        </w:rPr>
        <w:t>Method and analysis</w:t>
      </w:r>
    </w:p>
    <w:p w14:paraId="285C6440" w14:textId="77777777" w:rsidR="005C50B4" w:rsidRPr="0079308B" w:rsidRDefault="005C50B4" w:rsidP="00F025AA">
      <w:pPr>
        <w:spacing w:line="360" w:lineRule="auto"/>
        <w:rPr>
          <w:rFonts w:cstheme="minorHAnsi"/>
          <w:b/>
          <w:bCs/>
          <w:sz w:val="22"/>
          <w:szCs w:val="22"/>
          <w:u w:val="single"/>
        </w:rPr>
      </w:pPr>
    </w:p>
    <w:p w14:paraId="4F2365EB" w14:textId="70CAA018" w:rsidR="003D4428" w:rsidRPr="0079308B" w:rsidRDefault="003D4428" w:rsidP="00F025AA">
      <w:pPr>
        <w:spacing w:line="360" w:lineRule="auto"/>
        <w:rPr>
          <w:rFonts w:cstheme="minorHAnsi"/>
          <w:sz w:val="22"/>
          <w:szCs w:val="22"/>
        </w:rPr>
      </w:pPr>
      <w:r w:rsidRPr="0079308B">
        <w:rPr>
          <w:rFonts w:cstheme="minorHAnsi"/>
          <w:sz w:val="22"/>
          <w:szCs w:val="22"/>
        </w:rPr>
        <w:t xml:space="preserve">The </w:t>
      </w:r>
      <w:r w:rsidR="00CA2602" w:rsidRPr="0079308B">
        <w:rPr>
          <w:rFonts w:cstheme="minorHAnsi"/>
          <w:sz w:val="22"/>
          <w:szCs w:val="22"/>
        </w:rPr>
        <w:t>trial</w:t>
      </w:r>
      <w:r w:rsidRPr="0079308B">
        <w:rPr>
          <w:rFonts w:cstheme="minorHAnsi"/>
          <w:sz w:val="22"/>
          <w:szCs w:val="22"/>
        </w:rPr>
        <w:t xml:space="preserve"> </w:t>
      </w:r>
      <w:r w:rsidR="00CA2602" w:rsidRPr="0079308B">
        <w:rPr>
          <w:rFonts w:cstheme="minorHAnsi"/>
          <w:sz w:val="22"/>
          <w:szCs w:val="22"/>
        </w:rPr>
        <w:t>is described in accordance with the S</w:t>
      </w:r>
      <w:r w:rsidR="000C7637" w:rsidRPr="0079308B">
        <w:rPr>
          <w:rFonts w:cstheme="minorHAnsi"/>
          <w:sz w:val="22"/>
          <w:szCs w:val="22"/>
        </w:rPr>
        <w:t>PIRIT</w:t>
      </w:r>
      <w:r w:rsidR="00CA2602" w:rsidRPr="0079308B">
        <w:rPr>
          <w:rFonts w:cstheme="minorHAnsi"/>
          <w:sz w:val="22"/>
          <w:szCs w:val="22"/>
        </w:rPr>
        <w:t xml:space="preserve"> checklist.</w:t>
      </w:r>
      <w:r w:rsidR="00A25862" w:rsidRPr="0079308B">
        <w:rPr>
          <w:rFonts w:cstheme="minorHAnsi"/>
          <w:noProof/>
          <w:sz w:val="22"/>
          <w:szCs w:val="22"/>
        </w:rPr>
        <w:t>[</w:t>
      </w:r>
      <w:r w:rsidR="006D6665" w:rsidRPr="0079308B">
        <w:rPr>
          <w:rFonts w:cstheme="minorHAnsi"/>
          <w:noProof/>
          <w:sz w:val="22"/>
          <w:szCs w:val="22"/>
        </w:rPr>
        <w:t>37</w:t>
      </w:r>
      <w:r w:rsidR="00A25862" w:rsidRPr="0079308B">
        <w:rPr>
          <w:rFonts w:cstheme="minorHAnsi"/>
          <w:noProof/>
          <w:sz w:val="22"/>
          <w:szCs w:val="22"/>
        </w:rPr>
        <w:t>]</w:t>
      </w:r>
      <w:r w:rsidRPr="0079308B">
        <w:rPr>
          <w:rFonts w:cstheme="minorHAnsi"/>
          <w:sz w:val="22"/>
          <w:szCs w:val="22"/>
        </w:rPr>
        <w:t xml:space="preserve"> </w:t>
      </w:r>
      <w:r w:rsidR="00CA2602" w:rsidRPr="0079308B">
        <w:rPr>
          <w:rFonts w:cstheme="minorHAnsi"/>
          <w:sz w:val="22"/>
          <w:szCs w:val="22"/>
        </w:rPr>
        <w:t xml:space="preserve">The design </w:t>
      </w:r>
      <w:r w:rsidRPr="0079308B">
        <w:rPr>
          <w:rFonts w:cstheme="minorHAnsi"/>
          <w:sz w:val="22"/>
          <w:szCs w:val="22"/>
        </w:rPr>
        <w:t xml:space="preserve">will be an unblinded randomised controlled trial with a nested cost-effectiveness evaluation comparing </w:t>
      </w:r>
      <w:r w:rsidR="00182FCE" w:rsidRPr="0079308B">
        <w:rPr>
          <w:rFonts w:cstheme="minorHAnsi"/>
          <w:sz w:val="22"/>
          <w:szCs w:val="22"/>
        </w:rPr>
        <w:t xml:space="preserve">the offer of </w:t>
      </w:r>
      <w:r w:rsidR="003C38BC" w:rsidRPr="0079308B">
        <w:rPr>
          <w:rFonts w:cstheme="minorHAnsi"/>
          <w:sz w:val="22"/>
          <w:szCs w:val="22"/>
        </w:rPr>
        <w:t>screening</w:t>
      </w:r>
      <w:r w:rsidRPr="0079308B">
        <w:rPr>
          <w:rFonts w:cstheme="minorHAnsi"/>
          <w:sz w:val="22"/>
          <w:szCs w:val="22"/>
        </w:rPr>
        <w:t xml:space="preserve"> </w:t>
      </w:r>
      <w:r w:rsidR="00182FCE" w:rsidRPr="0079308B">
        <w:rPr>
          <w:rFonts w:cstheme="minorHAnsi"/>
          <w:sz w:val="22"/>
          <w:szCs w:val="22"/>
        </w:rPr>
        <w:t xml:space="preserve">to </w:t>
      </w:r>
      <w:r w:rsidRPr="0079308B">
        <w:rPr>
          <w:rFonts w:cstheme="minorHAnsi"/>
          <w:sz w:val="22"/>
          <w:szCs w:val="22"/>
          <w:u w:val="single"/>
        </w:rPr>
        <w:t>all</w:t>
      </w:r>
      <w:r w:rsidRPr="0079308B">
        <w:rPr>
          <w:rFonts w:cstheme="minorHAnsi"/>
          <w:sz w:val="22"/>
          <w:szCs w:val="22"/>
        </w:rPr>
        <w:t xml:space="preserve"> patients with T2DM for liver disease against standard care. We </w:t>
      </w:r>
      <w:r w:rsidR="002B388A" w:rsidRPr="0079308B">
        <w:rPr>
          <w:rFonts w:cstheme="minorHAnsi"/>
          <w:sz w:val="22"/>
          <w:szCs w:val="22"/>
        </w:rPr>
        <w:t xml:space="preserve">will </w:t>
      </w:r>
      <w:r w:rsidRPr="0079308B">
        <w:rPr>
          <w:rFonts w:cstheme="minorHAnsi"/>
          <w:sz w:val="22"/>
          <w:szCs w:val="22"/>
        </w:rPr>
        <w:t>proceed straight to an effectiveness evaluation rather than conducting a formal feasibility/pilot study</w:t>
      </w:r>
      <w:r w:rsidR="009C216D" w:rsidRPr="0079308B">
        <w:rPr>
          <w:rFonts w:cstheme="minorHAnsi"/>
          <w:sz w:val="22"/>
          <w:szCs w:val="22"/>
        </w:rPr>
        <w:t>. We justify this appr</w:t>
      </w:r>
      <w:r w:rsidR="00E02C00" w:rsidRPr="0079308B">
        <w:rPr>
          <w:rFonts w:cstheme="minorHAnsi"/>
          <w:sz w:val="22"/>
          <w:szCs w:val="22"/>
        </w:rPr>
        <w:t>oa</w:t>
      </w:r>
      <w:r w:rsidR="009C216D" w:rsidRPr="0079308B">
        <w:rPr>
          <w:rFonts w:cstheme="minorHAnsi"/>
          <w:sz w:val="22"/>
          <w:szCs w:val="22"/>
        </w:rPr>
        <w:t>ch</w:t>
      </w:r>
      <w:r w:rsidRPr="0079308B">
        <w:rPr>
          <w:rFonts w:cstheme="minorHAnsi"/>
          <w:sz w:val="22"/>
          <w:szCs w:val="22"/>
        </w:rPr>
        <w:t xml:space="preserve"> because the components of the intervention</w:t>
      </w:r>
      <w:r w:rsidR="00F40FB4" w:rsidRPr="0079308B">
        <w:rPr>
          <w:rFonts w:cstheme="minorHAnsi"/>
          <w:sz w:val="22"/>
          <w:szCs w:val="22"/>
        </w:rPr>
        <w:t xml:space="preserve"> </w:t>
      </w:r>
      <w:r w:rsidR="00A25862" w:rsidRPr="0079308B">
        <w:rPr>
          <w:rFonts w:cstheme="minorHAnsi"/>
          <w:sz w:val="22"/>
          <w:szCs w:val="22"/>
        </w:rPr>
        <w:t>[</w:t>
      </w:r>
      <w:r w:rsidR="008842A4" w:rsidRPr="0079308B">
        <w:rPr>
          <w:rFonts w:cstheme="minorHAnsi"/>
          <w:sz w:val="22"/>
          <w:szCs w:val="22"/>
        </w:rPr>
        <w:t>used in</w:t>
      </w:r>
      <w:r w:rsidR="00F40FB4" w:rsidRPr="0079308B">
        <w:rPr>
          <w:rFonts w:cstheme="minorHAnsi"/>
          <w:sz w:val="22"/>
          <w:szCs w:val="22"/>
        </w:rPr>
        <w:t xml:space="preserve"> testing for liver disease</w:t>
      </w:r>
      <w:r w:rsidR="008842A4" w:rsidRPr="0079308B">
        <w:rPr>
          <w:rFonts w:cstheme="minorHAnsi"/>
          <w:sz w:val="22"/>
          <w:szCs w:val="22"/>
        </w:rPr>
        <w:t xml:space="preserve"> in patients with standard risk factors </w:t>
      </w:r>
      <w:r w:rsidR="00A25862" w:rsidRPr="0079308B">
        <w:rPr>
          <w:rFonts w:cstheme="minorHAnsi"/>
          <w:sz w:val="22"/>
          <w:szCs w:val="22"/>
        </w:rPr>
        <w:t>[</w:t>
      </w:r>
      <w:proofErr w:type="gramStart"/>
      <w:r w:rsidR="008842A4" w:rsidRPr="0079308B">
        <w:rPr>
          <w:rFonts w:cstheme="minorHAnsi"/>
          <w:sz w:val="22"/>
          <w:szCs w:val="22"/>
        </w:rPr>
        <w:t>e.g.</w:t>
      </w:r>
      <w:proofErr w:type="gramEnd"/>
      <w:r w:rsidR="008842A4" w:rsidRPr="0079308B">
        <w:rPr>
          <w:rFonts w:cstheme="minorHAnsi"/>
          <w:sz w:val="22"/>
          <w:szCs w:val="22"/>
        </w:rPr>
        <w:t xml:space="preserve"> abnormal blood results or harmful alcohol consumption</w:t>
      </w:r>
      <w:r w:rsidR="00A25862" w:rsidRPr="0079308B">
        <w:rPr>
          <w:rFonts w:cstheme="minorHAnsi"/>
          <w:sz w:val="22"/>
          <w:szCs w:val="22"/>
        </w:rPr>
        <w:t>]]</w:t>
      </w:r>
      <w:r w:rsidRPr="0079308B">
        <w:rPr>
          <w:rFonts w:cstheme="minorHAnsi"/>
          <w:sz w:val="22"/>
          <w:szCs w:val="22"/>
        </w:rPr>
        <w:t xml:space="preserve"> are widely implemented</w:t>
      </w:r>
      <w:r w:rsidR="009C216D" w:rsidRPr="0079308B">
        <w:rPr>
          <w:rFonts w:cstheme="minorHAnsi"/>
          <w:sz w:val="22"/>
          <w:szCs w:val="22"/>
        </w:rPr>
        <w:t>. Additionally,</w:t>
      </w:r>
      <w:r w:rsidRPr="0079308B">
        <w:rPr>
          <w:rFonts w:cstheme="minorHAnsi"/>
          <w:sz w:val="22"/>
          <w:szCs w:val="22"/>
        </w:rPr>
        <w:t xml:space="preserve"> data such as the attrition rate from the</w:t>
      </w:r>
      <w:r w:rsidR="009C216D" w:rsidRPr="0079308B">
        <w:rPr>
          <w:rFonts w:cstheme="minorHAnsi"/>
          <w:sz w:val="22"/>
          <w:szCs w:val="22"/>
        </w:rPr>
        <w:t xml:space="preserve"> conventional</w:t>
      </w:r>
      <w:r w:rsidRPr="0079308B">
        <w:rPr>
          <w:rFonts w:cstheme="minorHAnsi"/>
          <w:sz w:val="22"/>
          <w:szCs w:val="22"/>
        </w:rPr>
        <w:t xml:space="preserve"> diagnostic pathway is already known</w:t>
      </w:r>
      <w:r w:rsidR="003A09E4" w:rsidRPr="0079308B">
        <w:rPr>
          <w:rFonts w:cstheme="minorHAnsi"/>
          <w:sz w:val="22"/>
          <w:szCs w:val="22"/>
        </w:rPr>
        <w:t xml:space="preserve"> </w:t>
      </w:r>
      <w:r w:rsidR="00A25862" w:rsidRPr="0079308B">
        <w:rPr>
          <w:rFonts w:cstheme="minorHAnsi"/>
          <w:sz w:val="22"/>
          <w:szCs w:val="22"/>
        </w:rPr>
        <w:t>[</w:t>
      </w:r>
      <w:r w:rsidRPr="0079308B">
        <w:rPr>
          <w:rFonts w:cstheme="minorHAnsi"/>
          <w:sz w:val="22"/>
          <w:szCs w:val="22"/>
        </w:rPr>
        <w:t>see sample size section</w:t>
      </w:r>
      <w:r w:rsidR="00A25862" w:rsidRPr="0079308B">
        <w:rPr>
          <w:rFonts w:cstheme="minorHAnsi"/>
          <w:sz w:val="22"/>
          <w:szCs w:val="22"/>
        </w:rPr>
        <w:t>]</w:t>
      </w:r>
      <w:r w:rsidRPr="0079308B">
        <w:rPr>
          <w:rFonts w:cstheme="minorHAnsi"/>
          <w:sz w:val="22"/>
          <w:szCs w:val="22"/>
        </w:rPr>
        <w:t>.</w:t>
      </w:r>
      <w:r w:rsidR="00A25862" w:rsidRPr="0079308B">
        <w:rPr>
          <w:rFonts w:cstheme="minorHAnsi"/>
          <w:noProof/>
          <w:sz w:val="22"/>
          <w:szCs w:val="22"/>
        </w:rPr>
        <w:t>[</w:t>
      </w:r>
      <w:r w:rsidR="006D6665" w:rsidRPr="0079308B">
        <w:rPr>
          <w:rFonts w:cstheme="minorHAnsi"/>
          <w:noProof/>
          <w:sz w:val="22"/>
          <w:szCs w:val="22"/>
        </w:rPr>
        <w:t>38</w:t>
      </w:r>
      <w:r w:rsidR="00A25862" w:rsidRPr="0079308B">
        <w:rPr>
          <w:rFonts w:cstheme="minorHAnsi"/>
          <w:noProof/>
          <w:sz w:val="22"/>
          <w:szCs w:val="22"/>
        </w:rPr>
        <w:t>]</w:t>
      </w:r>
      <w:r w:rsidR="001B55B2" w:rsidRPr="0079308B">
        <w:rPr>
          <w:rFonts w:cstheme="minorHAnsi"/>
          <w:sz w:val="22"/>
          <w:szCs w:val="22"/>
        </w:rPr>
        <w:t xml:space="preserve"> Undertaking a randomised controlled trial in this setting is very important as this provides contemporaneous </w:t>
      </w:r>
      <w:r w:rsidR="0022002E" w:rsidRPr="0079308B">
        <w:rPr>
          <w:rFonts w:cstheme="minorHAnsi"/>
          <w:sz w:val="22"/>
          <w:szCs w:val="22"/>
        </w:rPr>
        <w:t>standard</w:t>
      </w:r>
      <w:r w:rsidR="001B55B2" w:rsidRPr="0079308B">
        <w:rPr>
          <w:rFonts w:cstheme="minorHAnsi"/>
          <w:sz w:val="22"/>
          <w:szCs w:val="22"/>
        </w:rPr>
        <w:t xml:space="preserve"> care arm</w:t>
      </w:r>
      <w:r w:rsidR="0022002E" w:rsidRPr="0079308B">
        <w:rPr>
          <w:rFonts w:cstheme="minorHAnsi"/>
          <w:sz w:val="22"/>
          <w:szCs w:val="22"/>
        </w:rPr>
        <w:t xml:space="preserve"> as a counterfactual</w:t>
      </w:r>
      <w:r w:rsidR="001B55B2" w:rsidRPr="0079308B">
        <w:rPr>
          <w:rFonts w:cstheme="minorHAnsi"/>
          <w:sz w:val="22"/>
          <w:szCs w:val="22"/>
        </w:rPr>
        <w:t xml:space="preserve">. </w:t>
      </w:r>
    </w:p>
    <w:p w14:paraId="1C09DA57" w14:textId="77777777" w:rsidR="003D4428" w:rsidRPr="0079308B" w:rsidRDefault="003D4428" w:rsidP="00F025AA">
      <w:pPr>
        <w:spacing w:line="360" w:lineRule="auto"/>
        <w:rPr>
          <w:rFonts w:cstheme="minorHAnsi"/>
          <w:sz w:val="22"/>
          <w:szCs w:val="22"/>
        </w:rPr>
      </w:pPr>
    </w:p>
    <w:p w14:paraId="4109F9A5" w14:textId="77DBDADB" w:rsidR="003D4428" w:rsidRPr="0079308B" w:rsidRDefault="003A09E4" w:rsidP="00F025AA">
      <w:pPr>
        <w:spacing w:line="360" w:lineRule="auto"/>
        <w:rPr>
          <w:rFonts w:cstheme="minorHAnsi"/>
          <w:b/>
          <w:bCs/>
          <w:sz w:val="22"/>
          <w:szCs w:val="22"/>
        </w:rPr>
      </w:pPr>
      <w:r w:rsidRPr="0079308B">
        <w:rPr>
          <w:rFonts w:cstheme="minorHAnsi"/>
          <w:b/>
          <w:bCs/>
          <w:sz w:val="22"/>
          <w:szCs w:val="22"/>
        </w:rPr>
        <w:t>P</w:t>
      </w:r>
      <w:r w:rsidR="003D4428" w:rsidRPr="0079308B">
        <w:rPr>
          <w:rFonts w:cstheme="minorHAnsi"/>
          <w:b/>
          <w:bCs/>
          <w:sz w:val="22"/>
          <w:szCs w:val="22"/>
        </w:rPr>
        <w:t>rimary outcome</w:t>
      </w:r>
    </w:p>
    <w:p w14:paraId="397E7B9A" w14:textId="5468BCC3" w:rsidR="003D4428" w:rsidRPr="0079308B" w:rsidRDefault="003D4428" w:rsidP="00F025AA">
      <w:pPr>
        <w:pStyle w:val="ListParagraph"/>
        <w:numPr>
          <w:ilvl w:val="0"/>
          <w:numId w:val="7"/>
        </w:numPr>
        <w:spacing w:line="360" w:lineRule="auto"/>
        <w:rPr>
          <w:rFonts w:cstheme="minorHAnsi"/>
          <w:sz w:val="22"/>
          <w:szCs w:val="22"/>
        </w:rPr>
      </w:pPr>
      <w:r w:rsidRPr="0079308B">
        <w:rPr>
          <w:rFonts w:cstheme="minorHAnsi"/>
          <w:sz w:val="22"/>
          <w:szCs w:val="22"/>
        </w:rPr>
        <w:t>The number of p</w:t>
      </w:r>
      <w:r w:rsidR="00EE1A4D" w:rsidRPr="0079308B">
        <w:rPr>
          <w:rFonts w:cstheme="minorHAnsi"/>
          <w:sz w:val="22"/>
          <w:szCs w:val="22"/>
        </w:rPr>
        <w:t>articipants referred to secondary care with suspected liver disease within 12 months of randomisation</w:t>
      </w:r>
      <w:r w:rsidRPr="0079308B">
        <w:rPr>
          <w:rFonts w:cstheme="minorHAnsi"/>
          <w:sz w:val="22"/>
          <w:szCs w:val="22"/>
        </w:rPr>
        <w:t xml:space="preserve"> </w:t>
      </w:r>
      <w:r w:rsidR="00EE1A4D" w:rsidRPr="0079308B">
        <w:rPr>
          <w:rFonts w:cstheme="minorHAnsi"/>
          <w:sz w:val="22"/>
          <w:szCs w:val="22"/>
        </w:rPr>
        <w:t>who are subsequently referred for HCC surveillance.</w:t>
      </w:r>
    </w:p>
    <w:p w14:paraId="7FF0D7FD" w14:textId="77777777" w:rsidR="00A87937" w:rsidRPr="0079308B" w:rsidRDefault="00A87937" w:rsidP="00A87937">
      <w:pPr>
        <w:pStyle w:val="ListParagraph"/>
        <w:spacing w:line="360" w:lineRule="auto"/>
        <w:ind w:left="1080"/>
        <w:rPr>
          <w:rFonts w:cstheme="minorHAnsi"/>
          <w:sz w:val="22"/>
          <w:szCs w:val="22"/>
        </w:rPr>
      </w:pPr>
    </w:p>
    <w:p w14:paraId="54634713" w14:textId="20623434" w:rsidR="003D4428" w:rsidRPr="0079308B" w:rsidRDefault="00A87937" w:rsidP="00F025AA">
      <w:pPr>
        <w:spacing w:line="360" w:lineRule="auto"/>
        <w:rPr>
          <w:rFonts w:cstheme="minorHAnsi"/>
          <w:sz w:val="22"/>
          <w:szCs w:val="22"/>
        </w:rPr>
      </w:pPr>
      <w:r w:rsidRPr="0079308B">
        <w:rPr>
          <w:rFonts w:cstheme="minorHAnsi"/>
          <w:sz w:val="22"/>
          <w:szCs w:val="22"/>
        </w:rPr>
        <w:t>As an unblinded trial it is important our primary outcome is as objective as possible and independent of the research team. In both study arms patients with high liver stiffness measurements will be referred to nearby hepatology services</w:t>
      </w:r>
      <w:r w:rsidR="003C38BC" w:rsidRPr="0079308B">
        <w:rPr>
          <w:rFonts w:cstheme="minorHAnsi"/>
          <w:sz w:val="22"/>
          <w:szCs w:val="22"/>
        </w:rPr>
        <w:t xml:space="preserve"> </w:t>
      </w:r>
      <w:r w:rsidR="00A25862" w:rsidRPr="0079308B">
        <w:rPr>
          <w:rFonts w:cstheme="minorHAnsi"/>
          <w:sz w:val="22"/>
          <w:szCs w:val="22"/>
        </w:rPr>
        <w:t>[</w:t>
      </w:r>
      <w:r w:rsidR="003C38BC" w:rsidRPr="0079308B">
        <w:rPr>
          <w:rFonts w:cstheme="minorHAnsi"/>
          <w:sz w:val="22"/>
          <w:szCs w:val="22"/>
        </w:rPr>
        <w:t>with thresholds defined by local practice</w:t>
      </w:r>
      <w:r w:rsidR="00A25862" w:rsidRPr="0079308B">
        <w:rPr>
          <w:rFonts w:cstheme="minorHAnsi"/>
          <w:sz w:val="22"/>
          <w:szCs w:val="22"/>
        </w:rPr>
        <w:t>]</w:t>
      </w:r>
      <w:r w:rsidRPr="0079308B">
        <w:rPr>
          <w:rFonts w:cstheme="minorHAnsi"/>
          <w:sz w:val="22"/>
          <w:szCs w:val="22"/>
        </w:rPr>
        <w:t xml:space="preserve">. </w:t>
      </w:r>
      <w:r w:rsidR="000C7637" w:rsidRPr="0079308B">
        <w:rPr>
          <w:rFonts w:cstheme="minorHAnsi"/>
          <w:sz w:val="22"/>
          <w:szCs w:val="22"/>
        </w:rPr>
        <w:t xml:space="preserve">Via usual care </w:t>
      </w:r>
      <w:r w:rsidR="00DF70FB" w:rsidRPr="0079308B">
        <w:rPr>
          <w:rFonts w:cstheme="minorHAnsi"/>
          <w:sz w:val="22"/>
          <w:szCs w:val="22"/>
        </w:rPr>
        <w:t>an independent</w:t>
      </w:r>
      <w:r w:rsidRPr="0079308B">
        <w:rPr>
          <w:rFonts w:cstheme="minorHAnsi"/>
          <w:sz w:val="22"/>
          <w:szCs w:val="22"/>
        </w:rPr>
        <w:t xml:space="preserve"> local clinician will then assess the severity of liver disease. In real-world practice this may include history, examination, no further tests or repeat VCTE, additional </w:t>
      </w:r>
      <w:r w:rsidR="000C7637" w:rsidRPr="0079308B">
        <w:rPr>
          <w:rFonts w:cstheme="minorHAnsi"/>
          <w:sz w:val="22"/>
          <w:szCs w:val="22"/>
        </w:rPr>
        <w:t>tests for fibrosis</w:t>
      </w:r>
      <w:r w:rsidRPr="0079308B">
        <w:rPr>
          <w:rFonts w:cstheme="minorHAnsi"/>
          <w:sz w:val="22"/>
          <w:szCs w:val="22"/>
        </w:rPr>
        <w:t xml:space="preserve"> and in some case liver biopsy. Regardless of the </w:t>
      </w:r>
      <w:r w:rsidR="00D714E3" w:rsidRPr="0079308B">
        <w:rPr>
          <w:rFonts w:cstheme="minorHAnsi"/>
          <w:sz w:val="22"/>
          <w:szCs w:val="22"/>
        </w:rPr>
        <w:t>cl</w:t>
      </w:r>
      <w:r w:rsidRPr="0079308B">
        <w:rPr>
          <w:rFonts w:cstheme="minorHAnsi"/>
          <w:sz w:val="22"/>
          <w:szCs w:val="22"/>
        </w:rPr>
        <w:t xml:space="preserve">inical approach taken the primary outcome will be whether the clinician felt the disease was severe enough to warrant referral for HCC surveillance. </w:t>
      </w:r>
      <w:r w:rsidR="00BC639C" w:rsidRPr="0079308B">
        <w:rPr>
          <w:rFonts w:cstheme="minorHAnsi"/>
          <w:sz w:val="22"/>
          <w:szCs w:val="22"/>
        </w:rPr>
        <w:t>Since the trial sites cover a variety of different regions across the south of England, this pragmatic approach is likely to closely reflect current UK practice.</w:t>
      </w:r>
    </w:p>
    <w:p w14:paraId="3412BF8E" w14:textId="77777777" w:rsidR="00A87937" w:rsidRPr="0079308B" w:rsidRDefault="00A87937" w:rsidP="00F025AA">
      <w:pPr>
        <w:spacing w:line="360" w:lineRule="auto"/>
        <w:rPr>
          <w:rFonts w:cstheme="minorHAnsi"/>
          <w:sz w:val="22"/>
          <w:szCs w:val="22"/>
        </w:rPr>
      </w:pPr>
    </w:p>
    <w:p w14:paraId="7FAA8348" w14:textId="77777777" w:rsidR="003D4428" w:rsidRPr="0079308B" w:rsidRDefault="003D4428" w:rsidP="00F025AA">
      <w:pPr>
        <w:spacing w:line="360" w:lineRule="auto"/>
        <w:rPr>
          <w:rFonts w:cstheme="minorHAnsi"/>
          <w:b/>
          <w:bCs/>
          <w:sz w:val="22"/>
          <w:szCs w:val="22"/>
        </w:rPr>
      </w:pPr>
      <w:r w:rsidRPr="0079308B">
        <w:rPr>
          <w:rFonts w:cstheme="minorHAnsi"/>
          <w:b/>
          <w:bCs/>
          <w:sz w:val="22"/>
          <w:szCs w:val="22"/>
        </w:rPr>
        <w:t>Secondary outcomes</w:t>
      </w:r>
    </w:p>
    <w:p w14:paraId="58A328F6" w14:textId="4C2D2AB4" w:rsidR="003D4428" w:rsidRPr="0079308B" w:rsidRDefault="003D4428" w:rsidP="00F025AA">
      <w:pPr>
        <w:pStyle w:val="ListParagraph"/>
        <w:numPr>
          <w:ilvl w:val="0"/>
          <w:numId w:val="3"/>
        </w:numPr>
        <w:spacing w:line="360" w:lineRule="auto"/>
        <w:rPr>
          <w:rFonts w:cstheme="minorHAnsi"/>
          <w:sz w:val="22"/>
          <w:szCs w:val="22"/>
        </w:rPr>
      </w:pPr>
      <w:r w:rsidRPr="0079308B">
        <w:rPr>
          <w:rFonts w:cstheme="minorHAnsi"/>
          <w:sz w:val="22"/>
          <w:szCs w:val="22"/>
        </w:rPr>
        <w:t xml:space="preserve">The test or combination of tests for liver </w:t>
      </w:r>
      <w:r w:rsidR="00FE01D1" w:rsidRPr="0079308B">
        <w:rPr>
          <w:rFonts w:cstheme="minorHAnsi"/>
          <w:sz w:val="22"/>
          <w:szCs w:val="22"/>
        </w:rPr>
        <w:t>cirrhosis</w:t>
      </w:r>
      <w:r w:rsidRPr="0079308B">
        <w:rPr>
          <w:rFonts w:cstheme="minorHAnsi"/>
          <w:sz w:val="22"/>
          <w:szCs w:val="22"/>
        </w:rPr>
        <w:t xml:space="preserve"> with the lowest cost per case</w:t>
      </w:r>
      <w:r w:rsidR="006A76BD" w:rsidRPr="0079308B">
        <w:rPr>
          <w:rFonts w:cstheme="minorHAnsi"/>
          <w:sz w:val="22"/>
          <w:szCs w:val="22"/>
        </w:rPr>
        <w:t xml:space="preserve"> diagnosed</w:t>
      </w:r>
      <w:r w:rsidRPr="0079308B">
        <w:rPr>
          <w:rFonts w:cstheme="minorHAnsi"/>
          <w:sz w:val="22"/>
          <w:szCs w:val="22"/>
        </w:rPr>
        <w:t>*</w:t>
      </w:r>
    </w:p>
    <w:p w14:paraId="4C0ABB6C" w14:textId="0024177D" w:rsidR="00F27FF7" w:rsidRPr="0079308B" w:rsidRDefault="00F27FF7" w:rsidP="00F025AA">
      <w:pPr>
        <w:pStyle w:val="ListParagraph"/>
        <w:numPr>
          <w:ilvl w:val="0"/>
          <w:numId w:val="3"/>
        </w:numPr>
        <w:spacing w:line="360" w:lineRule="auto"/>
        <w:rPr>
          <w:rFonts w:cstheme="minorHAnsi"/>
          <w:sz w:val="22"/>
          <w:szCs w:val="22"/>
        </w:rPr>
      </w:pPr>
      <w:r w:rsidRPr="0079308B">
        <w:rPr>
          <w:rFonts w:cstheme="minorHAnsi"/>
          <w:sz w:val="22"/>
          <w:szCs w:val="22"/>
        </w:rPr>
        <w:t>The sub-group with the lowest cost per case diagnosed</w:t>
      </w:r>
      <w:r w:rsidR="00F07262" w:rsidRPr="0079308B">
        <w:rPr>
          <w:rFonts w:cstheme="minorHAnsi"/>
          <w:sz w:val="22"/>
          <w:szCs w:val="22"/>
        </w:rPr>
        <w:t>*</w:t>
      </w:r>
    </w:p>
    <w:p w14:paraId="06674F52" w14:textId="38F2BCF7" w:rsidR="003D4428" w:rsidRPr="0079308B" w:rsidRDefault="003D4428" w:rsidP="00F025AA">
      <w:pPr>
        <w:pStyle w:val="ListParagraph"/>
        <w:numPr>
          <w:ilvl w:val="0"/>
          <w:numId w:val="3"/>
        </w:numPr>
        <w:spacing w:line="360" w:lineRule="auto"/>
        <w:rPr>
          <w:rFonts w:cstheme="minorHAnsi"/>
          <w:sz w:val="22"/>
          <w:szCs w:val="22"/>
        </w:rPr>
      </w:pPr>
      <w:r w:rsidRPr="0079308B">
        <w:rPr>
          <w:rFonts w:cstheme="minorHAnsi"/>
          <w:sz w:val="22"/>
          <w:szCs w:val="22"/>
        </w:rPr>
        <w:t xml:space="preserve">The incremental cost effectiveness ratio </w:t>
      </w:r>
      <w:r w:rsidR="00A25862" w:rsidRPr="0079308B">
        <w:rPr>
          <w:rFonts w:cstheme="minorHAnsi"/>
          <w:sz w:val="22"/>
          <w:szCs w:val="22"/>
        </w:rPr>
        <w:t>[</w:t>
      </w:r>
      <w:r w:rsidRPr="0079308B">
        <w:rPr>
          <w:rFonts w:cstheme="minorHAnsi"/>
          <w:sz w:val="22"/>
          <w:szCs w:val="22"/>
        </w:rPr>
        <w:t>ICER</w:t>
      </w:r>
      <w:r w:rsidR="00A25862" w:rsidRPr="0079308B">
        <w:rPr>
          <w:rFonts w:cstheme="minorHAnsi"/>
          <w:sz w:val="22"/>
          <w:szCs w:val="22"/>
        </w:rPr>
        <w:t>]</w:t>
      </w:r>
      <w:r w:rsidRPr="0079308B">
        <w:rPr>
          <w:rFonts w:cstheme="minorHAnsi"/>
          <w:sz w:val="22"/>
          <w:szCs w:val="22"/>
        </w:rPr>
        <w:t xml:space="preserve"> of </w:t>
      </w:r>
      <w:r w:rsidR="003C38BC" w:rsidRPr="0079308B">
        <w:rPr>
          <w:rFonts w:cstheme="minorHAnsi"/>
          <w:sz w:val="22"/>
          <w:szCs w:val="22"/>
        </w:rPr>
        <w:t>screening</w:t>
      </w:r>
      <w:r w:rsidRPr="0079308B">
        <w:rPr>
          <w:rFonts w:cstheme="minorHAnsi"/>
          <w:sz w:val="22"/>
          <w:szCs w:val="22"/>
        </w:rPr>
        <w:t xml:space="preserve"> for liver </w:t>
      </w:r>
      <w:r w:rsidR="00FE01D1" w:rsidRPr="0079308B">
        <w:rPr>
          <w:rFonts w:cstheme="minorHAnsi"/>
          <w:sz w:val="22"/>
          <w:szCs w:val="22"/>
        </w:rPr>
        <w:t>cirrhosis</w:t>
      </w:r>
      <w:r w:rsidRPr="0079308B">
        <w:rPr>
          <w:rFonts w:cstheme="minorHAnsi"/>
          <w:sz w:val="22"/>
          <w:szCs w:val="22"/>
        </w:rPr>
        <w:t xml:space="preserve"> in people with T2DM </w:t>
      </w:r>
    </w:p>
    <w:p w14:paraId="57B61723" w14:textId="0ED7C119" w:rsidR="00E312B1" w:rsidRPr="0079308B" w:rsidRDefault="00E312B1" w:rsidP="00F025AA">
      <w:pPr>
        <w:pStyle w:val="ListParagraph"/>
        <w:numPr>
          <w:ilvl w:val="0"/>
          <w:numId w:val="3"/>
        </w:numPr>
        <w:spacing w:line="360" w:lineRule="auto"/>
        <w:rPr>
          <w:rFonts w:cstheme="minorHAnsi"/>
          <w:sz w:val="22"/>
          <w:szCs w:val="22"/>
        </w:rPr>
      </w:pPr>
      <w:r w:rsidRPr="0079308B">
        <w:rPr>
          <w:rFonts w:cstheme="minorHAnsi"/>
          <w:sz w:val="22"/>
          <w:szCs w:val="22"/>
        </w:rPr>
        <w:lastRenderedPageBreak/>
        <w:t xml:space="preserve">The number of cancer deaths avoided by </w:t>
      </w:r>
      <w:r w:rsidR="003C38BC" w:rsidRPr="0079308B">
        <w:rPr>
          <w:rFonts w:cstheme="minorHAnsi"/>
          <w:sz w:val="22"/>
          <w:szCs w:val="22"/>
        </w:rPr>
        <w:t>screening</w:t>
      </w:r>
      <w:r w:rsidR="003E4E5A" w:rsidRPr="0079308B">
        <w:rPr>
          <w:rFonts w:cstheme="minorHAnsi"/>
          <w:sz w:val="22"/>
          <w:szCs w:val="22"/>
        </w:rPr>
        <w:t xml:space="preserve"> </w:t>
      </w:r>
      <w:r w:rsidR="00A25862" w:rsidRPr="0079308B">
        <w:rPr>
          <w:rFonts w:cstheme="minorHAnsi"/>
          <w:sz w:val="22"/>
          <w:szCs w:val="22"/>
        </w:rPr>
        <w:t>[</w:t>
      </w:r>
      <w:r w:rsidR="003E4E5A" w:rsidRPr="0079308B">
        <w:rPr>
          <w:rFonts w:cstheme="minorHAnsi"/>
          <w:sz w:val="22"/>
          <w:szCs w:val="22"/>
        </w:rPr>
        <w:t>as per Markov modelling</w:t>
      </w:r>
      <w:r w:rsidR="00A25862" w:rsidRPr="0079308B">
        <w:rPr>
          <w:rFonts w:cstheme="minorHAnsi"/>
          <w:sz w:val="22"/>
          <w:szCs w:val="22"/>
        </w:rPr>
        <w:t>]</w:t>
      </w:r>
    </w:p>
    <w:p w14:paraId="6D80CB0C" w14:textId="491A071C" w:rsidR="00C81540" w:rsidRPr="0079308B" w:rsidRDefault="00C81540" w:rsidP="00F025AA">
      <w:pPr>
        <w:pStyle w:val="ListParagraph"/>
        <w:numPr>
          <w:ilvl w:val="0"/>
          <w:numId w:val="3"/>
        </w:numPr>
        <w:spacing w:line="360" w:lineRule="auto"/>
        <w:rPr>
          <w:rFonts w:cstheme="minorHAnsi"/>
          <w:sz w:val="22"/>
          <w:szCs w:val="22"/>
        </w:rPr>
      </w:pPr>
      <w:r w:rsidRPr="0079308B">
        <w:rPr>
          <w:rFonts w:cstheme="minorHAnsi"/>
          <w:sz w:val="22"/>
          <w:szCs w:val="22"/>
        </w:rPr>
        <w:t>The number of patients diagnosed on VCTE with</w:t>
      </w:r>
      <w:r w:rsidR="009F3B08" w:rsidRPr="0079308B">
        <w:rPr>
          <w:rFonts w:ascii="equal" w:hAnsi="equal" w:cstheme="minorHAnsi"/>
          <w:sz w:val="22"/>
          <w:szCs w:val="22"/>
        </w:rPr>
        <w:t xml:space="preserve"> </w:t>
      </w:r>
      <w:r w:rsidR="009F3B08" w:rsidRPr="0079308B">
        <w:rPr>
          <w:rFonts w:cstheme="minorHAnsi"/>
          <w:sz w:val="22"/>
          <w:szCs w:val="22"/>
        </w:rPr>
        <w:t>≥</w:t>
      </w:r>
      <w:r w:rsidRPr="0079308B">
        <w:rPr>
          <w:rFonts w:cstheme="minorHAnsi"/>
          <w:sz w:val="22"/>
          <w:szCs w:val="22"/>
        </w:rPr>
        <w:t xml:space="preserve">F2 disease </w:t>
      </w:r>
      <w:r w:rsidR="00A25862" w:rsidRPr="0079308B">
        <w:rPr>
          <w:rFonts w:cstheme="minorHAnsi"/>
          <w:sz w:val="22"/>
          <w:szCs w:val="22"/>
        </w:rPr>
        <w:t>[</w:t>
      </w:r>
      <w:r w:rsidRPr="0079308B">
        <w:rPr>
          <w:rFonts w:cstheme="minorHAnsi"/>
          <w:sz w:val="22"/>
          <w:szCs w:val="22"/>
        </w:rPr>
        <w:t xml:space="preserve">defined as a liver stiffness of </w:t>
      </w:r>
      <w:r w:rsidR="009F3B08" w:rsidRPr="0079308B">
        <w:rPr>
          <w:rFonts w:cstheme="minorHAnsi"/>
          <w:sz w:val="22"/>
          <w:szCs w:val="22"/>
        </w:rPr>
        <w:t>≥</w:t>
      </w:r>
      <w:r w:rsidRPr="0079308B">
        <w:rPr>
          <w:rFonts w:cstheme="minorHAnsi"/>
          <w:sz w:val="22"/>
          <w:szCs w:val="22"/>
        </w:rPr>
        <w:t>8.2kpa</w:t>
      </w:r>
      <w:r w:rsidR="00A25862" w:rsidRPr="0079308B">
        <w:rPr>
          <w:rFonts w:cstheme="minorHAnsi"/>
          <w:sz w:val="22"/>
          <w:szCs w:val="22"/>
        </w:rPr>
        <w:t>]</w:t>
      </w:r>
      <w:r w:rsidR="00A25862" w:rsidRPr="0079308B">
        <w:rPr>
          <w:rFonts w:cstheme="minorHAnsi"/>
          <w:noProof/>
          <w:sz w:val="22"/>
          <w:szCs w:val="22"/>
        </w:rPr>
        <w:t>[</w:t>
      </w:r>
      <w:r w:rsidR="001B2D3B" w:rsidRPr="0079308B">
        <w:rPr>
          <w:rFonts w:cstheme="minorHAnsi"/>
          <w:noProof/>
          <w:sz w:val="22"/>
          <w:szCs w:val="22"/>
        </w:rPr>
        <w:t>21</w:t>
      </w:r>
      <w:r w:rsidR="00A25862" w:rsidRPr="0079308B">
        <w:rPr>
          <w:rFonts w:cstheme="minorHAnsi"/>
          <w:noProof/>
          <w:sz w:val="22"/>
          <w:szCs w:val="22"/>
        </w:rPr>
        <w:t>]</w:t>
      </w:r>
    </w:p>
    <w:p w14:paraId="6F8BD80D" w14:textId="77777777" w:rsidR="00D714E3" w:rsidRPr="0079308B" w:rsidRDefault="00D714E3" w:rsidP="00D714E3">
      <w:pPr>
        <w:pStyle w:val="ListParagraph"/>
        <w:spacing w:line="360" w:lineRule="auto"/>
        <w:rPr>
          <w:rFonts w:cstheme="minorHAnsi"/>
          <w:sz w:val="22"/>
          <w:szCs w:val="22"/>
        </w:rPr>
      </w:pPr>
    </w:p>
    <w:p w14:paraId="03F71133" w14:textId="19196411" w:rsidR="003D4428" w:rsidRPr="0079308B" w:rsidRDefault="00F07262" w:rsidP="00F025AA">
      <w:pPr>
        <w:spacing w:line="360" w:lineRule="auto"/>
        <w:rPr>
          <w:rFonts w:cstheme="minorHAnsi"/>
          <w:sz w:val="22"/>
          <w:szCs w:val="22"/>
        </w:rPr>
      </w:pPr>
      <w:r w:rsidRPr="0079308B">
        <w:rPr>
          <w:rFonts w:cstheme="minorHAnsi"/>
          <w:sz w:val="22"/>
          <w:szCs w:val="22"/>
        </w:rPr>
        <w:t>*</w:t>
      </w:r>
      <w:proofErr w:type="gramStart"/>
      <w:r w:rsidR="009F3B08" w:rsidRPr="0079308B">
        <w:rPr>
          <w:rFonts w:cstheme="minorHAnsi"/>
          <w:sz w:val="22"/>
          <w:szCs w:val="22"/>
        </w:rPr>
        <w:t>see</w:t>
      </w:r>
      <w:proofErr w:type="gramEnd"/>
      <w:r w:rsidRPr="0079308B">
        <w:rPr>
          <w:rFonts w:cstheme="minorHAnsi"/>
          <w:sz w:val="22"/>
          <w:szCs w:val="22"/>
        </w:rPr>
        <w:t xml:space="preserve"> </w:t>
      </w:r>
      <w:proofErr w:type="spellStart"/>
      <w:r w:rsidRPr="0079308B">
        <w:rPr>
          <w:rFonts w:cstheme="minorHAnsi"/>
          <w:sz w:val="22"/>
          <w:szCs w:val="22"/>
        </w:rPr>
        <w:t>i</w:t>
      </w:r>
      <w:proofErr w:type="spellEnd"/>
      <w:r w:rsidR="00261013" w:rsidRPr="0079308B">
        <w:rPr>
          <w:rFonts w:cstheme="minorHAnsi"/>
          <w:sz w:val="22"/>
          <w:szCs w:val="22"/>
        </w:rPr>
        <w:t>)</w:t>
      </w:r>
      <w:r w:rsidR="009F3B08" w:rsidRPr="0079308B">
        <w:rPr>
          <w:rFonts w:cstheme="minorHAnsi"/>
          <w:sz w:val="22"/>
          <w:szCs w:val="22"/>
        </w:rPr>
        <w:t xml:space="preserve"> for definition of a ‘case’</w:t>
      </w:r>
    </w:p>
    <w:p w14:paraId="5B1FB525" w14:textId="77777777" w:rsidR="00F07262" w:rsidRPr="0079308B" w:rsidRDefault="00F07262" w:rsidP="00F025AA">
      <w:pPr>
        <w:spacing w:line="360" w:lineRule="auto"/>
        <w:rPr>
          <w:rFonts w:cstheme="minorHAnsi"/>
          <w:sz w:val="22"/>
          <w:szCs w:val="22"/>
        </w:rPr>
      </w:pPr>
    </w:p>
    <w:p w14:paraId="653D3CFA" w14:textId="77777777" w:rsidR="003D4428" w:rsidRPr="0079308B" w:rsidRDefault="003D4428" w:rsidP="00F025AA">
      <w:pPr>
        <w:spacing w:line="360" w:lineRule="auto"/>
        <w:rPr>
          <w:rFonts w:cstheme="minorHAnsi"/>
          <w:b/>
          <w:bCs/>
          <w:sz w:val="22"/>
          <w:szCs w:val="22"/>
        </w:rPr>
      </w:pPr>
      <w:r w:rsidRPr="0079308B">
        <w:rPr>
          <w:rFonts w:cstheme="minorHAnsi"/>
          <w:b/>
          <w:bCs/>
          <w:sz w:val="22"/>
          <w:szCs w:val="22"/>
        </w:rPr>
        <w:t>Participants</w:t>
      </w:r>
    </w:p>
    <w:p w14:paraId="79593B3A" w14:textId="77777777" w:rsidR="003D4428" w:rsidRPr="0079308B" w:rsidRDefault="003D4428" w:rsidP="00F025AA">
      <w:pPr>
        <w:spacing w:line="360" w:lineRule="auto"/>
        <w:rPr>
          <w:rFonts w:cstheme="minorHAnsi"/>
          <w:sz w:val="22"/>
          <w:szCs w:val="22"/>
        </w:rPr>
      </w:pPr>
    </w:p>
    <w:p w14:paraId="6F421C4D" w14:textId="77777777" w:rsidR="003D4428" w:rsidRPr="0079308B" w:rsidRDefault="003D4428" w:rsidP="00F025AA">
      <w:pPr>
        <w:spacing w:line="360" w:lineRule="auto"/>
        <w:rPr>
          <w:rFonts w:cstheme="minorHAnsi"/>
          <w:i/>
          <w:iCs/>
          <w:sz w:val="22"/>
          <w:szCs w:val="22"/>
        </w:rPr>
      </w:pPr>
      <w:r w:rsidRPr="0079308B">
        <w:rPr>
          <w:rFonts w:cstheme="minorHAnsi"/>
          <w:i/>
          <w:iCs/>
          <w:sz w:val="22"/>
          <w:szCs w:val="22"/>
        </w:rPr>
        <w:t>Inclusion criteria</w:t>
      </w:r>
    </w:p>
    <w:p w14:paraId="5644961B" w14:textId="5FF3E5ED" w:rsidR="003D4428" w:rsidRPr="0079308B" w:rsidRDefault="003D4428" w:rsidP="00F025AA">
      <w:pPr>
        <w:spacing w:line="360" w:lineRule="auto"/>
        <w:rPr>
          <w:rFonts w:cstheme="minorHAnsi"/>
          <w:sz w:val="22"/>
          <w:szCs w:val="22"/>
        </w:rPr>
      </w:pPr>
      <w:r w:rsidRPr="0079308B">
        <w:rPr>
          <w:rFonts w:cstheme="minorHAnsi"/>
          <w:sz w:val="22"/>
          <w:szCs w:val="22"/>
        </w:rPr>
        <w:t xml:space="preserve">Any adult </w:t>
      </w:r>
      <w:r w:rsidR="00A25862" w:rsidRPr="0079308B">
        <w:rPr>
          <w:rFonts w:cstheme="minorHAnsi"/>
          <w:sz w:val="22"/>
          <w:szCs w:val="22"/>
        </w:rPr>
        <w:t>[</w:t>
      </w:r>
      <w:r w:rsidRPr="0079308B">
        <w:rPr>
          <w:rFonts w:cstheme="minorHAnsi"/>
          <w:sz w:val="22"/>
          <w:szCs w:val="22"/>
        </w:rPr>
        <w:t>≥18 years</w:t>
      </w:r>
      <w:r w:rsidR="00A25862" w:rsidRPr="0079308B">
        <w:rPr>
          <w:rFonts w:cstheme="minorHAnsi"/>
          <w:sz w:val="22"/>
          <w:szCs w:val="22"/>
        </w:rPr>
        <w:t>]</w:t>
      </w:r>
      <w:r w:rsidRPr="0079308B">
        <w:rPr>
          <w:rFonts w:cstheme="minorHAnsi"/>
          <w:sz w:val="22"/>
          <w:szCs w:val="22"/>
        </w:rPr>
        <w:t xml:space="preserve"> patient with a </w:t>
      </w:r>
      <w:r w:rsidR="0075062F" w:rsidRPr="0079308B">
        <w:rPr>
          <w:rFonts w:cstheme="minorHAnsi"/>
          <w:sz w:val="22"/>
          <w:szCs w:val="22"/>
        </w:rPr>
        <w:t xml:space="preserve">known </w:t>
      </w:r>
      <w:r w:rsidRPr="0079308B">
        <w:rPr>
          <w:rFonts w:cstheme="minorHAnsi"/>
          <w:sz w:val="22"/>
          <w:szCs w:val="22"/>
        </w:rPr>
        <w:t>diagnosis of T2DM</w:t>
      </w:r>
      <w:r w:rsidR="0075062F" w:rsidRPr="0079308B">
        <w:rPr>
          <w:rFonts w:cstheme="minorHAnsi"/>
          <w:sz w:val="22"/>
          <w:szCs w:val="22"/>
        </w:rPr>
        <w:t xml:space="preserve"> according to the primary care record</w:t>
      </w:r>
      <w:r w:rsidRPr="0079308B">
        <w:rPr>
          <w:rFonts w:cstheme="minorHAnsi"/>
          <w:sz w:val="22"/>
          <w:szCs w:val="22"/>
        </w:rPr>
        <w:t xml:space="preserve"> in the Hampshire, </w:t>
      </w:r>
      <w:r w:rsidR="00262F86" w:rsidRPr="0079308B">
        <w:rPr>
          <w:rFonts w:cstheme="minorHAnsi"/>
          <w:sz w:val="22"/>
          <w:szCs w:val="22"/>
        </w:rPr>
        <w:t xml:space="preserve">Wiltshire, </w:t>
      </w:r>
      <w:r w:rsidRPr="0079308B">
        <w:rPr>
          <w:rFonts w:cstheme="minorHAnsi"/>
          <w:sz w:val="22"/>
          <w:szCs w:val="22"/>
        </w:rPr>
        <w:t>Dorset</w:t>
      </w:r>
      <w:r w:rsidR="00596F5F" w:rsidRPr="0079308B">
        <w:rPr>
          <w:rFonts w:cstheme="minorHAnsi"/>
          <w:sz w:val="22"/>
          <w:szCs w:val="22"/>
        </w:rPr>
        <w:t xml:space="preserve">, </w:t>
      </w:r>
      <w:r w:rsidRPr="0079308B">
        <w:rPr>
          <w:rFonts w:cstheme="minorHAnsi"/>
          <w:sz w:val="22"/>
          <w:szCs w:val="22"/>
        </w:rPr>
        <w:t>and the Isle of Wight</w:t>
      </w:r>
      <w:r w:rsidR="00262F86" w:rsidRPr="0079308B">
        <w:rPr>
          <w:rFonts w:cstheme="minorHAnsi"/>
          <w:sz w:val="22"/>
          <w:szCs w:val="22"/>
        </w:rPr>
        <w:t xml:space="preserve"> </w:t>
      </w:r>
      <w:r w:rsidR="00A25862" w:rsidRPr="0079308B">
        <w:rPr>
          <w:rFonts w:cstheme="minorHAnsi"/>
          <w:sz w:val="22"/>
          <w:szCs w:val="22"/>
        </w:rPr>
        <w:t>[</w:t>
      </w:r>
      <w:r w:rsidR="00262F86" w:rsidRPr="0079308B">
        <w:rPr>
          <w:rFonts w:cstheme="minorHAnsi"/>
          <w:sz w:val="22"/>
          <w:szCs w:val="22"/>
        </w:rPr>
        <w:t>all UK</w:t>
      </w:r>
      <w:r w:rsidR="00A25862" w:rsidRPr="0079308B">
        <w:rPr>
          <w:rFonts w:cstheme="minorHAnsi"/>
          <w:sz w:val="22"/>
          <w:szCs w:val="22"/>
        </w:rPr>
        <w:t>]</w:t>
      </w:r>
      <w:r w:rsidRPr="0079308B">
        <w:rPr>
          <w:rFonts w:cstheme="minorHAnsi"/>
          <w:sz w:val="22"/>
          <w:szCs w:val="22"/>
        </w:rPr>
        <w:t xml:space="preserve"> areas will potentially be eligible to participate. Non-</w:t>
      </w:r>
      <w:proofErr w:type="gramStart"/>
      <w:r w:rsidRPr="0079308B">
        <w:rPr>
          <w:rFonts w:cstheme="minorHAnsi"/>
          <w:sz w:val="22"/>
          <w:szCs w:val="22"/>
        </w:rPr>
        <w:t>English speaking</w:t>
      </w:r>
      <w:proofErr w:type="gramEnd"/>
      <w:r w:rsidRPr="0079308B">
        <w:rPr>
          <w:rFonts w:cstheme="minorHAnsi"/>
          <w:sz w:val="22"/>
          <w:szCs w:val="22"/>
        </w:rPr>
        <w:t xml:space="preserve"> patients will be eligible for inclusion.</w:t>
      </w:r>
    </w:p>
    <w:p w14:paraId="203F6573" w14:textId="77777777" w:rsidR="003D4428" w:rsidRPr="0079308B" w:rsidRDefault="003D4428" w:rsidP="00F025AA">
      <w:pPr>
        <w:spacing w:line="360" w:lineRule="auto"/>
        <w:rPr>
          <w:rFonts w:cstheme="minorHAnsi"/>
          <w:sz w:val="22"/>
          <w:szCs w:val="22"/>
        </w:rPr>
      </w:pPr>
    </w:p>
    <w:p w14:paraId="3B23A5E0" w14:textId="77777777" w:rsidR="003D4428" w:rsidRPr="0079308B" w:rsidRDefault="003D4428" w:rsidP="00F025AA">
      <w:pPr>
        <w:spacing w:line="360" w:lineRule="auto"/>
        <w:rPr>
          <w:rFonts w:cstheme="minorHAnsi"/>
          <w:i/>
          <w:iCs/>
          <w:sz w:val="22"/>
          <w:szCs w:val="22"/>
        </w:rPr>
      </w:pPr>
      <w:r w:rsidRPr="0079308B">
        <w:rPr>
          <w:rFonts w:cstheme="minorHAnsi"/>
          <w:i/>
          <w:iCs/>
          <w:sz w:val="22"/>
          <w:szCs w:val="22"/>
        </w:rPr>
        <w:t>Exclusion criteria</w:t>
      </w:r>
    </w:p>
    <w:p w14:paraId="619F4595" w14:textId="77777777" w:rsidR="003D4428" w:rsidRPr="0079308B" w:rsidRDefault="003D4428" w:rsidP="00F025AA">
      <w:pPr>
        <w:pStyle w:val="ListParagraph"/>
        <w:numPr>
          <w:ilvl w:val="0"/>
          <w:numId w:val="2"/>
        </w:numPr>
        <w:spacing w:line="360" w:lineRule="auto"/>
        <w:rPr>
          <w:rFonts w:cstheme="minorHAnsi"/>
          <w:sz w:val="22"/>
          <w:szCs w:val="22"/>
        </w:rPr>
      </w:pPr>
      <w:r w:rsidRPr="0079308B">
        <w:rPr>
          <w:rFonts w:cstheme="minorHAnsi"/>
          <w:sz w:val="22"/>
          <w:szCs w:val="22"/>
        </w:rPr>
        <w:t>&lt;18 years of age</w:t>
      </w:r>
    </w:p>
    <w:p w14:paraId="363D62B6" w14:textId="2B3E7E89" w:rsidR="003D4428" w:rsidRPr="0079308B" w:rsidRDefault="003D4428" w:rsidP="00F025AA">
      <w:pPr>
        <w:pStyle w:val="ListParagraph"/>
        <w:numPr>
          <w:ilvl w:val="0"/>
          <w:numId w:val="2"/>
        </w:numPr>
        <w:spacing w:line="360" w:lineRule="auto"/>
        <w:rPr>
          <w:rFonts w:cstheme="minorHAnsi"/>
          <w:sz w:val="22"/>
          <w:szCs w:val="22"/>
        </w:rPr>
      </w:pPr>
      <w:r w:rsidRPr="0079308B">
        <w:rPr>
          <w:rFonts w:cstheme="minorHAnsi"/>
          <w:sz w:val="22"/>
          <w:szCs w:val="22"/>
        </w:rPr>
        <w:t xml:space="preserve">Evaluated for liver disease with either an </w:t>
      </w:r>
      <w:r w:rsidR="003C38BC" w:rsidRPr="0079308B">
        <w:rPr>
          <w:sz w:val="22"/>
          <w:szCs w:val="22"/>
        </w:rPr>
        <w:t>ELF</w:t>
      </w:r>
      <w:r w:rsidR="003C38BC" w:rsidRPr="0079308B">
        <w:rPr>
          <w:rFonts w:ascii="Calibri" w:hAnsi="Calibri" w:cs="Calibri"/>
          <w:sz w:val="22"/>
          <w:szCs w:val="22"/>
        </w:rPr>
        <w:t>™</w:t>
      </w:r>
      <w:r w:rsidRPr="0079308B">
        <w:rPr>
          <w:rFonts w:cstheme="minorHAnsi"/>
          <w:sz w:val="22"/>
          <w:szCs w:val="22"/>
        </w:rPr>
        <w:t xml:space="preserve"> test or VCTE in the 2 years prior to the date of consent. </w:t>
      </w:r>
    </w:p>
    <w:p w14:paraId="6FA36370" w14:textId="6A75296D" w:rsidR="003D4428" w:rsidRPr="0079308B" w:rsidRDefault="003D4428" w:rsidP="00F025AA">
      <w:pPr>
        <w:pStyle w:val="ListParagraph"/>
        <w:numPr>
          <w:ilvl w:val="0"/>
          <w:numId w:val="2"/>
        </w:numPr>
        <w:spacing w:line="360" w:lineRule="auto"/>
        <w:rPr>
          <w:rFonts w:cstheme="minorHAnsi"/>
          <w:sz w:val="22"/>
          <w:szCs w:val="22"/>
        </w:rPr>
      </w:pPr>
      <w:r w:rsidRPr="0079308B">
        <w:rPr>
          <w:rFonts w:cstheme="minorHAnsi"/>
          <w:sz w:val="22"/>
          <w:szCs w:val="22"/>
        </w:rPr>
        <w:t xml:space="preserve">A known prior </w:t>
      </w:r>
      <w:r w:rsidR="00262F86" w:rsidRPr="0079308B">
        <w:rPr>
          <w:rFonts w:cstheme="minorHAnsi"/>
          <w:sz w:val="22"/>
          <w:szCs w:val="22"/>
        </w:rPr>
        <w:t xml:space="preserve">clinical </w:t>
      </w:r>
      <w:r w:rsidRPr="0079308B">
        <w:rPr>
          <w:rFonts w:cstheme="minorHAnsi"/>
          <w:sz w:val="22"/>
          <w:szCs w:val="22"/>
        </w:rPr>
        <w:t>diagnosis of significant liver disease</w:t>
      </w:r>
      <w:r w:rsidR="00F07262" w:rsidRPr="0079308B">
        <w:rPr>
          <w:rFonts w:cstheme="minorHAnsi"/>
          <w:sz w:val="22"/>
          <w:szCs w:val="22"/>
        </w:rPr>
        <w:t>*</w:t>
      </w:r>
      <w:r w:rsidRPr="0079308B">
        <w:rPr>
          <w:rFonts w:cstheme="minorHAnsi"/>
          <w:sz w:val="22"/>
          <w:szCs w:val="22"/>
        </w:rPr>
        <w:t xml:space="preserve"> due to any cause </w:t>
      </w:r>
    </w:p>
    <w:p w14:paraId="6A2AA750" w14:textId="6BFAD507" w:rsidR="003D4428" w:rsidRPr="0079308B" w:rsidRDefault="00BF3FA8" w:rsidP="00F025AA">
      <w:pPr>
        <w:pStyle w:val="ListParagraph"/>
        <w:numPr>
          <w:ilvl w:val="0"/>
          <w:numId w:val="2"/>
        </w:numPr>
        <w:spacing w:line="360" w:lineRule="auto"/>
        <w:rPr>
          <w:rFonts w:cstheme="minorHAnsi"/>
          <w:sz w:val="22"/>
          <w:szCs w:val="22"/>
        </w:rPr>
      </w:pPr>
      <w:r w:rsidRPr="0079308B">
        <w:rPr>
          <w:rFonts w:cstheme="minorHAnsi"/>
          <w:sz w:val="22"/>
          <w:szCs w:val="22"/>
        </w:rPr>
        <w:t>A known diagnosis of a</w:t>
      </w:r>
      <w:r w:rsidR="003D4428" w:rsidRPr="0079308B">
        <w:rPr>
          <w:rFonts w:cstheme="minorHAnsi"/>
          <w:sz w:val="22"/>
          <w:szCs w:val="22"/>
        </w:rPr>
        <w:t>utoimmune hepatitis</w:t>
      </w:r>
      <w:r w:rsidRPr="0079308B">
        <w:rPr>
          <w:rFonts w:cstheme="minorHAnsi"/>
          <w:sz w:val="22"/>
          <w:szCs w:val="22"/>
        </w:rPr>
        <w:t>, primary biliary cholangitis, primary sclerosing cholangitis</w:t>
      </w:r>
      <w:r w:rsidR="003D4428" w:rsidRPr="0079308B">
        <w:rPr>
          <w:rFonts w:cstheme="minorHAnsi"/>
          <w:sz w:val="22"/>
          <w:szCs w:val="22"/>
        </w:rPr>
        <w:t xml:space="preserve"> or viral hepatitis</w:t>
      </w:r>
      <w:r w:rsidR="00432676" w:rsidRPr="0079308B">
        <w:rPr>
          <w:rFonts w:cstheme="minorHAnsi"/>
          <w:sz w:val="22"/>
          <w:szCs w:val="22"/>
        </w:rPr>
        <w:t xml:space="preserve"> </w:t>
      </w:r>
      <w:r w:rsidR="00A25862" w:rsidRPr="0079308B">
        <w:rPr>
          <w:rFonts w:cstheme="minorHAnsi"/>
          <w:sz w:val="22"/>
          <w:szCs w:val="22"/>
        </w:rPr>
        <w:t>[</w:t>
      </w:r>
      <w:r w:rsidR="0003104A" w:rsidRPr="0079308B">
        <w:rPr>
          <w:rFonts w:cstheme="minorHAnsi"/>
          <w:sz w:val="22"/>
          <w:szCs w:val="22"/>
        </w:rPr>
        <w:t xml:space="preserve">irrespective of whether this has progressed to </w:t>
      </w:r>
      <w:r w:rsidR="00BF1F91" w:rsidRPr="0079308B">
        <w:rPr>
          <w:rFonts w:cstheme="minorHAnsi"/>
          <w:sz w:val="22"/>
          <w:szCs w:val="22"/>
        </w:rPr>
        <w:t xml:space="preserve">fibrosis or </w:t>
      </w:r>
      <w:r w:rsidR="0003104A" w:rsidRPr="0079308B">
        <w:rPr>
          <w:rFonts w:cstheme="minorHAnsi"/>
          <w:sz w:val="22"/>
          <w:szCs w:val="22"/>
        </w:rPr>
        <w:t>cirrhosis</w:t>
      </w:r>
      <w:r w:rsidR="00A25862" w:rsidRPr="0079308B">
        <w:rPr>
          <w:rFonts w:cstheme="minorHAnsi"/>
          <w:sz w:val="22"/>
          <w:szCs w:val="22"/>
        </w:rPr>
        <w:t>]</w:t>
      </w:r>
    </w:p>
    <w:p w14:paraId="168DF94B" w14:textId="77777777" w:rsidR="00427D3C" w:rsidRPr="0079308B" w:rsidRDefault="00427D3C" w:rsidP="00F025AA">
      <w:pPr>
        <w:spacing w:line="360" w:lineRule="auto"/>
        <w:rPr>
          <w:rFonts w:cstheme="minorHAnsi"/>
          <w:sz w:val="22"/>
          <w:szCs w:val="22"/>
        </w:rPr>
      </w:pPr>
    </w:p>
    <w:p w14:paraId="016189FF" w14:textId="3A8189BD" w:rsidR="003D4428" w:rsidRPr="0079308B" w:rsidRDefault="00F07262" w:rsidP="00F025AA">
      <w:pPr>
        <w:spacing w:line="360" w:lineRule="auto"/>
        <w:rPr>
          <w:rFonts w:cstheme="minorHAnsi"/>
          <w:sz w:val="22"/>
          <w:szCs w:val="22"/>
        </w:rPr>
      </w:pPr>
      <w:r w:rsidRPr="0079308B">
        <w:rPr>
          <w:rFonts w:cstheme="minorHAnsi"/>
          <w:sz w:val="22"/>
          <w:szCs w:val="22"/>
        </w:rPr>
        <w:t>*Significant fibrosis or cirrhosis and in active hospital follow up</w:t>
      </w:r>
    </w:p>
    <w:p w14:paraId="51CD6F3D" w14:textId="77777777" w:rsidR="00F07262" w:rsidRPr="0079308B" w:rsidRDefault="00F07262" w:rsidP="00F025AA">
      <w:pPr>
        <w:spacing w:line="360" w:lineRule="auto"/>
        <w:rPr>
          <w:rFonts w:cstheme="minorHAnsi"/>
          <w:sz w:val="22"/>
          <w:szCs w:val="22"/>
        </w:rPr>
      </w:pPr>
    </w:p>
    <w:p w14:paraId="15F7BEA0" w14:textId="77777777" w:rsidR="003D4428" w:rsidRPr="0079308B" w:rsidRDefault="003D4428" w:rsidP="00F025AA">
      <w:pPr>
        <w:spacing w:line="360" w:lineRule="auto"/>
        <w:rPr>
          <w:rFonts w:cstheme="minorHAnsi"/>
          <w:b/>
          <w:bCs/>
          <w:sz w:val="22"/>
          <w:szCs w:val="22"/>
        </w:rPr>
      </w:pPr>
      <w:r w:rsidRPr="0079308B">
        <w:rPr>
          <w:rFonts w:cstheme="minorHAnsi"/>
          <w:b/>
          <w:bCs/>
          <w:sz w:val="22"/>
          <w:szCs w:val="22"/>
        </w:rPr>
        <w:t>Setting</w:t>
      </w:r>
    </w:p>
    <w:p w14:paraId="1D6E349D" w14:textId="77C8249D" w:rsidR="00A90F42" w:rsidRPr="0079308B" w:rsidRDefault="003D4428" w:rsidP="00F025AA">
      <w:pPr>
        <w:spacing w:line="360" w:lineRule="auto"/>
        <w:rPr>
          <w:rFonts w:cstheme="minorHAnsi"/>
          <w:sz w:val="22"/>
          <w:szCs w:val="22"/>
        </w:rPr>
      </w:pPr>
      <w:r w:rsidRPr="0079308B">
        <w:rPr>
          <w:rFonts w:cstheme="minorHAnsi"/>
          <w:sz w:val="22"/>
          <w:szCs w:val="22"/>
        </w:rPr>
        <w:t xml:space="preserve">The study will be conducted in 16-20 </w:t>
      </w:r>
      <w:r w:rsidR="00F07262" w:rsidRPr="0079308B">
        <w:rPr>
          <w:rFonts w:cstheme="minorHAnsi"/>
          <w:sz w:val="22"/>
          <w:szCs w:val="22"/>
        </w:rPr>
        <w:t>Primary care</w:t>
      </w:r>
      <w:r w:rsidRPr="0079308B">
        <w:rPr>
          <w:rFonts w:cstheme="minorHAnsi"/>
          <w:sz w:val="22"/>
          <w:szCs w:val="22"/>
        </w:rPr>
        <w:t xml:space="preserve"> </w:t>
      </w:r>
      <w:r w:rsidR="00F07262" w:rsidRPr="0079308B">
        <w:rPr>
          <w:rFonts w:cstheme="minorHAnsi"/>
          <w:sz w:val="22"/>
          <w:szCs w:val="22"/>
        </w:rPr>
        <w:t>p</w:t>
      </w:r>
      <w:r w:rsidRPr="0079308B">
        <w:rPr>
          <w:rFonts w:cstheme="minorHAnsi"/>
          <w:sz w:val="22"/>
          <w:szCs w:val="22"/>
        </w:rPr>
        <w:t>ractices and diabetes community care hubs</w:t>
      </w:r>
      <w:r w:rsidR="00A90F42" w:rsidRPr="0079308B">
        <w:rPr>
          <w:rFonts w:cstheme="minorHAnsi"/>
          <w:sz w:val="22"/>
          <w:szCs w:val="22"/>
        </w:rPr>
        <w:t xml:space="preserve"> in </w:t>
      </w:r>
      <w:r w:rsidR="00967E27" w:rsidRPr="0079308B">
        <w:rPr>
          <w:rFonts w:cstheme="minorHAnsi"/>
          <w:sz w:val="22"/>
          <w:szCs w:val="22"/>
        </w:rPr>
        <w:t>Wessex</w:t>
      </w:r>
      <w:r w:rsidR="00BF3FA8" w:rsidRPr="0079308B">
        <w:rPr>
          <w:rFonts w:cstheme="minorHAnsi"/>
          <w:sz w:val="22"/>
          <w:szCs w:val="22"/>
        </w:rPr>
        <w:t xml:space="preserve"> </w:t>
      </w:r>
      <w:r w:rsidR="00A25862" w:rsidRPr="0079308B">
        <w:rPr>
          <w:rFonts w:cstheme="minorHAnsi"/>
          <w:sz w:val="22"/>
          <w:szCs w:val="22"/>
        </w:rPr>
        <w:t>[</w:t>
      </w:r>
      <w:r w:rsidR="00967E27" w:rsidRPr="0079308B">
        <w:rPr>
          <w:rFonts w:cstheme="minorHAnsi"/>
          <w:sz w:val="22"/>
          <w:szCs w:val="22"/>
        </w:rPr>
        <w:t xml:space="preserve">including </w:t>
      </w:r>
      <w:r w:rsidR="00A90F42" w:rsidRPr="0079308B">
        <w:rPr>
          <w:rFonts w:cstheme="minorHAnsi"/>
          <w:sz w:val="22"/>
          <w:szCs w:val="22"/>
        </w:rPr>
        <w:t xml:space="preserve">Hampshire, </w:t>
      </w:r>
      <w:r w:rsidR="00262F86" w:rsidRPr="0079308B">
        <w:rPr>
          <w:rFonts w:cstheme="minorHAnsi"/>
          <w:sz w:val="22"/>
          <w:szCs w:val="22"/>
        </w:rPr>
        <w:t xml:space="preserve">Wiltshire, </w:t>
      </w:r>
      <w:r w:rsidR="00A90F42" w:rsidRPr="0079308B">
        <w:rPr>
          <w:rFonts w:cstheme="minorHAnsi"/>
          <w:sz w:val="22"/>
          <w:szCs w:val="22"/>
        </w:rPr>
        <w:t xml:space="preserve">the Isle of </w:t>
      </w:r>
      <w:proofErr w:type="gramStart"/>
      <w:r w:rsidR="00A90F42" w:rsidRPr="0079308B">
        <w:rPr>
          <w:rFonts w:cstheme="minorHAnsi"/>
          <w:sz w:val="22"/>
          <w:szCs w:val="22"/>
        </w:rPr>
        <w:t>Wight</w:t>
      </w:r>
      <w:proofErr w:type="gramEnd"/>
      <w:r w:rsidR="00A90F42" w:rsidRPr="0079308B">
        <w:rPr>
          <w:rFonts w:cstheme="minorHAnsi"/>
          <w:sz w:val="22"/>
          <w:szCs w:val="22"/>
        </w:rPr>
        <w:t xml:space="preserve"> and Dorset</w:t>
      </w:r>
      <w:r w:rsidR="00262F86" w:rsidRPr="0079308B">
        <w:rPr>
          <w:rFonts w:cstheme="minorHAnsi"/>
          <w:sz w:val="22"/>
          <w:szCs w:val="22"/>
        </w:rPr>
        <w:t xml:space="preserve"> </w:t>
      </w:r>
      <w:r w:rsidR="00A25862" w:rsidRPr="0079308B">
        <w:rPr>
          <w:rFonts w:cstheme="minorHAnsi"/>
          <w:sz w:val="22"/>
          <w:szCs w:val="22"/>
        </w:rPr>
        <w:t>[</w:t>
      </w:r>
      <w:r w:rsidR="00BF3FA8" w:rsidRPr="0079308B">
        <w:rPr>
          <w:rFonts w:cstheme="minorHAnsi"/>
          <w:sz w:val="22"/>
          <w:szCs w:val="22"/>
        </w:rPr>
        <w:t>UK</w:t>
      </w:r>
      <w:r w:rsidR="00A25862" w:rsidRPr="0079308B">
        <w:rPr>
          <w:rFonts w:cstheme="minorHAnsi"/>
          <w:sz w:val="22"/>
          <w:szCs w:val="22"/>
        </w:rPr>
        <w:t>]]</w:t>
      </w:r>
      <w:r w:rsidR="00262F86" w:rsidRPr="0079308B">
        <w:rPr>
          <w:rFonts w:cstheme="minorHAnsi"/>
          <w:sz w:val="22"/>
          <w:szCs w:val="22"/>
        </w:rPr>
        <w:t xml:space="preserve">. </w:t>
      </w:r>
      <w:r w:rsidR="00A90F42" w:rsidRPr="0079308B">
        <w:rPr>
          <w:rFonts w:cstheme="minorHAnsi"/>
          <w:sz w:val="22"/>
          <w:szCs w:val="22"/>
        </w:rPr>
        <w:t xml:space="preserve">The setting of the study is important as it includes a range of existing community liver pathways which means the intervention is compared to a </w:t>
      </w:r>
      <w:r w:rsidR="0039540F" w:rsidRPr="0079308B">
        <w:rPr>
          <w:rFonts w:cstheme="minorHAnsi"/>
          <w:sz w:val="22"/>
          <w:szCs w:val="22"/>
        </w:rPr>
        <w:t>diverse representation of standard care</w:t>
      </w:r>
      <w:r w:rsidR="00F27FF7" w:rsidRPr="0079308B">
        <w:rPr>
          <w:rFonts w:cstheme="minorHAnsi"/>
          <w:sz w:val="22"/>
          <w:szCs w:val="22"/>
        </w:rPr>
        <w:t xml:space="preserve"> – which </w:t>
      </w:r>
      <w:r w:rsidR="0039540F" w:rsidRPr="0079308B">
        <w:rPr>
          <w:rFonts w:cstheme="minorHAnsi"/>
          <w:sz w:val="22"/>
          <w:szCs w:val="22"/>
        </w:rPr>
        <w:t>are representative of</w:t>
      </w:r>
      <w:r w:rsidR="00F27FF7" w:rsidRPr="0079308B">
        <w:rPr>
          <w:rFonts w:cstheme="minorHAnsi"/>
          <w:sz w:val="22"/>
          <w:szCs w:val="22"/>
        </w:rPr>
        <w:t xml:space="preserve"> diverse interpretations of the current NICE guidelines</w:t>
      </w:r>
      <w:r w:rsidR="00A90F42" w:rsidRPr="0079308B">
        <w:rPr>
          <w:rFonts w:cstheme="minorHAnsi"/>
          <w:sz w:val="22"/>
          <w:szCs w:val="22"/>
        </w:rPr>
        <w:t>.</w:t>
      </w:r>
      <w:r w:rsidR="00A25862" w:rsidRPr="0079308B">
        <w:rPr>
          <w:rFonts w:cstheme="minorHAnsi"/>
          <w:noProof/>
          <w:sz w:val="22"/>
          <w:szCs w:val="22"/>
        </w:rPr>
        <w:t>[</w:t>
      </w:r>
      <w:r w:rsidR="001B2D3B" w:rsidRPr="0079308B">
        <w:rPr>
          <w:rFonts w:cstheme="minorHAnsi"/>
          <w:noProof/>
          <w:sz w:val="22"/>
          <w:szCs w:val="22"/>
        </w:rPr>
        <w:t>32</w:t>
      </w:r>
      <w:r w:rsidR="00A25862" w:rsidRPr="0079308B">
        <w:rPr>
          <w:rFonts w:cstheme="minorHAnsi"/>
          <w:noProof/>
          <w:sz w:val="22"/>
          <w:szCs w:val="22"/>
        </w:rPr>
        <w:t>]</w:t>
      </w:r>
      <w:r w:rsidR="00A90F42" w:rsidRPr="0079308B">
        <w:rPr>
          <w:rFonts w:cstheme="minorHAnsi"/>
          <w:sz w:val="22"/>
          <w:szCs w:val="22"/>
        </w:rPr>
        <w:t xml:space="preserve"> </w:t>
      </w:r>
    </w:p>
    <w:p w14:paraId="1E965952" w14:textId="77777777" w:rsidR="00A90F42" w:rsidRPr="0079308B" w:rsidRDefault="00A90F42" w:rsidP="00F025AA">
      <w:pPr>
        <w:spacing w:line="360" w:lineRule="auto"/>
        <w:rPr>
          <w:rFonts w:cstheme="minorHAnsi"/>
          <w:sz w:val="22"/>
          <w:szCs w:val="22"/>
        </w:rPr>
      </w:pPr>
    </w:p>
    <w:p w14:paraId="5C58C270" w14:textId="0F901427" w:rsidR="003D4428" w:rsidRPr="0079308B" w:rsidRDefault="00A90F42" w:rsidP="00F025AA">
      <w:pPr>
        <w:spacing w:line="360" w:lineRule="auto"/>
        <w:rPr>
          <w:rFonts w:cstheme="minorHAnsi"/>
          <w:sz w:val="22"/>
          <w:szCs w:val="22"/>
        </w:rPr>
      </w:pPr>
      <w:r w:rsidRPr="0079308B">
        <w:rPr>
          <w:rFonts w:cstheme="minorHAnsi"/>
          <w:sz w:val="22"/>
          <w:szCs w:val="22"/>
        </w:rPr>
        <w:t xml:space="preserve">Community </w:t>
      </w:r>
      <w:r w:rsidR="003D4428" w:rsidRPr="0079308B">
        <w:rPr>
          <w:rFonts w:cstheme="minorHAnsi"/>
          <w:sz w:val="22"/>
          <w:szCs w:val="22"/>
        </w:rPr>
        <w:t xml:space="preserve">hubs will be used for research data collection including VCTE and blood sampling. </w:t>
      </w:r>
      <w:r w:rsidR="00F07262" w:rsidRPr="0079308B">
        <w:rPr>
          <w:rFonts w:cstheme="minorHAnsi"/>
          <w:sz w:val="22"/>
          <w:szCs w:val="22"/>
        </w:rPr>
        <w:t>Primary care centres</w:t>
      </w:r>
      <w:r w:rsidR="003D4428" w:rsidRPr="0079308B">
        <w:rPr>
          <w:rFonts w:cstheme="minorHAnsi"/>
          <w:sz w:val="22"/>
          <w:szCs w:val="22"/>
        </w:rPr>
        <w:t xml:space="preserve"> will be identified via the local Primary Care </w:t>
      </w:r>
      <w:r w:rsidR="0039540F" w:rsidRPr="0079308B">
        <w:rPr>
          <w:rFonts w:cstheme="minorHAnsi"/>
          <w:sz w:val="22"/>
          <w:szCs w:val="22"/>
        </w:rPr>
        <w:t>N</w:t>
      </w:r>
      <w:r w:rsidR="003D4428" w:rsidRPr="0079308B">
        <w:rPr>
          <w:rFonts w:cstheme="minorHAnsi"/>
          <w:sz w:val="22"/>
          <w:szCs w:val="22"/>
        </w:rPr>
        <w:t xml:space="preserve">etwork and the Primary Care </w:t>
      </w:r>
      <w:r w:rsidR="00177818" w:rsidRPr="0079308B">
        <w:rPr>
          <w:rFonts w:cstheme="minorHAnsi"/>
          <w:sz w:val="22"/>
          <w:szCs w:val="22"/>
        </w:rPr>
        <w:t xml:space="preserve">NIHR clinical </w:t>
      </w:r>
      <w:r w:rsidR="00177818" w:rsidRPr="0079308B">
        <w:rPr>
          <w:rFonts w:cstheme="minorHAnsi"/>
          <w:sz w:val="22"/>
          <w:szCs w:val="22"/>
        </w:rPr>
        <w:lastRenderedPageBreak/>
        <w:t xml:space="preserve">research network </w:t>
      </w:r>
      <w:r w:rsidR="00A25862" w:rsidRPr="0079308B">
        <w:rPr>
          <w:rFonts w:cstheme="minorHAnsi"/>
          <w:sz w:val="22"/>
          <w:szCs w:val="22"/>
        </w:rPr>
        <w:t>[</w:t>
      </w:r>
      <w:r w:rsidR="003D4428" w:rsidRPr="0079308B">
        <w:rPr>
          <w:rFonts w:cstheme="minorHAnsi"/>
          <w:sz w:val="22"/>
          <w:szCs w:val="22"/>
        </w:rPr>
        <w:t>CRN</w:t>
      </w:r>
      <w:r w:rsidR="00A25862" w:rsidRPr="0079308B">
        <w:rPr>
          <w:rFonts w:cstheme="minorHAnsi"/>
          <w:sz w:val="22"/>
          <w:szCs w:val="22"/>
        </w:rPr>
        <w:t>]</w:t>
      </w:r>
      <w:r w:rsidR="003D4428" w:rsidRPr="0079308B">
        <w:rPr>
          <w:rFonts w:cstheme="minorHAnsi"/>
          <w:sz w:val="22"/>
          <w:szCs w:val="22"/>
        </w:rPr>
        <w:t xml:space="preserve">. The number of </w:t>
      </w:r>
      <w:r w:rsidRPr="0079308B">
        <w:rPr>
          <w:rFonts w:cstheme="minorHAnsi"/>
          <w:sz w:val="22"/>
          <w:szCs w:val="22"/>
        </w:rPr>
        <w:t>practices</w:t>
      </w:r>
      <w:r w:rsidR="003D4428" w:rsidRPr="0079308B">
        <w:rPr>
          <w:rFonts w:cstheme="minorHAnsi"/>
          <w:sz w:val="22"/>
          <w:szCs w:val="22"/>
        </w:rPr>
        <w:t xml:space="preserve"> we are using is justified in the later dedicated sections of the form. </w:t>
      </w:r>
    </w:p>
    <w:p w14:paraId="5CA2E72C" w14:textId="77777777" w:rsidR="00261013" w:rsidRPr="0079308B" w:rsidRDefault="00261013" w:rsidP="00F025AA">
      <w:pPr>
        <w:spacing w:line="360" w:lineRule="auto"/>
        <w:rPr>
          <w:rFonts w:cstheme="minorHAnsi"/>
          <w:sz w:val="22"/>
          <w:szCs w:val="22"/>
        </w:rPr>
      </w:pPr>
    </w:p>
    <w:p w14:paraId="1BFF37CB" w14:textId="5EC062D4" w:rsidR="00261013" w:rsidRPr="0079308B" w:rsidRDefault="00025D2A" w:rsidP="00F025AA">
      <w:pPr>
        <w:spacing w:line="360" w:lineRule="auto"/>
        <w:rPr>
          <w:rFonts w:cstheme="minorHAnsi"/>
          <w:sz w:val="22"/>
          <w:szCs w:val="22"/>
        </w:rPr>
      </w:pPr>
      <w:r w:rsidRPr="0079308B">
        <w:rPr>
          <w:rFonts w:cstheme="minorHAnsi"/>
          <w:sz w:val="22"/>
          <w:szCs w:val="22"/>
        </w:rPr>
        <w:t>Recruitment</w:t>
      </w:r>
      <w:r w:rsidR="00261013" w:rsidRPr="0079308B">
        <w:rPr>
          <w:rFonts w:cstheme="minorHAnsi"/>
          <w:sz w:val="22"/>
          <w:szCs w:val="22"/>
        </w:rPr>
        <w:t xml:space="preserve"> will take place from </w:t>
      </w:r>
      <w:r w:rsidR="00BC775C" w:rsidRPr="0079308B">
        <w:rPr>
          <w:rFonts w:cstheme="minorHAnsi"/>
          <w:sz w:val="22"/>
          <w:szCs w:val="22"/>
        </w:rPr>
        <w:t>January</w:t>
      </w:r>
      <w:r w:rsidR="00261013" w:rsidRPr="0079308B">
        <w:rPr>
          <w:rFonts w:cstheme="minorHAnsi"/>
          <w:sz w:val="22"/>
          <w:szCs w:val="22"/>
        </w:rPr>
        <w:t xml:space="preserve"> 2024 </w:t>
      </w:r>
      <w:r w:rsidRPr="0079308B">
        <w:rPr>
          <w:rFonts w:cstheme="minorHAnsi"/>
          <w:sz w:val="22"/>
          <w:szCs w:val="22"/>
        </w:rPr>
        <w:t>and will be complete by</w:t>
      </w:r>
      <w:r w:rsidR="00261013" w:rsidRPr="0079308B">
        <w:rPr>
          <w:rFonts w:cstheme="minorHAnsi"/>
          <w:sz w:val="22"/>
          <w:szCs w:val="22"/>
        </w:rPr>
        <w:t xml:space="preserve"> April 2025. Outcome data collection will be completed by June 2026 and the cost-effectiveness analysis will be complete by the study end date </w:t>
      </w:r>
      <w:r w:rsidRPr="0079308B">
        <w:rPr>
          <w:rFonts w:cstheme="minorHAnsi"/>
          <w:sz w:val="22"/>
          <w:szCs w:val="22"/>
        </w:rPr>
        <w:t xml:space="preserve">- </w:t>
      </w:r>
      <w:r w:rsidR="00261013" w:rsidRPr="0079308B">
        <w:rPr>
          <w:rFonts w:cstheme="minorHAnsi"/>
          <w:sz w:val="22"/>
          <w:szCs w:val="22"/>
        </w:rPr>
        <w:t>1</w:t>
      </w:r>
      <w:r w:rsidR="00261013" w:rsidRPr="0079308B">
        <w:rPr>
          <w:rFonts w:cstheme="minorHAnsi"/>
          <w:sz w:val="22"/>
          <w:szCs w:val="22"/>
          <w:vertAlign w:val="superscript"/>
        </w:rPr>
        <w:t>st</w:t>
      </w:r>
      <w:r w:rsidR="00261013" w:rsidRPr="0079308B">
        <w:rPr>
          <w:rFonts w:cstheme="minorHAnsi"/>
          <w:sz w:val="22"/>
          <w:szCs w:val="22"/>
        </w:rPr>
        <w:t xml:space="preserve"> September 2026.</w:t>
      </w:r>
    </w:p>
    <w:p w14:paraId="5C642409" w14:textId="77777777" w:rsidR="003D4428" w:rsidRPr="0079308B" w:rsidRDefault="003D4428" w:rsidP="00F025AA">
      <w:pPr>
        <w:spacing w:line="360" w:lineRule="auto"/>
        <w:rPr>
          <w:rFonts w:cstheme="minorHAnsi"/>
          <w:sz w:val="22"/>
          <w:szCs w:val="22"/>
        </w:rPr>
      </w:pPr>
    </w:p>
    <w:p w14:paraId="65CA0C00" w14:textId="79025A11" w:rsidR="00A90F42" w:rsidRPr="0079308B" w:rsidRDefault="003D4428" w:rsidP="00F025AA">
      <w:pPr>
        <w:spacing w:line="360" w:lineRule="auto"/>
        <w:rPr>
          <w:rFonts w:cstheme="minorHAnsi"/>
          <w:b/>
          <w:bCs/>
          <w:sz w:val="22"/>
          <w:szCs w:val="22"/>
        </w:rPr>
      </w:pPr>
      <w:r w:rsidRPr="0079308B">
        <w:rPr>
          <w:rFonts w:cstheme="minorHAnsi"/>
          <w:b/>
          <w:bCs/>
          <w:sz w:val="22"/>
          <w:szCs w:val="22"/>
        </w:rPr>
        <w:t xml:space="preserve">Participant </w:t>
      </w:r>
      <w:r w:rsidR="00F27FF7" w:rsidRPr="0079308B">
        <w:rPr>
          <w:rFonts w:cstheme="minorHAnsi"/>
          <w:b/>
          <w:bCs/>
          <w:sz w:val="22"/>
          <w:szCs w:val="22"/>
        </w:rPr>
        <w:t>identification</w:t>
      </w:r>
      <w:r w:rsidRPr="0079308B">
        <w:rPr>
          <w:rFonts w:cstheme="minorHAnsi"/>
          <w:b/>
          <w:bCs/>
          <w:sz w:val="22"/>
          <w:szCs w:val="22"/>
        </w:rPr>
        <w:t xml:space="preserve"> </w:t>
      </w:r>
    </w:p>
    <w:p w14:paraId="5353539A" w14:textId="3EA6A5C9" w:rsidR="00333630" w:rsidRPr="0079308B" w:rsidRDefault="00025D2A" w:rsidP="00F025AA">
      <w:pPr>
        <w:shd w:val="clear" w:color="auto" w:fill="FFFFFF"/>
        <w:spacing w:line="360" w:lineRule="auto"/>
        <w:textAlignment w:val="baseline"/>
        <w:rPr>
          <w:rFonts w:eastAsia="Times New Roman" w:cstheme="minorHAnsi"/>
          <w:color w:val="000000" w:themeColor="text1"/>
          <w:kern w:val="0"/>
          <w:sz w:val="22"/>
          <w:szCs w:val="22"/>
          <w:bdr w:val="none" w:sz="0" w:space="0" w:color="auto" w:frame="1"/>
          <w14:ligatures w14:val="none"/>
        </w:rPr>
      </w:pPr>
      <w:r w:rsidRPr="0079308B">
        <w:rPr>
          <w:rFonts w:eastAsia="Times New Roman" w:cstheme="minorHAnsi"/>
          <w:color w:val="000000" w:themeColor="text1"/>
          <w:kern w:val="0"/>
          <w:sz w:val="22"/>
          <w:szCs w:val="22"/>
          <w:bdr w:val="none" w:sz="0" w:space="0" w:color="auto" w:frame="1"/>
          <w14:ligatures w14:val="none"/>
        </w:rPr>
        <w:t xml:space="preserve">Primary care centres </w:t>
      </w:r>
      <w:r w:rsidR="00333630" w:rsidRPr="0079308B">
        <w:rPr>
          <w:rFonts w:eastAsia="Times New Roman" w:cstheme="minorHAnsi"/>
          <w:color w:val="000000" w:themeColor="text1"/>
          <w:kern w:val="0"/>
          <w:sz w:val="22"/>
          <w:szCs w:val="22"/>
          <w:bdr w:val="none" w:sz="0" w:space="0" w:color="auto" w:frame="1"/>
          <w14:ligatures w14:val="none"/>
        </w:rPr>
        <w:t>will identify potential participants from their patient records. The research team will provide these practices with a search query to run on the</w:t>
      </w:r>
      <w:r w:rsidR="00F07262" w:rsidRPr="0079308B">
        <w:rPr>
          <w:rFonts w:eastAsia="Times New Roman" w:cstheme="minorHAnsi"/>
          <w:color w:val="000000" w:themeColor="text1"/>
          <w:kern w:val="0"/>
          <w:sz w:val="22"/>
          <w:szCs w:val="22"/>
          <w:bdr w:val="none" w:sz="0" w:space="0" w:color="auto" w:frame="1"/>
          <w14:ligatures w14:val="none"/>
        </w:rPr>
        <w:t xml:space="preserve">ir </w:t>
      </w:r>
      <w:r w:rsidR="00333630" w:rsidRPr="0079308B">
        <w:rPr>
          <w:rFonts w:eastAsia="Times New Roman" w:cstheme="minorHAnsi"/>
          <w:color w:val="000000" w:themeColor="text1"/>
          <w:kern w:val="0"/>
          <w:sz w:val="22"/>
          <w:szCs w:val="22"/>
          <w:bdr w:val="none" w:sz="0" w:space="0" w:color="auto" w:frame="1"/>
          <w14:ligatures w14:val="none"/>
        </w:rPr>
        <w:t>patient management system</w:t>
      </w:r>
      <w:r w:rsidR="0003104A" w:rsidRPr="0079308B">
        <w:rPr>
          <w:rFonts w:eastAsia="Times New Roman" w:cstheme="minorHAnsi"/>
          <w:color w:val="000000" w:themeColor="text1"/>
          <w:kern w:val="0"/>
          <w:sz w:val="22"/>
          <w:szCs w:val="22"/>
          <w:bdr w:val="none" w:sz="0" w:space="0" w:color="auto" w:frame="1"/>
          <w14:ligatures w14:val="none"/>
        </w:rPr>
        <w:t>s</w:t>
      </w:r>
      <w:r w:rsidR="00F07262" w:rsidRPr="0079308B">
        <w:rPr>
          <w:rFonts w:eastAsia="Times New Roman" w:cstheme="minorHAnsi"/>
          <w:color w:val="000000" w:themeColor="text1"/>
          <w:kern w:val="0"/>
          <w:sz w:val="22"/>
          <w:szCs w:val="22"/>
          <w:bdr w:val="none" w:sz="0" w:space="0" w:color="auto" w:frame="1"/>
          <w14:ligatures w14:val="none"/>
        </w:rPr>
        <w:t xml:space="preserve"> </w:t>
      </w:r>
      <w:r w:rsidR="00A25862" w:rsidRPr="0079308B">
        <w:rPr>
          <w:rFonts w:eastAsia="Times New Roman" w:cstheme="minorHAnsi"/>
          <w:color w:val="000000" w:themeColor="text1"/>
          <w:kern w:val="0"/>
          <w:sz w:val="22"/>
          <w:szCs w:val="22"/>
          <w:bdr w:val="none" w:sz="0" w:space="0" w:color="auto" w:frame="1"/>
          <w14:ligatures w14:val="none"/>
        </w:rPr>
        <w:t>[</w:t>
      </w:r>
      <w:proofErr w:type="spellStart"/>
      <w:r w:rsidR="00936FDF" w:rsidRPr="0079308B">
        <w:rPr>
          <w:rFonts w:eastAsia="Times New Roman" w:cstheme="minorHAnsi"/>
          <w:color w:val="000000" w:themeColor="text1"/>
          <w:kern w:val="0"/>
          <w:sz w:val="22"/>
          <w:szCs w:val="22"/>
          <w:bdr w:val="none" w:sz="0" w:space="0" w:color="auto" w:frame="1"/>
          <w14:ligatures w14:val="none"/>
        </w:rPr>
        <w:t>SystmOne</w:t>
      </w:r>
      <w:proofErr w:type="spellEnd"/>
      <w:r w:rsidR="00936FDF" w:rsidRPr="0079308B">
        <w:rPr>
          <w:rFonts w:eastAsia="Times New Roman" w:cstheme="minorHAnsi"/>
          <w:color w:val="000000" w:themeColor="text1"/>
          <w:kern w:val="0"/>
          <w:sz w:val="22"/>
          <w:szCs w:val="22"/>
          <w:bdr w:val="none" w:sz="0" w:space="0" w:color="auto" w:frame="1"/>
          <w14:ligatures w14:val="none"/>
        </w:rPr>
        <w:t xml:space="preserve"> or EMIS</w:t>
      </w:r>
      <w:r w:rsidR="00A25862" w:rsidRPr="0079308B">
        <w:rPr>
          <w:rFonts w:eastAsia="Times New Roman" w:cstheme="minorHAnsi"/>
          <w:color w:val="000000" w:themeColor="text1"/>
          <w:kern w:val="0"/>
          <w:sz w:val="22"/>
          <w:szCs w:val="22"/>
          <w:bdr w:val="none" w:sz="0" w:space="0" w:color="auto" w:frame="1"/>
          <w14:ligatures w14:val="none"/>
        </w:rPr>
        <w:t>]</w:t>
      </w:r>
      <w:r w:rsidR="00262F86" w:rsidRPr="0079308B">
        <w:rPr>
          <w:rFonts w:eastAsia="Times New Roman" w:cstheme="minorHAnsi"/>
          <w:color w:val="000000" w:themeColor="text1"/>
          <w:kern w:val="0"/>
          <w:sz w:val="22"/>
          <w:szCs w:val="22"/>
          <w:bdr w:val="none" w:sz="0" w:space="0" w:color="auto" w:frame="1"/>
          <w14:ligatures w14:val="none"/>
        </w:rPr>
        <w:t xml:space="preserve"> </w:t>
      </w:r>
      <w:r w:rsidR="00A25862" w:rsidRPr="0079308B">
        <w:rPr>
          <w:rFonts w:eastAsia="Times New Roman" w:cstheme="minorHAnsi"/>
          <w:color w:val="000000" w:themeColor="text1"/>
          <w:kern w:val="0"/>
          <w:sz w:val="22"/>
          <w:szCs w:val="22"/>
          <w:bdr w:val="none" w:sz="0" w:space="0" w:color="auto" w:frame="1"/>
          <w14:ligatures w14:val="none"/>
        </w:rPr>
        <w:t>[</w:t>
      </w:r>
      <w:r w:rsidR="00E02B49" w:rsidRPr="0079308B">
        <w:rPr>
          <w:rFonts w:eastAsia="Times New Roman" w:cstheme="minorHAnsi"/>
          <w:color w:val="000000" w:themeColor="text1"/>
          <w:kern w:val="0"/>
          <w:sz w:val="22"/>
          <w:szCs w:val="22"/>
          <w:bdr w:val="none" w:sz="0" w:space="0" w:color="auto" w:frame="1"/>
          <w14:ligatures w14:val="none"/>
        </w:rPr>
        <w:t xml:space="preserve">see </w:t>
      </w:r>
      <w:r w:rsidR="00262F86" w:rsidRPr="0079308B">
        <w:rPr>
          <w:rFonts w:eastAsia="Times New Roman" w:cstheme="minorHAnsi"/>
          <w:color w:val="000000" w:themeColor="text1"/>
          <w:kern w:val="0"/>
          <w:sz w:val="22"/>
          <w:szCs w:val="22"/>
          <w:bdr w:val="none" w:sz="0" w:space="0" w:color="auto" w:frame="1"/>
          <w14:ligatures w14:val="none"/>
        </w:rPr>
        <w:t>supplementary material</w:t>
      </w:r>
      <w:r w:rsidR="00AD5101" w:rsidRPr="0079308B">
        <w:rPr>
          <w:rFonts w:eastAsia="Times New Roman" w:cstheme="minorHAnsi"/>
          <w:color w:val="000000" w:themeColor="text1"/>
          <w:kern w:val="0"/>
          <w:sz w:val="22"/>
          <w:szCs w:val="22"/>
          <w:bdr w:val="none" w:sz="0" w:space="0" w:color="auto" w:frame="1"/>
          <w14:ligatures w14:val="none"/>
        </w:rPr>
        <w:t xml:space="preserve"> and trial website</w:t>
      </w:r>
      <w:r w:rsidR="006341D8" w:rsidRPr="0079308B">
        <w:rPr>
          <w:rFonts w:eastAsia="Times New Roman" w:cstheme="minorHAnsi"/>
          <w:color w:val="000000" w:themeColor="text1"/>
          <w:kern w:val="0"/>
          <w:sz w:val="22"/>
          <w:szCs w:val="22"/>
          <w:bdr w:val="none" w:sz="0" w:space="0" w:color="auto" w:frame="1"/>
          <w14:ligatures w14:val="none"/>
        </w:rPr>
        <w:t xml:space="preserve"> </w:t>
      </w:r>
      <w:r w:rsidR="00A25862" w:rsidRPr="0079308B">
        <w:rPr>
          <w:rFonts w:eastAsia="Times New Roman" w:cstheme="minorHAnsi"/>
          <w:color w:val="000000" w:themeColor="text1"/>
          <w:kern w:val="0"/>
          <w:sz w:val="22"/>
          <w:szCs w:val="22"/>
          <w:bdr w:val="none" w:sz="0" w:space="0" w:color="auto" w:frame="1"/>
          <w14:ligatures w14:val="none"/>
        </w:rPr>
        <w:t>[</w:t>
      </w:r>
      <w:r w:rsidR="006341D8" w:rsidRPr="0079308B">
        <w:rPr>
          <w:rFonts w:eastAsia="Times New Roman" w:cstheme="minorHAnsi"/>
          <w:color w:val="000000" w:themeColor="text1"/>
          <w:kern w:val="0"/>
          <w:sz w:val="22"/>
          <w:szCs w:val="22"/>
          <w:bdr w:val="none" w:sz="0" w:space="0" w:color="auto" w:frame="1"/>
          <w14:ligatures w14:val="none"/>
        </w:rPr>
        <w:t>reflexstudy.org</w:t>
      </w:r>
      <w:r w:rsidR="00A25862" w:rsidRPr="0079308B">
        <w:rPr>
          <w:rFonts w:eastAsia="Times New Roman" w:cstheme="minorHAnsi"/>
          <w:color w:val="000000" w:themeColor="text1"/>
          <w:kern w:val="0"/>
          <w:sz w:val="22"/>
          <w:szCs w:val="22"/>
          <w:bdr w:val="none" w:sz="0" w:space="0" w:color="auto" w:frame="1"/>
          <w14:ligatures w14:val="none"/>
        </w:rPr>
        <w:t>]]</w:t>
      </w:r>
      <w:r w:rsidR="00333630" w:rsidRPr="0079308B">
        <w:rPr>
          <w:rFonts w:eastAsia="Times New Roman" w:cstheme="minorHAnsi"/>
          <w:color w:val="000000" w:themeColor="text1"/>
          <w:kern w:val="0"/>
          <w:sz w:val="22"/>
          <w:szCs w:val="22"/>
          <w:bdr w:val="none" w:sz="0" w:space="0" w:color="auto" w:frame="1"/>
          <w14:ligatures w14:val="none"/>
        </w:rPr>
        <w:t xml:space="preserve"> </w:t>
      </w:r>
      <w:r w:rsidR="000F2BCB" w:rsidRPr="0079308B">
        <w:rPr>
          <w:rFonts w:eastAsia="Times New Roman" w:cstheme="minorHAnsi"/>
          <w:color w:val="000000" w:themeColor="text1"/>
          <w:kern w:val="0"/>
          <w:sz w:val="22"/>
          <w:szCs w:val="22"/>
          <w:bdr w:val="none" w:sz="0" w:space="0" w:color="auto" w:frame="1"/>
          <w14:ligatures w14:val="none"/>
        </w:rPr>
        <w:t>Flagged p</w:t>
      </w:r>
      <w:r w:rsidR="00333630" w:rsidRPr="0079308B">
        <w:rPr>
          <w:rFonts w:eastAsia="Times New Roman" w:cstheme="minorHAnsi"/>
          <w:color w:val="000000" w:themeColor="text1"/>
          <w:kern w:val="0"/>
          <w:sz w:val="22"/>
          <w:szCs w:val="22"/>
          <w:bdr w:val="none" w:sz="0" w:space="0" w:color="auto" w:frame="1"/>
          <w14:ligatures w14:val="none"/>
        </w:rPr>
        <w:t>atients will be screened for eligibility by practice staff.  The patients on the list of potential participants will be sent a text advising them about study, where they can access further information and who to contact if they would like to self-refer their interest in participating</w:t>
      </w:r>
      <w:r w:rsidR="00E52115" w:rsidRPr="0079308B">
        <w:rPr>
          <w:rFonts w:eastAsia="Times New Roman" w:cstheme="minorHAnsi"/>
          <w:color w:val="000000" w:themeColor="text1"/>
          <w:kern w:val="0"/>
          <w:sz w:val="22"/>
          <w:szCs w:val="22"/>
          <w:bdr w:val="none" w:sz="0" w:space="0" w:color="auto" w:frame="1"/>
          <w14:ligatures w14:val="none"/>
        </w:rPr>
        <w:t xml:space="preserve"> </w:t>
      </w:r>
      <w:r w:rsidR="00A25862" w:rsidRPr="0079308B">
        <w:rPr>
          <w:rFonts w:eastAsia="Times New Roman" w:cstheme="minorHAnsi"/>
          <w:color w:val="000000" w:themeColor="text1"/>
          <w:kern w:val="0"/>
          <w:sz w:val="22"/>
          <w:szCs w:val="22"/>
          <w:bdr w:val="none" w:sz="0" w:space="0" w:color="auto" w:frame="1"/>
          <w14:ligatures w14:val="none"/>
        </w:rPr>
        <w:t>[</w:t>
      </w:r>
      <w:r w:rsidR="00E52115" w:rsidRPr="0079308B">
        <w:rPr>
          <w:rFonts w:eastAsia="Times New Roman" w:cstheme="minorHAnsi"/>
          <w:color w:val="000000" w:themeColor="text1"/>
          <w:kern w:val="0"/>
          <w:sz w:val="22"/>
          <w:szCs w:val="22"/>
          <w:bdr w:val="none" w:sz="0" w:space="0" w:color="auto" w:frame="1"/>
          <w14:ligatures w14:val="none"/>
        </w:rPr>
        <w:t>see supplementary material</w:t>
      </w:r>
      <w:r w:rsidR="00A25862" w:rsidRPr="0079308B">
        <w:rPr>
          <w:rFonts w:eastAsia="Times New Roman" w:cstheme="minorHAnsi"/>
          <w:color w:val="000000" w:themeColor="text1"/>
          <w:kern w:val="0"/>
          <w:sz w:val="22"/>
          <w:szCs w:val="22"/>
          <w:bdr w:val="none" w:sz="0" w:space="0" w:color="auto" w:frame="1"/>
          <w14:ligatures w14:val="none"/>
        </w:rPr>
        <w:t>]</w:t>
      </w:r>
      <w:r w:rsidR="00E52115" w:rsidRPr="0079308B">
        <w:rPr>
          <w:rFonts w:eastAsia="Times New Roman" w:cstheme="minorHAnsi"/>
          <w:color w:val="000000" w:themeColor="text1"/>
          <w:kern w:val="0"/>
          <w:sz w:val="22"/>
          <w:szCs w:val="22"/>
          <w:bdr w:val="none" w:sz="0" w:space="0" w:color="auto" w:frame="1"/>
          <w14:ligatures w14:val="none"/>
        </w:rPr>
        <w:t>.</w:t>
      </w:r>
    </w:p>
    <w:p w14:paraId="3EBB1EFA" w14:textId="77777777" w:rsidR="00333630" w:rsidRPr="0079308B" w:rsidRDefault="00333630" w:rsidP="00F025AA">
      <w:pPr>
        <w:shd w:val="clear" w:color="auto" w:fill="FFFFFF"/>
        <w:spacing w:line="360" w:lineRule="auto"/>
        <w:textAlignment w:val="baseline"/>
        <w:rPr>
          <w:rFonts w:eastAsia="Times New Roman" w:cstheme="minorHAnsi"/>
          <w:color w:val="000000" w:themeColor="text1"/>
          <w:kern w:val="0"/>
          <w:sz w:val="22"/>
          <w:szCs w:val="22"/>
          <w14:ligatures w14:val="none"/>
        </w:rPr>
      </w:pPr>
    </w:p>
    <w:p w14:paraId="77F0256D" w14:textId="4D182161" w:rsidR="003D4428" w:rsidRPr="0079308B" w:rsidRDefault="00ED42C7" w:rsidP="00F025AA">
      <w:pPr>
        <w:spacing w:line="360" w:lineRule="auto"/>
        <w:rPr>
          <w:rFonts w:cstheme="minorHAnsi"/>
          <w:b/>
          <w:bCs/>
          <w:sz w:val="22"/>
          <w:szCs w:val="22"/>
        </w:rPr>
      </w:pPr>
      <w:r w:rsidRPr="0079308B">
        <w:rPr>
          <w:rFonts w:cstheme="minorHAnsi"/>
          <w:b/>
          <w:bCs/>
          <w:sz w:val="22"/>
          <w:szCs w:val="22"/>
        </w:rPr>
        <w:t xml:space="preserve">Consent &amp; </w:t>
      </w:r>
      <w:r w:rsidR="003D4428" w:rsidRPr="0079308B">
        <w:rPr>
          <w:rFonts w:cstheme="minorHAnsi"/>
          <w:b/>
          <w:bCs/>
          <w:sz w:val="22"/>
          <w:szCs w:val="22"/>
        </w:rPr>
        <w:t>Randomisation</w:t>
      </w:r>
      <w:r w:rsidRPr="0079308B">
        <w:rPr>
          <w:rFonts w:cstheme="minorHAnsi"/>
          <w:b/>
          <w:bCs/>
          <w:sz w:val="22"/>
          <w:szCs w:val="22"/>
        </w:rPr>
        <w:t xml:space="preserve"> </w:t>
      </w:r>
    </w:p>
    <w:p w14:paraId="52D8C7EC" w14:textId="75400F56" w:rsidR="003D4428" w:rsidRPr="0079308B" w:rsidRDefault="00F27FF7" w:rsidP="00F025AA">
      <w:pPr>
        <w:spacing w:line="360" w:lineRule="auto"/>
        <w:rPr>
          <w:rFonts w:cstheme="minorHAnsi"/>
          <w:sz w:val="22"/>
          <w:szCs w:val="22"/>
        </w:rPr>
      </w:pPr>
      <w:r w:rsidRPr="0079308B">
        <w:rPr>
          <w:rFonts w:cstheme="minorHAnsi"/>
          <w:sz w:val="22"/>
          <w:szCs w:val="22"/>
        </w:rPr>
        <w:t xml:space="preserve">If a participant </w:t>
      </w:r>
      <w:r w:rsidR="005D010A" w:rsidRPr="0079308B">
        <w:rPr>
          <w:rFonts w:cstheme="minorHAnsi"/>
          <w:sz w:val="22"/>
          <w:szCs w:val="22"/>
        </w:rPr>
        <w:t>contacts</w:t>
      </w:r>
      <w:r w:rsidRPr="0079308B">
        <w:rPr>
          <w:rFonts w:cstheme="minorHAnsi"/>
          <w:sz w:val="22"/>
          <w:szCs w:val="22"/>
        </w:rPr>
        <w:t xml:space="preserve"> the research </w:t>
      </w:r>
      <w:proofErr w:type="gramStart"/>
      <w:r w:rsidRPr="0079308B">
        <w:rPr>
          <w:rFonts w:cstheme="minorHAnsi"/>
          <w:sz w:val="22"/>
          <w:szCs w:val="22"/>
        </w:rPr>
        <w:t>team</w:t>
      </w:r>
      <w:proofErr w:type="gramEnd"/>
      <w:r w:rsidRPr="0079308B">
        <w:rPr>
          <w:rFonts w:cstheme="minorHAnsi"/>
          <w:sz w:val="22"/>
          <w:szCs w:val="22"/>
        </w:rPr>
        <w:t xml:space="preserve"> they </w:t>
      </w:r>
      <w:r w:rsidR="00025D2A" w:rsidRPr="0079308B">
        <w:rPr>
          <w:rFonts w:cstheme="minorHAnsi"/>
          <w:sz w:val="22"/>
          <w:szCs w:val="22"/>
        </w:rPr>
        <w:t>will be</w:t>
      </w:r>
      <w:r w:rsidRPr="0079308B">
        <w:rPr>
          <w:rFonts w:cstheme="minorHAnsi"/>
          <w:sz w:val="22"/>
          <w:szCs w:val="22"/>
        </w:rPr>
        <w:t xml:space="preserve"> sent an information </w:t>
      </w:r>
      <w:r w:rsidR="0039540F" w:rsidRPr="0079308B">
        <w:rPr>
          <w:rFonts w:cstheme="minorHAnsi"/>
          <w:sz w:val="22"/>
          <w:szCs w:val="22"/>
        </w:rPr>
        <w:t xml:space="preserve">sheet </w:t>
      </w:r>
      <w:r w:rsidRPr="0079308B">
        <w:rPr>
          <w:rFonts w:cstheme="minorHAnsi"/>
          <w:sz w:val="22"/>
          <w:szCs w:val="22"/>
        </w:rPr>
        <w:t xml:space="preserve">and given time to consider participation before </w:t>
      </w:r>
      <w:r w:rsidR="00AD5101" w:rsidRPr="0079308B">
        <w:rPr>
          <w:rFonts w:cstheme="minorHAnsi"/>
          <w:sz w:val="22"/>
          <w:szCs w:val="22"/>
        </w:rPr>
        <w:t xml:space="preserve">providing written </w:t>
      </w:r>
      <w:r w:rsidRPr="0079308B">
        <w:rPr>
          <w:rFonts w:cstheme="minorHAnsi"/>
          <w:sz w:val="22"/>
          <w:szCs w:val="22"/>
        </w:rPr>
        <w:t>consent</w:t>
      </w:r>
      <w:r w:rsidR="00ED42C7" w:rsidRPr="0079308B">
        <w:rPr>
          <w:rFonts w:cstheme="minorHAnsi"/>
          <w:sz w:val="22"/>
          <w:szCs w:val="22"/>
        </w:rPr>
        <w:t xml:space="preserve"> with the research team</w:t>
      </w:r>
      <w:r w:rsidR="00E52115" w:rsidRPr="0079308B">
        <w:rPr>
          <w:rFonts w:cstheme="minorHAnsi"/>
          <w:sz w:val="22"/>
          <w:szCs w:val="22"/>
        </w:rPr>
        <w:t xml:space="preserve"> </w:t>
      </w:r>
      <w:r w:rsidR="00A25862" w:rsidRPr="0079308B">
        <w:rPr>
          <w:rFonts w:cstheme="minorHAnsi"/>
          <w:sz w:val="22"/>
          <w:szCs w:val="22"/>
        </w:rPr>
        <w:t>[</w:t>
      </w:r>
      <w:r w:rsidR="00E52115" w:rsidRPr="0079308B">
        <w:rPr>
          <w:rFonts w:cstheme="minorHAnsi"/>
          <w:sz w:val="22"/>
          <w:szCs w:val="22"/>
        </w:rPr>
        <w:t>see supplementary material</w:t>
      </w:r>
      <w:r w:rsidR="00A25862" w:rsidRPr="0079308B">
        <w:rPr>
          <w:rFonts w:cstheme="minorHAnsi"/>
          <w:sz w:val="22"/>
          <w:szCs w:val="22"/>
        </w:rPr>
        <w:t>]</w:t>
      </w:r>
      <w:r w:rsidRPr="0079308B">
        <w:rPr>
          <w:rFonts w:cstheme="minorHAnsi"/>
          <w:sz w:val="22"/>
          <w:szCs w:val="22"/>
        </w:rPr>
        <w:t xml:space="preserve">. After giving consent </w:t>
      </w:r>
      <w:r w:rsidR="00877A52" w:rsidRPr="0079308B">
        <w:rPr>
          <w:rFonts w:cstheme="minorHAnsi"/>
          <w:sz w:val="22"/>
          <w:szCs w:val="22"/>
        </w:rPr>
        <w:t xml:space="preserve">each participant </w:t>
      </w:r>
      <w:r w:rsidR="00AD5101" w:rsidRPr="0079308B">
        <w:rPr>
          <w:rFonts w:cstheme="minorHAnsi"/>
          <w:sz w:val="22"/>
          <w:szCs w:val="22"/>
        </w:rPr>
        <w:t xml:space="preserve">will be </w:t>
      </w:r>
      <w:r w:rsidR="00877A52" w:rsidRPr="0079308B">
        <w:rPr>
          <w:rFonts w:cstheme="minorHAnsi"/>
          <w:sz w:val="22"/>
          <w:szCs w:val="22"/>
        </w:rPr>
        <w:t xml:space="preserve">randomised.  </w:t>
      </w:r>
      <w:r w:rsidR="003D4428" w:rsidRPr="0079308B">
        <w:rPr>
          <w:rFonts w:cstheme="minorHAnsi"/>
          <w:sz w:val="22"/>
          <w:szCs w:val="22"/>
        </w:rPr>
        <w:t xml:space="preserve">To ensure equal numbers of patients within each arm of the study we will use block randomisation with block size of 4. Blocks will be used to ensure a balance between the participants in each arm of the study - strata will be sex, age group and alcohol consumption. This will be managed by the Southampton NIHR </w:t>
      </w:r>
      <w:r w:rsidR="00E83F15" w:rsidRPr="0079308B">
        <w:rPr>
          <w:rFonts w:cstheme="minorHAnsi"/>
          <w:sz w:val="22"/>
          <w:szCs w:val="22"/>
        </w:rPr>
        <w:t xml:space="preserve">Biomedical research centre </w:t>
      </w:r>
      <w:r w:rsidR="00A25862" w:rsidRPr="0079308B">
        <w:rPr>
          <w:rFonts w:cstheme="minorHAnsi"/>
          <w:sz w:val="22"/>
          <w:szCs w:val="22"/>
        </w:rPr>
        <w:t>[</w:t>
      </w:r>
      <w:r w:rsidR="003D4428" w:rsidRPr="0079308B">
        <w:rPr>
          <w:rFonts w:cstheme="minorHAnsi"/>
          <w:sz w:val="22"/>
          <w:szCs w:val="22"/>
        </w:rPr>
        <w:t>BRC</w:t>
      </w:r>
      <w:r w:rsidR="00A25862" w:rsidRPr="0079308B">
        <w:rPr>
          <w:rFonts w:cstheme="minorHAnsi"/>
          <w:sz w:val="22"/>
          <w:szCs w:val="22"/>
        </w:rPr>
        <w:t>]</w:t>
      </w:r>
      <w:r w:rsidR="00E83F15" w:rsidRPr="0079308B">
        <w:rPr>
          <w:rFonts w:cstheme="minorHAnsi"/>
          <w:sz w:val="22"/>
          <w:szCs w:val="22"/>
        </w:rPr>
        <w:t xml:space="preserve"> team</w:t>
      </w:r>
      <w:r w:rsidR="003D4428" w:rsidRPr="0079308B">
        <w:rPr>
          <w:rFonts w:cstheme="minorHAnsi"/>
          <w:sz w:val="22"/>
          <w:szCs w:val="22"/>
        </w:rPr>
        <w:t xml:space="preserve"> using randomisation software.</w:t>
      </w:r>
      <w:r w:rsidR="00A25862" w:rsidRPr="0079308B">
        <w:rPr>
          <w:rFonts w:cstheme="minorHAnsi"/>
          <w:noProof/>
          <w:sz w:val="22"/>
          <w:szCs w:val="22"/>
        </w:rPr>
        <w:t>[</w:t>
      </w:r>
      <w:r w:rsidR="00E52115" w:rsidRPr="0079308B">
        <w:rPr>
          <w:rFonts w:cstheme="minorHAnsi"/>
          <w:noProof/>
          <w:sz w:val="22"/>
          <w:szCs w:val="22"/>
        </w:rPr>
        <w:t>39</w:t>
      </w:r>
      <w:r w:rsidR="00A25862" w:rsidRPr="0079308B">
        <w:rPr>
          <w:rFonts w:cstheme="minorHAnsi"/>
          <w:noProof/>
          <w:sz w:val="22"/>
          <w:szCs w:val="22"/>
        </w:rPr>
        <w:t>]</w:t>
      </w:r>
    </w:p>
    <w:p w14:paraId="5009CA65" w14:textId="77777777" w:rsidR="003D4428" w:rsidRPr="0079308B" w:rsidRDefault="003D4428" w:rsidP="00F025AA">
      <w:pPr>
        <w:spacing w:line="360" w:lineRule="auto"/>
        <w:rPr>
          <w:rFonts w:cstheme="minorHAnsi"/>
          <w:sz w:val="22"/>
          <w:szCs w:val="22"/>
        </w:rPr>
      </w:pPr>
    </w:p>
    <w:p w14:paraId="22A66161" w14:textId="0237D4BA" w:rsidR="003D4428" w:rsidRPr="0079308B" w:rsidRDefault="003D4428" w:rsidP="00F025AA">
      <w:pPr>
        <w:spacing w:line="360" w:lineRule="auto"/>
        <w:rPr>
          <w:rFonts w:cstheme="minorHAnsi"/>
          <w:b/>
          <w:bCs/>
          <w:sz w:val="22"/>
          <w:szCs w:val="22"/>
        </w:rPr>
      </w:pPr>
      <w:r w:rsidRPr="0079308B">
        <w:rPr>
          <w:rFonts w:cstheme="minorHAnsi"/>
          <w:b/>
          <w:bCs/>
          <w:sz w:val="22"/>
          <w:szCs w:val="22"/>
        </w:rPr>
        <w:t xml:space="preserve">Arm </w:t>
      </w:r>
      <w:r w:rsidR="00A05184" w:rsidRPr="0079308B">
        <w:rPr>
          <w:rFonts w:cstheme="minorHAnsi"/>
          <w:b/>
          <w:bCs/>
          <w:sz w:val="22"/>
          <w:szCs w:val="22"/>
        </w:rPr>
        <w:t>1</w:t>
      </w:r>
      <w:r w:rsidRPr="0079308B">
        <w:rPr>
          <w:rFonts w:cstheme="minorHAnsi"/>
          <w:b/>
          <w:bCs/>
          <w:sz w:val="22"/>
          <w:szCs w:val="22"/>
        </w:rPr>
        <w:t xml:space="preserve"> – </w:t>
      </w:r>
      <w:r w:rsidR="00E83F15" w:rsidRPr="0079308B">
        <w:rPr>
          <w:rFonts w:cstheme="minorHAnsi"/>
          <w:b/>
          <w:bCs/>
          <w:sz w:val="22"/>
          <w:szCs w:val="22"/>
        </w:rPr>
        <w:t>Screening</w:t>
      </w:r>
    </w:p>
    <w:p w14:paraId="63F29429" w14:textId="79A3BB4D" w:rsidR="003D4428" w:rsidRPr="0079308B" w:rsidRDefault="0003104A" w:rsidP="00F025AA">
      <w:pPr>
        <w:spacing w:line="360" w:lineRule="auto"/>
        <w:rPr>
          <w:rFonts w:cstheme="minorHAnsi"/>
          <w:sz w:val="22"/>
          <w:szCs w:val="22"/>
        </w:rPr>
      </w:pPr>
      <w:r w:rsidRPr="0079308B">
        <w:rPr>
          <w:rFonts w:cstheme="minorHAnsi"/>
          <w:sz w:val="22"/>
          <w:szCs w:val="22"/>
        </w:rPr>
        <w:t>P</w:t>
      </w:r>
      <w:r w:rsidR="003D4428" w:rsidRPr="0079308B">
        <w:rPr>
          <w:rFonts w:cstheme="minorHAnsi"/>
          <w:sz w:val="22"/>
          <w:szCs w:val="22"/>
        </w:rPr>
        <w:t>articipants</w:t>
      </w:r>
      <w:r w:rsidR="00166045" w:rsidRPr="0079308B">
        <w:rPr>
          <w:rFonts w:cstheme="minorHAnsi"/>
          <w:sz w:val="22"/>
          <w:szCs w:val="22"/>
        </w:rPr>
        <w:t xml:space="preserve"> in this arm</w:t>
      </w:r>
      <w:r w:rsidR="003D4428" w:rsidRPr="0079308B">
        <w:rPr>
          <w:rFonts w:cstheme="minorHAnsi"/>
          <w:sz w:val="22"/>
          <w:szCs w:val="22"/>
        </w:rPr>
        <w:t xml:space="preserve"> will be referred by the research team directly for liver fibrosis assessment at </w:t>
      </w:r>
      <w:r w:rsidR="00166045" w:rsidRPr="0079308B">
        <w:rPr>
          <w:rFonts w:cstheme="minorHAnsi"/>
          <w:sz w:val="22"/>
          <w:szCs w:val="22"/>
        </w:rPr>
        <w:t>a</w:t>
      </w:r>
      <w:r w:rsidR="003D4428" w:rsidRPr="0079308B">
        <w:rPr>
          <w:rFonts w:cstheme="minorHAnsi"/>
          <w:sz w:val="22"/>
          <w:szCs w:val="22"/>
        </w:rPr>
        <w:t xml:space="preserve"> </w:t>
      </w:r>
      <w:r w:rsidR="00A05184" w:rsidRPr="0079308B">
        <w:rPr>
          <w:rFonts w:cstheme="minorHAnsi"/>
          <w:sz w:val="22"/>
          <w:szCs w:val="22"/>
        </w:rPr>
        <w:t>c</w:t>
      </w:r>
      <w:r w:rsidR="003D4428" w:rsidRPr="0079308B">
        <w:rPr>
          <w:rFonts w:cstheme="minorHAnsi"/>
          <w:sz w:val="22"/>
          <w:szCs w:val="22"/>
        </w:rPr>
        <w:t xml:space="preserve">ommunity hub. This assessment will include VCTE and </w:t>
      </w:r>
      <w:r w:rsidR="00877A52" w:rsidRPr="0079308B">
        <w:rPr>
          <w:rFonts w:cstheme="minorHAnsi"/>
          <w:sz w:val="22"/>
          <w:szCs w:val="22"/>
        </w:rPr>
        <w:t>venepuncture for</w:t>
      </w:r>
      <w:r w:rsidR="00C81540" w:rsidRPr="0079308B">
        <w:rPr>
          <w:rFonts w:cstheme="minorHAnsi"/>
          <w:sz w:val="22"/>
          <w:szCs w:val="22"/>
        </w:rPr>
        <w:t xml:space="preserve"> an </w:t>
      </w:r>
      <w:r w:rsidR="003C38BC" w:rsidRPr="0079308B">
        <w:rPr>
          <w:sz w:val="22"/>
          <w:szCs w:val="22"/>
        </w:rPr>
        <w:t>ELF</w:t>
      </w:r>
      <w:r w:rsidR="003C38BC" w:rsidRPr="0079308B">
        <w:rPr>
          <w:rFonts w:ascii="Calibri" w:hAnsi="Calibri" w:cs="Calibri"/>
          <w:sz w:val="22"/>
          <w:szCs w:val="22"/>
        </w:rPr>
        <w:t>™</w:t>
      </w:r>
      <w:r w:rsidR="003C38BC" w:rsidRPr="0079308B">
        <w:rPr>
          <w:sz w:val="22"/>
          <w:szCs w:val="22"/>
        </w:rPr>
        <w:t xml:space="preserve"> </w:t>
      </w:r>
      <w:r w:rsidR="00C81540" w:rsidRPr="0079308B">
        <w:rPr>
          <w:rFonts w:cstheme="minorHAnsi"/>
          <w:sz w:val="22"/>
          <w:szCs w:val="22"/>
        </w:rPr>
        <w:t xml:space="preserve">test </w:t>
      </w:r>
      <w:r w:rsidR="003D4428" w:rsidRPr="0079308B">
        <w:rPr>
          <w:rFonts w:cstheme="minorHAnsi"/>
          <w:sz w:val="22"/>
          <w:szCs w:val="22"/>
        </w:rPr>
        <w:t>and</w:t>
      </w:r>
      <w:r w:rsidR="00F01206" w:rsidRPr="0079308B">
        <w:rPr>
          <w:rFonts w:cstheme="minorHAnsi"/>
          <w:sz w:val="22"/>
          <w:szCs w:val="22"/>
        </w:rPr>
        <w:t xml:space="preserve"> a</w:t>
      </w:r>
      <w:r w:rsidR="003E7E56" w:rsidRPr="0079308B">
        <w:rPr>
          <w:rFonts w:cstheme="minorHAnsi"/>
          <w:sz w:val="22"/>
          <w:szCs w:val="22"/>
        </w:rPr>
        <w:t xml:space="preserve"> </w:t>
      </w:r>
      <w:r w:rsidR="003D4428" w:rsidRPr="0079308B">
        <w:rPr>
          <w:rFonts w:cstheme="minorHAnsi"/>
          <w:sz w:val="22"/>
          <w:szCs w:val="22"/>
        </w:rPr>
        <w:t>F</w:t>
      </w:r>
      <w:r w:rsidR="00BF3FA8" w:rsidRPr="0079308B">
        <w:rPr>
          <w:rFonts w:cstheme="minorHAnsi"/>
          <w:sz w:val="22"/>
          <w:szCs w:val="22"/>
        </w:rPr>
        <w:t>IB-</w:t>
      </w:r>
      <w:r w:rsidR="003D4428" w:rsidRPr="0079308B">
        <w:rPr>
          <w:rFonts w:cstheme="minorHAnsi"/>
          <w:sz w:val="22"/>
          <w:szCs w:val="22"/>
        </w:rPr>
        <w:t>4</w:t>
      </w:r>
      <w:r w:rsidR="00F01206" w:rsidRPr="0079308B">
        <w:rPr>
          <w:rFonts w:cstheme="minorHAnsi"/>
          <w:sz w:val="22"/>
          <w:szCs w:val="22"/>
        </w:rPr>
        <w:t xml:space="preserve"> index</w:t>
      </w:r>
      <w:r w:rsidR="003D4428" w:rsidRPr="0079308B">
        <w:rPr>
          <w:rFonts w:cstheme="minorHAnsi"/>
          <w:sz w:val="22"/>
          <w:szCs w:val="22"/>
        </w:rPr>
        <w:t xml:space="preserve">. The result of the VCTE and any abnormalities identified in the blood tests will be managed in accordance with the </w:t>
      </w:r>
      <w:r w:rsidR="00166045" w:rsidRPr="0079308B">
        <w:rPr>
          <w:rFonts w:cstheme="minorHAnsi"/>
          <w:sz w:val="22"/>
          <w:szCs w:val="22"/>
        </w:rPr>
        <w:t>local liver disease c</w:t>
      </w:r>
      <w:r w:rsidR="003D4428" w:rsidRPr="0079308B">
        <w:rPr>
          <w:rFonts w:cstheme="minorHAnsi"/>
          <w:sz w:val="22"/>
          <w:szCs w:val="22"/>
        </w:rPr>
        <w:t xml:space="preserve">are pathway </w:t>
      </w:r>
      <w:r w:rsidR="00A25862" w:rsidRPr="0079308B">
        <w:rPr>
          <w:rFonts w:cstheme="minorHAnsi"/>
          <w:sz w:val="22"/>
          <w:szCs w:val="22"/>
        </w:rPr>
        <w:t>[</w:t>
      </w:r>
      <w:r w:rsidR="003D4428" w:rsidRPr="0079308B">
        <w:rPr>
          <w:rFonts w:cstheme="minorHAnsi"/>
          <w:sz w:val="22"/>
          <w:szCs w:val="22"/>
        </w:rPr>
        <w:t xml:space="preserve">as per the usual care arm described </w:t>
      </w:r>
      <w:r w:rsidR="00DC6C27" w:rsidRPr="0079308B">
        <w:rPr>
          <w:rFonts w:cstheme="minorHAnsi"/>
          <w:sz w:val="22"/>
          <w:szCs w:val="22"/>
        </w:rPr>
        <w:t>below</w:t>
      </w:r>
      <w:r w:rsidR="00A25862" w:rsidRPr="0079308B">
        <w:rPr>
          <w:rFonts w:cstheme="minorHAnsi"/>
          <w:sz w:val="22"/>
          <w:szCs w:val="22"/>
        </w:rPr>
        <w:t>]</w:t>
      </w:r>
      <w:r w:rsidR="003D4428" w:rsidRPr="0079308B">
        <w:rPr>
          <w:rFonts w:cstheme="minorHAnsi"/>
          <w:sz w:val="22"/>
          <w:szCs w:val="22"/>
        </w:rPr>
        <w:t xml:space="preserve">. </w:t>
      </w:r>
      <w:r w:rsidR="001D238E" w:rsidRPr="0079308B">
        <w:rPr>
          <w:rFonts w:cstheme="minorHAnsi"/>
          <w:sz w:val="22"/>
          <w:szCs w:val="22"/>
        </w:rPr>
        <w:t>VCTE will be performed by a</w:t>
      </w:r>
      <w:r w:rsidR="003872BB" w:rsidRPr="0079308B">
        <w:rPr>
          <w:rFonts w:cstheme="minorHAnsi"/>
          <w:sz w:val="22"/>
          <w:szCs w:val="22"/>
        </w:rPr>
        <w:t xml:space="preserve">n </w:t>
      </w:r>
      <w:r w:rsidR="003872BB" w:rsidRPr="0079308B">
        <w:rPr>
          <w:rFonts w:cstheme="minorHAnsi"/>
          <w:bCs/>
          <w:sz w:val="22"/>
          <w:szCs w:val="22"/>
        </w:rPr>
        <w:t>experienced</w:t>
      </w:r>
      <w:r w:rsidR="001D238E" w:rsidRPr="0079308B">
        <w:rPr>
          <w:rFonts w:cstheme="minorHAnsi"/>
          <w:sz w:val="22"/>
          <w:szCs w:val="22"/>
        </w:rPr>
        <w:t xml:space="preserve"> single operator after a minimum of a </w:t>
      </w:r>
      <w:r w:rsidR="00EE574A" w:rsidRPr="0079308B">
        <w:rPr>
          <w:rFonts w:cstheme="minorHAnsi"/>
          <w:sz w:val="22"/>
          <w:szCs w:val="22"/>
        </w:rPr>
        <w:t>3</w:t>
      </w:r>
      <w:r w:rsidR="001D238E" w:rsidRPr="0079308B">
        <w:rPr>
          <w:rFonts w:cstheme="minorHAnsi"/>
          <w:sz w:val="22"/>
          <w:szCs w:val="22"/>
        </w:rPr>
        <w:t xml:space="preserve"> hour fast and previously published criteria for a valid reading will be applied to each participant</w:t>
      </w:r>
      <w:r w:rsidR="00B23537" w:rsidRPr="0079308B">
        <w:rPr>
          <w:rFonts w:cstheme="minorHAnsi"/>
          <w:sz w:val="22"/>
          <w:szCs w:val="22"/>
        </w:rPr>
        <w:t>.</w:t>
      </w:r>
      <w:r w:rsidR="00A25862" w:rsidRPr="0079308B">
        <w:rPr>
          <w:rFonts w:cstheme="minorHAnsi"/>
          <w:noProof/>
          <w:sz w:val="22"/>
          <w:szCs w:val="22"/>
        </w:rPr>
        <w:t>[</w:t>
      </w:r>
      <w:r w:rsidR="00E52115" w:rsidRPr="0079308B">
        <w:rPr>
          <w:rFonts w:cstheme="minorHAnsi"/>
          <w:noProof/>
          <w:sz w:val="22"/>
          <w:szCs w:val="22"/>
        </w:rPr>
        <w:t>40</w:t>
      </w:r>
      <w:r w:rsidR="00A25862" w:rsidRPr="0079308B">
        <w:rPr>
          <w:rFonts w:cstheme="minorHAnsi"/>
          <w:noProof/>
          <w:sz w:val="22"/>
          <w:szCs w:val="22"/>
        </w:rPr>
        <w:t>]</w:t>
      </w:r>
    </w:p>
    <w:p w14:paraId="6C2AE57F" w14:textId="77777777" w:rsidR="003D4428" w:rsidRPr="0079308B" w:rsidRDefault="003D4428" w:rsidP="00F025AA">
      <w:pPr>
        <w:spacing w:line="360" w:lineRule="auto"/>
        <w:rPr>
          <w:rFonts w:cstheme="minorHAnsi"/>
          <w:sz w:val="22"/>
          <w:szCs w:val="22"/>
        </w:rPr>
      </w:pPr>
    </w:p>
    <w:p w14:paraId="6A891558" w14:textId="439BCED5" w:rsidR="00A05184" w:rsidRPr="0079308B" w:rsidRDefault="00A05184" w:rsidP="00F025AA">
      <w:pPr>
        <w:spacing w:line="360" w:lineRule="auto"/>
        <w:rPr>
          <w:rFonts w:cstheme="minorHAnsi"/>
          <w:b/>
          <w:bCs/>
          <w:sz w:val="22"/>
          <w:szCs w:val="22"/>
        </w:rPr>
      </w:pPr>
      <w:r w:rsidRPr="0079308B">
        <w:rPr>
          <w:rFonts w:cstheme="minorHAnsi"/>
          <w:b/>
          <w:bCs/>
          <w:sz w:val="22"/>
          <w:szCs w:val="22"/>
        </w:rPr>
        <w:lastRenderedPageBreak/>
        <w:t>Arm 2 – Standard care</w:t>
      </w:r>
      <w:r w:rsidR="00465FC2" w:rsidRPr="0079308B">
        <w:rPr>
          <w:rFonts w:cstheme="minorHAnsi"/>
          <w:b/>
          <w:bCs/>
          <w:sz w:val="22"/>
          <w:szCs w:val="22"/>
        </w:rPr>
        <w:t xml:space="preserve"> – </w:t>
      </w:r>
      <w:r w:rsidR="00790BA4" w:rsidRPr="0079308B">
        <w:rPr>
          <w:rFonts w:cstheme="minorHAnsi"/>
          <w:b/>
          <w:bCs/>
          <w:sz w:val="22"/>
          <w:szCs w:val="22"/>
        </w:rPr>
        <w:t xml:space="preserve">NICE guidelines based – T2DM + </w:t>
      </w:r>
      <w:r w:rsidR="00465FC2" w:rsidRPr="0079308B">
        <w:rPr>
          <w:rFonts w:cstheme="minorHAnsi"/>
          <w:b/>
          <w:bCs/>
          <w:sz w:val="22"/>
          <w:szCs w:val="22"/>
        </w:rPr>
        <w:t xml:space="preserve">additional risk factor </w:t>
      </w:r>
      <w:proofErr w:type="gramStart"/>
      <w:r w:rsidR="00465FC2" w:rsidRPr="0079308B">
        <w:rPr>
          <w:rFonts w:cstheme="minorHAnsi"/>
          <w:b/>
          <w:bCs/>
          <w:sz w:val="22"/>
          <w:szCs w:val="22"/>
        </w:rPr>
        <w:t>testing</w:t>
      </w:r>
      <w:proofErr w:type="gramEnd"/>
    </w:p>
    <w:p w14:paraId="48E89A96" w14:textId="57A5A7F6" w:rsidR="00493667" w:rsidRPr="0079308B" w:rsidRDefault="00877A52" w:rsidP="00F025AA">
      <w:pPr>
        <w:spacing w:line="360" w:lineRule="auto"/>
        <w:rPr>
          <w:rFonts w:cstheme="minorHAnsi"/>
          <w:sz w:val="22"/>
          <w:szCs w:val="22"/>
        </w:rPr>
      </w:pPr>
      <w:r w:rsidRPr="0079308B">
        <w:rPr>
          <w:rFonts w:cstheme="minorHAnsi"/>
          <w:sz w:val="22"/>
          <w:szCs w:val="22"/>
        </w:rPr>
        <w:t>Participants in the standard care arm will not be contacted for VCTE</w:t>
      </w:r>
      <w:r w:rsidR="00493667" w:rsidRPr="0079308B">
        <w:rPr>
          <w:rFonts w:cstheme="minorHAnsi"/>
          <w:sz w:val="22"/>
          <w:szCs w:val="22"/>
        </w:rPr>
        <w:t xml:space="preserve"> and following baseline data collection will have no further contact from the research team during the follow up period – outcomes will be collected remotely f</w:t>
      </w:r>
      <w:r w:rsidR="0022002E" w:rsidRPr="0079308B">
        <w:rPr>
          <w:rFonts w:cstheme="minorHAnsi"/>
          <w:sz w:val="22"/>
          <w:szCs w:val="22"/>
        </w:rPr>
        <w:t>ro</w:t>
      </w:r>
      <w:r w:rsidR="00493667" w:rsidRPr="0079308B">
        <w:rPr>
          <w:rFonts w:cstheme="minorHAnsi"/>
          <w:sz w:val="22"/>
          <w:szCs w:val="22"/>
        </w:rPr>
        <w:t xml:space="preserve">m the medical record </w:t>
      </w:r>
      <w:r w:rsidR="0022002E" w:rsidRPr="0079308B">
        <w:rPr>
          <w:rFonts w:cstheme="minorHAnsi"/>
          <w:sz w:val="22"/>
          <w:szCs w:val="22"/>
        </w:rPr>
        <w:t>[</w:t>
      </w:r>
      <w:r w:rsidR="00493667" w:rsidRPr="0079308B">
        <w:rPr>
          <w:rFonts w:cstheme="minorHAnsi"/>
          <w:sz w:val="22"/>
          <w:szCs w:val="22"/>
        </w:rPr>
        <w:t xml:space="preserve">see below]. </w:t>
      </w:r>
    </w:p>
    <w:p w14:paraId="12CE4729" w14:textId="77777777" w:rsidR="00493667" w:rsidRPr="0079308B" w:rsidRDefault="00493667" w:rsidP="00F025AA">
      <w:pPr>
        <w:spacing w:line="360" w:lineRule="auto"/>
        <w:rPr>
          <w:rFonts w:cstheme="minorHAnsi"/>
          <w:sz w:val="22"/>
          <w:szCs w:val="22"/>
        </w:rPr>
      </w:pPr>
    </w:p>
    <w:p w14:paraId="2804C868" w14:textId="02E0BE9E" w:rsidR="00A05184" w:rsidRPr="0079308B" w:rsidRDefault="00493667" w:rsidP="00F025AA">
      <w:pPr>
        <w:spacing w:line="360" w:lineRule="auto"/>
        <w:rPr>
          <w:rFonts w:cstheme="minorHAnsi"/>
          <w:sz w:val="22"/>
          <w:szCs w:val="22"/>
        </w:rPr>
      </w:pPr>
      <w:r w:rsidRPr="0079308B">
        <w:rPr>
          <w:rFonts w:cstheme="minorHAnsi"/>
          <w:sz w:val="22"/>
          <w:szCs w:val="22"/>
        </w:rPr>
        <w:t xml:space="preserve">Standard </w:t>
      </w:r>
      <w:r w:rsidR="00877A52" w:rsidRPr="0079308B">
        <w:rPr>
          <w:rFonts w:cstheme="minorHAnsi"/>
          <w:sz w:val="22"/>
          <w:szCs w:val="22"/>
        </w:rPr>
        <w:t>care varies across the study area but is based on 2016 NICE guidance</w:t>
      </w:r>
      <w:r w:rsidR="0022002E" w:rsidRPr="0079308B">
        <w:rPr>
          <w:rFonts w:cstheme="minorHAnsi"/>
          <w:sz w:val="22"/>
          <w:szCs w:val="22"/>
        </w:rPr>
        <w:t xml:space="preserve"> (NG49) </w:t>
      </w:r>
      <w:r w:rsidR="00A25862" w:rsidRPr="0079308B">
        <w:rPr>
          <w:rFonts w:cstheme="minorHAnsi"/>
          <w:sz w:val="22"/>
          <w:szCs w:val="22"/>
        </w:rPr>
        <w:t>[</w:t>
      </w:r>
      <w:r w:rsidR="00626AF4" w:rsidRPr="0079308B">
        <w:rPr>
          <w:rFonts w:cstheme="minorHAnsi"/>
          <w:b/>
          <w:sz w:val="22"/>
          <w:szCs w:val="22"/>
        </w:rPr>
        <w:t>Figure 1</w:t>
      </w:r>
      <w:r w:rsidR="00A25862" w:rsidRPr="0079308B">
        <w:rPr>
          <w:rFonts w:cstheme="minorHAnsi"/>
          <w:sz w:val="22"/>
          <w:szCs w:val="22"/>
        </w:rPr>
        <w:t>]</w:t>
      </w:r>
      <w:r w:rsidR="00626AF4" w:rsidRPr="0079308B">
        <w:rPr>
          <w:rFonts w:cstheme="minorHAnsi"/>
          <w:sz w:val="22"/>
          <w:szCs w:val="22"/>
        </w:rPr>
        <w:t>.</w:t>
      </w:r>
      <w:r w:rsidR="0022002E" w:rsidRPr="0079308B">
        <w:rPr>
          <w:rFonts w:cstheme="minorHAnsi"/>
          <w:sz w:val="22"/>
          <w:szCs w:val="22"/>
        </w:rPr>
        <w:t>[32]</w:t>
      </w:r>
      <w:r w:rsidR="00877A52" w:rsidRPr="0079308B">
        <w:rPr>
          <w:rFonts w:cstheme="minorHAnsi"/>
          <w:sz w:val="22"/>
          <w:szCs w:val="22"/>
        </w:rPr>
        <w:t xml:space="preserve"> In the 2016 NICE </w:t>
      </w:r>
      <w:r w:rsidR="0075062F" w:rsidRPr="0079308B">
        <w:rPr>
          <w:rFonts w:cstheme="minorHAnsi"/>
          <w:sz w:val="22"/>
          <w:szCs w:val="22"/>
        </w:rPr>
        <w:t xml:space="preserve">NAFLD </w:t>
      </w:r>
      <w:r w:rsidR="00877A52" w:rsidRPr="0079308B">
        <w:rPr>
          <w:rFonts w:cstheme="minorHAnsi"/>
          <w:sz w:val="22"/>
          <w:szCs w:val="22"/>
        </w:rPr>
        <w:t>guid</w:t>
      </w:r>
      <w:r w:rsidR="0075062F" w:rsidRPr="0079308B">
        <w:rPr>
          <w:rFonts w:cstheme="minorHAnsi"/>
          <w:sz w:val="22"/>
          <w:szCs w:val="22"/>
        </w:rPr>
        <w:t>eline,</w:t>
      </w:r>
      <w:r w:rsidR="00877A52" w:rsidRPr="0079308B">
        <w:rPr>
          <w:rFonts w:cstheme="minorHAnsi"/>
          <w:sz w:val="22"/>
          <w:szCs w:val="22"/>
        </w:rPr>
        <w:t xml:space="preserve"> </w:t>
      </w:r>
      <w:r w:rsidR="0075062F" w:rsidRPr="0079308B">
        <w:rPr>
          <w:rFonts w:cstheme="minorHAnsi"/>
          <w:sz w:val="22"/>
          <w:szCs w:val="22"/>
        </w:rPr>
        <w:t xml:space="preserve">the presence of </w:t>
      </w:r>
      <w:r w:rsidR="00A05184" w:rsidRPr="0079308B">
        <w:rPr>
          <w:rFonts w:cstheme="minorHAnsi"/>
          <w:sz w:val="22"/>
          <w:szCs w:val="22"/>
        </w:rPr>
        <w:t>T2DM does not trigger an assessment for liver disease in the absence of other specific risk factors.</w:t>
      </w:r>
      <w:r w:rsidR="00A25862" w:rsidRPr="0079308B">
        <w:rPr>
          <w:rFonts w:cstheme="minorHAnsi"/>
          <w:noProof/>
          <w:sz w:val="22"/>
          <w:szCs w:val="22"/>
        </w:rPr>
        <w:t>[</w:t>
      </w:r>
      <w:r w:rsidR="00E52115" w:rsidRPr="0079308B">
        <w:rPr>
          <w:rFonts w:cstheme="minorHAnsi"/>
          <w:noProof/>
          <w:sz w:val="22"/>
          <w:szCs w:val="22"/>
        </w:rPr>
        <w:t>32</w:t>
      </w:r>
      <w:r w:rsidR="00A25862" w:rsidRPr="0079308B">
        <w:rPr>
          <w:rFonts w:cstheme="minorHAnsi"/>
          <w:noProof/>
          <w:sz w:val="22"/>
          <w:szCs w:val="22"/>
        </w:rPr>
        <w:t>]</w:t>
      </w:r>
      <w:r w:rsidR="00BF641D" w:rsidRPr="0079308B">
        <w:rPr>
          <w:rFonts w:cstheme="minorHAnsi"/>
          <w:sz w:val="22"/>
          <w:szCs w:val="22"/>
        </w:rPr>
        <w:t xml:space="preserve"> </w:t>
      </w:r>
      <w:r w:rsidR="00A05184" w:rsidRPr="0079308B">
        <w:rPr>
          <w:rFonts w:cstheme="minorHAnsi"/>
          <w:sz w:val="22"/>
          <w:szCs w:val="22"/>
        </w:rPr>
        <w:t xml:space="preserve">‘Risk factors’ to enter standard care vary in the study areas but broadly include: harmful alcohol consumption, an elevated ALT and a fatty liver on ultrasound examination. </w:t>
      </w:r>
      <w:r w:rsidR="00626AF4" w:rsidRPr="0079308B">
        <w:rPr>
          <w:rFonts w:cstheme="minorHAnsi"/>
          <w:sz w:val="22"/>
          <w:szCs w:val="22"/>
        </w:rPr>
        <w:t xml:space="preserve">If risk factor thresholds are </w:t>
      </w:r>
      <w:proofErr w:type="gramStart"/>
      <w:r w:rsidR="00626AF4" w:rsidRPr="0079308B">
        <w:rPr>
          <w:rFonts w:cstheme="minorHAnsi"/>
          <w:sz w:val="22"/>
          <w:szCs w:val="22"/>
        </w:rPr>
        <w:t>met</w:t>
      </w:r>
      <w:proofErr w:type="gramEnd"/>
      <w:r w:rsidR="00626AF4" w:rsidRPr="0079308B">
        <w:rPr>
          <w:rFonts w:cstheme="minorHAnsi"/>
          <w:sz w:val="22"/>
          <w:szCs w:val="22"/>
        </w:rPr>
        <w:t xml:space="preserve"> then t</w:t>
      </w:r>
      <w:r w:rsidR="00A05184" w:rsidRPr="0079308B">
        <w:rPr>
          <w:rFonts w:cstheme="minorHAnsi"/>
          <w:sz w:val="22"/>
          <w:szCs w:val="22"/>
        </w:rPr>
        <w:t xml:space="preserve">he usual care pathway varies </w:t>
      </w:r>
      <w:r w:rsidR="00626AF4" w:rsidRPr="0079308B">
        <w:rPr>
          <w:rFonts w:cstheme="minorHAnsi"/>
          <w:sz w:val="22"/>
          <w:szCs w:val="22"/>
        </w:rPr>
        <w:t xml:space="preserve">further </w:t>
      </w:r>
      <w:r w:rsidR="00A05184" w:rsidRPr="0079308B">
        <w:rPr>
          <w:rFonts w:cstheme="minorHAnsi"/>
          <w:sz w:val="22"/>
          <w:szCs w:val="22"/>
        </w:rPr>
        <w:t xml:space="preserve">but in all areas involves VCTE with or without a biomarker for liver fibrosis </w:t>
      </w:r>
      <w:r w:rsidR="00A25862" w:rsidRPr="0079308B">
        <w:rPr>
          <w:rFonts w:cstheme="minorHAnsi"/>
          <w:sz w:val="22"/>
          <w:szCs w:val="22"/>
        </w:rPr>
        <w:t>[</w:t>
      </w:r>
      <w:r w:rsidR="00A05184" w:rsidRPr="0079308B">
        <w:rPr>
          <w:rFonts w:cstheme="minorHAnsi"/>
          <w:sz w:val="22"/>
          <w:szCs w:val="22"/>
        </w:rPr>
        <w:t xml:space="preserve">e.g. </w:t>
      </w:r>
      <w:r w:rsidR="00BF3FA8" w:rsidRPr="0079308B">
        <w:rPr>
          <w:rFonts w:cstheme="minorHAnsi"/>
          <w:sz w:val="22"/>
          <w:szCs w:val="22"/>
        </w:rPr>
        <w:t>FIB-4</w:t>
      </w:r>
      <w:r w:rsidR="00A05184" w:rsidRPr="0079308B">
        <w:rPr>
          <w:rFonts w:cstheme="minorHAnsi"/>
          <w:sz w:val="22"/>
          <w:szCs w:val="22"/>
        </w:rPr>
        <w:t xml:space="preserve"> or </w:t>
      </w:r>
      <w:r w:rsidR="003E7E56" w:rsidRPr="0079308B">
        <w:rPr>
          <w:sz w:val="22"/>
          <w:szCs w:val="22"/>
        </w:rPr>
        <w:t>ELF</w:t>
      </w:r>
      <w:r w:rsidR="003E7E56" w:rsidRPr="0079308B">
        <w:rPr>
          <w:rFonts w:ascii="Calibri" w:hAnsi="Calibri" w:cs="Calibri"/>
          <w:sz w:val="22"/>
          <w:szCs w:val="22"/>
        </w:rPr>
        <w:t>™</w:t>
      </w:r>
      <w:r w:rsidR="00A25862" w:rsidRPr="0079308B">
        <w:rPr>
          <w:rFonts w:cstheme="minorHAnsi"/>
          <w:sz w:val="22"/>
          <w:szCs w:val="22"/>
        </w:rPr>
        <w:t>]</w:t>
      </w:r>
      <w:r w:rsidR="00626AF4" w:rsidRPr="0079308B">
        <w:rPr>
          <w:rFonts w:cstheme="minorHAnsi"/>
          <w:sz w:val="22"/>
          <w:szCs w:val="22"/>
        </w:rPr>
        <w:t xml:space="preserve"> </w:t>
      </w:r>
      <w:r w:rsidR="00A25862" w:rsidRPr="0079308B">
        <w:rPr>
          <w:rFonts w:cstheme="minorHAnsi"/>
          <w:b/>
          <w:bCs/>
          <w:sz w:val="22"/>
          <w:szCs w:val="22"/>
        </w:rPr>
        <w:t>[</w:t>
      </w:r>
      <w:r w:rsidR="00626AF4" w:rsidRPr="0079308B">
        <w:rPr>
          <w:rFonts w:cstheme="minorHAnsi"/>
          <w:b/>
          <w:bCs/>
          <w:sz w:val="22"/>
          <w:szCs w:val="22"/>
        </w:rPr>
        <w:t>Figure 1</w:t>
      </w:r>
      <w:r w:rsidR="00A25862" w:rsidRPr="0079308B">
        <w:rPr>
          <w:rFonts w:cstheme="minorHAnsi"/>
          <w:b/>
          <w:bCs/>
          <w:sz w:val="22"/>
          <w:szCs w:val="22"/>
        </w:rPr>
        <w:t>]</w:t>
      </w:r>
      <w:r w:rsidR="00A05184" w:rsidRPr="0079308B">
        <w:rPr>
          <w:rFonts w:cstheme="minorHAnsi"/>
          <w:bCs/>
          <w:sz w:val="22"/>
          <w:szCs w:val="22"/>
        </w:rPr>
        <w:t>.</w:t>
      </w:r>
      <w:r w:rsidR="00A05184" w:rsidRPr="0079308B">
        <w:rPr>
          <w:rFonts w:cstheme="minorHAnsi"/>
          <w:sz w:val="22"/>
          <w:szCs w:val="22"/>
        </w:rPr>
        <w:t xml:space="preserve"> The variation in standard care is very important as it increases the external validity of our study by being representative of the heterogeneity across the UK. </w:t>
      </w:r>
    </w:p>
    <w:p w14:paraId="5A8905C9" w14:textId="77777777" w:rsidR="00A05184" w:rsidRPr="0079308B" w:rsidRDefault="00A05184" w:rsidP="00F025AA">
      <w:pPr>
        <w:spacing w:line="360" w:lineRule="auto"/>
        <w:rPr>
          <w:rFonts w:cstheme="minorHAnsi"/>
          <w:sz w:val="22"/>
          <w:szCs w:val="22"/>
        </w:rPr>
      </w:pPr>
    </w:p>
    <w:p w14:paraId="55AFDF36" w14:textId="5F70A374" w:rsidR="00A05184" w:rsidRPr="0079308B" w:rsidRDefault="00A05184" w:rsidP="00F025AA">
      <w:pPr>
        <w:spacing w:line="360" w:lineRule="auto"/>
        <w:rPr>
          <w:rFonts w:cstheme="minorHAnsi"/>
          <w:sz w:val="22"/>
          <w:szCs w:val="22"/>
        </w:rPr>
      </w:pPr>
      <w:r w:rsidRPr="0079308B">
        <w:rPr>
          <w:rFonts w:cstheme="minorHAnsi"/>
          <w:sz w:val="22"/>
          <w:szCs w:val="22"/>
        </w:rPr>
        <w:t xml:space="preserve">After discussion with our PPI groups, participants included in the standard care arm will be given the opportunity to undergo VCTE and a biomarker test to assess them for liver </w:t>
      </w:r>
      <w:r w:rsidR="00D7137A" w:rsidRPr="0079308B">
        <w:rPr>
          <w:rFonts w:cstheme="minorHAnsi"/>
          <w:sz w:val="22"/>
          <w:szCs w:val="22"/>
        </w:rPr>
        <w:t>fibrosis</w:t>
      </w:r>
      <w:r w:rsidRPr="0079308B">
        <w:rPr>
          <w:rFonts w:cstheme="minorHAnsi"/>
          <w:sz w:val="22"/>
          <w:szCs w:val="22"/>
        </w:rPr>
        <w:t xml:space="preserve"> </w:t>
      </w:r>
      <w:r w:rsidR="00EA04EF" w:rsidRPr="0079308B">
        <w:rPr>
          <w:rFonts w:cstheme="minorHAnsi"/>
          <w:sz w:val="22"/>
          <w:szCs w:val="22"/>
        </w:rPr>
        <w:t>&gt;</w:t>
      </w:r>
      <w:r w:rsidRPr="0079308B">
        <w:rPr>
          <w:rFonts w:cstheme="minorHAnsi"/>
          <w:sz w:val="22"/>
          <w:szCs w:val="22"/>
        </w:rPr>
        <w:t>12 months following randomisation</w:t>
      </w:r>
      <w:r w:rsidR="00EA04EF" w:rsidRPr="0079308B">
        <w:rPr>
          <w:rFonts w:cstheme="minorHAnsi"/>
          <w:sz w:val="22"/>
          <w:szCs w:val="22"/>
        </w:rPr>
        <w:t xml:space="preserve"> </w:t>
      </w:r>
      <w:r w:rsidR="00A25862" w:rsidRPr="0079308B">
        <w:rPr>
          <w:rFonts w:cstheme="minorHAnsi"/>
          <w:sz w:val="22"/>
          <w:szCs w:val="22"/>
        </w:rPr>
        <w:t>[</w:t>
      </w:r>
      <w:r w:rsidR="00EA04EF" w:rsidRPr="0079308B">
        <w:rPr>
          <w:rFonts w:cstheme="minorHAnsi"/>
          <w:sz w:val="22"/>
          <w:szCs w:val="22"/>
        </w:rPr>
        <w:t>arranged at mutual convenience with the research team</w:t>
      </w:r>
      <w:r w:rsidR="00A25862" w:rsidRPr="0079308B">
        <w:rPr>
          <w:rFonts w:cstheme="minorHAnsi"/>
          <w:sz w:val="22"/>
          <w:szCs w:val="22"/>
        </w:rPr>
        <w:t>]</w:t>
      </w:r>
      <w:r w:rsidRPr="0079308B">
        <w:rPr>
          <w:rFonts w:cstheme="minorHAnsi"/>
          <w:sz w:val="22"/>
          <w:szCs w:val="22"/>
        </w:rPr>
        <w:t xml:space="preserve">. </w:t>
      </w:r>
    </w:p>
    <w:p w14:paraId="2B36A5F3" w14:textId="77777777" w:rsidR="00A05184" w:rsidRPr="0079308B" w:rsidRDefault="00A05184" w:rsidP="00F025AA">
      <w:pPr>
        <w:spacing w:line="360" w:lineRule="auto"/>
        <w:rPr>
          <w:rFonts w:cstheme="minorHAnsi"/>
          <w:sz w:val="22"/>
          <w:szCs w:val="22"/>
        </w:rPr>
      </w:pPr>
    </w:p>
    <w:p w14:paraId="44B33BF6" w14:textId="77777777" w:rsidR="003D4428" w:rsidRPr="0079308B" w:rsidRDefault="003D4428" w:rsidP="00F025AA">
      <w:pPr>
        <w:spacing w:line="360" w:lineRule="auto"/>
        <w:rPr>
          <w:rFonts w:cstheme="minorHAnsi"/>
          <w:b/>
          <w:bCs/>
          <w:sz w:val="22"/>
          <w:szCs w:val="22"/>
        </w:rPr>
      </w:pPr>
      <w:r w:rsidRPr="0079308B">
        <w:rPr>
          <w:rFonts w:cstheme="minorHAnsi"/>
          <w:b/>
          <w:bCs/>
          <w:sz w:val="22"/>
          <w:szCs w:val="22"/>
        </w:rPr>
        <w:t>Data collection</w:t>
      </w:r>
    </w:p>
    <w:p w14:paraId="2B102BE7" w14:textId="77777777" w:rsidR="003D4428" w:rsidRPr="0079308B" w:rsidRDefault="003D4428" w:rsidP="00F025AA">
      <w:pPr>
        <w:spacing w:line="360" w:lineRule="auto"/>
        <w:rPr>
          <w:rFonts w:cstheme="minorHAnsi"/>
          <w:sz w:val="22"/>
          <w:szCs w:val="22"/>
        </w:rPr>
      </w:pPr>
    </w:p>
    <w:p w14:paraId="26710719" w14:textId="76E31721" w:rsidR="003D4428" w:rsidRPr="0079308B" w:rsidRDefault="0039540F" w:rsidP="00F025AA">
      <w:pPr>
        <w:spacing w:line="360" w:lineRule="auto"/>
        <w:rPr>
          <w:rFonts w:cstheme="minorHAnsi"/>
          <w:i/>
          <w:iCs/>
          <w:sz w:val="22"/>
          <w:szCs w:val="22"/>
        </w:rPr>
      </w:pPr>
      <w:r w:rsidRPr="0079308B">
        <w:rPr>
          <w:rFonts w:cstheme="minorHAnsi"/>
          <w:i/>
          <w:iCs/>
          <w:sz w:val="22"/>
          <w:szCs w:val="22"/>
        </w:rPr>
        <w:t>Baseline data</w:t>
      </w:r>
      <w:r w:rsidR="00EE1A4D" w:rsidRPr="0079308B">
        <w:rPr>
          <w:rFonts w:cstheme="minorHAnsi"/>
          <w:i/>
          <w:iCs/>
          <w:sz w:val="22"/>
          <w:szCs w:val="22"/>
        </w:rPr>
        <w:t xml:space="preserve"> collection</w:t>
      </w:r>
    </w:p>
    <w:p w14:paraId="6804217F" w14:textId="216CB584" w:rsidR="00BF641D" w:rsidRPr="0079308B" w:rsidRDefault="00BF641D" w:rsidP="00F025AA">
      <w:pPr>
        <w:spacing w:line="360" w:lineRule="auto"/>
        <w:rPr>
          <w:rFonts w:cstheme="minorHAnsi"/>
          <w:sz w:val="22"/>
          <w:szCs w:val="22"/>
        </w:rPr>
      </w:pPr>
      <w:r w:rsidRPr="0079308B">
        <w:rPr>
          <w:rFonts w:cstheme="minorHAnsi"/>
          <w:sz w:val="22"/>
          <w:szCs w:val="22"/>
        </w:rPr>
        <w:t>All p</w:t>
      </w:r>
      <w:r w:rsidR="003D4428" w:rsidRPr="0079308B">
        <w:rPr>
          <w:rFonts w:cstheme="minorHAnsi"/>
          <w:sz w:val="22"/>
          <w:szCs w:val="22"/>
        </w:rPr>
        <w:t xml:space="preserve">articipants will </w:t>
      </w:r>
      <w:r w:rsidR="00877A52" w:rsidRPr="0079308B">
        <w:rPr>
          <w:rFonts w:cstheme="minorHAnsi"/>
          <w:sz w:val="22"/>
          <w:szCs w:val="22"/>
        </w:rPr>
        <w:t xml:space="preserve">give consent for access to </w:t>
      </w:r>
      <w:r w:rsidRPr="0079308B">
        <w:rPr>
          <w:rFonts w:cstheme="minorHAnsi"/>
          <w:sz w:val="22"/>
          <w:szCs w:val="22"/>
        </w:rPr>
        <w:t>their primary care records</w:t>
      </w:r>
      <w:r w:rsidR="0039540F" w:rsidRPr="0079308B">
        <w:rPr>
          <w:rFonts w:cstheme="minorHAnsi"/>
          <w:sz w:val="22"/>
          <w:szCs w:val="22"/>
        </w:rPr>
        <w:t>. These alongside a brief questionnaire will provide participant baseline data</w:t>
      </w:r>
      <w:r w:rsidR="00782741" w:rsidRPr="0079308B">
        <w:rPr>
          <w:rFonts w:cstheme="minorHAnsi"/>
          <w:sz w:val="22"/>
          <w:szCs w:val="22"/>
        </w:rPr>
        <w:t xml:space="preserve"> including demographics, medication and co-morbidities that cover the </w:t>
      </w:r>
      <w:proofErr w:type="spellStart"/>
      <w:r w:rsidR="00782741" w:rsidRPr="0079308B">
        <w:rPr>
          <w:rFonts w:cstheme="minorHAnsi"/>
          <w:sz w:val="22"/>
          <w:szCs w:val="22"/>
        </w:rPr>
        <w:t>Charlson</w:t>
      </w:r>
      <w:proofErr w:type="spellEnd"/>
      <w:r w:rsidR="00782741" w:rsidRPr="0079308B">
        <w:rPr>
          <w:rFonts w:cstheme="minorHAnsi"/>
          <w:sz w:val="22"/>
          <w:szCs w:val="22"/>
        </w:rPr>
        <w:t xml:space="preserve"> index</w:t>
      </w:r>
      <w:r w:rsidR="00A25862" w:rsidRPr="0079308B">
        <w:rPr>
          <w:rFonts w:cstheme="minorHAnsi"/>
          <w:noProof/>
          <w:sz w:val="22"/>
          <w:szCs w:val="22"/>
        </w:rPr>
        <w:t>[</w:t>
      </w:r>
      <w:r w:rsidR="00E52115" w:rsidRPr="0079308B">
        <w:rPr>
          <w:rFonts w:cstheme="minorHAnsi"/>
          <w:noProof/>
          <w:sz w:val="22"/>
          <w:szCs w:val="22"/>
        </w:rPr>
        <w:t>41</w:t>
      </w:r>
      <w:r w:rsidR="00A25862" w:rsidRPr="0079308B">
        <w:rPr>
          <w:rFonts w:cstheme="minorHAnsi"/>
          <w:noProof/>
          <w:sz w:val="22"/>
          <w:szCs w:val="22"/>
        </w:rPr>
        <w:t>]</w:t>
      </w:r>
      <w:r w:rsidR="00782741" w:rsidRPr="0079308B">
        <w:rPr>
          <w:rFonts w:cstheme="minorHAnsi"/>
          <w:sz w:val="22"/>
          <w:szCs w:val="22"/>
        </w:rPr>
        <w:t xml:space="preserve"> </w:t>
      </w:r>
      <w:r w:rsidR="00A25862" w:rsidRPr="0079308B">
        <w:rPr>
          <w:rFonts w:cstheme="minorHAnsi"/>
          <w:sz w:val="22"/>
          <w:szCs w:val="22"/>
        </w:rPr>
        <w:t>[</w:t>
      </w:r>
      <w:r w:rsidR="00782741" w:rsidRPr="0079308B">
        <w:rPr>
          <w:rFonts w:cstheme="minorHAnsi"/>
          <w:sz w:val="22"/>
          <w:szCs w:val="22"/>
        </w:rPr>
        <w:t>giving an overall score for co-morbidity</w:t>
      </w:r>
      <w:r w:rsidR="00A25862" w:rsidRPr="0079308B">
        <w:rPr>
          <w:rFonts w:cstheme="minorHAnsi"/>
          <w:sz w:val="22"/>
          <w:szCs w:val="22"/>
        </w:rPr>
        <w:t>]</w:t>
      </w:r>
      <w:r w:rsidR="00782741" w:rsidRPr="0079308B">
        <w:rPr>
          <w:rFonts w:cstheme="minorHAnsi"/>
          <w:sz w:val="22"/>
          <w:szCs w:val="22"/>
        </w:rPr>
        <w:t xml:space="preserve"> and other prevalent co-morbidities in the study population</w:t>
      </w:r>
      <w:r w:rsidR="00286446" w:rsidRPr="0079308B">
        <w:rPr>
          <w:rFonts w:cstheme="minorHAnsi"/>
          <w:sz w:val="22"/>
          <w:szCs w:val="22"/>
        </w:rPr>
        <w:t xml:space="preserve"> </w:t>
      </w:r>
      <w:r w:rsidR="00A25862" w:rsidRPr="0079308B">
        <w:rPr>
          <w:rFonts w:cstheme="minorHAnsi"/>
          <w:b/>
          <w:bCs/>
          <w:sz w:val="22"/>
          <w:szCs w:val="22"/>
        </w:rPr>
        <w:t>[</w:t>
      </w:r>
      <w:r w:rsidR="003E7E56" w:rsidRPr="0079308B">
        <w:rPr>
          <w:rFonts w:cstheme="minorHAnsi"/>
          <w:b/>
          <w:bCs/>
          <w:sz w:val="22"/>
          <w:szCs w:val="22"/>
        </w:rPr>
        <w:t>Table 1</w:t>
      </w:r>
      <w:r w:rsidR="00A25862" w:rsidRPr="0079308B">
        <w:rPr>
          <w:rFonts w:cstheme="minorHAnsi"/>
          <w:b/>
          <w:bCs/>
          <w:sz w:val="22"/>
          <w:szCs w:val="22"/>
        </w:rPr>
        <w:t>]</w:t>
      </w:r>
      <w:r w:rsidR="00782741" w:rsidRPr="0079308B">
        <w:rPr>
          <w:rFonts w:cstheme="minorHAnsi"/>
          <w:sz w:val="22"/>
          <w:szCs w:val="22"/>
        </w:rPr>
        <w:t>.</w:t>
      </w:r>
      <w:r w:rsidR="00A25862" w:rsidRPr="0079308B">
        <w:rPr>
          <w:rFonts w:cstheme="minorHAnsi"/>
          <w:noProof/>
          <w:sz w:val="22"/>
          <w:szCs w:val="22"/>
        </w:rPr>
        <w:t>[</w:t>
      </w:r>
      <w:r w:rsidR="00E52115" w:rsidRPr="0079308B">
        <w:rPr>
          <w:rFonts w:cstheme="minorHAnsi"/>
          <w:noProof/>
          <w:sz w:val="22"/>
          <w:szCs w:val="22"/>
        </w:rPr>
        <w:t>42</w:t>
      </w:r>
      <w:r w:rsidR="00A25862" w:rsidRPr="0079308B">
        <w:rPr>
          <w:rFonts w:cstheme="minorHAnsi"/>
          <w:noProof/>
          <w:sz w:val="22"/>
          <w:szCs w:val="22"/>
        </w:rPr>
        <w:t>]</w:t>
      </w:r>
      <w:r w:rsidR="00782741" w:rsidRPr="0079308B">
        <w:rPr>
          <w:rFonts w:cstheme="minorHAnsi"/>
          <w:sz w:val="22"/>
          <w:szCs w:val="22"/>
        </w:rPr>
        <w:t xml:space="preserve"> </w:t>
      </w:r>
      <w:r w:rsidR="00877A52" w:rsidRPr="0079308B">
        <w:rPr>
          <w:rFonts w:cstheme="minorHAnsi"/>
          <w:sz w:val="22"/>
          <w:szCs w:val="22"/>
        </w:rPr>
        <w:t xml:space="preserve">Participants are not asked to complete </w:t>
      </w:r>
      <w:r w:rsidR="00790BA4" w:rsidRPr="0079308B">
        <w:rPr>
          <w:rFonts w:cstheme="minorHAnsi"/>
          <w:sz w:val="22"/>
          <w:szCs w:val="22"/>
        </w:rPr>
        <w:t>further</w:t>
      </w:r>
      <w:r w:rsidR="00877A52" w:rsidRPr="0079308B">
        <w:rPr>
          <w:rFonts w:cstheme="minorHAnsi"/>
          <w:sz w:val="22"/>
          <w:szCs w:val="22"/>
        </w:rPr>
        <w:t xml:space="preserve"> </w:t>
      </w:r>
      <w:r w:rsidR="00EA04EF" w:rsidRPr="0079308B">
        <w:rPr>
          <w:rFonts w:cstheme="minorHAnsi"/>
          <w:sz w:val="22"/>
          <w:szCs w:val="22"/>
        </w:rPr>
        <w:t xml:space="preserve">data </w:t>
      </w:r>
      <w:r w:rsidR="00877A52" w:rsidRPr="0079308B">
        <w:rPr>
          <w:rFonts w:cstheme="minorHAnsi"/>
          <w:sz w:val="22"/>
          <w:szCs w:val="22"/>
        </w:rPr>
        <w:t>collection activit</w:t>
      </w:r>
      <w:r w:rsidR="009F5225" w:rsidRPr="0079308B">
        <w:rPr>
          <w:rFonts w:cstheme="minorHAnsi"/>
          <w:sz w:val="22"/>
          <w:szCs w:val="22"/>
        </w:rPr>
        <w:t>ies</w:t>
      </w:r>
      <w:r w:rsidR="00877A52" w:rsidRPr="0079308B">
        <w:rPr>
          <w:rFonts w:cstheme="minorHAnsi"/>
          <w:sz w:val="22"/>
          <w:szCs w:val="22"/>
        </w:rPr>
        <w:t xml:space="preserve"> </w:t>
      </w:r>
      <w:r w:rsidR="0022002E" w:rsidRPr="0079308B">
        <w:rPr>
          <w:rFonts w:cstheme="minorHAnsi"/>
          <w:sz w:val="22"/>
          <w:szCs w:val="22"/>
        </w:rPr>
        <w:t xml:space="preserve">during the 12 month follow up period </w:t>
      </w:r>
      <w:r w:rsidR="00877A52" w:rsidRPr="0079308B">
        <w:rPr>
          <w:rFonts w:cstheme="minorHAnsi"/>
          <w:sz w:val="22"/>
          <w:szCs w:val="22"/>
        </w:rPr>
        <w:t>as we want to minimise potential Hawthorne effect in our control group</w:t>
      </w:r>
      <w:r w:rsidR="0022002E" w:rsidRPr="0079308B">
        <w:rPr>
          <w:rFonts w:cstheme="minorHAnsi"/>
          <w:sz w:val="22"/>
          <w:szCs w:val="22"/>
        </w:rPr>
        <w:t>.</w:t>
      </w:r>
      <w:r w:rsidR="00877A52" w:rsidRPr="0079308B">
        <w:rPr>
          <w:rFonts w:cstheme="minorHAnsi"/>
          <w:sz w:val="22"/>
          <w:szCs w:val="22"/>
        </w:rPr>
        <w:t xml:space="preserve"> </w:t>
      </w:r>
      <w:r w:rsidR="0022002E" w:rsidRPr="0079308B">
        <w:rPr>
          <w:rFonts w:cstheme="minorHAnsi"/>
          <w:sz w:val="22"/>
          <w:szCs w:val="22"/>
        </w:rPr>
        <w:t>W</w:t>
      </w:r>
      <w:r w:rsidR="00877A52" w:rsidRPr="0079308B">
        <w:rPr>
          <w:rFonts w:cstheme="minorHAnsi"/>
          <w:sz w:val="22"/>
          <w:szCs w:val="22"/>
        </w:rPr>
        <w:t xml:space="preserve">e </w:t>
      </w:r>
      <w:r w:rsidR="009F5225" w:rsidRPr="0079308B">
        <w:rPr>
          <w:rFonts w:cstheme="minorHAnsi"/>
          <w:sz w:val="22"/>
          <w:szCs w:val="22"/>
        </w:rPr>
        <w:t>are</w:t>
      </w:r>
      <w:r w:rsidR="00877A52" w:rsidRPr="0079308B">
        <w:rPr>
          <w:rFonts w:cstheme="minorHAnsi"/>
          <w:sz w:val="22"/>
          <w:szCs w:val="22"/>
        </w:rPr>
        <w:t xml:space="preserve"> concerned prolonged exposure to the research team </w:t>
      </w:r>
      <w:r w:rsidR="0022002E" w:rsidRPr="0079308B">
        <w:rPr>
          <w:rFonts w:cstheme="minorHAnsi"/>
          <w:sz w:val="22"/>
          <w:szCs w:val="22"/>
        </w:rPr>
        <w:t>could</w:t>
      </w:r>
      <w:r w:rsidR="00877A52" w:rsidRPr="0079308B">
        <w:rPr>
          <w:rFonts w:cstheme="minorHAnsi"/>
          <w:sz w:val="22"/>
          <w:szCs w:val="22"/>
        </w:rPr>
        <w:t xml:space="preserve"> lead </w:t>
      </w:r>
      <w:r w:rsidR="00E312B1" w:rsidRPr="0079308B">
        <w:rPr>
          <w:rFonts w:cstheme="minorHAnsi"/>
          <w:sz w:val="22"/>
          <w:szCs w:val="22"/>
        </w:rPr>
        <w:t>usual care</w:t>
      </w:r>
      <w:r w:rsidR="00002B2B" w:rsidRPr="0079308B">
        <w:rPr>
          <w:rFonts w:cstheme="minorHAnsi"/>
          <w:sz w:val="22"/>
          <w:szCs w:val="22"/>
        </w:rPr>
        <w:t xml:space="preserve"> </w:t>
      </w:r>
      <w:r w:rsidR="00877A52" w:rsidRPr="0079308B">
        <w:rPr>
          <w:rFonts w:cstheme="minorHAnsi"/>
          <w:sz w:val="22"/>
          <w:szCs w:val="22"/>
        </w:rPr>
        <w:t xml:space="preserve">participants to change behaviour and </w:t>
      </w:r>
      <w:r w:rsidR="00790BA4" w:rsidRPr="0079308B">
        <w:rPr>
          <w:rFonts w:cstheme="minorHAnsi"/>
          <w:sz w:val="22"/>
          <w:szCs w:val="22"/>
        </w:rPr>
        <w:t xml:space="preserve">either </w:t>
      </w:r>
      <w:r w:rsidR="00877A52" w:rsidRPr="0079308B">
        <w:rPr>
          <w:rFonts w:cstheme="minorHAnsi"/>
          <w:sz w:val="22"/>
          <w:szCs w:val="22"/>
        </w:rPr>
        <w:t>seek</w:t>
      </w:r>
      <w:r w:rsidR="00790BA4" w:rsidRPr="0079308B">
        <w:rPr>
          <w:rFonts w:cstheme="minorHAnsi"/>
          <w:sz w:val="22"/>
          <w:szCs w:val="22"/>
        </w:rPr>
        <w:t xml:space="preserve"> or perhaps decline</w:t>
      </w:r>
      <w:r w:rsidR="00877A52" w:rsidRPr="0079308B">
        <w:rPr>
          <w:rFonts w:cstheme="minorHAnsi"/>
          <w:sz w:val="22"/>
          <w:szCs w:val="22"/>
        </w:rPr>
        <w:t xml:space="preserve"> liver assessment</w:t>
      </w:r>
      <w:r w:rsidR="00790BA4" w:rsidRPr="0079308B">
        <w:rPr>
          <w:rFonts w:cstheme="minorHAnsi"/>
          <w:sz w:val="22"/>
          <w:szCs w:val="22"/>
        </w:rPr>
        <w:t>.</w:t>
      </w:r>
      <w:r w:rsidR="00A25862" w:rsidRPr="0079308B">
        <w:rPr>
          <w:rFonts w:cstheme="minorHAnsi"/>
          <w:noProof/>
          <w:sz w:val="22"/>
          <w:szCs w:val="22"/>
        </w:rPr>
        <w:t>[</w:t>
      </w:r>
      <w:r w:rsidR="00EC338D" w:rsidRPr="0079308B">
        <w:rPr>
          <w:rFonts w:cstheme="minorHAnsi"/>
          <w:noProof/>
          <w:sz w:val="22"/>
          <w:szCs w:val="22"/>
        </w:rPr>
        <w:t>43</w:t>
      </w:r>
      <w:r w:rsidR="00A25862" w:rsidRPr="0079308B">
        <w:rPr>
          <w:rFonts w:cstheme="minorHAnsi"/>
          <w:noProof/>
          <w:sz w:val="22"/>
          <w:szCs w:val="22"/>
        </w:rPr>
        <w:t>]</w:t>
      </w:r>
    </w:p>
    <w:p w14:paraId="31CFC7C9" w14:textId="77777777" w:rsidR="00BF641D" w:rsidRPr="0079308B" w:rsidRDefault="00BF641D" w:rsidP="00F025AA">
      <w:pPr>
        <w:spacing w:line="360" w:lineRule="auto"/>
        <w:rPr>
          <w:rFonts w:cstheme="minorHAnsi"/>
          <w:sz w:val="22"/>
          <w:szCs w:val="22"/>
        </w:rPr>
      </w:pPr>
    </w:p>
    <w:p w14:paraId="2F0FAC25" w14:textId="724F801A" w:rsidR="009F5225" w:rsidRPr="0079308B" w:rsidRDefault="00D714E3" w:rsidP="00F025AA">
      <w:pPr>
        <w:spacing w:line="360" w:lineRule="auto"/>
        <w:rPr>
          <w:rFonts w:cstheme="minorHAnsi"/>
          <w:i/>
          <w:iCs/>
          <w:color w:val="000000" w:themeColor="text1"/>
          <w:sz w:val="22"/>
          <w:szCs w:val="22"/>
        </w:rPr>
      </w:pPr>
      <w:r w:rsidRPr="0079308B">
        <w:rPr>
          <w:rFonts w:cstheme="minorHAnsi"/>
          <w:i/>
          <w:iCs/>
          <w:color w:val="000000" w:themeColor="text1"/>
          <w:sz w:val="22"/>
          <w:szCs w:val="22"/>
        </w:rPr>
        <w:t xml:space="preserve">Primary </w:t>
      </w:r>
      <w:r w:rsidR="009F5225" w:rsidRPr="0079308B">
        <w:rPr>
          <w:rFonts w:cstheme="minorHAnsi"/>
          <w:i/>
          <w:iCs/>
          <w:color w:val="000000" w:themeColor="text1"/>
          <w:sz w:val="22"/>
          <w:szCs w:val="22"/>
        </w:rPr>
        <w:t>Outcome data</w:t>
      </w:r>
      <w:r w:rsidR="00EE1A4D" w:rsidRPr="0079308B">
        <w:rPr>
          <w:rFonts w:cstheme="minorHAnsi"/>
          <w:i/>
          <w:iCs/>
          <w:color w:val="000000" w:themeColor="text1"/>
          <w:sz w:val="22"/>
          <w:szCs w:val="22"/>
        </w:rPr>
        <w:t xml:space="preserve"> collection</w:t>
      </w:r>
    </w:p>
    <w:p w14:paraId="16954D6E" w14:textId="2A48A12A" w:rsidR="00EE1A4D" w:rsidRPr="0079308B" w:rsidRDefault="00EE1A4D" w:rsidP="00F025AA">
      <w:pPr>
        <w:spacing w:line="360" w:lineRule="auto"/>
        <w:rPr>
          <w:rFonts w:cstheme="minorHAnsi"/>
          <w:color w:val="000000" w:themeColor="text1"/>
          <w:sz w:val="22"/>
          <w:szCs w:val="22"/>
        </w:rPr>
      </w:pPr>
      <w:r w:rsidRPr="0079308B">
        <w:rPr>
          <w:rFonts w:cstheme="minorHAnsi"/>
          <w:color w:val="000000" w:themeColor="text1"/>
          <w:sz w:val="22"/>
          <w:szCs w:val="22"/>
        </w:rPr>
        <w:lastRenderedPageBreak/>
        <w:t>The primary outcome - referral to HCC surveillance following a referral with suspected liver disease from primary care will be assessed by the research team from each participant</w:t>
      </w:r>
      <w:r w:rsidR="00D714E3" w:rsidRPr="0079308B">
        <w:rPr>
          <w:rFonts w:cstheme="minorHAnsi"/>
          <w:color w:val="000000" w:themeColor="text1"/>
          <w:sz w:val="22"/>
          <w:szCs w:val="22"/>
        </w:rPr>
        <w:t>’</w:t>
      </w:r>
      <w:r w:rsidRPr="0079308B">
        <w:rPr>
          <w:rFonts w:cstheme="minorHAnsi"/>
          <w:color w:val="000000" w:themeColor="text1"/>
          <w:sz w:val="22"/>
          <w:szCs w:val="22"/>
        </w:rPr>
        <w:t>s health care records.</w:t>
      </w:r>
      <w:r w:rsidR="00E83F15" w:rsidRPr="0079308B">
        <w:rPr>
          <w:rFonts w:cstheme="minorHAnsi"/>
          <w:color w:val="000000" w:themeColor="text1"/>
          <w:sz w:val="22"/>
          <w:szCs w:val="22"/>
        </w:rPr>
        <w:t xml:space="preserve"> Participants will not need to be recontacted for outcome data.</w:t>
      </w:r>
      <w:r w:rsidRPr="0079308B">
        <w:rPr>
          <w:rFonts w:cstheme="minorHAnsi"/>
          <w:color w:val="000000" w:themeColor="text1"/>
          <w:sz w:val="22"/>
          <w:szCs w:val="22"/>
        </w:rPr>
        <w:t xml:space="preserve"> </w:t>
      </w:r>
      <w:r w:rsidR="00D714E3" w:rsidRPr="0079308B">
        <w:rPr>
          <w:rFonts w:cstheme="minorHAnsi"/>
          <w:color w:val="000000" w:themeColor="text1"/>
          <w:sz w:val="22"/>
          <w:szCs w:val="22"/>
        </w:rPr>
        <w:t xml:space="preserve">For </w:t>
      </w:r>
      <w:r w:rsidR="00BC775C" w:rsidRPr="0079308B">
        <w:rPr>
          <w:rFonts w:cstheme="minorHAnsi"/>
          <w:color w:val="000000" w:themeColor="text1"/>
          <w:sz w:val="22"/>
          <w:szCs w:val="22"/>
        </w:rPr>
        <w:t>standard</w:t>
      </w:r>
      <w:r w:rsidR="00D714E3" w:rsidRPr="0079308B">
        <w:rPr>
          <w:rFonts w:cstheme="minorHAnsi"/>
          <w:color w:val="000000" w:themeColor="text1"/>
          <w:sz w:val="22"/>
          <w:szCs w:val="22"/>
        </w:rPr>
        <w:t xml:space="preserve"> care participants the </w:t>
      </w:r>
      <w:r w:rsidR="00BC775C" w:rsidRPr="0079308B">
        <w:rPr>
          <w:rFonts w:cstheme="minorHAnsi"/>
          <w:color w:val="000000" w:themeColor="text1"/>
          <w:sz w:val="22"/>
          <w:szCs w:val="22"/>
        </w:rPr>
        <w:t>primary</w:t>
      </w:r>
      <w:r w:rsidR="00D714E3" w:rsidRPr="0079308B">
        <w:rPr>
          <w:rFonts w:cstheme="minorHAnsi"/>
          <w:color w:val="000000" w:themeColor="text1"/>
          <w:sz w:val="22"/>
          <w:szCs w:val="22"/>
        </w:rPr>
        <w:t xml:space="preserve"> care record will </w:t>
      </w:r>
      <w:r w:rsidR="00A04343" w:rsidRPr="0079308B">
        <w:rPr>
          <w:rFonts w:cstheme="minorHAnsi"/>
          <w:color w:val="000000" w:themeColor="text1"/>
          <w:sz w:val="22"/>
          <w:szCs w:val="22"/>
        </w:rPr>
        <w:t xml:space="preserve">be </w:t>
      </w:r>
      <w:r w:rsidR="00D714E3" w:rsidRPr="0079308B">
        <w:rPr>
          <w:rFonts w:cstheme="minorHAnsi"/>
          <w:color w:val="000000" w:themeColor="text1"/>
          <w:sz w:val="22"/>
          <w:szCs w:val="22"/>
        </w:rPr>
        <w:t>reviewed for a referral letter to secondary care</w:t>
      </w:r>
      <w:r w:rsidR="00A04343" w:rsidRPr="0079308B">
        <w:rPr>
          <w:rFonts w:cstheme="minorHAnsi"/>
          <w:color w:val="000000" w:themeColor="text1"/>
          <w:sz w:val="22"/>
          <w:szCs w:val="22"/>
        </w:rPr>
        <w:t xml:space="preserve"> or a community liver assessment service</w:t>
      </w:r>
      <w:r w:rsidR="00D714E3" w:rsidRPr="0079308B">
        <w:rPr>
          <w:rFonts w:cstheme="minorHAnsi"/>
          <w:color w:val="000000" w:themeColor="text1"/>
          <w:sz w:val="22"/>
          <w:szCs w:val="22"/>
        </w:rPr>
        <w:t xml:space="preserve"> that was sent within 12months of randomisation. For both </w:t>
      </w:r>
      <w:r w:rsidR="00EA04EF" w:rsidRPr="0079308B">
        <w:rPr>
          <w:rFonts w:cstheme="minorHAnsi"/>
          <w:color w:val="000000" w:themeColor="text1"/>
          <w:sz w:val="22"/>
          <w:szCs w:val="22"/>
        </w:rPr>
        <w:t xml:space="preserve">trial </w:t>
      </w:r>
      <w:r w:rsidR="00D714E3" w:rsidRPr="0079308B">
        <w:rPr>
          <w:rFonts w:cstheme="minorHAnsi"/>
          <w:color w:val="000000" w:themeColor="text1"/>
          <w:sz w:val="22"/>
          <w:szCs w:val="22"/>
        </w:rPr>
        <w:t xml:space="preserve">arms records will be reviewed for evidence </w:t>
      </w:r>
      <w:r w:rsidR="00A25862" w:rsidRPr="0079308B">
        <w:rPr>
          <w:rFonts w:cstheme="minorHAnsi"/>
          <w:color w:val="000000" w:themeColor="text1"/>
          <w:sz w:val="22"/>
          <w:szCs w:val="22"/>
        </w:rPr>
        <w:t>[</w:t>
      </w:r>
      <w:proofErr w:type="gramStart"/>
      <w:r w:rsidR="00D714E3" w:rsidRPr="0079308B">
        <w:rPr>
          <w:rFonts w:cstheme="minorHAnsi"/>
          <w:color w:val="000000" w:themeColor="text1"/>
          <w:sz w:val="22"/>
          <w:szCs w:val="22"/>
        </w:rPr>
        <w:t>e.g.</w:t>
      </w:r>
      <w:proofErr w:type="gramEnd"/>
      <w:r w:rsidR="00D714E3" w:rsidRPr="0079308B">
        <w:rPr>
          <w:rFonts w:cstheme="minorHAnsi"/>
          <w:color w:val="000000" w:themeColor="text1"/>
          <w:sz w:val="22"/>
          <w:szCs w:val="22"/>
        </w:rPr>
        <w:t xml:space="preserve"> a letter from hepatology services</w:t>
      </w:r>
      <w:r w:rsidR="00A25862" w:rsidRPr="0079308B">
        <w:rPr>
          <w:rFonts w:cstheme="minorHAnsi"/>
          <w:color w:val="000000" w:themeColor="text1"/>
          <w:sz w:val="22"/>
          <w:szCs w:val="22"/>
        </w:rPr>
        <w:t>]</w:t>
      </w:r>
      <w:r w:rsidR="00D714E3" w:rsidRPr="0079308B">
        <w:rPr>
          <w:rFonts w:cstheme="minorHAnsi"/>
          <w:color w:val="000000" w:themeColor="text1"/>
          <w:sz w:val="22"/>
          <w:szCs w:val="22"/>
        </w:rPr>
        <w:t xml:space="preserve"> that the patient has been enrolled in HCC surveillance. The </w:t>
      </w:r>
      <w:r w:rsidR="00BC775C" w:rsidRPr="0079308B">
        <w:rPr>
          <w:rFonts w:cstheme="minorHAnsi"/>
          <w:color w:val="000000" w:themeColor="text1"/>
          <w:sz w:val="22"/>
          <w:szCs w:val="22"/>
        </w:rPr>
        <w:t>primary care</w:t>
      </w:r>
      <w:r w:rsidR="00D714E3" w:rsidRPr="0079308B">
        <w:rPr>
          <w:rFonts w:cstheme="minorHAnsi"/>
          <w:color w:val="000000" w:themeColor="text1"/>
          <w:sz w:val="22"/>
          <w:szCs w:val="22"/>
        </w:rPr>
        <w:t xml:space="preserve"> record review will take place </w:t>
      </w:r>
      <w:r w:rsidR="000152C3" w:rsidRPr="0079308B">
        <w:rPr>
          <w:rFonts w:cstheme="minorHAnsi"/>
          <w:color w:val="000000" w:themeColor="text1"/>
          <w:sz w:val="22"/>
          <w:szCs w:val="22"/>
        </w:rPr>
        <w:t xml:space="preserve">up to </w:t>
      </w:r>
      <w:r w:rsidR="00A04343" w:rsidRPr="0079308B">
        <w:rPr>
          <w:rFonts w:cstheme="minorHAnsi"/>
          <w:color w:val="000000" w:themeColor="text1"/>
          <w:sz w:val="22"/>
          <w:szCs w:val="22"/>
        </w:rPr>
        <w:t>3</w:t>
      </w:r>
      <w:r w:rsidR="00BC775C" w:rsidRPr="0079308B">
        <w:rPr>
          <w:rFonts w:cstheme="minorHAnsi"/>
          <w:color w:val="000000" w:themeColor="text1"/>
          <w:sz w:val="22"/>
          <w:szCs w:val="22"/>
        </w:rPr>
        <w:t>0</w:t>
      </w:r>
      <w:r w:rsidR="00D714E3" w:rsidRPr="0079308B">
        <w:rPr>
          <w:rFonts w:cstheme="minorHAnsi"/>
          <w:color w:val="000000" w:themeColor="text1"/>
          <w:sz w:val="22"/>
          <w:szCs w:val="22"/>
        </w:rPr>
        <w:t xml:space="preserve"> months from randomisation to ensure </w:t>
      </w:r>
      <w:r w:rsidR="000152C3" w:rsidRPr="0079308B">
        <w:rPr>
          <w:rFonts w:cstheme="minorHAnsi"/>
          <w:color w:val="000000" w:themeColor="text1"/>
          <w:sz w:val="22"/>
          <w:szCs w:val="22"/>
        </w:rPr>
        <w:t xml:space="preserve">enough time </w:t>
      </w:r>
      <w:r w:rsidR="00BC775C" w:rsidRPr="0079308B">
        <w:rPr>
          <w:rFonts w:cstheme="minorHAnsi"/>
          <w:color w:val="000000" w:themeColor="text1"/>
          <w:sz w:val="22"/>
          <w:szCs w:val="22"/>
        </w:rPr>
        <w:t>for definitive decisions regarding HCC surveillance to have been made by the clinical team.</w:t>
      </w:r>
      <w:r w:rsidR="000152C3" w:rsidRPr="0079308B">
        <w:rPr>
          <w:rFonts w:cstheme="minorHAnsi"/>
          <w:color w:val="000000" w:themeColor="text1"/>
          <w:sz w:val="22"/>
          <w:szCs w:val="22"/>
        </w:rPr>
        <w:t xml:space="preserve"> </w:t>
      </w:r>
    </w:p>
    <w:p w14:paraId="6612B2EC" w14:textId="77777777" w:rsidR="00010E2E" w:rsidRPr="0079308B" w:rsidRDefault="00010E2E" w:rsidP="00E312B1">
      <w:pPr>
        <w:spacing w:line="360" w:lineRule="auto"/>
        <w:rPr>
          <w:rFonts w:cstheme="minorHAnsi"/>
          <w:b/>
          <w:bCs/>
          <w:sz w:val="22"/>
          <w:szCs w:val="22"/>
        </w:rPr>
      </w:pPr>
    </w:p>
    <w:p w14:paraId="18C2C304" w14:textId="65DCAD3F" w:rsidR="003D4428" w:rsidRPr="0079308B" w:rsidRDefault="003D4428" w:rsidP="00E312B1">
      <w:pPr>
        <w:spacing w:line="360" w:lineRule="auto"/>
        <w:rPr>
          <w:rFonts w:cstheme="minorHAnsi"/>
          <w:i/>
          <w:iCs/>
          <w:sz w:val="22"/>
          <w:szCs w:val="22"/>
        </w:rPr>
      </w:pPr>
      <w:r w:rsidRPr="0079308B">
        <w:rPr>
          <w:rFonts w:cstheme="minorHAnsi"/>
          <w:i/>
          <w:iCs/>
          <w:sz w:val="22"/>
          <w:szCs w:val="22"/>
        </w:rPr>
        <w:t>Cost data</w:t>
      </w:r>
      <w:r w:rsidR="00877A52" w:rsidRPr="0079308B">
        <w:rPr>
          <w:rFonts w:cstheme="minorHAnsi"/>
          <w:i/>
          <w:iCs/>
          <w:sz w:val="22"/>
          <w:szCs w:val="22"/>
        </w:rPr>
        <w:t xml:space="preserve"> collection</w:t>
      </w:r>
    </w:p>
    <w:p w14:paraId="02C01CF7" w14:textId="3F032C75" w:rsidR="003D4428" w:rsidRPr="0079308B" w:rsidRDefault="003D4428" w:rsidP="00E312B1">
      <w:pPr>
        <w:spacing w:line="360" w:lineRule="auto"/>
        <w:rPr>
          <w:rFonts w:cstheme="minorHAnsi"/>
          <w:sz w:val="22"/>
          <w:szCs w:val="22"/>
        </w:rPr>
      </w:pPr>
      <w:r w:rsidRPr="0079308B">
        <w:rPr>
          <w:rFonts w:cstheme="minorHAnsi"/>
          <w:sz w:val="22"/>
          <w:szCs w:val="22"/>
        </w:rPr>
        <w:t>We will collect micro-</w:t>
      </w:r>
      <w:proofErr w:type="gramStart"/>
      <w:r w:rsidRPr="0079308B">
        <w:rPr>
          <w:rFonts w:cstheme="minorHAnsi"/>
          <w:sz w:val="22"/>
          <w:szCs w:val="22"/>
        </w:rPr>
        <w:t>costs</w:t>
      </w:r>
      <w:r w:rsidR="00A25862" w:rsidRPr="0079308B">
        <w:rPr>
          <w:rFonts w:cstheme="minorHAnsi"/>
          <w:noProof/>
          <w:sz w:val="22"/>
          <w:szCs w:val="22"/>
        </w:rPr>
        <w:t>[</w:t>
      </w:r>
      <w:proofErr w:type="gramEnd"/>
      <w:r w:rsidR="00EC338D" w:rsidRPr="0079308B">
        <w:rPr>
          <w:rFonts w:cstheme="minorHAnsi"/>
          <w:noProof/>
          <w:sz w:val="22"/>
          <w:szCs w:val="22"/>
        </w:rPr>
        <w:t>44</w:t>
      </w:r>
      <w:r w:rsidR="00A25862" w:rsidRPr="0079308B">
        <w:rPr>
          <w:rFonts w:cstheme="minorHAnsi"/>
          <w:noProof/>
          <w:sz w:val="22"/>
          <w:szCs w:val="22"/>
        </w:rPr>
        <w:t>]</w:t>
      </w:r>
      <w:r w:rsidRPr="0079308B">
        <w:rPr>
          <w:rFonts w:cstheme="minorHAnsi"/>
          <w:sz w:val="22"/>
          <w:szCs w:val="22"/>
        </w:rPr>
        <w:t xml:space="preserve"> on the following components of the pathway:</w:t>
      </w:r>
    </w:p>
    <w:p w14:paraId="1F23DF2A" w14:textId="77777777" w:rsidR="003D4428" w:rsidRPr="0079308B" w:rsidRDefault="003D4428" w:rsidP="00E312B1">
      <w:pPr>
        <w:spacing w:line="360" w:lineRule="auto"/>
        <w:rPr>
          <w:rFonts w:cstheme="minorHAnsi"/>
          <w:sz w:val="22"/>
          <w:szCs w:val="22"/>
        </w:rPr>
      </w:pPr>
    </w:p>
    <w:p w14:paraId="3E3500EA" w14:textId="7A978612" w:rsidR="003D4428" w:rsidRPr="0079308B" w:rsidRDefault="003D4428" w:rsidP="00E312B1">
      <w:pPr>
        <w:pStyle w:val="ListParagraph"/>
        <w:numPr>
          <w:ilvl w:val="0"/>
          <w:numId w:val="5"/>
        </w:numPr>
        <w:spacing w:line="360" w:lineRule="auto"/>
        <w:rPr>
          <w:rFonts w:eastAsiaTheme="minorEastAsia" w:cstheme="minorHAnsi"/>
          <w:sz w:val="22"/>
          <w:szCs w:val="22"/>
        </w:rPr>
      </w:pPr>
      <w:r w:rsidRPr="0079308B">
        <w:rPr>
          <w:rFonts w:cstheme="minorHAnsi"/>
          <w:sz w:val="22"/>
          <w:szCs w:val="22"/>
        </w:rPr>
        <w:t xml:space="preserve">Item costs for </w:t>
      </w:r>
      <w:r w:rsidR="003C38BC" w:rsidRPr="0079308B">
        <w:rPr>
          <w:sz w:val="22"/>
          <w:szCs w:val="22"/>
        </w:rPr>
        <w:t>ELF</w:t>
      </w:r>
      <w:r w:rsidR="003C38BC" w:rsidRPr="0079308B">
        <w:rPr>
          <w:rFonts w:ascii="Calibri" w:hAnsi="Calibri" w:cs="Calibri"/>
          <w:sz w:val="22"/>
          <w:szCs w:val="22"/>
        </w:rPr>
        <w:t>™</w:t>
      </w:r>
      <w:r w:rsidRPr="0079308B">
        <w:rPr>
          <w:rFonts w:cstheme="minorHAnsi"/>
          <w:sz w:val="22"/>
          <w:szCs w:val="22"/>
        </w:rPr>
        <w:t xml:space="preserve"> &amp; </w:t>
      </w:r>
      <w:r w:rsidR="00BF3FA8" w:rsidRPr="0079308B">
        <w:rPr>
          <w:rFonts w:cstheme="minorHAnsi"/>
          <w:sz w:val="22"/>
          <w:szCs w:val="22"/>
        </w:rPr>
        <w:t>FIB-4</w:t>
      </w:r>
      <w:r w:rsidRPr="0079308B">
        <w:rPr>
          <w:rFonts w:cstheme="minorHAnsi"/>
          <w:sz w:val="22"/>
          <w:szCs w:val="22"/>
        </w:rPr>
        <w:t xml:space="preserve"> tests and venepuncture cost</w:t>
      </w:r>
    </w:p>
    <w:p w14:paraId="1270D366" w14:textId="77777777" w:rsidR="003D4428" w:rsidRPr="0079308B" w:rsidRDefault="003D4428" w:rsidP="00E312B1">
      <w:pPr>
        <w:pStyle w:val="ListParagraph"/>
        <w:numPr>
          <w:ilvl w:val="0"/>
          <w:numId w:val="5"/>
        </w:numPr>
        <w:spacing w:line="360" w:lineRule="auto"/>
        <w:rPr>
          <w:rFonts w:eastAsiaTheme="minorEastAsia" w:cstheme="minorHAnsi"/>
          <w:sz w:val="22"/>
          <w:szCs w:val="22"/>
        </w:rPr>
      </w:pPr>
      <w:r w:rsidRPr="0079308B">
        <w:rPr>
          <w:rFonts w:cstheme="minorHAnsi"/>
          <w:sz w:val="22"/>
          <w:szCs w:val="22"/>
        </w:rPr>
        <w:t>Nursing time for: venepuncture, VCTE, results delivery and onward referral</w:t>
      </w:r>
    </w:p>
    <w:p w14:paraId="0D6AA0FC" w14:textId="77777777" w:rsidR="003D4428" w:rsidRPr="0079308B" w:rsidRDefault="003D4428" w:rsidP="00E312B1">
      <w:pPr>
        <w:pStyle w:val="ListParagraph"/>
        <w:numPr>
          <w:ilvl w:val="0"/>
          <w:numId w:val="5"/>
        </w:numPr>
        <w:spacing w:line="360" w:lineRule="auto"/>
        <w:rPr>
          <w:rFonts w:cstheme="minorHAnsi"/>
          <w:sz w:val="22"/>
          <w:szCs w:val="22"/>
        </w:rPr>
      </w:pPr>
      <w:r w:rsidRPr="0079308B">
        <w:rPr>
          <w:rFonts w:cstheme="minorHAnsi"/>
          <w:sz w:val="22"/>
          <w:szCs w:val="22"/>
        </w:rPr>
        <w:t xml:space="preserve">Cost per VCTE assessment including equipment, equipment servicing and </w:t>
      </w:r>
      <w:proofErr w:type="gramStart"/>
      <w:r w:rsidRPr="0079308B">
        <w:rPr>
          <w:rFonts w:cstheme="minorHAnsi"/>
          <w:sz w:val="22"/>
          <w:szCs w:val="22"/>
        </w:rPr>
        <w:t>training</w:t>
      </w:r>
      <w:proofErr w:type="gramEnd"/>
    </w:p>
    <w:p w14:paraId="4EAEAE79" w14:textId="77777777" w:rsidR="003D4428" w:rsidRPr="0079308B" w:rsidRDefault="003D4428" w:rsidP="00E312B1">
      <w:pPr>
        <w:pStyle w:val="ListParagraph"/>
        <w:numPr>
          <w:ilvl w:val="0"/>
          <w:numId w:val="5"/>
        </w:numPr>
        <w:spacing w:line="360" w:lineRule="auto"/>
        <w:rPr>
          <w:rFonts w:cstheme="minorHAnsi"/>
          <w:sz w:val="22"/>
          <w:szCs w:val="22"/>
        </w:rPr>
      </w:pPr>
      <w:r w:rsidRPr="0079308B">
        <w:rPr>
          <w:rFonts w:cstheme="minorHAnsi"/>
          <w:sz w:val="22"/>
          <w:szCs w:val="22"/>
        </w:rPr>
        <w:t xml:space="preserve">Community venue hire for liver </w:t>
      </w:r>
      <w:proofErr w:type="gramStart"/>
      <w:r w:rsidRPr="0079308B">
        <w:rPr>
          <w:rFonts w:cstheme="minorHAnsi"/>
          <w:sz w:val="22"/>
          <w:szCs w:val="22"/>
        </w:rPr>
        <w:t>assessment</w:t>
      </w:r>
      <w:proofErr w:type="gramEnd"/>
    </w:p>
    <w:p w14:paraId="1E684A60" w14:textId="77777777" w:rsidR="003D4428" w:rsidRPr="0079308B" w:rsidRDefault="003D4428" w:rsidP="00E312B1">
      <w:pPr>
        <w:spacing w:line="360" w:lineRule="auto"/>
        <w:rPr>
          <w:rFonts w:cstheme="minorHAnsi"/>
          <w:sz w:val="22"/>
          <w:szCs w:val="22"/>
        </w:rPr>
      </w:pPr>
    </w:p>
    <w:p w14:paraId="06D1C0B3" w14:textId="46052B94" w:rsidR="00E83F15" w:rsidRPr="0079308B" w:rsidRDefault="00E83F15" w:rsidP="00E312B1">
      <w:pPr>
        <w:spacing w:line="360" w:lineRule="auto"/>
        <w:rPr>
          <w:rFonts w:cstheme="minorHAnsi"/>
          <w:b/>
          <w:bCs/>
          <w:sz w:val="22"/>
          <w:szCs w:val="22"/>
        </w:rPr>
      </w:pPr>
      <w:r w:rsidRPr="0079308B">
        <w:rPr>
          <w:rFonts w:cstheme="minorHAnsi"/>
          <w:b/>
          <w:bCs/>
          <w:sz w:val="22"/>
          <w:szCs w:val="22"/>
        </w:rPr>
        <w:t>Data management plan</w:t>
      </w:r>
    </w:p>
    <w:p w14:paraId="4C8D4C00" w14:textId="1BCEB179" w:rsidR="00E83F15" w:rsidRPr="0079308B" w:rsidRDefault="00CA2602" w:rsidP="00E312B1">
      <w:pPr>
        <w:spacing w:line="360" w:lineRule="auto"/>
        <w:rPr>
          <w:rFonts w:cstheme="minorHAnsi"/>
          <w:sz w:val="22"/>
          <w:szCs w:val="22"/>
        </w:rPr>
      </w:pPr>
      <w:r w:rsidRPr="0079308B">
        <w:rPr>
          <w:rFonts w:cstheme="minorHAnsi"/>
          <w:sz w:val="22"/>
          <w:szCs w:val="22"/>
        </w:rPr>
        <w:t>Participant data will be managed according to the study data management plan which is available on the study website</w:t>
      </w:r>
      <w:r w:rsidR="006341D8" w:rsidRPr="0079308B">
        <w:rPr>
          <w:rFonts w:cstheme="minorHAnsi"/>
          <w:sz w:val="22"/>
          <w:szCs w:val="22"/>
        </w:rPr>
        <w:t xml:space="preserve"> </w:t>
      </w:r>
      <w:r w:rsidR="00A25862" w:rsidRPr="0079308B">
        <w:rPr>
          <w:rFonts w:cstheme="minorHAnsi"/>
          <w:sz w:val="22"/>
          <w:szCs w:val="22"/>
        </w:rPr>
        <w:t>[</w:t>
      </w:r>
      <w:r w:rsidR="006341D8" w:rsidRPr="0079308B">
        <w:rPr>
          <w:rFonts w:cstheme="minorHAnsi"/>
          <w:sz w:val="22"/>
          <w:szCs w:val="22"/>
        </w:rPr>
        <w:t>reflexstudy.org</w:t>
      </w:r>
      <w:r w:rsidR="00A25862" w:rsidRPr="0079308B">
        <w:rPr>
          <w:rFonts w:cstheme="minorHAnsi"/>
          <w:sz w:val="22"/>
          <w:szCs w:val="22"/>
        </w:rPr>
        <w:t>]</w:t>
      </w:r>
      <w:r w:rsidRPr="0079308B">
        <w:rPr>
          <w:rFonts w:cstheme="minorHAnsi"/>
          <w:sz w:val="22"/>
          <w:szCs w:val="22"/>
        </w:rPr>
        <w:t>.</w:t>
      </w:r>
      <w:r w:rsidR="00ED42C7" w:rsidRPr="0079308B">
        <w:rPr>
          <w:rFonts w:cstheme="minorHAnsi"/>
          <w:sz w:val="22"/>
          <w:szCs w:val="22"/>
        </w:rPr>
        <w:t xml:space="preserve"> Study data including participant identifiable data will be st</w:t>
      </w:r>
      <w:r w:rsidR="006341D8" w:rsidRPr="0079308B">
        <w:rPr>
          <w:rFonts w:cstheme="minorHAnsi"/>
          <w:sz w:val="22"/>
          <w:szCs w:val="22"/>
        </w:rPr>
        <w:t>or</w:t>
      </w:r>
      <w:r w:rsidR="00ED42C7" w:rsidRPr="0079308B">
        <w:rPr>
          <w:rFonts w:cstheme="minorHAnsi"/>
          <w:sz w:val="22"/>
          <w:szCs w:val="22"/>
        </w:rPr>
        <w:t xml:space="preserve">ed securely in accordance with ethical approvals. </w:t>
      </w:r>
    </w:p>
    <w:p w14:paraId="56CD287D" w14:textId="77777777" w:rsidR="00CA2602" w:rsidRPr="0079308B" w:rsidRDefault="00CA2602" w:rsidP="00E312B1">
      <w:pPr>
        <w:spacing w:line="360" w:lineRule="auto"/>
        <w:rPr>
          <w:rFonts w:cstheme="minorHAnsi"/>
          <w:sz w:val="22"/>
          <w:szCs w:val="22"/>
        </w:rPr>
      </w:pPr>
    </w:p>
    <w:p w14:paraId="42E0903A" w14:textId="17971875" w:rsidR="00817CAF" w:rsidRPr="0079308B" w:rsidRDefault="003D4428" w:rsidP="00E312B1">
      <w:pPr>
        <w:spacing w:line="360" w:lineRule="auto"/>
        <w:rPr>
          <w:rFonts w:cstheme="minorHAnsi"/>
          <w:b/>
          <w:bCs/>
          <w:sz w:val="22"/>
          <w:szCs w:val="22"/>
        </w:rPr>
      </w:pPr>
      <w:r w:rsidRPr="0079308B">
        <w:rPr>
          <w:rFonts w:cstheme="minorHAnsi"/>
          <w:b/>
          <w:bCs/>
          <w:sz w:val="22"/>
          <w:szCs w:val="22"/>
        </w:rPr>
        <w:t>Data analysis</w:t>
      </w:r>
    </w:p>
    <w:p w14:paraId="63507519" w14:textId="46514770" w:rsidR="00817CAF" w:rsidRPr="0079308B" w:rsidRDefault="00817CAF" w:rsidP="00E312B1">
      <w:pPr>
        <w:spacing w:line="360" w:lineRule="auto"/>
        <w:rPr>
          <w:rFonts w:cstheme="minorHAnsi"/>
          <w:i/>
          <w:iCs/>
          <w:sz w:val="22"/>
          <w:szCs w:val="22"/>
        </w:rPr>
      </w:pPr>
      <w:r w:rsidRPr="0079308B">
        <w:rPr>
          <w:rFonts w:cstheme="minorHAnsi"/>
          <w:i/>
          <w:iCs/>
          <w:sz w:val="22"/>
          <w:szCs w:val="22"/>
        </w:rPr>
        <w:t>Primary outcome</w:t>
      </w:r>
    </w:p>
    <w:p w14:paraId="2ACA6288" w14:textId="17D1AFFE" w:rsidR="00BA4D5E" w:rsidRPr="0079308B" w:rsidRDefault="00DC6C27" w:rsidP="00E312B1">
      <w:pPr>
        <w:pStyle w:val="NormalWeb"/>
        <w:shd w:val="clear" w:color="auto" w:fill="FFFFFF"/>
        <w:spacing w:before="0" w:beforeAutospacing="0" w:after="0" w:afterAutospacing="0" w:line="360" w:lineRule="auto"/>
        <w:rPr>
          <w:rFonts w:asciiTheme="minorHAnsi" w:hAnsiTheme="minorHAnsi" w:cstheme="minorHAnsi"/>
          <w:color w:val="000000"/>
          <w:sz w:val="22"/>
          <w:szCs w:val="22"/>
          <w:bdr w:val="none" w:sz="0" w:space="0" w:color="auto" w:frame="1"/>
        </w:rPr>
      </w:pPr>
      <w:r w:rsidRPr="0079308B">
        <w:rPr>
          <w:rFonts w:asciiTheme="minorHAnsi" w:hAnsiTheme="minorHAnsi" w:cstheme="minorHAnsi"/>
          <w:sz w:val="22"/>
          <w:szCs w:val="22"/>
        </w:rPr>
        <w:t>W</w:t>
      </w:r>
      <w:r w:rsidR="003D4428" w:rsidRPr="0079308B">
        <w:rPr>
          <w:rFonts w:asciiTheme="minorHAnsi" w:hAnsiTheme="minorHAnsi" w:cstheme="minorHAnsi"/>
          <w:sz w:val="22"/>
          <w:szCs w:val="22"/>
        </w:rPr>
        <w:t>e will conduct an ‘intention to diagnose’ analysis for the primary outcome</w:t>
      </w:r>
      <w:r w:rsidR="006A76BD" w:rsidRPr="0079308B">
        <w:rPr>
          <w:rFonts w:asciiTheme="minorHAnsi" w:hAnsiTheme="minorHAnsi" w:cstheme="minorHAnsi"/>
          <w:sz w:val="22"/>
          <w:szCs w:val="22"/>
        </w:rPr>
        <w:t xml:space="preserve"> where all</w:t>
      </w:r>
      <w:r w:rsidR="003D4428" w:rsidRPr="0079308B">
        <w:rPr>
          <w:rFonts w:asciiTheme="minorHAnsi" w:hAnsiTheme="minorHAnsi" w:cstheme="minorHAnsi"/>
          <w:sz w:val="22"/>
          <w:szCs w:val="22"/>
        </w:rPr>
        <w:t xml:space="preserve"> participants undergoing randomisation will be analysed within the group to which they were assigned</w:t>
      </w:r>
      <w:r w:rsidR="009616FE" w:rsidRPr="0079308B">
        <w:rPr>
          <w:rFonts w:asciiTheme="minorHAnsi" w:hAnsiTheme="minorHAnsi" w:cstheme="minorHAnsi"/>
          <w:sz w:val="22"/>
          <w:szCs w:val="22"/>
        </w:rPr>
        <w:t>,</w:t>
      </w:r>
      <w:r w:rsidR="003D4428" w:rsidRPr="0079308B">
        <w:rPr>
          <w:rFonts w:asciiTheme="minorHAnsi" w:hAnsiTheme="minorHAnsi" w:cstheme="minorHAnsi"/>
          <w:sz w:val="22"/>
          <w:szCs w:val="22"/>
        </w:rPr>
        <w:t xml:space="preserve"> regardless of whether they engaged with the diagnostic process</w:t>
      </w:r>
      <w:r w:rsidR="002E09D0" w:rsidRPr="0079308B">
        <w:rPr>
          <w:rFonts w:asciiTheme="minorHAnsi" w:hAnsiTheme="minorHAnsi" w:cstheme="minorHAnsi"/>
          <w:sz w:val="22"/>
          <w:szCs w:val="22"/>
        </w:rPr>
        <w:t xml:space="preserve"> following referral</w:t>
      </w:r>
      <w:r w:rsidR="003D4428" w:rsidRPr="0079308B">
        <w:rPr>
          <w:rFonts w:asciiTheme="minorHAnsi" w:hAnsiTheme="minorHAnsi" w:cstheme="minorHAnsi"/>
          <w:sz w:val="22"/>
          <w:szCs w:val="22"/>
        </w:rPr>
        <w:t xml:space="preserve"> within their study arm. </w:t>
      </w:r>
      <w:r w:rsidR="00B66DE1" w:rsidRPr="0079308B">
        <w:rPr>
          <w:rFonts w:asciiTheme="minorHAnsi" w:hAnsiTheme="minorHAnsi" w:cstheme="minorHAnsi"/>
          <w:color w:val="000000"/>
          <w:sz w:val="22"/>
          <w:szCs w:val="22"/>
          <w:shd w:val="clear" w:color="auto" w:fill="FFFFFF"/>
        </w:rPr>
        <w:t xml:space="preserve">Logistic regression will be used to compare the binary outcome between the standard care and intervention arms. Exact or penalized likelihood estimation methods will be used to avoid the small-sample bias that otherwise would be present with such </w:t>
      </w:r>
      <w:r w:rsidR="000D3BA7" w:rsidRPr="0079308B">
        <w:rPr>
          <w:rFonts w:asciiTheme="minorHAnsi" w:hAnsiTheme="minorHAnsi" w:cstheme="minorHAnsi"/>
          <w:color w:val="000000"/>
          <w:sz w:val="22"/>
          <w:szCs w:val="22"/>
          <w:shd w:val="clear" w:color="auto" w:fill="FFFFFF"/>
        </w:rPr>
        <w:t>small, expected</w:t>
      </w:r>
      <w:r w:rsidR="00B66DE1" w:rsidRPr="0079308B">
        <w:rPr>
          <w:rFonts w:asciiTheme="minorHAnsi" w:hAnsiTheme="minorHAnsi" w:cstheme="minorHAnsi"/>
          <w:color w:val="000000"/>
          <w:sz w:val="22"/>
          <w:szCs w:val="22"/>
          <w:shd w:val="clear" w:color="auto" w:fill="FFFFFF"/>
        </w:rPr>
        <w:t xml:space="preserve"> outcome numbers.</w:t>
      </w:r>
      <w:r w:rsidR="00DF70FB" w:rsidRPr="0079308B">
        <w:rPr>
          <w:rFonts w:asciiTheme="minorHAnsi" w:hAnsiTheme="minorHAnsi" w:cstheme="minorHAnsi"/>
          <w:color w:val="000000"/>
          <w:sz w:val="22"/>
          <w:szCs w:val="22"/>
          <w:shd w:val="clear" w:color="auto" w:fill="FFFFFF"/>
        </w:rPr>
        <w:t xml:space="preserve"> Loss to follow up </w:t>
      </w:r>
      <w:r w:rsidR="00A25862" w:rsidRPr="0079308B">
        <w:rPr>
          <w:rFonts w:asciiTheme="minorHAnsi" w:hAnsiTheme="minorHAnsi" w:cstheme="minorHAnsi"/>
          <w:color w:val="000000"/>
          <w:sz w:val="22"/>
          <w:szCs w:val="22"/>
          <w:shd w:val="clear" w:color="auto" w:fill="FFFFFF"/>
        </w:rPr>
        <w:t>[</w:t>
      </w:r>
      <w:r w:rsidR="00DF70FB" w:rsidRPr="0079308B">
        <w:rPr>
          <w:rFonts w:asciiTheme="minorHAnsi" w:hAnsiTheme="minorHAnsi" w:cstheme="minorHAnsi"/>
          <w:color w:val="000000"/>
          <w:sz w:val="22"/>
          <w:szCs w:val="22"/>
          <w:shd w:val="clear" w:color="auto" w:fill="FFFFFF"/>
        </w:rPr>
        <w:t>LTFU</w:t>
      </w:r>
      <w:r w:rsidR="00A25862" w:rsidRPr="0079308B">
        <w:rPr>
          <w:rFonts w:asciiTheme="minorHAnsi" w:hAnsiTheme="minorHAnsi" w:cstheme="minorHAnsi"/>
          <w:color w:val="000000"/>
          <w:sz w:val="22"/>
          <w:szCs w:val="22"/>
          <w:shd w:val="clear" w:color="auto" w:fill="FFFFFF"/>
        </w:rPr>
        <w:t>]</w:t>
      </w:r>
      <w:r w:rsidR="00DF70FB" w:rsidRPr="0079308B">
        <w:rPr>
          <w:rFonts w:asciiTheme="minorHAnsi" w:hAnsiTheme="minorHAnsi" w:cstheme="minorHAnsi"/>
          <w:color w:val="000000"/>
          <w:sz w:val="22"/>
          <w:szCs w:val="22"/>
          <w:shd w:val="clear" w:color="auto" w:fill="FFFFFF"/>
        </w:rPr>
        <w:t xml:space="preserve"> and missing data will be managed in accordance </w:t>
      </w:r>
      <w:r w:rsidR="000D3BA7" w:rsidRPr="0079308B">
        <w:rPr>
          <w:rFonts w:asciiTheme="minorHAnsi" w:hAnsiTheme="minorHAnsi" w:cstheme="minorHAnsi"/>
          <w:color w:val="000000"/>
          <w:sz w:val="22"/>
          <w:szCs w:val="22"/>
          <w:shd w:val="clear" w:color="auto" w:fill="FFFFFF"/>
        </w:rPr>
        <w:t>with</w:t>
      </w:r>
      <w:r w:rsidR="00DF70FB" w:rsidRPr="0079308B">
        <w:rPr>
          <w:rFonts w:asciiTheme="minorHAnsi" w:hAnsiTheme="minorHAnsi" w:cstheme="minorHAnsi"/>
          <w:color w:val="000000"/>
          <w:sz w:val="22"/>
          <w:szCs w:val="22"/>
          <w:shd w:val="clear" w:color="auto" w:fill="FFFFFF"/>
        </w:rPr>
        <w:t xml:space="preserve"> our LTFU management plan </w:t>
      </w:r>
      <w:r w:rsidR="00A25862" w:rsidRPr="0079308B">
        <w:rPr>
          <w:rFonts w:asciiTheme="minorHAnsi" w:hAnsiTheme="minorHAnsi" w:cstheme="minorHAnsi"/>
          <w:color w:val="000000"/>
          <w:sz w:val="22"/>
          <w:szCs w:val="22"/>
          <w:shd w:val="clear" w:color="auto" w:fill="FFFFFF"/>
        </w:rPr>
        <w:t>[</w:t>
      </w:r>
      <w:r w:rsidR="00DF70FB" w:rsidRPr="0079308B">
        <w:rPr>
          <w:rFonts w:asciiTheme="minorHAnsi" w:hAnsiTheme="minorHAnsi" w:cstheme="minorHAnsi"/>
          <w:color w:val="000000"/>
          <w:sz w:val="22"/>
          <w:szCs w:val="22"/>
          <w:shd w:val="clear" w:color="auto" w:fill="FFFFFF"/>
        </w:rPr>
        <w:t>see supplementary material</w:t>
      </w:r>
      <w:r w:rsidR="00A25862" w:rsidRPr="0079308B">
        <w:rPr>
          <w:rFonts w:asciiTheme="minorHAnsi" w:hAnsiTheme="minorHAnsi" w:cstheme="minorHAnsi"/>
          <w:color w:val="000000"/>
          <w:sz w:val="22"/>
          <w:szCs w:val="22"/>
          <w:shd w:val="clear" w:color="auto" w:fill="FFFFFF"/>
        </w:rPr>
        <w:t>]</w:t>
      </w:r>
      <w:r w:rsidR="00DF70FB" w:rsidRPr="0079308B">
        <w:rPr>
          <w:rFonts w:asciiTheme="minorHAnsi" w:hAnsiTheme="minorHAnsi" w:cstheme="minorHAnsi"/>
          <w:color w:val="000000"/>
          <w:sz w:val="22"/>
          <w:szCs w:val="22"/>
          <w:shd w:val="clear" w:color="auto" w:fill="FFFFFF"/>
        </w:rPr>
        <w:t xml:space="preserve">. </w:t>
      </w:r>
    </w:p>
    <w:p w14:paraId="3DEFC5FE" w14:textId="77777777" w:rsidR="003D4428" w:rsidRPr="0079308B" w:rsidRDefault="003D4428" w:rsidP="00E312B1">
      <w:pPr>
        <w:spacing w:line="360" w:lineRule="auto"/>
        <w:rPr>
          <w:rFonts w:cstheme="minorHAnsi"/>
          <w:sz w:val="22"/>
          <w:szCs w:val="22"/>
        </w:rPr>
      </w:pPr>
    </w:p>
    <w:p w14:paraId="6E042355" w14:textId="6ABE9580" w:rsidR="00052A76" w:rsidRPr="0079308B" w:rsidRDefault="00397318" w:rsidP="00E312B1">
      <w:pPr>
        <w:spacing w:line="360" w:lineRule="auto"/>
        <w:rPr>
          <w:rFonts w:cstheme="minorHAnsi"/>
          <w:i/>
          <w:iCs/>
          <w:sz w:val="22"/>
          <w:szCs w:val="22"/>
        </w:rPr>
      </w:pPr>
      <w:r w:rsidRPr="0079308B">
        <w:rPr>
          <w:rFonts w:cstheme="minorHAnsi"/>
          <w:i/>
          <w:iCs/>
          <w:sz w:val="22"/>
          <w:szCs w:val="22"/>
        </w:rPr>
        <w:t>Cost-effectiveness analysis</w:t>
      </w:r>
    </w:p>
    <w:p w14:paraId="1A5946F7" w14:textId="77777777" w:rsidR="00052A76" w:rsidRPr="0079308B" w:rsidRDefault="00052A76" w:rsidP="00E312B1">
      <w:pPr>
        <w:spacing w:line="360" w:lineRule="auto"/>
        <w:rPr>
          <w:rFonts w:cstheme="minorHAnsi"/>
          <w:sz w:val="22"/>
          <w:szCs w:val="22"/>
        </w:rPr>
      </w:pPr>
    </w:p>
    <w:p w14:paraId="2D3B0AFC" w14:textId="76104B5B" w:rsidR="003D4428" w:rsidRPr="0079308B" w:rsidRDefault="006A76BD" w:rsidP="00E312B1">
      <w:pPr>
        <w:spacing w:line="360" w:lineRule="auto"/>
        <w:rPr>
          <w:rFonts w:cstheme="minorHAnsi"/>
          <w:sz w:val="22"/>
          <w:szCs w:val="22"/>
        </w:rPr>
      </w:pPr>
      <w:r w:rsidRPr="0079308B">
        <w:rPr>
          <w:rFonts w:cstheme="minorHAnsi"/>
          <w:sz w:val="22"/>
          <w:szCs w:val="22"/>
        </w:rPr>
        <w:t>For the cost effectiveness evaluation</w:t>
      </w:r>
      <w:r w:rsidR="009616FE" w:rsidRPr="0079308B">
        <w:rPr>
          <w:rFonts w:cstheme="minorHAnsi"/>
          <w:sz w:val="22"/>
          <w:szCs w:val="22"/>
        </w:rPr>
        <w:t>,</w:t>
      </w:r>
      <w:r w:rsidRPr="0079308B">
        <w:rPr>
          <w:rFonts w:cstheme="minorHAnsi"/>
          <w:sz w:val="22"/>
          <w:szCs w:val="22"/>
        </w:rPr>
        <w:t xml:space="preserve"> d</w:t>
      </w:r>
      <w:r w:rsidR="003D4428" w:rsidRPr="0079308B">
        <w:rPr>
          <w:rFonts w:cstheme="minorHAnsi"/>
          <w:sz w:val="22"/>
          <w:szCs w:val="22"/>
        </w:rPr>
        <w:t xml:space="preserve">ata from the study </w:t>
      </w:r>
      <w:r w:rsidR="009616FE" w:rsidRPr="0079308B">
        <w:rPr>
          <w:rFonts w:cstheme="minorHAnsi"/>
          <w:sz w:val="22"/>
          <w:szCs w:val="22"/>
        </w:rPr>
        <w:t xml:space="preserve">will be </w:t>
      </w:r>
      <w:r w:rsidR="00390BAC" w:rsidRPr="0079308B">
        <w:rPr>
          <w:rFonts w:cstheme="minorHAnsi"/>
          <w:sz w:val="22"/>
          <w:szCs w:val="22"/>
        </w:rPr>
        <w:t xml:space="preserve">incorporated into a </w:t>
      </w:r>
      <w:r w:rsidR="009858CB" w:rsidRPr="0079308B">
        <w:rPr>
          <w:rFonts w:cstheme="minorHAnsi"/>
          <w:sz w:val="22"/>
          <w:szCs w:val="22"/>
        </w:rPr>
        <w:t xml:space="preserve">decision analytical </w:t>
      </w:r>
      <w:r w:rsidR="00390BAC" w:rsidRPr="0079308B">
        <w:rPr>
          <w:rFonts w:cstheme="minorHAnsi"/>
          <w:sz w:val="22"/>
          <w:szCs w:val="22"/>
        </w:rPr>
        <w:t>model</w:t>
      </w:r>
      <w:r w:rsidR="009858CB" w:rsidRPr="0079308B">
        <w:rPr>
          <w:rFonts w:cstheme="minorHAnsi"/>
          <w:sz w:val="22"/>
          <w:szCs w:val="22"/>
        </w:rPr>
        <w:t xml:space="preserve"> </w:t>
      </w:r>
      <w:r w:rsidR="00A25862" w:rsidRPr="0079308B">
        <w:rPr>
          <w:rFonts w:cstheme="minorHAnsi"/>
          <w:sz w:val="22"/>
          <w:szCs w:val="22"/>
        </w:rPr>
        <w:t>[</w:t>
      </w:r>
      <w:r w:rsidR="009858CB" w:rsidRPr="0079308B">
        <w:rPr>
          <w:rFonts w:cstheme="minorHAnsi"/>
          <w:sz w:val="22"/>
          <w:szCs w:val="22"/>
        </w:rPr>
        <w:t>developed in Microsoft Excel</w:t>
      </w:r>
      <w:r w:rsidR="009858CB" w:rsidRPr="0079308B">
        <w:rPr>
          <w:rFonts w:cstheme="minorHAnsi"/>
          <w:b/>
          <w:bCs/>
          <w:position w:val="8"/>
          <w:sz w:val="22"/>
          <w:szCs w:val="22"/>
        </w:rPr>
        <w:t>®</w:t>
      </w:r>
      <w:r w:rsidR="00A25862" w:rsidRPr="0079308B">
        <w:rPr>
          <w:rFonts w:cstheme="minorHAnsi"/>
          <w:sz w:val="22"/>
          <w:szCs w:val="22"/>
        </w:rPr>
        <w:t>]</w:t>
      </w:r>
      <w:r w:rsidR="00390BAC" w:rsidRPr="0079308B">
        <w:rPr>
          <w:rFonts w:cstheme="minorHAnsi"/>
          <w:sz w:val="22"/>
          <w:szCs w:val="22"/>
        </w:rPr>
        <w:t xml:space="preserve">. </w:t>
      </w:r>
      <w:r w:rsidR="009616FE" w:rsidRPr="0079308B">
        <w:rPr>
          <w:rFonts w:cstheme="minorHAnsi"/>
          <w:sz w:val="22"/>
          <w:szCs w:val="22"/>
        </w:rPr>
        <w:t>These dat</w:t>
      </w:r>
      <w:r w:rsidR="00F46884" w:rsidRPr="0079308B">
        <w:rPr>
          <w:rFonts w:cstheme="minorHAnsi"/>
          <w:sz w:val="22"/>
          <w:szCs w:val="22"/>
        </w:rPr>
        <w:t>a</w:t>
      </w:r>
      <w:r w:rsidR="009616FE" w:rsidRPr="0079308B">
        <w:rPr>
          <w:rFonts w:cstheme="minorHAnsi"/>
          <w:sz w:val="22"/>
          <w:szCs w:val="22"/>
        </w:rPr>
        <w:t xml:space="preserve"> include:</w:t>
      </w:r>
      <w:r w:rsidR="003D4428" w:rsidRPr="0079308B">
        <w:rPr>
          <w:rFonts w:cstheme="minorHAnsi"/>
          <w:sz w:val="22"/>
          <w:szCs w:val="22"/>
        </w:rPr>
        <w:t xml:space="preserve"> the micro-costs of </w:t>
      </w:r>
      <w:r w:rsidR="002E09D0" w:rsidRPr="0079308B">
        <w:rPr>
          <w:rFonts w:cstheme="minorHAnsi"/>
          <w:sz w:val="22"/>
          <w:szCs w:val="22"/>
        </w:rPr>
        <w:t xml:space="preserve">testing and follow up, </w:t>
      </w:r>
      <w:r w:rsidR="003D4428" w:rsidRPr="0079308B">
        <w:rPr>
          <w:rFonts w:cstheme="minorHAnsi"/>
          <w:sz w:val="22"/>
          <w:szCs w:val="22"/>
        </w:rPr>
        <w:t xml:space="preserve">drop-out rates from the diagnostic pathways </w:t>
      </w:r>
      <w:r w:rsidR="00A25862" w:rsidRPr="0079308B">
        <w:rPr>
          <w:rFonts w:cstheme="minorHAnsi"/>
          <w:sz w:val="22"/>
          <w:szCs w:val="22"/>
        </w:rPr>
        <w:t>[</w:t>
      </w:r>
      <w:r w:rsidR="003D4428" w:rsidRPr="0079308B">
        <w:rPr>
          <w:rFonts w:cstheme="minorHAnsi"/>
          <w:sz w:val="22"/>
          <w:szCs w:val="22"/>
        </w:rPr>
        <w:t xml:space="preserve">usual care and </w:t>
      </w:r>
      <w:r w:rsidR="00286446" w:rsidRPr="0079308B">
        <w:rPr>
          <w:rFonts w:cstheme="minorHAnsi"/>
          <w:sz w:val="22"/>
          <w:szCs w:val="22"/>
        </w:rPr>
        <w:t>screening</w:t>
      </w:r>
      <w:r w:rsidR="00A25862" w:rsidRPr="0079308B">
        <w:rPr>
          <w:rFonts w:cstheme="minorHAnsi"/>
          <w:sz w:val="22"/>
          <w:szCs w:val="22"/>
        </w:rPr>
        <w:t>]</w:t>
      </w:r>
      <w:r w:rsidR="003D4428" w:rsidRPr="0079308B">
        <w:rPr>
          <w:rFonts w:cstheme="minorHAnsi"/>
          <w:sz w:val="22"/>
          <w:szCs w:val="22"/>
        </w:rPr>
        <w:t>, the relative proportions of different stages of liver disease and the demographic characteristics of the cohort</w:t>
      </w:r>
      <w:r w:rsidR="009F3B08" w:rsidRPr="0079308B">
        <w:rPr>
          <w:rFonts w:cstheme="minorHAnsi"/>
          <w:sz w:val="22"/>
          <w:szCs w:val="22"/>
        </w:rPr>
        <w:t>s</w:t>
      </w:r>
      <w:r w:rsidR="009616FE" w:rsidRPr="0079308B">
        <w:rPr>
          <w:rFonts w:cstheme="minorHAnsi"/>
          <w:sz w:val="22"/>
          <w:szCs w:val="22"/>
        </w:rPr>
        <w:t>.</w:t>
      </w:r>
      <w:r w:rsidR="003D4428" w:rsidRPr="0079308B">
        <w:rPr>
          <w:rFonts w:cstheme="minorHAnsi"/>
          <w:sz w:val="22"/>
          <w:szCs w:val="22"/>
        </w:rPr>
        <w:t xml:space="preserve"> </w:t>
      </w:r>
    </w:p>
    <w:p w14:paraId="4D211F9E" w14:textId="77777777" w:rsidR="003D4428" w:rsidRPr="0079308B" w:rsidRDefault="003D4428" w:rsidP="00E312B1">
      <w:pPr>
        <w:spacing w:line="360" w:lineRule="auto"/>
        <w:rPr>
          <w:rFonts w:cstheme="minorHAnsi"/>
          <w:sz w:val="22"/>
          <w:szCs w:val="22"/>
        </w:rPr>
      </w:pPr>
    </w:p>
    <w:p w14:paraId="64752F11" w14:textId="7D08A898" w:rsidR="003D4428" w:rsidRPr="0079308B" w:rsidRDefault="009858CB" w:rsidP="00E312B1">
      <w:pPr>
        <w:spacing w:line="360" w:lineRule="auto"/>
        <w:rPr>
          <w:rFonts w:cstheme="minorHAnsi"/>
          <w:sz w:val="22"/>
          <w:szCs w:val="22"/>
        </w:rPr>
      </w:pPr>
      <w:r w:rsidRPr="0079308B">
        <w:rPr>
          <w:rFonts w:cstheme="minorHAnsi"/>
          <w:sz w:val="22"/>
          <w:szCs w:val="22"/>
        </w:rPr>
        <w:t xml:space="preserve">The model will consist of a decision tree for the diagnostic process and a </w:t>
      </w:r>
      <w:r w:rsidR="003D4428" w:rsidRPr="0079308B">
        <w:rPr>
          <w:rFonts w:cstheme="minorHAnsi"/>
          <w:sz w:val="22"/>
          <w:szCs w:val="22"/>
        </w:rPr>
        <w:t xml:space="preserve">Markov state transition model </w:t>
      </w:r>
      <w:r w:rsidRPr="0079308B">
        <w:rPr>
          <w:rFonts w:cstheme="minorHAnsi"/>
          <w:sz w:val="22"/>
          <w:szCs w:val="22"/>
        </w:rPr>
        <w:t xml:space="preserve">for the </w:t>
      </w:r>
      <w:proofErr w:type="gramStart"/>
      <w:r w:rsidRPr="0079308B">
        <w:rPr>
          <w:rFonts w:cstheme="minorHAnsi"/>
          <w:sz w:val="22"/>
          <w:szCs w:val="22"/>
        </w:rPr>
        <w:t>long term</w:t>
      </w:r>
      <w:proofErr w:type="gramEnd"/>
      <w:r w:rsidRPr="0079308B">
        <w:rPr>
          <w:rFonts w:cstheme="minorHAnsi"/>
          <w:sz w:val="22"/>
          <w:szCs w:val="22"/>
        </w:rPr>
        <w:t xml:space="preserve"> disease process</w:t>
      </w:r>
      <w:r w:rsidR="00BF1F91" w:rsidRPr="0079308B">
        <w:rPr>
          <w:rFonts w:cstheme="minorHAnsi"/>
          <w:sz w:val="22"/>
          <w:szCs w:val="22"/>
        </w:rPr>
        <w:t xml:space="preserve"> </w:t>
      </w:r>
      <w:r w:rsidR="00A25862" w:rsidRPr="0079308B">
        <w:rPr>
          <w:rFonts w:cstheme="minorHAnsi"/>
          <w:sz w:val="22"/>
          <w:szCs w:val="22"/>
        </w:rPr>
        <w:t>[</w:t>
      </w:r>
      <w:r w:rsidR="00BF1F91" w:rsidRPr="0079308B">
        <w:rPr>
          <w:rFonts w:cstheme="minorHAnsi"/>
          <w:b/>
          <w:bCs/>
          <w:sz w:val="22"/>
          <w:szCs w:val="22"/>
        </w:rPr>
        <w:t>Figure 2</w:t>
      </w:r>
      <w:r w:rsidR="00A25862" w:rsidRPr="0079308B">
        <w:rPr>
          <w:rFonts w:cstheme="minorHAnsi"/>
          <w:b/>
          <w:bCs/>
          <w:sz w:val="22"/>
          <w:szCs w:val="22"/>
        </w:rPr>
        <w:t>]</w:t>
      </w:r>
      <w:r w:rsidR="00BF1F91" w:rsidRPr="0079308B">
        <w:rPr>
          <w:rFonts w:cstheme="minorHAnsi"/>
          <w:b/>
          <w:bCs/>
          <w:sz w:val="22"/>
          <w:szCs w:val="22"/>
        </w:rPr>
        <w:t>.</w:t>
      </w:r>
      <w:r w:rsidRPr="0079308B">
        <w:rPr>
          <w:rFonts w:cstheme="minorHAnsi"/>
          <w:sz w:val="22"/>
          <w:szCs w:val="22"/>
        </w:rPr>
        <w:t xml:space="preserve"> </w:t>
      </w:r>
      <w:r w:rsidR="004C485A" w:rsidRPr="0079308B">
        <w:rPr>
          <w:rFonts w:cstheme="minorHAnsi"/>
          <w:sz w:val="22"/>
          <w:szCs w:val="22"/>
        </w:rPr>
        <w:t xml:space="preserve">It will </w:t>
      </w:r>
      <w:r w:rsidR="003D4428" w:rsidRPr="0079308B">
        <w:rPr>
          <w:rFonts w:cstheme="minorHAnsi"/>
          <w:sz w:val="22"/>
          <w:szCs w:val="22"/>
        </w:rPr>
        <w:t xml:space="preserve">estimate the </w:t>
      </w:r>
      <w:r w:rsidR="00E52115" w:rsidRPr="0079308B">
        <w:rPr>
          <w:rFonts w:cstheme="minorHAnsi"/>
          <w:sz w:val="22"/>
          <w:szCs w:val="22"/>
        </w:rPr>
        <w:t xml:space="preserve">quality adjusted life years </w:t>
      </w:r>
      <w:r w:rsidR="00A25862" w:rsidRPr="0079308B">
        <w:rPr>
          <w:rFonts w:cstheme="minorHAnsi"/>
          <w:sz w:val="22"/>
          <w:szCs w:val="22"/>
        </w:rPr>
        <w:t>[</w:t>
      </w:r>
      <w:r w:rsidR="003D4428" w:rsidRPr="0079308B">
        <w:rPr>
          <w:rFonts w:cstheme="minorHAnsi"/>
          <w:sz w:val="22"/>
          <w:szCs w:val="22"/>
        </w:rPr>
        <w:t>QALYs</w:t>
      </w:r>
      <w:r w:rsidR="00A25862" w:rsidRPr="0079308B">
        <w:rPr>
          <w:rFonts w:cstheme="minorHAnsi"/>
          <w:sz w:val="22"/>
          <w:szCs w:val="22"/>
        </w:rPr>
        <w:t>]</w:t>
      </w:r>
      <w:r w:rsidR="003D4428" w:rsidRPr="0079308B">
        <w:rPr>
          <w:rFonts w:cstheme="minorHAnsi"/>
          <w:sz w:val="22"/>
          <w:szCs w:val="22"/>
        </w:rPr>
        <w:t xml:space="preserve"> and costs associated with liver disease. The model structure will be similar to previous models for HCC </w:t>
      </w:r>
      <w:proofErr w:type="gramStart"/>
      <w:r w:rsidR="003D4428" w:rsidRPr="0079308B">
        <w:rPr>
          <w:rFonts w:cstheme="minorHAnsi"/>
          <w:sz w:val="22"/>
          <w:szCs w:val="22"/>
        </w:rPr>
        <w:t>surveillance.</w:t>
      </w:r>
      <w:r w:rsidR="00A25862" w:rsidRPr="0079308B">
        <w:rPr>
          <w:rFonts w:cstheme="minorHAnsi"/>
          <w:sz w:val="22"/>
          <w:szCs w:val="22"/>
        </w:rPr>
        <w:t>[</w:t>
      </w:r>
      <w:proofErr w:type="gramEnd"/>
      <w:r w:rsidR="003D4428" w:rsidRPr="0079308B">
        <w:rPr>
          <w:rFonts w:cstheme="minorHAnsi"/>
          <w:sz w:val="22"/>
          <w:szCs w:val="22"/>
        </w:rPr>
        <w:t xml:space="preserve">e.g. </w:t>
      </w:r>
      <w:r w:rsidR="00A25862" w:rsidRPr="0079308B">
        <w:rPr>
          <w:rFonts w:cstheme="minorHAnsi"/>
          <w:noProof/>
          <w:sz w:val="22"/>
          <w:szCs w:val="22"/>
        </w:rPr>
        <w:t>[</w:t>
      </w:r>
      <w:r w:rsidR="001B2D3B" w:rsidRPr="0079308B">
        <w:rPr>
          <w:rFonts w:cstheme="minorHAnsi"/>
          <w:noProof/>
          <w:sz w:val="22"/>
          <w:szCs w:val="22"/>
        </w:rPr>
        <w:t>34,36</w:t>
      </w:r>
      <w:r w:rsidR="00A25862" w:rsidRPr="0079308B">
        <w:rPr>
          <w:rFonts w:cstheme="minorHAnsi"/>
          <w:noProof/>
          <w:sz w:val="22"/>
          <w:szCs w:val="22"/>
        </w:rPr>
        <w:t>]</w:t>
      </w:r>
      <w:r w:rsidR="00A25862" w:rsidRPr="0079308B">
        <w:rPr>
          <w:rFonts w:cstheme="minorHAnsi"/>
          <w:sz w:val="22"/>
          <w:szCs w:val="22"/>
        </w:rPr>
        <w:t>]</w:t>
      </w:r>
      <w:r w:rsidR="006A76BD" w:rsidRPr="0079308B">
        <w:rPr>
          <w:rFonts w:cstheme="minorHAnsi"/>
          <w:sz w:val="22"/>
          <w:szCs w:val="22"/>
        </w:rPr>
        <w:t xml:space="preserve"> and calculate t</w:t>
      </w:r>
      <w:r w:rsidR="003D4428" w:rsidRPr="0079308B">
        <w:rPr>
          <w:rFonts w:cstheme="minorHAnsi"/>
          <w:sz w:val="22"/>
          <w:szCs w:val="22"/>
        </w:rPr>
        <w:t xml:space="preserve">he difference in costs and QALYs between </w:t>
      </w:r>
      <w:r w:rsidR="009F3B08" w:rsidRPr="0079308B">
        <w:rPr>
          <w:rFonts w:cstheme="minorHAnsi"/>
          <w:sz w:val="22"/>
          <w:szCs w:val="22"/>
        </w:rPr>
        <w:t>different testing approaches and no testing</w:t>
      </w:r>
      <w:r w:rsidR="000C1F8E" w:rsidRPr="0079308B">
        <w:rPr>
          <w:rFonts w:cstheme="minorHAnsi"/>
          <w:sz w:val="22"/>
          <w:szCs w:val="22"/>
        </w:rPr>
        <w:t>.</w:t>
      </w:r>
      <w:r w:rsidR="003D4428" w:rsidRPr="0079308B">
        <w:rPr>
          <w:rFonts w:cstheme="minorHAnsi"/>
          <w:sz w:val="22"/>
          <w:szCs w:val="22"/>
        </w:rPr>
        <w:t xml:space="preserve"> </w:t>
      </w:r>
      <w:r w:rsidR="002E09D0" w:rsidRPr="0079308B">
        <w:rPr>
          <w:rFonts w:cstheme="minorHAnsi"/>
          <w:sz w:val="22"/>
          <w:szCs w:val="22"/>
        </w:rPr>
        <w:t>P</w:t>
      </w:r>
      <w:r w:rsidR="00790BA4" w:rsidRPr="0079308B">
        <w:rPr>
          <w:rFonts w:cstheme="minorHAnsi"/>
          <w:sz w:val="22"/>
          <w:szCs w:val="22"/>
        </w:rPr>
        <w:t xml:space="preserve">atients with characteristics based on our study population and study outcomes will enter the model. </w:t>
      </w:r>
      <w:r w:rsidR="00F46884" w:rsidRPr="0079308B">
        <w:rPr>
          <w:rFonts w:cstheme="minorHAnsi"/>
          <w:sz w:val="22"/>
          <w:szCs w:val="22"/>
        </w:rPr>
        <w:t xml:space="preserve">The model will have </w:t>
      </w:r>
      <w:proofErr w:type="gramStart"/>
      <w:r w:rsidR="004C485A" w:rsidRPr="0079308B">
        <w:rPr>
          <w:rFonts w:cstheme="minorHAnsi"/>
          <w:sz w:val="22"/>
          <w:szCs w:val="22"/>
        </w:rPr>
        <w:t>one</w:t>
      </w:r>
      <w:r w:rsidR="00F46884" w:rsidRPr="0079308B">
        <w:rPr>
          <w:rFonts w:cstheme="minorHAnsi"/>
          <w:sz w:val="22"/>
          <w:szCs w:val="22"/>
        </w:rPr>
        <w:t xml:space="preserve"> year</w:t>
      </w:r>
      <w:proofErr w:type="gramEnd"/>
      <w:r w:rsidR="00F46884" w:rsidRPr="0079308B">
        <w:rPr>
          <w:rFonts w:cstheme="minorHAnsi"/>
          <w:sz w:val="22"/>
          <w:szCs w:val="22"/>
        </w:rPr>
        <w:t xml:space="preserve"> cycles</w:t>
      </w:r>
      <w:r w:rsidR="004C485A" w:rsidRPr="0079308B">
        <w:rPr>
          <w:rFonts w:cstheme="minorHAnsi"/>
          <w:sz w:val="22"/>
          <w:szCs w:val="22"/>
        </w:rPr>
        <w:t xml:space="preserve"> and</w:t>
      </w:r>
      <w:r w:rsidR="00F46884" w:rsidRPr="0079308B">
        <w:rPr>
          <w:rFonts w:cstheme="minorHAnsi"/>
          <w:sz w:val="22"/>
          <w:szCs w:val="22"/>
        </w:rPr>
        <w:t xml:space="preserve"> a lifetime horizon </w:t>
      </w:r>
      <w:r w:rsidR="00A25862" w:rsidRPr="0079308B">
        <w:rPr>
          <w:rFonts w:cstheme="minorHAnsi"/>
          <w:sz w:val="22"/>
          <w:szCs w:val="22"/>
        </w:rPr>
        <w:t>[</w:t>
      </w:r>
      <w:proofErr w:type="spellStart"/>
      <w:r w:rsidR="00F46884" w:rsidRPr="0079308B">
        <w:rPr>
          <w:rFonts w:cstheme="minorHAnsi"/>
          <w:sz w:val="22"/>
          <w:szCs w:val="22"/>
        </w:rPr>
        <w:t>i.e</w:t>
      </w:r>
      <w:proofErr w:type="spellEnd"/>
      <w:r w:rsidR="00F46884" w:rsidRPr="0079308B">
        <w:rPr>
          <w:rFonts w:cstheme="minorHAnsi"/>
          <w:sz w:val="22"/>
          <w:szCs w:val="22"/>
        </w:rPr>
        <w:t xml:space="preserve"> until the cohort age is 100 years</w:t>
      </w:r>
      <w:r w:rsidR="00A25862" w:rsidRPr="0079308B">
        <w:rPr>
          <w:rFonts w:cstheme="minorHAnsi"/>
          <w:sz w:val="22"/>
          <w:szCs w:val="22"/>
        </w:rPr>
        <w:t>]</w:t>
      </w:r>
      <w:r w:rsidR="004C485A" w:rsidRPr="0079308B">
        <w:rPr>
          <w:rFonts w:cstheme="minorHAnsi"/>
          <w:sz w:val="22"/>
          <w:szCs w:val="22"/>
        </w:rPr>
        <w:t xml:space="preserve">. Costs will be </w:t>
      </w:r>
      <w:r w:rsidR="009C631C" w:rsidRPr="0079308B">
        <w:rPr>
          <w:rFonts w:cstheme="minorHAnsi"/>
          <w:sz w:val="22"/>
          <w:szCs w:val="22"/>
        </w:rPr>
        <w:t xml:space="preserve">calculated </w:t>
      </w:r>
      <w:r w:rsidR="004C485A" w:rsidRPr="0079308B">
        <w:rPr>
          <w:rFonts w:cstheme="minorHAnsi"/>
          <w:sz w:val="22"/>
          <w:szCs w:val="22"/>
        </w:rPr>
        <w:t xml:space="preserve">using </w:t>
      </w:r>
      <w:r w:rsidRPr="0079308B">
        <w:rPr>
          <w:rFonts w:cstheme="minorHAnsi"/>
          <w:sz w:val="22"/>
          <w:szCs w:val="22"/>
        </w:rPr>
        <w:t>a</w:t>
      </w:r>
      <w:r w:rsidR="002B2F89" w:rsidRPr="0079308B">
        <w:rPr>
          <w:rFonts w:cstheme="minorHAnsi"/>
          <w:sz w:val="22"/>
          <w:szCs w:val="22"/>
        </w:rPr>
        <w:t>n</w:t>
      </w:r>
      <w:r w:rsidRPr="0079308B">
        <w:rPr>
          <w:rFonts w:cstheme="minorHAnsi"/>
          <w:sz w:val="22"/>
          <w:szCs w:val="22"/>
        </w:rPr>
        <w:t xml:space="preserve"> NHS and Personal Social Services perspective</w:t>
      </w:r>
      <w:r w:rsidR="00F46884" w:rsidRPr="0079308B">
        <w:rPr>
          <w:rFonts w:cstheme="minorHAnsi"/>
          <w:sz w:val="22"/>
          <w:szCs w:val="22"/>
        </w:rPr>
        <w:t>.</w:t>
      </w:r>
      <w:r w:rsidRPr="0079308B">
        <w:rPr>
          <w:rFonts w:cstheme="minorHAnsi"/>
          <w:sz w:val="22"/>
          <w:szCs w:val="22"/>
        </w:rPr>
        <w:t xml:space="preserve"> Costs and utilities for the model health states will be taken from a targeted review of the medical literature. </w:t>
      </w:r>
    </w:p>
    <w:p w14:paraId="2E8B99E3" w14:textId="77777777" w:rsidR="002E09D0" w:rsidRPr="0079308B" w:rsidRDefault="002E09D0" w:rsidP="00E312B1">
      <w:pPr>
        <w:spacing w:line="360" w:lineRule="auto"/>
        <w:rPr>
          <w:rFonts w:cstheme="minorHAnsi"/>
          <w:sz w:val="22"/>
          <w:szCs w:val="22"/>
        </w:rPr>
      </w:pPr>
    </w:p>
    <w:p w14:paraId="32B4883C" w14:textId="7118C9E2" w:rsidR="002E09D0" w:rsidRPr="0079308B" w:rsidRDefault="002E09D0" w:rsidP="009F3B08">
      <w:pPr>
        <w:spacing w:line="360" w:lineRule="auto"/>
        <w:rPr>
          <w:rFonts w:cstheme="minorHAnsi"/>
          <w:sz w:val="22"/>
          <w:szCs w:val="22"/>
        </w:rPr>
      </w:pPr>
      <w:r w:rsidRPr="0079308B">
        <w:rPr>
          <w:rFonts w:cstheme="minorHAnsi"/>
          <w:sz w:val="22"/>
          <w:szCs w:val="22"/>
        </w:rPr>
        <w:t xml:space="preserve">Our base-case analysis will closely match real-world practice. In both </w:t>
      </w:r>
      <w:proofErr w:type="gramStart"/>
      <w:r w:rsidRPr="0079308B">
        <w:rPr>
          <w:rFonts w:cstheme="minorHAnsi"/>
          <w:sz w:val="22"/>
          <w:szCs w:val="22"/>
        </w:rPr>
        <w:t>cohorts</w:t>
      </w:r>
      <w:proofErr w:type="gramEnd"/>
      <w:r w:rsidRPr="0079308B">
        <w:rPr>
          <w:rFonts w:cstheme="minorHAnsi"/>
          <w:sz w:val="22"/>
          <w:szCs w:val="22"/>
        </w:rPr>
        <w:t xml:space="preserve"> patients identified with liver cirrhosis and referred for HCC surveillance will </w:t>
      </w:r>
      <w:r w:rsidR="000E5DBA" w:rsidRPr="0079308B">
        <w:rPr>
          <w:rFonts w:cstheme="minorHAnsi"/>
          <w:sz w:val="22"/>
          <w:szCs w:val="22"/>
        </w:rPr>
        <w:t xml:space="preserve">enter a </w:t>
      </w:r>
      <w:r w:rsidR="004C485A" w:rsidRPr="0079308B">
        <w:rPr>
          <w:rFonts w:cstheme="minorHAnsi"/>
          <w:sz w:val="22"/>
          <w:szCs w:val="22"/>
        </w:rPr>
        <w:t>separate</w:t>
      </w:r>
      <w:r w:rsidR="000E5DBA" w:rsidRPr="0079308B">
        <w:rPr>
          <w:rFonts w:cstheme="minorHAnsi"/>
          <w:sz w:val="22"/>
          <w:szCs w:val="22"/>
        </w:rPr>
        <w:t xml:space="preserve"> health state – </w:t>
      </w:r>
      <w:r w:rsidR="00F46884" w:rsidRPr="0079308B">
        <w:rPr>
          <w:rFonts w:cstheme="minorHAnsi"/>
          <w:sz w:val="22"/>
          <w:szCs w:val="22"/>
        </w:rPr>
        <w:t xml:space="preserve">named </w:t>
      </w:r>
      <w:r w:rsidR="000E5DBA" w:rsidRPr="0079308B">
        <w:rPr>
          <w:rFonts w:cstheme="minorHAnsi"/>
          <w:sz w:val="22"/>
          <w:szCs w:val="22"/>
        </w:rPr>
        <w:t>F4_SURV. Based on recently published data</w:t>
      </w:r>
      <w:r w:rsidR="009F3B08" w:rsidRPr="0079308B">
        <w:rPr>
          <w:rFonts w:cstheme="minorHAnsi"/>
          <w:sz w:val="22"/>
          <w:szCs w:val="22"/>
        </w:rPr>
        <w:t>,</w:t>
      </w:r>
      <w:r w:rsidR="000E5DBA" w:rsidRPr="0079308B">
        <w:rPr>
          <w:rFonts w:cstheme="minorHAnsi"/>
          <w:sz w:val="22"/>
          <w:szCs w:val="22"/>
        </w:rPr>
        <w:t xml:space="preserve"> participants in </w:t>
      </w:r>
      <w:r w:rsidR="00F46884" w:rsidRPr="0079308B">
        <w:rPr>
          <w:rFonts w:cstheme="minorHAnsi"/>
          <w:sz w:val="22"/>
          <w:szCs w:val="22"/>
        </w:rPr>
        <w:t>this health state</w:t>
      </w:r>
      <w:r w:rsidR="000E5DBA" w:rsidRPr="0079308B">
        <w:rPr>
          <w:rFonts w:cstheme="minorHAnsi"/>
          <w:sz w:val="22"/>
          <w:szCs w:val="22"/>
        </w:rPr>
        <w:t xml:space="preserve"> </w:t>
      </w:r>
      <w:r w:rsidR="00397318" w:rsidRPr="0079308B">
        <w:rPr>
          <w:rFonts w:cstheme="minorHAnsi"/>
          <w:sz w:val="22"/>
          <w:szCs w:val="22"/>
        </w:rPr>
        <w:t xml:space="preserve">who </w:t>
      </w:r>
      <w:r w:rsidR="000E5DBA" w:rsidRPr="0079308B">
        <w:rPr>
          <w:rFonts w:cstheme="minorHAnsi"/>
          <w:sz w:val="22"/>
          <w:szCs w:val="22"/>
        </w:rPr>
        <w:t xml:space="preserve">develop HCC will have a higher chance of cure </w:t>
      </w:r>
      <w:r w:rsidR="00A25862" w:rsidRPr="0079308B">
        <w:rPr>
          <w:rFonts w:cstheme="minorHAnsi"/>
          <w:sz w:val="22"/>
          <w:szCs w:val="22"/>
        </w:rPr>
        <w:t>[</w:t>
      </w:r>
      <w:r w:rsidR="000E5DBA" w:rsidRPr="0079308B">
        <w:rPr>
          <w:rFonts w:cstheme="minorHAnsi"/>
          <w:sz w:val="22"/>
          <w:szCs w:val="22"/>
        </w:rPr>
        <w:t>i.e. return to</w:t>
      </w:r>
      <w:r w:rsidR="00F46884" w:rsidRPr="0079308B">
        <w:rPr>
          <w:rFonts w:cstheme="minorHAnsi"/>
          <w:sz w:val="22"/>
          <w:szCs w:val="22"/>
        </w:rPr>
        <w:t xml:space="preserve"> their original</w:t>
      </w:r>
      <w:r w:rsidR="000E5DBA" w:rsidRPr="0079308B">
        <w:rPr>
          <w:rFonts w:cstheme="minorHAnsi"/>
          <w:sz w:val="22"/>
          <w:szCs w:val="22"/>
        </w:rPr>
        <w:t xml:space="preserve"> F4 SURV health state</w:t>
      </w:r>
      <w:r w:rsidR="00A25862" w:rsidRPr="0079308B">
        <w:rPr>
          <w:rFonts w:cstheme="minorHAnsi"/>
          <w:sz w:val="22"/>
          <w:szCs w:val="22"/>
        </w:rPr>
        <w:t>]</w:t>
      </w:r>
      <w:r w:rsidR="000E5DBA" w:rsidRPr="0079308B">
        <w:rPr>
          <w:rFonts w:cstheme="minorHAnsi"/>
          <w:sz w:val="22"/>
          <w:szCs w:val="22"/>
        </w:rPr>
        <w:t xml:space="preserve"> and a lower chance of progression to death or transplantation.</w:t>
      </w:r>
      <w:r w:rsidR="00A25862" w:rsidRPr="0079308B">
        <w:rPr>
          <w:rFonts w:cstheme="minorHAnsi"/>
          <w:noProof/>
          <w:sz w:val="22"/>
          <w:szCs w:val="22"/>
        </w:rPr>
        <w:t>[</w:t>
      </w:r>
      <w:r w:rsidR="000E5DBA" w:rsidRPr="0079308B">
        <w:rPr>
          <w:rFonts w:cstheme="minorHAnsi"/>
          <w:noProof/>
          <w:sz w:val="22"/>
          <w:szCs w:val="22"/>
        </w:rPr>
        <w:t>16</w:t>
      </w:r>
      <w:r w:rsidR="00A25862" w:rsidRPr="0079308B">
        <w:rPr>
          <w:rFonts w:cstheme="minorHAnsi"/>
          <w:noProof/>
          <w:sz w:val="22"/>
          <w:szCs w:val="22"/>
        </w:rPr>
        <w:t>]</w:t>
      </w:r>
      <w:r w:rsidR="000E5DBA" w:rsidRPr="0079308B">
        <w:rPr>
          <w:rFonts w:cstheme="minorHAnsi"/>
          <w:sz w:val="22"/>
          <w:szCs w:val="22"/>
        </w:rPr>
        <w:t xml:space="preserve"> Similarly, a proportion of those in F4_SURV will have a lower risk of progressing to a decompensated state that reflects the real-world number of participants who commence B blockers in accordance with recent guidelines.</w:t>
      </w:r>
      <w:r w:rsidR="00A25862" w:rsidRPr="0079308B">
        <w:rPr>
          <w:rFonts w:cstheme="minorHAnsi"/>
          <w:noProof/>
          <w:sz w:val="22"/>
          <w:szCs w:val="22"/>
        </w:rPr>
        <w:t>[</w:t>
      </w:r>
      <w:r w:rsidR="0099151B" w:rsidRPr="0079308B">
        <w:rPr>
          <w:rFonts w:cstheme="minorHAnsi"/>
          <w:noProof/>
          <w:sz w:val="22"/>
          <w:szCs w:val="22"/>
        </w:rPr>
        <w:t>45,46</w:t>
      </w:r>
      <w:r w:rsidR="00A25862" w:rsidRPr="0079308B">
        <w:rPr>
          <w:rFonts w:cstheme="minorHAnsi"/>
          <w:noProof/>
          <w:sz w:val="22"/>
          <w:szCs w:val="22"/>
        </w:rPr>
        <w:t>]</w:t>
      </w:r>
      <w:r w:rsidR="000E5DBA" w:rsidRPr="0079308B">
        <w:rPr>
          <w:rFonts w:cstheme="minorHAnsi"/>
          <w:sz w:val="22"/>
          <w:szCs w:val="22"/>
        </w:rPr>
        <w:t xml:space="preserve"> Participants identified with F2 or F3 disease will enter monitoring states </w:t>
      </w:r>
      <w:r w:rsidR="00A25862" w:rsidRPr="0079308B">
        <w:rPr>
          <w:rFonts w:cstheme="minorHAnsi"/>
          <w:sz w:val="22"/>
          <w:szCs w:val="22"/>
        </w:rPr>
        <w:t>[</w:t>
      </w:r>
      <w:r w:rsidR="000E5DBA" w:rsidRPr="0079308B">
        <w:rPr>
          <w:rFonts w:cstheme="minorHAnsi"/>
          <w:sz w:val="22"/>
          <w:szCs w:val="22"/>
        </w:rPr>
        <w:t>F2_Mon and F3_Mon</w:t>
      </w:r>
      <w:r w:rsidR="00A25862" w:rsidRPr="0079308B">
        <w:rPr>
          <w:rFonts w:cstheme="minorHAnsi"/>
          <w:sz w:val="22"/>
          <w:szCs w:val="22"/>
        </w:rPr>
        <w:t>]</w:t>
      </w:r>
      <w:r w:rsidR="009F3B08" w:rsidRPr="0079308B">
        <w:rPr>
          <w:rFonts w:cstheme="minorHAnsi"/>
          <w:sz w:val="22"/>
          <w:szCs w:val="22"/>
        </w:rPr>
        <w:t xml:space="preserve"> </w:t>
      </w:r>
      <w:r w:rsidR="000E5DBA" w:rsidRPr="0079308B">
        <w:rPr>
          <w:rFonts w:cstheme="minorHAnsi"/>
          <w:sz w:val="22"/>
          <w:szCs w:val="22"/>
        </w:rPr>
        <w:t xml:space="preserve">and undergo biannual assessment for progression to F4 disease. Monitoring will stop when participants in the model reach 80 years of age. </w:t>
      </w:r>
    </w:p>
    <w:p w14:paraId="633CC7ED" w14:textId="77777777" w:rsidR="000E5DBA" w:rsidRPr="0079308B" w:rsidRDefault="000E5DBA" w:rsidP="009F3B08">
      <w:pPr>
        <w:spacing w:line="360" w:lineRule="auto"/>
        <w:rPr>
          <w:rFonts w:cstheme="minorHAnsi"/>
          <w:sz w:val="22"/>
          <w:szCs w:val="22"/>
        </w:rPr>
      </w:pPr>
    </w:p>
    <w:p w14:paraId="6DB7DF66" w14:textId="60EA26B9" w:rsidR="000E5DBA" w:rsidRPr="0079308B" w:rsidRDefault="000E5DBA" w:rsidP="009F3B08">
      <w:pPr>
        <w:spacing w:line="360" w:lineRule="auto"/>
        <w:rPr>
          <w:rFonts w:cstheme="minorHAnsi"/>
          <w:sz w:val="22"/>
          <w:szCs w:val="22"/>
        </w:rPr>
      </w:pPr>
      <w:r w:rsidRPr="0079308B">
        <w:rPr>
          <w:rFonts w:cstheme="minorHAnsi"/>
          <w:sz w:val="22"/>
          <w:szCs w:val="22"/>
        </w:rPr>
        <w:t>As part of our base case analysis</w:t>
      </w:r>
      <w:r w:rsidR="004C485A" w:rsidRPr="0079308B">
        <w:rPr>
          <w:rFonts w:cstheme="minorHAnsi"/>
          <w:sz w:val="22"/>
          <w:szCs w:val="22"/>
        </w:rPr>
        <w:t>,</w:t>
      </w:r>
      <w:r w:rsidRPr="0079308B">
        <w:rPr>
          <w:rFonts w:cstheme="minorHAnsi"/>
          <w:sz w:val="22"/>
          <w:szCs w:val="22"/>
        </w:rPr>
        <w:t xml:space="preserve"> we will calculate </w:t>
      </w:r>
      <w:r w:rsidR="004C485A" w:rsidRPr="0079308B">
        <w:rPr>
          <w:rFonts w:cstheme="minorHAnsi"/>
          <w:sz w:val="22"/>
          <w:szCs w:val="22"/>
        </w:rPr>
        <w:t xml:space="preserve">the cost-effectiveness </w:t>
      </w:r>
      <w:r w:rsidR="00A25862" w:rsidRPr="0079308B">
        <w:rPr>
          <w:rFonts w:cstheme="minorHAnsi"/>
          <w:sz w:val="22"/>
          <w:szCs w:val="22"/>
        </w:rPr>
        <w:t>[</w:t>
      </w:r>
      <w:r w:rsidR="009C631C" w:rsidRPr="0079308B">
        <w:rPr>
          <w:rFonts w:cstheme="minorHAnsi"/>
          <w:sz w:val="22"/>
          <w:szCs w:val="22"/>
        </w:rPr>
        <w:t>cost per QALY</w:t>
      </w:r>
      <w:r w:rsidR="00A25862" w:rsidRPr="0079308B">
        <w:rPr>
          <w:rFonts w:cstheme="minorHAnsi"/>
          <w:sz w:val="22"/>
          <w:szCs w:val="22"/>
        </w:rPr>
        <w:t>]</w:t>
      </w:r>
      <w:r w:rsidR="009C631C" w:rsidRPr="0079308B">
        <w:rPr>
          <w:rFonts w:cstheme="minorHAnsi"/>
          <w:sz w:val="22"/>
          <w:szCs w:val="22"/>
        </w:rPr>
        <w:t xml:space="preserve"> </w:t>
      </w:r>
      <w:r w:rsidR="004C485A" w:rsidRPr="0079308B">
        <w:rPr>
          <w:rFonts w:cstheme="minorHAnsi"/>
          <w:sz w:val="22"/>
          <w:szCs w:val="22"/>
        </w:rPr>
        <w:t xml:space="preserve">of </w:t>
      </w:r>
      <w:r w:rsidR="009F3B08" w:rsidRPr="0079308B">
        <w:rPr>
          <w:rFonts w:cstheme="minorHAnsi"/>
          <w:sz w:val="22"/>
          <w:szCs w:val="22"/>
        </w:rPr>
        <w:t>four</w:t>
      </w:r>
      <w:r w:rsidRPr="0079308B">
        <w:rPr>
          <w:rFonts w:cstheme="minorHAnsi"/>
          <w:sz w:val="22"/>
          <w:szCs w:val="22"/>
        </w:rPr>
        <w:t xml:space="preserve"> testing strategies that are broadly reflective of current testing strategies in the study region and the </w:t>
      </w:r>
      <w:r w:rsidR="00286446" w:rsidRPr="0079308B">
        <w:rPr>
          <w:rFonts w:cstheme="minorHAnsi"/>
          <w:sz w:val="22"/>
          <w:szCs w:val="22"/>
        </w:rPr>
        <w:t xml:space="preserve">NHSE pilot </w:t>
      </w:r>
      <w:r w:rsidR="00A25862" w:rsidRPr="0079308B">
        <w:rPr>
          <w:rFonts w:cstheme="minorHAnsi"/>
          <w:sz w:val="22"/>
          <w:szCs w:val="22"/>
        </w:rPr>
        <w:t>[</w:t>
      </w:r>
      <w:r w:rsidR="00286446" w:rsidRPr="0079308B">
        <w:rPr>
          <w:rFonts w:cstheme="minorHAnsi"/>
          <w:sz w:val="22"/>
          <w:szCs w:val="22"/>
        </w:rPr>
        <w:t>described in the background</w:t>
      </w:r>
      <w:r w:rsidR="00A25862" w:rsidRPr="0079308B">
        <w:rPr>
          <w:rFonts w:cstheme="minorHAnsi"/>
          <w:sz w:val="22"/>
          <w:szCs w:val="22"/>
        </w:rPr>
        <w:t>]</w:t>
      </w:r>
      <w:r w:rsidRPr="0079308B">
        <w:rPr>
          <w:rFonts w:cstheme="minorHAnsi"/>
          <w:sz w:val="22"/>
          <w:szCs w:val="22"/>
        </w:rPr>
        <w:t xml:space="preserve">. </w:t>
      </w:r>
      <w:r w:rsidR="009F3B08" w:rsidRPr="0079308B">
        <w:rPr>
          <w:rFonts w:cstheme="minorHAnsi"/>
          <w:sz w:val="22"/>
          <w:szCs w:val="22"/>
        </w:rPr>
        <w:t>These will be compared against ‘no testing’ and presented as ICERs that can then be compared</w:t>
      </w:r>
      <w:r w:rsidR="00FC7DB4" w:rsidRPr="0079308B">
        <w:rPr>
          <w:rFonts w:cstheme="minorHAnsi"/>
          <w:sz w:val="22"/>
          <w:szCs w:val="22"/>
        </w:rPr>
        <w:t xml:space="preserve"> between strategies.</w:t>
      </w:r>
    </w:p>
    <w:p w14:paraId="749FDF37" w14:textId="77777777" w:rsidR="000E5DBA" w:rsidRPr="0079308B" w:rsidRDefault="000E5DBA" w:rsidP="009F3B08">
      <w:pPr>
        <w:spacing w:line="360" w:lineRule="auto"/>
        <w:rPr>
          <w:rFonts w:cstheme="minorHAnsi"/>
          <w:sz w:val="22"/>
          <w:szCs w:val="22"/>
        </w:rPr>
      </w:pPr>
    </w:p>
    <w:p w14:paraId="5789C5DB" w14:textId="2F813BFF" w:rsidR="009F3B08" w:rsidRPr="0079308B" w:rsidRDefault="009F3B08" w:rsidP="009F3B08">
      <w:pPr>
        <w:pStyle w:val="ListParagraph"/>
        <w:numPr>
          <w:ilvl w:val="0"/>
          <w:numId w:val="13"/>
        </w:numPr>
        <w:spacing w:line="360" w:lineRule="auto"/>
        <w:rPr>
          <w:rFonts w:cstheme="minorHAnsi"/>
          <w:sz w:val="22"/>
          <w:szCs w:val="22"/>
        </w:rPr>
      </w:pPr>
      <w:r w:rsidRPr="0079308B">
        <w:rPr>
          <w:rFonts w:cstheme="minorHAnsi"/>
          <w:sz w:val="22"/>
          <w:szCs w:val="22"/>
        </w:rPr>
        <w:t>Usual care</w:t>
      </w:r>
    </w:p>
    <w:p w14:paraId="087A4199" w14:textId="5149DB16" w:rsidR="000E5DBA" w:rsidRPr="0079308B" w:rsidRDefault="009F3B08" w:rsidP="009F3B08">
      <w:pPr>
        <w:pStyle w:val="ListParagraph"/>
        <w:numPr>
          <w:ilvl w:val="0"/>
          <w:numId w:val="13"/>
        </w:numPr>
        <w:spacing w:line="360" w:lineRule="auto"/>
        <w:rPr>
          <w:rFonts w:cstheme="minorHAnsi"/>
          <w:sz w:val="22"/>
          <w:szCs w:val="22"/>
        </w:rPr>
      </w:pPr>
      <w:r w:rsidRPr="0079308B">
        <w:rPr>
          <w:rFonts w:cstheme="minorHAnsi"/>
          <w:sz w:val="22"/>
          <w:szCs w:val="22"/>
        </w:rPr>
        <w:t xml:space="preserve">Reflex testing with </w:t>
      </w:r>
      <w:r w:rsidR="000E5DBA" w:rsidRPr="0079308B">
        <w:rPr>
          <w:rFonts w:cstheme="minorHAnsi"/>
          <w:sz w:val="22"/>
          <w:szCs w:val="22"/>
        </w:rPr>
        <w:t xml:space="preserve">VCTE only </w:t>
      </w:r>
      <w:r w:rsidR="00A25862" w:rsidRPr="0079308B">
        <w:rPr>
          <w:rFonts w:cstheme="minorHAnsi"/>
          <w:sz w:val="22"/>
          <w:szCs w:val="22"/>
        </w:rPr>
        <w:t>[</w:t>
      </w:r>
      <w:proofErr w:type="gramStart"/>
      <w:r w:rsidR="000E5DBA" w:rsidRPr="0079308B">
        <w:rPr>
          <w:rFonts w:cstheme="minorHAnsi"/>
          <w:sz w:val="22"/>
          <w:szCs w:val="22"/>
        </w:rPr>
        <w:t>i.e.</w:t>
      </w:r>
      <w:proofErr w:type="gramEnd"/>
      <w:r w:rsidR="000E5DBA" w:rsidRPr="0079308B">
        <w:rPr>
          <w:rFonts w:cstheme="minorHAnsi"/>
          <w:sz w:val="22"/>
          <w:szCs w:val="22"/>
        </w:rPr>
        <w:t xml:space="preserve"> everyone </w:t>
      </w:r>
      <w:r w:rsidRPr="0079308B">
        <w:rPr>
          <w:rFonts w:cstheme="minorHAnsi"/>
          <w:sz w:val="22"/>
          <w:szCs w:val="22"/>
        </w:rPr>
        <w:t>offered</w:t>
      </w:r>
      <w:r w:rsidR="000E5DBA" w:rsidRPr="0079308B">
        <w:rPr>
          <w:rFonts w:cstheme="minorHAnsi"/>
          <w:sz w:val="22"/>
          <w:szCs w:val="22"/>
        </w:rPr>
        <w:t xml:space="preserve"> VCTE</w:t>
      </w:r>
      <w:r w:rsidR="00A25862" w:rsidRPr="0079308B">
        <w:rPr>
          <w:rFonts w:cstheme="minorHAnsi"/>
          <w:sz w:val="22"/>
          <w:szCs w:val="22"/>
        </w:rPr>
        <w:t>]</w:t>
      </w:r>
    </w:p>
    <w:p w14:paraId="75BEDD99" w14:textId="6A6B31D6" w:rsidR="000E5DBA" w:rsidRPr="0079308B" w:rsidRDefault="002C5C1D" w:rsidP="009F3B08">
      <w:pPr>
        <w:pStyle w:val="ListParagraph"/>
        <w:numPr>
          <w:ilvl w:val="0"/>
          <w:numId w:val="13"/>
        </w:numPr>
        <w:spacing w:line="360" w:lineRule="auto"/>
        <w:rPr>
          <w:rFonts w:cstheme="minorHAnsi"/>
          <w:sz w:val="22"/>
          <w:szCs w:val="22"/>
        </w:rPr>
      </w:pPr>
      <w:r w:rsidRPr="0079308B">
        <w:rPr>
          <w:rFonts w:cstheme="minorHAnsi"/>
          <w:sz w:val="22"/>
          <w:szCs w:val="22"/>
        </w:rPr>
        <w:t xml:space="preserve">FIB-4 </w:t>
      </w:r>
      <w:r w:rsidR="000E5DBA" w:rsidRPr="0079308B">
        <w:rPr>
          <w:rFonts w:cstheme="minorHAnsi"/>
          <w:sz w:val="22"/>
          <w:szCs w:val="22"/>
        </w:rPr>
        <w:t xml:space="preserve">then VCTE for patients with </w:t>
      </w:r>
      <w:r w:rsidRPr="0079308B">
        <w:rPr>
          <w:rFonts w:cstheme="minorHAnsi"/>
          <w:sz w:val="22"/>
          <w:szCs w:val="22"/>
        </w:rPr>
        <w:t>FIB-4</w:t>
      </w:r>
      <w:r w:rsidR="000E5DBA" w:rsidRPr="0079308B">
        <w:rPr>
          <w:rFonts w:cstheme="minorHAnsi"/>
          <w:sz w:val="22"/>
          <w:szCs w:val="22"/>
        </w:rPr>
        <w:t xml:space="preserve"> &gt;</w:t>
      </w:r>
      <w:r w:rsidR="009F3B08" w:rsidRPr="0079308B">
        <w:rPr>
          <w:rFonts w:cstheme="minorHAnsi"/>
          <w:sz w:val="22"/>
          <w:szCs w:val="22"/>
        </w:rPr>
        <w:t>3.25</w:t>
      </w:r>
    </w:p>
    <w:p w14:paraId="0164DDFB" w14:textId="1FDE3907" w:rsidR="000E5DBA" w:rsidRPr="0079308B" w:rsidRDefault="003C38BC" w:rsidP="009F3B08">
      <w:pPr>
        <w:pStyle w:val="ListParagraph"/>
        <w:numPr>
          <w:ilvl w:val="0"/>
          <w:numId w:val="13"/>
        </w:numPr>
        <w:spacing w:line="360" w:lineRule="auto"/>
        <w:rPr>
          <w:rFonts w:cstheme="minorHAnsi"/>
          <w:sz w:val="22"/>
          <w:szCs w:val="22"/>
        </w:rPr>
      </w:pPr>
      <w:r w:rsidRPr="0079308B">
        <w:rPr>
          <w:sz w:val="22"/>
          <w:szCs w:val="22"/>
        </w:rPr>
        <w:t>ELF</w:t>
      </w:r>
      <w:r w:rsidRPr="0079308B">
        <w:rPr>
          <w:rFonts w:ascii="Calibri" w:hAnsi="Calibri" w:cs="Calibri"/>
          <w:sz w:val="22"/>
          <w:szCs w:val="22"/>
        </w:rPr>
        <w:t>™</w:t>
      </w:r>
      <w:r w:rsidR="000E5DBA" w:rsidRPr="0079308B">
        <w:rPr>
          <w:rFonts w:cstheme="minorHAnsi"/>
          <w:sz w:val="22"/>
          <w:szCs w:val="22"/>
        </w:rPr>
        <w:t xml:space="preserve"> then VCTE for patients with an </w:t>
      </w:r>
      <w:r w:rsidRPr="0079308B">
        <w:rPr>
          <w:sz w:val="22"/>
          <w:szCs w:val="22"/>
        </w:rPr>
        <w:t>ELF</w:t>
      </w:r>
      <w:r w:rsidRPr="0079308B">
        <w:rPr>
          <w:rFonts w:ascii="Calibri" w:hAnsi="Calibri" w:cs="Calibri"/>
          <w:sz w:val="22"/>
          <w:szCs w:val="22"/>
        </w:rPr>
        <w:t>™</w:t>
      </w:r>
      <w:r w:rsidR="000E5DBA" w:rsidRPr="0079308B">
        <w:rPr>
          <w:rFonts w:cstheme="minorHAnsi"/>
          <w:sz w:val="22"/>
          <w:szCs w:val="22"/>
        </w:rPr>
        <w:t xml:space="preserve"> &gt;9.5</w:t>
      </w:r>
    </w:p>
    <w:p w14:paraId="1B49BC9C" w14:textId="77777777" w:rsidR="000E5DBA" w:rsidRPr="0079308B" w:rsidRDefault="000E5DBA" w:rsidP="009F3B08">
      <w:pPr>
        <w:spacing w:line="360" w:lineRule="auto"/>
        <w:rPr>
          <w:rFonts w:cstheme="minorHAnsi"/>
          <w:sz w:val="22"/>
          <w:szCs w:val="22"/>
        </w:rPr>
      </w:pPr>
    </w:p>
    <w:p w14:paraId="79E981B2" w14:textId="2F2FBAE5" w:rsidR="00EA04EF" w:rsidRPr="0079308B" w:rsidRDefault="009C631C" w:rsidP="009F3B08">
      <w:pPr>
        <w:spacing w:line="360" w:lineRule="auto"/>
        <w:rPr>
          <w:rFonts w:cstheme="minorHAnsi"/>
          <w:sz w:val="22"/>
          <w:szCs w:val="22"/>
        </w:rPr>
      </w:pPr>
      <w:r w:rsidRPr="0079308B">
        <w:rPr>
          <w:rFonts w:cstheme="minorHAnsi"/>
          <w:sz w:val="22"/>
          <w:szCs w:val="22"/>
        </w:rPr>
        <w:t>W</w:t>
      </w:r>
      <w:r w:rsidR="000C4F9E" w:rsidRPr="0079308B">
        <w:rPr>
          <w:rFonts w:cstheme="minorHAnsi"/>
          <w:sz w:val="22"/>
          <w:szCs w:val="22"/>
        </w:rPr>
        <w:t>e will conduct probabilistic sensitivity analys</w:t>
      </w:r>
      <w:r w:rsidRPr="0079308B">
        <w:rPr>
          <w:rFonts w:cstheme="minorHAnsi"/>
          <w:sz w:val="22"/>
          <w:szCs w:val="22"/>
        </w:rPr>
        <w:t>e</w:t>
      </w:r>
      <w:r w:rsidR="000C4F9E" w:rsidRPr="0079308B">
        <w:rPr>
          <w:rFonts w:cstheme="minorHAnsi"/>
          <w:sz w:val="22"/>
          <w:szCs w:val="22"/>
        </w:rPr>
        <w:t xml:space="preserve">s where model parameters are </w:t>
      </w:r>
      <w:r w:rsidRPr="0079308B">
        <w:rPr>
          <w:rFonts w:cstheme="minorHAnsi"/>
          <w:sz w:val="22"/>
          <w:szCs w:val="22"/>
        </w:rPr>
        <w:t xml:space="preserve">probabilistically </w:t>
      </w:r>
      <w:r w:rsidR="000C4F9E" w:rsidRPr="0079308B">
        <w:rPr>
          <w:rFonts w:cstheme="minorHAnsi"/>
          <w:sz w:val="22"/>
          <w:szCs w:val="22"/>
        </w:rPr>
        <w:t>varied across pre-specified distribution</w:t>
      </w:r>
      <w:r w:rsidRPr="0079308B">
        <w:rPr>
          <w:rFonts w:cstheme="minorHAnsi"/>
          <w:sz w:val="22"/>
          <w:szCs w:val="22"/>
        </w:rPr>
        <w:t>s</w:t>
      </w:r>
      <w:r w:rsidR="000C4F9E" w:rsidRPr="0079308B">
        <w:rPr>
          <w:rFonts w:cstheme="minorHAnsi"/>
          <w:sz w:val="22"/>
          <w:szCs w:val="22"/>
        </w:rPr>
        <w:t xml:space="preserve"> and range</w:t>
      </w:r>
      <w:r w:rsidRPr="0079308B">
        <w:rPr>
          <w:rFonts w:cstheme="minorHAnsi"/>
          <w:sz w:val="22"/>
          <w:szCs w:val="22"/>
        </w:rPr>
        <w:t>s</w:t>
      </w:r>
      <w:r w:rsidR="000C4F9E" w:rsidRPr="0079308B">
        <w:rPr>
          <w:rFonts w:cstheme="minorHAnsi"/>
          <w:sz w:val="22"/>
          <w:szCs w:val="22"/>
        </w:rPr>
        <w:t>. The results of the probabilistic sensitivity analys</w:t>
      </w:r>
      <w:r w:rsidRPr="0079308B">
        <w:rPr>
          <w:rFonts w:cstheme="minorHAnsi"/>
          <w:sz w:val="22"/>
          <w:szCs w:val="22"/>
        </w:rPr>
        <w:t>e</w:t>
      </w:r>
      <w:r w:rsidR="000C4F9E" w:rsidRPr="0079308B">
        <w:rPr>
          <w:rFonts w:cstheme="minorHAnsi"/>
          <w:sz w:val="22"/>
          <w:szCs w:val="22"/>
        </w:rPr>
        <w:t>s will be presented as a scatter plot</w:t>
      </w:r>
      <w:r w:rsidRPr="0079308B">
        <w:rPr>
          <w:rFonts w:cstheme="minorHAnsi"/>
          <w:sz w:val="22"/>
          <w:szCs w:val="22"/>
        </w:rPr>
        <w:t xml:space="preserve"> and a cost effectiveness acceptability curve</w:t>
      </w:r>
      <w:r w:rsidR="000C4F9E" w:rsidRPr="0079308B">
        <w:rPr>
          <w:rFonts w:cstheme="minorHAnsi"/>
          <w:sz w:val="22"/>
          <w:szCs w:val="22"/>
        </w:rPr>
        <w:t xml:space="preserve">. </w:t>
      </w:r>
    </w:p>
    <w:p w14:paraId="143E0B0A" w14:textId="77777777" w:rsidR="00EA04EF" w:rsidRPr="0079308B" w:rsidRDefault="00EA04EF" w:rsidP="009F3B08">
      <w:pPr>
        <w:spacing w:line="360" w:lineRule="auto"/>
        <w:rPr>
          <w:rFonts w:cstheme="minorHAnsi"/>
          <w:sz w:val="22"/>
          <w:szCs w:val="22"/>
        </w:rPr>
      </w:pPr>
    </w:p>
    <w:p w14:paraId="63415D39" w14:textId="7EFA5816" w:rsidR="000C4F9E" w:rsidRPr="0079308B" w:rsidRDefault="000C4F9E">
      <w:pPr>
        <w:spacing w:line="360" w:lineRule="auto"/>
        <w:rPr>
          <w:rFonts w:cstheme="minorHAnsi"/>
          <w:b/>
          <w:bCs/>
          <w:sz w:val="22"/>
          <w:szCs w:val="22"/>
        </w:rPr>
      </w:pPr>
      <w:r w:rsidRPr="0079308B">
        <w:rPr>
          <w:rFonts w:cstheme="minorHAnsi"/>
          <w:sz w:val="22"/>
          <w:szCs w:val="22"/>
        </w:rPr>
        <w:t xml:space="preserve">Finally, we will conduct </w:t>
      </w:r>
      <w:r w:rsidR="009F3B08" w:rsidRPr="0079308B">
        <w:rPr>
          <w:rFonts w:cstheme="minorHAnsi"/>
          <w:sz w:val="22"/>
          <w:szCs w:val="22"/>
        </w:rPr>
        <w:t xml:space="preserve">a </w:t>
      </w:r>
      <w:proofErr w:type="gramStart"/>
      <w:r w:rsidR="009858CB" w:rsidRPr="0079308B">
        <w:rPr>
          <w:rFonts w:cstheme="minorHAnsi"/>
          <w:sz w:val="22"/>
          <w:szCs w:val="22"/>
        </w:rPr>
        <w:t>one</w:t>
      </w:r>
      <w:r w:rsidR="00FC7DB4" w:rsidRPr="0079308B">
        <w:rPr>
          <w:rFonts w:cstheme="minorHAnsi"/>
          <w:sz w:val="22"/>
          <w:szCs w:val="22"/>
        </w:rPr>
        <w:t>-</w:t>
      </w:r>
      <w:r w:rsidR="009858CB" w:rsidRPr="0079308B">
        <w:rPr>
          <w:rFonts w:cstheme="minorHAnsi"/>
          <w:sz w:val="22"/>
          <w:szCs w:val="22"/>
        </w:rPr>
        <w:t>way sensitivity analyses</w:t>
      </w:r>
      <w:proofErr w:type="gramEnd"/>
      <w:r w:rsidR="009858CB" w:rsidRPr="0079308B">
        <w:rPr>
          <w:rFonts w:cstheme="minorHAnsi"/>
          <w:sz w:val="22"/>
          <w:szCs w:val="22"/>
        </w:rPr>
        <w:t xml:space="preserve"> varying the input parameters in the model and scenarios around the main model assumptions. </w:t>
      </w:r>
      <w:r w:rsidR="00FC7DB4" w:rsidRPr="0079308B">
        <w:rPr>
          <w:rFonts w:cstheme="minorHAnsi"/>
          <w:sz w:val="22"/>
          <w:szCs w:val="22"/>
        </w:rPr>
        <w:t>Specifically, w</w:t>
      </w:r>
      <w:r w:rsidR="009858CB" w:rsidRPr="0079308B">
        <w:rPr>
          <w:rFonts w:cstheme="minorHAnsi"/>
          <w:sz w:val="22"/>
          <w:szCs w:val="22"/>
        </w:rPr>
        <w:t xml:space="preserve">e will </w:t>
      </w:r>
      <w:r w:rsidR="00FC7DB4" w:rsidRPr="0079308B">
        <w:rPr>
          <w:rFonts w:cstheme="minorHAnsi"/>
          <w:sz w:val="22"/>
          <w:szCs w:val="22"/>
        </w:rPr>
        <w:t>test</w:t>
      </w:r>
      <w:r w:rsidR="009858CB" w:rsidRPr="0079308B">
        <w:rPr>
          <w:rFonts w:cstheme="minorHAnsi"/>
          <w:sz w:val="22"/>
          <w:szCs w:val="22"/>
        </w:rPr>
        <w:t xml:space="preserve"> a scenario </w:t>
      </w:r>
      <w:r w:rsidRPr="0079308B">
        <w:rPr>
          <w:rFonts w:cstheme="minorHAnsi"/>
          <w:sz w:val="22"/>
          <w:szCs w:val="22"/>
        </w:rPr>
        <w:t>where we introduce a</w:t>
      </w:r>
      <w:r w:rsidR="00FC7DB4" w:rsidRPr="0079308B">
        <w:rPr>
          <w:rFonts w:cstheme="minorHAnsi"/>
          <w:sz w:val="22"/>
          <w:szCs w:val="22"/>
        </w:rPr>
        <w:t xml:space="preserve"> hypothetical</w:t>
      </w:r>
      <w:r w:rsidRPr="0079308B">
        <w:rPr>
          <w:rFonts w:cstheme="minorHAnsi"/>
          <w:sz w:val="22"/>
          <w:szCs w:val="22"/>
        </w:rPr>
        <w:t xml:space="preserve"> anti-fibrotic agent that is given to patients in the F2_Mon and F3_Mon health states. </w:t>
      </w:r>
      <w:r w:rsidR="00FC7DB4" w:rsidRPr="0079308B">
        <w:rPr>
          <w:rFonts w:cstheme="minorHAnsi"/>
          <w:sz w:val="22"/>
          <w:szCs w:val="22"/>
        </w:rPr>
        <w:t>As part of this w</w:t>
      </w:r>
      <w:r w:rsidRPr="0079308B">
        <w:rPr>
          <w:rFonts w:cstheme="minorHAnsi"/>
          <w:sz w:val="22"/>
          <w:szCs w:val="22"/>
        </w:rPr>
        <w:t xml:space="preserve">e will </w:t>
      </w:r>
      <w:r w:rsidR="009F3B08" w:rsidRPr="0079308B">
        <w:rPr>
          <w:rFonts w:cstheme="minorHAnsi"/>
          <w:sz w:val="22"/>
          <w:szCs w:val="22"/>
        </w:rPr>
        <w:t xml:space="preserve">conduct a threshold analysis where we will </w:t>
      </w:r>
      <w:r w:rsidRPr="0079308B">
        <w:rPr>
          <w:rFonts w:cstheme="minorHAnsi"/>
          <w:sz w:val="22"/>
          <w:szCs w:val="22"/>
        </w:rPr>
        <w:t>calculate ICER</w:t>
      </w:r>
      <w:r w:rsidR="00454B1D" w:rsidRPr="0079308B">
        <w:rPr>
          <w:rFonts w:cstheme="minorHAnsi"/>
          <w:sz w:val="22"/>
          <w:szCs w:val="22"/>
        </w:rPr>
        <w:t>s</w:t>
      </w:r>
      <w:r w:rsidRPr="0079308B">
        <w:rPr>
          <w:rFonts w:cstheme="minorHAnsi"/>
          <w:sz w:val="22"/>
          <w:szCs w:val="22"/>
        </w:rPr>
        <w:t xml:space="preserve"> for </w:t>
      </w:r>
      <w:r w:rsidR="00FC7DB4" w:rsidRPr="0079308B">
        <w:rPr>
          <w:rFonts w:cstheme="minorHAnsi"/>
          <w:sz w:val="22"/>
          <w:szCs w:val="22"/>
        </w:rPr>
        <w:t>the</w:t>
      </w:r>
      <w:r w:rsidRPr="0079308B">
        <w:rPr>
          <w:rFonts w:cstheme="minorHAnsi"/>
          <w:sz w:val="22"/>
          <w:szCs w:val="22"/>
        </w:rPr>
        <w:t xml:space="preserve"> </w:t>
      </w:r>
      <w:r w:rsidR="009F3B08" w:rsidRPr="0079308B">
        <w:rPr>
          <w:rFonts w:cstheme="minorHAnsi"/>
          <w:sz w:val="22"/>
          <w:szCs w:val="22"/>
        </w:rPr>
        <w:t xml:space="preserve">hypothetical </w:t>
      </w:r>
      <w:r w:rsidRPr="0079308B">
        <w:rPr>
          <w:rFonts w:cstheme="minorHAnsi"/>
          <w:sz w:val="22"/>
          <w:szCs w:val="22"/>
        </w:rPr>
        <w:t xml:space="preserve">drug </w:t>
      </w:r>
      <w:r w:rsidR="00FC7DB4" w:rsidRPr="0079308B">
        <w:rPr>
          <w:rFonts w:cstheme="minorHAnsi"/>
          <w:sz w:val="22"/>
          <w:szCs w:val="22"/>
        </w:rPr>
        <w:t>at different levels of therapeutic effectiveness</w:t>
      </w:r>
      <w:r w:rsidRPr="0079308B">
        <w:rPr>
          <w:rFonts w:cstheme="minorHAnsi"/>
          <w:sz w:val="22"/>
          <w:szCs w:val="22"/>
        </w:rPr>
        <w:t xml:space="preserve">. Anti-fibrotic therapy is not part of our base-case analysis as it is not currently part of usual care in England. </w:t>
      </w:r>
      <w:r w:rsidR="00EA04EF" w:rsidRPr="0079308B">
        <w:rPr>
          <w:rFonts w:cstheme="minorHAnsi"/>
          <w:b/>
          <w:bCs/>
          <w:sz w:val="22"/>
          <w:szCs w:val="22"/>
        </w:rPr>
        <w:t xml:space="preserve">Figure </w:t>
      </w:r>
      <w:r w:rsidR="00BF1F91" w:rsidRPr="0079308B">
        <w:rPr>
          <w:rFonts w:cstheme="minorHAnsi"/>
          <w:b/>
          <w:bCs/>
          <w:sz w:val="22"/>
          <w:szCs w:val="22"/>
        </w:rPr>
        <w:t>3</w:t>
      </w:r>
      <w:r w:rsidR="00EA04EF" w:rsidRPr="0079308B">
        <w:rPr>
          <w:rFonts w:cstheme="minorHAnsi"/>
          <w:b/>
          <w:bCs/>
          <w:sz w:val="22"/>
          <w:szCs w:val="22"/>
        </w:rPr>
        <w:t xml:space="preserve"> </w:t>
      </w:r>
      <w:r w:rsidR="00EA04EF" w:rsidRPr="0079308B">
        <w:rPr>
          <w:rFonts w:cstheme="minorHAnsi"/>
          <w:bCs/>
          <w:sz w:val="22"/>
          <w:szCs w:val="22"/>
        </w:rPr>
        <w:t>shows a</w:t>
      </w:r>
      <w:r w:rsidR="00EA04EF" w:rsidRPr="0079308B">
        <w:rPr>
          <w:rFonts w:cstheme="minorHAnsi"/>
          <w:b/>
          <w:bCs/>
          <w:sz w:val="22"/>
          <w:szCs w:val="22"/>
        </w:rPr>
        <w:t xml:space="preserve"> </w:t>
      </w:r>
      <w:r w:rsidR="00EA04EF" w:rsidRPr="0079308B">
        <w:rPr>
          <w:rFonts w:cstheme="minorHAnsi"/>
          <w:sz w:val="22"/>
          <w:szCs w:val="22"/>
        </w:rPr>
        <w:t>Study flow chart showing how the study arms and nested cost-effectiveness evaluation</w:t>
      </w:r>
      <w:r w:rsidR="00286446" w:rsidRPr="0079308B">
        <w:rPr>
          <w:rFonts w:cstheme="minorHAnsi"/>
          <w:sz w:val="22"/>
          <w:szCs w:val="22"/>
        </w:rPr>
        <w:t xml:space="preserve"> are linked</w:t>
      </w:r>
      <w:r w:rsidR="00EA04EF" w:rsidRPr="0079308B">
        <w:rPr>
          <w:rFonts w:cstheme="minorHAnsi"/>
          <w:sz w:val="22"/>
          <w:szCs w:val="22"/>
        </w:rPr>
        <w:t xml:space="preserve">. </w:t>
      </w:r>
      <w:r w:rsidR="00286446" w:rsidRPr="0079308B">
        <w:rPr>
          <w:rFonts w:cstheme="minorHAnsi"/>
          <w:sz w:val="22"/>
          <w:szCs w:val="22"/>
        </w:rPr>
        <w:t>The r</w:t>
      </w:r>
      <w:r w:rsidR="00EA04EF" w:rsidRPr="0079308B">
        <w:rPr>
          <w:rFonts w:cstheme="minorHAnsi"/>
          <w:sz w:val="22"/>
          <w:szCs w:val="22"/>
        </w:rPr>
        <w:t>ationale for study sample size is also conveyed.</w:t>
      </w:r>
    </w:p>
    <w:p w14:paraId="57096CD3" w14:textId="77777777" w:rsidR="00817CAF" w:rsidRPr="0079308B" w:rsidRDefault="00817CAF" w:rsidP="00FC7DB4">
      <w:pPr>
        <w:spacing w:line="360" w:lineRule="auto"/>
        <w:rPr>
          <w:rFonts w:cstheme="minorHAnsi"/>
          <w:sz w:val="22"/>
          <w:szCs w:val="22"/>
        </w:rPr>
      </w:pPr>
    </w:p>
    <w:p w14:paraId="2FA3676D" w14:textId="77777777" w:rsidR="003D4428" w:rsidRPr="0079308B" w:rsidRDefault="003D4428" w:rsidP="00FC7DB4">
      <w:pPr>
        <w:spacing w:line="360" w:lineRule="auto"/>
        <w:rPr>
          <w:rFonts w:cstheme="minorHAnsi"/>
          <w:b/>
          <w:bCs/>
          <w:sz w:val="22"/>
          <w:szCs w:val="22"/>
        </w:rPr>
      </w:pPr>
      <w:r w:rsidRPr="0079308B">
        <w:rPr>
          <w:rFonts w:cstheme="minorHAnsi"/>
          <w:b/>
          <w:bCs/>
          <w:sz w:val="22"/>
          <w:szCs w:val="22"/>
        </w:rPr>
        <w:t>Sample Size</w:t>
      </w:r>
    </w:p>
    <w:p w14:paraId="78B9FD15" w14:textId="16D1E2EC" w:rsidR="00FC7DB4" w:rsidRPr="0079308B" w:rsidRDefault="003D4428" w:rsidP="00FC7DB4">
      <w:pPr>
        <w:spacing w:line="360" w:lineRule="auto"/>
        <w:rPr>
          <w:rFonts w:cstheme="minorHAnsi"/>
          <w:sz w:val="22"/>
          <w:szCs w:val="22"/>
        </w:rPr>
      </w:pPr>
      <w:r w:rsidRPr="0079308B">
        <w:rPr>
          <w:rFonts w:cstheme="minorHAnsi"/>
          <w:sz w:val="22"/>
          <w:szCs w:val="22"/>
        </w:rPr>
        <w:t>We will aim to recruit 320 patients into each arm of this study – 640 patients in total</w:t>
      </w:r>
      <w:r w:rsidR="00790BA4" w:rsidRPr="0079308B">
        <w:rPr>
          <w:rFonts w:cstheme="minorHAnsi"/>
          <w:sz w:val="22"/>
          <w:szCs w:val="22"/>
        </w:rPr>
        <w:t xml:space="preserve"> </w:t>
      </w:r>
      <w:r w:rsidR="00A25862" w:rsidRPr="0079308B">
        <w:rPr>
          <w:rFonts w:cstheme="minorHAnsi"/>
          <w:sz w:val="22"/>
          <w:szCs w:val="22"/>
        </w:rPr>
        <w:t>[</w:t>
      </w:r>
      <w:r w:rsidR="00790BA4" w:rsidRPr="0079308B">
        <w:rPr>
          <w:rFonts w:cstheme="minorHAnsi"/>
          <w:b/>
          <w:sz w:val="22"/>
          <w:szCs w:val="22"/>
        </w:rPr>
        <w:t xml:space="preserve">Figure </w:t>
      </w:r>
      <w:r w:rsidR="00BF1F91" w:rsidRPr="0079308B">
        <w:rPr>
          <w:rFonts w:cstheme="minorHAnsi"/>
          <w:b/>
          <w:sz w:val="22"/>
          <w:szCs w:val="22"/>
        </w:rPr>
        <w:t>3</w:t>
      </w:r>
      <w:r w:rsidR="00A25862" w:rsidRPr="0079308B">
        <w:rPr>
          <w:rFonts w:cstheme="minorHAnsi"/>
          <w:sz w:val="22"/>
          <w:szCs w:val="22"/>
        </w:rPr>
        <w:t>]</w:t>
      </w:r>
      <w:r w:rsidRPr="0079308B">
        <w:rPr>
          <w:rFonts w:cstheme="minorHAnsi"/>
          <w:sz w:val="22"/>
          <w:szCs w:val="22"/>
        </w:rPr>
        <w:t xml:space="preserve">. A sample of this size will enable us to address </w:t>
      </w:r>
      <w:r w:rsidR="000F2BCB" w:rsidRPr="0079308B">
        <w:rPr>
          <w:rFonts w:cstheme="minorHAnsi"/>
          <w:sz w:val="22"/>
          <w:szCs w:val="22"/>
        </w:rPr>
        <w:t xml:space="preserve">the </w:t>
      </w:r>
      <w:r w:rsidRPr="0079308B">
        <w:rPr>
          <w:rFonts w:cstheme="minorHAnsi"/>
          <w:sz w:val="22"/>
          <w:szCs w:val="22"/>
        </w:rPr>
        <w:t xml:space="preserve">primary outcome, with a minimum power of 80% after allowing for a </w:t>
      </w:r>
      <w:r w:rsidR="000F2BCB" w:rsidRPr="0079308B">
        <w:rPr>
          <w:rFonts w:cstheme="minorHAnsi"/>
          <w:sz w:val="22"/>
          <w:szCs w:val="22"/>
        </w:rPr>
        <w:t xml:space="preserve">very </w:t>
      </w:r>
      <w:r w:rsidRPr="0079308B">
        <w:rPr>
          <w:rFonts w:cstheme="minorHAnsi"/>
          <w:sz w:val="22"/>
          <w:szCs w:val="22"/>
        </w:rPr>
        <w:t>conservative 25% drop out rate</w:t>
      </w:r>
      <w:r w:rsidR="00F14F71" w:rsidRPr="0079308B">
        <w:rPr>
          <w:rFonts w:cstheme="minorHAnsi"/>
          <w:sz w:val="22"/>
          <w:szCs w:val="22"/>
        </w:rPr>
        <w:t xml:space="preserve"> from the diagnostic pathway in both arms</w:t>
      </w:r>
      <w:r w:rsidR="00CC7424" w:rsidRPr="0079308B">
        <w:rPr>
          <w:rFonts w:cstheme="minorHAnsi"/>
          <w:sz w:val="22"/>
          <w:szCs w:val="22"/>
        </w:rPr>
        <w:t>.</w:t>
      </w:r>
      <w:r w:rsidR="00BC7CD6" w:rsidRPr="0079308B">
        <w:rPr>
          <w:rFonts w:cstheme="minorHAnsi"/>
          <w:sz w:val="22"/>
          <w:szCs w:val="22"/>
        </w:rPr>
        <w:t xml:space="preserve"> A more realistic </w:t>
      </w:r>
      <w:proofErr w:type="spellStart"/>
      <w:r w:rsidR="00BC7CD6" w:rsidRPr="0079308B">
        <w:rPr>
          <w:rFonts w:cstheme="minorHAnsi"/>
          <w:sz w:val="22"/>
          <w:szCs w:val="22"/>
        </w:rPr>
        <w:t>drop out</w:t>
      </w:r>
      <w:proofErr w:type="spellEnd"/>
      <w:r w:rsidR="00BC7CD6" w:rsidRPr="0079308B">
        <w:rPr>
          <w:rFonts w:cstheme="minorHAnsi"/>
          <w:sz w:val="22"/>
          <w:szCs w:val="22"/>
        </w:rPr>
        <w:t xml:space="preserve"> rate would be 5% which would give a power to test the primary outcome of </w:t>
      </w:r>
      <w:r w:rsidR="003E4E5A" w:rsidRPr="0079308B">
        <w:rPr>
          <w:rFonts w:cstheme="minorHAnsi"/>
          <w:sz w:val="22"/>
          <w:szCs w:val="22"/>
        </w:rPr>
        <w:t>&gt;</w:t>
      </w:r>
      <w:r w:rsidR="00BC7CD6" w:rsidRPr="0079308B">
        <w:rPr>
          <w:rFonts w:cstheme="minorHAnsi"/>
          <w:sz w:val="22"/>
          <w:szCs w:val="22"/>
        </w:rPr>
        <w:t>9</w:t>
      </w:r>
      <w:r w:rsidR="003E4E5A" w:rsidRPr="0079308B">
        <w:rPr>
          <w:rFonts w:cstheme="minorHAnsi"/>
          <w:sz w:val="22"/>
          <w:szCs w:val="22"/>
        </w:rPr>
        <w:t>0</w:t>
      </w:r>
      <w:r w:rsidR="00BC7CD6" w:rsidRPr="0079308B">
        <w:rPr>
          <w:rFonts w:cstheme="minorHAnsi"/>
          <w:sz w:val="22"/>
          <w:szCs w:val="22"/>
        </w:rPr>
        <w:t xml:space="preserve">%. </w:t>
      </w:r>
    </w:p>
    <w:p w14:paraId="2E735FEE" w14:textId="77777777" w:rsidR="00FC7DB4" w:rsidRPr="0079308B" w:rsidRDefault="00FC7DB4" w:rsidP="00FC7DB4">
      <w:pPr>
        <w:spacing w:line="360" w:lineRule="auto"/>
        <w:rPr>
          <w:rFonts w:cstheme="minorHAnsi"/>
          <w:sz w:val="22"/>
          <w:szCs w:val="22"/>
        </w:rPr>
      </w:pPr>
    </w:p>
    <w:p w14:paraId="3DF4CF74" w14:textId="3116AF66" w:rsidR="00F14F71" w:rsidRPr="0079308B" w:rsidRDefault="00F14F71" w:rsidP="00FC7DB4">
      <w:pPr>
        <w:spacing w:line="360" w:lineRule="auto"/>
        <w:rPr>
          <w:rFonts w:cstheme="minorHAnsi"/>
          <w:sz w:val="22"/>
          <w:szCs w:val="22"/>
        </w:rPr>
      </w:pPr>
      <w:r w:rsidRPr="0079308B">
        <w:rPr>
          <w:rFonts w:cstheme="minorHAnsi"/>
          <w:sz w:val="22"/>
          <w:szCs w:val="22"/>
        </w:rPr>
        <w:t xml:space="preserve">We are concerned that the conduct of our study may increase liver disease diagnosed via usual care </w:t>
      </w:r>
      <w:r w:rsidR="00FC7DB4" w:rsidRPr="0079308B">
        <w:rPr>
          <w:rFonts w:cstheme="minorHAnsi"/>
          <w:sz w:val="22"/>
          <w:szCs w:val="22"/>
        </w:rPr>
        <w:t>due to</w:t>
      </w:r>
      <w:r w:rsidRPr="0079308B">
        <w:rPr>
          <w:rFonts w:cstheme="minorHAnsi"/>
          <w:sz w:val="22"/>
          <w:szCs w:val="22"/>
        </w:rPr>
        <w:t xml:space="preserve"> Hawthorne effect on participants randomised to usual care or on primary care physicians who are more likely to request testing because they are</w:t>
      </w:r>
      <w:r w:rsidR="00FC7DB4" w:rsidRPr="0079308B">
        <w:rPr>
          <w:rFonts w:cstheme="minorHAnsi"/>
          <w:sz w:val="22"/>
          <w:szCs w:val="22"/>
        </w:rPr>
        <w:t>, as a consequence of participation,</w:t>
      </w:r>
      <w:r w:rsidRPr="0079308B">
        <w:rPr>
          <w:rFonts w:cstheme="minorHAnsi"/>
          <w:sz w:val="22"/>
          <w:szCs w:val="22"/>
        </w:rPr>
        <w:t xml:space="preserve"> more aware of liver disease.</w:t>
      </w:r>
      <w:r w:rsidR="00A25862" w:rsidRPr="0079308B">
        <w:rPr>
          <w:rFonts w:cstheme="minorHAnsi"/>
          <w:noProof/>
          <w:sz w:val="22"/>
          <w:szCs w:val="22"/>
        </w:rPr>
        <w:t>[</w:t>
      </w:r>
      <w:r w:rsidR="00EC338D" w:rsidRPr="0079308B">
        <w:rPr>
          <w:rFonts w:cstheme="minorHAnsi"/>
          <w:noProof/>
          <w:sz w:val="22"/>
          <w:szCs w:val="22"/>
        </w:rPr>
        <w:t>43</w:t>
      </w:r>
      <w:r w:rsidR="00A25862" w:rsidRPr="0079308B">
        <w:rPr>
          <w:rFonts w:cstheme="minorHAnsi"/>
          <w:noProof/>
          <w:sz w:val="22"/>
          <w:szCs w:val="22"/>
        </w:rPr>
        <w:t>]</w:t>
      </w:r>
      <w:r w:rsidRPr="0079308B">
        <w:rPr>
          <w:rFonts w:cstheme="minorHAnsi"/>
          <w:sz w:val="22"/>
          <w:szCs w:val="22"/>
        </w:rPr>
        <w:t xml:space="preserve"> Our sample size therefore also account</w:t>
      </w:r>
      <w:r w:rsidR="00427D3C" w:rsidRPr="0079308B">
        <w:rPr>
          <w:rFonts w:cstheme="minorHAnsi"/>
          <w:sz w:val="22"/>
          <w:szCs w:val="22"/>
        </w:rPr>
        <w:t>s for</w:t>
      </w:r>
      <w:r w:rsidRPr="0079308B">
        <w:rPr>
          <w:rFonts w:cstheme="minorHAnsi"/>
          <w:sz w:val="22"/>
          <w:szCs w:val="22"/>
        </w:rPr>
        <w:t xml:space="preserve"> a doubling of background liver fibrosis testing in usual care. The background testing activity for liver disease in the study setting has been very important in calculating our samples size. We have estimated the background testing activity from what we know </w:t>
      </w:r>
      <w:r w:rsidRPr="0079308B">
        <w:rPr>
          <w:rFonts w:cstheme="minorHAnsi"/>
          <w:sz w:val="22"/>
          <w:szCs w:val="22"/>
        </w:rPr>
        <w:lastRenderedPageBreak/>
        <w:t xml:space="preserve">about the number of patients tested for liver fibrosis who have T2DM in a year and the total population of people with T2DM </w:t>
      </w:r>
      <w:r w:rsidR="00A25862" w:rsidRPr="0079308B">
        <w:rPr>
          <w:rFonts w:cstheme="minorHAnsi"/>
          <w:sz w:val="22"/>
          <w:szCs w:val="22"/>
        </w:rPr>
        <w:t>[</w:t>
      </w:r>
      <w:r w:rsidRPr="0079308B">
        <w:rPr>
          <w:rFonts w:cstheme="minorHAnsi"/>
          <w:sz w:val="22"/>
          <w:szCs w:val="22"/>
        </w:rPr>
        <w:t>Figure 3</w:t>
      </w:r>
      <w:r w:rsidR="00A25862" w:rsidRPr="0079308B">
        <w:rPr>
          <w:rFonts w:cstheme="minorHAnsi"/>
          <w:sz w:val="22"/>
          <w:szCs w:val="22"/>
        </w:rPr>
        <w:t>]</w:t>
      </w:r>
      <w:r w:rsidRPr="0079308B">
        <w:rPr>
          <w:rFonts w:cstheme="minorHAnsi"/>
          <w:sz w:val="22"/>
          <w:szCs w:val="22"/>
        </w:rPr>
        <w:t>.</w:t>
      </w:r>
    </w:p>
    <w:p w14:paraId="543F89D2" w14:textId="77777777" w:rsidR="00F14F71" w:rsidRPr="0079308B" w:rsidRDefault="00F14F71" w:rsidP="00FC7DB4">
      <w:pPr>
        <w:spacing w:line="360" w:lineRule="auto"/>
        <w:rPr>
          <w:rFonts w:cstheme="minorHAnsi"/>
          <w:sz w:val="22"/>
          <w:szCs w:val="22"/>
        </w:rPr>
      </w:pPr>
    </w:p>
    <w:p w14:paraId="591E1AD0" w14:textId="3E90CE1A" w:rsidR="003D4428" w:rsidRPr="0079308B" w:rsidRDefault="003D4428" w:rsidP="00FC7DB4">
      <w:pPr>
        <w:spacing w:line="360" w:lineRule="auto"/>
        <w:rPr>
          <w:rFonts w:cstheme="minorHAnsi"/>
          <w:sz w:val="22"/>
          <w:szCs w:val="22"/>
        </w:rPr>
      </w:pPr>
      <w:r w:rsidRPr="0079308B">
        <w:rPr>
          <w:rFonts w:cstheme="minorHAnsi"/>
          <w:sz w:val="22"/>
          <w:szCs w:val="22"/>
        </w:rPr>
        <w:t xml:space="preserve">All sample size calculations were conducted using </w:t>
      </w:r>
      <w:proofErr w:type="spellStart"/>
      <w:r w:rsidRPr="0079308B">
        <w:rPr>
          <w:rFonts w:cstheme="minorHAnsi"/>
          <w:sz w:val="22"/>
          <w:szCs w:val="22"/>
        </w:rPr>
        <w:t>nQuery</w:t>
      </w:r>
      <w:proofErr w:type="spellEnd"/>
      <w:r w:rsidRPr="0079308B">
        <w:rPr>
          <w:rFonts w:cstheme="minorHAnsi"/>
          <w:sz w:val="22"/>
          <w:szCs w:val="22"/>
        </w:rPr>
        <w:t xml:space="preserve"> advisor 7.0.</w:t>
      </w:r>
    </w:p>
    <w:p w14:paraId="0A3CB1B0" w14:textId="77777777" w:rsidR="002E2053" w:rsidRPr="0079308B" w:rsidRDefault="002E2053" w:rsidP="00FC7DB4">
      <w:pPr>
        <w:spacing w:line="360" w:lineRule="auto"/>
        <w:rPr>
          <w:rFonts w:eastAsia="Times New Roman" w:cstheme="minorHAnsi"/>
          <w:color w:val="242831"/>
          <w:kern w:val="0"/>
          <w:sz w:val="22"/>
          <w:szCs w:val="22"/>
          <w14:ligatures w14:val="none"/>
        </w:rPr>
      </w:pPr>
    </w:p>
    <w:p w14:paraId="3AA5B5D8" w14:textId="2B027611" w:rsidR="002E2053" w:rsidRPr="0079308B" w:rsidRDefault="002E2053" w:rsidP="00FC7DB4">
      <w:pPr>
        <w:spacing w:line="360" w:lineRule="auto"/>
        <w:rPr>
          <w:rFonts w:eastAsia="Times New Roman" w:cstheme="minorHAnsi"/>
          <w:b/>
          <w:bCs/>
          <w:color w:val="242831"/>
          <w:kern w:val="0"/>
          <w:sz w:val="22"/>
          <w:szCs w:val="22"/>
          <w14:ligatures w14:val="none"/>
        </w:rPr>
      </w:pPr>
      <w:r w:rsidRPr="0079308B">
        <w:rPr>
          <w:rFonts w:eastAsia="Times New Roman" w:cstheme="minorHAnsi"/>
          <w:b/>
          <w:bCs/>
          <w:color w:val="242831"/>
          <w:kern w:val="0"/>
          <w:sz w:val="22"/>
          <w:szCs w:val="22"/>
          <w14:ligatures w14:val="none"/>
        </w:rPr>
        <w:t xml:space="preserve">Patient and public involvement </w:t>
      </w:r>
    </w:p>
    <w:p w14:paraId="206C6809" w14:textId="79EF20F5" w:rsidR="002E2053" w:rsidRPr="0079308B" w:rsidRDefault="00087DC6" w:rsidP="00FC7DB4">
      <w:pPr>
        <w:spacing w:line="360" w:lineRule="auto"/>
        <w:rPr>
          <w:rFonts w:eastAsia="Times New Roman" w:cstheme="minorHAnsi"/>
          <w:color w:val="242831"/>
          <w:kern w:val="0"/>
          <w:sz w:val="22"/>
          <w:szCs w:val="22"/>
          <w14:ligatures w14:val="none"/>
        </w:rPr>
      </w:pPr>
      <w:r w:rsidRPr="0079308B">
        <w:rPr>
          <w:rFonts w:eastAsia="Times New Roman" w:cstheme="minorHAnsi"/>
          <w:color w:val="242831"/>
          <w:kern w:val="0"/>
          <w:sz w:val="22"/>
          <w:szCs w:val="22"/>
          <w14:ligatures w14:val="none"/>
        </w:rPr>
        <w:t xml:space="preserve">To design the </w:t>
      </w:r>
      <w:proofErr w:type="gramStart"/>
      <w:r w:rsidRPr="0079308B">
        <w:rPr>
          <w:rFonts w:eastAsia="Times New Roman" w:cstheme="minorHAnsi"/>
          <w:color w:val="242831"/>
          <w:kern w:val="0"/>
          <w:sz w:val="22"/>
          <w:szCs w:val="22"/>
          <w14:ligatures w14:val="none"/>
        </w:rPr>
        <w:t>trial</w:t>
      </w:r>
      <w:proofErr w:type="gramEnd"/>
      <w:r w:rsidRPr="0079308B">
        <w:rPr>
          <w:rFonts w:eastAsia="Times New Roman" w:cstheme="minorHAnsi"/>
          <w:color w:val="242831"/>
          <w:kern w:val="0"/>
          <w:sz w:val="22"/>
          <w:szCs w:val="22"/>
          <w14:ligatures w14:val="none"/>
        </w:rPr>
        <w:t xml:space="preserve"> w</w:t>
      </w:r>
      <w:r w:rsidR="002E2053" w:rsidRPr="0079308B">
        <w:rPr>
          <w:rFonts w:eastAsia="Times New Roman" w:cstheme="minorHAnsi"/>
          <w:color w:val="242831"/>
          <w:kern w:val="0"/>
          <w:sz w:val="22"/>
          <w:szCs w:val="22"/>
          <w14:ligatures w14:val="none"/>
        </w:rPr>
        <w:t>e have worked with two PPI representatives</w:t>
      </w:r>
      <w:r w:rsidRPr="0079308B">
        <w:rPr>
          <w:rFonts w:eastAsia="Times New Roman" w:cstheme="minorHAnsi"/>
          <w:color w:val="242831"/>
          <w:kern w:val="0"/>
          <w:sz w:val="22"/>
          <w:szCs w:val="22"/>
          <w14:ligatures w14:val="none"/>
        </w:rPr>
        <w:t xml:space="preserve"> </w:t>
      </w:r>
      <w:r w:rsidR="00A25862" w:rsidRPr="0079308B">
        <w:rPr>
          <w:rFonts w:eastAsia="Times New Roman" w:cstheme="minorHAnsi"/>
          <w:color w:val="242831"/>
          <w:kern w:val="0"/>
          <w:sz w:val="22"/>
          <w:szCs w:val="22"/>
          <w14:ligatures w14:val="none"/>
        </w:rPr>
        <w:t>[</w:t>
      </w:r>
      <w:r w:rsidRPr="0079308B">
        <w:rPr>
          <w:rFonts w:eastAsia="Times New Roman" w:cstheme="minorHAnsi"/>
          <w:color w:val="242831"/>
          <w:kern w:val="0"/>
          <w:sz w:val="22"/>
          <w:szCs w:val="22"/>
          <w14:ligatures w14:val="none"/>
        </w:rPr>
        <w:t>one as PPI lead</w:t>
      </w:r>
      <w:r w:rsidR="00A25862" w:rsidRPr="0079308B">
        <w:rPr>
          <w:rFonts w:eastAsia="Times New Roman" w:cstheme="minorHAnsi"/>
          <w:color w:val="242831"/>
          <w:kern w:val="0"/>
          <w:sz w:val="22"/>
          <w:szCs w:val="22"/>
          <w14:ligatures w14:val="none"/>
        </w:rPr>
        <w:t>]</w:t>
      </w:r>
      <w:r w:rsidR="002E2053" w:rsidRPr="0079308B">
        <w:rPr>
          <w:rFonts w:eastAsia="Times New Roman" w:cstheme="minorHAnsi"/>
          <w:color w:val="242831"/>
          <w:kern w:val="0"/>
          <w:sz w:val="22"/>
          <w:szCs w:val="22"/>
          <w14:ligatures w14:val="none"/>
        </w:rPr>
        <w:t xml:space="preserve"> and two PPI groups. </w:t>
      </w:r>
      <w:r w:rsidRPr="0079308B">
        <w:rPr>
          <w:rFonts w:eastAsia="Times New Roman" w:cstheme="minorHAnsi"/>
          <w:color w:val="242831"/>
          <w:kern w:val="0"/>
          <w:sz w:val="22"/>
          <w:szCs w:val="22"/>
          <w14:ligatures w14:val="none"/>
        </w:rPr>
        <w:t>Our PPI group</w:t>
      </w:r>
      <w:r w:rsidR="002E2053" w:rsidRPr="0079308B">
        <w:rPr>
          <w:rFonts w:eastAsia="Times New Roman" w:cstheme="minorHAnsi"/>
          <w:color w:val="242831"/>
          <w:kern w:val="0"/>
          <w:sz w:val="22"/>
          <w:szCs w:val="22"/>
          <w14:ligatures w14:val="none"/>
        </w:rPr>
        <w:t xml:space="preserve"> was struck by the risk of liver cancer in people with diabetes. This was not something </w:t>
      </w:r>
      <w:r w:rsidRPr="0079308B">
        <w:rPr>
          <w:rFonts w:eastAsia="Times New Roman" w:cstheme="minorHAnsi"/>
          <w:color w:val="242831"/>
          <w:kern w:val="0"/>
          <w:sz w:val="22"/>
          <w:szCs w:val="22"/>
          <w14:ligatures w14:val="none"/>
        </w:rPr>
        <w:t>they were</w:t>
      </w:r>
      <w:r w:rsidR="00010E2E" w:rsidRPr="0079308B">
        <w:rPr>
          <w:rFonts w:eastAsia="Times New Roman" w:cstheme="minorHAnsi"/>
          <w:color w:val="242831"/>
          <w:kern w:val="0"/>
          <w:sz w:val="22"/>
          <w:szCs w:val="22"/>
          <w14:ligatures w14:val="none"/>
        </w:rPr>
        <w:t xml:space="preserve"> </w:t>
      </w:r>
      <w:r w:rsidR="002E2053" w:rsidRPr="0079308B">
        <w:rPr>
          <w:rFonts w:eastAsia="Times New Roman" w:cstheme="minorHAnsi"/>
          <w:color w:val="242831"/>
          <w:kern w:val="0"/>
          <w:sz w:val="22"/>
          <w:szCs w:val="22"/>
          <w14:ligatures w14:val="none"/>
        </w:rPr>
        <w:t>previously aware of</w:t>
      </w:r>
      <w:r w:rsidRPr="0079308B">
        <w:rPr>
          <w:rFonts w:eastAsia="Times New Roman" w:cstheme="minorHAnsi"/>
          <w:color w:val="242831"/>
          <w:kern w:val="0"/>
          <w:sz w:val="22"/>
          <w:szCs w:val="22"/>
          <w14:ligatures w14:val="none"/>
        </w:rPr>
        <w:t>.</w:t>
      </w:r>
      <w:r w:rsidR="002E2053" w:rsidRPr="0079308B">
        <w:rPr>
          <w:rFonts w:eastAsia="Times New Roman" w:cstheme="minorHAnsi"/>
          <w:color w:val="242831"/>
          <w:kern w:val="0"/>
          <w:sz w:val="22"/>
          <w:szCs w:val="22"/>
          <w14:ligatures w14:val="none"/>
        </w:rPr>
        <w:t xml:space="preserve"> Both groups of contributors shared the views that cancer and specifically surveillance for liver cancer should be the focus of our research. Our groups are diverse - 8 p</w:t>
      </w:r>
      <w:r w:rsidR="00EC338D" w:rsidRPr="0079308B">
        <w:rPr>
          <w:rFonts w:eastAsia="Times New Roman" w:cstheme="minorHAnsi"/>
          <w:color w:val="242831"/>
          <w:kern w:val="0"/>
          <w:sz w:val="22"/>
          <w:szCs w:val="22"/>
          <w14:ligatures w14:val="none"/>
        </w:rPr>
        <w:t xml:space="preserve">articipants </w:t>
      </w:r>
      <w:r w:rsidR="002E2053" w:rsidRPr="0079308B">
        <w:rPr>
          <w:rFonts w:eastAsia="Times New Roman" w:cstheme="minorHAnsi"/>
          <w:color w:val="242831"/>
          <w:kern w:val="0"/>
          <w:sz w:val="22"/>
          <w:szCs w:val="22"/>
          <w14:ligatures w14:val="none"/>
        </w:rPr>
        <w:t xml:space="preserve">in total; 2 </w:t>
      </w:r>
      <w:proofErr w:type="gramStart"/>
      <w:r w:rsidR="002E2053" w:rsidRPr="0079308B">
        <w:rPr>
          <w:rFonts w:eastAsia="Times New Roman" w:cstheme="minorHAnsi"/>
          <w:color w:val="242831"/>
          <w:kern w:val="0"/>
          <w:sz w:val="22"/>
          <w:szCs w:val="22"/>
          <w14:ligatures w14:val="none"/>
        </w:rPr>
        <w:t>female</w:t>
      </w:r>
      <w:proofErr w:type="gramEnd"/>
      <w:r w:rsidR="002E2053" w:rsidRPr="0079308B">
        <w:rPr>
          <w:rFonts w:eastAsia="Times New Roman" w:cstheme="minorHAnsi"/>
          <w:color w:val="242831"/>
          <w:kern w:val="0"/>
          <w:sz w:val="22"/>
          <w:szCs w:val="22"/>
          <w14:ligatures w14:val="none"/>
        </w:rPr>
        <w:t>; two non-white British; one born in eastern Europe. The PPI groups have helped develop our study recruitment strategy</w:t>
      </w:r>
      <w:r w:rsidR="00FC7DB4" w:rsidRPr="0079308B">
        <w:rPr>
          <w:rFonts w:eastAsia="Times New Roman" w:cstheme="minorHAnsi"/>
          <w:color w:val="242831"/>
          <w:kern w:val="0"/>
          <w:sz w:val="22"/>
          <w:szCs w:val="22"/>
          <w14:ligatures w14:val="none"/>
        </w:rPr>
        <w:t xml:space="preserve"> and our participant facing study materials. </w:t>
      </w:r>
      <w:r w:rsidR="002E2053" w:rsidRPr="0079308B">
        <w:rPr>
          <w:rFonts w:eastAsia="Times New Roman" w:cstheme="minorHAnsi"/>
          <w:color w:val="242831"/>
          <w:kern w:val="0"/>
          <w:sz w:val="22"/>
          <w:szCs w:val="22"/>
          <w14:ligatures w14:val="none"/>
        </w:rPr>
        <w:t>Both groups raised some concerns about the use of a control arm. They advised us to ensure liver assessment was offered to all participants at the end of the study</w:t>
      </w:r>
      <w:r w:rsidR="00446040" w:rsidRPr="0079308B">
        <w:rPr>
          <w:rFonts w:eastAsia="Times New Roman" w:cstheme="minorHAnsi"/>
          <w:color w:val="242831"/>
          <w:kern w:val="0"/>
          <w:sz w:val="22"/>
          <w:szCs w:val="22"/>
          <w14:ligatures w14:val="none"/>
        </w:rPr>
        <w:t xml:space="preserve"> and</w:t>
      </w:r>
      <w:r w:rsidR="00427D3C" w:rsidRPr="0079308B">
        <w:rPr>
          <w:rFonts w:eastAsia="Times New Roman" w:cstheme="minorHAnsi"/>
          <w:color w:val="242831"/>
          <w:kern w:val="0"/>
          <w:sz w:val="22"/>
          <w:szCs w:val="22"/>
          <w14:ligatures w14:val="none"/>
        </w:rPr>
        <w:t xml:space="preserve"> this has been incorporated into our </w:t>
      </w:r>
      <w:r w:rsidR="00EC338D" w:rsidRPr="0079308B">
        <w:rPr>
          <w:rFonts w:eastAsia="Times New Roman" w:cstheme="minorHAnsi"/>
          <w:color w:val="242831"/>
          <w:kern w:val="0"/>
          <w:sz w:val="22"/>
          <w:szCs w:val="22"/>
          <w14:ligatures w14:val="none"/>
        </w:rPr>
        <w:t>study procedures</w:t>
      </w:r>
      <w:r w:rsidR="00427D3C" w:rsidRPr="0079308B">
        <w:rPr>
          <w:rFonts w:eastAsia="Times New Roman" w:cstheme="minorHAnsi"/>
          <w:color w:val="242831"/>
          <w:kern w:val="0"/>
          <w:sz w:val="22"/>
          <w:szCs w:val="22"/>
          <w14:ligatures w14:val="none"/>
        </w:rPr>
        <w:t xml:space="preserve">. </w:t>
      </w:r>
    </w:p>
    <w:p w14:paraId="53F0E17B" w14:textId="77777777" w:rsidR="00010E2E" w:rsidRPr="0079308B" w:rsidRDefault="00010E2E" w:rsidP="00FC7DB4">
      <w:pPr>
        <w:spacing w:line="360" w:lineRule="auto"/>
        <w:rPr>
          <w:rFonts w:eastAsia="Times New Roman" w:cstheme="minorHAnsi"/>
          <w:color w:val="242831"/>
          <w:kern w:val="0"/>
          <w:sz w:val="22"/>
          <w:szCs w:val="22"/>
          <w14:ligatures w14:val="none"/>
        </w:rPr>
      </w:pPr>
    </w:p>
    <w:p w14:paraId="36CD9E77" w14:textId="2A1B387C" w:rsidR="00010E2E" w:rsidRPr="0079308B" w:rsidRDefault="00010E2E" w:rsidP="00FC7DB4">
      <w:pPr>
        <w:spacing w:line="360" w:lineRule="auto"/>
        <w:rPr>
          <w:rFonts w:eastAsia="Times New Roman" w:cstheme="minorHAnsi"/>
          <w:b/>
          <w:bCs/>
          <w:color w:val="242831"/>
          <w:kern w:val="0"/>
          <w:sz w:val="22"/>
          <w:szCs w:val="22"/>
          <w14:ligatures w14:val="none"/>
        </w:rPr>
      </w:pPr>
      <w:r w:rsidRPr="0079308B">
        <w:rPr>
          <w:rFonts w:eastAsia="Times New Roman" w:cstheme="minorHAnsi"/>
          <w:b/>
          <w:bCs/>
          <w:color w:val="242831"/>
          <w:kern w:val="0"/>
          <w:sz w:val="22"/>
          <w:szCs w:val="22"/>
          <w14:ligatures w14:val="none"/>
        </w:rPr>
        <w:t xml:space="preserve">Discussion </w:t>
      </w:r>
    </w:p>
    <w:p w14:paraId="0DFB5748" w14:textId="0829FAF2" w:rsidR="00010E2E" w:rsidRPr="0079308B" w:rsidRDefault="00F80A41" w:rsidP="00FC7DB4">
      <w:pPr>
        <w:spacing w:line="360" w:lineRule="auto"/>
        <w:rPr>
          <w:rFonts w:eastAsia="Times New Roman" w:cstheme="minorHAnsi"/>
          <w:color w:val="242831"/>
          <w:kern w:val="0"/>
          <w:sz w:val="22"/>
          <w:szCs w:val="22"/>
          <w14:ligatures w14:val="none"/>
        </w:rPr>
      </w:pPr>
      <w:r w:rsidRPr="0079308B">
        <w:rPr>
          <w:rFonts w:eastAsia="Times New Roman" w:cstheme="minorHAnsi"/>
          <w:color w:val="242831"/>
          <w:kern w:val="0"/>
          <w:sz w:val="22"/>
          <w:szCs w:val="22"/>
          <w14:ligatures w14:val="none"/>
        </w:rPr>
        <w:t xml:space="preserve">The application, </w:t>
      </w:r>
      <w:proofErr w:type="gramStart"/>
      <w:r w:rsidRPr="0079308B">
        <w:rPr>
          <w:rFonts w:eastAsia="Times New Roman" w:cstheme="minorHAnsi"/>
          <w:color w:val="242831"/>
          <w:kern w:val="0"/>
          <w:sz w:val="22"/>
          <w:szCs w:val="22"/>
          <w14:ligatures w14:val="none"/>
        </w:rPr>
        <w:t>effectiveness</w:t>
      </w:r>
      <w:proofErr w:type="gramEnd"/>
      <w:r w:rsidRPr="0079308B">
        <w:rPr>
          <w:rFonts w:eastAsia="Times New Roman" w:cstheme="minorHAnsi"/>
          <w:color w:val="242831"/>
          <w:kern w:val="0"/>
          <w:sz w:val="22"/>
          <w:szCs w:val="22"/>
          <w14:ligatures w14:val="none"/>
        </w:rPr>
        <w:t xml:space="preserve"> and cost-effectiveness of screening for liver disease in patients with T2DM has not been well </w:t>
      </w:r>
      <w:r w:rsidR="002C5C1D" w:rsidRPr="0079308B">
        <w:rPr>
          <w:rFonts w:eastAsia="Times New Roman" w:cstheme="minorHAnsi"/>
          <w:color w:val="242831"/>
          <w:kern w:val="0"/>
          <w:sz w:val="22"/>
          <w:szCs w:val="22"/>
          <w14:ligatures w14:val="none"/>
        </w:rPr>
        <w:t>studied</w:t>
      </w:r>
      <w:r w:rsidRPr="0079308B">
        <w:rPr>
          <w:rFonts w:eastAsia="Times New Roman" w:cstheme="minorHAnsi"/>
          <w:color w:val="242831"/>
          <w:kern w:val="0"/>
          <w:sz w:val="22"/>
          <w:szCs w:val="22"/>
          <w14:ligatures w14:val="none"/>
        </w:rPr>
        <w:t xml:space="preserve">. Despite this it is now recommended practice in some countries and subject to national clinical pilots in others. </w:t>
      </w:r>
      <w:r w:rsidR="006F54C3" w:rsidRPr="0079308B">
        <w:rPr>
          <w:rFonts w:eastAsia="Times New Roman" w:cstheme="minorHAnsi"/>
          <w:color w:val="242831"/>
          <w:kern w:val="0"/>
          <w:sz w:val="22"/>
          <w:szCs w:val="22"/>
          <w14:ligatures w14:val="none"/>
        </w:rPr>
        <w:t>We aim to</w:t>
      </w:r>
      <w:r w:rsidRPr="0079308B">
        <w:rPr>
          <w:rFonts w:eastAsia="Times New Roman" w:cstheme="minorHAnsi"/>
          <w:color w:val="242831"/>
          <w:kern w:val="0"/>
          <w:sz w:val="22"/>
          <w:szCs w:val="22"/>
          <w14:ligatures w14:val="none"/>
        </w:rPr>
        <w:t xml:space="preserve"> fill this </w:t>
      </w:r>
      <w:r w:rsidR="006F54C3" w:rsidRPr="0079308B">
        <w:rPr>
          <w:rFonts w:eastAsia="Times New Roman" w:cstheme="minorHAnsi"/>
          <w:color w:val="242831"/>
          <w:kern w:val="0"/>
          <w:sz w:val="22"/>
          <w:szCs w:val="22"/>
          <w14:ligatures w14:val="none"/>
        </w:rPr>
        <w:t xml:space="preserve">knowledge </w:t>
      </w:r>
      <w:r w:rsidRPr="0079308B">
        <w:rPr>
          <w:rFonts w:eastAsia="Times New Roman" w:cstheme="minorHAnsi"/>
          <w:color w:val="242831"/>
          <w:kern w:val="0"/>
          <w:sz w:val="22"/>
          <w:szCs w:val="22"/>
          <w14:ligatures w14:val="none"/>
        </w:rPr>
        <w:t>ga</w:t>
      </w:r>
      <w:r w:rsidR="006F54C3" w:rsidRPr="0079308B">
        <w:rPr>
          <w:rFonts w:eastAsia="Times New Roman" w:cstheme="minorHAnsi"/>
          <w:color w:val="242831"/>
          <w:kern w:val="0"/>
          <w:sz w:val="22"/>
          <w:szCs w:val="22"/>
          <w14:ligatures w14:val="none"/>
        </w:rPr>
        <w:t>p</w:t>
      </w:r>
      <w:r w:rsidRPr="0079308B">
        <w:rPr>
          <w:rFonts w:eastAsia="Times New Roman" w:cstheme="minorHAnsi"/>
          <w:color w:val="242831"/>
          <w:kern w:val="0"/>
          <w:sz w:val="22"/>
          <w:szCs w:val="22"/>
          <w14:ligatures w14:val="none"/>
        </w:rPr>
        <w:t xml:space="preserve">. </w:t>
      </w:r>
    </w:p>
    <w:p w14:paraId="6DD452ED" w14:textId="77777777" w:rsidR="00F80A41" w:rsidRPr="0079308B" w:rsidRDefault="00F80A41" w:rsidP="00FC7DB4">
      <w:pPr>
        <w:spacing w:line="360" w:lineRule="auto"/>
        <w:rPr>
          <w:rFonts w:eastAsia="Times New Roman" w:cstheme="minorHAnsi"/>
          <w:color w:val="242831"/>
          <w:kern w:val="0"/>
          <w:sz w:val="22"/>
          <w:szCs w:val="22"/>
          <w14:ligatures w14:val="none"/>
        </w:rPr>
      </w:pPr>
    </w:p>
    <w:p w14:paraId="588EDD4E" w14:textId="38496EF0" w:rsidR="00F80A41" w:rsidRPr="0079308B" w:rsidRDefault="00F80A41" w:rsidP="00FC7DB4">
      <w:pPr>
        <w:spacing w:line="360" w:lineRule="auto"/>
        <w:rPr>
          <w:rFonts w:eastAsia="Times New Roman" w:cstheme="minorHAnsi"/>
          <w:color w:val="242831"/>
          <w:kern w:val="0"/>
          <w:sz w:val="22"/>
          <w:szCs w:val="22"/>
          <w14:ligatures w14:val="none"/>
        </w:rPr>
      </w:pPr>
      <w:r w:rsidRPr="0079308B">
        <w:rPr>
          <w:rFonts w:eastAsia="Times New Roman" w:cstheme="minorHAnsi"/>
          <w:color w:val="242831"/>
          <w:kern w:val="0"/>
          <w:sz w:val="22"/>
          <w:szCs w:val="22"/>
          <w14:ligatures w14:val="none"/>
        </w:rPr>
        <w:t>The robust assessment via a RCT of a screening intervention for liver disease in T2DM</w:t>
      </w:r>
      <w:r w:rsidR="00FC7DB4" w:rsidRPr="0079308B">
        <w:rPr>
          <w:rFonts w:eastAsia="Times New Roman" w:cstheme="minorHAnsi"/>
          <w:color w:val="242831"/>
          <w:kern w:val="0"/>
          <w:sz w:val="22"/>
          <w:szCs w:val="22"/>
          <w14:ligatures w14:val="none"/>
        </w:rPr>
        <w:t xml:space="preserve"> with an objective primary outcome that is assessed independently of the researchers</w:t>
      </w:r>
      <w:r w:rsidRPr="0079308B">
        <w:rPr>
          <w:rFonts w:eastAsia="Times New Roman" w:cstheme="minorHAnsi"/>
          <w:color w:val="242831"/>
          <w:kern w:val="0"/>
          <w:sz w:val="22"/>
          <w:szCs w:val="22"/>
          <w14:ligatures w14:val="none"/>
        </w:rPr>
        <w:t xml:space="preserve"> will have a significant impact. If effective the trial would</w:t>
      </w:r>
      <w:r w:rsidR="00446040" w:rsidRPr="0079308B">
        <w:rPr>
          <w:rFonts w:eastAsia="Times New Roman" w:cstheme="minorHAnsi"/>
          <w:color w:val="242831"/>
          <w:kern w:val="0"/>
          <w:sz w:val="22"/>
          <w:szCs w:val="22"/>
          <w14:ligatures w14:val="none"/>
        </w:rPr>
        <w:t xml:space="preserve"> provide evidence toward</w:t>
      </w:r>
      <w:r w:rsidRPr="0079308B">
        <w:rPr>
          <w:rFonts w:eastAsia="Times New Roman" w:cstheme="minorHAnsi"/>
          <w:color w:val="242831"/>
          <w:kern w:val="0"/>
          <w:sz w:val="22"/>
          <w:szCs w:val="22"/>
          <w14:ligatures w14:val="none"/>
        </w:rPr>
        <w:t xml:space="preserve"> justify</w:t>
      </w:r>
      <w:r w:rsidR="00446040" w:rsidRPr="0079308B">
        <w:rPr>
          <w:rFonts w:eastAsia="Times New Roman" w:cstheme="minorHAnsi"/>
          <w:color w:val="242831"/>
          <w:kern w:val="0"/>
          <w:sz w:val="22"/>
          <w:szCs w:val="22"/>
          <w14:ligatures w14:val="none"/>
        </w:rPr>
        <w:t>ing</w:t>
      </w:r>
      <w:r w:rsidRPr="0079308B">
        <w:rPr>
          <w:rFonts w:eastAsia="Times New Roman" w:cstheme="minorHAnsi"/>
          <w:color w:val="242831"/>
          <w:kern w:val="0"/>
          <w:sz w:val="22"/>
          <w:szCs w:val="22"/>
          <w14:ligatures w14:val="none"/>
        </w:rPr>
        <w:t xml:space="preserve"> widespread screening in an enormous</w:t>
      </w:r>
      <w:r w:rsidR="00FC7DB4" w:rsidRPr="0079308B">
        <w:rPr>
          <w:rFonts w:eastAsia="Times New Roman" w:cstheme="minorHAnsi"/>
          <w:color w:val="242831"/>
          <w:kern w:val="0"/>
          <w:sz w:val="22"/>
          <w:szCs w:val="22"/>
          <w14:ligatures w14:val="none"/>
        </w:rPr>
        <w:t>,</w:t>
      </w:r>
      <w:r w:rsidRPr="0079308B">
        <w:rPr>
          <w:rFonts w:eastAsia="Times New Roman" w:cstheme="minorHAnsi"/>
          <w:color w:val="242831"/>
          <w:kern w:val="0"/>
          <w:sz w:val="22"/>
          <w:szCs w:val="22"/>
          <w14:ligatures w14:val="none"/>
        </w:rPr>
        <w:t xml:space="preserve"> and growing proportion of the global population with a knock-reduction in liver death. If not effective</w:t>
      </w:r>
      <w:r w:rsidR="00FC7DB4" w:rsidRPr="0079308B">
        <w:rPr>
          <w:rFonts w:eastAsia="Times New Roman" w:cstheme="minorHAnsi"/>
          <w:color w:val="242831"/>
          <w:kern w:val="0"/>
          <w:sz w:val="22"/>
          <w:szCs w:val="22"/>
          <w14:ligatures w14:val="none"/>
        </w:rPr>
        <w:t>,</w:t>
      </w:r>
      <w:r w:rsidRPr="0079308B">
        <w:rPr>
          <w:rFonts w:eastAsia="Times New Roman" w:cstheme="minorHAnsi"/>
          <w:color w:val="242831"/>
          <w:kern w:val="0"/>
          <w:sz w:val="22"/>
          <w:szCs w:val="22"/>
          <w14:ligatures w14:val="none"/>
        </w:rPr>
        <w:t xml:space="preserve"> it could prevent further roll out of a massive, costly programme of work that will have significant resource implications for health service system</w:t>
      </w:r>
      <w:r w:rsidR="000B6FDB" w:rsidRPr="0079308B">
        <w:rPr>
          <w:rFonts w:eastAsia="Times New Roman" w:cstheme="minorHAnsi"/>
          <w:color w:val="242831"/>
          <w:kern w:val="0"/>
          <w:sz w:val="22"/>
          <w:szCs w:val="22"/>
          <w14:ligatures w14:val="none"/>
        </w:rPr>
        <w:t>s</w:t>
      </w:r>
      <w:r w:rsidRPr="0079308B">
        <w:rPr>
          <w:rFonts w:eastAsia="Times New Roman" w:cstheme="minorHAnsi"/>
          <w:color w:val="242831"/>
          <w:kern w:val="0"/>
          <w:sz w:val="22"/>
          <w:szCs w:val="22"/>
          <w14:ligatures w14:val="none"/>
        </w:rPr>
        <w:t xml:space="preserve">. Looking forward </w:t>
      </w:r>
      <w:r w:rsidR="000B6FDB" w:rsidRPr="0079308B">
        <w:rPr>
          <w:rFonts w:eastAsia="Times New Roman" w:cstheme="minorHAnsi"/>
          <w:color w:val="242831"/>
          <w:kern w:val="0"/>
          <w:sz w:val="22"/>
          <w:szCs w:val="22"/>
          <w14:ligatures w14:val="none"/>
        </w:rPr>
        <w:t>the trial</w:t>
      </w:r>
      <w:r w:rsidRPr="0079308B">
        <w:rPr>
          <w:rFonts w:eastAsia="Times New Roman" w:cstheme="minorHAnsi"/>
          <w:color w:val="242831"/>
          <w:kern w:val="0"/>
          <w:sz w:val="22"/>
          <w:szCs w:val="22"/>
          <w14:ligatures w14:val="none"/>
        </w:rPr>
        <w:t xml:space="preserve"> will </w:t>
      </w:r>
      <w:r w:rsidR="00446040" w:rsidRPr="0079308B">
        <w:rPr>
          <w:rFonts w:eastAsia="Times New Roman" w:cstheme="minorHAnsi"/>
          <w:color w:val="242831"/>
          <w:kern w:val="0"/>
          <w:sz w:val="22"/>
          <w:szCs w:val="22"/>
          <w14:ligatures w14:val="none"/>
        </w:rPr>
        <w:t xml:space="preserve">also </w:t>
      </w:r>
      <w:r w:rsidRPr="0079308B">
        <w:rPr>
          <w:rFonts w:eastAsia="Times New Roman" w:cstheme="minorHAnsi"/>
          <w:color w:val="242831"/>
          <w:kern w:val="0"/>
          <w:sz w:val="22"/>
          <w:szCs w:val="22"/>
          <w14:ligatures w14:val="none"/>
        </w:rPr>
        <w:t>quantify the effect</w:t>
      </w:r>
      <w:r w:rsidR="000B6FDB" w:rsidRPr="0079308B">
        <w:rPr>
          <w:rFonts w:eastAsia="Times New Roman" w:cstheme="minorHAnsi"/>
          <w:color w:val="242831"/>
          <w:kern w:val="0"/>
          <w:sz w:val="22"/>
          <w:szCs w:val="22"/>
          <w14:ligatures w14:val="none"/>
        </w:rPr>
        <w:t xml:space="preserve"> size required</w:t>
      </w:r>
      <w:r w:rsidRPr="0079308B">
        <w:rPr>
          <w:rFonts w:eastAsia="Times New Roman" w:cstheme="minorHAnsi"/>
          <w:color w:val="242831"/>
          <w:kern w:val="0"/>
          <w:sz w:val="22"/>
          <w:szCs w:val="22"/>
          <w14:ligatures w14:val="none"/>
        </w:rPr>
        <w:t xml:space="preserve"> and </w:t>
      </w:r>
      <w:r w:rsidR="000B6FDB" w:rsidRPr="0079308B">
        <w:rPr>
          <w:rFonts w:eastAsia="Times New Roman" w:cstheme="minorHAnsi"/>
          <w:color w:val="242831"/>
          <w:kern w:val="0"/>
          <w:sz w:val="22"/>
          <w:szCs w:val="22"/>
          <w14:ligatures w14:val="none"/>
        </w:rPr>
        <w:t xml:space="preserve">suitable </w:t>
      </w:r>
      <w:r w:rsidRPr="0079308B">
        <w:rPr>
          <w:rFonts w:eastAsia="Times New Roman" w:cstheme="minorHAnsi"/>
          <w:color w:val="242831"/>
          <w:kern w:val="0"/>
          <w:sz w:val="22"/>
          <w:szCs w:val="22"/>
          <w14:ligatures w14:val="none"/>
        </w:rPr>
        <w:t xml:space="preserve">pricing </w:t>
      </w:r>
      <w:r w:rsidR="000B6FDB" w:rsidRPr="0079308B">
        <w:rPr>
          <w:rFonts w:eastAsia="Times New Roman" w:cstheme="minorHAnsi"/>
          <w:color w:val="242831"/>
          <w:kern w:val="0"/>
          <w:sz w:val="22"/>
          <w:szCs w:val="22"/>
          <w14:ligatures w14:val="none"/>
        </w:rPr>
        <w:t>for</w:t>
      </w:r>
      <w:r w:rsidRPr="0079308B">
        <w:rPr>
          <w:rFonts w:eastAsia="Times New Roman" w:cstheme="minorHAnsi"/>
          <w:color w:val="242831"/>
          <w:kern w:val="0"/>
          <w:sz w:val="22"/>
          <w:szCs w:val="22"/>
          <w14:ligatures w14:val="none"/>
        </w:rPr>
        <w:t xml:space="preserve"> </w:t>
      </w:r>
      <w:r w:rsidR="000B6FDB" w:rsidRPr="0079308B">
        <w:rPr>
          <w:rFonts w:eastAsia="Times New Roman" w:cstheme="minorHAnsi"/>
          <w:color w:val="242831"/>
          <w:kern w:val="0"/>
          <w:sz w:val="22"/>
          <w:szCs w:val="22"/>
          <w14:ligatures w14:val="none"/>
        </w:rPr>
        <w:t xml:space="preserve">novel </w:t>
      </w:r>
      <w:r w:rsidRPr="0079308B">
        <w:rPr>
          <w:rFonts w:eastAsia="Times New Roman" w:cstheme="minorHAnsi"/>
          <w:color w:val="242831"/>
          <w:kern w:val="0"/>
          <w:sz w:val="22"/>
          <w:szCs w:val="22"/>
          <w14:ligatures w14:val="none"/>
        </w:rPr>
        <w:t>anti-fibrotic therapies</w:t>
      </w:r>
      <w:r w:rsidR="000B6FDB" w:rsidRPr="0079308B">
        <w:rPr>
          <w:rFonts w:eastAsia="Times New Roman" w:cstheme="minorHAnsi"/>
          <w:color w:val="242831"/>
          <w:kern w:val="0"/>
          <w:sz w:val="22"/>
          <w:szCs w:val="22"/>
          <w14:ligatures w14:val="none"/>
        </w:rPr>
        <w:t xml:space="preserve"> </w:t>
      </w:r>
      <w:r w:rsidR="006F54C3" w:rsidRPr="0079308B">
        <w:rPr>
          <w:rFonts w:eastAsia="Times New Roman" w:cstheme="minorHAnsi"/>
          <w:color w:val="242831"/>
          <w:kern w:val="0"/>
          <w:sz w:val="22"/>
          <w:szCs w:val="22"/>
          <w14:ligatures w14:val="none"/>
        </w:rPr>
        <w:t>to</w:t>
      </w:r>
      <w:r w:rsidR="000B6FDB" w:rsidRPr="0079308B">
        <w:rPr>
          <w:rFonts w:eastAsia="Times New Roman" w:cstheme="minorHAnsi"/>
          <w:color w:val="242831"/>
          <w:kern w:val="0"/>
          <w:sz w:val="22"/>
          <w:szCs w:val="22"/>
          <w14:ligatures w14:val="none"/>
        </w:rPr>
        <w:t xml:space="preserve"> meet cost-effectiveness thresholds. </w:t>
      </w:r>
    </w:p>
    <w:p w14:paraId="18242515" w14:textId="77777777" w:rsidR="000B6FDB" w:rsidRPr="0079308B" w:rsidRDefault="000B6FDB" w:rsidP="00FC7DB4">
      <w:pPr>
        <w:spacing w:line="360" w:lineRule="auto"/>
        <w:rPr>
          <w:rFonts w:eastAsia="Times New Roman" w:cstheme="minorHAnsi"/>
          <w:color w:val="242831"/>
          <w:kern w:val="0"/>
          <w:sz w:val="22"/>
          <w:szCs w:val="22"/>
          <w14:ligatures w14:val="none"/>
        </w:rPr>
      </w:pPr>
    </w:p>
    <w:p w14:paraId="0B0804F9" w14:textId="05973374" w:rsidR="000B6FDB" w:rsidRPr="0079308B" w:rsidRDefault="000B6FDB" w:rsidP="00FC7DB4">
      <w:pPr>
        <w:spacing w:line="360" w:lineRule="auto"/>
        <w:rPr>
          <w:rFonts w:eastAsia="Times New Roman" w:cstheme="minorHAnsi"/>
          <w:color w:val="242831"/>
          <w:kern w:val="0"/>
          <w:sz w:val="22"/>
          <w:szCs w:val="22"/>
          <w14:ligatures w14:val="none"/>
        </w:rPr>
      </w:pPr>
      <w:r w:rsidRPr="0079308B">
        <w:rPr>
          <w:rFonts w:eastAsia="Times New Roman" w:cstheme="minorHAnsi"/>
          <w:color w:val="242831"/>
          <w:kern w:val="0"/>
          <w:sz w:val="22"/>
          <w:szCs w:val="22"/>
          <w14:ligatures w14:val="none"/>
        </w:rPr>
        <w:t xml:space="preserve">A strength of the study design is the incorporation of a usual care arm that is a diverse representation of standard practice where testing for liver disease is applied to a few, selected patients with T2DM. The design therefore allows for real-world comparisons between the status quo and </w:t>
      </w:r>
      <w:r w:rsidR="00A25862" w:rsidRPr="0079308B">
        <w:rPr>
          <w:rFonts w:eastAsia="Times New Roman" w:cstheme="minorHAnsi"/>
          <w:color w:val="242831"/>
          <w:kern w:val="0"/>
          <w:sz w:val="22"/>
          <w:szCs w:val="22"/>
          <w14:ligatures w14:val="none"/>
        </w:rPr>
        <w:t>[</w:t>
      </w:r>
      <w:r w:rsidRPr="0079308B">
        <w:rPr>
          <w:rFonts w:eastAsia="Times New Roman" w:cstheme="minorHAnsi"/>
          <w:color w:val="242831"/>
          <w:kern w:val="0"/>
          <w:sz w:val="22"/>
          <w:szCs w:val="22"/>
          <w14:ligatures w14:val="none"/>
        </w:rPr>
        <w:t xml:space="preserve">via the intervention </w:t>
      </w:r>
      <w:r w:rsidRPr="0079308B">
        <w:rPr>
          <w:rFonts w:eastAsia="Times New Roman" w:cstheme="minorHAnsi"/>
          <w:color w:val="242831"/>
          <w:kern w:val="0"/>
          <w:sz w:val="22"/>
          <w:szCs w:val="22"/>
          <w14:ligatures w14:val="none"/>
        </w:rPr>
        <w:lastRenderedPageBreak/>
        <w:t>arm</w:t>
      </w:r>
      <w:r w:rsidR="00A25862" w:rsidRPr="0079308B">
        <w:rPr>
          <w:rFonts w:eastAsia="Times New Roman" w:cstheme="minorHAnsi"/>
          <w:color w:val="242831"/>
          <w:kern w:val="0"/>
          <w:sz w:val="22"/>
          <w:szCs w:val="22"/>
          <w14:ligatures w14:val="none"/>
        </w:rPr>
        <w:t>]</w:t>
      </w:r>
      <w:r w:rsidRPr="0079308B">
        <w:rPr>
          <w:rFonts w:eastAsia="Times New Roman" w:cstheme="minorHAnsi"/>
          <w:color w:val="242831"/>
          <w:kern w:val="0"/>
          <w:sz w:val="22"/>
          <w:szCs w:val="22"/>
          <w14:ligatures w14:val="none"/>
        </w:rPr>
        <w:t xml:space="preserve"> a close representation of what a screening programme for liver disease in patients with T2DM might look like. </w:t>
      </w:r>
    </w:p>
    <w:p w14:paraId="119A3D94" w14:textId="77777777" w:rsidR="002E2053" w:rsidRPr="0079308B" w:rsidRDefault="002E2053" w:rsidP="00FC7DB4">
      <w:pPr>
        <w:spacing w:line="360" w:lineRule="auto"/>
        <w:rPr>
          <w:rFonts w:eastAsia="Times New Roman" w:cstheme="minorHAnsi"/>
          <w:color w:val="242831"/>
          <w:kern w:val="0"/>
          <w:sz w:val="22"/>
          <w:szCs w:val="22"/>
          <w14:ligatures w14:val="none"/>
        </w:rPr>
      </w:pPr>
    </w:p>
    <w:p w14:paraId="20372AE0" w14:textId="3A12E8FC" w:rsidR="00087DC6" w:rsidRPr="0079308B" w:rsidRDefault="00087DC6" w:rsidP="00FC7DB4">
      <w:pPr>
        <w:spacing w:line="360" w:lineRule="auto"/>
        <w:rPr>
          <w:rFonts w:eastAsia="Times New Roman" w:cstheme="minorHAnsi"/>
          <w:b/>
          <w:bCs/>
          <w:color w:val="000000" w:themeColor="text1"/>
          <w:kern w:val="0"/>
          <w:sz w:val="22"/>
          <w:szCs w:val="22"/>
          <w14:ligatures w14:val="none"/>
        </w:rPr>
      </w:pPr>
      <w:r w:rsidRPr="0079308B">
        <w:rPr>
          <w:rFonts w:eastAsia="Times New Roman" w:cstheme="minorHAnsi"/>
          <w:b/>
          <w:bCs/>
          <w:color w:val="000000" w:themeColor="text1"/>
          <w:kern w:val="0"/>
          <w:sz w:val="22"/>
          <w:szCs w:val="22"/>
          <w14:ligatures w14:val="none"/>
        </w:rPr>
        <w:t>Ethical approval and dissemination plans</w:t>
      </w:r>
    </w:p>
    <w:p w14:paraId="14FA4521" w14:textId="42A8C87E" w:rsidR="00ED42C7" w:rsidRPr="0079308B" w:rsidRDefault="00087DC6" w:rsidP="00ED42C7">
      <w:pPr>
        <w:shd w:val="clear" w:color="auto" w:fill="FFFFFF"/>
        <w:spacing w:line="360" w:lineRule="auto"/>
        <w:textAlignment w:val="baseline"/>
        <w:rPr>
          <w:rFonts w:cstheme="minorHAnsi"/>
          <w:sz w:val="22"/>
          <w:szCs w:val="22"/>
        </w:rPr>
      </w:pPr>
      <w:r w:rsidRPr="0079308B">
        <w:rPr>
          <w:rFonts w:eastAsia="Times New Roman" w:cstheme="minorHAnsi"/>
          <w:color w:val="000000"/>
          <w:kern w:val="0"/>
          <w:sz w:val="22"/>
          <w:szCs w:val="22"/>
          <w14:ligatures w14:val="none"/>
        </w:rPr>
        <w:t xml:space="preserve">The University of Southampton is the study sponsor, ERGO II submission ID 80205.  </w:t>
      </w:r>
      <w:r w:rsidR="00010E2E" w:rsidRPr="0079308B">
        <w:rPr>
          <w:rFonts w:eastAsia="Times New Roman" w:cstheme="minorHAnsi"/>
          <w:color w:val="000000"/>
          <w:kern w:val="0"/>
          <w:sz w:val="22"/>
          <w:szCs w:val="22"/>
          <w14:ligatures w14:val="none"/>
        </w:rPr>
        <w:t xml:space="preserve">Ethical approval </w:t>
      </w:r>
      <w:r w:rsidRPr="0079308B">
        <w:rPr>
          <w:rFonts w:eastAsia="Times New Roman" w:cstheme="minorHAnsi"/>
          <w:color w:val="000000"/>
          <w:kern w:val="0"/>
          <w:sz w:val="22"/>
          <w:szCs w:val="22"/>
          <w14:ligatures w14:val="none"/>
        </w:rPr>
        <w:t xml:space="preserve">was granted by the West of Scotland Research Ethics Service </w:t>
      </w:r>
      <w:r w:rsidR="00A25862" w:rsidRPr="0079308B">
        <w:rPr>
          <w:rFonts w:eastAsia="Times New Roman" w:cstheme="minorHAnsi"/>
          <w:color w:val="000000"/>
          <w:kern w:val="0"/>
          <w:sz w:val="22"/>
          <w:szCs w:val="22"/>
          <w14:ligatures w14:val="none"/>
        </w:rPr>
        <w:t>[</w:t>
      </w:r>
      <w:proofErr w:type="spellStart"/>
      <w:r w:rsidRPr="0079308B">
        <w:rPr>
          <w:rFonts w:eastAsia="Times New Roman" w:cstheme="minorHAnsi"/>
          <w:color w:val="000000"/>
          <w:kern w:val="0"/>
          <w:sz w:val="22"/>
          <w:szCs w:val="22"/>
          <w14:ligatures w14:val="none"/>
        </w:rPr>
        <w:t>WoSRES</w:t>
      </w:r>
      <w:proofErr w:type="spellEnd"/>
      <w:r w:rsidR="00A25862" w:rsidRPr="0079308B">
        <w:rPr>
          <w:rFonts w:eastAsia="Times New Roman" w:cstheme="minorHAnsi"/>
          <w:color w:val="000000"/>
          <w:kern w:val="0"/>
          <w:sz w:val="22"/>
          <w:szCs w:val="22"/>
          <w14:ligatures w14:val="none"/>
        </w:rPr>
        <w:t>]</w:t>
      </w:r>
      <w:r w:rsidRPr="0079308B">
        <w:rPr>
          <w:rFonts w:eastAsia="Times New Roman" w:cstheme="minorHAnsi"/>
          <w:color w:val="000000"/>
          <w:kern w:val="0"/>
          <w:sz w:val="22"/>
          <w:szCs w:val="22"/>
          <w14:ligatures w14:val="none"/>
        </w:rPr>
        <w:t xml:space="preserve"> on 2</w:t>
      </w:r>
      <w:r w:rsidRPr="0079308B">
        <w:rPr>
          <w:rFonts w:eastAsia="Times New Roman" w:cstheme="minorHAnsi"/>
          <w:color w:val="000000"/>
          <w:kern w:val="0"/>
          <w:sz w:val="22"/>
          <w:szCs w:val="22"/>
          <w:vertAlign w:val="superscript"/>
          <w14:ligatures w14:val="none"/>
        </w:rPr>
        <w:t>nd</w:t>
      </w:r>
      <w:r w:rsidRPr="0079308B">
        <w:rPr>
          <w:rFonts w:eastAsia="Times New Roman" w:cstheme="minorHAnsi"/>
          <w:color w:val="000000"/>
          <w:kern w:val="0"/>
          <w:sz w:val="22"/>
          <w:szCs w:val="22"/>
          <w14:ligatures w14:val="none"/>
        </w:rPr>
        <w:t xml:space="preserve"> August 2023, REC reference 23/WS/0102.</w:t>
      </w:r>
      <w:r w:rsidR="00ED42C7" w:rsidRPr="0079308B">
        <w:rPr>
          <w:rFonts w:eastAsia="Times New Roman" w:cstheme="minorHAnsi"/>
          <w:color w:val="000000"/>
          <w:kern w:val="0"/>
          <w:sz w:val="22"/>
          <w:szCs w:val="22"/>
          <w14:ligatures w14:val="none"/>
        </w:rPr>
        <w:t xml:space="preserve"> Any amendments to the study protocol will require authorisation from the ethical approvers.</w:t>
      </w:r>
      <w:r w:rsidRPr="0079308B">
        <w:rPr>
          <w:rFonts w:eastAsia="Times New Roman" w:cstheme="minorHAnsi"/>
          <w:color w:val="000000"/>
          <w:kern w:val="0"/>
          <w:sz w:val="22"/>
          <w:szCs w:val="22"/>
          <w14:ligatures w14:val="none"/>
        </w:rPr>
        <w:t xml:space="preserve"> </w:t>
      </w:r>
      <w:r w:rsidR="00ED42C7" w:rsidRPr="0079308B">
        <w:rPr>
          <w:rFonts w:cstheme="minorHAnsi"/>
          <w:sz w:val="22"/>
          <w:szCs w:val="22"/>
        </w:rPr>
        <w:t xml:space="preserve">We expect that participants will be identified with liver disease as part of this study. We will work closely with clinicians in the study areas to ensure they are referred and reviewed in line with local practice. We also have academic clinicians within the study team </w:t>
      </w:r>
      <w:r w:rsidR="00A25862" w:rsidRPr="0079308B">
        <w:rPr>
          <w:rFonts w:cstheme="minorHAnsi"/>
          <w:sz w:val="22"/>
          <w:szCs w:val="22"/>
        </w:rPr>
        <w:t>[</w:t>
      </w:r>
      <w:r w:rsidR="00ED42C7" w:rsidRPr="0079308B">
        <w:rPr>
          <w:rFonts w:cstheme="minorHAnsi"/>
          <w:sz w:val="22"/>
          <w:szCs w:val="22"/>
        </w:rPr>
        <w:t>RB and CB</w:t>
      </w:r>
      <w:r w:rsidR="00A25862" w:rsidRPr="0079308B">
        <w:rPr>
          <w:rFonts w:cstheme="minorHAnsi"/>
          <w:sz w:val="22"/>
          <w:szCs w:val="22"/>
        </w:rPr>
        <w:t>]</w:t>
      </w:r>
      <w:r w:rsidR="00ED42C7" w:rsidRPr="0079308B">
        <w:rPr>
          <w:rFonts w:cstheme="minorHAnsi"/>
          <w:sz w:val="22"/>
          <w:szCs w:val="22"/>
        </w:rPr>
        <w:t xml:space="preserve"> who can support participants if the need arises.                 </w:t>
      </w:r>
    </w:p>
    <w:p w14:paraId="1E6ED9D1" w14:textId="77777777" w:rsidR="00ED42C7" w:rsidRPr="0079308B" w:rsidRDefault="00ED42C7" w:rsidP="00FC7DB4">
      <w:pPr>
        <w:shd w:val="clear" w:color="auto" w:fill="FFFFFF"/>
        <w:spacing w:line="360" w:lineRule="auto"/>
        <w:textAlignment w:val="baseline"/>
        <w:rPr>
          <w:rFonts w:cstheme="minorHAnsi"/>
          <w:sz w:val="22"/>
          <w:szCs w:val="22"/>
        </w:rPr>
      </w:pPr>
    </w:p>
    <w:p w14:paraId="59954F52" w14:textId="56666686" w:rsidR="002E2053" w:rsidRPr="0079308B" w:rsidRDefault="00087DC6" w:rsidP="00FC7DB4">
      <w:pPr>
        <w:shd w:val="clear" w:color="auto" w:fill="FFFFFF"/>
        <w:spacing w:line="360" w:lineRule="auto"/>
        <w:textAlignment w:val="baseline"/>
        <w:rPr>
          <w:rFonts w:cstheme="minorHAnsi"/>
          <w:sz w:val="22"/>
          <w:szCs w:val="22"/>
        </w:rPr>
      </w:pPr>
      <w:r w:rsidRPr="0079308B">
        <w:rPr>
          <w:rFonts w:cstheme="minorHAnsi"/>
          <w:sz w:val="22"/>
          <w:szCs w:val="22"/>
        </w:rPr>
        <w:t>Our</w:t>
      </w:r>
      <w:r w:rsidR="002E2053" w:rsidRPr="0079308B">
        <w:rPr>
          <w:rFonts w:cstheme="minorHAnsi"/>
          <w:sz w:val="22"/>
          <w:szCs w:val="22"/>
        </w:rPr>
        <w:t xml:space="preserve"> PPI group will explore the use of the internet, social </w:t>
      </w:r>
      <w:proofErr w:type="gramStart"/>
      <w:r w:rsidR="002E2053" w:rsidRPr="0079308B">
        <w:rPr>
          <w:rFonts w:cstheme="minorHAnsi"/>
          <w:sz w:val="22"/>
          <w:szCs w:val="22"/>
        </w:rPr>
        <w:t>media</w:t>
      </w:r>
      <w:proofErr w:type="gramEnd"/>
      <w:r w:rsidR="002E2053" w:rsidRPr="0079308B">
        <w:rPr>
          <w:rFonts w:cstheme="minorHAnsi"/>
          <w:sz w:val="22"/>
          <w:szCs w:val="22"/>
        </w:rPr>
        <w:t xml:space="preserve"> and involvement of community venues </w:t>
      </w:r>
      <w:r w:rsidR="00A25862" w:rsidRPr="0079308B">
        <w:rPr>
          <w:rFonts w:cstheme="minorHAnsi"/>
          <w:sz w:val="22"/>
          <w:szCs w:val="22"/>
        </w:rPr>
        <w:t>[</w:t>
      </w:r>
      <w:r w:rsidR="002E2053" w:rsidRPr="0079308B">
        <w:rPr>
          <w:rFonts w:cstheme="minorHAnsi"/>
          <w:sz w:val="22"/>
          <w:szCs w:val="22"/>
        </w:rPr>
        <w:t>e.g., mosques, churches, gurdwaras, community centres</w:t>
      </w:r>
      <w:r w:rsidR="00A25862" w:rsidRPr="0079308B">
        <w:rPr>
          <w:rFonts w:cstheme="minorHAnsi"/>
          <w:sz w:val="22"/>
          <w:szCs w:val="22"/>
        </w:rPr>
        <w:t>]</w:t>
      </w:r>
      <w:r w:rsidR="002E2053" w:rsidRPr="0079308B">
        <w:rPr>
          <w:rFonts w:cstheme="minorHAnsi"/>
          <w:sz w:val="22"/>
          <w:szCs w:val="22"/>
        </w:rPr>
        <w:t xml:space="preserve"> to reach marginalised populations and convey the study findings. </w:t>
      </w:r>
      <w:r w:rsidRPr="0079308B">
        <w:rPr>
          <w:rFonts w:cstheme="minorHAnsi"/>
          <w:sz w:val="22"/>
          <w:szCs w:val="22"/>
        </w:rPr>
        <w:t>Our PPI lead</w:t>
      </w:r>
      <w:r w:rsidR="002E2053" w:rsidRPr="0079308B">
        <w:rPr>
          <w:rFonts w:cstheme="minorHAnsi"/>
          <w:sz w:val="22"/>
          <w:szCs w:val="22"/>
        </w:rPr>
        <w:t xml:space="preserve"> will aim to publish articles in local newspapers and newsletters and explore possibilities for translation. </w:t>
      </w:r>
      <w:r w:rsidR="00CA2FF3" w:rsidRPr="0079308B">
        <w:rPr>
          <w:rFonts w:cstheme="minorHAnsi"/>
          <w:sz w:val="22"/>
          <w:szCs w:val="22"/>
        </w:rPr>
        <w:t xml:space="preserve">We aim to submit our findings in abstract form to the European Liver conference in January 2026 and submit to a high impact liver medicine journal later that year. </w:t>
      </w:r>
    </w:p>
    <w:p w14:paraId="6B2EF8DD" w14:textId="77777777" w:rsidR="00087DC6" w:rsidRPr="0079308B" w:rsidRDefault="00087DC6" w:rsidP="00FC7DB4">
      <w:pPr>
        <w:shd w:val="clear" w:color="auto" w:fill="FFFFFF"/>
        <w:spacing w:line="360" w:lineRule="auto"/>
        <w:textAlignment w:val="baseline"/>
        <w:rPr>
          <w:rFonts w:cstheme="minorHAnsi"/>
          <w:sz w:val="22"/>
          <w:szCs w:val="22"/>
        </w:rPr>
      </w:pPr>
    </w:p>
    <w:p w14:paraId="2F8F73B2" w14:textId="4C634F23" w:rsidR="00087DC6" w:rsidRPr="0079308B" w:rsidRDefault="00087DC6" w:rsidP="00FC7DB4">
      <w:pPr>
        <w:shd w:val="clear" w:color="auto" w:fill="FFFFFF"/>
        <w:spacing w:line="360" w:lineRule="auto"/>
        <w:textAlignment w:val="baseline"/>
        <w:rPr>
          <w:rFonts w:cstheme="minorHAnsi"/>
          <w:b/>
          <w:bCs/>
          <w:sz w:val="22"/>
          <w:szCs w:val="22"/>
        </w:rPr>
      </w:pPr>
      <w:r w:rsidRPr="0079308B">
        <w:rPr>
          <w:rFonts w:cstheme="minorHAnsi"/>
          <w:b/>
          <w:bCs/>
          <w:sz w:val="22"/>
          <w:szCs w:val="22"/>
        </w:rPr>
        <w:t>Author contributions</w:t>
      </w:r>
    </w:p>
    <w:p w14:paraId="55F9F840" w14:textId="7D8CEDA9" w:rsidR="00087DC6" w:rsidRPr="0079308B" w:rsidRDefault="00620A8C" w:rsidP="00620A8C">
      <w:pPr>
        <w:shd w:val="clear" w:color="auto" w:fill="FFFFFF"/>
        <w:spacing w:line="360" w:lineRule="auto"/>
        <w:textAlignment w:val="baseline"/>
        <w:rPr>
          <w:rFonts w:cstheme="minorHAnsi"/>
          <w:sz w:val="22"/>
          <w:szCs w:val="22"/>
        </w:rPr>
      </w:pPr>
      <w:r w:rsidRPr="0079308B">
        <w:rPr>
          <w:rFonts w:cstheme="minorHAnsi"/>
          <w:sz w:val="22"/>
          <w:szCs w:val="22"/>
        </w:rPr>
        <w:t xml:space="preserve">Ryan M Buchanan is the guarantor. RMB, CB, KM, TR, JB, </w:t>
      </w:r>
      <w:proofErr w:type="gramStart"/>
      <w:r w:rsidRPr="0079308B">
        <w:rPr>
          <w:rFonts w:cstheme="minorHAnsi"/>
          <w:sz w:val="22"/>
          <w:szCs w:val="22"/>
        </w:rPr>
        <w:t>KC</w:t>
      </w:r>
      <w:proofErr w:type="gramEnd"/>
      <w:r w:rsidRPr="0079308B">
        <w:rPr>
          <w:rFonts w:cstheme="minorHAnsi"/>
          <w:sz w:val="22"/>
          <w:szCs w:val="22"/>
        </w:rPr>
        <w:t xml:space="preserve"> and SH conceived and planned the study design. RMB, KC &amp; SH designed the data analysis plan. TR and CN designed and piloted data collection templates, all authors contributed to drafting the manuscript. All authors reviewed and commented on a final draft before submission. All authors agree to be accountable for all aspects of the work in ensuring that questions related to the accuracy or integrity of any part of the work are appropriately investigated and resolved.</w:t>
      </w:r>
    </w:p>
    <w:p w14:paraId="536ED33F" w14:textId="77777777" w:rsidR="00620A8C" w:rsidRPr="0079308B" w:rsidRDefault="00620A8C" w:rsidP="00620A8C">
      <w:pPr>
        <w:shd w:val="clear" w:color="auto" w:fill="FFFFFF"/>
        <w:spacing w:line="360" w:lineRule="auto"/>
        <w:textAlignment w:val="baseline"/>
        <w:rPr>
          <w:rFonts w:cstheme="minorHAnsi"/>
          <w:sz w:val="22"/>
          <w:szCs w:val="22"/>
        </w:rPr>
      </w:pPr>
    </w:p>
    <w:p w14:paraId="4C928101" w14:textId="400272DB" w:rsidR="00087DC6" w:rsidRPr="0079308B" w:rsidRDefault="00087DC6" w:rsidP="00ED094F">
      <w:pPr>
        <w:shd w:val="clear" w:color="auto" w:fill="FFFFFF"/>
        <w:spacing w:line="360" w:lineRule="auto"/>
        <w:textAlignment w:val="baseline"/>
        <w:rPr>
          <w:rFonts w:cstheme="minorHAnsi"/>
          <w:b/>
          <w:bCs/>
          <w:color w:val="000000" w:themeColor="text1"/>
          <w:sz w:val="22"/>
          <w:szCs w:val="22"/>
        </w:rPr>
      </w:pPr>
      <w:r w:rsidRPr="0079308B">
        <w:rPr>
          <w:rFonts w:cstheme="minorHAnsi"/>
          <w:b/>
          <w:bCs/>
          <w:color w:val="000000" w:themeColor="text1"/>
          <w:sz w:val="22"/>
          <w:szCs w:val="22"/>
        </w:rPr>
        <w:t>Funding statement</w:t>
      </w:r>
    </w:p>
    <w:p w14:paraId="341BCA48" w14:textId="4A9207B6" w:rsidR="00087DC6" w:rsidRPr="0079308B" w:rsidRDefault="00087DC6" w:rsidP="00ED094F">
      <w:pPr>
        <w:shd w:val="clear" w:color="auto" w:fill="FFFFFF"/>
        <w:spacing w:line="360" w:lineRule="auto"/>
        <w:textAlignment w:val="baseline"/>
        <w:rPr>
          <w:rFonts w:eastAsia="Times New Roman" w:cstheme="minorHAnsi"/>
          <w:color w:val="000000" w:themeColor="text1"/>
          <w:kern w:val="0"/>
          <w:sz w:val="22"/>
          <w:szCs w:val="22"/>
          <w14:ligatures w14:val="none"/>
        </w:rPr>
      </w:pPr>
      <w:r w:rsidRPr="0079308B">
        <w:rPr>
          <w:rFonts w:eastAsia="Times New Roman" w:cstheme="minorHAnsi"/>
          <w:color w:val="000000" w:themeColor="text1"/>
          <w:kern w:val="0"/>
          <w:sz w:val="22"/>
          <w:szCs w:val="22"/>
          <w14:ligatures w14:val="none"/>
        </w:rPr>
        <w:t xml:space="preserve">This work was supported by </w:t>
      </w:r>
      <w:proofErr w:type="spellStart"/>
      <w:r w:rsidR="00CF2ACC" w:rsidRPr="0079308B">
        <w:rPr>
          <w:rFonts w:eastAsia="Times New Roman" w:cstheme="minorHAnsi"/>
          <w:color w:val="000000" w:themeColor="text1"/>
          <w:kern w:val="0"/>
          <w:sz w:val="22"/>
          <w:szCs w:val="22"/>
          <w14:ligatures w14:val="none"/>
        </w:rPr>
        <w:t>Echosens</w:t>
      </w:r>
      <w:proofErr w:type="spellEnd"/>
      <w:r w:rsidR="00CF2ACC" w:rsidRPr="0079308B">
        <w:rPr>
          <w:rFonts w:eastAsia="Times New Roman" w:cstheme="minorHAnsi"/>
          <w:color w:val="000000" w:themeColor="text1"/>
          <w:kern w:val="0"/>
          <w:sz w:val="22"/>
          <w:szCs w:val="22"/>
          <w14:ligatures w14:val="none"/>
        </w:rPr>
        <w:t xml:space="preserve"> LTD</w:t>
      </w:r>
      <w:r w:rsidR="00E43CB6" w:rsidRPr="0079308B">
        <w:rPr>
          <w:rFonts w:eastAsia="Times New Roman" w:cstheme="minorHAnsi"/>
          <w:color w:val="000000" w:themeColor="text1"/>
          <w:kern w:val="0"/>
          <w:sz w:val="22"/>
          <w:szCs w:val="22"/>
          <w14:ligatures w14:val="none"/>
        </w:rPr>
        <w:t xml:space="preserve"> and University Hospital Southampton NHS Foundation Trus</w:t>
      </w:r>
      <w:r w:rsidR="00C866FD" w:rsidRPr="0079308B">
        <w:rPr>
          <w:rFonts w:eastAsia="Times New Roman" w:cstheme="minorHAnsi"/>
          <w:color w:val="000000" w:themeColor="text1"/>
          <w:kern w:val="0"/>
          <w:sz w:val="22"/>
          <w:szCs w:val="22"/>
          <w14:ligatures w14:val="none"/>
        </w:rPr>
        <w:t xml:space="preserve">t, Southampton Hospitals Charity and the Southampton National Institute for Health and care research </w:t>
      </w:r>
      <w:r w:rsidR="00A25862" w:rsidRPr="0079308B">
        <w:rPr>
          <w:rFonts w:eastAsia="Times New Roman" w:cstheme="minorHAnsi"/>
          <w:color w:val="000000" w:themeColor="text1"/>
          <w:kern w:val="0"/>
          <w:sz w:val="22"/>
          <w:szCs w:val="22"/>
          <w14:ligatures w14:val="none"/>
        </w:rPr>
        <w:t>[</w:t>
      </w:r>
      <w:r w:rsidR="00C866FD" w:rsidRPr="0079308B">
        <w:rPr>
          <w:rFonts w:eastAsia="Times New Roman" w:cstheme="minorHAnsi"/>
          <w:color w:val="000000" w:themeColor="text1"/>
          <w:kern w:val="0"/>
          <w:sz w:val="22"/>
          <w:szCs w:val="22"/>
          <w14:ligatures w14:val="none"/>
        </w:rPr>
        <w:t>NIHR</w:t>
      </w:r>
      <w:r w:rsidR="00A25862" w:rsidRPr="0079308B">
        <w:rPr>
          <w:rFonts w:eastAsia="Times New Roman" w:cstheme="minorHAnsi"/>
          <w:color w:val="000000" w:themeColor="text1"/>
          <w:kern w:val="0"/>
          <w:sz w:val="22"/>
          <w:szCs w:val="22"/>
          <w14:ligatures w14:val="none"/>
        </w:rPr>
        <w:t>]</w:t>
      </w:r>
      <w:r w:rsidR="00C866FD" w:rsidRPr="0079308B">
        <w:rPr>
          <w:rFonts w:eastAsia="Times New Roman" w:cstheme="minorHAnsi"/>
          <w:color w:val="000000" w:themeColor="text1"/>
          <w:kern w:val="0"/>
          <w:sz w:val="22"/>
          <w:szCs w:val="22"/>
          <w14:ligatures w14:val="none"/>
        </w:rPr>
        <w:t xml:space="preserve"> Biomedical Research Centre </w:t>
      </w:r>
      <w:r w:rsidR="00A25862" w:rsidRPr="0079308B">
        <w:rPr>
          <w:rFonts w:eastAsia="Times New Roman" w:cstheme="minorHAnsi"/>
          <w:color w:val="000000" w:themeColor="text1"/>
          <w:kern w:val="0"/>
          <w:sz w:val="22"/>
          <w:szCs w:val="22"/>
          <w14:ligatures w14:val="none"/>
        </w:rPr>
        <w:t>[</w:t>
      </w:r>
      <w:r w:rsidR="00C866FD" w:rsidRPr="0079308B">
        <w:rPr>
          <w:rFonts w:eastAsia="Times New Roman" w:cstheme="minorHAnsi"/>
          <w:color w:val="000000" w:themeColor="text1"/>
          <w:kern w:val="0"/>
          <w:sz w:val="22"/>
          <w:szCs w:val="22"/>
          <w14:ligatures w14:val="none"/>
        </w:rPr>
        <w:t>NIHR203319</w:t>
      </w:r>
      <w:r w:rsidR="00A25862" w:rsidRPr="0079308B">
        <w:rPr>
          <w:rFonts w:eastAsia="Times New Roman" w:cstheme="minorHAnsi"/>
          <w:color w:val="000000" w:themeColor="text1"/>
          <w:kern w:val="0"/>
          <w:sz w:val="22"/>
          <w:szCs w:val="22"/>
          <w14:ligatures w14:val="none"/>
        </w:rPr>
        <w:t>]</w:t>
      </w:r>
      <w:r w:rsidR="00C866FD" w:rsidRPr="0079308B">
        <w:rPr>
          <w:rFonts w:eastAsia="Times New Roman" w:cstheme="minorHAnsi"/>
          <w:color w:val="000000" w:themeColor="text1"/>
          <w:kern w:val="0"/>
          <w:sz w:val="22"/>
          <w:szCs w:val="22"/>
          <w14:ligatures w14:val="none"/>
        </w:rPr>
        <w:t>.</w:t>
      </w:r>
      <w:r w:rsidR="00E83F15" w:rsidRPr="0079308B">
        <w:rPr>
          <w:rFonts w:eastAsia="Times New Roman" w:cstheme="minorHAnsi"/>
          <w:color w:val="000000" w:themeColor="text1"/>
          <w:kern w:val="0"/>
          <w:sz w:val="22"/>
          <w:szCs w:val="22"/>
          <w14:ligatures w14:val="none"/>
        </w:rPr>
        <w:t xml:space="preserve"> Funders had no role in developing the study protocol and will have no role in data collection, data analysis or manuscript preparation. </w:t>
      </w:r>
    </w:p>
    <w:p w14:paraId="220BC37A" w14:textId="77777777" w:rsidR="00C866FD" w:rsidRPr="0079308B" w:rsidRDefault="00C866FD" w:rsidP="00ED094F">
      <w:pPr>
        <w:shd w:val="clear" w:color="auto" w:fill="FFFFFF"/>
        <w:spacing w:line="360" w:lineRule="auto"/>
        <w:textAlignment w:val="baseline"/>
        <w:rPr>
          <w:color w:val="000000" w:themeColor="text1"/>
          <w:shd w:val="clear" w:color="auto" w:fill="FFFF00"/>
        </w:rPr>
      </w:pPr>
    </w:p>
    <w:p w14:paraId="5B96FBE6" w14:textId="718F5062" w:rsidR="00087DC6" w:rsidRPr="0079308B" w:rsidRDefault="00087DC6" w:rsidP="00ED094F">
      <w:pPr>
        <w:shd w:val="clear" w:color="auto" w:fill="FFFFFF"/>
        <w:spacing w:line="360" w:lineRule="auto"/>
        <w:textAlignment w:val="baseline"/>
        <w:rPr>
          <w:rFonts w:eastAsia="Times New Roman" w:cstheme="minorHAnsi"/>
          <w:b/>
          <w:bCs/>
          <w:color w:val="000000"/>
          <w:kern w:val="0"/>
          <w:sz w:val="22"/>
          <w:szCs w:val="22"/>
          <w14:ligatures w14:val="none"/>
        </w:rPr>
      </w:pPr>
      <w:r w:rsidRPr="0079308B">
        <w:rPr>
          <w:rFonts w:eastAsia="Times New Roman" w:cstheme="minorHAnsi"/>
          <w:b/>
          <w:bCs/>
          <w:color w:val="000000"/>
          <w:kern w:val="0"/>
          <w:sz w:val="22"/>
          <w:szCs w:val="22"/>
          <w14:ligatures w14:val="none"/>
        </w:rPr>
        <w:lastRenderedPageBreak/>
        <w:t>Competing interest statement</w:t>
      </w:r>
    </w:p>
    <w:p w14:paraId="1AB22CE3" w14:textId="79B500D3" w:rsidR="00465FC2" w:rsidRPr="0079308B" w:rsidRDefault="00077D7B" w:rsidP="00ED094F">
      <w:pPr>
        <w:spacing w:line="360" w:lineRule="auto"/>
        <w:rPr>
          <w:rFonts w:cstheme="minorHAnsi"/>
          <w:sz w:val="22"/>
          <w:szCs w:val="22"/>
        </w:rPr>
      </w:pPr>
      <w:r w:rsidRPr="0079308B">
        <w:rPr>
          <w:rFonts w:cstheme="minorHAnsi"/>
          <w:sz w:val="22"/>
          <w:szCs w:val="22"/>
        </w:rPr>
        <w:t>T</w:t>
      </w:r>
      <w:r w:rsidR="00FC7DB4" w:rsidRPr="0079308B">
        <w:rPr>
          <w:rFonts w:cstheme="minorHAnsi"/>
          <w:sz w:val="22"/>
          <w:szCs w:val="22"/>
        </w:rPr>
        <w:t>R received a one</w:t>
      </w:r>
      <w:r w:rsidR="005C50B4" w:rsidRPr="0079308B">
        <w:rPr>
          <w:rFonts w:cstheme="minorHAnsi"/>
          <w:sz w:val="22"/>
          <w:szCs w:val="22"/>
        </w:rPr>
        <w:t>-</w:t>
      </w:r>
      <w:r w:rsidR="00FC7DB4" w:rsidRPr="0079308B">
        <w:rPr>
          <w:rFonts w:cstheme="minorHAnsi"/>
          <w:sz w:val="22"/>
          <w:szCs w:val="22"/>
        </w:rPr>
        <w:t xml:space="preserve">off consultancy fee from </w:t>
      </w:r>
      <w:proofErr w:type="spellStart"/>
      <w:r w:rsidR="00FC7DB4" w:rsidRPr="0079308B">
        <w:rPr>
          <w:rFonts w:cstheme="minorHAnsi"/>
          <w:sz w:val="22"/>
          <w:szCs w:val="22"/>
        </w:rPr>
        <w:t>Echosens</w:t>
      </w:r>
      <w:proofErr w:type="spellEnd"/>
      <w:r w:rsidR="00FC7DB4" w:rsidRPr="0079308B">
        <w:rPr>
          <w:rFonts w:cstheme="minorHAnsi"/>
          <w:sz w:val="22"/>
          <w:szCs w:val="22"/>
        </w:rPr>
        <w:t xml:space="preserve"> LTD in 2023. Other authors have no </w:t>
      </w:r>
      <w:r w:rsidR="00E43CB6" w:rsidRPr="0079308B">
        <w:rPr>
          <w:rFonts w:cstheme="minorHAnsi"/>
          <w:sz w:val="22"/>
          <w:szCs w:val="22"/>
        </w:rPr>
        <w:t xml:space="preserve">other </w:t>
      </w:r>
      <w:r w:rsidR="00FC7DB4" w:rsidRPr="0079308B">
        <w:rPr>
          <w:rFonts w:cstheme="minorHAnsi"/>
          <w:sz w:val="22"/>
          <w:szCs w:val="22"/>
        </w:rPr>
        <w:t>conflicts</w:t>
      </w:r>
      <w:r w:rsidR="00E43CB6" w:rsidRPr="0079308B">
        <w:rPr>
          <w:rFonts w:cstheme="minorHAnsi"/>
          <w:sz w:val="22"/>
          <w:szCs w:val="22"/>
        </w:rPr>
        <w:t xml:space="preserve"> of interest</w:t>
      </w:r>
      <w:r w:rsidR="00FC7DB4" w:rsidRPr="0079308B">
        <w:rPr>
          <w:rFonts w:cstheme="minorHAnsi"/>
          <w:sz w:val="22"/>
          <w:szCs w:val="22"/>
        </w:rPr>
        <w:t xml:space="preserve"> to declare.</w:t>
      </w:r>
    </w:p>
    <w:p w14:paraId="1CB946BC" w14:textId="77777777" w:rsidR="00465FC2" w:rsidRPr="0079308B" w:rsidRDefault="00465FC2" w:rsidP="00ED094F">
      <w:pPr>
        <w:spacing w:line="360" w:lineRule="auto"/>
        <w:rPr>
          <w:rFonts w:cstheme="minorHAnsi"/>
          <w:sz w:val="22"/>
          <w:szCs w:val="22"/>
        </w:rPr>
      </w:pPr>
    </w:p>
    <w:p w14:paraId="61A474BE" w14:textId="0D2E18E7" w:rsidR="00ED094F" w:rsidRPr="0079308B" w:rsidRDefault="00ED094F" w:rsidP="00ED094F">
      <w:pPr>
        <w:spacing w:line="360" w:lineRule="auto"/>
        <w:rPr>
          <w:rFonts w:cstheme="minorHAnsi"/>
          <w:b/>
          <w:bCs/>
          <w:sz w:val="22"/>
          <w:szCs w:val="22"/>
        </w:rPr>
      </w:pPr>
      <w:r w:rsidRPr="0079308B">
        <w:rPr>
          <w:rFonts w:cstheme="minorHAnsi"/>
          <w:b/>
          <w:bCs/>
          <w:sz w:val="22"/>
          <w:szCs w:val="22"/>
        </w:rPr>
        <w:t xml:space="preserve">Data </w:t>
      </w:r>
      <w:r w:rsidR="0022002E" w:rsidRPr="0079308B">
        <w:rPr>
          <w:rFonts w:cstheme="minorHAnsi"/>
          <w:b/>
          <w:bCs/>
          <w:sz w:val="22"/>
          <w:szCs w:val="22"/>
        </w:rPr>
        <w:t xml:space="preserve">availability </w:t>
      </w:r>
      <w:r w:rsidRPr="0079308B">
        <w:rPr>
          <w:rFonts w:cstheme="minorHAnsi"/>
          <w:b/>
          <w:bCs/>
          <w:sz w:val="22"/>
          <w:szCs w:val="22"/>
        </w:rPr>
        <w:t>statement</w:t>
      </w:r>
    </w:p>
    <w:p w14:paraId="0ADB526C" w14:textId="2DC3C1E4" w:rsidR="00465FC2" w:rsidRPr="00E07A3F" w:rsidRDefault="00ED094F" w:rsidP="00ED094F">
      <w:pPr>
        <w:spacing w:line="360" w:lineRule="auto"/>
        <w:rPr>
          <w:rFonts w:cstheme="minorHAnsi"/>
          <w:sz w:val="22"/>
          <w:szCs w:val="22"/>
        </w:rPr>
      </w:pPr>
      <w:r w:rsidRPr="0079308B">
        <w:rPr>
          <w:rFonts w:cstheme="minorHAnsi"/>
          <w:sz w:val="22"/>
          <w:szCs w:val="22"/>
        </w:rPr>
        <w:t xml:space="preserve">Search codes of primary care data that are being used to identify participants are included as an appendix. As a protocol, this article does not present collected data and therefore a data repository is not included or needed. </w:t>
      </w:r>
      <w:r w:rsidR="004B18F0" w:rsidRPr="0079308B">
        <w:rPr>
          <w:rFonts w:cstheme="minorHAnsi"/>
          <w:sz w:val="22"/>
          <w:szCs w:val="22"/>
        </w:rPr>
        <w:t>As part of publication of the completed trial all relevant trial data will be available via a publicly accessible online repository.</w:t>
      </w:r>
      <w:r w:rsidR="004B18F0">
        <w:rPr>
          <w:rFonts w:cstheme="minorHAnsi"/>
          <w:sz w:val="22"/>
          <w:szCs w:val="22"/>
        </w:rPr>
        <w:t xml:space="preserve"> </w:t>
      </w:r>
    </w:p>
    <w:p w14:paraId="5010EEFB" w14:textId="77777777" w:rsidR="002E2053" w:rsidRDefault="002E2053" w:rsidP="002E2053"/>
    <w:p w14:paraId="7582F275" w14:textId="77777777" w:rsidR="00111A23" w:rsidRPr="00682C53" w:rsidRDefault="00111A23" w:rsidP="00111A23">
      <w:pPr>
        <w:rPr>
          <w:rFonts w:cstheme="minorHAnsi"/>
          <w:b/>
          <w:bCs/>
          <w:color w:val="000000" w:themeColor="text1"/>
          <w:sz w:val="22"/>
          <w:szCs w:val="22"/>
        </w:rPr>
      </w:pPr>
      <w:r w:rsidRPr="00682C53">
        <w:rPr>
          <w:rFonts w:cstheme="minorHAnsi"/>
          <w:b/>
          <w:bCs/>
          <w:color w:val="000000" w:themeColor="text1"/>
          <w:sz w:val="22"/>
          <w:szCs w:val="22"/>
        </w:rPr>
        <w:t>References:</w:t>
      </w:r>
    </w:p>
    <w:p w14:paraId="3B9C5629"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Pearson-</w:t>
      </w:r>
      <w:proofErr w:type="spellStart"/>
      <w:r w:rsidRPr="00682C53">
        <w:rPr>
          <w:rFonts w:asciiTheme="minorHAnsi" w:hAnsiTheme="minorHAnsi" w:cstheme="minorHAnsi"/>
          <w:color w:val="000000" w:themeColor="text1"/>
          <w:sz w:val="22"/>
          <w:szCs w:val="22"/>
        </w:rPr>
        <w:t>Stuttard</w:t>
      </w:r>
      <w:proofErr w:type="spellEnd"/>
      <w:r w:rsidRPr="00682C53">
        <w:rPr>
          <w:rFonts w:asciiTheme="minorHAnsi" w:hAnsiTheme="minorHAnsi" w:cstheme="minorHAnsi"/>
          <w:color w:val="000000" w:themeColor="text1"/>
          <w:sz w:val="22"/>
          <w:szCs w:val="22"/>
        </w:rPr>
        <w:t xml:space="preserve"> J, Bennett J, Chang Y, </w:t>
      </w:r>
      <w:proofErr w:type="spellStart"/>
      <w:r w:rsidRPr="00682C53">
        <w:rPr>
          <w:rFonts w:asciiTheme="minorHAnsi" w:hAnsiTheme="minorHAnsi" w:cstheme="minorHAnsi"/>
          <w:color w:val="000000" w:themeColor="text1"/>
          <w:sz w:val="22"/>
          <w:szCs w:val="22"/>
        </w:rPr>
        <w:t>Varnes</w:t>
      </w:r>
      <w:proofErr w:type="spellEnd"/>
      <w:r w:rsidRPr="00682C53">
        <w:rPr>
          <w:rFonts w:asciiTheme="minorHAnsi" w:hAnsiTheme="minorHAnsi" w:cstheme="minorHAnsi"/>
          <w:color w:val="000000" w:themeColor="text1"/>
          <w:sz w:val="22"/>
          <w:szCs w:val="22"/>
        </w:rPr>
        <w:t xml:space="preserve"> EP, Cross AJ, </w:t>
      </w:r>
      <w:proofErr w:type="spellStart"/>
      <w:r w:rsidRPr="00682C53">
        <w:rPr>
          <w:rFonts w:asciiTheme="minorHAnsi" w:hAnsiTheme="minorHAnsi" w:cstheme="minorHAnsi"/>
          <w:color w:val="000000" w:themeColor="text1"/>
          <w:sz w:val="22"/>
          <w:szCs w:val="22"/>
        </w:rPr>
        <w:t>Ezzati</w:t>
      </w:r>
      <w:proofErr w:type="spellEnd"/>
      <w:r w:rsidRPr="00682C53">
        <w:rPr>
          <w:rFonts w:asciiTheme="minorHAnsi" w:hAnsiTheme="minorHAnsi" w:cstheme="minorHAnsi"/>
          <w:color w:val="000000" w:themeColor="text1"/>
          <w:sz w:val="22"/>
          <w:szCs w:val="22"/>
        </w:rPr>
        <w:t xml:space="preserve"> M, et al. Trends in predominant causes of death in individuals with and without diabetes in England from 2001 to 2018: an epidemiological analysis of linked primary care records. </w:t>
      </w:r>
      <w:r w:rsidRPr="00682C53">
        <w:rPr>
          <w:rStyle w:val="Emphasis"/>
          <w:rFonts w:asciiTheme="minorHAnsi" w:hAnsiTheme="minorHAnsi" w:cstheme="minorHAnsi"/>
          <w:color w:val="000000" w:themeColor="text1"/>
          <w:sz w:val="22"/>
          <w:szCs w:val="22"/>
        </w:rPr>
        <w:t>Lancet Diabetes Endocrinol</w:t>
      </w:r>
      <w:r w:rsidRPr="00682C53">
        <w:rPr>
          <w:rFonts w:asciiTheme="minorHAnsi" w:hAnsiTheme="minorHAnsi" w:cstheme="minorHAnsi"/>
          <w:color w:val="000000" w:themeColor="text1"/>
          <w:sz w:val="22"/>
          <w:szCs w:val="22"/>
        </w:rPr>
        <w:t xml:space="preserve"> 2021;9(3):165-73. doi:10.1016/S2213-8587(21)00016-3.</w:t>
      </w:r>
    </w:p>
    <w:p w14:paraId="77A22CD8"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 xml:space="preserve">Wang P, Kang D, Cao W, Wang Y, Liu Z. Diabetes mellitus and risk of hepatocellular carcinoma: a systematic review and meta-analysis. </w:t>
      </w:r>
      <w:r w:rsidRPr="00682C53">
        <w:rPr>
          <w:rStyle w:val="Emphasis"/>
          <w:rFonts w:asciiTheme="minorHAnsi" w:hAnsiTheme="minorHAnsi" w:cstheme="minorHAnsi"/>
          <w:color w:val="000000" w:themeColor="text1"/>
          <w:sz w:val="22"/>
          <w:szCs w:val="22"/>
        </w:rPr>
        <w:t xml:space="preserve">Diabetes </w:t>
      </w:r>
      <w:proofErr w:type="spellStart"/>
      <w:r w:rsidRPr="00682C53">
        <w:rPr>
          <w:rStyle w:val="Emphasis"/>
          <w:rFonts w:asciiTheme="minorHAnsi" w:hAnsiTheme="minorHAnsi" w:cstheme="minorHAnsi"/>
          <w:color w:val="000000" w:themeColor="text1"/>
          <w:sz w:val="22"/>
          <w:szCs w:val="22"/>
        </w:rPr>
        <w:t>Metab</w:t>
      </w:r>
      <w:proofErr w:type="spellEnd"/>
      <w:r w:rsidRPr="00682C53">
        <w:rPr>
          <w:rStyle w:val="Emphasis"/>
          <w:rFonts w:asciiTheme="minorHAnsi" w:hAnsiTheme="minorHAnsi" w:cstheme="minorHAnsi"/>
          <w:color w:val="000000" w:themeColor="text1"/>
          <w:sz w:val="22"/>
          <w:szCs w:val="22"/>
        </w:rPr>
        <w:t xml:space="preserve"> Res Rev</w:t>
      </w:r>
      <w:r w:rsidRPr="00682C53">
        <w:rPr>
          <w:rFonts w:asciiTheme="minorHAnsi" w:hAnsiTheme="minorHAnsi" w:cstheme="minorHAnsi"/>
          <w:color w:val="000000" w:themeColor="text1"/>
          <w:sz w:val="22"/>
          <w:szCs w:val="22"/>
        </w:rPr>
        <w:t xml:space="preserve"> 2012;28(2):108-22. doi:10.1002/dmrr.1218.</w:t>
      </w:r>
    </w:p>
    <w:p w14:paraId="239F6563"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proofErr w:type="spellStart"/>
      <w:r w:rsidRPr="00682C53">
        <w:rPr>
          <w:rFonts w:asciiTheme="minorHAnsi" w:hAnsiTheme="minorHAnsi" w:cstheme="minorHAnsi"/>
          <w:color w:val="000000" w:themeColor="text1"/>
          <w:sz w:val="22"/>
          <w:szCs w:val="22"/>
        </w:rPr>
        <w:t>Rumgay</w:t>
      </w:r>
      <w:proofErr w:type="spellEnd"/>
      <w:r w:rsidRPr="00682C53">
        <w:rPr>
          <w:rFonts w:asciiTheme="minorHAnsi" w:hAnsiTheme="minorHAnsi" w:cstheme="minorHAnsi"/>
          <w:color w:val="000000" w:themeColor="text1"/>
          <w:sz w:val="22"/>
          <w:szCs w:val="22"/>
        </w:rPr>
        <w:t xml:space="preserve"> H, Arnold M, </w:t>
      </w:r>
      <w:proofErr w:type="spellStart"/>
      <w:r w:rsidRPr="00682C53">
        <w:rPr>
          <w:rFonts w:asciiTheme="minorHAnsi" w:hAnsiTheme="minorHAnsi" w:cstheme="minorHAnsi"/>
          <w:color w:val="000000" w:themeColor="text1"/>
          <w:sz w:val="22"/>
          <w:szCs w:val="22"/>
        </w:rPr>
        <w:t>Ferlay</w:t>
      </w:r>
      <w:proofErr w:type="spellEnd"/>
      <w:r w:rsidRPr="00682C53">
        <w:rPr>
          <w:rFonts w:asciiTheme="minorHAnsi" w:hAnsiTheme="minorHAnsi" w:cstheme="minorHAnsi"/>
          <w:color w:val="000000" w:themeColor="text1"/>
          <w:sz w:val="22"/>
          <w:szCs w:val="22"/>
        </w:rPr>
        <w:t xml:space="preserve"> J, </w:t>
      </w:r>
      <w:proofErr w:type="spellStart"/>
      <w:r w:rsidRPr="00682C53">
        <w:rPr>
          <w:rFonts w:asciiTheme="minorHAnsi" w:hAnsiTheme="minorHAnsi" w:cstheme="minorHAnsi"/>
          <w:color w:val="000000" w:themeColor="text1"/>
          <w:sz w:val="22"/>
          <w:szCs w:val="22"/>
        </w:rPr>
        <w:t>Lesi</w:t>
      </w:r>
      <w:proofErr w:type="spellEnd"/>
      <w:r w:rsidRPr="00682C53">
        <w:rPr>
          <w:rFonts w:asciiTheme="minorHAnsi" w:hAnsiTheme="minorHAnsi" w:cstheme="minorHAnsi"/>
          <w:color w:val="000000" w:themeColor="text1"/>
          <w:sz w:val="22"/>
          <w:szCs w:val="22"/>
        </w:rPr>
        <w:t xml:space="preserve"> O, </w:t>
      </w:r>
      <w:proofErr w:type="spellStart"/>
      <w:r w:rsidRPr="00682C53">
        <w:rPr>
          <w:rFonts w:asciiTheme="minorHAnsi" w:hAnsiTheme="minorHAnsi" w:cstheme="minorHAnsi"/>
          <w:color w:val="000000" w:themeColor="text1"/>
          <w:sz w:val="22"/>
          <w:szCs w:val="22"/>
        </w:rPr>
        <w:t>Cabasag</w:t>
      </w:r>
      <w:proofErr w:type="spellEnd"/>
      <w:r w:rsidRPr="00682C53">
        <w:rPr>
          <w:rFonts w:asciiTheme="minorHAnsi" w:hAnsiTheme="minorHAnsi" w:cstheme="minorHAnsi"/>
          <w:color w:val="000000" w:themeColor="text1"/>
          <w:sz w:val="22"/>
          <w:szCs w:val="22"/>
        </w:rPr>
        <w:t xml:space="preserve"> CJ, </w:t>
      </w:r>
      <w:proofErr w:type="spellStart"/>
      <w:r w:rsidRPr="00682C53">
        <w:rPr>
          <w:rFonts w:asciiTheme="minorHAnsi" w:hAnsiTheme="minorHAnsi" w:cstheme="minorHAnsi"/>
          <w:color w:val="000000" w:themeColor="text1"/>
          <w:sz w:val="22"/>
          <w:szCs w:val="22"/>
        </w:rPr>
        <w:t>Vignat</w:t>
      </w:r>
      <w:proofErr w:type="spellEnd"/>
      <w:r w:rsidRPr="00682C53">
        <w:rPr>
          <w:rFonts w:asciiTheme="minorHAnsi" w:hAnsiTheme="minorHAnsi" w:cstheme="minorHAnsi"/>
          <w:color w:val="000000" w:themeColor="text1"/>
          <w:sz w:val="22"/>
          <w:szCs w:val="22"/>
        </w:rPr>
        <w:t xml:space="preserve"> J, et al. Global burden of primary liver cancer in 2020 and predictions to 2040. </w:t>
      </w:r>
      <w:r w:rsidRPr="00682C53">
        <w:rPr>
          <w:rStyle w:val="Emphasis"/>
          <w:rFonts w:asciiTheme="minorHAnsi" w:hAnsiTheme="minorHAnsi" w:cstheme="minorHAnsi"/>
          <w:color w:val="000000" w:themeColor="text1"/>
          <w:sz w:val="22"/>
          <w:szCs w:val="22"/>
        </w:rPr>
        <w:t>J Hepatol</w:t>
      </w:r>
      <w:r w:rsidRPr="00682C53">
        <w:rPr>
          <w:rFonts w:asciiTheme="minorHAnsi" w:hAnsiTheme="minorHAnsi" w:cstheme="minorHAnsi"/>
          <w:color w:val="000000" w:themeColor="text1"/>
          <w:sz w:val="22"/>
          <w:szCs w:val="22"/>
        </w:rPr>
        <w:t xml:space="preserve"> 2022;77(6):1598-606. </w:t>
      </w:r>
      <w:proofErr w:type="gramStart"/>
      <w:r w:rsidRPr="00682C53">
        <w:rPr>
          <w:rFonts w:asciiTheme="minorHAnsi" w:hAnsiTheme="minorHAnsi" w:cstheme="minorHAnsi"/>
          <w:color w:val="000000" w:themeColor="text1"/>
          <w:sz w:val="22"/>
          <w:szCs w:val="22"/>
        </w:rPr>
        <w:t>doi:10.1016/j.jhep</w:t>
      </w:r>
      <w:proofErr w:type="gramEnd"/>
      <w:r w:rsidRPr="00682C53">
        <w:rPr>
          <w:rFonts w:asciiTheme="minorHAnsi" w:hAnsiTheme="minorHAnsi" w:cstheme="minorHAnsi"/>
          <w:color w:val="000000" w:themeColor="text1"/>
          <w:sz w:val="22"/>
          <w:szCs w:val="22"/>
        </w:rPr>
        <w:t>.2022.08.021.</w:t>
      </w:r>
    </w:p>
    <w:p w14:paraId="350157D0"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 xml:space="preserve">Wong RJ, Cheung R, Ahmed A. </w:t>
      </w:r>
      <w:proofErr w:type="spellStart"/>
      <w:r w:rsidRPr="00682C53">
        <w:rPr>
          <w:rFonts w:asciiTheme="minorHAnsi" w:hAnsiTheme="minorHAnsi" w:cstheme="minorHAnsi"/>
          <w:color w:val="000000" w:themeColor="text1"/>
          <w:sz w:val="22"/>
          <w:szCs w:val="22"/>
        </w:rPr>
        <w:t>Nonalcoholic</w:t>
      </w:r>
      <w:proofErr w:type="spellEnd"/>
      <w:r w:rsidRPr="00682C53">
        <w:rPr>
          <w:rFonts w:asciiTheme="minorHAnsi" w:hAnsiTheme="minorHAnsi" w:cstheme="minorHAnsi"/>
          <w:color w:val="000000" w:themeColor="text1"/>
          <w:sz w:val="22"/>
          <w:szCs w:val="22"/>
        </w:rPr>
        <w:t xml:space="preserve"> steatohepatitis is the most rapidly growing indication for liver transplantation in patients with hepatocellular carcinoma in the US. </w:t>
      </w:r>
      <w:r w:rsidRPr="00682C53">
        <w:rPr>
          <w:rStyle w:val="Emphasis"/>
          <w:rFonts w:asciiTheme="minorHAnsi" w:hAnsiTheme="minorHAnsi" w:cstheme="minorHAnsi"/>
          <w:color w:val="000000" w:themeColor="text1"/>
          <w:sz w:val="22"/>
          <w:szCs w:val="22"/>
        </w:rPr>
        <w:t>Hepatology</w:t>
      </w:r>
      <w:r w:rsidRPr="00682C53">
        <w:rPr>
          <w:rFonts w:asciiTheme="minorHAnsi" w:hAnsiTheme="minorHAnsi" w:cstheme="minorHAnsi"/>
          <w:color w:val="000000" w:themeColor="text1"/>
          <w:sz w:val="22"/>
          <w:szCs w:val="22"/>
        </w:rPr>
        <w:t xml:space="preserve"> 2014;59(6):2188-95. doi:10.1002/hep.26986.</w:t>
      </w:r>
    </w:p>
    <w:p w14:paraId="0F92A008"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proofErr w:type="spellStart"/>
      <w:r w:rsidRPr="00682C53">
        <w:rPr>
          <w:rFonts w:asciiTheme="minorHAnsi" w:hAnsiTheme="minorHAnsi" w:cstheme="minorHAnsi"/>
          <w:color w:val="000000" w:themeColor="text1"/>
          <w:sz w:val="22"/>
          <w:szCs w:val="22"/>
        </w:rPr>
        <w:t>Akinyemiju</w:t>
      </w:r>
      <w:proofErr w:type="spellEnd"/>
      <w:r w:rsidRPr="00682C53">
        <w:rPr>
          <w:rFonts w:asciiTheme="minorHAnsi" w:hAnsiTheme="minorHAnsi" w:cstheme="minorHAnsi"/>
          <w:color w:val="000000" w:themeColor="text1"/>
          <w:sz w:val="22"/>
          <w:szCs w:val="22"/>
        </w:rPr>
        <w:t xml:space="preserve"> T, </w:t>
      </w:r>
      <w:proofErr w:type="spellStart"/>
      <w:r w:rsidRPr="00682C53">
        <w:rPr>
          <w:rFonts w:asciiTheme="minorHAnsi" w:hAnsiTheme="minorHAnsi" w:cstheme="minorHAnsi"/>
          <w:color w:val="000000" w:themeColor="text1"/>
          <w:sz w:val="22"/>
          <w:szCs w:val="22"/>
        </w:rPr>
        <w:t>Abera</w:t>
      </w:r>
      <w:proofErr w:type="spellEnd"/>
      <w:r w:rsidRPr="00682C53">
        <w:rPr>
          <w:rFonts w:asciiTheme="minorHAnsi" w:hAnsiTheme="minorHAnsi" w:cstheme="minorHAnsi"/>
          <w:color w:val="000000" w:themeColor="text1"/>
          <w:sz w:val="22"/>
          <w:szCs w:val="22"/>
        </w:rPr>
        <w:t xml:space="preserve"> S, Ahmed M, </w:t>
      </w:r>
      <w:proofErr w:type="spellStart"/>
      <w:r w:rsidRPr="00682C53">
        <w:rPr>
          <w:rFonts w:asciiTheme="minorHAnsi" w:hAnsiTheme="minorHAnsi" w:cstheme="minorHAnsi"/>
          <w:color w:val="000000" w:themeColor="text1"/>
          <w:sz w:val="22"/>
          <w:szCs w:val="22"/>
        </w:rPr>
        <w:t>Alam</w:t>
      </w:r>
      <w:proofErr w:type="spellEnd"/>
      <w:r w:rsidRPr="00682C53">
        <w:rPr>
          <w:rFonts w:asciiTheme="minorHAnsi" w:hAnsiTheme="minorHAnsi" w:cstheme="minorHAnsi"/>
          <w:color w:val="000000" w:themeColor="text1"/>
          <w:sz w:val="22"/>
          <w:szCs w:val="22"/>
        </w:rPr>
        <w:t xml:space="preserve"> N, </w:t>
      </w:r>
      <w:proofErr w:type="spellStart"/>
      <w:r w:rsidRPr="00682C53">
        <w:rPr>
          <w:rFonts w:asciiTheme="minorHAnsi" w:hAnsiTheme="minorHAnsi" w:cstheme="minorHAnsi"/>
          <w:color w:val="000000" w:themeColor="text1"/>
          <w:sz w:val="22"/>
          <w:szCs w:val="22"/>
        </w:rPr>
        <w:t>Alemayohu</w:t>
      </w:r>
      <w:proofErr w:type="spellEnd"/>
      <w:r w:rsidRPr="00682C53">
        <w:rPr>
          <w:rFonts w:asciiTheme="minorHAnsi" w:hAnsiTheme="minorHAnsi" w:cstheme="minorHAnsi"/>
          <w:color w:val="000000" w:themeColor="text1"/>
          <w:sz w:val="22"/>
          <w:szCs w:val="22"/>
        </w:rPr>
        <w:t xml:space="preserve"> MA, Allen C, et al. The burden of primary liver cancer and underlying </w:t>
      </w:r>
      <w:proofErr w:type="spellStart"/>
      <w:r w:rsidRPr="00682C53">
        <w:rPr>
          <w:rFonts w:asciiTheme="minorHAnsi" w:hAnsiTheme="minorHAnsi" w:cstheme="minorHAnsi"/>
          <w:color w:val="000000" w:themeColor="text1"/>
          <w:sz w:val="22"/>
          <w:szCs w:val="22"/>
        </w:rPr>
        <w:t>etiologies</w:t>
      </w:r>
      <w:proofErr w:type="spellEnd"/>
      <w:r w:rsidRPr="00682C53">
        <w:rPr>
          <w:rFonts w:asciiTheme="minorHAnsi" w:hAnsiTheme="minorHAnsi" w:cstheme="minorHAnsi"/>
          <w:color w:val="000000" w:themeColor="text1"/>
          <w:sz w:val="22"/>
          <w:szCs w:val="22"/>
        </w:rPr>
        <w:t xml:space="preserve"> from 1990 to 2015 at the global, regional, and national level. </w:t>
      </w:r>
      <w:r w:rsidRPr="00682C53">
        <w:rPr>
          <w:rStyle w:val="Emphasis"/>
          <w:rFonts w:asciiTheme="minorHAnsi" w:hAnsiTheme="minorHAnsi" w:cstheme="minorHAnsi"/>
          <w:color w:val="000000" w:themeColor="text1"/>
          <w:sz w:val="22"/>
          <w:szCs w:val="22"/>
        </w:rPr>
        <w:t>JAMA Oncol</w:t>
      </w:r>
      <w:r w:rsidRPr="00682C53">
        <w:rPr>
          <w:rFonts w:asciiTheme="minorHAnsi" w:hAnsiTheme="minorHAnsi" w:cstheme="minorHAnsi"/>
          <w:color w:val="000000" w:themeColor="text1"/>
          <w:sz w:val="22"/>
          <w:szCs w:val="22"/>
        </w:rPr>
        <w:t xml:space="preserve"> 2017;3(12):1683-91. doi:10.1001/jamaoncol.2017.3055.</w:t>
      </w:r>
    </w:p>
    <w:p w14:paraId="071201BE"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European Association for the Study of the Liver (EASL). EASL Clinical Practice Guidelines: Management of hepatocellular carcinoma [Internet]. 2014 [cited 2022 Nov 7]. Available from: https://www.easl.eu/assets/application/files/d3876891223edf-file.pdf.</w:t>
      </w:r>
    </w:p>
    <w:p w14:paraId="58D9774A"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proofErr w:type="spellStart"/>
      <w:r w:rsidRPr="00682C53">
        <w:rPr>
          <w:rFonts w:asciiTheme="minorHAnsi" w:hAnsiTheme="minorHAnsi" w:cstheme="minorHAnsi"/>
          <w:color w:val="000000" w:themeColor="text1"/>
          <w:sz w:val="22"/>
          <w:szCs w:val="22"/>
        </w:rPr>
        <w:t>Petrick</w:t>
      </w:r>
      <w:proofErr w:type="spellEnd"/>
      <w:r w:rsidRPr="00682C53">
        <w:rPr>
          <w:rFonts w:asciiTheme="minorHAnsi" w:hAnsiTheme="minorHAnsi" w:cstheme="minorHAnsi"/>
          <w:color w:val="000000" w:themeColor="text1"/>
          <w:sz w:val="22"/>
          <w:szCs w:val="22"/>
        </w:rPr>
        <w:t xml:space="preserve"> JL, Florio AA, </w:t>
      </w:r>
      <w:proofErr w:type="spellStart"/>
      <w:r w:rsidRPr="00682C53">
        <w:rPr>
          <w:rFonts w:asciiTheme="minorHAnsi" w:hAnsiTheme="minorHAnsi" w:cstheme="minorHAnsi"/>
          <w:color w:val="000000" w:themeColor="text1"/>
          <w:sz w:val="22"/>
          <w:szCs w:val="22"/>
        </w:rPr>
        <w:t>Znaor</w:t>
      </w:r>
      <w:proofErr w:type="spellEnd"/>
      <w:r w:rsidRPr="00682C53">
        <w:rPr>
          <w:rFonts w:asciiTheme="minorHAnsi" w:hAnsiTheme="minorHAnsi" w:cstheme="minorHAnsi"/>
          <w:color w:val="000000" w:themeColor="text1"/>
          <w:sz w:val="22"/>
          <w:szCs w:val="22"/>
        </w:rPr>
        <w:t xml:space="preserve"> A, </w:t>
      </w:r>
      <w:proofErr w:type="spellStart"/>
      <w:r w:rsidRPr="00682C53">
        <w:rPr>
          <w:rFonts w:asciiTheme="minorHAnsi" w:hAnsiTheme="minorHAnsi" w:cstheme="minorHAnsi"/>
          <w:color w:val="000000" w:themeColor="text1"/>
          <w:sz w:val="22"/>
          <w:szCs w:val="22"/>
        </w:rPr>
        <w:t>Rugge</w:t>
      </w:r>
      <w:proofErr w:type="spellEnd"/>
      <w:r w:rsidRPr="00682C53">
        <w:rPr>
          <w:rFonts w:asciiTheme="minorHAnsi" w:hAnsiTheme="minorHAnsi" w:cstheme="minorHAnsi"/>
          <w:color w:val="000000" w:themeColor="text1"/>
          <w:sz w:val="22"/>
          <w:szCs w:val="22"/>
        </w:rPr>
        <w:t xml:space="preserve"> M, </w:t>
      </w:r>
      <w:proofErr w:type="spellStart"/>
      <w:r w:rsidRPr="00682C53">
        <w:rPr>
          <w:rFonts w:asciiTheme="minorHAnsi" w:hAnsiTheme="minorHAnsi" w:cstheme="minorHAnsi"/>
          <w:color w:val="000000" w:themeColor="text1"/>
          <w:sz w:val="22"/>
          <w:szCs w:val="22"/>
        </w:rPr>
        <w:t>Laversanne</w:t>
      </w:r>
      <w:proofErr w:type="spellEnd"/>
      <w:r w:rsidRPr="00682C53">
        <w:rPr>
          <w:rFonts w:asciiTheme="minorHAnsi" w:hAnsiTheme="minorHAnsi" w:cstheme="minorHAnsi"/>
          <w:color w:val="000000" w:themeColor="text1"/>
          <w:sz w:val="22"/>
          <w:szCs w:val="22"/>
        </w:rPr>
        <w:t xml:space="preserve"> M, Alvarez CS, et al. </w:t>
      </w:r>
      <w:proofErr w:type="gramStart"/>
      <w:r w:rsidRPr="00682C53">
        <w:rPr>
          <w:rFonts w:asciiTheme="minorHAnsi" w:hAnsiTheme="minorHAnsi" w:cstheme="minorHAnsi"/>
          <w:color w:val="000000" w:themeColor="text1"/>
          <w:sz w:val="22"/>
          <w:szCs w:val="22"/>
        </w:rPr>
        <w:t>International</w:t>
      </w:r>
      <w:proofErr w:type="gramEnd"/>
      <w:r w:rsidRPr="00682C53">
        <w:rPr>
          <w:rFonts w:asciiTheme="minorHAnsi" w:hAnsiTheme="minorHAnsi" w:cstheme="minorHAnsi"/>
          <w:color w:val="000000" w:themeColor="text1"/>
          <w:sz w:val="22"/>
          <w:szCs w:val="22"/>
        </w:rPr>
        <w:t xml:space="preserve"> trends in hepatocellular carcinoma incidence, 1978-2012. </w:t>
      </w:r>
      <w:r w:rsidRPr="00682C53">
        <w:rPr>
          <w:rStyle w:val="Emphasis"/>
          <w:rFonts w:asciiTheme="minorHAnsi" w:hAnsiTheme="minorHAnsi" w:cstheme="minorHAnsi"/>
          <w:color w:val="000000" w:themeColor="text1"/>
          <w:sz w:val="22"/>
          <w:szCs w:val="22"/>
        </w:rPr>
        <w:t>Gut</w:t>
      </w:r>
      <w:r w:rsidRPr="00682C53">
        <w:rPr>
          <w:rFonts w:asciiTheme="minorHAnsi" w:hAnsiTheme="minorHAnsi" w:cstheme="minorHAnsi"/>
          <w:color w:val="000000" w:themeColor="text1"/>
          <w:sz w:val="22"/>
          <w:szCs w:val="22"/>
        </w:rPr>
        <w:t xml:space="preserve"> 2023 [cited 2023 May 4]. Available from: https://onlinelibrary.wiley.com/doi/10.1002/ijc.32723.</w:t>
      </w:r>
    </w:p>
    <w:p w14:paraId="29C2449A"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proofErr w:type="spellStart"/>
      <w:r w:rsidRPr="00682C53">
        <w:rPr>
          <w:rFonts w:asciiTheme="minorHAnsi" w:hAnsiTheme="minorHAnsi" w:cstheme="minorHAnsi"/>
          <w:color w:val="000000" w:themeColor="text1"/>
          <w:sz w:val="22"/>
          <w:szCs w:val="22"/>
        </w:rPr>
        <w:t>Orci</w:t>
      </w:r>
      <w:proofErr w:type="spellEnd"/>
      <w:r w:rsidRPr="00682C53">
        <w:rPr>
          <w:rFonts w:asciiTheme="minorHAnsi" w:hAnsiTheme="minorHAnsi" w:cstheme="minorHAnsi"/>
          <w:color w:val="000000" w:themeColor="text1"/>
          <w:sz w:val="22"/>
          <w:szCs w:val="22"/>
        </w:rPr>
        <w:t xml:space="preserve"> LA, </w:t>
      </w:r>
      <w:proofErr w:type="spellStart"/>
      <w:r w:rsidRPr="00682C53">
        <w:rPr>
          <w:rFonts w:asciiTheme="minorHAnsi" w:hAnsiTheme="minorHAnsi" w:cstheme="minorHAnsi"/>
          <w:color w:val="000000" w:themeColor="text1"/>
          <w:sz w:val="22"/>
          <w:szCs w:val="22"/>
        </w:rPr>
        <w:t>Sanduzzi</w:t>
      </w:r>
      <w:proofErr w:type="spellEnd"/>
      <w:r w:rsidRPr="00682C53">
        <w:rPr>
          <w:rFonts w:asciiTheme="minorHAnsi" w:hAnsiTheme="minorHAnsi" w:cstheme="minorHAnsi"/>
          <w:color w:val="000000" w:themeColor="text1"/>
          <w:sz w:val="22"/>
          <w:szCs w:val="22"/>
        </w:rPr>
        <w:t xml:space="preserve">-Zamparelli M, Caballo B, </w:t>
      </w:r>
      <w:proofErr w:type="spellStart"/>
      <w:r w:rsidRPr="00682C53">
        <w:rPr>
          <w:rFonts w:asciiTheme="minorHAnsi" w:hAnsiTheme="minorHAnsi" w:cstheme="minorHAnsi"/>
          <w:color w:val="000000" w:themeColor="text1"/>
          <w:sz w:val="22"/>
          <w:szCs w:val="22"/>
        </w:rPr>
        <w:t>Sapena</w:t>
      </w:r>
      <w:proofErr w:type="spellEnd"/>
      <w:r w:rsidRPr="00682C53">
        <w:rPr>
          <w:rFonts w:asciiTheme="minorHAnsi" w:hAnsiTheme="minorHAnsi" w:cstheme="minorHAnsi"/>
          <w:color w:val="000000" w:themeColor="text1"/>
          <w:sz w:val="22"/>
          <w:szCs w:val="22"/>
        </w:rPr>
        <w:t xml:space="preserve"> V, Colucci N, Torre F, et al. Incidence of hepatocellular carcinoma in patients with </w:t>
      </w:r>
      <w:proofErr w:type="spellStart"/>
      <w:r w:rsidRPr="00682C53">
        <w:rPr>
          <w:rFonts w:asciiTheme="minorHAnsi" w:hAnsiTheme="minorHAnsi" w:cstheme="minorHAnsi"/>
          <w:color w:val="000000" w:themeColor="text1"/>
          <w:sz w:val="22"/>
          <w:szCs w:val="22"/>
        </w:rPr>
        <w:t>nonalcoholic</w:t>
      </w:r>
      <w:proofErr w:type="spellEnd"/>
      <w:r w:rsidRPr="00682C53">
        <w:rPr>
          <w:rFonts w:asciiTheme="minorHAnsi" w:hAnsiTheme="minorHAnsi" w:cstheme="minorHAnsi"/>
          <w:color w:val="000000" w:themeColor="text1"/>
          <w:sz w:val="22"/>
          <w:szCs w:val="22"/>
        </w:rPr>
        <w:t xml:space="preserve"> fatty liver disease: A systematic review, meta-analysis, and meta-regression. </w:t>
      </w:r>
      <w:r w:rsidRPr="00682C53">
        <w:rPr>
          <w:rStyle w:val="Emphasis"/>
          <w:rFonts w:asciiTheme="minorHAnsi" w:hAnsiTheme="minorHAnsi" w:cstheme="minorHAnsi"/>
          <w:color w:val="000000" w:themeColor="text1"/>
          <w:sz w:val="22"/>
          <w:szCs w:val="22"/>
        </w:rPr>
        <w:t>Clin Gastroenterol Hepatol</w:t>
      </w:r>
      <w:r w:rsidRPr="00682C53">
        <w:rPr>
          <w:rFonts w:asciiTheme="minorHAnsi" w:hAnsiTheme="minorHAnsi" w:cstheme="minorHAnsi"/>
          <w:color w:val="000000" w:themeColor="text1"/>
          <w:sz w:val="22"/>
          <w:szCs w:val="22"/>
        </w:rPr>
        <w:t xml:space="preserve"> 2022;20(2):283-</w:t>
      </w:r>
      <w:proofErr w:type="gramStart"/>
      <w:r w:rsidRPr="00682C53">
        <w:rPr>
          <w:rFonts w:asciiTheme="minorHAnsi" w:hAnsiTheme="minorHAnsi" w:cstheme="minorHAnsi"/>
          <w:color w:val="000000" w:themeColor="text1"/>
          <w:sz w:val="22"/>
          <w:szCs w:val="22"/>
        </w:rPr>
        <w:t>92.e</w:t>
      </w:r>
      <w:proofErr w:type="gramEnd"/>
      <w:r w:rsidRPr="00682C53">
        <w:rPr>
          <w:rFonts w:asciiTheme="minorHAnsi" w:hAnsiTheme="minorHAnsi" w:cstheme="minorHAnsi"/>
          <w:color w:val="000000" w:themeColor="text1"/>
          <w:sz w:val="22"/>
          <w:szCs w:val="22"/>
        </w:rPr>
        <w:t xml:space="preserve">10. </w:t>
      </w:r>
      <w:proofErr w:type="gramStart"/>
      <w:r w:rsidRPr="00682C53">
        <w:rPr>
          <w:rFonts w:asciiTheme="minorHAnsi" w:hAnsiTheme="minorHAnsi" w:cstheme="minorHAnsi"/>
          <w:color w:val="000000" w:themeColor="text1"/>
          <w:sz w:val="22"/>
          <w:szCs w:val="22"/>
        </w:rPr>
        <w:t>doi:10.1016/j.cgh</w:t>
      </w:r>
      <w:proofErr w:type="gramEnd"/>
      <w:r w:rsidRPr="00682C53">
        <w:rPr>
          <w:rFonts w:asciiTheme="minorHAnsi" w:hAnsiTheme="minorHAnsi" w:cstheme="minorHAnsi"/>
          <w:color w:val="000000" w:themeColor="text1"/>
          <w:sz w:val="22"/>
          <w:szCs w:val="22"/>
        </w:rPr>
        <w:t>.2021.05.013.</w:t>
      </w:r>
    </w:p>
    <w:p w14:paraId="1CCE7EF2"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 xml:space="preserve">Kanwal F, Kramer JR, </w:t>
      </w:r>
      <w:proofErr w:type="spellStart"/>
      <w:r w:rsidRPr="00682C53">
        <w:rPr>
          <w:rFonts w:asciiTheme="minorHAnsi" w:hAnsiTheme="minorHAnsi" w:cstheme="minorHAnsi"/>
          <w:color w:val="000000" w:themeColor="text1"/>
          <w:sz w:val="22"/>
          <w:szCs w:val="22"/>
        </w:rPr>
        <w:t>Mapakshi</w:t>
      </w:r>
      <w:proofErr w:type="spellEnd"/>
      <w:r w:rsidRPr="00682C53">
        <w:rPr>
          <w:rFonts w:asciiTheme="minorHAnsi" w:hAnsiTheme="minorHAnsi" w:cstheme="minorHAnsi"/>
          <w:color w:val="000000" w:themeColor="text1"/>
          <w:sz w:val="22"/>
          <w:szCs w:val="22"/>
        </w:rPr>
        <w:t xml:space="preserve"> N, Natarajan Y, </w:t>
      </w:r>
      <w:proofErr w:type="spellStart"/>
      <w:r w:rsidRPr="00682C53">
        <w:rPr>
          <w:rFonts w:asciiTheme="minorHAnsi" w:hAnsiTheme="minorHAnsi" w:cstheme="minorHAnsi"/>
          <w:color w:val="000000" w:themeColor="text1"/>
          <w:sz w:val="22"/>
          <w:szCs w:val="22"/>
        </w:rPr>
        <w:t>Chayanupatkul</w:t>
      </w:r>
      <w:proofErr w:type="spellEnd"/>
      <w:r w:rsidRPr="00682C53">
        <w:rPr>
          <w:rFonts w:asciiTheme="minorHAnsi" w:hAnsiTheme="minorHAnsi" w:cstheme="minorHAnsi"/>
          <w:color w:val="000000" w:themeColor="text1"/>
          <w:sz w:val="22"/>
          <w:szCs w:val="22"/>
        </w:rPr>
        <w:t xml:space="preserve"> M, Richardson PA, et al. Risk of hepatocellular cancer in patients with non-alcoholic fatty liver disease. </w:t>
      </w:r>
      <w:r w:rsidRPr="00682C53">
        <w:rPr>
          <w:rStyle w:val="Emphasis"/>
          <w:rFonts w:asciiTheme="minorHAnsi" w:hAnsiTheme="minorHAnsi" w:cstheme="minorHAnsi"/>
          <w:color w:val="000000" w:themeColor="text1"/>
          <w:sz w:val="22"/>
          <w:szCs w:val="22"/>
        </w:rPr>
        <w:t>Gastroenterology</w:t>
      </w:r>
      <w:r w:rsidRPr="00682C53">
        <w:rPr>
          <w:rFonts w:asciiTheme="minorHAnsi" w:hAnsiTheme="minorHAnsi" w:cstheme="minorHAnsi"/>
          <w:color w:val="000000" w:themeColor="text1"/>
          <w:sz w:val="22"/>
          <w:szCs w:val="22"/>
        </w:rPr>
        <w:t xml:space="preserve"> 2018;155(6):1828-</w:t>
      </w:r>
      <w:proofErr w:type="gramStart"/>
      <w:r w:rsidRPr="00682C53">
        <w:rPr>
          <w:rFonts w:asciiTheme="minorHAnsi" w:hAnsiTheme="minorHAnsi" w:cstheme="minorHAnsi"/>
          <w:color w:val="000000" w:themeColor="text1"/>
          <w:sz w:val="22"/>
          <w:szCs w:val="22"/>
        </w:rPr>
        <w:t>37.e</w:t>
      </w:r>
      <w:proofErr w:type="gramEnd"/>
      <w:r w:rsidRPr="00682C53">
        <w:rPr>
          <w:rFonts w:asciiTheme="minorHAnsi" w:hAnsiTheme="minorHAnsi" w:cstheme="minorHAnsi"/>
          <w:color w:val="000000" w:themeColor="text1"/>
          <w:sz w:val="22"/>
          <w:szCs w:val="22"/>
        </w:rPr>
        <w:t xml:space="preserve">2. </w:t>
      </w:r>
      <w:proofErr w:type="gramStart"/>
      <w:r w:rsidRPr="00682C53">
        <w:rPr>
          <w:rFonts w:asciiTheme="minorHAnsi" w:hAnsiTheme="minorHAnsi" w:cstheme="minorHAnsi"/>
          <w:color w:val="000000" w:themeColor="text1"/>
          <w:sz w:val="22"/>
          <w:szCs w:val="22"/>
        </w:rPr>
        <w:t>doi:10.1053/j.gastro</w:t>
      </w:r>
      <w:proofErr w:type="gramEnd"/>
      <w:r w:rsidRPr="00682C53">
        <w:rPr>
          <w:rFonts w:asciiTheme="minorHAnsi" w:hAnsiTheme="minorHAnsi" w:cstheme="minorHAnsi"/>
          <w:color w:val="000000" w:themeColor="text1"/>
          <w:sz w:val="22"/>
          <w:szCs w:val="22"/>
        </w:rPr>
        <w:t>.2018.08.024.</w:t>
      </w:r>
    </w:p>
    <w:p w14:paraId="38E8C9D4"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 xml:space="preserve">Williamson RM, Price JF, Hayes PC, et al. Prevalence and markers of advanced liver disease in type 2 diabetes. </w:t>
      </w:r>
      <w:r w:rsidRPr="00682C53">
        <w:rPr>
          <w:rStyle w:val="Emphasis"/>
          <w:rFonts w:asciiTheme="minorHAnsi" w:hAnsiTheme="minorHAnsi" w:cstheme="minorHAnsi"/>
          <w:color w:val="000000" w:themeColor="text1"/>
          <w:sz w:val="22"/>
          <w:szCs w:val="22"/>
        </w:rPr>
        <w:t>QJM</w:t>
      </w:r>
      <w:r w:rsidRPr="00682C53">
        <w:rPr>
          <w:rFonts w:asciiTheme="minorHAnsi" w:hAnsiTheme="minorHAnsi" w:cstheme="minorHAnsi"/>
          <w:color w:val="000000" w:themeColor="text1"/>
          <w:sz w:val="22"/>
          <w:szCs w:val="22"/>
        </w:rPr>
        <w:t xml:space="preserve"> 2012;105(5):425-32. doi:10.1093/</w:t>
      </w:r>
      <w:proofErr w:type="spellStart"/>
      <w:r w:rsidRPr="00682C53">
        <w:rPr>
          <w:rFonts w:asciiTheme="minorHAnsi" w:hAnsiTheme="minorHAnsi" w:cstheme="minorHAnsi"/>
          <w:color w:val="000000" w:themeColor="text1"/>
          <w:sz w:val="22"/>
          <w:szCs w:val="22"/>
        </w:rPr>
        <w:t>qjmed</w:t>
      </w:r>
      <w:proofErr w:type="spellEnd"/>
      <w:r w:rsidRPr="00682C53">
        <w:rPr>
          <w:rFonts w:asciiTheme="minorHAnsi" w:hAnsiTheme="minorHAnsi" w:cstheme="minorHAnsi"/>
          <w:color w:val="000000" w:themeColor="text1"/>
          <w:sz w:val="22"/>
          <w:szCs w:val="22"/>
        </w:rPr>
        <w:t>/hcs009.</w:t>
      </w:r>
    </w:p>
    <w:p w14:paraId="5593A188"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proofErr w:type="spellStart"/>
      <w:r w:rsidRPr="00682C53">
        <w:rPr>
          <w:rFonts w:asciiTheme="minorHAnsi" w:hAnsiTheme="minorHAnsi" w:cstheme="minorHAnsi"/>
          <w:color w:val="000000" w:themeColor="text1"/>
          <w:sz w:val="22"/>
          <w:szCs w:val="22"/>
        </w:rPr>
        <w:lastRenderedPageBreak/>
        <w:t>Younossi</w:t>
      </w:r>
      <w:proofErr w:type="spellEnd"/>
      <w:r w:rsidRPr="00682C53">
        <w:rPr>
          <w:rFonts w:asciiTheme="minorHAnsi" w:hAnsiTheme="minorHAnsi" w:cstheme="minorHAnsi"/>
          <w:color w:val="000000" w:themeColor="text1"/>
          <w:sz w:val="22"/>
          <w:szCs w:val="22"/>
        </w:rPr>
        <w:t xml:space="preserve"> ZM, </w:t>
      </w:r>
      <w:proofErr w:type="spellStart"/>
      <w:r w:rsidRPr="00682C53">
        <w:rPr>
          <w:rFonts w:asciiTheme="minorHAnsi" w:hAnsiTheme="minorHAnsi" w:cstheme="minorHAnsi"/>
          <w:color w:val="000000" w:themeColor="text1"/>
          <w:sz w:val="22"/>
          <w:szCs w:val="22"/>
        </w:rPr>
        <w:t>Golabi</w:t>
      </w:r>
      <w:proofErr w:type="spellEnd"/>
      <w:r w:rsidRPr="00682C53">
        <w:rPr>
          <w:rFonts w:asciiTheme="minorHAnsi" w:hAnsiTheme="minorHAnsi" w:cstheme="minorHAnsi"/>
          <w:color w:val="000000" w:themeColor="text1"/>
          <w:sz w:val="22"/>
          <w:szCs w:val="22"/>
        </w:rPr>
        <w:t xml:space="preserve"> P, de Avila L, Pak IM, </w:t>
      </w:r>
      <w:proofErr w:type="spellStart"/>
      <w:r w:rsidRPr="00682C53">
        <w:rPr>
          <w:rFonts w:asciiTheme="minorHAnsi" w:hAnsiTheme="minorHAnsi" w:cstheme="minorHAnsi"/>
          <w:color w:val="000000" w:themeColor="text1"/>
          <w:sz w:val="22"/>
          <w:szCs w:val="22"/>
        </w:rPr>
        <w:t>Srishord</w:t>
      </w:r>
      <w:proofErr w:type="spellEnd"/>
      <w:r w:rsidRPr="00682C53">
        <w:rPr>
          <w:rFonts w:asciiTheme="minorHAnsi" w:hAnsiTheme="minorHAnsi" w:cstheme="minorHAnsi"/>
          <w:color w:val="000000" w:themeColor="text1"/>
          <w:sz w:val="22"/>
          <w:szCs w:val="22"/>
        </w:rPr>
        <w:t xml:space="preserve"> M, Fukui N, et al. The global epidemiology of NAFLD and NASH in patients with type 2 diabetes: A systematic review and meta-analysis. </w:t>
      </w:r>
      <w:r w:rsidRPr="00682C53">
        <w:rPr>
          <w:rStyle w:val="Emphasis"/>
          <w:rFonts w:asciiTheme="minorHAnsi" w:hAnsiTheme="minorHAnsi" w:cstheme="minorHAnsi"/>
          <w:color w:val="000000" w:themeColor="text1"/>
          <w:sz w:val="22"/>
          <w:szCs w:val="22"/>
        </w:rPr>
        <w:t>Hepatology</w:t>
      </w:r>
      <w:r w:rsidRPr="00682C53">
        <w:rPr>
          <w:rFonts w:asciiTheme="minorHAnsi" w:hAnsiTheme="minorHAnsi" w:cstheme="minorHAnsi"/>
          <w:color w:val="000000" w:themeColor="text1"/>
          <w:sz w:val="22"/>
          <w:szCs w:val="22"/>
        </w:rPr>
        <w:t xml:space="preserve"> 2019;71(4):793-801. doi:10.1002/hep.30703.</w:t>
      </w:r>
    </w:p>
    <w:p w14:paraId="1BA8BE3E"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proofErr w:type="spellStart"/>
      <w:r w:rsidRPr="00682C53">
        <w:rPr>
          <w:rFonts w:asciiTheme="minorHAnsi" w:hAnsiTheme="minorHAnsi" w:cstheme="minorHAnsi"/>
          <w:color w:val="000000" w:themeColor="text1"/>
          <w:sz w:val="22"/>
          <w:szCs w:val="22"/>
        </w:rPr>
        <w:t>Lomonaco</w:t>
      </w:r>
      <w:proofErr w:type="spellEnd"/>
      <w:r w:rsidRPr="00682C53">
        <w:rPr>
          <w:rFonts w:asciiTheme="minorHAnsi" w:hAnsiTheme="minorHAnsi" w:cstheme="minorHAnsi"/>
          <w:color w:val="000000" w:themeColor="text1"/>
          <w:sz w:val="22"/>
          <w:szCs w:val="22"/>
        </w:rPr>
        <w:t xml:space="preserve"> R, Leva EG, </w:t>
      </w:r>
      <w:proofErr w:type="spellStart"/>
      <w:r w:rsidRPr="00682C53">
        <w:rPr>
          <w:rFonts w:asciiTheme="minorHAnsi" w:hAnsiTheme="minorHAnsi" w:cstheme="minorHAnsi"/>
          <w:color w:val="000000" w:themeColor="text1"/>
          <w:sz w:val="22"/>
          <w:szCs w:val="22"/>
        </w:rPr>
        <w:t>Bril</w:t>
      </w:r>
      <w:proofErr w:type="spellEnd"/>
      <w:r w:rsidRPr="00682C53">
        <w:rPr>
          <w:rFonts w:asciiTheme="minorHAnsi" w:hAnsiTheme="minorHAnsi" w:cstheme="minorHAnsi"/>
          <w:color w:val="000000" w:themeColor="text1"/>
          <w:sz w:val="22"/>
          <w:szCs w:val="22"/>
        </w:rPr>
        <w:t xml:space="preserve"> F, Shrestha S, Mansour L, Budd J, et al. Advanced liver fibrosis is common in patients with type 2 diabetes followed in the outpatient setting: The need for systematic screening. </w:t>
      </w:r>
      <w:r w:rsidRPr="00682C53">
        <w:rPr>
          <w:rStyle w:val="Emphasis"/>
          <w:rFonts w:asciiTheme="minorHAnsi" w:hAnsiTheme="minorHAnsi" w:cstheme="minorHAnsi"/>
          <w:color w:val="000000" w:themeColor="text1"/>
          <w:sz w:val="22"/>
          <w:szCs w:val="22"/>
        </w:rPr>
        <w:t>Diabetes Care</w:t>
      </w:r>
      <w:r w:rsidRPr="00682C53">
        <w:rPr>
          <w:rFonts w:asciiTheme="minorHAnsi" w:hAnsiTheme="minorHAnsi" w:cstheme="minorHAnsi"/>
          <w:color w:val="000000" w:themeColor="text1"/>
          <w:sz w:val="22"/>
          <w:szCs w:val="22"/>
        </w:rPr>
        <w:t xml:space="preserve"> 2021;44(2):399-406. doi:10.2337/dc20-2166.</w:t>
      </w:r>
    </w:p>
    <w:p w14:paraId="33971037"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proofErr w:type="spellStart"/>
      <w:r w:rsidRPr="00682C53">
        <w:rPr>
          <w:rFonts w:asciiTheme="minorHAnsi" w:hAnsiTheme="minorHAnsi" w:cstheme="minorHAnsi"/>
          <w:color w:val="000000" w:themeColor="text1"/>
          <w:sz w:val="22"/>
          <w:szCs w:val="22"/>
        </w:rPr>
        <w:t>Cardullo</w:t>
      </w:r>
      <w:proofErr w:type="spellEnd"/>
      <w:r w:rsidRPr="00682C53">
        <w:rPr>
          <w:rFonts w:asciiTheme="minorHAnsi" w:hAnsiTheme="minorHAnsi" w:cstheme="minorHAnsi"/>
          <w:color w:val="000000" w:themeColor="text1"/>
          <w:sz w:val="22"/>
          <w:szCs w:val="22"/>
        </w:rPr>
        <w:t xml:space="preserve"> S, </w:t>
      </w:r>
      <w:proofErr w:type="spellStart"/>
      <w:r w:rsidRPr="00682C53">
        <w:rPr>
          <w:rFonts w:asciiTheme="minorHAnsi" w:hAnsiTheme="minorHAnsi" w:cstheme="minorHAnsi"/>
          <w:color w:val="000000" w:themeColor="text1"/>
          <w:sz w:val="22"/>
          <w:szCs w:val="22"/>
        </w:rPr>
        <w:t>Muraca</w:t>
      </w:r>
      <w:proofErr w:type="spellEnd"/>
      <w:r w:rsidRPr="00682C53">
        <w:rPr>
          <w:rFonts w:asciiTheme="minorHAnsi" w:hAnsiTheme="minorHAnsi" w:cstheme="minorHAnsi"/>
          <w:color w:val="000000" w:themeColor="text1"/>
          <w:sz w:val="22"/>
          <w:szCs w:val="22"/>
        </w:rPr>
        <w:t xml:space="preserve"> E, </w:t>
      </w:r>
      <w:proofErr w:type="spellStart"/>
      <w:r w:rsidRPr="00682C53">
        <w:rPr>
          <w:rFonts w:asciiTheme="minorHAnsi" w:hAnsiTheme="minorHAnsi" w:cstheme="minorHAnsi"/>
          <w:color w:val="000000" w:themeColor="text1"/>
          <w:sz w:val="22"/>
          <w:szCs w:val="22"/>
        </w:rPr>
        <w:t>Pera</w:t>
      </w:r>
      <w:proofErr w:type="spellEnd"/>
      <w:r w:rsidRPr="00682C53">
        <w:rPr>
          <w:rFonts w:asciiTheme="minorHAnsi" w:hAnsiTheme="minorHAnsi" w:cstheme="minorHAnsi"/>
          <w:color w:val="000000" w:themeColor="text1"/>
          <w:sz w:val="22"/>
          <w:szCs w:val="22"/>
        </w:rPr>
        <w:t xml:space="preserve"> G, </w:t>
      </w:r>
      <w:proofErr w:type="spellStart"/>
      <w:r w:rsidRPr="00682C53">
        <w:rPr>
          <w:rFonts w:asciiTheme="minorHAnsi" w:hAnsiTheme="minorHAnsi" w:cstheme="minorHAnsi"/>
          <w:color w:val="000000" w:themeColor="text1"/>
          <w:sz w:val="22"/>
          <w:szCs w:val="22"/>
        </w:rPr>
        <w:t>Bianconi</w:t>
      </w:r>
      <w:proofErr w:type="spellEnd"/>
      <w:r w:rsidRPr="00682C53">
        <w:rPr>
          <w:rFonts w:asciiTheme="minorHAnsi" w:hAnsiTheme="minorHAnsi" w:cstheme="minorHAnsi"/>
          <w:color w:val="000000" w:themeColor="text1"/>
          <w:sz w:val="22"/>
          <w:szCs w:val="22"/>
        </w:rPr>
        <w:t xml:space="preserve"> E, </w:t>
      </w:r>
      <w:proofErr w:type="spellStart"/>
      <w:r w:rsidRPr="00682C53">
        <w:rPr>
          <w:rFonts w:asciiTheme="minorHAnsi" w:hAnsiTheme="minorHAnsi" w:cstheme="minorHAnsi"/>
          <w:color w:val="000000" w:themeColor="text1"/>
          <w:sz w:val="22"/>
          <w:szCs w:val="22"/>
        </w:rPr>
        <w:t>Zerbin</w:t>
      </w:r>
      <w:proofErr w:type="spellEnd"/>
      <w:r w:rsidRPr="00682C53">
        <w:rPr>
          <w:rFonts w:asciiTheme="minorHAnsi" w:hAnsiTheme="minorHAnsi" w:cstheme="minorHAnsi"/>
          <w:color w:val="000000" w:themeColor="text1"/>
          <w:sz w:val="22"/>
          <w:szCs w:val="22"/>
        </w:rPr>
        <w:t xml:space="preserve"> F, </w:t>
      </w:r>
      <w:proofErr w:type="spellStart"/>
      <w:r w:rsidRPr="00682C53">
        <w:rPr>
          <w:rFonts w:asciiTheme="minorHAnsi" w:hAnsiTheme="minorHAnsi" w:cstheme="minorHAnsi"/>
          <w:color w:val="000000" w:themeColor="text1"/>
          <w:sz w:val="22"/>
          <w:szCs w:val="22"/>
        </w:rPr>
        <w:t>Ottili</w:t>
      </w:r>
      <w:proofErr w:type="spellEnd"/>
      <w:r w:rsidRPr="00682C53">
        <w:rPr>
          <w:rFonts w:asciiTheme="minorHAnsi" w:hAnsiTheme="minorHAnsi" w:cstheme="minorHAnsi"/>
          <w:color w:val="000000" w:themeColor="text1"/>
          <w:sz w:val="22"/>
          <w:szCs w:val="22"/>
        </w:rPr>
        <w:t xml:space="preserve"> A, et al. Screening for non-alcoholic fatty liver disease in type 2 diabetes using non-invasive scores and association with diabetic complications. </w:t>
      </w:r>
      <w:r w:rsidRPr="00682C53">
        <w:rPr>
          <w:rStyle w:val="Emphasis"/>
          <w:rFonts w:asciiTheme="minorHAnsi" w:hAnsiTheme="minorHAnsi" w:cstheme="minorHAnsi"/>
          <w:color w:val="000000" w:themeColor="text1"/>
          <w:sz w:val="22"/>
          <w:szCs w:val="22"/>
        </w:rPr>
        <w:t>BMJ Open Diabetes Res Care</w:t>
      </w:r>
      <w:r w:rsidRPr="00682C53">
        <w:rPr>
          <w:rFonts w:asciiTheme="minorHAnsi" w:hAnsiTheme="minorHAnsi" w:cstheme="minorHAnsi"/>
          <w:color w:val="000000" w:themeColor="text1"/>
          <w:sz w:val="22"/>
          <w:szCs w:val="22"/>
        </w:rPr>
        <w:t xml:space="preserve"> 2020;8(1</w:t>
      </w:r>
      <w:proofErr w:type="gramStart"/>
      <w:r w:rsidRPr="00682C53">
        <w:rPr>
          <w:rFonts w:asciiTheme="minorHAnsi" w:hAnsiTheme="minorHAnsi" w:cstheme="minorHAnsi"/>
          <w:color w:val="000000" w:themeColor="text1"/>
          <w:sz w:val="22"/>
          <w:szCs w:val="22"/>
        </w:rPr>
        <w:t>):e</w:t>
      </w:r>
      <w:proofErr w:type="gramEnd"/>
      <w:r w:rsidRPr="00682C53">
        <w:rPr>
          <w:rFonts w:asciiTheme="minorHAnsi" w:hAnsiTheme="minorHAnsi" w:cstheme="minorHAnsi"/>
          <w:color w:val="000000" w:themeColor="text1"/>
          <w:sz w:val="22"/>
          <w:szCs w:val="22"/>
        </w:rPr>
        <w:t>000804. doi:10.1136/bmjdrc-2020-000804.</w:t>
      </w:r>
    </w:p>
    <w:p w14:paraId="4555D097"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 xml:space="preserve">Wild SH, </w:t>
      </w:r>
      <w:proofErr w:type="spellStart"/>
      <w:r w:rsidRPr="00682C53">
        <w:rPr>
          <w:rFonts w:asciiTheme="minorHAnsi" w:hAnsiTheme="minorHAnsi" w:cstheme="minorHAnsi"/>
          <w:color w:val="000000" w:themeColor="text1"/>
          <w:sz w:val="22"/>
          <w:szCs w:val="22"/>
        </w:rPr>
        <w:t>Morling</w:t>
      </w:r>
      <w:proofErr w:type="spellEnd"/>
      <w:r w:rsidRPr="00682C53">
        <w:rPr>
          <w:rFonts w:asciiTheme="minorHAnsi" w:hAnsiTheme="minorHAnsi" w:cstheme="minorHAnsi"/>
          <w:color w:val="000000" w:themeColor="text1"/>
          <w:sz w:val="22"/>
          <w:szCs w:val="22"/>
        </w:rPr>
        <w:t xml:space="preserve"> JR, McAllister DA, </w:t>
      </w:r>
      <w:proofErr w:type="spellStart"/>
      <w:r w:rsidRPr="00682C53">
        <w:rPr>
          <w:rFonts w:asciiTheme="minorHAnsi" w:hAnsiTheme="minorHAnsi" w:cstheme="minorHAnsi"/>
          <w:color w:val="000000" w:themeColor="text1"/>
          <w:sz w:val="22"/>
          <w:szCs w:val="22"/>
        </w:rPr>
        <w:t>Kerssens</w:t>
      </w:r>
      <w:proofErr w:type="spellEnd"/>
      <w:r w:rsidRPr="00682C53">
        <w:rPr>
          <w:rFonts w:asciiTheme="minorHAnsi" w:hAnsiTheme="minorHAnsi" w:cstheme="minorHAnsi"/>
          <w:color w:val="000000" w:themeColor="text1"/>
          <w:sz w:val="22"/>
          <w:szCs w:val="22"/>
        </w:rPr>
        <w:t xml:space="preserve"> J, </w:t>
      </w:r>
      <w:proofErr w:type="spellStart"/>
      <w:r w:rsidRPr="00682C53">
        <w:rPr>
          <w:rFonts w:asciiTheme="minorHAnsi" w:hAnsiTheme="minorHAnsi" w:cstheme="minorHAnsi"/>
          <w:color w:val="000000" w:themeColor="text1"/>
          <w:sz w:val="22"/>
          <w:szCs w:val="22"/>
        </w:rPr>
        <w:t>Fischbacher</w:t>
      </w:r>
      <w:proofErr w:type="spellEnd"/>
      <w:r w:rsidRPr="00682C53">
        <w:rPr>
          <w:rFonts w:asciiTheme="minorHAnsi" w:hAnsiTheme="minorHAnsi" w:cstheme="minorHAnsi"/>
          <w:color w:val="000000" w:themeColor="text1"/>
          <w:sz w:val="22"/>
          <w:szCs w:val="22"/>
        </w:rPr>
        <w:t xml:space="preserve"> C, Parkes J, et al. Type 2 diabetes and risk of hospital admission or death for chronic liver diseases. </w:t>
      </w:r>
      <w:r w:rsidRPr="00682C53">
        <w:rPr>
          <w:rStyle w:val="Emphasis"/>
          <w:rFonts w:asciiTheme="minorHAnsi" w:hAnsiTheme="minorHAnsi" w:cstheme="minorHAnsi"/>
          <w:color w:val="000000" w:themeColor="text1"/>
          <w:sz w:val="22"/>
          <w:szCs w:val="22"/>
        </w:rPr>
        <w:t>J Hepatol</w:t>
      </w:r>
      <w:r w:rsidRPr="00682C53">
        <w:rPr>
          <w:rFonts w:asciiTheme="minorHAnsi" w:hAnsiTheme="minorHAnsi" w:cstheme="minorHAnsi"/>
          <w:color w:val="000000" w:themeColor="text1"/>
          <w:sz w:val="22"/>
          <w:szCs w:val="22"/>
        </w:rPr>
        <w:t xml:space="preserve"> 2016;64(6):1358-64. </w:t>
      </w:r>
      <w:proofErr w:type="gramStart"/>
      <w:r w:rsidRPr="00682C53">
        <w:rPr>
          <w:rFonts w:asciiTheme="minorHAnsi" w:hAnsiTheme="minorHAnsi" w:cstheme="minorHAnsi"/>
          <w:color w:val="000000" w:themeColor="text1"/>
          <w:sz w:val="22"/>
          <w:szCs w:val="22"/>
        </w:rPr>
        <w:t>doi:10.1016/j.jhep</w:t>
      </w:r>
      <w:proofErr w:type="gramEnd"/>
      <w:r w:rsidRPr="00682C53">
        <w:rPr>
          <w:rFonts w:asciiTheme="minorHAnsi" w:hAnsiTheme="minorHAnsi" w:cstheme="minorHAnsi"/>
          <w:color w:val="000000" w:themeColor="text1"/>
          <w:sz w:val="22"/>
          <w:szCs w:val="22"/>
        </w:rPr>
        <w:t>.2016.02.027.</w:t>
      </w:r>
    </w:p>
    <w:p w14:paraId="08301D0E"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 xml:space="preserve">Tan DJ, Ng CH, Lin SY, Pan XH, Tay P, Lim WH, et al. Clinical characteristics, surveillance, treatment allocation, and outcomes of non-alcoholic fatty liver disease-related hepatocellular carcinoma. </w:t>
      </w:r>
      <w:r w:rsidRPr="00682C53">
        <w:rPr>
          <w:rStyle w:val="Emphasis"/>
          <w:rFonts w:asciiTheme="minorHAnsi" w:hAnsiTheme="minorHAnsi" w:cstheme="minorHAnsi"/>
          <w:color w:val="000000" w:themeColor="text1"/>
          <w:sz w:val="22"/>
          <w:szCs w:val="22"/>
        </w:rPr>
        <w:t>J Hepatol</w:t>
      </w:r>
      <w:r w:rsidRPr="00682C53">
        <w:rPr>
          <w:rFonts w:asciiTheme="minorHAnsi" w:hAnsiTheme="minorHAnsi" w:cstheme="minorHAnsi"/>
          <w:color w:val="000000" w:themeColor="text1"/>
          <w:sz w:val="22"/>
          <w:szCs w:val="22"/>
        </w:rPr>
        <w:t xml:space="preserve"> 2023 [cited 2023 May 4]. Available from: https://pubmed.ncbi.nlm.nih.gov/26812073/.</w:t>
      </w:r>
    </w:p>
    <w:p w14:paraId="38D760A7"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proofErr w:type="spellStart"/>
      <w:r w:rsidRPr="00682C53">
        <w:rPr>
          <w:rStyle w:val="Strong"/>
          <w:rFonts w:asciiTheme="minorHAnsi" w:hAnsiTheme="minorHAnsi" w:cstheme="minorHAnsi"/>
          <w:b w:val="0"/>
          <w:bCs w:val="0"/>
          <w:color w:val="000000" w:themeColor="text1"/>
          <w:sz w:val="22"/>
          <w:szCs w:val="22"/>
        </w:rPr>
        <w:t>Singal</w:t>
      </w:r>
      <w:proofErr w:type="spellEnd"/>
      <w:r w:rsidRPr="00682C53">
        <w:rPr>
          <w:rStyle w:val="Strong"/>
          <w:rFonts w:asciiTheme="minorHAnsi" w:hAnsiTheme="minorHAnsi" w:cstheme="minorHAnsi"/>
          <w:b w:val="0"/>
          <w:bCs w:val="0"/>
          <w:color w:val="000000" w:themeColor="text1"/>
          <w:sz w:val="22"/>
          <w:szCs w:val="22"/>
        </w:rPr>
        <w:t xml:space="preserve"> AG, Zhang E, </w:t>
      </w:r>
      <w:proofErr w:type="spellStart"/>
      <w:r w:rsidRPr="00682C53">
        <w:rPr>
          <w:rStyle w:val="Strong"/>
          <w:rFonts w:asciiTheme="minorHAnsi" w:hAnsiTheme="minorHAnsi" w:cstheme="minorHAnsi"/>
          <w:b w:val="0"/>
          <w:bCs w:val="0"/>
          <w:color w:val="000000" w:themeColor="text1"/>
          <w:sz w:val="22"/>
          <w:szCs w:val="22"/>
        </w:rPr>
        <w:t>Narasimman</w:t>
      </w:r>
      <w:proofErr w:type="spellEnd"/>
      <w:r w:rsidRPr="00682C53">
        <w:rPr>
          <w:rStyle w:val="Strong"/>
          <w:rFonts w:asciiTheme="minorHAnsi" w:hAnsiTheme="minorHAnsi" w:cstheme="minorHAnsi"/>
          <w:b w:val="0"/>
          <w:bCs w:val="0"/>
          <w:color w:val="000000" w:themeColor="text1"/>
          <w:sz w:val="22"/>
          <w:szCs w:val="22"/>
        </w:rPr>
        <w:t xml:space="preserve"> M, et al.</w:t>
      </w:r>
      <w:r w:rsidRPr="00682C53">
        <w:rPr>
          <w:rFonts w:asciiTheme="minorHAnsi" w:hAnsiTheme="minorHAnsi" w:cstheme="minorHAnsi"/>
          <w:color w:val="000000" w:themeColor="text1"/>
          <w:sz w:val="22"/>
          <w:szCs w:val="22"/>
        </w:rPr>
        <w:t xml:space="preserve"> HCC surveillance improves early detection, curative treatment receipt, and survival in patients with cirrhosis: A meta-analysis. </w:t>
      </w:r>
      <w:r w:rsidRPr="00682C53">
        <w:rPr>
          <w:rStyle w:val="Emphasis"/>
          <w:rFonts w:asciiTheme="minorHAnsi" w:hAnsiTheme="minorHAnsi" w:cstheme="minorHAnsi"/>
          <w:color w:val="000000" w:themeColor="text1"/>
          <w:sz w:val="22"/>
          <w:szCs w:val="22"/>
        </w:rPr>
        <w:t>J Hepatol</w:t>
      </w:r>
      <w:r w:rsidRPr="00682C53">
        <w:rPr>
          <w:rFonts w:asciiTheme="minorHAnsi" w:hAnsiTheme="minorHAnsi" w:cstheme="minorHAnsi"/>
          <w:color w:val="000000" w:themeColor="text1"/>
          <w:sz w:val="22"/>
          <w:szCs w:val="22"/>
        </w:rPr>
        <w:t xml:space="preserve"> 2022;0(0). Available from: </w:t>
      </w:r>
      <w:hyperlink r:id="rId10" w:history="1">
        <w:r w:rsidRPr="00682C53">
          <w:rPr>
            <w:rStyle w:val="Hyperlink"/>
            <w:rFonts w:asciiTheme="minorHAnsi" w:hAnsiTheme="minorHAnsi" w:cstheme="minorHAnsi"/>
            <w:color w:val="000000" w:themeColor="text1"/>
            <w:sz w:val="22"/>
            <w:szCs w:val="22"/>
            <w:u w:val="none"/>
          </w:rPr>
          <w:t>http://www.journal-of-hepatology.eu/article/S016882782200068X/fulltext</w:t>
        </w:r>
      </w:hyperlink>
    </w:p>
    <w:p w14:paraId="39A3B3D8"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Style w:val="Strong"/>
          <w:rFonts w:asciiTheme="minorHAnsi" w:hAnsiTheme="minorHAnsi" w:cstheme="minorHAnsi"/>
          <w:b w:val="0"/>
          <w:bCs w:val="0"/>
          <w:color w:val="000000" w:themeColor="text1"/>
          <w:sz w:val="22"/>
          <w:szCs w:val="22"/>
        </w:rPr>
        <w:t>Xiao G, Zhu S, Xiao X, et al.</w:t>
      </w:r>
      <w:r w:rsidRPr="00682C53">
        <w:rPr>
          <w:rFonts w:asciiTheme="minorHAnsi" w:hAnsiTheme="minorHAnsi" w:cstheme="minorHAnsi"/>
          <w:color w:val="000000" w:themeColor="text1"/>
          <w:sz w:val="22"/>
          <w:szCs w:val="22"/>
        </w:rPr>
        <w:t xml:space="preserve"> Comparison of laboratory tests, ultrasound, or magnetic resonance elastography to detect fibrosis in patients with </w:t>
      </w:r>
      <w:proofErr w:type="spellStart"/>
      <w:r w:rsidRPr="00682C53">
        <w:rPr>
          <w:rFonts w:asciiTheme="minorHAnsi" w:hAnsiTheme="minorHAnsi" w:cstheme="minorHAnsi"/>
          <w:color w:val="000000" w:themeColor="text1"/>
          <w:sz w:val="22"/>
          <w:szCs w:val="22"/>
        </w:rPr>
        <w:t>nonalcoholic</w:t>
      </w:r>
      <w:proofErr w:type="spellEnd"/>
      <w:r w:rsidRPr="00682C53">
        <w:rPr>
          <w:rFonts w:asciiTheme="minorHAnsi" w:hAnsiTheme="minorHAnsi" w:cstheme="minorHAnsi"/>
          <w:color w:val="000000" w:themeColor="text1"/>
          <w:sz w:val="22"/>
          <w:szCs w:val="22"/>
        </w:rPr>
        <w:t xml:space="preserve"> fatty liver disease: A meta-analysis. </w:t>
      </w:r>
      <w:r w:rsidRPr="00682C53">
        <w:rPr>
          <w:rStyle w:val="Emphasis"/>
          <w:rFonts w:asciiTheme="minorHAnsi" w:hAnsiTheme="minorHAnsi" w:cstheme="minorHAnsi"/>
          <w:color w:val="000000" w:themeColor="text1"/>
          <w:sz w:val="22"/>
          <w:szCs w:val="22"/>
        </w:rPr>
        <w:t>Hepatology</w:t>
      </w:r>
      <w:r w:rsidRPr="00682C53">
        <w:rPr>
          <w:rFonts w:asciiTheme="minorHAnsi" w:hAnsiTheme="minorHAnsi" w:cstheme="minorHAnsi"/>
          <w:color w:val="000000" w:themeColor="text1"/>
          <w:sz w:val="22"/>
          <w:szCs w:val="22"/>
        </w:rPr>
        <w:t xml:space="preserve"> 2017;66(5):1486–501. Available from: </w:t>
      </w:r>
      <w:hyperlink r:id="rId11" w:history="1">
        <w:r w:rsidRPr="00682C53">
          <w:rPr>
            <w:rStyle w:val="Hyperlink"/>
            <w:rFonts w:asciiTheme="minorHAnsi" w:hAnsiTheme="minorHAnsi" w:cstheme="minorHAnsi"/>
            <w:color w:val="000000" w:themeColor="text1"/>
            <w:sz w:val="22"/>
            <w:szCs w:val="22"/>
            <w:u w:val="none"/>
          </w:rPr>
          <w:t>https://onlinelibrary.wiley.com/doi/full/10.1002/hep.29302</w:t>
        </w:r>
      </w:hyperlink>
    </w:p>
    <w:p w14:paraId="583742C1"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proofErr w:type="spellStart"/>
      <w:r w:rsidRPr="00682C53">
        <w:rPr>
          <w:rStyle w:val="Strong"/>
          <w:rFonts w:asciiTheme="minorHAnsi" w:hAnsiTheme="minorHAnsi" w:cstheme="minorHAnsi"/>
          <w:b w:val="0"/>
          <w:bCs w:val="0"/>
          <w:color w:val="000000" w:themeColor="text1"/>
          <w:sz w:val="22"/>
          <w:szCs w:val="22"/>
        </w:rPr>
        <w:t>Younossi</w:t>
      </w:r>
      <w:proofErr w:type="spellEnd"/>
      <w:r w:rsidRPr="00682C53">
        <w:rPr>
          <w:rStyle w:val="Strong"/>
          <w:rFonts w:asciiTheme="minorHAnsi" w:hAnsiTheme="minorHAnsi" w:cstheme="minorHAnsi"/>
          <w:b w:val="0"/>
          <w:bCs w:val="0"/>
          <w:color w:val="000000" w:themeColor="text1"/>
          <w:sz w:val="22"/>
          <w:szCs w:val="22"/>
        </w:rPr>
        <w:t xml:space="preserve"> ZM, Felix S, Jeffers T, et al.</w:t>
      </w:r>
      <w:r w:rsidRPr="00682C53">
        <w:rPr>
          <w:rFonts w:asciiTheme="minorHAnsi" w:hAnsiTheme="minorHAnsi" w:cstheme="minorHAnsi"/>
          <w:color w:val="000000" w:themeColor="text1"/>
          <w:sz w:val="22"/>
          <w:szCs w:val="22"/>
        </w:rPr>
        <w:t xml:space="preserve"> Performance of the Enhanced Liver Fibrosis Test to Estimate Advanced Fibrosis Among Patients </w:t>
      </w:r>
      <w:proofErr w:type="gramStart"/>
      <w:r w:rsidRPr="00682C53">
        <w:rPr>
          <w:rFonts w:asciiTheme="minorHAnsi" w:hAnsiTheme="minorHAnsi" w:cstheme="minorHAnsi"/>
          <w:color w:val="000000" w:themeColor="text1"/>
          <w:sz w:val="22"/>
          <w:szCs w:val="22"/>
        </w:rPr>
        <w:t>With</w:t>
      </w:r>
      <w:proofErr w:type="gramEnd"/>
      <w:r w:rsidRPr="00682C53">
        <w:rPr>
          <w:rFonts w:asciiTheme="minorHAnsi" w:hAnsiTheme="minorHAnsi" w:cstheme="minorHAnsi"/>
          <w:color w:val="000000" w:themeColor="text1"/>
          <w:sz w:val="22"/>
          <w:szCs w:val="22"/>
        </w:rPr>
        <w:t xml:space="preserve"> </w:t>
      </w:r>
      <w:proofErr w:type="spellStart"/>
      <w:r w:rsidRPr="00682C53">
        <w:rPr>
          <w:rFonts w:asciiTheme="minorHAnsi" w:hAnsiTheme="minorHAnsi" w:cstheme="minorHAnsi"/>
          <w:color w:val="000000" w:themeColor="text1"/>
          <w:sz w:val="22"/>
          <w:szCs w:val="22"/>
        </w:rPr>
        <w:t>Nonalcoholic</w:t>
      </w:r>
      <w:proofErr w:type="spellEnd"/>
      <w:r w:rsidRPr="00682C53">
        <w:rPr>
          <w:rFonts w:asciiTheme="minorHAnsi" w:hAnsiTheme="minorHAnsi" w:cstheme="minorHAnsi"/>
          <w:color w:val="000000" w:themeColor="text1"/>
          <w:sz w:val="22"/>
          <w:szCs w:val="22"/>
        </w:rPr>
        <w:t xml:space="preserve"> Fatty Liver Disease. </w:t>
      </w:r>
      <w:r w:rsidRPr="00682C53">
        <w:rPr>
          <w:rStyle w:val="Emphasis"/>
          <w:rFonts w:asciiTheme="minorHAnsi" w:hAnsiTheme="minorHAnsi" w:cstheme="minorHAnsi"/>
          <w:color w:val="000000" w:themeColor="text1"/>
          <w:sz w:val="22"/>
          <w:szCs w:val="22"/>
        </w:rPr>
        <w:t xml:space="preserve">JAMA </w:t>
      </w:r>
      <w:proofErr w:type="spellStart"/>
      <w:r w:rsidRPr="00682C53">
        <w:rPr>
          <w:rStyle w:val="Emphasis"/>
          <w:rFonts w:asciiTheme="minorHAnsi" w:hAnsiTheme="minorHAnsi" w:cstheme="minorHAnsi"/>
          <w:color w:val="000000" w:themeColor="text1"/>
          <w:sz w:val="22"/>
          <w:szCs w:val="22"/>
        </w:rPr>
        <w:t>Netw</w:t>
      </w:r>
      <w:proofErr w:type="spellEnd"/>
      <w:r w:rsidRPr="00682C53">
        <w:rPr>
          <w:rStyle w:val="Emphasis"/>
          <w:rFonts w:asciiTheme="minorHAnsi" w:hAnsiTheme="minorHAnsi" w:cstheme="minorHAnsi"/>
          <w:color w:val="000000" w:themeColor="text1"/>
          <w:sz w:val="22"/>
          <w:szCs w:val="22"/>
        </w:rPr>
        <w:t xml:space="preserve"> Open</w:t>
      </w:r>
      <w:r w:rsidRPr="00682C53">
        <w:rPr>
          <w:rFonts w:asciiTheme="minorHAnsi" w:hAnsiTheme="minorHAnsi" w:cstheme="minorHAnsi"/>
          <w:color w:val="000000" w:themeColor="text1"/>
          <w:sz w:val="22"/>
          <w:szCs w:val="22"/>
        </w:rPr>
        <w:t xml:space="preserve"> 2021;4(9). Available from: </w:t>
      </w:r>
      <w:hyperlink r:id="rId12" w:history="1">
        <w:r w:rsidRPr="00682C53">
          <w:rPr>
            <w:rStyle w:val="Hyperlink"/>
            <w:rFonts w:asciiTheme="minorHAnsi" w:hAnsiTheme="minorHAnsi" w:cstheme="minorHAnsi"/>
            <w:color w:val="000000" w:themeColor="text1"/>
            <w:sz w:val="22"/>
            <w:szCs w:val="22"/>
            <w:u w:val="none"/>
          </w:rPr>
          <w:t>https://www.ncbi.nlm.nih.gov/pmc/articles/PMC8446814/</w:t>
        </w:r>
      </w:hyperlink>
    </w:p>
    <w:p w14:paraId="5B08C56C"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proofErr w:type="spellStart"/>
      <w:r w:rsidRPr="00682C53">
        <w:rPr>
          <w:rStyle w:val="Strong"/>
          <w:rFonts w:asciiTheme="minorHAnsi" w:hAnsiTheme="minorHAnsi" w:cstheme="minorHAnsi"/>
          <w:b w:val="0"/>
          <w:bCs w:val="0"/>
          <w:color w:val="000000" w:themeColor="text1"/>
          <w:sz w:val="22"/>
          <w:szCs w:val="22"/>
        </w:rPr>
        <w:t>Vuppalanchi</w:t>
      </w:r>
      <w:proofErr w:type="spellEnd"/>
      <w:r w:rsidRPr="00682C53">
        <w:rPr>
          <w:rStyle w:val="Strong"/>
          <w:rFonts w:asciiTheme="minorHAnsi" w:hAnsiTheme="minorHAnsi" w:cstheme="minorHAnsi"/>
          <w:b w:val="0"/>
          <w:bCs w:val="0"/>
          <w:color w:val="000000" w:themeColor="text1"/>
          <w:sz w:val="22"/>
          <w:szCs w:val="22"/>
        </w:rPr>
        <w:t xml:space="preserve"> R, Siddiqui MS, Van Natta ML, et al.</w:t>
      </w:r>
      <w:r w:rsidRPr="00682C53">
        <w:rPr>
          <w:rFonts w:asciiTheme="minorHAnsi" w:hAnsiTheme="minorHAnsi" w:cstheme="minorHAnsi"/>
          <w:color w:val="000000" w:themeColor="text1"/>
          <w:sz w:val="22"/>
          <w:szCs w:val="22"/>
        </w:rPr>
        <w:t xml:space="preserve"> Performance characteristics of vibration-controlled transient elastography for evaluation of </w:t>
      </w:r>
      <w:proofErr w:type="spellStart"/>
      <w:r w:rsidRPr="00682C53">
        <w:rPr>
          <w:rFonts w:asciiTheme="minorHAnsi" w:hAnsiTheme="minorHAnsi" w:cstheme="minorHAnsi"/>
          <w:color w:val="000000" w:themeColor="text1"/>
          <w:sz w:val="22"/>
          <w:szCs w:val="22"/>
        </w:rPr>
        <w:t>nonalcoholic</w:t>
      </w:r>
      <w:proofErr w:type="spellEnd"/>
      <w:r w:rsidRPr="00682C53">
        <w:rPr>
          <w:rFonts w:asciiTheme="minorHAnsi" w:hAnsiTheme="minorHAnsi" w:cstheme="minorHAnsi"/>
          <w:color w:val="000000" w:themeColor="text1"/>
          <w:sz w:val="22"/>
          <w:szCs w:val="22"/>
        </w:rPr>
        <w:t xml:space="preserve"> fatty liver disease. </w:t>
      </w:r>
      <w:r w:rsidRPr="00682C53">
        <w:rPr>
          <w:rStyle w:val="Emphasis"/>
          <w:rFonts w:asciiTheme="minorHAnsi" w:hAnsiTheme="minorHAnsi" w:cstheme="minorHAnsi"/>
          <w:color w:val="000000" w:themeColor="text1"/>
          <w:sz w:val="22"/>
          <w:szCs w:val="22"/>
        </w:rPr>
        <w:t>Hepatology</w:t>
      </w:r>
      <w:r w:rsidRPr="00682C53">
        <w:rPr>
          <w:rFonts w:asciiTheme="minorHAnsi" w:hAnsiTheme="minorHAnsi" w:cstheme="minorHAnsi"/>
          <w:color w:val="000000" w:themeColor="text1"/>
          <w:sz w:val="22"/>
          <w:szCs w:val="22"/>
        </w:rPr>
        <w:t xml:space="preserve"> 2018;67(1):134–44. Available from: </w:t>
      </w:r>
      <w:hyperlink r:id="rId13" w:history="1">
        <w:r w:rsidRPr="00682C53">
          <w:rPr>
            <w:rStyle w:val="Hyperlink"/>
            <w:rFonts w:asciiTheme="minorHAnsi" w:hAnsiTheme="minorHAnsi" w:cstheme="minorHAnsi"/>
            <w:color w:val="000000" w:themeColor="text1"/>
            <w:sz w:val="22"/>
            <w:szCs w:val="22"/>
            <w:u w:val="none"/>
          </w:rPr>
          <w:t>https://onlinelibrary.wiley.com/doi/full/10.1002/hep.29489</w:t>
        </w:r>
      </w:hyperlink>
    </w:p>
    <w:p w14:paraId="7A8A9BDE"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Style w:val="Strong"/>
          <w:rFonts w:asciiTheme="minorHAnsi" w:hAnsiTheme="minorHAnsi" w:cstheme="minorHAnsi"/>
          <w:b w:val="0"/>
          <w:bCs w:val="0"/>
          <w:color w:val="000000" w:themeColor="text1"/>
          <w:sz w:val="22"/>
          <w:szCs w:val="22"/>
        </w:rPr>
        <w:t xml:space="preserve">Siddiqui MS, </w:t>
      </w:r>
      <w:proofErr w:type="spellStart"/>
      <w:r w:rsidRPr="00682C53">
        <w:rPr>
          <w:rStyle w:val="Strong"/>
          <w:rFonts w:asciiTheme="minorHAnsi" w:hAnsiTheme="minorHAnsi" w:cstheme="minorHAnsi"/>
          <w:b w:val="0"/>
          <w:bCs w:val="0"/>
          <w:color w:val="000000" w:themeColor="text1"/>
          <w:sz w:val="22"/>
          <w:szCs w:val="22"/>
        </w:rPr>
        <w:t>Vuppalanchi</w:t>
      </w:r>
      <w:proofErr w:type="spellEnd"/>
      <w:r w:rsidRPr="00682C53">
        <w:rPr>
          <w:rStyle w:val="Strong"/>
          <w:rFonts w:asciiTheme="minorHAnsi" w:hAnsiTheme="minorHAnsi" w:cstheme="minorHAnsi"/>
          <w:b w:val="0"/>
          <w:bCs w:val="0"/>
          <w:color w:val="000000" w:themeColor="text1"/>
          <w:sz w:val="22"/>
          <w:szCs w:val="22"/>
        </w:rPr>
        <w:t xml:space="preserve"> R, Van Natta ML, et al.</w:t>
      </w:r>
      <w:r w:rsidRPr="00682C53">
        <w:rPr>
          <w:rFonts w:asciiTheme="minorHAnsi" w:hAnsiTheme="minorHAnsi" w:cstheme="minorHAnsi"/>
          <w:color w:val="000000" w:themeColor="text1"/>
          <w:sz w:val="22"/>
          <w:szCs w:val="22"/>
        </w:rPr>
        <w:t xml:space="preserve"> Vibration-Controlled Transient Elastography to Assess Fibrosis and Steatosis in Patients </w:t>
      </w:r>
      <w:proofErr w:type="gramStart"/>
      <w:r w:rsidRPr="00682C53">
        <w:rPr>
          <w:rFonts w:asciiTheme="minorHAnsi" w:hAnsiTheme="minorHAnsi" w:cstheme="minorHAnsi"/>
          <w:color w:val="000000" w:themeColor="text1"/>
          <w:sz w:val="22"/>
          <w:szCs w:val="22"/>
        </w:rPr>
        <w:t>With</w:t>
      </w:r>
      <w:proofErr w:type="gramEnd"/>
      <w:r w:rsidRPr="00682C53">
        <w:rPr>
          <w:rFonts w:asciiTheme="minorHAnsi" w:hAnsiTheme="minorHAnsi" w:cstheme="minorHAnsi"/>
          <w:color w:val="000000" w:themeColor="text1"/>
          <w:sz w:val="22"/>
          <w:szCs w:val="22"/>
        </w:rPr>
        <w:t xml:space="preserve"> </w:t>
      </w:r>
      <w:proofErr w:type="spellStart"/>
      <w:r w:rsidRPr="00682C53">
        <w:rPr>
          <w:rFonts w:asciiTheme="minorHAnsi" w:hAnsiTheme="minorHAnsi" w:cstheme="minorHAnsi"/>
          <w:color w:val="000000" w:themeColor="text1"/>
          <w:sz w:val="22"/>
          <w:szCs w:val="22"/>
        </w:rPr>
        <w:t>Nonalcoholic</w:t>
      </w:r>
      <w:proofErr w:type="spellEnd"/>
      <w:r w:rsidRPr="00682C53">
        <w:rPr>
          <w:rFonts w:asciiTheme="minorHAnsi" w:hAnsiTheme="minorHAnsi" w:cstheme="minorHAnsi"/>
          <w:color w:val="000000" w:themeColor="text1"/>
          <w:sz w:val="22"/>
          <w:szCs w:val="22"/>
        </w:rPr>
        <w:t xml:space="preserve"> Fatty Liver Disease. </w:t>
      </w:r>
      <w:r w:rsidRPr="00682C53">
        <w:rPr>
          <w:rStyle w:val="Emphasis"/>
          <w:rFonts w:asciiTheme="minorHAnsi" w:hAnsiTheme="minorHAnsi" w:cstheme="minorHAnsi"/>
          <w:color w:val="000000" w:themeColor="text1"/>
          <w:sz w:val="22"/>
          <w:szCs w:val="22"/>
        </w:rPr>
        <w:t>Clin Gastroenterol Hepatol</w:t>
      </w:r>
      <w:r w:rsidRPr="00682C53">
        <w:rPr>
          <w:rFonts w:asciiTheme="minorHAnsi" w:hAnsiTheme="minorHAnsi" w:cstheme="minorHAnsi"/>
          <w:color w:val="000000" w:themeColor="text1"/>
          <w:sz w:val="22"/>
          <w:szCs w:val="22"/>
        </w:rPr>
        <w:t xml:space="preserve"> 2019;17(1):156-163.e2.</w:t>
      </w:r>
    </w:p>
    <w:p w14:paraId="328A9979"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Style w:val="Strong"/>
          <w:rFonts w:asciiTheme="minorHAnsi" w:hAnsiTheme="minorHAnsi" w:cstheme="minorHAnsi"/>
          <w:b w:val="0"/>
          <w:bCs w:val="0"/>
          <w:color w:val="000000" w:themeColor="text1"/>
          <w:sz w:val="22"/>
          <w:szCs w:val="22"/>
        </w:rPr>
        <w:t xml:space="preserve">Eddowes PJ, </w:t>
      </w:r>
      <w:proofErr w:type="spellStart"/>
      <w:r w:rsidRPr="00682C53">
        <w:rPr>
          <w:rStyle w:val="Strong"/>
          <w:rFonts w:asciiTheme="minorHAnsi" w:hAnsiTheme="minorHAnsi" w:cstheme="minorHAnsi"/>
          <w:b w:val="0"/>
          <w:bCs w:val="0"/>
          <w:color w:val="000000" w:themeColor="text1"/>
          <w:sz w:val="22"/>
          <w:szCs w:val="22"/>
        </w:rPr>
        <w:t>Sasso</w:t>
      </w:r>
      <w:proofErr w:type="spellEnd"/>
      <w:r w:rsidRPr="00682C53">
        <w:rPr>
          <w:rStyle w:val="Strong"/>
          <w:rFonts w:asciiTheme="minorHAnsi" w:hAnsiTheme="minorHAnsi" w:cstheme="minorHAnsi"/>
          <w:b w:val="0"/>
          <w:bCs w:val="0"/>
          <w:color w:val="000000" w:themeColor="text1"/>
          <w:sz w:val="22"/>
          <w:szCs w:val="22"/>
        </w:rPr>
        <w:t xml:space="preserve"> M, Allison M, et al.</w:t>
      </w:r>
      <w:r w:rsidRPr="00682C53">
        <w:rPr>
          <w:rFonts w:asciiTheme="minorHAnsi" w:hAnsiTheme="minorHAnsi" w:cstheme="minorHAnsi"/>
          <w:color w:val="000000" w:themeColor="text1"/>
          <w:sz w:val="22"/>
          <w:szCs w:val="22"/>
        </w:rPr>
        <w:t xml:space="preserve"> Accuracy of </w:t>
      </w:r>
      <w:proofErr w:type="spellStart"/>
      <w:r w:rsidRPr="00682C53">
        <w:rPr>
          <w:rFonts w:asciiTheme="minorHAnsi" w:hAnsiTheme="minorHAnsi" w:cstheme="minorHAnsi"/>
          <w:color w:val="000000" w:themeColor="text1"/>
          <w:sz w:val="22"/>
          <w:szCs w:val="22"/>
        </w:rPr>
        <w:t>FibroScan</w:t>
      </w:r>
      <w:proofErr w:type="spellEnd"/>
      <w:r w:rsidRPr="00682C53">
        <w:rPr>
          <w:rFonts w:asciiTheme="minorHAnsi" w:hAnsiTheme="minorHAnsi" w:cstheme="minorHAnsi"/>
          <w:color w:val="000000" w:themeColor="text1"/>
          <w:sz w:val="22"/>
          <w:szCs w:val="22"/>
        </w:rPr>
        <w:t xml:space="preserve"> Controlled Attenuation Parameter and Liver Stiffness Measurement in Assessing Steatosis and Fibrosis in Patients </w:t>
      </w:r>
      <w:proofErr w:type="gramStart"/>
      <w:r w:rsidRPr="00682C53">
        <w:rPr>
          <w:rFonts w:asciiTheme="minorHAnsi" w:hAnsiTheme="minorHAnsi" w:cstheme="minorHAnsi"/>
          <w:color w:val="000000" w:themeColor="text1"/>
          <w:sz w:val="22"/>
          <w:szCs w:val="22"/>
        </w:rPr>
        <w:t>With</w:t>
      </w:r>
      <w:proofErr w:type="gramEnd"/>
      <w:r w:rsidRPr="00682C53">
        <w:rPr>
          <w:rFonts w:asciiTheme="minorHAnsi" w:hAnsiTheme="minorHAnsi" w:cstheme="minorHAnsi"/>
          <w:color w:val="000000" w:themeColor="text1"/>
          <w:sz w:val="22"/>
          <w:szCs w:val="22"/>
        </w:rPr>
        <w:t xml:space="preserve"> </w:t>
      </w:r>
      <w:proofErr w:type="spellStart"/>
      <w:r w:rsidRPr="00682C53">
        <w:rPr>
          <w:rFonts w:asciiTheme="minorHAnsi" w:hAnsiTheme="minorHAnsi" w:cstheme="minorHAnsi"/>
          <w:color w:val="000000" w:themeColor="text1"/>
          <w:sz w:val="22"/>
          <w:szCs w:val="22"/>
        </w:rPr>
        <w:t>Nonalcoholic</w:t>
      </w:r>
      <w:proofErr w:type="spellEnd"/>
      <w:r w:rsidRPr="00682C53">
        <w:rPr>
          <w:rFonts w:asciiTheme="minorHAnsi" w:hAnsiTheme="minorHAnsi" w:cstheme="minorHAnsi"/>
          <w:color w:val="000000" w:themeColor="text1"/>
          <w:sz w:val="22"/>
          <w:szCs w:val="22"/>
        </w:rPr>
        <w:t xml:space="preserve"> Fatty Liver Disease. </w:t>
      </w:r>
      <w:r w:rsidRPr="00682C53">
        <w:rPr>
          <w:rStyle w:val="Emphasis"/>
          <w:rFonts w:asciiTheme="minorHAnsi" w:hAnsiTheme="minorHAnsi" w:cstheme="minorHAnsi"/>
          <w:color w:val="000000" w:themeColor="text1"/>
          <w:sz w:val="22"/>
          <w:szCs w:val="22"/>
        </w:rPr>
        <w:t>Gastroenterology</w:t>
      </w:r>
      <w:r w:rsidRPr="00682C53">
        <w:rPr>
          <w:rFonts w:asciiTheme="minorHAnsi" w:hAnsiTheme="minorHAnsi" w:cstheme="minorHAnsi"/>
          <w:color w:val="000000" w:themeColor="text1"/>
          <w:sz w:val="22"/>
          <w:szCs w:val="22"/>
        </w:rPr>
        <w:t xml:space="preserve"> 2019;156(6):1717–30. Available from: </w:t>
      </w:r>
      <w:hyperlink r:id="rId14" w:history="1">
        <w:r w:rsidRPr="00682C53">
          <w:rPr>
            <w:rStyle w:val="Hyperlink"/>
            <w:rFonts w:asciiTheme="minorHAnsi" w:hAnsiTheme="minorHAnsi" w:cstheme="minorHAnsi"/>
            <w:color w:val="000000" w:themeColor="text1"/>
            <w:sz w:val="22"/>
            <w:szCs w:val="22"/>
            <w:u w:val="none"/>
          </w:rPr>
          <w:t>https://pubmed.ncbi.nlm.nih.gov/30689971/</w:t>
        </w:r>
      </w:hyperlink>
    </w:p>
    <w:p w14:paraId="0A2E7A52"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Style w:val="Strong"/>
          <w:rFonts w:asciiTheme="minorHAnsi" w:hAnsiTheme="minorHAnsi" w:cstheme="minorHAnsi"/>
          <w:b w:val="0"/>
          <w:bCs w:val="0"/>
          <w:color w:val="000000" w:themeColor="text1"/>
          <w:sz w:val="22"/>
          <w:szCs w:val="22"/>
        </w:rPr>
        <w:t xml:space="preserve">Glyn-Owen K, </w:t>
      </w:r>
      <w:proofErr w:type="spellStart"/>
      <w:r w:rsidRPr="00682C53">
        <w:rPr>
          <w:rStyle w:val="Strong"/>
          <w:rFonts w:asciiTheme="minorHAnsi" w:hAnsiTheme="minorHAnsi" w:cstheme="minorHAnsi"/>
          <w:b w:val="0"/>
          <w:bCs w:val="0"/>
          <w:color w:val="000000" w:themeColor="text1"/>
          <w:sz w:val="22"/>
          <w:szCs w:val="22"/>
        </w:rPr>
        <w:t>Böhning</w:t>
      </w:r>
      <w:proofErr w:type="spellEnd"/>
      <w:r w:rsidRPr="00682C53">
        <w:rPr>
          <w:rStyle w:val="Strong"/>
          <w:rFonts w:asciiTheme="minorHAnsi" w:hAnsiTheme="minorHAnsi" w:cstheme="minorHAnsi"/>
          <w:b w:val="0"/>
          <w:bCs w:val="0"/>
          <w:color w:val="000000" w:themeColor="text1"/>
          <w:sz w:val="22"/>
          <w:szCs w:val="22"/>
        </w:rPr>
        <w:t xml:space="preserve"> D, Parkes J, et al.</w:t>
      </w:r>
      <w:r w:rsidRPr="00682C53">
        <w:rPr>
          <w:rFonts w:asciiTheme="minorHAnsi" w:hAnsiTheme="minorHAnsi" w:cstheme="minorHAnsi"/>
          <w:color w:val="000000" w:themeColor="text1"/>
          <w:sz w:val="22"/>
          <w:szCs w:val="22"/>
        </w:rPr>
        <w:t xml:space="preserve"> The combined effect of alcohol and body mass index on risk of chronic liver disease: A systematic review and meta-analysis of cohort studies. </w:t>
      </w:r>
      <w:r w:rsidRPr="00682C53">
        <w:rPr>
          <w:rStyle w:val="Emphasis"/>
          <w:rFonts w:asciiTheme="minorHAnsi" w:hAnsiTheme="minorHAnsi" w:cstheme="minorHAnsi"/>
          <w:color w:val="000000" w:themeColor="text1"/>
          <w:sz w:val="22"/>
          <w:szCs w:val="22"/>
        </w:rPr>
        <w:t>Liver Int</w:t>
      </w:r>
      <w:r w:rsidRPr="00682C53">
        <w:rPr>
          <w:rFonts w:asciiTheme="minorHAnsi" w:hAnsiTheme="minorHAnsi" w:cstheme="minorHAnsi"/>
          <w:color w:val="000000" w:themeColor="text1"/>
          <w:sz w:val="22"/>
          <w:szCs w:val="22"/>
        </w:rPr>
        <w:t xml:space="preserve"> 2020. Available from: </w:t>
      </w:r>
      <w:hyperlink r:id="rId15" w:history="1">
        <w:r w:rsidRPr="00682C53">
          <w:rPr>
            <w:rStyle w:val="Hyperlink"/>
            <w:rFonts w:asciiTheme="minorHAnsi" w:hAnsiTheme="minorHAnsi" w:cstheme="minorHAnsi"/>
            <w:color w:val="000000" w:themeColor="text1"/>
            <w:sz w:val="22"/>
            <w:szCs w:val="22"/>
            <w:u w:val="none"/>
          </w:rPr>
          <w:t>https://onlinelibrary.wiley.com/doi/10.1111/liv.14754</w:t>
        </w:r>
      </w:hyperlink>
    </w:p>
    <w:p w14:paraId="34175A94"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Style w:val="Strong"/>
          <w:rFonts w:asciiTheme="minorHAnsi" w:hAnsiTheme="minorHAnsi" w:cstheme="minorHAnsi"/>
          <w:b w:val="0"/>
          <w:bCs w:val="0"/>
          <w:color w:val="000000" w:themeColor="text1"/>
          <w:sz w:val="22"/>
          <w:szCs w:val="22"/>
        </w:rPr>
        <w:t xml:space="preserve">Harrison S, </w:t>
      </w:r>
      <w:proofErr w:type="spellStart"/>
      <w:r w:rsidRPr="00682C53">
        <w:rPr>
          <w:rStyle w:val="Strong"/>
          <w:rFonts w:asciiTheme="minorHAnsi" w:hAnsiTheme="minorHAnsi" w:cstheme="minorHAnsi"/>
          <w:b w:val="0"/>
          <w:bCs w:val="0"/>
          <w:color w:val="000000" w:themeColor="text1"/>
          <w:sz w:val="22"/>
          <w:szCs w:val="22"/>
        </w:rPr>
        <w:t>Bedossa</w:t>
      </w:r>
      <w:proofErr w:type="spellEnd"/>
      <w:r w:rsidRPr="00682C53">
        <w:rPr>
          <w:rStyle w:val="Strong"/>
          <w:rFonts w:asciiTheme="minorHAnsi" w:hAnsiTheme="minorHAnsi" w:cstheme="minorHAnsi"/>
          <w:b w:val="0"/>
          <w:bCs w:val="0"/>
          <w:color w:val="000000" w:themeColor="text1"/>
          <w:sz w:val="22"/>
          <w:szCs w:val="22"/>
        </w:rPr>
        <w:t xml:space="preserve"> P, Guy C, et al.</w:t>
      </w:r>
      <w:r w:rsidRPr="00682C53">
        <w:rPr>
          <w:rFonts w:asciiTheme="minorHAnsi" w:hAnsiTheme="minorHAnsi" w:cstheme="minorHAnsi"/>
          <w:color w:val="000000" w:themeColor="text1"/>
          <w:sz w:val="22"/>
          <w:szCs w:val="22"/>
        </w:rPr>
        <w:t xml:space="preserve"> A Phase 3, Randomized, Controlled Trial of </w:t>
      </w:r>
      <w:proofErr w:type="spellStart"/>
      <w:r w:rsidRPr="00682C53">
        <w:rPr>
          <w:rFonts w:asciiTheme="minorHAnsi" w:hAnsiTheme="minorHAnsi" w:cstheme="minorHAnsi"/>
          <w:color w:val="000000" w:themeColor="text1"/>
          <w:sz w:val="22"/>
          <w:szCs w:val="22"/>
        </w:rPr>
        <w:t>Resmetirom</w:t>
      </w:r>
      <w:proofErr w:type="spellEnd"/>
      <w:r w:rsidRPr="00682C53">
        <w:rPr>
          <w:rFonts w:asciiTheme="minorHAnsi" w:hAnsiTheme="minorHAnsi" w:cstheme="minorHAnsi"/>
          <w:color w:val="000000" w:themeColor="text1"/>
          <w:sz w:val="22"/>
          <w:szCs w:val="22"/>
        </w:rPr>
        <w:t xml:space="preserve"> in NASH with Liver Fibrosis. </w:t>
      </w:r>
      <w:r w:rsidRPr="00682C53">
        <w:rPr>
          <w:rStyle w:val="Emphasis"/>
          <w:rFonts w:asciiTheme="minorHAnsi" w:hAnsiTheme="minorHAnsi" w:cstheme="minorHAnsi"/>
          <w:color w:val="000000" w:themeColor="text1"/>
          <w:sz w:val="22"/>
          <w:szCs w:val="22"/>
        </w:rPr>
        <w:t xml:space="preserve">N </w:t>
      </w:r>
      <w:proofErr w:type="spellStart"/>
      <w:r w:rsidRPr="00682C53">
        <w:rPr>
          <w:rStyle w:val="Emphasis"/>
          <w:rFonts w:asciiTheme="minorHAnsi" w:hAnsiTheme="minorHAnsi" w:cstheme="minorHAnsi"/>
          <w:color w:val="000000" w:themeColor="text1"/>
          <w:sz w:val="22"/>
          <w:szCs w:val="22"/>
        </w:rPr>
        <w:t>Engl</w:t>
      </w:r>
      <w:proofErr w:type="spellEnd"/>
      <w:r w:rsidRPr="00682C53">
        <w:rPr>
          <w:rStyle w:val="Emphasis"/>
          <w:rFonts w:asciiTheme="minorHAnsi" w:hAnsiTheme="minorHAnsi" w:cstheme="minorHAnsi"/>
          <w:color w:val="000000" w:themeColor="text1"/>
          <w:sz w:val="22"/>
          <w:szCs w:val="22"/>
        </w:rPr>
        <w:t xml:space="preserve"> J Med</w:t>
      </w:r>
      <w:r w:rsidRPr="00682C53">
        <w:rPr>
          <w:rFonts w:asciiTheme="minorHAnsi" w:hAnsiTheme="minorHAnsi" w:cstheme="minorHAnsi"/>
          <w:color w:val="000000" w:themeColor="text1"/>
          <w:sz w:val="22"/>
          <w:szCs w:val="22"/>
        </w:rPr>
        <w:t xml:space="preserve"> 2024;390(6):497–509.</w:t>
      </w:r>
    </w:p>
    <w:p w14:paraId="7EFAC1D8"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Style w:val="Strong"/>
          <w:rFonts w:asciiTheme="minorHAnsi" w:hAnsiTheme="minorHAnsi" w:cstheme="minorHAnsi"/>
          <w:b w:val="0"/>
          <w:bCs w:val="0"/>
          <w:color w:val="000000" w:themeColor="text1"/>
          <w:sz w:val="22"/>
          <w:szCs w:val="22"/>
        </w:rPr>
        <w:t xml:space="preserve">Villanueva C, </w:t>
      </w:r>
      <w:proofErr w:type="spellStart"/>
      <w:r w:rsidRPr="00682C53">
        <w:rPr>
          <w:rStyle w:val="Strong"/>
          <w:rFonts w:asciiTheme="minorHAnsi" w:hAnsiTheme="minorHAnsi" w:cstheme="minorHAnsi"/>
          <w:b w:val="0"/>
          <w:bCs w:val="0"/>
          <w:color w:val="000000" w:themeColor="text1"/>
          <w:sz w:val="22"/>
          <w:szCs w:val="22"/>
        </w:rPr>
        <w:t>Albillos</w:t>
      </w:r>
      <w:proofErr w:type="spellEnd"/>
      <w:r w:rsidRPr="00682C53">
        <w:rPr>
          <w:rStyle w:val="Strong"/>
          <w:rFonts w:asciiTheme="minorHAnsi" w:hAnsiTheme="minorHAnsi" w:cstheme="minorHAnsi"/>
          <w:b w:val="0"/>
          <w:bCs w:val="0"/>
          <w:color w:val="000000" w:themeColor="text1"/>
          <w:sz w:val="22"/>
          <w:szCs w:val="22"/>
        </w:rPr>
        <w:t xml:space="preserve"> A, </w:t>
      </w:r>
      <w:proofErr w:type="spellStart"/>
      <w:r w:rsidRPr="00682C53">
        <w:rPr>
          <w:rStyle w:val="Strong"/>
          <w:rFonts w:asciiTheme="minorHAnsi" w:hAnsiTheme="minorHAnsi" w:cstheme="minorHAnsi"/>
          <w:b w:val="0"/>
          <w:bCs w:val="0"/>
          <w:color w:val="000000" w:themeColor="text1"/>
          <w:sz w:val="22"/>
          <w:szCs w:val="22"/>
        </w:rPr>
        <w:t>Genescà</w:t>
      </w:r>
      <w:proofErr w:type="spellEnd"/>
      <w:r w:rsidRPr="00682C53">
        <w:rPr>
          <w:rStyle w:val="Strong"/>
          <w:rFonts w:asciiTheme="minorHAnsi" w:hAnsiTheme="minorHAnsi" w:cstheme="minorHAnsi"/>
          <w:b w:val="0"/>
          <w:bCs w:val="0"/>
          <w:color w:val="000000" w:themeColor="text1"/>
          <w:sz w:val="22"/>
          <w:szCs w:val="22"/>
        </w:rPr>
        <w:t xml:space="preserve"> J, et al.</w:t>
      </w:r>
      <w:r w:rsidRPr="00682C53">
        <w:rPr>
          <w:rFonts w:asciiTheme="minorHAnsi" w:hAnsiTheme="minorHAnsi" w:cstheme="minorHAnsi"/>
          <w:color w:val="000000" w:themeColor="text1"/>
          <w:sz w:val="22"/>
          <w:szCs w:val="22"/>
        </w:rPr>
        <w:t xml:space="preserve"> β blockers to prevent decompensation of cirrhosis in patients with clinically significant portal hypertension (PREDESCI): A randomised, double-blind, placebo-controlled, multicentre trial. </w:t>
      </w:r>
      <w:r w:rsidRPr="00682C53">
        <w:rPr>
          <w:rStyle w:val="Emphasis"/>
          <w:rFonts w:asciiTheme="minorHAnsi" w:hAnsiTheme="minorHAnsi" w:cstheme="minorHAnsi"/>
          <w:color w:val="000000" w:themeColor="text1"/>
          <w:sz w:val="22"/>
          <w:szCs w:val="22"/>
        </w:rPr>
        <w:t>Lancet</w:t>
      </w:r>
      <w:r w:rsidRPr="00682C53">
        <w:rPr>
          <w:rFonts w:asciiTheme="minorHAnsi" w:hAnsiTheme="minorHAnsi" w:cstheme="minorHAnsi"/>
          <w:color w:val="000000" w:themeColor="text1"/>
          <w:sz w:val="22"/>
          <w:szCs w:val="22"/>
        </w:rPr>
        <w:t xml:space="preserve"> 2019;393(10181):1597–608. Available from: </w:t>
      </w:r>
      <w:hyperlink r:id="rId16" w:history="1">
        <w:r w:rsidRPr="00682C53">
          <w:rPr>
            <w:rStyle w:val="Hyperlink"/>
            <w:rFonts w:asciiTheme="minorHAnsi" w:hAnsiTheme="minorHAnsi" w:cstheme="minorHAnsi"/>
            <w:color w:val="000000" w:themeColor="text1"/>
            <w:sz w:val="22"/>
            <w:szCs w:val="22"/>
            <w:u w:val="none"/>
          </w:rPr>
          <w:t>http://www.thelancet.com/article/S0140673618318750/fulltext</w:t>
        </w:r>
      </w:hyperlink>
    </w:p>
    <w:p w14:paraId="74EB72C0"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proofErr w:type="spellStart"/>
      <w:r w:rsidRPr="00682C53">
        <w:rPr>
          <w:rStyle w:val="Strong"/>
          <w:rFonts w:asciiTheme="minorHAnsi" w:hAnsiTheme="minorHAnsi" w:cstheme="minorHAnsi"/>
          <w:b w:val="0"/>
          <w:bCs w:val="0"/>
          <w:color w:val="000000" w:themeColor="text1"/>
          <w:sz w:val="22"/>
          <w:szCs w:val="22"/>
        </w:rPr>
        <w:t>Cusi</w:t>
      </w:r>
      <w:proofErr w:type="spellEnd"/>
      <w:r w:rsidRPr="00682C53">
        <w:rPr>
          <w:rStyle w:val="Strong"/>
          <w:rFonts w:asciiTheme="minorHAnsi" w:hAnsiTheme="minorHAnsi" w:cstheme="minorHAnsi"/>
          <w:b w:val="0"/>
          <w:bCs w:val="0"/>
          <w:color w:val="000000" w:themeColor="text1"/>
          <w:sz w:val="22"/>
          <w:szCs w:val="22"/>
        </w:rPr>
        <w:t xml:space="preserve"> K, Isaacs S, Barb D, et al.</w:t>
      </w:r>
      <w:r w:rsidRPr="00682C53">
        <w:rPr>
          <w:rFonts w:asciiTheme="minorHAnsi" w:hAnsiTheme="minorHAnsi" w:cstheme="minorHAnsi"/>
          <w:color w:val="000000" w:themeColor="text1"/>
          <w:sz w:val="22"/>
          <w:szCs w:val="22"/>
        </w:rPr>
        <w:t xml:space="preserve"> American Association of Clinical Endocrinology Clinical Practice Guideline for the Diagnosis and Management of </w:t>
      </w:r>
      <w:proofErr w:type="spellStart"/>
      <w:r w:rsidRPr="00682C53">
        <w:rPr>
          <w:rFonts w:asciiTheme="minorHAnsi" w:hAnsiTheme="minorHAnsi" w:cstheme="minorHAnsi"/>
          <w:color w:val="000000" w:themeColor="text1"/>
          <w:sz w:val="22"/>
          <w:szCs w:val="22"/>
        </w:rPr>
        <w:t>Nonalcoholic</w:t>
      </w:r>
      <w:proofErr w:type="spellEnd"/>
      <w:r w:rsidRPr="00682C53">
        <w:rPr>
          <w:rFonts w:asciiTheme="minorHAnsi" w:hAnsiTheme="minorHAnsi" w:cstheme="minorHAnsi"/>
          <w:color w:val="000000" w:themeColor="text1"/>
          <w:sz w:val="22"/>
          <w:szCs w:val="22"/>
        </w:rPr>
        <w:t xml:space="preserve"> Fatty Liver Disease in Primary Care </w:t>
      </w:r>
      <w:r w:rsidRPr="00682C53">
        <w:rPr>
          <w:rFonts w:asciiTheme="minorHAnsi" w:hAnsiTheme="minorHAnsi" w:cstheme="minorHAnsi"/>
          <w:color w:val="000000" w:themeColor="text1"/>
          <w:sz w:val="22"/>
          <w:szCs w:val="22"/>
        </w:rPr>
        <w:lastRenderedPageBreak/>
        <w:t xml:space="preserve">and Endocrinology Clinical Settings: Co-Sponsored by the American Association for the Study of Liver Diseases (AASLD). </w:t>
      </w:r>
      <w:proofErr w:type="spellStart"/>
      <w:r w:rsidRPr="00682C53">
        <w:rPr>
          <w:rStyle w:val="Emphasis"/>
          <w:rFonts w:asciiTheme="minorHAnsi" w:hAnsiTheme="minorHAnsi" w:cstheme="minorHAnsi"/>
          <w:color w:val="000000" w:themeColor="text1"/>
          <w:sz w:val="22"/>
          <w:szCs w:val="22"/>
        </w:rPr>
        <w:t>Endocr</w:t>
      </w:r>
      <w:proofErr w:type="spellEnd"/>
      <w:r w:rsidRPr="00682C53">
        <w:rPr>
          <w:rStyle w:val="Emphasis"/>
          <w:rFonts w:asciiTheme="minorHAnsi" w:hAnsiTheme="minorHAnsi" w:cstheme="minorHAnsi"/>
          <w:color w:val="000000" w:themeColor="text1"/>
          <w:sz w:val="22"/>
          <w:szCs w:val="22"/>
        </w:rPr>
        <w:t xml:space="preserve"> </w:t>
      </w:r>
      <w:proofErr w:type="spellStart"/>
      <w:r w:rsidRPr="00682C53">
        <w:rPr>
          <w:rStyle w:val="Emphasis"/>
          <w:rFonts w:asciiTheme="minorHAnsi" w:hAnsiTheme="minorHAnsi" w:cstheme="minorHAnsi"/>
          <w:color w:val="000000" w:themeColor="text1"/>
          <w:sz w:val="22"/>
          <w:szCs w:val="22"/>
        </w:rPr>
        <w:t>Pract</w:t>
      </w:r>
      <w:proofErr w:type="spellEnd"/>
      <w:r w:rsidRPr="00682C53">
        <w:rPr>
          <w:rFonts w:asciiTheme="minorHAnsi" w:hAnsiTheme="minorHAnsi" w:cstheme="minorHAnsi"/>
          <w:color w:val="000000" w:themeColor="text1"/>
          <w:sz w:val="22"/>
          <w:szCs w:val="22"/>
        </w:rPr>
        <w:t xml:space="preserve"> 2022;28(5):528–62.</w:t>
      </w:r>
    </w:p>
    <w:p w14:paraId="079E368D"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proofErr w:type="spellStart"/>
      <w:r w:rsidRPr="00682C53">
        <w:rPr>
          <w:rFonts w:asciiTheme="minorHAnsi" w:hAnsiTheme="minorHAnsi" w:cstheme="minorHAnsi"/>
          <w:color w:val="000000" w:themeColor="text1"/>
          <w:sz w:val="22"/>
          <w:szCs w:val="22"/>
        </w:rPr>
        <w:t>ElSayed</w:t>
      </w:r>
      <w:proofErr w:type="spellEnd"/>
      <w:r w:rsidRPr="00682C53">
        <w:rPr>
          <w:rFonts w:asciiTheme="minorHAnsi" w:hAnsiTheme="minorHAnsi" w:cstheme="minorHAnsi"/>
          <w:color w:val="000000" w:themeColor="text1"/>
          <w:sz w:val="22"/>
          <w:szCs w:val="22"/>
        </w:rPr>
        <w:t xml:space="preserve"> NA, Aleppo G, </w:t>
      </w:r>
      <w:proofErr w:type="spellStart"/>
      <w:r w:rsidRPr="00682C53">
        <w:rPr>
          <w:rFonts w:asciiTheme="minorHAnsi" w:hAnsiTheme="minorHAnsi" w:cstheme="minorHAnsi"/>
          <w:color w:val="000000" w:themeColor="text1"/>
          <w:sz w:val="22"/>
          <w:szCs w:val="22"/>
        </w:rPr>
        <w:t>Aroda</w:t>
      </w:r>
      <w:proofErr w:type="spellEnd"/>
      <w:r w:rsidRPr="00682C53">
        <w:rPr>
          <w:rFonts w:asciiTheme="minorHAnsi" w:hAnsiTheme="minorHAnsi" w:cstheme="minorHAnsi"/>
          <w:color w:val="000000" w:themeColor="text1"/>
          <w:sz w:val="22"/>
          <w:szCs w:val="22"/>
        </w:rPr>
        <w:t xml:space="preserve"> VR, </w:t>
      </w:r>
      <w:proofErr w:type="spellStart"/>
      <w:r w:rsidRPr="00682C53">
        <w:rPr>
          <w:rFonts w:asciiTheme="minorHAnsi" w:hAnsiTheme="minorHAnsi" w:cstheme="minorHAnsi"/>
          <w:color w:val="000000" w:themeColor="text1"/>
          <w:sz w:val="22"/>
          <w:szCs w:val="22"/>
        </w:rPr>
        <w:t>Bannuru</w:t>
      </w:r>
      <w:proofErr w:type="spellEnd"/>
      <w:r w:rsidRPr="00682C53">
        <w:rPr>
          <w:rFonts w:asciiTheme="minorHAnsi" w:hAnsiTheme="minorHAnsi" w:cstheme="minorHAnsi"/>
          <w:color w:val="000000" w:themeColor="text1"/>
          <w:sz w:val="22"/>
          <w:szCs w:val="22"/>
        </w:rPr>
        <w:t xml:space="preserve"> RR, Brown FM, </w:t>
      </w:r>
      <w:proofErr w:type="spellStart"/>
      <w:r w:rsidRPr="00682C53">
        <w:rPr>
          <w:rFonts w:asciiTheme="minorHAnsi" w:hAnsiTheme="minorHAnsi" w:cstheme="minorHAnsi"/>
          <w:color w:val="000000" w:themeColor="text1"/>
          <w:sz w:val="22"/>
          <w:szCs w:val="22"/>
        </w:rPr>
        <w:t>Bruemmer</w:t>
      </w:r>
      <w:proofErr w:type="spellEnd"/>
      <w:r w:rsidRPr="00682C53">
        <w:rPr>
          <w:rFonts w:asciiTheme="minorHAnsi" w:hAnsiTheme="minorHAnsi" w:cstheme="minorHAnsi"/>
          <w:color w:val="000000" w:themeColor="text1"/>
          <w:sz w:val="22"/>
          <w:szCs w:val="22"/>
        </w:rPr>
        <w:t xml:space="preserve"> D, et al. Addendum. 4. Comprehensive Medical Evaluation and Assessment of Comorbidities: Standards of Care in Diabetes—2023. Diabetes Care 2023;46(</w:t>
      </w:r>
      <w:proofErr w:type="spellStart"/>
      <w:r w:rsidRPr="00682C53">
        <w:rPr>
          <w:rFonts w:asciiTheme="minorHAnsi" w:hAnsiTheme="minorHAnsi" w:cstheme="minorHAnsi"/>
          <w:color w:val="000000" w:themeColor="text1"/>
          <w:sz w:val="22"/>
          <w:szCs w:val="22"/>
        </w:rPr>
        <w:t>Suppl</w:t>
      </w:r>
      <w:proofErr w:type="spellEnd"/>
      <w:r w:rsidRPr="00682C53">
        <w:rPr>
          <w:rFonts w:asciiTheme="minorHAnsi" w:hAnsiTheme="minorHAnsi" w:cstheme="minorHAnsi"/>
          <w:color w:val="000000" w:themeColor="text1"/>
          <w:sz w:val="22"/>
          <w:szCs w:val="22"/>
        </w:rPr>
        <w:t xml:space="preserve"> 1</w:t>
      </w:r>
      <w:proofErr w:type="gramStart"/>
      <w:r w:rsidRPr="00682C53">
        <w:rPr>
          <w:rFonts w:asciiTheme="minorHAnsi" w:hAnsiTheme="minorHAnsi" w:cstheme="minorHAnsi"/>
          <w:color w:val="000000" w:themeColor="text1"/>
          <w:sz w:val="22"/>
          <w:szCs w:val="22"/>
        </w:rPr>
        <w:t>):S</w:t>
      </w:r>
      <w:proofErr w:type="gramEnd"/>
      <w:r w:rsidRPr="00682C53">
        <w:rPr>
          <w:rFonts w:asciiTheme="minorHAnsi" w:hAnsiTheme="minorHAnsi" w:cstheme="minorHAnsi"/>
          <w:color w:val="000000" w:themeColor="text1"/>
          <w:sz w:val="22"/>
          <w:szCs w:val="22"/>
        </w:rPr>
        <w:t xml:space="preserve">49–S67. Available from: </w:t>
      </w:r>
      <w:hyperlink r:id="rId17" w:tgtFrame="_new" w:history="1">
        <w:r w:rsidRPr="00682C53">
          <w:rPr>
            <w:rStyle w:val="Hyperlink"/>
            <w:rFonts w:asciiTheme="minorHAnsi" w:hAnsiTheme="minorHAnsi" w:cstheme="minorHAnsi"/>
            <w:color w:val="000000" w:themeColor="text1"/>
            <w:sz w:val="22"/>
            <w:szCs w:val="22"/>
            <w:u w:val="none"/>
          </w:rPr>
          <w:t>https://dx.doi.org/10.2337/dc23-ad09</w:t>
        </w:r>
      </w:hyperlink>
    </w:p>
    <w:p w14:paraId="5B9F6A01"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 xml:space="preserve">NHS mobile testing scheme finds thousands of new cases of liver damage [Internet]. 2023 [cited 2024 Feb 14]. Available from: </w:t>
      </w:r>
      <w:hyperlink r:id="rId18" w:anchor=":~:text=On-the-spot" w:tgtFrame="_new" w:history="1">
        <w:r w:rsidRPr="00682C53">
          <w:rPr>
            <w:rStyle w:val="Hyperlink"/>
            <w:rFonts w:asciiTheme="minorHAnsi" w:hAnsiTheme="minorHAnsi" w:cstheme="minorHAnsi"/>
            <w:color w:val="000000" w:themeColor="text1"/>
            <w:sz w:val="22"/>
            <w:szCs w:val="22"/>
            <w:u w:val="none"/>
          </w:rPr>
          <w:t>https://www.england.nhs.uk/2023/10/nhs-mobile-testing-scheme-finds-thousands-of-new-cases-of-liver-damage/#:~:text=On-the-spot</w:t>
        </w:r>
      </w:hyperlink>
      <w:r w:rsidRPr="00682C53">
        <w:rPr>
          <w:rFonts w:asciiTheme="minorHAnsi" w:hAnsiTheme="minorHAnsi" w:cstheme="minorHAnsi"/>
          <w:color w:val="000000" w:themeColor="text1"/>
          <w:sz w:val="22"/>
          <w:szCs w:val="22"/>
        </w:rPr>
        <w:t xml:space="preserve"> liver scanning initiative is an essential </w:t>
      </w:r>
      <w:proofErr w:type="spellStart"/>
      <w:r w:rsidRPr="00682C53">
        <w:rPr>
          <w:rFonts w:asciiTheme="minorHAnsi" w:hAnsiTheme="minorHAnsi" w:cstheme="minorHAnsi"/>
          <w:color w:val="000000" w:themeColor="text1"/>
          <w:sz w:val="22"/>
          <w:szCs w:val="22"/>
        </w:rPr>
        <w:t>part,when</w:t>
      </w:r>
      <w:proofErr w:type="spellEnd"/>
      <w:r w:rsidRPr="00682C53">
        <w:rPr>
          <w:rFonts w:asciiTheme="minorHAnsi" w:hAnsiTheme="minorHAnsi" w:cstheme="minorHAnsi"/>
          <w:color w:val="000000" w:themeColor="text1"/>
          <w:sz w:val="22"/>
          <w:szCs w:val="22"/>
        </w:rPr>
        <w:t xml:space="preserve"> treatment is more effective.</w:t>
      </w:r>
    </w:p>
    <w:p w14:paraId="0DB29DB4"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 xml:space="preserve">Jarvis H, Craig D, Barker R, Spiers G, Stow D, </w:t>
      </w:r>
      <w:proofErr w:type="spellStart"/>
      <w:r w:rsidRPr="00682C53">
        <w:rPr>
          <w:rFonts w:asciiTheme="minorHAnsi" w:hAnsiTheme="minorHAnsi" w:cstheme="minorHAnsi"/>
          <w:color w:val="000000" w:themeColor="text1"/>
          <w:sz w:val="22"/>
          <w:szCs w:val="22"/>
        </w:rPr>
        <w:t>Anstee</w:t>
      </w:r>
      <w:proofErr w:type="spellEnd"/>
      <w:r w:rsidRPr="00682C53">
        <w:rPr>
          <w:rFonts w:asciiTheme="minorHAnsi" w:hAnsiTheme="minorHAnsi" w:cstheme="minorHAnsi"/>
          <w:color w:val="000000" w:themeColor="text1"/>
          <w:sz w:val="22"/>
          <w:szCs w:val="22"/>
        </w:rPr>
        <w:t xml:space="preserve"> QM, et al. Metabolic risk factors and incident advanced liver disease in non-alcoholic fatty liver disease (NAFLD): A systematic review and meta-analysis of population-based observational studies. </w:t>
      </w:r>
      <w:proofErr w:type="spellStart"/>
      <w:r w:rsidRPr="00682C53">
        <w:rPr>
          <w:rFonts w:asciiTheme="minorHAnsi" w:hAnsiTheme="minorHAnsi" w:cstheme="minorHAnsi"/>
          <w:color w:val="000000" w:themeColor="text1"/>
          <w:sz w:val="22"/>
          <w:szCs w:val="22"/>
        </w:rPr>
        <w:t>PLoS</w:t>
      </w:r>
      <w:proofErr w:type="spellEnd"/>
      <w:r w:rsidRPr="00682C53">
        <w:rPr>
          <w:rFonts w:asciiTheme="minorHAnsi" w:hAnsiTheme="minorHAnsi" w:cstheme="minorHAnsi"/>
          <w:color w:val="000000" w:themeColor="text1"/>
          <w:sz w:val="22"/>
          <w:szCs w:val="22"/>
        </w:rPr>
        <w:t xml:space="preserve"> Med [Internet]. 2020 Apr 1 [cited 2024 Mar 28];17(4). Available from: /</w:t>
      </w:r>
      <w:proofErr w:type="spellStart"/>
      <w:r w:rsidRPr="00682C53">
        <w:rPr>
          <w:rFonts w:asciiTheme="minorHAnsi" w:hAnsiTheme="minorHAnsi" w:cstheme="minorHAnsi"/>
          <w:color w:val="000000" w:themeColor="text1"/>
          <w:sz w:val="22"/>
          <w:szCs w:val="22"/>
        </w:rPr>
        <w:t>pmc</w:t>
      </w:r>
      <w:proofErr w:type="spellEnd"/>
      <w:r w:rsidRPr="00682C53">
        <w:rPr>
          <w:rFonts w:asciiTheme="minorHAnsi" w:hAnsiTheme="minorHAnsi" w:cstheme="minorHAnsi"/>
          <w:color w:val="000000" w:themeColor="text1"/>
          <w:sz w:val="22"/>
          <w:szCs w:val="22"/>
        </w:rPr>
        <w:t>/articles/PMC7192386/</w:t>
      </w:r>
    </w:p>
    <w:p w14:paraId="1858C71A"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 xml:space="preserve">Dillon JF, Miller MH, Robinson EM, </w:t>
      </w:r>
      <w:proofErr w:type="spellStart"/>
      <w:r w:rsidRPr="00682C53">
        <w:rPr>
          <w:rFonts w:asciiTheme="minorHAnsi" w:hAnsiTheme="minorHAnsi" w:cstheme="minorHAnsi"/>
          <w:color w:val="000000" w:themeColor="text1"/>
          <w:sz w:val="22"/>
          <w:szCs w:val="22"/>
        </w:rPr>
        <w:t>Hapca</w:t>
      </w:r>
      <w:proofErr w:type="spellEnd"/>
      <w:r w:rsidRPr="00682C53">
        <w:rPr>
          <w:rFonts w:asciiTheme="minorHAnsi" w:hAnsiTheme="minorHAnsi" w:cstheme="minorHAnsi"/>
          <w:color w:val="000000" w:themeColor="text1"/>
          <w:sz w:val="22"/>
          <w:szCs w:val="22"/>
        </w:rPr>
        <w:t xml:space="preserve"> A, </w:t>
      </w:r>
      <w:proofErr w:type="spellStart"/>
      <w:r w:rsidRPr="00682C53">
        <w:rPr>
          <w:rFonts w:asciiTheme="minorHAnsi" w:hAnsiTheme="minorHAnsi" w:cstheme="minorHAnsi"/>
          <w:color w:val="000000" w:themeColor="text1"/>
          <w:sz w:val="22"/>
          <w:szCs w:val="22"/>
        </w:rPr>
        <w:t>Rezaeihemami</w:t>
      </w:r>
      <w:proofErr w:type="spellEnd"/>
      <w:r w:rsidRPr="00682C53">
        <w:rPr>
          <w:rFonts w:asciiTheme="minorHAnsi" w:hAnsiTheme="minorHAnsi" w:cstheme="minorHAnsi"/>
          <w:color w:val="000000" w:themeColor="text1"/>
          <w:sz w:val="22"/>
          <w:szCs w:val="22"/>
        </w:rPr>
        <w:t xml:space="preserve"> M, </w:t>
      </w:r>
      <w:proofErr w:type="spellStart"/>
      <w:r w:rsidRPr="00682C53">
        <w:rPr>
          <w:rFonts w:asciiTheme="minorHAnsi" w:hAnsiTheme="minorHAnsi" w:cstheme="minorHAnsi"/>
          <w:color w:val="000000" w:themeColor="text1"/>
          <w:sz w:val="22"/>
          <w:szCs w:val="22"/>
        </w:rPr>
        <w:t>Weatherburn</w:t>
      </w:r>
      <w:proofErr w:type="spellEnd"/>
      <w:r w:rsidRPr="00682C53">
        <w:rPr>
          <w:rFonts w:asciiTheme="minorHAnsi" w:hAnsiTheme="minorHAnsi" w:cstheme="minorHAnsi"/>
          <w:color w:val="000000" w:themeColor="text1"/>
          <w:sz w:val="22"/>
          <w:szCs w:val="22"/>
        </w:rPr>
        <w:t xml:space="preserve"> C, et al. Intelligent liver function testing (</w:t>
      </w:r>
      <w:proofErr w:type="spellStart"/>
      <w:r w:rsidRPr="00682C53">
        <w:rPr>
          <w:rFonts w:asciiTheme="minorHAnsi" w:hAnsiTheme="minorHAnsi" w:cstheme="minorHAnsi"/>
          <w:color w:val="000000" w:themeColor="text1"/>
          <w:sz w:val="22"/>
          <w:szCs w:val="22"/>
        </w:rPr>
        <w:t>iLFT</w:t>
      </w:r>
      <w:proofErr w:type="spellEnd"/>
      <w:r w:rsidRPr="00682C53">
        <w:rPr>
          <w:rFonts w:asciiTheme="minorHAnsi" w:hAnsiTheme="minorHAnsi" w:cstheme="minorHAnsi"/>
          <w:color w:val="000000" w:themeColor="text1"/>
          <w:sz w:val="22"/>
          <w:szCs w:val="22"/>
        </w:rPr>
        <w:t xml:space="preserve">): A trial of automated diagnosis and staging of liver disease in primary care. J Hepatol [Internet]. 2019 [cited 2023 Jul 28];71(4):699–706. Available from: </w:t>
      </w:r>
      <w:hyperlink r:id="rId19" w:tgtFrame="_new" w:history="1">
        <w:r w:rsidRPr="00682C53">
          <w:rPr>
            <w:rStyle w:val="Hyperlink"/>
            <w:rFonts w:asciiTheme="minorHAnsi" w:hAnsiTheme="minorHAnsi" w:cstheme="minorHAnsi"/>
            <w:color w:val="000000" w:themeColor="text1"/>
            <w:sz w:val="22"/>
            <w:szCs w:val="22"/>
            <w:u w:val="none"/>
          </w:rPr>
          <w:t>http://dx.doi.org/10.1016/j.jhep.2019.05.033</w:t>
        </w:r>
      </w:hyperlink>
    </w:p>
    <w:p w14:paraId="20DAF994"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 xml:space="preserve">Srivastava A, </w:t>
      </w:r>
      <w:proofErr w:type="spellStart"/>
      <w:r w:rsidRPr="00682C53">
        <w:rPr>
          <w:rFonts w:asciiTheme="minorHAnsi" w:hAnsiTheme="minorHAnsi" w:cstheme="minorHAnsi"/>
          <w:color w:val="000000" w:themeColor="text1"/>
          <w:sz w:val="22"/>
          <w:szCs w:val="22"/>
        </w:rPr>
        <w:t>Gailer</w:t>
      </w:r>
      <w:proofErr w:type="spellEnd"/>
      <w:r w:rsidRPr="00682C53">
        <w:rPr>
          <w:rFonts w:asciiTheme="minorHAnsi" w:hAnsiTheme="minorHAnsi" w:cstheme="minorHAnsi"/>
          <w:color w:val="000000" w:themeColor="text1"/>
          <w:sz w:val="22"/>
          <w:szCs w:val="22"/>
        </w:rPr>
        <w:t xml:space="preserve"> R, </w:t>
      </w:r>
      <w:proofErr w:type="spellStart"/>
      <w:r w:rsidRPr="00682C53">
        <w:rPr>
          <w:rFonts w:asciiTheme="minorHAnsi" w:hAnsiTheme="minorHAnsi" w:cstheme="minorHAnsi"/>
          <w:color w:val="000000" w:themeColor="text1"/>
          <w:sz w:val="22"/>
          <w:szCs w:val="22"/>
        </w:rPr>
        <w:t>Tanwar</w:t>
      </w:r>
      <w:proofErr w:type="spellEnd"/>
      <w:r w:rsidRPr="00682C53">
        <w:rPr>
          <w:rFonts w:asciiTheme="minorHAnsi" w:hAnsiTheme="minorHAnsi" w:cstheme="minorHAnsi"/>
          <w:color w:val="000000" w:themeColor="text1"/>
          <w:sz w:val="22"/>
          <w:szCs w:val="22"/>
        </w:rPr>
        <w:t xml:space="preserve"> S, Trembling P, Parkes J, Rodger A, et al. Prospective evaluation of a primary care referral pathway for patients with non-alcoholic fatty liver disease. J Hepatol [Internet]. 2019 Aug [cited 2020 Apr 15];71(2):371–8. Available from: </w:t>
      </w:r>
      <w:hyperlink r:id="rId20" w:tgtFrame="_new" w:history="1">
        <w:r w:rsidRPr="00682C53">
          <w:rPr>
            <w:rStyle w:val="Hyperlink"/>
            <w:rFonts w:asciiTheme="minorHAnsi" w:hAnsiTheme="minorHAnsi" w:cstheme="minorHAnsi"/>
            <w:color w:val="000000" w:themeColor="text1"/>
            <w:sz w:val="22"/>
            <w:szCs w:val="22"/>
            <w:u w:val="none"/>
          </w:rPr>
          <w:t>http://www.ncbi.nlm.nih.gov/pubmed/30965069</w:t>
        </w:r>
      </w:hyperlink>
    </w:p>
    <w:p w14:paraId="0BA56109"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El-</w:t>
      </w:r>
      <w:proofErr w:type="spellStart"/>
      <w:r w:rsidRPr="00682C53">
        <w:rPr>
          <w:rFonts w:asciiTheme="minorHAnsi" w:hAnsiTheme="minorHAnsi" w:cstheme="minorHAnsi"/>
          <w:color w:val="000000" w:themeColor="text1"/>
          <w:sz w:val="22"/>
          <w:szCs w:val="22"/>
        </w:rPr>
        <w:t>Gohary</w:t>
      </w:r>
      <w:proofErr w:type="spellEnd"/>
      <w:r w:rsidRPr="00682C53">
        <w:rPr>
          <w:rFonts w:asciiTheme="minorHAnsi" w:hAnsiTheme="minorHAnsi" w:cstheme="minorHAnsi"/>
          <w:color w:val="000000" w:themeColor="text1"/>
          <w:sz w:val="22"/>
          <w:szCs w:val="22"/>
        </w:rPr>
        <w:t xml:space="preserve"> M, Moore M, Roderick P, Watkins E, Dash J, </w:t>
      </w:r>
      <w:proofErr w:type="spellStart"/>
      <w:r w:rsidRPr="00682C53">
        <w:rPr>
          <w:rFonts w:asciiTheme="minorHAnsi" w:hAnsiTheme="minorHAnsi" w:cstheme="minorHAnsi"/>
          <w:color w:val="000000" w:themeColor="text1"/>
          <w:sz w:val="22"/>
          <w:szCs w:val="22"/>
        </w:rPr>
        <w:t>Reinson</w:t>
      </w:r>
      <w:proofErr w:type="spellEnd"/>
      <w:r w:rsidRPr="00682C53">
        <w:rPr>
          <w:rFonts w:asciiTheme="minorHAnsi" w:hAnsiTheme="minorHAnsi" w:cstheme="minorHAnsi"/>
          <w:color w:val="000000" w:themeColor="text1"/>
          <w:sz w:val="22"/>
          <w:szCs w:val="22"/>
        </w:rPr>
        <w:t xml:space="preserve"> T, et al. Local </w:t>
      </w:r>
      <w:proofErr w:type="gramStart"/>
      <w:r w:rsidRPr="00682C53">
        <w:rPr>
          <w:rFonts w:asciiTheme="minorHAnsi" w:hAnsiTheme="minorHAnsi" w:cstheme="minorHAnsi"/>
          <w:color w:val="000000" w:themeColor="text1"/>
          <w:sz w:val="22"/>
          <w:szCs w:val="22"/>
        </w:rPr>
        <w:t>care</w:t>
      </w:r>
      <w:proofErr w:type="gramEnd"/>
      <w:r w:rsidRPr="00682C53">
        <w:rPr>
          <w:rFonts w:asciiTheme="minorHAnsi" w:hAnsiTheme="minorHAnsi" w:cstheme="minorHAnsi"/>
          <w:color w:val="000000" w:themeColor="text1"/>
          <w:sz w:val="22"/>
          <w:szCs w:val="22"/>
        </w:rPr>
        <w:t xml:space="preserve"> and treatment of liver disease (LOCATE) – A cluster-randomized feasibility study to discover, assess and manage early liver disease in primary care. </w:t>
      </w:r>
      <w:proofErr w:type="spellStart"/>
      <w:r w:rsidRPr="00682C53">
        <w:rPr>
          <w:rFonts w:asciiTheme="minorHAnsi" w:hAnsiTheme="minorHAnsi" w:cstheme="minorHAnsi"/>
          <w:color w:val="000000" w:themeColor="text1"/>
          <w:sz w:val="22"/>
          <w:szCs w:val="22"/>
        </w:rPr>
        <w:t>PLoS</w:t>
      </w:r>
      <w:proofErr w:type="spellEnd"/>
      <w:r w:rsidRPr="00682C53">
        <w:rPr>
          <w:rFonts w:asciiTheme="minorHAnsi" w:hAnsiTheme="minorHAnsi" w:cstheme="minorHAnsi"/>
          <w:color w:val="000000" w:themeColor="text1"/>
          <w:sz w:val="22"/>
          <w:szCs w:val="22"/>
        </w:rPr>
        <w:t xml:space="preserve"> One [Internet]. 2018 Dec 21 [cited 2019 Jul 31];13(12</w:t>
      </w:r>
      <w:proofErr w:type="gramStart"/>
      <w:r w:rsidRPr="00682C53">
        <w:rPr>
          <w:rFonts w:asciiTheme="minorHAnsi" w:hAnsiTheme="minorHAnsi" w:cstheme="minorHAnsi"/>
          <w:color w:val="000000" w:themeColor="text1"/>
          <w:sz w:val="22"/>
          <w:szCs w:val="22"/>
        </w:rPr>
        <w:t>):e</w:t>
      </w:r>
      <w:proofErr w:type="gramEnd"/>
      <w:r w:rsidRPr="00682C53">
        <w:rPr>
          <w:rFonts w:asciiTheme="minorHAnsi" w:hAnsiTheme="minorHAnsi" w:cstheme="minorHAnsi"/>
          <w:color w:val="000000" w:themeColor="text1"/>
          <w:sz w:val="22"/>
          <w:szCs w:val="22"/>
        </w:rPr>
        <w:t xml:space="preserve">0208798. Available from: </w:t>
      </w:r>
      <w:hyperlink r:id="rId21" w:tgtFrame="_new" w:history="1">
        <w:r w:rsidRPr="00682C53">
          <w:rPr>
            <w:rStyle w:val="Hyperlink"/>
            <w:rFonts w:asciiTheme="minorHAnsi" w:hAnsiTheme="minorHAnsi" w:cstheme="minorHAnsi"/>
            <w:color w:val="000000" w:themeColor="text1"/>
            <w:sz w:val="22"/>
            <w:szCs w:val="22"/>
            <w:u w:val="none"/>
          </w:rPr>
          <w:t>http://dx.plos.org/10.1371/journal.pone.0208798</w:t>
        </w:r>
      </w:hyperlink>
    </w:p>
    <w:p w14:paraId="62884792"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 xml:space="preserve">Overview | Cirrhosis in over 16s: assessment and management | Guidance | NICE [Internet]. NICE; 2016 [cited 2019 Jul 29]. Available from: </w:t>
      </w:r>
      <w:hyperlink r:id="rId22" w:tgtFrame="_new" w:history="1">
        <w:r w:rsidRPr="00682C53">
          <w:rPr>
            <w:rStyle w:val="Hyperlink"/>
            <w:rFonts w:asciiTheme="minorHAnsi" w:hAnsiTheme="minorHAnsi" w:cstheme="minorHAnsi"/>
            <w:color w:val="000000" w:themeColor="text1"/>
            <w:sz w:val="22"/>
            <w:szCs w:val="22"/>
            <w:u w:val="none"/>
          </w:rPr>
          <w:t>https://www.nice.org.uk/guidance/ng50</w:t>
        </w:r>
      </w:hyperlink>
    </w:p>
    <w:p w14:paraId="212E99D0"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 xml:space="preserve">3 Committee discussion | </w:t>
      </w:r>
      <w:proofErr w:type="spellStart"/>
      <w:r w:rsidRPr="00682C53">
        <w:rPr>
          <w:rFonts w:asciiTheme="minorHAnsi" w:hAnsiTheme="minorHAnsi" w:cstheme="minorHAnsi"/>
          <w:color w:val="000000" w:themeColor="text1"/>
          <w:sz w:val="22"/>
          <w:szCs w:val="22"/>
        </w:rPr>
        <w:t>FibroScan</w:t>
      </w:r>
      <w:proofErr w:type="spellEnd"/>
      <w:r w:rsidRPr="00682C53">
        <w:rPr>
          <w:rFonts w:asciiTheme="minorHAnsi" w:hAnsiTheme="minorHAnsi" w:cstheme="minorHAnsi"/>
          <w:color w:val="000000" w:themeColor="text1"/>
          <w:sz w:val="22"/>
          <w:szCs w:val="22"/>
        </w:rPr>
        <w:t xml:space="preserve"> for assessing liver fibrosis and cirrhosis outside secondary and specialist care | Guidance | NICE [Internet]. [cited 2024 Mar 11]. Available from: </w:t>
      </w:r>
      <w:hyperlink r:id="rId23" w:anchor="clinical-effectiveness" w:tgtFrame="_new" w:history="1">
        <w:r w:rsidRPr="00682C53">
          <w:rPr>
            <w:rStyle w:val="Hyperlink"/>
            <w:rFonts w:asciiTheme="minorHAnsi" w:hAnsiTheme="minorHAnsi" w:cstheme="minorHAnsi"/>
            <w:color w:val="000000" w:themeColor="text1"/>
            <w:sz w:val="22"/>
            <w:szCs w:val="22"/>
            <w:u w:val="none"/>
          </w:rPr>
          <w:t>https://www.nice.org.uk/guidance/dg48/chapter/3-Committee-discussion#clinical-effectiveness</w:t>
        </w:r>
      </w:hyperlink>
    </w:p>
    <w:p w14:paraId="13CF7803"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proofErr w:type="spellStart"/>
      <w:r w:rsidRPr="00682C53">
        <w:rPr>
          <w:rFonts w:asciiTheme="minorHAnsi" w:hAnsiTheme="minorHAnsi" w:cstheme="minorHAnsi"/>
          <w:color w:val="000000" w:themeColor="text1"/>
          <w:sz w:val="22"/>
          <w:szCs w:val="22"/>
        </w:rPr>
        <w:t>Forlano</w:t>
      </w:r>
      <w:proofErr w:type="spellEnd"/>
      <w:r w:rsidRPr="00682C53">
        <w:rPr>
          <w:rFonts w:asciiTheme="minorHAnsi" w:hAnsiTheme="minorHAnsi" w:cstheme="minorHAnsi"/>
          <w:color w:val="000000" w:themeColor="text1"/>
          <w:sz w:val="22"/>
          <w:szCs w:val="22"/>
        </w:rPr>
        <w:t xml:space="preserve"> R, </w:t>
      </w:r>
      <w:proofErr w:type="spellStart"/>
      <w:r w:rsidRPr="00682C53">
        <w:rPr>
          <w:rFonts w:asciiTheme="minorHAnsi" w:hAnsiTheme="minorHAnsi" w:cstheme="minorHAnsi"/>
          <w:color w:val="000000" w:themeColor="text1"/>
          <w:sz w:val="22"/>
          <w:szCs w:val="22"/>
        </w:rPr>
        <w:t>Stanic</w:t>
      </w:r>
      <w:proofErr w:type="spellEnd"/>
      <w:r w:rsidRPr="00682C53">
        <w:rPr>
          <w:rFonts w:asciiTheme="minorHAnsi" w:hAnsiTheme="minorHAnsi" w:cstheme="minorHAnsi"/>
          <w:color w:val="000000" w:themeColor="text1"/>
          <w:sz w:val="22"/>
          <w:szCs w:val="22"/>
        </w:rPr>
        <w:t xml:space="preserve"> T, </w:t>
      </w:r>
      <w:proofErr w:type="spellStart"/>
      <w:r w:rsidRPr="00682C53">
        <w:rPr>
          <w:rFonts w:asciiTheme="minorHAnsi" w:hAnsiTheme="minorHAnsi" w:cstheme="minorHAnsi"/>
          <w:color w:val="000000" w:themeColor="text1"/>
          <w:sz w:val="22"/>
          <w:szCs w:val="22"/>
        </w:rPr>
        <w:t>Jayawardana</w:t>
      </w:r>
      <w:proofErr w:type="spellEnd"/>
      <w:r w:rsidRPr="00682C53">
        <w:rPr>
          <w:rFonts w:asciiTheme="minorHAnsi" w:hAnsiTheme="minorHAnsi" w:cstheme="minorHAnsi"/>
          <w:color w:val="000000" w:themeColor="text1"/>
          <w:sz w:val="22"/>
          <w:szCs w:val="22"/>
        </w:rPr>
        <w:t xml:space="preserve"> S, </w:t>
      </w:r>
      <w:proofErr w:type="spellStart"/>
      <w:r w:rsidRPr="00682C53">
        <w:rPr>
          <w:rFonts w:asciiTheme="minorHAnsi" w:hAnsiTheme="minorHAnsi" w:cstheme="minorHAnsi"/>
          <w:color w:val="000000" w:themeColor="text1"/>
          <w:sz w:val="22"/>
          <w:szCs w:val="22"/>
        </w:rPr>
        <w:t>Mullish</w:t>
      </w:r>
      <w:proofErr w:type="spellEnd"/>
      <w:r w:rsidRPr="00682C53">
        <w:rPr>
          <w:rFonts w:asciiTheme="minorHAnsi" w:hAnsiTheme="minorHAnsi" w:cstheme="minorHAnsi"/>
          <w:color w:val="000000" w:themeColor="text1"/>
          <w:sz w:val="22"/>
          <w:szCs w:val="22"/>
        </w:rPr>
        <w:t xml:space="preserve"> BH, Yee M, </w:t>
      </w:r>
      <w:proofErr w:type="spellStart"/>
      <w:r w:rsidRPr="00682C53">
        <w:rPr>
          <w:rFonts w:asciiTheme="minorHAnsi" w:hAnsiTheme="minorHAnsi" w:cstheme="minorHAnsi"/>
          <w:color w:val="000000" w:themeColor="text1"/>
          <w:sz w:val="22"/>
          <w:szCs w:val="22"/>
        </w:rPr>
        <w:t>Mossialos</w:t>
      </w:r>
      <w:proofErr w:type="spellEnd"/>
      <w:r w:rsidRPr="00682C53">
        <w:rPr>
          <w:rFonts w:asciiTheme="minorHAnsi" w:hAnsiTheme="minorHAnsi" w:cstheme="minorHAnsi"/>
          <w:color w:val="000000" w:themeColor="text1"/>
          <w:sz w:val="22"/>
          <w:szCs w:val="22"/>
        </w:rPr>
        <w:t xml:space="preserve"> E, et al. A prospective study on the prevalence of MASLD in people with type-2 diabetes in the community. Cost effectiveness of screening strategies. Liver Int. </w:t>
      </w:r>
      <w:proofErr w:type="gramStart"/>
      <w:r w:rsidRPr="00682C53">
        <w:rPr>
          <w:rFonts w:asciiTheme="minorHAnsi" w:hAnsiTheme="minorHAnsi" w:cstheme="minorHAnsi"/>
          <w:color w:val="000000" w:themeColor="text1"/>
          <w:sz w:val="22"/>
          <w:szCs w:val="22"/>
        </w:rPr>
        <w:t>2023;00:1</w:t>
      </w:r>
      <w:proofErr w:type="gramEnd"/>
      <w:r w:rsidRPr="00682C53">
        <w:rPr>
          <w:rFonts w:asciiTheme="minorHAnsi" w:hAnsiTheme="minorHAnsi" w:cstheme="minorHAnsi"/>
          <w:color w:val="000000" w:themeColor="text1"/>
          <w:sz w:val="22"/>
          <w:szCs w:val="22"/>
        </w:rPr>
        <w:t>–11.</w:t>
      </w:r>
    </w:p>
    <w:p w14:paraId="193BCE74"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 xml:space="preserve">Srivastava A, Jong S, Gola A, </w:t>
      </w:r>
      <w:proofErr w:type="spellStart"/>
      <w:r w:rsidRPr="00682C53">
        <w:rPr>
          <w:rFonts w:asciiTheme="minorHAnsi" w:hAnsiTheme="minorHAnsi" w:cstheme="minorHAnsi"/>
          <w:color w:val="000000" w:themeColor="text1"/>
          <w:sz w:val="22"/>
          <w:szCs w:val="22"/>
        </w:rPr>
        <w:t>Gailer</w:t>
      </w:r>
      <w:proofErr w:type="spellEnd"/>
      <w:r w:rsidRPr="00682C53">
        <w:rPr>
          <w:rFonts w:asciiTheme="minorHAnsi" w:hAnsiTheme="minorHAnsi" w:cstheme="minorHAnsi"/>
          <w:color w:val="000000" w:themeColor="text1"/>
          <w:sz w:val="22"/>
          <w:szCs w:val="22"/>
        </w:rPr>
        <w:t xml:space="preserve"> R, Morgan S, Sennett K, et al. Cost-comparison analysis of FIB-4, ELF and </w:t>
      </w:r>
      <w:proofErr w:type="spellStart"/>
      <w:r w:rsidRPr="00682C53">
        <w:rPr>
          <w:rFonts w:asciiTheme="minorHAnsi" w:hAnsiTheme="minorHAnsi" w:cstheme="minorHAnsi"/>
          <w:color w:val="000000" w:themeColor="text1"/>
          <w:sz w:val="22"/>
          <w:szCs w:val="22"/>
        </w:rPr>
        <w:t>fibroscan</w:t>
      </w:r>
      <w:proofErr w:type="spellEnd"/>
      <w:r w:rsidRPr="00682C53">
        <w:rPr>
          <w:rFonts w:asciiTheme="minorHAnsi" w:hAnsiTheme="minorHAnsi" w:cstheme="minorHAnsi"/>
          <w:color w:val="000000" w:themeColor="text1"/>
          <w:sz w:val="22"/>
          <w:szCs w:val="22"/>
        </w:rPr>
        <w:t xml:space="preserve"> in community pathways for non-alcoholic fatty liver disease. BMC Gastroenterol [Internet]. 2019 [cited 2023 May 2];19(1). Available from: </w:t>
      </w:r>
      <w:hyperlink r:id="rId24" w:tgtFrame="_new" w:history="1">
        <w:r w:rsidRPr="00682C53">
          <w:rPr>
            <w:rStyle w:val="Hyperlink"/>
            <w:rFonts w:asciiTheme="minorHAnsi" w:hAnsiTheme="minorHAnsi" w:cstheme="minorHAnsi"/>
            <w:color w:val="000000" w:themeColor="text1"/>
            <w:sz w:val="22"/>
            <w:szCs w:val="22"/>
            <w:u w:val="none"/>
          </w:rPr>
          <w:t>https://doi.org/10.1186/s12876-019-1039-4</w:t>
        </w:r>
      </w:hyperlink>
    </w:p>
    <w:p w14:paraId="266BF6EF"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proofErr w:type="spellStart"/>
      <w:r w:rsidRPr="00682C53">
        <w:rPr>
          <w:rFonts w:asciiTheme="minorHAnsi" w:hAnsiTheme="minorHAnsi" w:cstheme="minorHAnsi"/>
          <w:color w:val="000000" w:themeColor="text1"/>
          <w:sz w:val="22"/>
          <w:szCs w:val="22"/>
        </w:rPr>
        <w:t>Tanajewski</w:t>
      </w:r>
      <w:proofErr w:type="spellEnd"/>
      <w:r w:rsidRPr="00682C53">
        <w:rPr>
          <w:rFonts w:asciiTheme="minorHAnsi" w:hAnsiTheme="minorHAnsi" w:cstheme="minorHAnsi"/>
          <w:color w:val="000000" w:themeColor="text1"/>
          <w:sz w:val="22"/>
          <w:szCs w:val="22"/>
        </w:rPr>
        <w:t xml:space="preserve"> L, Harris R, Harman DJ, </w:t>
      </w:r>
      <w:proofErr w:type="spellStart"/>
      <w:r w:rsidRPr="00682C53">
        <w:rPr>
          <w:rFonts w:asciiTheme="minorHAnsi" w:hAnsiTheme="minorHAnsi" w:cstheme="minorHAnsi"/>
          <w:color w:val="000000" w:themeColor="text1"/>
          <w:sz w:val="22"/>
          <w:szCs w:val="22"/>
        </w:rPr>
        <w:t>Aithal</w:t>
      </w:r>
      <w:proofErr w:type="spellEnd"/>
      <w:r w:rsidRPr="00682C53">
        <w:rPr>
          <w:rFonts w:asciiTheme="minorHAnsi" w:hAnsiTheme="minorHAnsi" w:cstheme="minorHAnsi"/>
          <w:color w:val="000000" w:themeColor="text1"/>
          <w:sz w:val="22"/>
          <w:szCs w:val="22"/>
        </w:rPr>
        <w:t xml:space="preserve"> GP, Card TR, </w:t>
      </w:r>
      <w:proofErr w:type="spellStart"/>
      <w:r w:rsidRPr="00682C53">
        <w:rPr>
          <w:rFonts w:asciiTheme="minorHAnsi" w:hAnsiTheme="minorHAnsi" w:cstheme="minorHAnsi"/>
          <w:color w:val="000000" w:themeColor="text1"/>
          <w:sz w:val="22"/>
          <w:szCs w:val="22"/>
        </w:rPr>
        <w:t>Gkountouras</w:t>
      </w:r>
      <w:proofErr w:type="spellEnd"/>
      <w:r w:rsidRPr="00682C53">
        <w:rPr>
          <w:rFonts w:asciiTheme="minorHAnsi" w:hAnsiTheme="minorHAnsi" w:cstheme="minorHAnsi"/>
          <w:color w:val="000000" w:themeColor="text1"/>
          <w:sz w:val="22"/>
          <w:szCs w:val="22"/>
        </w:rPr>
        <w:t xml:space="preserve"> G, et al. Economic evaluation of a community-based diagnostic pathway to stratify adults for non-alcoholic fatty liver disease: a Markov model informed by a feasibility study. BMJ Open [Internet]. 2017 [cited 2023 Dec 3</w:t>
      </w:r>
      <w:proofErr w:type="gramStart"/>
      <w:r w:rsidRPr="00682C53">
        <w:rPr>
          <w:rFonts w:asciiTheme="minorHAnsi" w:hAnsiTheme="minorHAnsi" w:cstheme="minorHAnsi"/>
          <w:color w:val="000000" w:themeColor="text1"/>
          <w:sz w:val="22"/>
          <w:szCs w:val="22"/>
        </w:rPr>
        <w:t>];7:15659</w:t>
      </w:r>
      <w:proofErr w:type="gramEnd"/>
      <w:r w:rsidRPr="00682C53">
        <w:rPr>
          <w:rFonts w:asciiTheme="minorHAnsi" w:hAnsiTheme="minorHAnsi" w:cstheme="minorHAnsi"/>
          <w:color w:val="000000" w:themeColor="text1"/>
          <w:sz w:val="22"/>
          <w:szCs w:val="22"/>
        </w:rPr>
        <w:t xml:space="preserve">. Available from: </w:t>
      </w:r>
      <w:hyperlink r:id="rId25" w:tgtFrame="_new" w:history="1">
        <w:r w:rsidRPr="00682C53">
          <w:rPr>
            <w:rStyle w:val="Hyperlink"/>
            <w:rFonts w:asciiTheme="minorHAnsi" w:hAnsiTheme="minorHAnsi" w:cstheme="minorHAnsi"/>
            <w:color w:val="000000" w:themeColor="text1"/>
            <w:sz w:val="22"/>
            <w:szCs w:val="22"/>
            <w:u w:val="none"/>
          </w:rPr>
          <w:t>http://bmjopen.bmj.com/</w:t>
        </w:r>
      </w:hyperlink>
    </w:p>
    <w:p w14:paraId="16ECEA8B"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 xml:space="preserve">Research J, Chan A-W, </w:t>
      </w:r>
      <w:proofErr w:type="spellStart"/>
      <w:r w:rsidRPr="00682C53">
        <w:rPr>
          <w:rFonts w:asciiTheme="minorHAnsi" w:hAnsiTheme="minorHAnsi" w:cstheme="minorHAnsi"/>
          <w:color w:val="000000" w:themeColor="text1"/>
          <w:sz w:val="22"/>
          <w:szCs w:val="22"/>
        </w:rPr>
        <w:t>Tetzlaff</w:t>
      </w:r>
      <w:proofErr w:type="spellEnd"/>
      <w:r w:rsidRPr="00682C53">
        <w:rPr>
          <w:rFonts w:asciiTheme="minorHAnsi" w:hAnsiTheme="minorHAnsi" w:cstheme="minorHAnsi"/>
          <w:color w:val="000000" w:themeColor="text1"/>
          <w:sz w:val="22"/>
          <w:szCs w:val="22"/>
        </w:rPr>
        <w:t xml:space="preserve"> JM, </w:t>
      </w:r>
      <w:proofErr w:type="spellStart"/>
      <w:r w:rsidRPr="00682C53">
        <w:rPr>
          <w:rFonts w:asciiTheme="minorHAnsi" w:hAnsiTheme="minorHAnsi" w:cstheme="minorHAnsi"/>
          <w:color w:val="000000" w:themeColor="text1"/>
          <w:sz w:val="22"/>
          <w:szCs w:val="22"/>
        </w:rPr>
        <w:t>Gøtzsche</w:t>
      </w:r>
      <w:proofErr w:type="spellEnd"/>
      <w:r w:rsidRPr="00682C53">
        <w:rPr>
          <w:rFonts w:asciiTheme="minorHAnsi" w:hAnsiTheme="minorHAnsi" w:cstheme="minorHAnsi"/>
          <w:color w:val="000000" w:themeColor="text1"/>
          <w:sz w:val="22"/>
          <w:szCs w:val="22"/>
        </w:rPr>
        <w:t xml:space="preserve"> PC, Altman DG, Mann H, et al. RESEARCH METHODS AND REPORTING SPIRIT 2013 explanation and elaboration: guidance for protocols of clinical trials. [cited 2024 Apr 25]. Available from: </w:t>
      </w:r>
      <w:hyperlink r:id="rId26" w:tgtFrame="_new" w:history="1">
        <w:r w:rsidRPr="00682C53">
          <w:rPr>
            <w:rStyle w:val="Hyperlink"/>
            <w:rFonts w:asciiTheme="minorHAnsi" w:hAnsiTheme="minorHAnsi" w:cstheme="minorHAnsi"/>
            <w:color w:val="000000" w:themeColor="text1"/>
            <w:sz w:val="22"/>
            <w:szCs w:val="22"/>
            <w:u w:val="none"/>
          </w:rPr>
          <w:t>http://www.bmj.com/</w:t>
        </w:r>
      </w:hyperlink>
    </w:p>
    <w:p w14:paraId="19EEA76C"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 xml:space="preserve">Mansour D, Grapes A, </w:t>
      </w:r>
      <w:proofErr w:type="spellStart"/>
      <w:r w:rsidRPr="00682C53">
        <w:rPr>
          <w:rFonts w:asciiTheme="minorHAnsi" w:hAnsiTheme="minorHAnsi" w:cstheme="minorHAnsi"/>
          <w:color w:val="000000" w:themeColor="text1"/>
          <w:sz w:val="22"/>
          <w:szCs w:val="22"/>
        </w:rPr>
        <w:t>Herscovitz</w:t>
      </w:r>
      <w:proofErr w:type="spellEnd"/>
      <w:r w:rsidRPr="00682C53">
        <w:rPr>
          <w:rFonts w:asciiTheme="minorHAnsi" w:hAnsiTheme="minorHAnsi" w:cstheme="minorHAnsi"/>
          <w:color w:val="000000" w:themeColor="text1"/>
          <w:sz w:val="22"/>
          <w:szCs w:val="22"/>
        </w:rPr>
        <w:t xml:space="preserve"> M, Cassidy P, </w:t>
      </w:r>
      <w:proofErr w:type="spellStart"/>
      <w:r w:rsidRPr="00682C53">
        <w:rPr>
          <w:rFonts w:asciiTheme="minorHAnsi" w:hAnsiTheme="minorHAnsi" w:cstheme="minorHAnsi"/>
          <w:color w:val="000000" w:themeColor="text1"/>
          <w:sz w:val="22"/>
          <w:szCs w:val="22"/>
        </w:rPr>
        <w:t>Vernazza</w:t>
      </w:r>
      <w:proofErr w:type="spellEnd"/>
      <w:r w:rsidRPr="00682C53">
        <w:rPr>
          <w:rFonts w:asciiTheme="minorHAnsi" w:hAnsiTheme="minorHAnsi" w:cstheme="minorHAnsi"/>
          <w:color w:val="000000" w:themeColor="text1"/>
          <w:sz w:val="22"/>
          <w:szCs w:val="22"/>
        </w:rPr>
        <w:t xml:space="preserve"> J, Broad A, et al. Embedding assessment of liver fibrosis into routine diabetic review in primary care. JHEP Reports. 2021 Aug 1;3(4).</w:t>
      </w:r>
    </w:p>
    <w:p w14:paraId="7399944D" w14:textId="77777777" w:rsidR="00111A23" w:rsidRPr="00682C53" w:rsidRDefault="00111A23" w:rsidP="00111A23">
      <w:pPr>
        <w:pStyle w:val="ListParagraph"/>
        <w:numPr>
          <w:ilvl w:val="0"/>
          <w:numId w:val="16"/>
        </w:numPr>
        <w:spacing w:before="100" w:beforeAutospacing="1" w:after="100" w:afterAutospacing="1"/>
        <w:rPr>
          <w:rFonts w:eastAsia="Times New Roman" w:cstheme="minorHAnsi"/>
          <w:color w:val="000000" w:themeColor="text1"/>
          <w:sz w:val="22"/>
          <w:szCs w:val="22"/>
        </w:rPr>
      </w:pPr>
      <w:r w:rsidRPr="00682C53">
        <w:rPr>
          <w:rFonts w:eastAsia="Times New Roman" w:cstheme="minorHAnsi"/>
          <w:color w:val="000000" w:themeColor="text1"/>
          <w:sz w:val="22"/>
          <w:szCs w:val="22"/>
        </w:rPr>
        <w:lastRenderedPageBreak/>
        <w:t xml:space="preserve">Create a blocked randomisation list | Sealed Envelope [Internet]. [cited 2022 Apr 25]. Available from: </w:t>
      </w:r>
      <w:hyperlink r:id="rId27" w:tgtFrame="_new" w:history="1">
        <w:r w:rsidRPr="00682C53">
          <w:rPr>
            <w:rFonts w:eastAsia="Times New Roman" w:cstheme="minorHAnsi"/>
            <w:color w:val="000000" w:themeColor="text1"/>
            <w:sz w:val="22"/>
            <w:szCs w:val="22"/>
          </w:rPr>
          <w:t>https://www.sealedenvelope.com/simple-randomiser/v1/lists</w:t>
        </w:r>
      </w:hyperlink>
    </w:p>
    <w:p w14:paraId="65DB4568" w14:textId="77777777" w:rsidR="00111A23" w:rsidRPr="00682C53" w:rsidRDefault="00111A23" w:rsidP="00111A23">
      <w:pPr>
        <w:pStyle w:val="ListParagraph"/>
        <w:numPr>
          <w:ilvl w:val="0"/>
          <w:numId w:val="16"/>
        </w:numPr>
        <w:spacing w:before="100" w:beforeAutospacing="1" w:after="100" w:afterAutospacing="1"/>
        <w:rPr>
          <w:rFonts w:eastAsia="Times New Roman" w:cstheme="minorHAnsi"/>
          <w:color w:val="000000" w:themeColor="text1"/>
          <w:sz w:val="22"/>
          <w:szCs w:val="22"/>
        </w:rPr>
      </w:pPr>
      <w:r w:rsidRPr="00682C53">
        <w:rPr>
          <w:rFonts w:eastAsia="Times New Roman" w:cstheme="minorHAnsi"/>
          <w:color w:val="000000" w:themeColor="text1"/>
          <w:sz w:val="22"/>
          <w:szCs w:val="22"/>
        </w:rPr>
        <w:t>Lim JK, Flamm SL, Singh S, Falck-</w:t>
      </w:r>
      <w:proofErr w:type="spellStart"/>
      <w:r w:rsidRPr="00682C53">
        <w:rPr>
          <w:rFonts w:eastAsia="Times New Roman" w:cstheme="minorHAnsi"/>
          <w:color w:val="000000" w:themeColor="text1"/>
          <w:sz w:val="22"/>
          <w:szCs w:val="22"/>
        </w:rPr>
        <w:t>Ytter</w:t>
      </w:r>
      <w:proofErr w:type="spellEnd"/>
      <w:r w:rsidRPr="00682C53">
        <w:rPr>
          <w:rFonts w:eastAsia="Times New Roman" w:cstheme="minorHAnsi"/>
          <w:color w:val="000000" w:themeColor="text1"/>
          <w:sz w:val="22"/>
          <w:szCs w:val="22"/>
        </w:rPr>
        <w:t xml:space="preserve"> YT, Gerson L, Hirano I, et al. American Gastroenterological Association Institute Guideline on the Role of Elastography in the Evaluation of Liver Fibrosis. Gastroenterology [Internet]. 2017 May 1 [cited 2024 Jan 31];152(6):1536–43. Available from: </w:t>
      </w:r>
      <w:hyperlink r:id="rId28" w:tgtFrame="_new" w:history="1">
        <w:r w:rsidRPr="00682C53">
          <w:rPr>
            <w:rFonts w:eastAsia="Times New Roman" w:cstheme="minorHAnsi"/>
            <w:color w:val="000000" w:themeColor="text1"/>
            <w:sz w:val="22"/>
            <w:szCs w:val="22"/>
          </w:rPr>
          <w:t>http://www.gastrojournal.org/article/S0016508517303268/fulltext</w:t>
        </w:r>
      </w:hyperlink>
    </w:p>
    <w:p w14:paraId="2802954D" w14:textId="77777777" w:rsidR="00111A23" w:rsidRPr="00682C53" w:rsidRDefault="00111A23" w:rsidP="00111A23">
      <w:pPr>
        <w:pStyle w:val="ListParagraph"/>
        <w:numPr>
          <w:ilvl w:val="0"/>
          <w:numId w:val="16"/>
        </w:numPr>
        <w:spacing w:before="100" w:beforeAutospacing="1" w:after="100" w:afterAutospacing="1"/>
        <w:rPr>
          <w:rFonts w:eastAsia="Times New Roman" w:cstheme="minorHAnsi"/>
          <w:color w:val="000000" w:themeColor="text1"/>
          <w:sz w:val="22"/>
          <w:szCs w:val="22"/>
        </w:rPr>
      </w:pPr>
      <w:proofErr w:type="spellStart"/>
      <w:r w:rsidRPr="00682C53">
        <w:rPr>
          <w:rFonts w:eastAsia="Times New Roman" w:cstheme="minorHAnsi"/>
          <w:color w:val="000000" w:themeColor="text1"/>
          <w:sz w:val="22"/>
          <w:szCs w:val="22"/>
        </w:rPr>
        <w:t>Charlson</w:t>
      </w:r>
      <w:proofErr w:type="spellEnd"/>
      <w:r w:rsidRPr="00682C53">
        <w:rPr>
          <w:rFonts w:eastAsia="Times New Roman" w:cstheme="minorHAnsi"/>
          <w:color w:val="000000" w:themeColor="text1"/>
          <w:sz w:val="22"/>
          <w:szCs w:val="22"/>
        </w:rPr>
        <w:t xml:space="preserve"> ME, Pompei P, Ales KL, </w:t>
      </w:r>
      <w:proofErr w:type="spellStart"/>
      <w:r w:rsidRPr="00682C53">
        <w:rPr>
          <w:rFonts w:eastAsia="Times New Roman" w:cstheme="minorHAnsi"/>
          <w:color w:val="000000" w:themeColor="text1"/>
          <w:sz w:val="22"/>
          <w:szCs w:val="22"/>
        </w:rPr>
        <w:t>MacKenzie</w:t>
      </w:r>
      <w:proofErr w:type="spellEnd"/>
      <w:r w:rsidRPr="00682C53">
        <w:rPr>
          <w:rFonts w:eastAsia="Times New Roman" w:cstheme="minorHAnsi"/>
          <w:color w:val="000000" w:themeColor="text1"/>
          <w:sz w:val="22"/>
          <w:szCs w:val="22"/>
        </w:rPr>
        <w:t xml:space="preserve"> CR. A new method of classifying prognostic comorbidity in longitudinal studies: development and validation. J Chronic Dis [Internet]. 1987 [cited 2024 Jan 31];40(5):373–83. Available from: </w:t>
      </w:r>
      <w:hyperlink r:id="rId29" w:tgtFrame="_new" w:history="1">
        <w:r w:rsidRPr="00682C53">
          <w:rPr>
            <w:rFonts w:eastAsia="Times New Roman" w:cstheme="minorHAnsi"/>
            <w:color w:val="000000" w:themeColor="text1"/>
            <w:sz w:val="22"/>
            <w:szCs w:val="22"/>
          </w:rPr>
          <w:t>https://pubmed.ncbi.nlm.nih.gov/3558716/</w:t>
        </w:r>
      </w:hyperlink>
    </w:p>
    <w:p w14:paraId="062681BE" w14:textId="77777777" w:rsidR="00111A23" w:rsidRPr="00682C53" w:rsidRDefault="00111A23" w:rsidP="00111A23">
      <w:pPr>
        <w:pStyle w:val="ListParagraph"/>
        <w:numPr>
          <w:ilvl w:val="0"/>
          <w:numId w:val="16"/>
        </w:numPr>
        <w:spacing w:before="100" w:beforeAutospacing="1" w:after="100" w:afterAutospacing="1"/>
        <w:rPr>
          <w:rFonts w:eastAsia="Times New Roman" w:cstheme="minorHAnsi"/>
          <w:color w:val="000000" w:themeColor="text1"/>
          <w:sz w:val="22"/>
          <w:szCs w:val="22"/>
        </w:rPr>
      </w:pPr>
      <w:proofErr w:type="spellStart"/>
      <w:r w:rsidRPr="00682C53">
        <w:rPr>
          <w:rFonts w:eastAsia="Times New Roman" w:cstheme="minorHAnsi"/>
          <w:color w:val="000000" w:themeColor="text1"/>
          <w:sz w:val="22"/>
          <w:szCs w:val="22"/>
        </w:rPr>
        <w:t>Nowakowska</w:t>
      </w:r>
      <w:proofErr w:type="spellEnd"/>
      <w:r w:rsidRPr="00682C53">
        <w:rPr>
          <w:rFonts w:eastAsia="Times New Roman" w:cstheme="minorHAnsi"/>
          <w:color w:val="000000" w:themeColor="text1"/>
          <w:sz w:val="22"/>
          <w:szCs w:val="22"/>
        </w:rPr>
        <w:t xml:space="preserve"> M, </w:t>
      </w:r>
      <w:proofErr w:type="spellStart"/>
      <w:r w:rsidRPr="00682C53">
        <w:rPr>
          <w:rFonts w:eastAsia="Times New Roman" w:cstheme="minorHAnsi"/>
          <w:color w:val="000000" w:themeColor="text1"/>
          <w:sz w:val="22"/>
          <w:szCs w:val="22"/>
        </w:rPr>
        <w:t>Zghebi</w:t>
      </w:r>
      <w:proofErr w:type="spellEnd"/>
      <w:r w:rsidRPr="00682C53">
        <w:rPr>
          <w:rFonts w:eastAsia="Times New Roman" w:cstheme="minorHAnsi"/>
          <w:color w:val="000000" w:themeColor="text1"/>
          <w:sz w:val="22"/>
          <w:szCs w:val="22"/>
        </w:rPr>
        <w:t xml:space="preserve"> SS, Ashcroft DM, Buchan I, Chew-Graham C, Holt T, et al. The comorbidity burden of type 2 diabetes mellitus: patterns, </w:t>
      </w:r>
      <w:proofErr w:type="gramStart"/>
      <w:r w:rsidRPr="00682C53">
        <w:rPr>
          <w:rFonts w:eastAsia="Times New Roman" w:cstheme="minorHAnsi"/>
          <w:color w:val="000000" w:themeColor="text1"/>
          <w:sz w:val="22"/>
          <w:szCs w:val="22"/>
        </w:rPr>
        <w:t>clusters</w:t>
      </w:r>
      <w:proofErr w:type="gramEnd"/>
      <w:r w:rsidRPr="00682C53">
        <w:rPr>
          <w:rFonts w:eastAsia="Times New Roman" w:cstheme="minorHAnsi"/>
          <w:color w:val="000000" w:themeColor="text1"/>
          <w:sz w:val="22"/>
          <w:szCs w:val="22"/>
        </w:rPr>
        <w:t xml:space="preserve"> and predictions from a large English primary care cohort. [cited 2024 Jan 31]. Available from: </w:t>
      </w:r>
      <w:hyperlink r:id="rId30" w:tgtFrame="_new" w:history="1">
        <w:r w:rsidRPr="00682C53">
          <w:rPr>
            <w:rFonts w:eastAsia="Times New Roman" w:cstheme="minorHAnsi"/>
            <w:color w:val="000000" w:themeColor="text1"/>
            <w:sz w:val="22"/>
            <w:szCs w:val="22"/>
          </w:rPr>
          <w:t>https://doi.org/10.1186/s12916-019-1373-y</w:t>
        </w:r>
      </w:hyperlink>
    </w:p>
    <w:p w14:paraId="0E4C168A" w14:textId="77777777" w:rsidR="00111A23" w:rsidRPr="00682C53" w:rsidRDefault="00111A23" w:rsidP="00111A23">
      <w:pPr>
        <w:pStyle w:val="ListParagraph"/>
        <w:numPr>
          <w:ilvl w:val="0"/>
          <w:numId w:val="16"/>
        </w:numPr>
        <w:spacing w:before="100" w:beforeAutospacing="1" w:after="100" w:afterAutospacing="1"/>
        <w:rPr>
          <w:rFonts w:eastAsia="Times New Roman" w:cstheme="minorHAnsi"/>
          <w:color w:val="000000" w:themeColor="text1"/>
          <w:sz w:val="22"/>
          <w:szCs w:val="22"/>
        </w:rPr>
      </w:pPr>
      <w:r w:rsidRPr="00682C53">
        <w:rPr>
          <w:rFonts w:eastAsia="Times New Roman" w:cstheme="minorHAnsi"/>
          <w:color w:val="000000" w:themeColor="text1"/>
          <w:sz w:val="22"/>
          <w:szCs w:val="22"/>
        </w:rPr>
        <w:t>Brody T. Placebo Arm as Part of Clinical Trial Design. Clin Trials. 2016 Jan 1;155–72.</w:t>
      </w:r>
    </w:p>
    <w:p w14:paraId="18096EAC" w14:textId="77777777" w:rsidR="00111A23" w:rsidRPr="00682C53" w:rsidRDefault="00111A23" w:rsidP="00111A23">
      <w:pPr>
        <w:pStyle w:val="ListParagraph"/>
        <w:numPr>
          <w:ilvl w:val="0"/>
          <w:numId w:val="16"/>
        </w:numPr>
        <w:spacing w:before="100" w:beforeAutospacing="1" w:after="100" w:afterAutospacing="1"/>
        <w:rPr>
          <w:rFonts w:eastAsia="Times New Roman" w:cstheme="minorHAnsi"/>
          <w:color w:val="000000" w:themeColor="text1"/>
          <w:sz w:val="22"/>
          <w:szCs w:val="22"/>
        </w:rPr>
      </w:pPr>
      <w:r w:rsidRPr="00682C53">
        <w:rPr>
          <w:rFonts w:eastAsia="Times New Roman" w:cstheme="minorHAnsi"/>
          <w:color w:val="000000" w:themeColor="text1"/>
          <w:sz w:val="22"/>
          <w:szCs w:val="22"/>
        </w:rPr>
        <w:t xml:space="preserve">Polsky D, Glick H. </w:t>
      </w:r>
      <w:proofErr w:type="gramStart"/>
      <w:r w:rsidRPr="00682C53">
        <w:rPr>
          <w:rFonts w:eastAsia="Times New Roman" w:cstheme="minorHAnsi"/>
          <w:color w:val="000000" w:themeColor="text1"/>
          <w:sz w:val="22"/>
          <w:szCs w:val="22"/>
        </w:rPr>
        <w:t>Costing</w:t>
      </w:r>
      <w:proofErr w:type="gramEnd"/>
      <w:r w:rsidRPr="00682C53">
        <w:rPr>
          <w:rFonts w:eastAsia="Times New Roman" w:cstheme="minorHAnsi"/>
          <w:color w:val="000000" w:themeColor="text1"/>
          <w:sz w:val="22"/>
          <w:szCs w:val="22"/>
        </w:rPr>
        <w:t xml:space="preserve"> and cost analysis in randomized controlled trials: Caveat emptor. Pharmacoeconomics [Internet]. 2009 Sep 17 [cited 2022 Apr 20];27(3):179–88. Available from: https://link.springer.com/article/10.2165/00019053-200927030-00001</w:t>
      </w:r>
    </w:p>
    <w:p w14:paraId="3CE77B5A" w14:textId="77777777" w:rsidR="00111A23" w:rsidRPr="00682C53" w:rsidRDefault="00111A23" w:rsidP="00111A23">
      <w:pPr>
        <w:pStyle w:val="ListParagraph"/>
        <w:numPr>
          <w:ilvl w:val="0"/>
          <w:numId w:val="16"/>
        </w:numPr>
        <w:spacing w:before="100" w:beforeAutospacing="1" w:after="100" w:afterAutospacing="1"/>
        <w:rPr>
          <w:rFonts w:eastAsia="Times New Roman" w:cstheme="minorHAnsi"/>
          <w:color w:val="000000" w:themeColor="text1"/>
          <w:sz w:val="22"/>
          <w:szCs w:val="22"/>
        </w:rPr>
      </w:pPr>
      <w:r w:rsidRPr="00682C53">
        <w:rPr>
          <w:rFonts w:eastAsia="Times New Roman" w:cstheme="minorHAnsi"/>
          <w:color w:val="000000" w:themeColor="text1"/>
          <w:sz w:val="22"/>
          <w:szCs w:val="22"/>
        </w:rPr>
        <w:t xml:space="preserve">Carmona C, Claxton L, O’Brien A, </w:t>
      </w:r>
      <w:proofErr w:type="spellStart"/>
      <w:r w:rsidRPr="00682C53">
        <w:rPr>
          <w:rFonts w:eastAsia="Times New Roman" w:cstheme="minorHAnsi"/>
          <w:color w:val="000000" w:themeColor="text1"/>
          <w:sz w:val="22"/>
          <w:szCs w:val="22"/>
        </w:rPr>
        <w:t>Hebditch</w:t>
      </w:r>
      <w:proofErr w:type="spellEnd"/>
      <w:r w:rsidRPr="00682C53">
        <w:rPr>
          <w:rFonts w:eastAsia="Times New Roman" w:cstheme="minorHAnsi"/>
          <w:color w:val="000000" w:themeColor="text1"/>
          <w:sz w:val="22"/>
          <w:szCs w:val="22"/>
        </w:rPr>
        <w:t xml:space="preserve"> V, </w:t>
      </w:r>
      <w:proofErr w:type="spellStart"/>
      <w:r w:rsidRPr="00682C53">
        <w:rPr>
          <w:rFonts w:eastAsia="Times New Roman" w:cstheme="minorHAnsi"/>
          <w:color w:val="000000" w:themeColor="text1"/>
          <w:sz w:val="22"/>
          <w:szCs w:val="22"/>
        </w:rPr>
        <w:t>Fowell</w:t>
      </w:r>
      <w:proofErr w:type="spellEnd"/>
      <w:r w:rsidRPr="00682C53">
        <w:rPr>
          <w:rFonts w:eastAsia="Times New Roman" w:cstheme="minorHAnsi"/>
          <w:color w:val="000000" w:themeColor="text1"/>
          <w:sz w:val="22"/>
          <w:szCs w:val="22"/>
        </w:rPr>
        <w:t xml:space="preserve"> A, Jones C, et al. Cirrhosis in over 16s: assessment and management—updated summary of NICE guidance. BMJ [Internet]. 2023 Nov 22 [cited 2024 Apr 25];383. Available from: https://www.bmj.com/content/383/bmj.p2598</w:t>
      </w:r>
    </w:p>
    <w:p w14:paraId="1773EE62" w14:textId="77777777" w:rsidR="00111A23" w:rsidRPr="00682C53" w:rsidRDefault="00111A23" w:rsidP="00111A23">
      <w:pPr>
        <w:pStyle w:val="NormalWeb"/>
        <w:numPr>
          <w:ilvl w:val="0"/>
          <w:numId w:val="16"/>
        </w:numPr>
        <w:rPr>
          <w:rFonts w:asciiTheme="minorHAnsi" w:hAnsiTheme="minorHAnsi" w:cstheme="minorHAnsi"/>
          <w:color w:val="000000" w:themeColor="text1"/>
          <w:sz w:val="22"/>
          <w:szCs w:val="22"/>
        </w:rPr>
      </w:pPr>
      <w:r w:rsidRPr="00682C53">
        <w:rPr>
          <w:rFonts w:asciiTheme="minorHAnsi" w:hAnsiTheme="minorHAnsi" w:cstheme="minorHAnsi"/>
          <w:color w:val="000000" w:themeColor="text1"/>
          <w:sz w:val="22"/>
          <w:szCs w:val="22"/>
        </w:rPr>
        <w:t xml:space="preserve">de </w:t>
      </w:r>
      <w:proofErr w:type="spellStart"/>
      <w:r w:rsidRPr="00682C53">
        <w:rPr>
          <w:rFonts w:asciiTheme="minorHAnsi" w:hAnsiTheme="minorHAnsi" w:cstheme="minorHAnsi"/>
          <w:color w:val="000000" w:themeColor="text1"/>
          <w:sz w:val="22"/>
          <w:szCs w:val="22"/>
        </w:rPr>
        <w:t>Franchis</w:t>
      </w:r>
      <w:proofErr w:type="spellEnd"/>
      <w:r w:rsidRPr="00682C53">
        <w:rPr>
          <w:rFonts w:asciiTheme="minorHAnsi" w:hAnsiTheme="minorHAnsi" w:cstheme="minorHAnsi"/>
          <w:color w:val="000000" w:themeColor="text1"/>
          <w:sz w:val="22"/>
          <w:szCs w:val="22"/>
        </w:rPr>
        <w:t xml:space="preserve"> R, Bosch J, Garcia-Tsao G, </w:t>
      </w:r>
      <w:proofErr w:type="spellStart"/>
      <w:r w:rsidRPr="00682C53">
        <w:rPr>
          <w:rFonts w:asciiTheme="minorHAnsi" w:hAnsiTheme="minorHAnsi" w:cstheme="minorHAnsi"/>
          <w:color w:val="000000" w:themeColor="text1"/>
          <w:sz w:val="22"/>
          <w:szCs w:val="22"/>
        </w:rPr>
        <w:t>Reiberger</w:t>
      </w:r>
      <w:proofErr w:type="spellEnd"/>
      <w:r w:rsidRPr="00682C53">
        <w:rPr>
          <w:rFonts w:asciiTheme="minorHAnsi" w:hAnsiTheme="minorHAnsi" w:cstheme="minorHAnsi"/>
          <w:color w:val="000000" w:themeColor="text1"/>
          <w:sz w:val="22"/>
          <w:szCs w:val="22"/>
        </w:rPr>
        <w:t xml:space="preserve"> T, Ripoll C, VII Faculty B, et al. </w:t>
      </w:r>
      <w:proofErr w:type="spellStart"/>
      <w:r w:rsidRPr="00682C53">
        <w:rPr>
          <w:rFonts w:asciiTheme="minorHAnsi" w:hAnsiTheme="minorHAnsi" w:cstheme="minorHAnsi"/>
          <w:color w:val="000000" w:themeColor="text1"/>
          <w:sz w:val="22"/>
          <w:szCs w:val="22"/>
        </w:rPr>
        <w:t>Baveno</w:t>
      </w:r>
      <w:proofErr w:type="spellEnd"/>
      <w:r w:rsidRPr="00682C53">
        <w:rPr>
          <w:rFonts w:asciiTheme="minorHAnsi" w:hAnsiTheme="minorHAnsi" w:cstheme="minorHAnsi"/>
          <w:color w:val="000000" w:themeColor="text1"/>
          <w:sz w:val="22"/>
          <w:szCs w:val="22"/>
        </w:rPr>
        <w:t xml:space="preserve"> VII - Renewing consensus in portal hypertension. J Hepatol [Internet]. 2021 [cited 2022 Oct 17]; Available from: https://doi.org/10.1016/j.jhep.2021.05.024</w:t>
      </w:r>
    </w:p>
    <w:p w14:paraId="3ED05DD5" w14:textId="05043B92" w:rsidR="004214E2" w:rsidRDefault="004214E2" w:rsidP="0099151B">
      <w:pPr>
        <w:widowControl w:val="0"/>
        <w:autoSpaceDE w:val="0"/>
        <w:autoSpaceDN w:val="0"/>
        <w:adjustRightInd w:val="0"/>
        <w:ind w:left="640" w:hanging="640"/>
        <w:rPr>
          <w:sz w:val="22"/>
          <w:szCs w:val="22"/>
        </w:rPr>
      </w:pPr>
    </w:p>
    <w:p w14:paraId="6E574789" w14:textId="44DCC421" w:rsidR="00DC70F5" w:rsidRDefault="00DC70F5">
      <w:pPr>
        <w:rPr>
          <w:sz w:val="22"/>
          <w:szCs w:val="22"/>
        </w:rPr>
      </w:pPr>
      <w:r>
        <w:rPr>
          <w:sz w:val="22"/>
          <w:szCs w:val="22"/>
        </w:rPr>
        <w:br w:type="page"/>
      </w:r>
    </w:p>
    <w:p w14:paraId="645D11A9" w14:textId="77777777" w:rsidR="00626AF4" w:rsidRDefault="00626AF4">
      <w:pPr>
        <w:rPr>
          <w:sz w:val="22"/>
          <w:szCs w:val="22"/>
        </w:rPr>
      </w:pPr>
    </w:p>
    <w:p w14:paraId="2EAADEAE" w14:textId="23E0F817" w:rsidR="00BA4D5E" w:rsidRPr="002542CA" w:rsidRDefault="00BA4D5E" w:rsidP="00BA4D5E">
      <w:pPr>
        <w:ind w:hanging="709"/>
        <w:rPr>
          <w:b/>
          <w:bCs/>
          <w:sz w:val="20"/>
          <w:szCs w:val="20"/>
          <w:lang w:val="en-US"/>
        </w:rPr>
      </w:pPr>
      <w:r w:rsidRPr="00BA4D5E">
        <w:rPr>
          <w:b/>
          <w:sz w:val="20"/>
          <w:szCs w:val="20"/>
          <w:lang w:val="en-US"/>
        </w:rPr>
        <w:t>Table 1</w:t>
      </w:r>
      <w:r w:rsidRPr="00742768">
        <w:rPr>
          <w:bCs/>
          <w:sz w:val="20"/>
          <w:szCs w:val="20"/>
          <w:lang w:val="en-US"/>
        </w:rPr>
        <w:t xml:space="preserve"> - </w:t>
      </w:r>
      <w:r w:rsidRPr="002542CA">
        <w:rPr>
          <w:b/>
          <w:bCs/>
          <w:sz w:val="20"/>
          <w:szCs w:val="20"/>
          <w:lang w:val="en-US"/>
        </w:rPr>
        <w:t>Baseline pa</w:t>
      </w:r>
      <w:r w:rsidR="00DC70F5" w:rsidRPr="002542CA">
        <w:rPr>
          <w:b/>
          <w:bCs/>
          <w:sz w:val="20"/>
          <w:szCs w:val="20"/>
          <w:lang w:val="en-US"/>
        </w:rPr>
        <w:t>rticipant</w:t>
      </w:r>
      <w:r w:rsidRPr="002542CA">
        <w:rPr>
          <w:b/>
          <w:bCs/>
          <w:sz w:val="20"/>
          <w:szCs w:val="20"/>
          <w:lang w:val="en-US"/>
        </w:rPr>
        <w:t xml:space="preserve"> characteristics </w:t>
      </w:r>
      <w:r w:rsidR="00DC70F5" w:rsidRPr="002542CA">
        <w:rPr>
          <w:b/>
          <w:bCs/>
          <w:sz w:val="20"/>
          <w:szCs w:val="20"/>
          <w:lang w:val="en-US"/>
        </w:rPr>
        <w:t xml:space="preserve">that will </w:t>
      </w:r>
      <w:proofErr w:type="gramStart"/>
      <w:r w:rsidR="00DC70F5" w:rsidRPr="002542CA">
        <w:rPr>
          <w:b/>
          <w:bCs/>
          <w:sz w:val="20"/>
          <w:szCs w:val="20"/>
          <w:lang w:val="en-US"/>
        </w:rPr>
        <w:t>collected</w:t>
      </w:r>
      <w:proofErr w:type="gramEnd"/>
      <w:r w:rsidR="00DC70F5" w:rsidRPr="002542CA">
        <w:rPr>
          <w:b/>
          <w:bCs/>
          <w:sz w:val="20"/>
          <w:szCs w:val="20"/>
          <w:lang w:val="en-US"/>
        </w:rPr>
        <w:t xml:space="preserve"> and where the data will be collected</w:t>
      </w:r>
    </w:p>
    <w:tbl>
      <w:tblPr>
        <w:tblStyle w:val="TableGrid"/>
        <w:tblW w:w="9923" w:type="dxa"/>
        <w:tblInd w:w="-714" w:type="dxa"/>
        <w:tblLook w:val="04A0" w:firstRow="1" w:lastRow="0" w:firstColumn="1" w:lastColumn="0" w:noHBand="0" w:noVBand="1"/>
      </w:tblPr>
      <w:tblGrid>
        <w:gridCol w:w="4395"/>
        <w:gridCol w:w="2410"/>
        <w:gridCol w:w="3118"/>
      </w:tblGrid>
      <w:tr w:rsidR="00BA4D5E" w:rsidRPr="00E64A44" w14:paraId="6E6ABDA9" w14:textId="77777777" w:rsidTr="005210D9">
        <w:tc>
          <w:tcPr>
            <w:tcW w:w="4395" w:type="dxa"/>
            <w:tcBorders>
              <w:bottom w:val="single" w:sz="4" w:space="0" w:color="auto"/>
            </w:tcBorders>
            <w:shd w:val="clear" w:color="auto" w:fill="auto"/>
            <w:vAlign w:val="center"/>
          </w:tcPr>
          <w:p w14:paraId="6C2D7F7E" w14:textId="77777777" w:rsidR="00BA4D5E" w:rsidRPr="00E64A44" w:rsidRDefault="00BA4D5E" w:rsidP="005210D9">
            <w:pPr>
              <w:jc w:val="center"/>
              <w:rPr>
                <w:b/>
                <w:sz w:val="16"/>
                <w:szCs w:val="16"/>
                <w:lang w:val="en-US"/>
              </w:rPr>
            </w:pPr>
          </w:p>
          <w:p w14:paraId="2880ED26" w14:textId="77777777" w:rsidR="00BA4D5E" w:rsidRPr="00E64A44" w:rsidRDefault="00BA4D5E" w:rsidP="005210D9">
            <w:pPr>
              <w:jc w:val="center"/>
              <w:rPr>
                <w:b/>
                <w:sz w:val="16"/>
                <w:szCs w:val="16"/>
                <w:lang w:val="en-US"/>
              </w:rPr>
            </w:pPr>
            <w:r w:rsidRPr="00E64A44">
              <w:rPr>
                <w:b/>
                <w:sz w:val="16"/>
                <w:szCs w:val="16"/>
                <w:lang w:val="en-US"/>
              </w:rPr>
              <w:t>Baseline demographic characteristic</w:t>
            </w:r>
          </w:p>
          <w:p w14:paraId="7516A5B1" w14:textId="77777777" w:rsidR="00BA4D5E" w:rsidRPr="00E64A44" w:rsidRDefault="00BA4D5E" w:rsidP="005210D9">
            <w:pPr>
              <w:jc w:val="center"/>
              <w:rPr>
                <w:b/>
                <w:sz w:val="16"/>
                <w:szCs w:val="16"/>
                <w:lang w:val="en-US"/>
              </w:rPr>
            </w:pPr>
          </w:p>
        </w:tc>
        <w:tc>
          <w:tcPr>
            <w:tcW w:w="2410" w:type="dxa"/>
            <w:tcBorders>
              <w:bottom w:val="single" w:sz="4" w:space="0" w:color="auto"/>
              <w:right w:val="single" w:sz="4" w:space="0" w:color="auto"/>
            </w:tcBorders>
            <w:shd w:val="clear" w:color="auto" w:fill="auto"/>
            <w:vAlign w:val="center"/>
          </w:tcPr>
          <w:p w14:paraId="00DF5DCF" w14:textId="77777777" w:rsidR="00BA4D5E" w:rsidRPr="00E64A44" w:rsidRDefault="00BA4D5E" w:rsidP="005210D9">
            <w:pPr>
              <w:jc w:val="center"/>
              <w:rPr>
                <w:b/>
                <w:sz w:val="16"/>
                <w:szCs w:val="16"/>
                <w:lang w:val="en-US"/>
              </w:rPr>
            </w:pPr>
            <w:r w:rsidRPr="00E64A44">
              <w:rPr>
                <w:b/>
                <w:sz w:val="16"/>
                <w:szCs w:val="16"/>
                <w:lang w:val="en-US"/>
              </w:rPr>
              <w:t>Collected at recruitment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41E6DE6" w14:textId="50E49708" w:rsidR="00BA4D5E" w:rsidRPr="00E64A44" w:rsidRDefault="00BA4D5E" w:rsidP="005210D9">
            <w:pPr>
              <w:ind w:left="-111" w:right="-103"/>
              <w:jc w:val="center"/>
              <w:rPr>
                <w:b/>
                <w:sz w:val="16"/>
                <w:szCs w:val="16"/>
                <w:lang w:val="en-US"/>
              </w:rPr>
            </w:pPr>
            <w:r w:rsidRPr="00E64A44">
              <w:rPr>
                <w:b/>
                <w:sz w:val="16"/>
                <w:szCs w:val="16"/>
                <w:lang w:val="en-US"/>
              </w:rPr>
              <w:t>Can be collected via EMIS/</w:t>
            </w:r>
            <w:proofErr w:type="spellStart"/>
            <w:r w:rsidRPr="00E64A44">
              <w:rPr>
                <w:b/>
                <w:sz w:val="16"/>
                <w:szCs w:val="16"/>
                <w:lang w:val="en-US"/>
              </w:rPr>
              <w:t>SystmOne</w:t>
            </w:r>
            <w:proofErr w:type="spellEnd"/>
            <w:r w:rsidR="005D010A">
              <w:rPr>
                <w:b/>
                <w:sz w:val="16"/>
                <w:szCs w:val="16"/>
                <w:lang w:val="en-US"/>
              </w:rPr>
              <w:t>*</w:t>
            </w:r>
          </w:p>
        </w:tc>
      </w:tr>
      <w:tr w:rsidR="00BA4D5E" w:rsidRPr="00E64A44" w14:paraId="2BA1C4D4" w14:textId="77777777" w:rsidTr="005210D9">
        <w:tc>
          <w:tcPr>
            <w:tcW w:w="4395" w:type="dxa"/>
            <w:tcBorders>
              <w:top w:val="single" w:sz="4" w:space="0" w:color="auto"/>
              <w:left w:val="single" w:sz="4" w:space="0" w:color="auto"/>
              <w:bottom w:val="nil"/>
              <w:right w:val="single" w:sz="4" w:space="0" w:color="auto"/>
            </w:tcBorders>
          </w:tcPr>
          <w:p w14:paraId="0FFAEF13" w14:textId="77777777" w:rsidR="00BA4D5E" w:rsidRPr="00E64A44" w:rsidRDefault="00BA4D5E" w:rsidP="005210D9">
            <w:pPr>
              <w:rPr>
                <w:sz w:val="16"/>
                <w:szCs w:val="16"/>
                <w:lang w:val="en-US"/>
              </w:rPr>
            </w:pPr>
            <w:r w:rsidRPr="00E64A44">
              <w:rPr>
                <w:sz w:val="16"/>
                <w:szCs w:val="16"/>
                <w:lang w:val="en-US"/>
              </w:rPr>
              <w:t>Age, years</w:t>
            </w:r>
          </w:p>
        </w:tc>
        <w:tc>
          <w:tcPr>
            <w:tcW w:w="2410" w:type="dxa"/>
            <w:tcBorders>
              <w:top w:val="single" w:sz="4" w:space="0" w:color="auto"/>
              <w:left w:val="single" w:sz="4" w:space="0" w:color="auto"/>
              <w:bottom w:val="nil"/>
              <w:right w:val="single" w:sz="4" w:space="0" w:color="auto"/>
            </w:tcBorders>
          </w:tcPr>
          <w:p w14:paraId="28B272B6"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single" w:sz="4" w:space="0" w:color="auto"/>
              <w:left w:val="single" w:sz="4" w:space="0" w:color="auto"/>
              <w:bottom w:val="nil"/>
              <w:right w:val="single" w:sz="4" w:space="0" w:color="auto"/>
            </w:tcBorders>
          </w:tcPr>
          <w:p w14:paraId="60E77C8B" w14:textId="77777777" w:rsidR="00BA4D5E" w:rsidRPr="00E64A44" w:rsidRDefault="00BA4D5E" w:rsidP="005210D9">
            <w:pPr>
              <w:jc w:val="center"/>
              <w:rPr>
                <w:sz w:val="16"/>
                <w:szCs w:val="16"/>
                <w:lang w:val="en-US"/>
              </w:rPr>
            </w:pPr>
          </w:p>
        </w:tc>
      </w:tr>
      <w:tr w:rsidR="00BA4D5E" w:rsidRPr="00E64A44" w14:paraId="770EB070" w14:textId="77777777" w:rsidTr="005210D9">
        <w:tc>
          <w:tcPr>
            <w:tcW w:w="4395" w:type="dxa"/>
            <w:tcBorders>
              <w:top w:val="nil"/>
              <w:left w:val="single" w:sz="4" w:space="0" w:color="auto"/>
              <w:bottom w:val="nil"/>
              <w:right w:val="single" w:sz="4" w:space="0" w:color="auto"/>
            </w:tcBorders>
          </w:tcPr>
          <w:p w14:paraId="7808B4CE" w14:textId="260CD704" w:rsidR="00BA4D5E" w:rsidRPr="00E64A44" w:rsidRDefault="00BA4D5E" w:rsidP="005210D9">
            <w:pPr>
              <w:rPr>
                <w:sz w:val="16"/>
                <w:szCs w:val="16"/>
                <w:lang w:val="en-US"/>
              </w:rPr>
            </w:pPr>
            <w:r w:rsidRPr="00E64A44">
              <w:rPr>
                <w:sz w:val="16"/>
                <w:szCs w:val="16"/>
                <w:lang w:val="en-US"/>
              </w:rPr>
              <w:t xml:space="preserve">Sex, male </w:t>
            </w:r>
            <w:r w:rsidR="00A25862">
              <w:rPr>
                <w:sz w:val="16"/>
                <w:szCs w:val="16"/>
                <w:lang w:val="en-US"/>
              </w:rPr>
              <w:t>[</w:t>
            </w:r>
            <w:r w:rsidRPr="00E64A44">
              <w:rPr>
                <w:sz w:val="16"/>
                <w:szCs w:val="16"/>
                <w:lang w:val="en-US"/>
              </w:rPr>
              <w:t>%</w:t>
            </w:r>
            <w:r w:rsidR="00A25862">
              <w:rPr>
                <w:sz w:val="16"/>
                <w:szCs w:val="16"/>
                <w:lang w:val="en-US"/>
              </w:rPr>
              <w:t>]</w:t>
            </w:r>
            <w:r w:rsidRPr="00E64A44">
              <w:rPr>
                <w:sz w:val="16"/>
                <w:szCs w:val="16"/>
                <w:lang w:val="en-US"/>
              </w:rPr>
              <w:t xml:space="preserve"> </w:t>
            </w:r>
          </w:p>
        </w:tc>
        <w:tc>
          <w:tcPr>
            <w:tcW w:w="2410" w:type="dxa"/>
            <w:tcBorders>
              <w:top w:val="nil"/>
              <w:left w:val="single" w:sz="4" w:space="0" w:color="auto"/>
              <w:bottom w:val="nil"/>
              <w:right w:val="single" w:sz="4" w:space="0" w:color="auto"/>
            </w:tcBorders>
          </w:tcPr>
          <w:p w14:paraId="010D4118"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7486EBBD" w14:textId="77777777" w:rsidR="00BA4D5E" w:rsidRPr="00E64A44" w:rsidRDefault="00BA4D5E" w:rsidP="005210D9">
            <w:pPr>
              <w:jc w:val="center"/>
              <w:rPr>
                <w:sz w:val="16"/>
                <w:szCs w:val="16"/>
                <w:lang w:val="en-US"/>
              </w:rPr>
            </w:pPr>
          </w:p>
        </w:tc>
      </w:tr>
      <w:tr w:rsidR="00BA4D5E" w:rsidRPr="00E64A44" w14:paraId="0B421C3C" w14:textId="77777777" w:rsidTr="005210D9">
        <w:tc>
          <w:tcPr>
            <w:tcW w:w="4395" w:type="dxa"/>
            <w:tcBorders>
              <w:top w:val="nil"/>
              <w:left w:val="single" w:sz="4" w:space="0" w:color="auto"/>
              <w:bottom w:val="nil"/>
              <w:right w:val="single" w:sz="4" w:space="0" w:color="auto"/>
            </w:tcBorders>
          </w:tcPr>
          <w:p w14:paraId="0993AAF5" w14:textId="2DCC13BC" w:rsidR="00BA4D5E" w:rsidRPr="00E64A44" w:rsidRDefault="00BA4D5E" w:rsidP="005210D9">
            <w:pPr>
              <w:rPr>
                <w:sz w:val="16"/>
                <w:szCs w:val="16"/>
                <w:lang w:val="en-US"/>
              </w:rPr>
            </w:pPr>
            <w:r w:rsidRPr="00E64A44">
              <w:rPr>
                <w:sz w:val="16"/>
                <w:szCs w:val="16"/>
                <w:lang w:val="en-US"/>
              </w:rPr>
              <w:t xml:space="preserve">Ethnicity </w:t>
            </w:r>
            <w:r w:rsidR="00A25862">
              <w:rPr>
                <w:sz w:val="16"/>
                <w:szCs w:val="16"/>
                <w:lang w:val="en-US"/>
              </w:rPr>
              <w:t>[</w:t>
            </w:r>
            <w:r w:rsidRPr="00E64A44">
              <w:rPr>
                <w:sz w:val="16"/>
                <w:szCs w:val="16"/>
                <w:lang w:val="en-US"/>
              </w:rPr>
              <w:t>white European or minority ethnic group</w:t>
            </w:r>
            <w:r w:rsidR="00A25862">
              <w:rPr>
                <w:sz w:val="16"/>
                <w:szCs w:val="16"/>
                <w:lang w:val="en-US"/>
              </w:rPr>
              <w:t>]</w:t>
            </w:r>
          </w:p>
        </w:tc>
        <w:tc>
          <w:tcPr>
            <w:tcW w:w="2410" w:type="dxa"/>
            <w:tcBorders>
              <w:top w:val="nil"/>
              <w:left w:val="single" w:sz="4" w:space="0" w:color="auto"/>
              <w:bottom w:val="nil"/>
              <w:right w:val="single" w:sz="4" w:space="0" w:color="auto"/>
            </w:tcBorders>
          </w:tcPr>
          <w:p w14:paraId="01122CA2" w14:textId="77777777" w:rsidR="00BA4D5E" w:rsidRPr="00E64A44" w:rsidRDefault="00BA4D5E" w:rsidP="005210D9">
            <w:pPr>
              <w:jc w:val="center"/>
              <w:rPr>
                <w:sz w:val="16"/>
                <w:szCs w:val="16"/>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3146FC19" w14:textId="77777777" w:rsidR="00BA4D5E" w:rsidRPr="00E64A44" w:rsidRDefault="00BA4D5E" w:rsidP="005210D9">
            <w:pPr>
              <w:jc w:val="center"/>
              <w:rPr>
                <w:sz w:val="16"/>
                <w:szCs w:val="16"/>
                <w:lang w:val="en-US"/>
              </w:rPr>
            </w:pPr>
          </w:p>
        </w:tc>
      </w:tr>
      <w:tr w:rsidR="00BA4D5E" w:rsidRPr="00E64A44" w14:paraId="5B0FFEB1" w14:textId="77777777" w:rsidTr="005210D9">
        <w:tc>
          <w:tcPr>
            <w:tcW w:w="4395" w:type="dxa"/>
            <w:tcBorders>
              <w:top w:val="nil"/>
              <w:left w:val="single" w:sz="4" w:space="0" w:color="auto"/>
              <w:bottom w:val="nil"/>
              <w:right w:val="single" w:sz="4" w:space="0" w:color="auto"/>
            </w:tcBorders>
          </w:tcPr>
          <w:p w14:paraId="0241DDEA" w14:textId="5B6731AA" w:rsidR="00BA4D5E" w:rsidRPr="00E64A44" w:rsidRDefault="00BA4D5E" w:rsidP="005210D9">
            <w:pPr>
              <w:ind w:right="-247"/>
              <w:rPr>
                <w:sz w:val="16"/>
                <w:szCs w:val="16"/>
                <w:lang w:val="en-US"/>
              </w:rPr>
            </w:pPr>
            <w:r w:rsidRPr="00E64A44">
              <w:rPr>
                <w:sz w:val="16"/>
                <w:szCs w:val="16"/>
                <w:lang w:val="en-US"/>
              </w:rPr>
              <w:t xml:space="preserve">Alcohol consumption </w:t>
            </w:r>
            <w:r w:rsidR="00A25862">
              <w:rPr>
                <w:sz w:val="16"/>
                <w:szCs w:val="16"/>
                <w:lang w:val="en-US"/>
              </w:rPr>
              <w:t>[</w:t>
            </w:r>
            <w:r w:rsidRPr="00E64A44">
              <w:rPr>
                <w:sz w:val="16"/>
                <w:szCs w:val="16"/>
                <w:lang w:val="en-US"/>
              </w:rPr>
              <w:t>AUDIT-C score</w:t>
            </w:r>
            <w:r w:rsidR="00A25862">
              <w:rPr>
                <w:sz w:val="16"/>
                <w:szCs w:val="16"/>
                <w:lang w:val="en-US"/>
              </w:rPr>
              <w:t>]</w:t>
            </w:r>
          </w:p>
        </w:tc>
        <w:tc>
          <w:tcPr>
            <w:tcW w:w="2410" w:type="dxa"/>
            <w:tcBorders>
              <w:top w:val="nil"/>
              <w:left w:val="single" w:sz="4" w:space="0" w:color="auto"/>
              <w:bottom w:val="nil"/>
              <w:right w:val="single" w:sz="4" w:space="0" w:color="auto"/>
            </w:tcBorders>
          </w:tcPr>
          <w:p w14:paraId="33EB0701" w14:textId="77777777" w:rsidR="00BA4D5E" w:rsidRPr="00E64A44" w:rsidRDefault="00BA4D5E" w:rsidP="005210D9">
            <w:pPr>
              <w:jc w:val="center"/>
              <w:rPr>
                <w:sz w:val="16"/>
                <w:szCs w:val="16"/>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5A787AE8" w14:textId="77777777" w:rsidR="00BA4D5E" w:rsidRPr="00E64A44" w:rsidRDefault="00BA4D5E" w:rsidP="005210D9">
            <w:pPr>
              <w:jc w:val="center"/>
              <w:rPr>
                <w:sz w:val="16"/>
                <w:szCs w:val="16"/>
                <w:lang w:val="en-US"/>
              </w:rPr>
            </w:pPr>
          </w:p>
        </w:tc>
      </w:tr>
      <w:tr w:rsidR="00BA4D5E" w:rsidRPr="00E64A44" w14:paraId="24E14A2D" w14:textId="77777777" w:rsidTr="005210D9">
        <w:tc>
          <w:tcPr>
            <w:tcW w:w="4395" w:type="dxa"/>
            <w:tcBorders>
              <w:top w:val="nil"/>
              <w:left w:val="single" w:sz="4" w:space="0" w:color="auto"/>
              <w:bottom w:val="nil"/>
              <w:right w:val="single" w:sz="4" w:space="0" w:color="auto"/>
            </w:tcBorders>
          </w:tcPr>
          <w:p w14:paraId="0FAABDBF" w14:textId="29CB284F" w:rsidR="00BA4D5E" w:rsidRPr="00E64A44" w:rsidRDefault="00BA4D5E" w:rsidP="005210D9">
            <w:pPr>
              <w:rPr>
                <w:sz w:val="16"/>
                <w:szCs w:val="16"/>
                <w:lang w:val="en-US"/>
              </w:rPr>
            </w:pPr>
            <w:r w:rsidRPr="00E64A44">
              <w:rPr>
                <w:sz w:val="16"/>
                <w:szCs w:val="16"/>
                <w:lang w:val="en-US"/>
              </w:rPr>
              <w:t xml:space="preserve">Measured Height </w:t>
            </w:r>
            <w:r w:rsidR="00A25862">
              <w:rPr>
                <w:sz w:val="16"/>
                <w:szCs w:val="16"/>
                <w:lang w:val="en-US"/>
              </w:rPr>
              <w:t>[</w:t>
            </w:r>
            <w:r w:rsidRPr="00E64A44">
              <w:rPr>
                <w:sz w:val="16"/>
                <w:szCs w:val="16"/>
                <w:lang w:val="en-US"/>
              </w:rPr>
              <w:t>cm</w:t>
            </w:r>
            <w:r w:rsidR="00A25862">
              <w:rPr>
                <w:sz w:val="16"/>
                <w:szCs w:val="16"/>
                <w:lang w:val="en-US"/>
              </w:rPr>
              <w:t>]</w:t>
            </w:r>
            <w:r w:rsidRPr="00E64A44">
              <w:rPr>
                <w:sz w:val="16"/>
                <w:szCs w:val="16"/>
                <w:lang w:val="en-US"/>
              </w:rPr>
              <w:t xml:space="preserve"> </w:t>
            </w:r>
          </w:p>
        </w:tc>
        <w:tc>
          <w:tcPr>
            <w:tcW w:w="2410" w:type="dxa"/>
            <w:tcBorders>
              <w:top w:val="nil"/>
              <w:left w:val="single" w:sz="4" w:space="0" w:color="auto"/>
              <w:bottom w:val="nil"/>
              <w:right w:val="single" w:sz="4" w:space="0" w:color="auto"/>
            </w:tcBorders>
          </w:tcPr>
          <w:p w14:paraId="243DFC04" w14:textId="77777777" w:rsidR="00BA4D5E" w:rsidRPr="00E64A44" w:rsidRDefault="00BA4D5E" w:rsidP="005210D9">
            <w:pPr>
              <w:jc w:val="center"/>
              <w:rPr>
                <w:sz w:val="16"/>
                <w:szCs w:val="16"/>
                <w:lang w:val="en-US"/>
              </w:rPr>
            </w:pPr>
          </w:p>
        </w:tc>
        <w:tc>
          <w:tcPr>
            <w:tcW w:w="3118" w:type="dxa"/>
            <w:tcBorders>
              <w:top w:val="nil"/>
              <w:left w:val="single" w:sz="4" w:space="0" w:color="auto"/>
              <w:bottom w:val="nil"/>
              <w:right w:val="single" w:sz="4" w:space="0" w:color="auto"/>
            </w:tcBorders>
          </w:tcPr>
          <w:p w14:paraId="78F9DEB2" w14:textId="77777777" w:rsidR="00BA4D5E" w:rsidRPr="00E64A44" w:rsidRDefault="00BA4D5E" w:rsidP="005210D9">
            <w:pPr>
              <w:jc w:val="center"/>
              <w:rPr>
                <w:sz w:val="16"/>
                <w:szCs w:val="16"/>
                <w:lang w:val="en-US"/>
              </w:rPr>
            </w:pPr>
          </w:p>
        </w:tc>
      </w:tr>
      <w:tr w:rsidR="00BA4D5E" w:rsidRPr="00E64A44" w14:paraId="01D0C116" w14:textId="77777777" w:rsidTr="005210D9">
        <w:tc>
          <w:tcPr>
            <w:tcW w:w="4395" w:type="dxa"/>
            <w:tcBorders>
              <w:top w:val="nil"/>
              <w:left w:val="single" w:sz="4" w:space="0" w:color="auto"/>
              <w:bottom w:val="nil"/>
              <w:right w:val="single" w:sz="4" w:space="0" w:color="auto"/>
            </w:tcBorders>
          </w:tcPr>
          <w:p w14:paraId="71E76F65" w14:textId="3F6F7865" w:rsidR="00BA4D5E" w:rsidRPr="00E64A44" w:rsidRDefault="00BA4D5E" w:rsidP="005210D9">
            <w:pPr>
              <w:rPr>
                <w:sz w:val="16"/>
                <w:szCs w:val="16"/>
                <w:lang w:val="en-US"/>
              </w:rPr>
            </w:pPr>
            <w:r w:rsidRPr="00E64A44">
              <w:rPr>
                <w:sz w:val="16"/>
                <w:szCs w:val="16"/>
                <w:lang w:val="en-US"/>
              </w:rPr>
              <w:t xml:space="preserve">Measured weight </w:t>
            </w:r>
            <w:r w:rsidR="00A25862">
              <w:rPr>
                <w:sz w:val="16"/>
                <w:szCs w:val="16"/>
                <w:lang w:val="en-US"/>
              </w:rPr>
              <w:t>[</w:t>
            </w:r>
            <w:r w:rsidRPr="00E64A44">
              <w:rPr>
                <w:sz w:val="16"/>
                <w:szCs w:val="16"/>
                <w:lang w:val="en-US"/>
              </w:rPr>
              <w:t>kg</w:t>
            </w:r>
            <w:r w:rsidR="00A25862">
              <w:rPr>
                <w:sz w:val="16"/>
                <w:szCs w:val="16"/>
                <w:lang w:val="en-US"/>
              </w:rPr>
              <w:t>]</w:t>
            </w:r>
          </w:p>
        </w:tc>
        <w:tc>
          <w:tcPr>
            <w:tcW w:w="2410" w:type="dxa"/>
            <w:tcBorders>
              <w:top w:val="nil"/>
              <w:left w:val="single" w:sz="4" w:space="0" w:color="auto"/>
              <w:bottom w:val="nil"/>
              <w:right w:val="single" w:sz="4" w:space="0" w:color="auto"/>
            </w:tcBorders>
          </w:tcPr>
          <w:p w14:paraId="56A967BB" w14:textId="77777777" w:rsidR="00BA4D5E" w:rsidRPr="00E64A44" w:rsidRDefault="00BA4D5E" w:rsidP="005210D9">
            <w:pPr>
              <w:jc w:val="center"/>
              <w:rPr>
                <w:sz w:val="16"/>
                <w:szCs w:val="16"/>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3BFD5C75" w14:textId="77777777" w:rsidR="00BA4D5E" w:rsidRPr="00E64A44" w:rsidRDefault="00BA4D5E" w:rsidP="005210D9">
            <w:pPr>
              <w:jc w:val="center"/>
              <w:rPr>
                <w:sz w:val="16"/>
                <w:szCs w:val="16"/>
                <w:lang w:val="en-US"/>
              </w:rPr>
            </w:pPr>
          </w:p>
        </w:tc>
      </w:tr>
      <w:tr w:rsidR="00BA4D5E" w:rsidRPr="00E64A44" w14:paraId="440FBC87" w14:textId="77777777" w:rsidTr="005210D9">
        <w:tc>
          <w:tcPr>
            <w:tcW w:w="4395" w:type="dxa"/>
            <w:tcBorders>
              <w:top w:val="nil"/>
              <w:left w:val="single" w:sz="4" w:space="0" w:color="auto"/>
              <w:bottom w:val="nil"/>
              <w:right w:val="single" w:sz="4" w:space="0" w:color="auto"/>
            </w:tcBorders>
          </w:tcPr>
          <w:p w14:paraId="408C0E88" w14:textId="3E2CF2F1" w:rsidR="00BA4D5E" w:rsidRPr="00E64A44" w:rsidRDefault="00BA4D5E" w:rsidP="005210D9">
            <w:pPr>
              <w:rPr>
                <w:sz w:val="16"/>
                <w:szCs w:val="16"/>
                <w:lang w:val="en-US"/>
              </w:rPr>
            </w:pPr>
            <w:r w:rsidRPr="00E64A44">
              <w:rPr>
                <w:sz w:val="16"/>
                <w:szCs w:val="16"/>
                <w:lang w:val="en-US"/>
              </w:rPr>
              <w:t xml:space="preserve">Smoking status </w:t>
            </w:r>
            <w:r w:rsidR="00A25862">
              <w:rPr>
                <w:sz w:val="16"/>
                <w:szCs w:val="16"/>
                <w:lang w:val="en-US"/>
              </w:rPr>
              <w:t>[</w:t>
            </w:r>
            <w:r w:rsidRPr="00E64A44">
              <w:rPr>
                <w:sz w:val="16"/>
                <w:szCs w:val="16"/>
                <w:lang w:val="en-US"/>
              </w:rPr>
              <w:t>current, ex, never</w:t>
            </w:r>
            <w:r w:rsidR="00A25862">
              <w:rPr>
                <w:sz w:val="16"/>
                <w:szCs w:val="16"/>
                <w:lang w:val="en-US"/>
              </w:rPr>
              <w:t>]</w:t>
            </w:r>
          </w:p>
        </w:tc>
        <w:tc>
          <w:tcPr>
            <w:tcW w:w="2410" w:type="dxa"/>
            <w:tcBorders>
              <w:top w:val="nil"/>
              <w:left w:val="single" w:sz="4" w:space="0" w:color="auto"/>
              <w:bottom w:val="nil"/>
              <w:right w:val="single" w:sz="4" w:space="0" w:color="auto"/>
            </w:tcBorders>
          </w:tcPr>
          <w:p w14:paraId="58165152" w14:textId="77777777" w:rsidR="00BA4D5E" w:rsidRPr="00E64A44" w:rsidRDefault="00BA4D5E" w:rsidP="005210D9">
            <w:pPr>
              <w:jc w:val="center"/>
              <w:rPr>
                <w:sz w:val="16"/>
                <w:szCs w:val="16"/>
                <w:lang w:val="en-US"/>
              </w:rPr>
            </w:pPr>
          </w:p>
        </w:tc>
        <w:tc>
          <w:tcPr>
            <w:tcW w:w="3118" w:type="dxa"/>
            <w:tcBorders>
              <w:top w:val="nil"/>
              <w:left w:val="single" w:sz="4" w:space="0" w:color="auto"/>
              <w:bottom w:val="nil"/>
              <w:right w:val="single" w:sz="4" w:space="0" w:color="auto"/>
            </w:tcBorders>
          </w:tcPr>
          <w:p w14:paraId="6B3AA66E" w14:textId="77777777" w:rsidR="00BA4D5E" w:rsidRPr="00E64A44" w:rsidRDefault="00BA4D5E" w:rsidP="005210D9">
            <w:pPr>
              <w:ind w:right="-103"/>
              <w:jc w:val="center"/>
              <w:rPr>
                <w:sz w:val="16"/>
                <w:szCs w:val="16"/>
                <w:lang w:val="en-US"/>
              </w:rPr>
            </w:pPr>
            <w:r w:rsidRPr="00E64A44">
              <w:rPr>
                <w:sz w:val="16"/>
                <w:szCs w:val="16"/>
                <w:lang w:val="en-US"/>
              </w:rPr>
              <w:sym w:font="Wingdings" w:char="F0FC"/>
            </w:r>
          </w:p>
        </w:tc>
      </w:tr>
      <w:tr w:rsidR="00BA4D5E" w:rsidRPr="00E64A44" w14:paraId="22C27409" w14:textId="77777777" w:rsidTr="005210D9">
        <w:tc>
          <w:tcPr>
            <w:tcW w:w="4395" w:type="dxa"/>
            <w:tcBorders>
              <w:top w:val="nil"/>
              <w:left w:val="single" w:sz="4" w:space="0" w:color="auto"/>
              <w:bottom w:val="nil"/>
              <w:right w:val="single" w:sz="4" w:space="0" w:color="auto"/>
            </w:tcBorders>
          </w:tcPr>
          <w:p w14:paraId="2AC0568B" w14:textId="5853B3EA" w:rsidR="00BA4D5E" w:rsidRPr="00E64A44" w:rsidRDefault="00BA4D5E" w:rsidP="005210D9">
            <w:pPr>
              <w:rPr>
                <w:sz w:val="16"/>
                <w:szCs w:val="16"/>
                <w:lang w:val="en-US"/>
              </w:rPr>
            </w:pPr>
            <w:r w:rsidRPr="00E64A44">
              <w:rPr>
                <w:sz w:val="16"/>
                <w:szCs w:val="16"/>
                <w:lang w:val="en-US"/>
              </w:rPr>
              <w:t xml:space="preserve">Index of multiple deprivation </w:t>
            </w:r>
            <w:r w:rsidR="00A25862">
              <w:rPr>
                <w:sz w:val="16"/>
                <w:szCs w:val="16"/>
                <w:lang w:val="en-US"/>
              </w:rPr>
              <w:t>[</w:t>
            </w:r>
            <w:r w:rsidRPr="00E64A44">
              <w:rPr>
                <w:sz w:val="16"/>
                <w:szCs w:val="16"/>
                <w:lang w:val="en-US"/>
              </w:rPr>
              <w:t>IMD</w:t>
            </w:r>
            <w:r w:rsidR="00A25862">
              <w:rPr>
                <w:sz w:val="16"/>
                <w:szCs w:val="16"/>
                <w:lang w:val="en-US"/>
              </w:rPr>
              <w:t>]</w:t>
            </w:r>
            <w:r w:rsidRPr="00E64A44">
              <w:rPr>
                <w:sz w:val="16"/>
                <w:szCs w:val="16"/>
                <w:lang w:val="en-US"/>
              </w:rPr>
              <w:t xml:space="preserve"> </w:t>
            </w:r>
            <w:r w:rsidR="00A25862">
              <w:rPr>
                <w:sz w:val="16"/>
                <w:szCs w:val="16"/>
                <w:lang w:val="en-US"/>
              </w:rPr>
              <w:t>[</w:t>
            </w:r>
            <w:r w:rsidRPr="00E64A44">
              <w:rPr>
                <w:sz w:val="16"/>
                <w:szCs w:val="16"/>
                <w:lang w:val="en-US"/>
              </w:rPr>
              <w:t>from postcode</w:t>
            </w:r>
            <w:r w:rsidR="00A25862">
              <w:rPr>
                <w:sz w:val="16"/>
                <w:szCs w:val="16"/>
                <w:lang w:val="en-US"/>
              </w:rPr>
              <w:t>]</w:t>
            </w:r>
          </w:p>
        </w:tc>
        <w:tc>
          <w:tcPr>
            <w:tcW w:w="2410" w:type="dxa"/>
            <w:tcBorders>
              <w:top w:val="nil"/>
              <w:left w:val="single" w:sz="4" w:space="0" w:color="auto"/>
              <w:bottom w:val="nil"/>
              <w:right w:val="single" w:sz="4" w:space="0" w:color="auto"/>
            </w:tcBorders>
          </w:tcPr>
          <w:p w14:paraId="2FC4E19F"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2F106369" w14:textId="77777777" w:rsidR="00BA4D5E" w:rsidRPr="00E64A44" w:rsidRDefault="00BA4D5E" w:rsidP="005210D9">
            <w:pPr>
              <w:ind w:right="-103"/>
              <w:jc w:val="center"/>
              <w:rPr>
                <w:sz w:val="16"/>
                <w:szCs w:val="16"/>
                <w:lang w:val="en-US"/>
              </w:rPr>
            </w:pPr>
          </w:p>
        </w:tc>
      </w:tr>
      <w:tr w:rsidR="00BA4D5E" w:rsidRPr="00E64A44" w14:paraId="662AA6A1" w14:textId="77777777" w:rsidTr="005210D9">
        <w:tc>
          <w:tcPr>
            <w:tcW w:w="4395" w:type="dxa"/>
            <w:tcBorders>
              <w:top w:val="nil"/>
              <w:left w:val="single" w:sz="4" w:space="0" w:color="auto"/>
              <w:bottom w:val="nil"/>
              <w:right w:val="single" w:sz="4" w:space="0" w:color="auto"/>
            </w:tcBorders>
          </w:tcPr>
          <w:p w14:paraId="18EA3C49" w14:textId="4E79F21A" w:rsidR="00BA4D5E" w:rsidRPr="00E64A44" w:rsidRDefault="00BA4D5E" w:rsidP="005210D9">
            <w:pPr>
              <w:rPr>
                <w:sz w:val="16"/>
                <w:szCs w:val="16"/>
                <w:lang w:val="en-US"/>
              </w:rPr>
            </w:pPr>
            <w:r w:rsidRPr="00E64A44">
              <w:rPr>
                <w:sz w:val="16"/>
                <w:szCs w:val="16"/>
                <w:lang w:val="en-US"/>
              </w:rPr>
              <w:t xml:space="preserve">Duration of diabetes, </w:t>
            </w:r>
            <w:r w:rsidR="00A25862">
              <w:rPr>
                <w:sz w:val="16"/>
                <w:szCs w:val="16"/>
                <w:lang w:val="en-US"/>
              </w:rPr>
              <w:t>[</w:t>
            </w:r>
            <w:r w:rsidRPr="00E64A44">
              <w:rPr>
                <w:sz w:val="16"/>
                <w:szCs w:val="16"/>
                <w:lang w:val="en-US"/>
              </w:rPr>
              <w:t>years</w:t>
            </w:r>
            <w:r w:rsidR="00A25862">
              <w:rPr>
                <w:sz w:val="16"/>
                <w:szCs w:val="16"/>
                <w:lang w:val="en-US"/>
              </w:rPr>
              <w:t>]</w:t>
            </w:r>
          </w:p>
        </w:tc>
        <w:tc>
          <w:tcPr>
            <w:tcW w:w="2410" w:type="dxa"/>
            <w:tcBorders>
              <w:top w:val="nil"/>
              <w:left w:val="single" w:sz="4" w:space="0" w:color="auto"/>
              <w:bottom w:val="nil"/>
              <w:right w:val="single" w:sz="4" w:space="0" w:color="auto"/>
            </w:tcBorders>
          </w:tcPr>
          <w:p w14:paraId="6D178D24" w14:textId="77777777" w:rsidR="00BA4D5E" w:rsidRPr="00E64A44" w:rsidRDefault="00BA4D5E" w:rsidP="005210D9">
            <w:pPr>
              <w:jc w:val="center"/>
              <w:rPr>
                <w:sz w:val="16"/>
                <w:szCs w:val="16"/>
                <w:lang w:val="en-US"/>
              </w:rPr>
            </w:pPr>
          </w:p>
        </w:tc>
        <w:tc>
          <w:tcPr>
            <w:tcW w:w="3118" w:type="dxa"/>
            <w:tcBorders>
              <w:top w:val="nil"/>
              <w:left w:val="single" w:sz="4" w:space="0" w:color="auto"/>
              <w:bottom w:val="nil"/>
              <w:right w:val="single" w:sz="4" w:space="0" w:color="auto"/>
            </w:tcBorders>
          </w:tcPr>
          <w:p w14:paraId="3B8E8900" w14:textId="77777777" w:rsidR="00BA4D5E" w:rsidRPr="00E64A44" w:rsidRDefault="00BA4D5E" w:rsidP="005210D9">
            <w:pPr>
              <w:ind w:right="-103"/>
              <w:jc w:val="center"/>
              <w:rPr>
                <w:sz w:val="16"/>
                <w:szCs w:val="16"/>
                <w:lang w:val="en-US"/>
              </w:rPr>
            </w:pPr>
            <w:r w:rsidRPr="00E64A44">
              <w:rPr>
                <w:sz w:val="16"/>
                <w:szCs w:val="16"/>
                <w:lang w:val="en-US"/>
              </w:rPr>
              <w:sym w:font="Wingdings" w:char="F0FC"/>
            </w:r>
          </w:p>
        </w:tc>
      </w:tr>
      <w:tr w:rsidR="00BA4D5E" w:rsidRPr="00E64A44" w14:paraId="4EBFFB9A" w14:textId="77777777" w:rsidTr="005210D9">
        <w:tc>
          <w:tcPr>
            <w:tcW w:w="4395" w:type="dxa"/>
            <w:tcBorders>
              <w:top w:val="nil"/>
              <w:left w:val="single" w:sz="4" w:space="0" w:color="auto"/>
              <w:bottom w:val="single" w:sz="4" w:space="0" w:color="auto"/>
              <w:right w:val="single" w:sz="4" w:space="0" w:color="auto"/>
            </w:tcBorders>
          </w:tcPr>
          <w:p w14:paraId="0D476255" w14:textId="1FAB2A4C" w:rsidR="00BA4D5E" w:rsidRPr="00E64A44" w:rsidRDefault="00BA4D5E" w:rsidP="005210D9">
            <w:pPr>
              <w:rPr>
                <w:sz w:val="16"/>
                <w:szCs w:val="16"/>
                <w:lang w:val="en-US"/>
              </w:rPr>
            </w:pPr>
            <w:r w:rsidRPr="00E64A44">
              <w:rPr>
                <w:sz w:val="16"/>
                <w:szCs w:val="16"/>
                <w:lang w:val="en-US"/>
              </w:rPr>
              <w:t xml:space="preserve">Medical treatment for diabetes – tablets or insulin </w:t>
            </w:r>
            <w:r w:rsidR="00A25862">
              <w:rPr>
                <w:sz w:val="16"/>
                <w:szCs w:val="16"/>
                <w:lang w:val="en-US"/>
              </w:rPr>
              <w:t>[</w:t>
            </w:r>
            <w:r w:rsidRPr="00E64A44">
              <w:rPr>
                <w:sz w:val="16"/>
                <w:szCs w:val="16"/>
                <w:lang w:val="en-US"/>
              </w:rPr>
              <w:t>currently, previously, never</w:t>
            </w:r>
            <w:r w:rsidR="00A25862">
              <w:rPr>
                <w:sz w:val="16"/>
                <w:szCs w:val="16"/>
                <w:lang w:val="en-US"/>
              </w:rPr>
              <w:t>]</w:t>
            </w:r>
          </w:p>
        </w:tc>
        <w:tc>
          <w:tcPr>
            <w:tcW w:w="2410" w:type="dxa"/>
            <w:tcBorders>
              <w:top w:val="nil"/>
              <w:left w:val="single" w:sz="4" w:space="0" w:color="auto"/>
              <w:bottom w:val="single" w:sz="4" w:space="0" w:color="auto"/>
              <w:right w:val="single" w:sz="4" w:space="0" w:color="auto"/>
            </w:tcBorders>
          </w:tcPr>
          <w:p w14:paraId="06940351"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single" w:sz="4" w:space="0" w:color="auto"/>
              <w:right w:val="single" w:sz="4" w:space="0" w:color="auto"/>
            </w:tcBorders>
          </w:tcPr>
          <w:p w14:paraId="774FE2E2" w14:textId="77777777" w:rsidR="00BA4D5E" w:rsidRPr="00E64A44" w:rsidRDefault="00BA4D5E" w:rsidP="005210D9">
            <w:pPr>
              <w:jc w:val="center"/>
              <w:rPr>
                <w:sz w:val="16"/>
                <w:szCs w:val="16"/>
                <w:lang w:val="en-US"/>
              </w:rPr>
            </w:pPr>
          </w:p>
        </w:tc>
      </w:tr>
      <w:tr w:rsidR="00BA4D5E" w:rsidRPr="00E64A44" w14:paraId="4FA6BCD1" w14:textId="77777777" w:rsidTr="005210D9">
        <w:tc>
          <w:tcPr>
            <w:tcW w:w="4395" w:type="dxa"/>
            <w:tcBorders>
              <w:top w:val="single" w:sz="4" w:space="0" w:color="auto"/>
              <w:bottom w:val="single" w:sz="4" w:space="0" w:color="auto"/>
            </w:tcBorders>
            <w:shd w:val="clear" w:color="auto" w:fill="auto"/>
          </w:tcPr>
          <w:p w14:paraId="36241465" w14:textId="77777777" w:rsidR="00BA4D5E" w:rsidRPr="00E64A44" w:rsidRDefault="00BA4D5E" w:rsidP="005210D9">
            <w:pPr>
              <w:rPr>
                <w:b/>
                <w:bCs/>
                <w:sz w:val="16"/>
                <w:szCs w:val="16"/>
                <w:lang w:val="en-US"/>
              </w:rPr>
            </w:pPr>
            <w:r w:rsidRPr="00E64A44">
              <w:rPr>
                <w:b/>
                <w:bCs/>
                <w:sz w:val="16"/>
                <w:szCs w:val="16"/>
                <w:lang w:val="en-US"/>
              </w:rPr>
              <w:t>Currently prescribed medications</w:t>
            </w:r>
          </w:p>
        </w:tc>
        <w:tc>
          <w:tcPr>
            <w:tcW w:w="2410" w:type="dxa"/>
            <w:tcBorders>
              <w:top w:val="single" w:sz="4" w:space="0" w:color="auto"/>
              <w:bottom w:val="single" w:sz="4" w:space="0" w:color="auto"/>
              <w:right w:val="single" w:sz="4" w:space="0" w:color="auto"/>
            </w:tcBorders>
            <w:shd w:val="clear" w:color="auto" w:fill="auto"/>
          </w:tcPr>
          <w:p w14:paraId="212F2B2E" w14:textId="77777777" w:rsidR="00BA4D5E" w:rsidRPr="00E64A44" w:rsidRDefault="00BA4D5E" w:rsidP="005210D9">
            <w:pPr>
              <w:jc w:val="center"/>
              <w:rPr>
                <w:sz w:val="16"/>
                <w:szCs w:val="16"/>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99837F0" w14:textId="77777777" w:rsidR="00BA4D5E" w:rsidRPr="00E64A44" w:rsidRDefault="00BA4D5E" w:rsidP="005210D9">
            <w:pPr>
              <w:jc w:val="center"/>
              <w:rPr>
                <w:sz w:val="16"/>
                <w:szCs w:val="16"/>
                <w:lang w:val="en-US"/>
              </w:rPr>
            </w:pPr>
          </w:p>
        </w:tc>
      </w:tr>
      <w:tr w:rsidR="00BA4D5E" w:rsidRPr="00E64A44" w14:paraId="2E6CE995" w14:textId="77777777" w:rsidTr="005210D9">
        <w:tc>
          <w:tcPr>
            <w:tcW w:w="4395" w:type="dxa"/>
            <w:tcBorders>
              <w:top w:val="single" w:sz="4" w:space="0" w:color="auto"/>
              <w:left w:val="single" w:sz="4" w:space="0" w:color="auto"/>
              <w:bottom w:val="nil"/>
              <w:right w:val="single" w:sz="4" w:space="0" w:color="auto"/>
            </w:tcBorders>
          </w:tcPr>
          <w:p w14:paraId="4AA67478" w14:textId="1AE20D2A" w:rsidR="00BA4D5E" w:rsidRPr="00E64A44" w:rsidRDefault="00BA4D5E" w:rsidP="005210D9">
            <w:pPr>
              <w:rPr>
                <w:sz w:val="16"/>
                <w:szCs w:val="16"/>
                <w:lang w:val="en-US"/>
              </w:rPr>
            </w:pPr>
            <w:proofErr w:type="spellStart"/>
            <w:r w:rsidRPr="00E64A44">
              <w:rPr>
                <w:sz w:val="16"/>
                <w:szCs w:val="16"/>
                <w:lang w:val="en-US"/>
              </w:rPr>
              <w:t>Antiglycaemic</w:t>
            </w:r>
            <w:proofErr w:type="spellEnd"/>
            <w:r w:rsidRPr="00E64A44">
              <w:rPr>
                <w:sz w:val="16"/>
                <w:szCs w:val="16"/>
                <w:lang w:val="en-US"/>
              </w:rPr>
              <w:t xml:space="preserve"> treatment </w:t>
            </w:r>
            <w:r w:rsidR="00A25862">
              <w:rPr>
                <w:sz w:val="16"/>
                <w:szCs w:val="16"/>
                <w:lang w:val="en-US"/>
              </w:rPr>
              <w:t>[</w:t>
            </w:r>
            <w:r w:rsidRPr="00E64A44">
              <w:rPr>
                <w:sz w:val="16"/>
                <w:szCs w:val="16"/>
                <w:lang w:val="en-US"/>
              </w:rPr>
              <w:t>any</w:t>
            </w:r>
            <w:r w:rsidR="00A25862">
              <w:rPr>
                <w:sz w:val="16"/>
                <w:szCs w:val="16"/>
                <w:lang w:val="en-US"/>
              </w:rPr>
              <w:t>]</w:t>
            </w:r>
          </w:p>
        </w:tc>
        <w:tc>
          <w:tcPr>
            <w:tcW w:w="2410" w:type="dxa"/>
            <w:tcBorders>
              <w:top w:val="single" w:sz="4" w:space="0" w:color="auto"/>
              <w:left w:val="single" w:sz="4" w:space="0" w:color="auto"/>
              <w:bottom w:val="nil"/>
              <w:right w:val="single" w:sz="4" w:space="0" w:color="auto"/>
            </w:tcBorders>
          </w:tcPr>
          <w:p w14:paraId="6ECEF190"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single" w:sz="4" w:space="0" w:color="auto"/>
              <w:left w:val="single" w:sz="4" w:space="0" w:color="auto"/>
              <w:bottom w:val="nil"/>
              <w:right w:val="single" w:sz="4" w:space="0" w:color="auto"/>
            </w:tcBorders>
          </w:tcPr>
          <w:p w14:paraId="14161694" w14:textId="77777777" w:rsidR="00BA4D5E" w:rsidRPr="00E64A44" w:rsidRDefault="00BA4D5E" w:rsidP="005210D9">
            <w:pPr>
              <w:jc w:val="center"/>
              <w:rPr>
                <w:sz w:val="16"/>
                <w:szCs w:val="16"/>
              </w:rPr>
            </w:pPr>
          </w:p>
        </w:tc>
      </w:tr>
      <w:tr w:rsidR="00BA4D5E" w:rsidRPr="00E64A44" w14:paraId="3E7C9B3D" w14:textId="77777777" w:rsidTr="005210D9">
        <w:tc>
          <w:tcPr>
            <w:tcW w:w="4395" w:type="dxa"/>
            <w:tcBorders>
              <w:top w:val="nil"/>
              <w:left w:val="single" w:sz="4" w:space="0" w:color="auto"/>
              <w:bottom w:val="nil"/>
              <w:right w:val="single" w:sz="4" w:space="0" w:color="auto"/>
            </w:tcBorders>
          </w:tcPr>
          <w:p w14:paraId="2349CD5A" w14:textId="73E703D4" w:rsidR="00BA4D5E" w:rsidRPr="00E64A44" w:rsidRDefault="00BA4D5E" w:rsidP="005210D9">
            <w:pPr>
              <w:rPr>
                <w:sz w:val="16"/>
                <w:szCs w:val="16"/>
                <w:lang w:val="en-US"/>
              </w:rPr>
            </w:pPr>
            <w:proofErr w:type="spellStart"/>
            <w:r w:rsidRPr="00E64A44">
              <w:rPr>
                <w:sz w:val="16"/>
                <w:szCs w:val="16"/>
                <w:lang w:val="en-US"/>
              </w:rPr>
              <w:t>Sulphonylurea</w:t>
            </w:r>
            <w:proofErr w:type="spellEnd"/>
            <w:r w:rsidRPr="00E64A44">
              <w:rPr>
                <w:sz w:val="16"/>
                <w:szCs w:val="16"/>
                <w:lang w:val="en-US"/>
              </w:rPr>
              <w:t xml:space="preserve"> </w:t>
            </w:r>
            <w:r w:rsidR="00A25862">
              <w:rPr>
                <w:sz w:val="16"/>
                <w:szCs w:val="16"/>
                <w:lang w:val="en-US"/>
              </w:rPr>
              <w:t>[</w:t>
            </w:r>
            <w:proofErr w:type="gramStart"/>
            <w:r w:rsidRPr="00E64A44">
              <w:rPr>
                <w:sz w:val="16"/>
                <w:szCs w:val="16"/>
                <w:lang w:val="en-US"/>
              </w:rPr>
              <w:t>e.g.</w:t>
            </w:r>
            <w:proofErr w:type="gramEnd"/>
            <w:r w:rsidRPr="00E64A44">
              <w:rPr>
                <w:sz w:val="16"/>
                <w:szCs w:val="16"/>
                <w:lang w:val="en-US"/>
              </w:rPr>
              <w:t xml:space="preserve"> gliclazide</w:t>
            </w:r>
            <w:r w:rsidR="00A25862">
              <w:rPr>
                <w:sz w:val="16"/>
                <w:szCs w:val="16"/>
                <w:lang w:val="en-US"/>
              </w:rPr>
              <w:t>]</w:t>
            </w:r>
          </w:p>
        </w:tc>
        <w:tc>
          <w:tcPr>
            <w:tcW w:w="2410" w:type="dxa"/>
            <w:tcBorders>
              <w:top w:val="nil"/>
              <w:left w:val="single" w:sz="4" w:space="0" w:color="auto"/>
              <w:bottom w:val="nil"/>
              <w:right w:val="single" w:sz="4" w:space="0" w:color="auto"/>
            </w:tcBorders>
          </w:tcPr>
          <w:p w14:paraId="6157AF77"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7BF343CA" w14:textId="77777777" w:rsidR="00BA4D5E" w:rsidRPr="00E64A44" w:rsidRDefault="00BA4D5E" w:rsidP="005210D9">
            <w:pPr>
              <w:jc w:val="center"/>
              <w:rPr>
                <w:sz w:val="16"/>
                <w:szCs w:val="16"/>
              </w:rPr>
            </w:pPr>
          </w:p>
        </w:tc>
      </w:tr>
      <w:tr w:rsidR="00BA4D5E" w:rsidRPr="00E64A44" w14:paraId="40CDAAB8" w14:textId="77777777" w:rsidTr="005210D9">
        <w:tc>
          <w:tcPr>
            <w:tcW w:w="4395" w:type="dxa"/>
            <w:tcBorders>
              <w:top w:val="nil"/>
              <w:left w:val="single" w:sz="4" w:space="0" w:color="auto"/>
              <w:bottom w:val="nil"/>
              <w:right w:val="single" w:sz="4" w:space="0" w:color="auto"/>
            </w:tcBorders>
          </w:tcPr>
          <w:p w14:paraId="4D5C3A91" w14:textId="77777777" w:rsidR="00BA4D5E" w:rsidRPr="00E64A44" w:rsidRDefault="00BA4D5E" w:rsidP="005210D9">
            <w:pPr>
              <w:rPr>
                <w:sz w:val="16"/>
                <w:szCs w:val="16"/>
                <w:lang w:val="en-US"/>
              </w:rPr>
            </w:pPr>
            <w:r w:rsidRPr="00E64A44">
              <w:rPr>
                <w:sz w:val="16"/>
                <w:szCs w:val="16"/>
                <w:lang w:val="en-US"/>
              </w:rPr>
              <w:t>Metformin</w:t>
            </w:r>
          </w:p>
        </w:tc>
        <w:tc>
          <w:tcPr>
            <w:tcW w:w="2410" w:type="dxa"/>
            <w:tcBorders>
              <w:top w:val="nil"/>
              <w:left w:val="single" w:sz="4" w:space="0" w:color="auto"/>
              <w:bottom w:val="nil"/>
              <w:right w:val="single" w:sz="4" w:space="0" w:color="auto"/>
            </w:tcBorders>
          </w:tcPr>
          <w:p w14:paraId="663FAA7C"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337C40C6" w14:textId="77777777" w:rsidR="00BA4D5E" w:rsidRPr="00E64A44" w:rsidRDefault="00BA4D5E" w:rsidP="005210D9">
            <w:pPr>
              <w:jc w:val="center"/>
              <w:rPr>
                <w:sz w:val="16"/>
                <w:szCs w:val="16"/>
              </w:rPr>
            </w:pPr>
          </w:p>
        </w:tc>
      </w:tr>
      <w:tr w:rsidR="00BA4D5E" w:rsidRPr="00E64A44" w14:paraId="0D355353" w14:textId="77777777" w:rsidTr="005210D9">
        <w:tc>
          <w:tcPr>
            <w:tcW w:w="4395" w:type="dxa"/>
            <w:tcBorders>
              <w:top w:val="nil"/>
              <w:left w:val="single" w:sz="4" w:space="0" w:color="auto"/>
              <w:bottom w:val="nil"/>
              <w:right w:val="single" w:sz="4" w:space="0" w:color="auto"/>
            </w:tcBorders>
          </w:tcPr>
          <w:p w14:paraId="2D1B36ED" w14:textId="77777777" w:rsidR="00BA4D5E" w:rsidRPr="00E64A44" w:rsidRDefault="00BA4D5E" w:rsidP="005210D9">
            <w:pPr>
              <w:rPr>
                <w:sz w:val="16"/>
                <w:szCs w:val="16"/>
                <w:lang w:val="en-US"/>
              </w:rPr>
            </w:pPr>
            <w:r w:rsidRPr="00E64A44">
              <w:rPr>
                <w:sz w:val="16"/>
                <w:szCs w:val="16"/>
                <w:lang w:val="en-US"/>
              </w:rPr>
              <w:t>Insulin</w:t>
            </w:r>
          </w:p>
        </w:tc>
        <w:tc>
          <w:tcPr>
            <w:tcW w:w="2410" w:type="dxa"/>
            <w:tcBorders>
              <w:top w:val="nil"/>
              <w:left w:val="single" w:sz="4" w:space="0" w:color="auto"/>
              <w:bottom w:val="nil"/>
              <w:right w:val="single" w:sz="4" w:space="0" w:color="auto"/>
            </w:tcBorders>
          </w:tcPr>
          <w:p w14:paraId="0816F306"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7375E73F" w14:textId="77777777" w:rsidR="00BA4D5E" w:rsidRPr="00E64A44" w:rsidRDefault="00BA4D5E" w:rsidP="005210D9">
            <w:pPr>
              <w:jc w:val="center"/>
              <w:rPr>
                <w:sz w:val="16"/>
                <w:szCs w:val="16"/>
              </w:rPr>
            </w:pPr>
          </w:p>
        </w:tc>
      </w:tr>
      <w:tr w:rsidR="00BA4D5E" w:rsidRPr="00E64A44" w14:paraId="1667F0B6" w14:textId="77777777" w:rsidTr="005210D9">
        <w:tc>
          <w:tcPr>
            <w:tcW w:w="4395" w:type="dxa"/>
            <w:tcBorders>
              <w:top w:val="nil"/>
              <w:left w:val="single" w:sz="4" w:space="0" w:color="auto"/>
              <w:bottom w:val="nil"/>
              <w:right w:val="single" w:sz="4" w:space="0" w:color="auto"/>
            </w:tcBorders>
          </w:tcPr>
          <w:p w14:paraId="51CA5F4F" w14:textId="6A46210E" w:rsidR="00BA4D5E" w:rsidRPr="00E64A44" w:rsidRDefault="00BA4D5E" w:rsidP="005210D9">
            <w:pPr>
              <w:rPr>
                <w:sz w:val="16"/>
                <w:szCs w:val="16"/>
                <w:lang w:val="en-US"/>
              </w:rPr>
            </w:pPr>
            <w:r w:rsidRPr="00E64A44">
              <w:rPr>
                <w:sz w:val="16"/>
                <w:szCs w:val="16"/>
                <w:lang w:val="en-US"/>
              </w:rPr>
              <w:t xml:space="preserve">GLP-1 agonist </w:t>
            </w:r>
            <w:r w:rsidR="00A25862">
              <w:rPr>
                <w:sz w:val="16"/>
                <w:szCs w:val="16"/>
                <w:lang w:val="en-US"/>
              </w:rPr>
              <w:t>[</w:t>
            </w:r>
            <w:proofErr w:type="gramStart"/>
            <w:r w:rsidRPr="00E64A44">
              <w:rPr>
                <w:sz w:val="16"/>
                <w:szCs w:val="16"/>
                <w:lang w:val="en-US"/>
              </w:rPr>
              <w:t>e.g.</w:t>
            </w:r>
            <w:proofErr w:type="gramEnd"/>
            <w:r w:rsidRPr="00E64A44">
              <w:rPr>
                <w:sz w:val="16"/>
                <w:szCs w:val="16"/>
                <w:lang w:val="en-US"/>
              </w:rPr>
              <w:t xml:space="preserve"> </w:t>
            </w:r>
            <w:proofErr w:type="spellStart"/>
            <w:r w:rsidRPr="00E64A44">
              <w:rPr>
                <w:sz w:val="16"/>
                <w:szCs w:val="16"/>
                <w:lang w:val="en-US"/>
              </w:rPr>
              <w:t>semaglutide</w:t>
            </w:r>
            <w:proofErr w:type="spellEnd"/>
            <w:r w:rsidR="00A25862">
              <w:rPr>
                <w:sz w:val="16"/>
                <w:szCs w:val="16"/>
                <w:lang w:val="en-US"/>
              </w:rPr>
              <w:t>]</w:t>
            </w:r>
          </w:p>
        </w:tc>
        <w:tc>
          <w:tcPr>
            <w:tcW w:w="2410" w:type="dxa"/>
            <w:tcBorders>
              <w:top w:val="nil"/>
              <w:left w:val="single" w:sz="4" w:space="0" w:color="auto"/>
              <w:bottom w:val="nil"/>
              <w:right w:val="single" w:sz="4" w:space="0" w:color="auto"/>
            </w:tcBorders>
          </w:tcPr>
          <w:p w14:paraId="5BB73077" w14:textId="77777777" w:rsidR="00BA4D5E" w:rsidRPr="00E64A44" w:rsidRDefault="00BA4D5E" w:rsidP="005210D9">
            <w:pPr>
              <w:jc w:val="center"/>
              <w:rPr>
                <w:sz w:val="16"/>
                <w:szCs w:val="16"/>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1DCB2C1C" w14:textId="77777777" w:rsidR="00BA4D5E" w:rsidRPr="00E64A44" w:rsidRDefault="00BA4D5E" w:rsidP="005210D9">
            <w:pPr>
              <w:jc w:val="center"/>
              <w:rPr>
                <w:sz w:val="16"/>
                <w:szCs w:val="16"/>
              </w:rPr>
            </w:pPr>
          </w:p>
        </w:tc>
      </w:tr>
      <w:tr w:rsidR="00BA4D5E" w:rsidRPr="00E64A44" w14:paraId="02F66A65" w14:textId="77777777" w:rsidTr="005210D9">
        <w:tc>
          <w:tcPr>
            <w:tcW w:w="4395" w:type="dxa"/>
            <w:tcBorders>
              <w:top w:val="nil"/>
              <w:left w:val="single" w:sz="4" w:space="0" w:color="auto"/>
              <w:bottom w:val="nil"/>
              <w:right w:val="single" w:sz="4" w:space="0" w:color="auto"/>
            </w:tcBorders>
          </w:tcPr>
          <w:p w14:paraId="2C8A34FC" w14:textId="77777777" w:rsidR="00BA4D5E" w:rsidRPr="00E64A44" w:rsidRDefault="00BA4D5E" w:rsidP="005210D9">
            <w:pPr>
              <w:rPr>
                <w:sz w:val="16"/>
                <w:szCs w:val="16"/>
                <w:lang w:val="en-US"/>
              </w:rPr>
            </w:pPr>
            <w:r w:rsidRPr="00E64A44">
              <w:rPr>
                <w:sz w:val="16"/>
                <w:szCs w:val="16"/>
                <w:lang w:val="en-US"/>
              </w:rPr>
              <w:t>Pioglitazone</w:t>
            </w:r>
          </w:p>
        </w:tc>
        <w:tc>
          <w:tcPr>
            <w:tcW w:w="2410" w:type="dxa"/>
            <w:tcBorders>
              <w:top w:val="nil"/>
              <w:left w:val="single" w:sz="4" w:space="0" w:color="auto"/>
              <w:bottom w:val="nil"/>
              <w:right w:val="single" w:sz="4" w:space="0" w:color="auto"/>
            </w:tcBorders>
          </w:tcPr>
          <w:p w14:paraId="4D1F6A3C"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493B4C99" w14:textId="77777777" w:rsidR="00BA4D5E" w:rsidRPr="00E64A44" w:rsidRDefault="00BA4D5E" w:rsidP="005210D9">
            <w:pPr>
              <w:jc w:val="center"/>
              <w:rPr>
                <w:sz w:val="16"/>
                <w:szCs w:val="16"/>
              </w:rPr>
            </w:pPr>
          </w:p>
        </w:tc>
      </w:tr>
      <w:tr w:rsidR="00BA4D5E" w:rsidRPr="00E64A44" w14:paraId="5CDCA37B" w14:textId="77777777" w:rsidTr="005210D9">
        <w:tc>
          <w:tcPr>
            <w:tcW w:w="4395" w:type="dxa"/>
            <w:tcBorders>
              <w:top w:val="nil"/>
              <w:left w:val="single" w:sz="4" w:space="0" w:color="auto"/>
              <w:bottom w:val="nil"/>
              <w:right w:val="single" w:sz="4" w:space="0" w:color="auto"/>
            </w:tcBorders>
          </w:tcPr>
          <w:p w14:paraId="425C4BE1" w14:textId="7FC03FAB" w:rsidR="00BA4D5E" w:rsidRPr="00E64A44" w:rsidRDefault="00BA4D5E" w:rsidP="005210D9">
            <w:pPr>
              <w:rPr>
                <w:sz w:val="16"/>
                <w:szCs w:val="16"/>
                <w:lang w:val="en-US"/>
              </w:rPr>
            </w:pPr>
            <w:r w:rsidRPr="00E64A44">
              <w:rPr>
                <w:sz w:val="16"/>
                <w:szCs w:val="16"/>
                <w:lang w:val="en-US"/>
              </w:rPr>
              <w:t xml:space="preserve">SGL2 inhibitor </w:t>
            </w:r>
            <w:r w:rsidR="00A25862">
              <w:rPr>
                <w:sz w:val="16"/>
                <w:szCs w:val="16"/>
                <w:lang w:val="en-US"/>
              </w:rPr>
              <w:t>[</w:t>
            </w:r>
            <w:proofErr w:type="spellStart"/>
            <w:r w:rsidRPr="00E64A44">
              <w:rPr>
                <w:sz w:val="16"/>
                <w:szCs w:val="16"/>
                <w:lang w:val="en-US"/>
              </w:rPr>
              <w:t>e.g</w:t>
            </w:r>
            <w:proofErr w:type="spellEnd"/>
            <w:r w:rsidRPr="00E64A44">
              <w:rPr>
                <w:sz w:val="16"/>
                <w:szCs w:val="16"/>
                <w:lang w:val="en-US"/>
              </w:rPr>
              <w:t xml:space="preserve"> …</w:t>
            </w:r>
            <w:proofErr w:type="spellStart"/>
            <w:r w:rsidRPr="00E64A44">
              <w:rPr>
                <w:sz w:val="16"/>
                <w:szCs w:val="16"/>
                <w:lang w:val="en-US"/>
              </w:rPr>
              <w:t>flozins</w:t>
            </w:r>
            <w:proofErr w:type="spellEnd"/>
            <w:r w:rsidR="00A25862">
              <w:rPr>
                <w:sz w:val="16"/>
                <w:szCs w:val="16"/>
                <w:lang w:val="en-US"/>
              </w:rPr>
              <w:t>]</w:t>
            </w:r>
          </w:p>
        </w:tc>
        <w:tc>
          <w:tcPr>
            <w:tcW w:w="2410" w:type="dxa"/>
            <w:tcBorders>
              <w:top w:val="nil"/>
              <w:left w:val="single" w:sz="4" w:space="0" w:color="auto"/>
              <w:bottom w:val="nil"/>
              <w:right w:val="single" w:sz="4" w:space="0" w:color="auto"/>
            </w:tcBorders>
          </w:tcPr>
          <w:p w14:paraId="69D7D081"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1766C693" w14:textId="77777777" w:rsidR="00BA4D5E" w:rsidRPr="00E64A44" w:rsidRDefault="00BA4D5E" w:rsidP="005210D9">
            <w:pPr>
              <w:jc w:val="center"/>
              <w:rPr>
                <w:sz w:val="16"/>
                <w:szCs w:val="16"/>
              </w:rPr>
            </w:pPr>
          </w:p>
        </w:tc>
      </w:tr>
      <w:tr w:rsidR="00BA4D5E" w:rsidRPr="00E64A44" w14:paraId="7FD022D1" w14:textId="77777777" w:rsidTr="005210D9">
        <w:tc>
          <w:tcPr>
            <w:tcW w:w="4395" w:type="dxa"/>
            <w:tcBorders>
              <w:top w:val="nil"/>
              <w:left w:val="single" w:sz="4" w:space="0" w:color="auto"/>
              <w:bottom w:val="nil"/>
              <w:right w:val="single" w:sz="4" w:space="0" w:color="auto"/>
            </w:tcBorders>
          </w:tcPr>
          <w:p w14:paraId="17789AB9" w14:textId="31FF63EE" w:rsidR="00BA4D5E" w:rsidRPr="00E64A44" w:rsidRDefault="00BA4D5E" w:rsidP="005210D9">
            <w:pPr>
              <w:rPr>
                <w:sz w:val="16"/>
                <w:szCs w:val="16"/>
                <w:lang w:val="en-US"/>
              </w:rPr>
            </w:pPr>
            <w:r w:rsidRPr="00E64A44">
              <w:rPr>
                <w:sz w:val="16"/>
                <w:szCs w:val="16"/>
                <w:lang w:val="en-US"/>
              </w:rPr>
              <w:t xml:space="preserve">Anticoagulants </w:t>
            </w:r>
            <w:r w:rsidR="00A25862">
              <w:rPr>
                <w:sz w:val="16"/>
                <w:szCs w:val="16"/>
                <w:lang w:val="en-US"/>
              </w:rPr>
              <w:t>[</w:t>
            </w:r>
            <w:r w:rsidRPr="00E64A44">
              <w:rPr>
                <w:sz w:val="16"/>
                <w:szCs w:val="16"/>
                <w:lang w:val="en-US"/>
              </w:rPr>
              <w:t>DOAC or warfarin</w:t>
            </w:r>
          </w:p>
        </w:tc>
        <w:tc>
          <w:tcPr>
            <w:tcW w:w="2410" w:type="dxa"/>
            <w:tcBorders>
              <w:top w:val="nil"/>
              <w:left w:val="single" w:sz="4" w:space="0" w:color="auto"/>
              <w:bottom w:val="nil"/>
              <w:right w:val="single" w:sz="4" w:space="0" w:color="auto"/>
            </w:tcBorders>
          </w:tcPr>
          <w:p w14:paraId="08D47A69" w14:textId="77777777" w:rsidR="00BA4D5E" w:rsidRPr="00E64A44" w:rsidRDefault="00BA4D5E" w:rsidP="005210D9">
            <w:pPr>
              <w:jc w:val="center"/>
              <w:rPr>
                <w:sz w:val="16"/>
                <w:szCs w:val="16"/>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5A68C165" w14:textId="77777777" w:rsidR="00BA4D5E" w:rsidRPr="00E64A44" w:rsidRDefault="00BA4D5E" w:rsidP="005210D9">
            <w:pPr>
              <w:jc w:val="center"/>
              <w:rPr>
                <w:sz w:val="16"/>
                <w:szCs w:val="16"/>
              </w:rPr>
            </w:pPr>
          </w:p>
        </w:tc>
      </w:tr>
      <w:tr w:rsidR="00BA4D5E" w:rsidRPr="00E64A44" w14:paraId="7AF6E435" w14:textId="77777777" w:rsidTr="005210D9">
        <w:tc>
          <w:tcPr>
            <w:tcW w:w="4395" w:type="dxa"/>
            <w:tcBorders>
              <w:top w:val="nil"/>
              <w:left w:val="single" w:sz="4" w:space="0" w:color="auto"/>
              <w:bottom w:val="nil"/>
              <w:right w:val="single" w:sz="4" w:space="0" w:color="auto"/>
            </w:tcBorders>
          </w:tcPr>
          <w:p w14:paraId="6ED4B80A" w14:textId="6F9B2CD0" w:rsidR="00BA4D5E" w:rsidRPr="00E64A44" w:rsidRDefault="00BA4D5E" w:rsidP="005210D9">
            <w:pPr>
              <w:rPr>
                <w:sz w:val="16"/>
                <w:szCs w:val="16"/>
                <w:lang w:val="en-US"/>
              </w:rPr>
            </w:pPr>
            <w:r w:rsidRPr="00E64A44">
              <w:rPr>
                <w:sz w:val="16"/>
                <w:szCs w:val="16"/>
                <w:lang w:val="en-US"/>
              </w:rPr>
              <w:t xml:space="preserve">Antihypertensives </w:t>
            </w:r>
            <w:r w:rsidR="00A25862">
              <w:rPr>
                <w:sz w:val="16"/>
                <w:szCs w:val="16"/>
                <w:lang w:val="en-US"/>
              </w:rPr>
              <w:t>[</w:t>
            </w:r>
            <w:r w:rsidRPr="00E64A44">
              <w:rPr>
                <w:sz w:val="16"/>
                <w:szCs w:val="16"/>
                <w:lang w:val="en-US"/>
              </w:rPr>
              <w:t>any</w:t>
            </w:r>
            <w:r w:rsidR="00A25862">
              <w:rPr>
                <w:sz w:val="16"/>
                <w:szCs w:val="16"/>
                <w:lang w:val="en-US"/>
              </w:rPr>
              <w:t>]</w:t>
            </w:r>
          </w:p>
        </w:tc>
        <w:tc>
          <w:tcPr>
            <w:tcW w:w="2410" w:type="dxa"/>
            <w:tcBorders>
              <w:top w:val="nil"/>
              <w:left w:val="single" w:sz="4" w:space="0" w:color="auto"/>
              <w:bottom w:val="nil"/>
              <w:right w:val="single" w:sz="4" w:space="0" w:color="auto"/>
            </w:tcBorders>
          </w:tcPr>
          <w:p w14:paraId="71A54B3F" w14:textId="77777777" w:rsidR="00BA4D5E" w:rsidRPr="00E64A44" w:rsidRDefault="00BA4D5E" w:rsidP="005210D9">
            <w:pPr>
              <w:jc w:val="center"/>
              <w:rPr>
                <w:sz w:val="16"/>
                <w:szCs w:val="16"/>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6D449437" w14:textId="77777777" w:rsidR="00BA4D5E" w:rsidRPr="00E64A44" w:rsidRDefault="00BA4D5E" w:rsidP="005210D9">
            <w:pPr>
              <w:jc w:val="center"/>
              <w:rPr>
                <w:sz w:val="16"/>
                <w:szCs w:val="16"/>
              </w:rPr>
            </w:pPr>
          </w:p>
        </w:tc>
      </w:tr>
      <w:tr w:rsidR="00BA4D5E" w:rsidRPr="00E64A44" w14:paraId="41831683" w14:textId="77777777" w:rsidTr="005210D9">
        <w:tc>
          <w:tcPr>
            <w:tcW w:w="4395" w:type="dxa"/>
            <w:tcBorders>
              <w:top w:val="nil"/>
              <w:left w:val="single" w:sz="4" w:space="0" w:color="auto"/>
              <w:bottom w:val="nil"/>
              <w:right w:val="single" w:sz="4" w:space="0" w:color="auto"/>
            </w:tcBorders>
          </w:tcPr>
          <w:p w14:paraId="6C9DCA8D" w14:textId="0B42CEE4" w:rsidR="00BA4D5E" w:rsidRPr="00E64A44" w:rsidRDefault="00BA4D5E" w:rsidP="005210D9">
            <w:pPr>
              <w:rPr>
                <w:sz w:val="16"/>
                <w:szCs w:val="16"/>
                <w:lang w:val="en-US"/>
              </w:rPr>
            </w:pPr>
            <w:r w:rsidRPr="00E64A44">
              <w:rPr>
                <w:sz w:val="16"/>
                <w:szCs w:val="16"/>
                <w:lang w:val="en-US"/>
              </w:rPr>
              <w:t xml:space="preserve">ACE </w:t>
            </w:r>
            <w:r w:rsidR="00A25862">
              <w:rPr>
                <w:sz w:val="16"/>
                <w:szCs w:val="16"/>
                <w:lang w:val="en-US"/>
              </w:rPr>
              <w:t>[</w:t>
            </w:r>
            <w:proofErr w:type="gramStart"/>
            <w:r w:rsidRPr="00E64A44">
              <w:rPr>
                <w:sz w:val="16"/>
                <w:szCs w:val="16"/>
                <w:lang w:val="en-US"/>
              </w:rPr>
              <w:t>e.g.</w:t>
            </w:r>
            <w:proofErr w:type="gramEnd"/>
            <w:r w:rsidRPr="00E64A44">
              <w:rPr>
                <w:sz w:val="16"/>
                <w:szCs w:val="16"/>
                <w:lang w:val="en-US"/>
              </w:rPr>
              <w:t xml:space="preserve"> ramipril</w:t>
            </w:r>
            <w:r w:rsidR="00A25862">
              <w:rPr>
                <w:sz w:val="16"/>
                <w:szCs w:val="16"/>
                <w:lang w:val="en-US"/>
              </w:rPr>
              <w:t>]</w:t>
            </w:r>
          </w:p>
        </w:tc>
        <w:tc>
          <w:tcPr>
            <w:tcW w:w="2410" w:type="dxa"/>
            <w:tcBorders>
              <w:top w:val="nil"/>
              <w:left w:val="single" w:sz="4" w:space="0" w:color="auto"/>
              <w:bottom w:val="nil"/>
              <w:right w:val="single" w:sz="4" w:space="0" w:color="auto"/>
            </w:tcBorders>
          </w:tcPr>
          <w:p w14:paraId="7C706274"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7E7DF73F" w14:textId="77777777" w:rsidR="00BA4D5E" w:rsidRPr="00E64A44" w:rsidRDefault="00BA4D5E" w:rsidP="005210D9">
            <w:pPr>
              <w:jc w:val="center"/>
              <w:rPr>
                <w:sz w:val="16"/>
                <w:szCs w:val="16"/>
              </w:rPr>
            </w:pPr>
          </w:p>
        </w:tc>
      </w:tr>
      <w:tr w:rsidR="00BA4D5E" w:rsidRPr="00E64A44" w14:paraId="27E29469" w14:textId="77777777" w:rsidTr="005210D9">
        <w:tc>
          <w:tcPr>
            <w:tcW w:w="4395" w:type="dxa"/>
            <w:tcBorders>
              <w:top w:val="nil"/>
              <w:left w:val="single" w:sz="4" w:space="0" w:color="auto"/>
              <w:bottom w:val="nil"/>
              <w:right w:val="single" w:sz="4" w:space="0" w:color="auto"/>
            </w:tcBorders>
          </w:tcPr>
          <w:p w14:paraId="5D036559" w14:textId="4A58149F" w:rsidR="00BA4D5E" w:rsidRPr="00E64A44" w:rsidRDefault="00BA4D5E" w:rsidP="005210D9">
            <w:pPr>
              <w:rPr>
                <w:sz w:val="16"/>
                <w:szCs w:val="16"/>
                <w:lang w:val="en-US"/>
              </w:rPr>
            </w:pPr>
            <w:r w:rsidRPr="00E64A44">
              <w:rPr>
                <w:sz w:val="16"/>
                <w:szCs w:val="16"/>
                <w:lang w:val="en-US"/>
              </w:rPr>
              <w:t xml:space="preserve">ARBs </w:t>
            </w:r>
            <w:r w:rsidR="00A25862">
              <w:rPr>
                <w:sz w:val="16"/>
                <w:szCs w:val="16"/>
                <w:lang w:val="en-US"/>
              </w:rPr>
              <w:t>[</w:t>
            </w:r>
            <w:proofErr w:type="gramStart"/>
            <w:r w:rsidRPr="00E64A44">
              <w:rPr>
                <w:sz w:val="16"/>
                <w:szCs w:val="16"/>
                <w:lang w:val="en-US"/>
              </w:rPr>
              <w:t>e.g.</w:t>
            </w:r>
            <w:proofErr w:type="gramEnd"/>
            <w:r w:rsidRPr="00E64A44">
              <w:rPr>
                <w:sz w:val="16"/>
                <w:szCs w:val="16"/>
                <w:lang w:val="en-US"/>
              </w:rPr>
              <w:t xml:space="preserve"> candesartan</w:t>
            </w:r>
            <w:r w:rsidR="00A25862">
              <w:rPr>
                <w:sz w:val="16"/>
                <w:szCs w:val="16"/>
                <w:lang w:val="en-US"/>
              </w:rPr>
              <w:t>]</w:t>
            </w:r>
          </w:p>
        </w:tc>
        <w:tc>
          <w:tcPr>
            <w:tcW w:w="2410" w:type="dxa"/>
            <w:tcBorders>
              <w:top w:val="nil"/>
              <w:left w:val="single" w:sz="4" w:space="0" w:color="auto"/>
              <w:bottom w:val="nil"/>
              <w:right w:val="single" w:sz="4" w:space="0" w:color="auto"/>
            </w:tcBorders>
          </w:tcPr>
          <w:p w14:paraId="6653E54A"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3B903F8B" w14:textId="77777777" w:rsidR="00BA4D5E" w:rsidRPr="00E64A44" w:rsidRDefault="00BA4D5E" w:rsidP="005210D9">
            <w:pPr>
              <w:jc w:val="center"/>
              <w:rPr>
                <w:sz w:val="16"/>
                <w:szCs w:val="16"/>
              </w:rPr>
            </w:pPr>
          </w:p>
        </w:tc>
      </w:tr>
      <w:tr w:rsidR="00BA4D5E" w:rsidRPr="00E64A44" w14:paraId="4E490E09" w14:textId="77777777" w:rsidTr="005210D9">
        <w:tc>
          <w:tcPr>
            <w:tcW w:w="4395" w:type="dxa"/>
            <w:tcBorders>
              <w:top w:val="nil"/>
              <w:left w:val="single" w:sz="4" w:space="0" w:color="auto"/>
              <w:bottom w:val="nil"/>
              <w:right w:val="single" w:sz="4" w:space="0" w:color="auto"/>
            </w:tcBorders>
          </w:tcPr>
          <w:p w14:paraId="3A643C9D" w14:textId="3BCB4A36" w:rsidR="00BA4D5E" w:rsidRPr="00E64A44" w:rsidRDefault="00BA4D5E" w:rsidP="005210D9">
            <w:pPr>
              <w:rPr>
                <w:sz w:val="16"/>
                <w:szCs w:val="16"/>
                <w:lang w:val="en-US"/>
              </w:rPr>
            </w:pPr>
            <w:r w:rsidRPr="00E64A44">
              <w:rPr>
                <w:sz w:val="16"/>
                <w:szCs w:val="16"/>
                <w:lang w:val="en-US"/>
              </w:rPr>
              <w:t xml:space="preserve">B-blockers </w:t>
            </w:r>
            <w:r w:rsidR="00A25862">
              <w:rPr>
                <w:sz w:val="16"/>
                <w:szCs w:val="16"/>
                <w:lang w:val="en-US"/>
              </w:rPr>
              <w:t>[</w:t>
            </w:r>
            <w:proofErr w:type="gramStart"/>
            <w:r w:rsidRPr="00E64A44">
              <w:rPr>
                <w:sz w:val="16"/>
                <w:szCs w:val="16"/>
                <w:lang w:val="en-US"/>
              </w:rPr>
              <w:t>e.g.</w:t>
            </w:r>
            <w:proofErr w:type="gramEnd"/>
            <w:r w:rsidRPr="00E64A44">
              <w:rPr>
                <w:sz w:val="16"/>
                <w:szCs w:val="16"/>
                <w:lang w:val="en-US"/>
              </w:rPr>
              <w:t xml:space="preserve"> bisoprolol</w:t>
            </w:r>
            <w:r w:rsidR="00A25862">
              <w:rPr>
                <w:sz w:val="16"/>
                <w:szCs w:val="16"/>
                <w:lang w:val="en-US"/>
              </w:rPr>
              <w:t>]</w:t>
            </w:r>
          </w:p>
        </w:tc>
        <w:tc>
          <w:tcPr>
            <w:tcW w:w="2410" w:type="dxa"/>
            <w:tcBorders>
              <w:top w:val="nil"/>
              <w:left w:val="single" w:sz="4" w:space="0" w:color="auto"/>
              <w:bottom w:val="nil"/>
              <w:right w:val="single" w:sz="4" w:space="0" w:color="auto"/>
            </w:tcBorders>
          </w:tcPr>
          <w:p w14:paraId="32761CEA"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78401A97" w14:textId="77777777" w:rsidR="00BA4D5E" w:rsidRPr="00E64A44" w:rsidRDefault="00BA4D5E" w:rsidP="005210D9">
            <w:pPr>
              <w:jc w:val="center"/>
              <w:rPr>
                <w:sz w:val="16"/>
                <w:szCs w:val="16"/>
              </w:rPr>
            </w:pPr>
          </w:p>
        </w:tc>
      </w:tr>
      <w:tr w:rsidR="00BA4D5E" w:rsidRPr="00E64A44" w14:paraId="05EF893A" w14:textId="77777777" w:rsidTr="005210D9">
        <w:tc>
          <w:tcPr>
            <w:tcW w:w="4395" w:type="dxa"/>
            <w:tcBorders>
              <w:top w:val="nil"/>
              <w:left w:val="single" w:sz="4" w:space="0" w:color="auto"/>
              <w:bottom w:val="nil"/>
              <w:right w:val="single" w:sz="4" w:space="0" w:color="auto"/>
            </w:tcBorders>
          </w:tcPr>
          <w:p w14:paraId="63AC60C9" w14:textId="4BC7A0CA" w:rsidR="00BA4D5E" w:rsidRPr="00E64A44" w:rsidRDefault="00BA4D5E" w:rsidP="005210D9">
            <w:pPr>
              <w:rPr>
                <w:sz w:val="16"/>
                <w:szCs w:val="16"/>
                <w:lang w:val="en-US"/>
              </w:rPr>
            </w:pPr>
            <w:r w:rsidRPr="00E64A44">
              <w:rPr>
                <w:sz w:val="16"/>
                <w:szCs w:val="16"/>
                <w:lang w:val="en-US"/>
              </w:rPr>
              <w:t xml:space="preserve">Thiazides </w:t>
            </w:r>
            <w:r w:rsidR="00A25862">
              <w:rPr>
                <w:sz w:val="16"/>
                <w:szCs w:val="16"/>
                <w:lang w:val="en-US"/>
              </w:rPr>
              <w:t>[</w:t>
            </w:r>
            <w:proofErr w:type="gramStart"/>
            <w:r w:rsidRPr="00E64A44">
              <w:rPr>
                <w:sz w:val="16"/>
                <w:szCs w:val="16"/>
                <w:lang w:val="en-US"/>
              </w:rPr>
              <w:t>e.g.</w:t>
            </w:r>
            <w:proofErr w:type="gramEnd"/>
            <w:r w:rsidRPr="00E64A44">
              <w:rPr>
                <w:sz w:val="16"/>
                <w:szCs w:val="16"/>
                <w:lang w:val="en-US"/>
              </w:rPr>
              <w:t xml:space="preserve"> BTZ</w:t>
            </w:r>
            <w:r w:rsidR="00A25862">
              <w:rPr>
                <w:sz w:val="16"/>
                <w:szCs w:val="16"/>
                <w:lang w:val="en-US"/>
              </w:rPr>
              <w:t>]</w:t>
            </w:r>
          </w:p>
        </w:tc>
        <w:tc>
          <w:tcPr>
            <w:tcW w:w="2410" w:type="dxa"/>
            <w:tcBorders>
              <w:top w:val="nil"/>
              <w:left w:val="single" w:sz="4" w:space="0" w:color="auto"/>
              <w:bottom w:val="nil"/>
              <w:right w:val="single" w:sz="4" w:space="0" w:color="auto"/>
            </w:tcBorders>
          </w:tcPr>
          <w:p w14:paraId="6709DFFA"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00E25550" w14:textId="77777777" w:rsidR="00BA4D5E" w:rsidRPr="00E64A44" w:rsidRDefault="00BA4D5E" w:rsidP="005210D9">
            <w:pPr>
              <w:jc w:val="center"/>
              <w:rPr>
                <w:sz w:val="16"/>
                <w:szCs w:val="16"/>
              </w:rPr>
            </w:pPr>
          </w:p>
        </w:tc>
      </w:tr>
      <w:tr w:rsidR="00BA4D5E" w:rsidRPr="00E64A44" w14:paraId="7B5041F5" w14:textId="77777777" w:rsidTr="005210D9">
        <w:tc>
          <w:tcPr>
            <w:tcW w:w="4395" w:type="dxa"/>
            <w:tcBorders>
              <w:top w:val="nil"/>
              <w:left w:val="single" w:sz="4" w:space="0" w:color="auto"/>
              <w:bottom w:val="nil"/>
              <w:right w:val="single" w:sz="4" w:space="0" w:color="auto"/>
            </w:tcBorders>
          </w:tcPr>
          <w:p w14:paraId="51701B29" w14:textId="1F4AC0F6" w:rsidR="00BA4D5E" w:rsidRPr="00E64A44" w:rsidRDefault="00BA4D5E" w:rsidP="005210D9">
            <w:pPr>
              <w:rPr>
                <w:sz w:val="16"/>
                <w:szCs w:val="16"/>
                <w:lang w:val="en-US"/>
              </w:rPr>
            </w:pPr>
            <w:r w:rsidRPr="00E64A44">
              <w:rPr>
                <w:sz w:val="16"/>
                <w:szCs w:val="16"/>
                <w:lang w:val="en-US"/>
              </w:rPr>
              <w:t xml:space="preserve">Calcium channel blockers </w:t>
            </w:r>
            <w:r w:rsidR="00A25862">
              <w:rPr>
                <w:sz w:val="16"/>
                <w:szCs w:val="16"/>
                <w:lang w:val="en-US"/>
              </w:rPr>
              <w:t>[</w:t>
            </w:r>
            <w:proofErr w:type="gramStart"/>
            <w:r w:rsidRPr="00E64A44">
              <w:rPr>
                <w:sz w:val="16"/>
                <w:szCs w:val="16"/>
                <w:lang w:val="en-US"/>
              </w:rPr>
              <w:t>e.g.</w:t>
            </w:r>
            <w:proofErr w:type="gramEnd"/>
            <w:r w:rsidRPr="00E64A44">
              <w:rPr>
                <w:sz w:val="16"/>
                <w:szCs w:val="16"/>
                <w:lang w:val="en-US"/>
              </w:rPr>
              <w:t xml:space="preserve"> amlodipine</w:t>
            </w:r>
            <w:r w:rsidR="00A25862">
              <w:rPr>
                <w:sz w:val="16"/>
                <w:szCs w:val="16"/>
                <w:lang w:val="en-US"/>
              </w:rPr>
              <w:t>]</w:t>
            </w:r>
          </w:p>
        </w:tc>
        <w:tc>
          <w:tcPr>
            <w:tcW w:w="2410" w:type="dxa"/>
            <w:tcBorders>
              <w:top w:val="nil"/>
              <w:left w:val="single" w:sz="4" w:space="0" w:color="auto"/>
              <w:bottom w:val="nil"/>
              <w:right w:val="single" w:sz="4" w:space="0" w:color="auto"/>
            </w:tcBorders>
          </w:tcPr>
          <w:p w14:paraId="54CED5DC"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1DEF2AF9" w14:textId="77777777" w:rsidR="00BA4D5E" w:rsidRPr="00E64A44" w:rsidRDefault="00BA4D5E" w:rsidP="005210D9">
            <w:pPr>
              <w:jc w:val="center"/>
              <w:rPr>
                <w:sz w:val="16"/>
                <w:szCs w:val="16"/>
              </w:rPr>
            </w:pPr>
          </w:p>
        </w:tc>
      </w:tr>
      <w:tr w:rsidR="00BA4D5E" w:rsidRPr="00E64A44" w14:paraId="455A6327" w14:textId="77777777" w:rsidTr="005210D9">
        <w:tc>
          <w:tcPr>
            <w:tcW w:w="4395" w:type="dxa"/>
            <w:tcBorders>
              <w:top w:val="nil"/>
              <w:left w:val="single" w:sz="4" w:space="0" w:color="auto"/>
              <w:bottom w:val="nil"/>
              <w:right w:val="single" w:sz="4" w:space="0" w:color="auto"/>
            </w:tcBorders>
          </w:tcPr>
          <w:p w14:paraId="50FF5A5A" w14:textId="77777777" w:rsidR="00BA4D5E" w:rsidRPr="00E64A44" w:rsidRDefault="00BA4D5E" w:rsidP="005210D9">
            <w:pPr>
              <w:rPr>
                <w:sz w:val="16"/>
                <w:szCs w:val="16"/>
                <w:lang w:val="en-US"/>
              </w:rPr>
            </w:pPr>
            <w:r w:rsidRPr="00E64A44">
              <w:rPr>
                <w:sz w:val="16"/>
                <w:szCs w:val="16"/>
                <w:lang w:val="en-US"/>
              </w:rPr>
              <w:t>Antidepressants</w:t>
            </w:r>
          </w:p>
        </w:tc>
        <w:tc>
          <w:tcPr>
            <w:tcW w:w="2410" w:type="dxa"/>
            <w:tcBorders>
              <w:top w:val="nil"/>
              <w:left w:val="single" w:sz="4" w:space="0" w:color="auto"/>
              <w:bottom w:val="nil"/>
              <w:right w:val="single" w:sz="4" w:space="0" w:color="auto"/>
            </w:tcBorders>
          </w:tcPr>
          <w:p w14:paraId="6F39FC65" w14:textId="77777777" w:rsidR="00BA4D5E" w:rsidRPr="00E64A44" w:rsidRDefault="00BA4D5E" w:rsidP="005210D9">
            <w:pPr>
              <w:jc w:val="center"/>
              <w:rPr>
                <w:sz w:val="16"/>
                <w:szCs w:val="16"/>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1E949665" w14:textId="77777777" w:rsidR="00BA4D5E" w:rsidRPr="00E64A44" w:rsidRDefault="00BA4D5E" w:rsidP="005210D9">
            <w:pPr>
              <w:jc w:val="center"/>
              <w:rPr>
                <w:sz w:val="16"/>
                <w:szCs w:val="16"/>
              </w:rPr>
            </w:pPr>
          </w:p>
        </w:tc>
      </w:tr>
      <w:tr w:rsidR="00BA4D5E" w:rsidRPr="00E64A44" w14:paraId="6778949A" w14:textId="77777777" w:rsidTr="005210D9">
        <w:tc>
          <w:tcPr>
            <w:tcW w:w="4395" w:type="dxa"/>
            <w:tcBorders>
              <w:top w:val="nil"/>
              <w:left w:val="single" w:sz="4" w:space="0" w:color="auto"/>
              <w:bottom w:val="nil"/>
              <w:right w:val="single" w:sz="4" w:space="0" w:color="auto"/>
            </w:tcBorders>
          </w:tcPr>
          <w:p w14:paraId="379AAD6E" w14:textId="77777777" w:rsidR="00BA4D5E" w:rsidRPr="00E64A44" w:rsidRDefault="00BA4D5E" w:rsidP="005210D9">
            <w:pPr>
              <w:rPr>
                <w:sz w:val="16"/>
                <w:szCs w:val="16"/>
                <w:lang w:val="en-US"/>
              </w:rPr>
            </w:pPr>
            <w:r w:rsidRPr="00E64A44">
              <w:rPr>
                <w:sz w:val="16"/>
                <w:szCs w:val="16"/>
                <w:lang w:val="en-US"/>
              </w:rPr>
              <w:t>Fibrates</w:t>
            </w:r>
          </w:p>
        </w:tc>
        <w:tc>
          <w:tcPr>
            <w:tcW w:w="2410" w:type="dxa"/>
            <w:tcBorders>
              <w:top w:val="nil"/>
              <w:left w:val="single" w:sz="4" w:space="0" w:color="auto"/>
              <w:bottom w:val="nil"/>
              <w:right w:val="single" w:sz="4" w:space="0" w:color="auto"/>
            </w:tcBorders>
          </w:tcPr>
          <w:p w14:paraId="43FC1BC5"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tcPr>
          <w:p w14:paraId="39C220FE" w14:textId="77777777" w:rsidR="00BA4D5E" w:rsidRPr="00E64A44" w:rsidRDefault="00BA4D5E" w:rsidP="005210D9">
            <w:pPr>
              <w:jc w:val="center"/>
              <w:rPr>
                <w:sz w:val="16"/>
                <w:szCs w:val="16"/>
              </w:rPr>
            </w:pPr>
          </w:p>
        </w:tc>
      </w:tr>
      <w:tr w:rsidR="00BA4D5E" w:rsidRPr="00E64A44" w14:paraId="43648308" w14:textId="77777777" w:rsidTr="005210D9">
        <w:tc>
          <w:tcPr>
            <w:tcW w:w="4395" w:type="dxa"/>
            <w:tcBorders>
              <w:top w:val="nil"/>
              <w:left w:val="single" w:sz="4" w:space="0" w:color="auto"/>
              <w:bottom w:val="single" w:sz="4" w:space="0" w:color="auto"/>
              <w:right w:val="single" w:sz="4" w:space="0" w:color="auto"/>
            </w:tcBorders>
          </w:tcPr>
          <w:p w14:paraId="17E9BA1B" w14:textId="77777777" w:rsidR="00BA4D5E" w:rsidRPr="00E64A44" w:rsidRDefault="00BA4D5E" w:rsidP="005210D9">
            <w:pPr>
              <w:rPr>
                <w:sz w:val="16"/>
                <w:szCs w:val="16"/>
                <w:lang w:val="en-US"/>
              </w:rPr>
            </w:pPr>
            <w:r w:rsidRPr="00E64A44">
              <w:rPr>
                <w:sz w:val="16"/>
                <w:szCs w:val="16"/>
                <w:lang w:val="en-US"/>
              </w:rPr>
              <w:t>Statins</w:t>
            </w:r>
          </w:p>
        </w:tc>
        <w:tc>
          <w:tcPr>
            <w:tcW w:w="2410" w:type="dxa"/>
            <w:tcBorders>
              <w:top w:val="nil"/>
              <w:left w:val="single" w:sz="4" w:space="0" w:color="auto"/>
              <w:bottom w:val="single" w:sz="4" w:space="0" w:color="auto"/>
              <w:right w:val="single" w:sz="4" w:space="0" w:color="auto"/>
            </w:tcBorders>
          </w:tcPr>
          <w:p w14:paraId="7C954F55" w14:textId="77777777" w:rsidR="00BA4D5E" w:rsidRPr="00E64A44" w:rsidRDefault="00BA4D5E" w:rsidP="005210D9">
            <w:pPr>
              <w:jc w:val="center"/>
              <w:rPr>
                <w:sz w:val="16"/>
                <w:szCs w:val="16"/>
              </w:rPr>
            </w:pPr>
            <w:r w:rsidRPr="00E64A44">
              <w:rPr>
                <w:sz w:val="16"/>
                <w:szCs w:val="16"/>
                <w:lang w:val="en-US"/>
              </w:rPr>
              <w:sym w:font="Wingdings" w:char="F0FC"/>
            </w:r>
          </w:p>
        </w:tc>
        <w:tc>
          <w:tcPr>
            <w:tcW w:w="3118" w:type="dxa"/>
            <w:tcBorders>
              <w:top w:val="nil"/>
              <w:left w:val="single" w:sz="4" w:space="0" w:color="auto"/>
              <w:bottom w:val="single" w:sz="4" w:space="0" w:color="auto"/>
              <w:right w:val="single" w:sz="4" w:space="0" w:color="auto"/>
            </w:tcBorders>
          </w:tcPr>
          <w:p w14:paraId="0711728F" w14:textId="77777777" w:rsidR="00BA4D5E" w:rsidRPr="00E64A44" w:rsidRDefault="00BA4D5E" w:rsidP="005210D9">
            <w:pPr>
              <w:jc w:val="center"/>
              <w:rPr>
                <w:sz w:val="16"/>
                <w:szCs w:val="16"/>
              </w:rPr>
            </w:pPr>
          </w:p>
        </w:tc>
      </w:tr>
      <w:tr w:rsidR="00BA4D5E" w:rsidRPr="00E64A44" w14:paraId="0F44DB5D" w14:textId="77777777" w:rsidTr="005210D9">
        <w:tc>
          <w:tcPr>
            <w:tcW w:w="4395" w:type="dxa"/>
            <w:tcBorders>
              <w:top w:val="single" w:sz="4" w:space="0" w:color="auto"/>
              <w:bottom w:val="single" w:sz="4" w:space="0" w:color="auto"/>
            </w:tcBorders>
            <w:shd w:val="clear" w:color="auto" w:fill="auto"/>
          </w:tcPr>
          <w:p w14:paraId="0203B4C2" w14:textId="59D9B650" w:rsidR="00BA4D5E" w:rsidRPr="00E64A44" w:rsidRDefault="00BA4D5E" w:rsidP="005210D9">
            <w:pPr>
              <w:rPr>
                <w:b/>
                <w:bCs/>
                <w:color w:val="000000" w:themeColor="text1"/>
                <w:sz w:val="16"/>
                <w:szCs w:val="16"/>
                <w:vertAlign w:val="superscript"/>
                <w:lang w:val="en-US"/>
              </w:rPr>
            </w:pPr>
            <w:r w:rsidRPr="00E64A44">
              <w:rPr>
                <w:b/>
                <w:bCs/>
                <w:color w:val="000000" w:themeColor="text1"/>
                <w:sz w:val="16"/>
                <w:szCs w:val="16"/>
                <w:lang w:val="en-US"/>
              </w:rPr>
              <w:t xml:space="preserve">Co-morbidities </w:t>
            </w:r>
            <w:r w:rsidR="00A25862">
              <w:rPr>
                <w:b/>
                <w:bCs/>
                <w:color w:val="000000" w:themeColor="text1"/>
                <w:sz w:val="16"/>
                <w:szCs w:val="16"/>
                <w:lang w:val="en-US"/>
              </w:rPr>
              <w:t>[</w:t>
            </w:r>
            <w:r w:rsidRPr="00E64A44">
              <w:rPr>
                <w:b/>
                <w:bCs/>
                <w:color w:val="000000" w:themeColor="text1"/>
                <w:sz w:val="16"/>
                <w:szCs w:val="16"/>
                <w:lang w:val="en-US"/>
              </w:rPr>
              <w:t xml:space="preserve">to calculate </w:t>
            </w:r>
            <w:proofErr w:type="spellStart"/>
            <w:r w:rsidRPr="00E64A44">
              <w:rPr>
                <w:b/>
                <w:bCs/>
                <w:color w:val="000000" w:themeColor="text1"/>
                <w:sz w:val="16"/>
                <w:szCs w:val="16"/>
                <w:lang w:val="en-US"/>
              </w:rPr>
              <w:t>Charlson</w:t>
            </w:r>
            <w:proofErr w:type="spellEnd"/>
            <w:r w:rsidRPr="00E64A44">
              <w:rPr>
                <w:b/>
                <w:bCs/>
                <w:color w:val="000000" w:themeColor="text1"/>
                <w:sz w:val="16"/>
                <w:szCs w:val="16"/>
                <w:lang w:val="en-US"/>
              </w:rPr>
              <w:t xml:space="preserve"> co-morbidity index</w:t>
            </w:r>
            <w:r w:rsidR="00A25862">
              <w:rPr>
                <w:b/>
                <w:bCs/>
                <w:color w:val="000000" w:themeColor="text1"/>
                <w:sz w:val="16"/>
                <w:szCs w:val="16"/>
                <w:lang w:val="en-US"/>
              </w:rPr>
              <w:t>]</w:t>
            </w:r>
          </w:p>
        </w:tc>
        <w:tc>
          <w:tcPr>
            <w:tcW w:w="2410" w:type="dxa"/>
            <w:tcBorders>
              <w:top w:val="single" w:sz="4" w:space="0" w:color="auto"/>
              <w:bottom w:val="single" w:sz="4" w:space="0" w:color="auto"/>
              <w:right w:val="single" w:sz="4" w:space="0" w:color="auto"/>
            </w:tcBorders>
            <w:shd w:val="clear" w:color="auto" w:fill="auto"/>
          </w:tcPr>
          <w:p w14:paraId="633A2AB3" w14:textId="77777777" w:rsidR="00BA4D5E" w:rsidRPr="00E64A44" w:rsidRDefault="00BA4D5E" w:rsidP="005210D9">
            <w:pPr>
              <w:jc w:val="center"/>
              <w:rPr>
                <w:color w:val="000000" w:themeColor="text1"/>
                <w:sz w:val="16"/>
                <w:szCs w:val="16"/>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9850605" w14:textId="77777777" w:rsidR="00BA4D5E" w:rsidRPr="00E64A44" w:rsidRDefault="00BA4D5E" w:rsidP="005210D9">
            <w:pPr>
              <w:jc w:val="center"/>
              <w:rPr>
                <w:color w:val="000000" w:themeColor="text1"/>
                <w:sz w:val="16"/>
                <w:szCs w:val="16"/>
                <w:lang w:val="en-US"/>
              </w:rPr>
            </w:pPr>
          </w:p>
        </w:tc>
      </w:tr>
      <w:tr w:rsidR="00BA4D5E" w:rsidRPr="00E64A44" w14:paraId="1C0D28E7" w14:textId="77777777" w:rsidTr="005210D9">
        <w:tc>
          <w:tcPr>
            <w:tcW w:w="4395" w:type="dxa"/>
            <w:tcBorders>
              <w:top w:val="single" w:sz="4" w:space="0" w:color="auto"/>
              <w:left w:val="single" w:sz="4" w:space="0" w:color="auto"/>
              <w:bottom w:val="nil"/>
              <w:right w:val="single" w:sz="4" w:space="0" w:color="auto"/>
            </w:tcBorders>
            <w:shd w:val="clear" w:color="auto" w:fill="auto"/>
          </w:tcPr>
          <w:p w14:paraId="5FA047B0" w14:textId="77777777" w:rsidR="00BA4D5E" w:rsidRPr="00E64A44" w:rsidRDefault="00BA4D5E" w:rsidP="005210D9">
            <w:pPr>
              <w:rPr>
                <w:sz w:val="16"/>
                <w:szCs w:val="16"/>
                <w:lang w:val="en-US"/>
              </w:rPr>
            </w:pPr>
            <w:r w:rsidRPr="00E64A44">
              <w:rPr>
                <w:sz w:val="16"/>
                <w:szCs w:val="16"/>
                <w:lang w:val="en-US"/>
              </w:rPr>
              <w:t>Definitive or probable previous myocardial infarction</w:t>
            </w:r>
          </w:p>
        </w:tc>
        <w:tc>
          <w:tcPr>
            <w:tcW w:w="2410" w:type="dxa"/>
            <w:tcBorders>
              <w:top w:val="single" w:sz="4" w:space="0" w:color="auto"/>
              <w:left w:val="single" w:sz="4" w:space="0" w:color="auto"/>
              <w:bottom w:val="nil"/>
              <w:right w:val="single" w:sz="4" w:space="0" w:color="auto"/>
            </w:tcBorders>
            <w:shd w:val="clear" w:color="auto" w:fill="auto"/>
          </w:tcPr>
          <w:p w14:paraId="22EB2107"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single" w:sz="4" w:space="0" w:color="auto"/>
              <w:left w:val="single" w:sz="4" w:space="0" w:color="auto"/>
              <w:bottom w:val="nil"/>
              <w:right w:val="single" w:sz="4" w:space="0" w:color="auto"/>
            </w:tcBorders>
            <w:shd w:val="clear" w:color="auto" w:fill="auto"/>
          </w:tcPr>
          <w:p w14:paraId="315EC736" w14:textId="77777777" w:rsidR="00BA4D5E" w:rsidRPr="00E64A44" w:rsidRDefault="00BA4D5E" w:rsidP="005210D9">
            <w:pPr>
              <w:jc w:val="center"/>
              <w:rPr>
                <w:sz w:val="16"/>
                <w:szCs w:val="16"/>
                <w:lang w:val="en-US"/>
              </w:rPr>
            </w:pPr>
            <w:r w:rsidRPr="00E64A44">
              <w:rPr>
                <w:sz w:val="16"/>
                <w:szCs w:val="16"/>
                <w:lang w:val="en-US"/>
              </w:rPr>
              <w:sym w:font="Wingdings" w:char="F0FC"/>
            </w:r>
          </w:p>
        </w:tc>
      </w:tr>
      <w:tr w:rsidR="00BA4D5E" w:rsidRPr="00E64A44" w14:paraId="599A29E9" w14:textId="77777777" w:rsidTr="005210D9">
        <w:tc>
          <w:tcPr>
            <w:tcW w:w="4395" w:type="dxa"/>
            <w:tcBorders>
              <w:top w:val="nil"/>
              <w:left w:val="single" w:sz="4" w:space="0" w:color="auto"/>
              <w:bottom w:val="nil"/>
              <w:right w:val="single" w:sz="4" w:space="0" w:color="auto"/>
            </w:tcBorders>
            <w:shd w:val="clear" w:color="auto" w:fill="auto"/>
          </w:tcPr>
          <w:p w14:paraId="3FE6E7EE" w14:textId="33445F3B" w:rsidR="00BA4D5E" w:rsidRPr="00E64A44" w:rsidRDefault="00BA4D5E" w:rsidP="005210D9">
            <w:pPr>
              <w:rPr>
                <w:sz w:val="16"/>
                <w:szCs w:val="16"/>
                <w:lang w:val="en-US"/>
              </w:rPr>
            </w:pPr>
            <w:r w:rsidRPr="00E64A44">
              <w:rPr>
                <w:sz w:val="16"/>
                <w:szCs w:val="16"/>
                <w:lang w:val="en-US"/>
              </w:rPr>
              <w:t xml:space="preserve">Congestive heart failure </w:t>
            </w:r>
            <w:r w:rsidR="00A25862">
              <w:rPr>
                <w:sz w:val="16"/>
                <w:szCs w:val="16"/>
                <w:lang w:val="en-US"/>
              </w:rPr>
              <w:t>[</w:t>
            </w:r>
            <w:proofErr w:type="spellStart"/>
            <w:r w:rsidRPr="00E64A44">
              <w:rPr>
                <w:sz w:val="16"/>
                <w:szCs w:val="16"/>
                <w:lang w:val="en-US"/>
              </w:rPr>
              <w:t>dyspnoea</w:t>
            </w:r>
            <w:proofErr w:type="spellEnd"/>
            <w:r w:rsidRPr="00E64A44">
              <w:rPr>
                <w:sz w:val="16"/>
                <w:szCs w:val="16"/>
                <w:lang w:val="en-US"/>
              </w:rPr>
              <w:t xml:space="preserve"> with response to CHF medication</w:t>
            </w:r>
            <w:r w:rsidR="00A25862">
              <w:rPr>
                <w:sz w:val="16"/>
                <w:szCs w:val="16"/>
                <w:lang w:val="en-US"/>
              </w:rPr>
              <w:t>]</w:t>
            </w:r>
          </w:p>
        </w:tc>
        <w:tc>
          <w:tcPr>
            <w:tcW w:w="2410" w:type="dxa"/>
            <w:tcBorders>
              <w:top w:val="nil"/>
              <w:left w:val="single" w:sz="4" w:space="0" w:color="auto"/>
              <w:bottom w:val="nil"/>
              <w:right w:val="single" w:sz="4" w:space="0" w:color="auto"/>
            </w:tcBorders>
            <w:shd w:val="clear" w:color="auto" w:fill="auto"/>
          </w:tcPr>
          <w:p w14:paraId="185C7047"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shd w:val="clear" w:color="auto" w:fill="auto"/>
          </w:tcPr>
          <w:p w14:paraId="2D4C0CF7" w14:textId="77777777" w:rsidR="00BA4D5E" w:rsidRPr="00E64A44" w:rsidRDefault="00BA4D5E" w:rsidP="005210D9">
            <w:pPr>
              <w:jc w:val="center"/>
              <w:rPr>
                <w:sz w:val="16"/>
                <w:szCs w:val="16"/>
                <w:lang w:val="en-US"/>
              </w:rPr>
            </w:pPr>
            <w:r w:rsidRPr="00E64A44">
              <w:rPr>
                <w:sz w:val="16"/>
                <w:szCs w:val="16"/>
                <w:lang w:val="en-US"/>
              </w:rPr>
              <w:sym w:font="Wingdings" w:char="F0FC"/>
            </w:r>
          </w:p>
        </w:tc>
      </w:tr>
      <w:tr w:rsidR="00BA4D5E" w:rsidRPr="00E64A44" w14:paraId="165738C7" w14:textId="77777777" w:rsidTr="005210D9">
        <w:tc>
          <w:tcPr>
            <w:tcW w:w="4395" w:type="dxa"/>
            <w:tcBorders>
              <w:top w:val="nil"/>
              <w:left w:val="single" w:sz="4" w:space="0" w:color="auto"/>
              <w:bottom w:val="nil"/>
              <w:right w:val="single" w:sz="4" w:space="0" w:color="auto"/>
            </w:tcBorders>
            <w:shd w:val="clear" w:color="auto" w:fill="auto"/>
          </w:tcPr>
          <w:p w14:paraId="0A46A2BE" w14:textId="441649DD" w:rsidR="00BA4D5E" w:rsidRPr="00E64A44" w:rsidRDefault="00BA4D5E" w:rsidP="005210D9">
            <w:pPr>
              <w:rPr>
                <w:sz w:val="16"/>
                <w:szCs w:val="16"/>
                <w:lang w:val="en-US"/>
              </w:rPr>
            </w:pPr>
            <w:r w:rsidRPr="00E64A44">
              <w:rPr>
                <w:sz w:val="16"/>
                <w:szCs w:val="16"/>
                <w:lang w:val="en-US"/>
              </w:rPr>
              <w:t xml:space="preserve">Peripheral vascular disease </w:t>
            </w:r>
            <w:r w:rsidR="00A25862">
              <w:rPr>
                <w:sz w:val="16"/>
                <w:szCs w:val="16"/>
                <w:lang w:val="en-US"/>
              </w:rPr>
              <w:t>[</w:t>
            </w:r>
            <w:r w:rsidRPr="00E64A44">
              <w:rPr>
                <w:sz w:val="16"/>
                <w:szCs w:val="16"/>
                <w:lang w:val="en-US"/>
              </w:rPr>
              <w:t>intermittent claudication, previous by-pass grafting</w:t>
            </w:r>
            <w:r w:rsidR="00A25862">
              <w:rPr>
                <w:sz w:val="16"/>
                <w:szCs w:val="16"/>
                <w:lang w:val="en-US"/>
              </w:rPr>
              <w:t>]</w:t>
            </w:r>
          </w:p>
        </w:tc>
        <w:tc>
          <w:tcPr>
            <w:tcW w:w="2410" w:type="dxa"/>
            <w:tcBorders>
              <w:top w:val="nil"/>
              <w:left w:val="single" w:sz="4" w:space="0" w:color="auto"/>
              <w:bottom w:val="nil"/>
              <w:right w:val="single" w:sz="4" w:space="0" w:color="auto"/>
            </w:tcBorders>
            <w:shd w:val="clear" w:color="auto" w:fill="auto"/>
          </w:tcPr>
          <w:p w14:paraId="52DE175B"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shd w:val="clear" w:color="auto" w:fill="auto"/>
          </w:tcPr>
          <w:p w14:paraId="2D32F113" w14:textId="77777777" w:rsidR="00BA4D5E" w:rsidRPr="00E64A44" w:rsidRDefault="00BA4D5E" w:rsidP="005210D9">
            <w:pPr>
              <w:jc w:val="center"/>
              <w:rPr>
                <w:sz w:val="16"/>
                <w:szCs w:val="16"/>
                <w:lang w:val="en-US"/>
              </w:rPr>
            </w:pPr>
            <w:r w:rsidRPr="00E64A44">
              <w:rPr>
                <w:sz w:val="16"/>
                <w:szCs w:val="16"/>
                <w:lang w:val="en-US"/>
              </w:rPr>
              <w:sym w:font="Wingdings" w:char="F0FC"/>
            </w:r>
          </w:p>
        </w:tc>
      </w:tr>
      <w:tr w:rsidR="00BA4D5E" w:rsidRPr="00E64A44" w14:paraId="36868D93" w14:textId="77777777" w:rsidTr="005210D9">
        <w:tc>
          <w:tcPr>
            <w:tcW w:w="4395" w:type="dxa"/>
            <w:tcBorders>
              <w:top w:val="nil"/>
              <w:left w:val="single" w:sz="4" w:space="0" w:color="auto"/>
              <w:bottom w:val="nil"/>
              <w:right w:val="single" w:sz="4" w:space="0" w:color="auto"/>
            </w:tcBorders>
            <w:shd w:val="clear" w:color="auto" w:fill="auto"/>
          </w:tcPr>
          <w:p w14:paraId="2B29D9B9" w14:textId="77777777" w:rsidR="00BA4D5E" w:rsidRPr="00742768" w:rsidRDefault="00BA4D5E" w:rsidP="005210D9">
            <w:pPr>
              <w:rPr>
                <w:sz w:val="16"/>
                <w:szCs w:val="16"/>
                <w:lang w:val="en-US"/>
              </w:rPr>
            </w:pPr>
            <w:r w:rsidRPr="00E64A44">
              <w:rPr>
                <w:sz w:val="16"/>
                <w:szCs w:val="16"/>
                <w:lang w:val="en-US"/>
              </w:rPr>
              <w:t>Any end organ damage due to T2DM</w:t>
            </w:r>
          </w:p>
        </w:tc>
        <w:tc>
          <w:tcPr>
            <w:tcW w:w="2410" w:type="dxa"/>
            <w:tcBorders>
              <w:top w:val="nil"/>
              <w:left w:val="single" w:sz="4" w:space="0" w:color="auto"/>
              <w:bottom w:val="nil"/>
              <w:right w:val="single" w:sz="4" w:space="0" w:color="auto"/>
            </w:tcBorders>
            <w:shd w:val="clear" w:color="auto" w:fill="auto"/>
          </w:tcPr>
          <w:p w14:paraId="7F926738"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shd w:val="clear" w:color="auto" w:fill="auto"/>
          </w:tcPr>
          <w:p w14:paraId="2E8EC775" w14:textId="77777777" w:rsidR="00BA4D5E" w:rsidRPr="00E64A44" w:rsidRDefault="00BA4D5E" w:rsidP="005210D9">
            <w:pPr>
              <w:jc w:val="center"/>
              <w:rPr>
                <w:sz w:val="16"/>
                <w:szCs w:val="16"/>
                <w:lang w:val="en-US"/>
              </w:rPr>
            </w:pPr>
            <w:r w:rsidRPr="00E64A44">
              <w:rPr>
                <w:sz w:val="16"/>
                <w:szCs w:val="16"/>
                <w:lang w:val="en-US"/>
              </w:rPr>
              <w:sym w:font="Wingdings" w:char="F0FC"/>
            </w:r>
          </w:p>
        </w:tc>
      </w:tr>
      <w:tr w:rsidR="00BA4D5E" w:rsidRPr="00E64A44" w14:paraId="70A18716" w14:textId="77777777" w:rsidTr="005210D9">
        <w:tc>
          <w:tcPr>
            <w:tcW w:w="4395" w:type="dxa"/>
            <w:tcBorders>
              <w:top w:val="nil"/>
              <w:left w:val="single" w:sz="4" w:space="0" w:color="auto"/>
              <w:bottom w:val="nil"/>
              <w:right w:val="single" w:sz="4" w:space="0" w:color="auto"/>
            </w:tcBorders>
            <w:shd w:val="clear" w:color="auto" w:fill="auto"/>
          </w:tcPr>
          <w:p w14:paraId="62F21179" w14:textId="77777777" w:rsidR="00BA4D5E" w:rsidRPr="00742768" w:rsidRDefault="00BA4D5E" w:rsidP="005210D9">
            <w:pPr>
              <w:rPr>
                <w:sz w:val="16"/>
                <w:szCs w:val="16"/>
                <w:lang w:val="en-US"/>
              </w:rPr>
            </w:pPr>
            <w:r w:rsidRPr="00E64A44">
              <w:rPr>
                <w:sz w:val="16"/>
                <w:szCs w:val="16"/>
                <w:lang w:val="en-US"/>
              </w:rPr>
              <w:t>Moderate to severe chronic kidney disease</w:t>
            </w:r>
          </w:p>
        </w:tc>
        <w:tc>
          <w:tcPr>
            <w:tcW w:w="2410" w:type="dxa"/>
            <w:tcBorders>
              <w:top w:val="nil"/>
              <w:left w:val="single" w:sz="4" w:space="0" w:color="auto"/>
              <w:bottom w:val="nil"/>
              <w:right w:val="single" w:sz="4" w:space="0" w:color="auto"/>
            </w:tcBorders>
            <w:shd w:val="clear" w:color="auto" w:fill="auto"/>
          </w:tcPr>
          <w:p w14:paraId="7B953D53"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shd w:val="clear" w:color="auto" w:fill="auto"/>
          </w:tcPr>
          <w:p w14:paraId="275E8859" w14:textId="77777777" w:rsidR="00BA4D5E" w:rsidRPr="00E64A44" w:rsidRDefault="00BA4D5E" w:rsidP="005210D9">
            <w:pPr>
              <w:jc w:val="center"/>
              <w:rPr>
                <w:sz w:val="16"/>
                <w:szCs w:val="16"/>
                <w:lang w:val="en-US"/>
              </w:rPr>
            </w:pPr>
            <w:r w:rsidRPr="00E64A44">
              <w:rPr>
                <w:sz w:val="16"/>
                <w:szCs w:val="16"/>
                <w:lang w:val="en-US"/>
              </w:rPr>
              <w:sym w:font="Wingdings" w:char="F0FC"/>
            </w:r>
          </w:p>
        </w:tc>
      </w:tr>
      <w:tr w:rsidR="00BA4D5E" w:rsidRPr="00E64A44" w14:paraId="494B2224" w14:textId="77777777" w:rsidTr="005210D9">
        <w:tc>
          <w:tcPr>
            <w:tcW w:w="4395" w:type="dxa"/>
            <w:tcBorders>
              <w:top w:val="nil"/>
              <w:left w:val="single" w:sz="4" w:space="0" w:color="auto"/>
              <w:bottom w:val="nil"/>
              <w:right w:val="single" w:sz="4" w:space="0" w:color="auto"/>
            </w:tcBorders>
            <w:shd w:val="clear" w:color="auto" w:fill="auto"/>
          </w:tcPr>
          <w:p w14:paraId="7FC83F24" w14:textId="2D5DCD48" w:rsidR="00BA4D5E" w:rsidRPr="00742768" w:rsidRDefault="00BA4D5E" w:rsidP="005210D9">
            <w:pPr>
              <w:rPr>
                <w:sz w:val="16"/>
                <w:szCs w:val="16"/>
                <w:lang w:val="en-US"/>
              </w:rPr>
            </w:pPr>
            <w:r w:rsidRPr="00E64A44">
              <w:rPr>
                <w:sz w:val="16"/>
                <w:szCs w:val="16"/>
                <w:lang w:val="en-US"/>
              </w:rPr>
              <w:t xml:space="preserve">Solid </w:t>
            </w:r>
            <w:proofErr w:type="spellStart"/>
            <w:r w:rsidRPr="00E64A44">
              <w:rPr>
                <w:sz w:val="16"/>
                <w:szCs w:val="16"/>
                <w:lang w:val="en-US"/>
              </w:rPr>
              <w:t>tumour</w:t>
            </w:r>
            <w:proofErr w:type="spellEnd"/>
            <w:r w:rsidRPr="00E64A44">
              <w:rPr>
                <w:sz w:val="16"/>
                <w:szCs w:val="16"/>
                <w:lang w:val="en-US"/>
              </w:rPr>
              <w:t xml:space="preserve"> </w:t>
            </w:r>
            <w:r w:rsidR="00A25862">
              <w:rPr>
                <w:sz w:val="16"/>
                <w:szCs w:val="16"/>
                <w:lang w:val="en-US"/>
              </w:rPr>
              <w:t>[</w:t>
            </w:r>
            <w:r w:rsidRPr="00E64A44">
              <w:rPr>
                <w:sz w:val="16"/>
                <w:szCs w:val="16"/>
                <w:lang w:val="en-US"/>
              </w:rPr>
              <w:t>non, localized, metastatic</w:t>
            </w:r>
            <w:r w:rsidR="00A25862">
              <w:rPr>
                <w:sz w:val="16"/>
                <w:szCs w:val="16"/>
                <w:lang w:val="en-US"/>
              </w:rPr>
              <w:t>]</w:t>
            </w:r>
          </w:p>
        </w:tc>
        <w:tc>
          <w:tcPr>
            <w:tcW w:w="2410" w:type="dxa"/>
            <w:tcBorders>
              <w:top w:val="nil"/>
              <w:left w:val="single" w:sz="4" w:space="0" w:color="auto"/>
              <w:bottom w:val="nil"/>
              <w:right w:val="single" w:sz="4" w:space="0" w:color="auto"/>
            </w:tcBorders>
            <w:shd w:val="clear" w:color="auto" w:fill="auto"/>
          </w:tcPr>
          <w:p w14:paraId="402B3480"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shd w:val="clear" w:color="auto" w:fill="auto"/>
          </w:tcPr>
          <w:p w14:paraId="5489E60B" w14:textId="77777777" w:rsidR="00BA4D5E" w:rsidRPr="00E64A44" w:rsidRDefault="00BA4D5E" w:rsidP="005210D9">
            <w:pPr>
              <w:jc w:val="center"/>
              <w:rPr>
                <w:sz w:val="16"/>
                <w:szCs w:val="16"/>
                <w:lang w:val="en-US"/>
              </w:rPr>
            </w:pPr>
            <w:r w:rsidRPr="00E64A44">
              <w:rPr>
                <w:sz w:val="16"/>
                <w:szCs w:val="16"/>
                <w:lang w:val="en-US"/>
              </w:rPr>
              <w:sym w:font="Wingdings" w:char="F0FC"/>
            </w:r>
          </w:p>
        </w:tc>
      </w:tr>
      <w:tr w:rsidR="00BA4D5E" w:rsidRPr="00E64A44" w14:paraId="632FB168" w14:textId="77777777" w:rsidTr="005210D9">
        <w:tc>
          <w:tcPr>
            <w:tcW w:w="4395" w:type="dxa"/>
            <w:tcBorders>
              <w:top w:val="nil"/>
              <w:left w:val="single" w:sz="4" w:space="0" w:color="auto"/>
              <w:bottom w:val="nil"/>
              <w:right w:val="single" w:sz="4" w:space="0" w:color="auto"/>
            </w:tcBorders>
            <w:shd w:val="clear" w:color="auto" w:fill="auto"/>
          </w:tcPr>
          <w:p w14:paraId="6269995D" w14:textId="45C3C247" w:rsidR="00BA4D5E" w:rsidRPr="00742768" w:rsidRDefault="00BA4D5E" w:rsidP="005210D9">
            <w:pPr>
              <w:rPr>
                <w:sz w:val="16"/>
                <w:szCs w:val="16"/>
                <w:lang w:val="en-US"/>
              </w:rPr>
            </w:pPr>
            <w:r w:rsidRPr="00E64A44">
              <w:rPr>
                <w:sz w:val="16"/>
                <w:szCs w:val="16"/>
                <w:lang w:val="en-US"/>
              </w:rPr>
              <w:t xml:space="preserve">Lymphoma </w:t>
            </w:r>
            <w:r w:rsidR="00A25862">
              <w:rPr>
                <w:sz w:val="16"/>
                <w:szCs w:val="16"/>
                <w:lang w:val="en-US"/>
              </w:rPr>
              <w:t>[</w:t>
            </w:r>
            <w:r w:rsidRPr="00E64A44">
              <w:rPr>
                <w:sz w:val="16"/>
                <w:szCs w:val="16"/>
                <w:lang w:val="en-US"/>
              </w:rPr>
              <w:t>either cured, in remission or active</w:t>
            </w:r>
            <w:r w:rsidR="00A25862">
              <w:rPr>
                <w:sz w:val="16"/>
                <w:szCs w:val="16"/>
                <w:lang w:val="en-US"/>
              </w:rPr>
              <w:t>]</w:t>
            </w:r>
          </w:p>
        </w:tc>
        <w:tc>
          <w:tcPr>
            <w:tcW w:w="2410" w:type="dxa"/>
            <w:tcBorders>
              <w:top w:val="nil"/>
              <w:left w:val="single" w:sz="4" w:space="0" w:color="auto"/>
              <w:bottom w:val="nil"/>
              <w:right w:val="single" w:sz="4" w:space="0" w:color="auto"/>
            </w:tcBorders>
            <w:shd w:val="clear" w:color="auto" w:fill="auto"/>
          </w:tcPr>
          <w:p w14:paraId="082D8045"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shd w:val="clear" w:color="auto" w:fill="auto"/>
          </w:tcPr>
          <w:p w14:paraId="549E97BB" w14:textId="77777777" w:rsidR="00BA4D5E" w:rsidRPr="00E64A44" w:rsidRDefault="00BA4D5E" w:rsidP="005210D9">
            <w:pPr>
              <w:jc w:val="center"/>
              <w:rPr>
                <w:sz w:val="16"/>
                <w:szCs w:val="16"/>
                <w:lang w:val="en-US"/>
              </w:rPr>
            </w:pPr>
            <w:r w:rsidRPr="00E64A44">
              <w:rPr>
                <w:sz w:val="16"/>
                <w:szCs w:val="16"/>
                <w:lang w:val="en-US"/>
              </w:rPr>
              <w:sym w:font="Wingdings" w:char="F0FC"/>
            </w:r>
          </w:p>
        </w:tc>
      </w:tr>
      <w:tr w:rsidR="00BA4D5E" w:rsidRPr="00E64A44" w14:paraId="5DA84B38" w14:textId="77777777" w:rsidTr="005210D9">
        <w:tc>
          <w:tcPr>
            <w:tcW w:w="4395" w:type="dxa"/>
            <w:tcBorders>
              <w:top w:val="nil"/>
              <w:left w:val="single" w:sz="4" w:space="0" w:color="auto"/>
              <w:bottom w:val="nil"/>
              <w:right w:val="single" w:sz="4" w:space="0" w:color="auto"/>
            </w:tcBorders>
            <w:shd w:val="clear" w:color="auto" w:fill="auto"/>
          </w:tcPr>
          <w:p w14:paraId="37B5BFC5" w14:textId="77777777" w:rsidR="00BA4D5E" w:rsidRPr="00742768" w:rsidRDefault="00BA4D5E" w:rsidP="005210D9">
            <w:pPr>
              <w:rPr>
                <w:sz w:val="16"/>
                <w:szCs w:val="16"/>
                <w:lang w:val="en-US"/>
              </w:rPr>
            </w:pPr>
            <w:r w:rsidRPr="00E64A44">
              <w:rPr>
                <w:sz w:val="16"/>
                <w:szCs w:val="16"/>
                <w:lang w:val="en-US"/>
              </w:rPr>
              <w:t>Hemiplegia</w:t>
            </w:r>
          </w:p>
        </w:tc>
        <w:tc>
          <w:tcPr>
            <w:tcW w:w="2410" w:type="dxa"/>
            <w:tcBorders>
              <w:top w:val="nil"/>
              <w:left w:val="single" w:sz="4" w:space="0" w:color="auto"/>
              <w:bottom w:val="nil"/>
              <w:right w:val="single" w:sz="4" w:space="0" w:color="auto"/>
            </w:tcBorders>
            <w:shd w:val="clear" w:color="auto" w:fill="auto"/>
          </w:tcPr>
          <w:p w14:paraId="528AAC00"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shd w:val="clear" w:color="auto" w:fill="auto"/>
          </w:tcPr>
          <w:p w14:paraId="2CF5681F" w14:textId="77777777" w:rsidR="00BA4D5E" w:rsidRPr="00E64A44" w:rsidRDefault="00BA4D5E" w:rsidP="005210D9">
            <w:pPr>
              <w:jc w:val="center"/>
              <w:rPr>
                <w:sz w:val="16"/>
                <w:szCs w:val="16"/>
                <w:lang w:val="en-US"/>
              </w:rPr>
            </w:pPr>
            <w:r w:rsidRPr="00E64A44">
              <w:rPr>
                <w:sz w:val="16"/>
                <w:szCs w:val="16"/>
                <w:lang w:val="en-US"/>
              </w:rPr>
              <w:sym w:font="Wingdings" w:char="F0FC"/>
            </w:r>
          </w:p>
        </w:tc>
      </w:tr>
      <w:tr w:rsidR="00BA4D5E" w:rsidRPr="00E64A44" w14:paraId="18201639" w14:textId="77777777" w:rsidTr="005210D9">
        <w:tc>
          <w:tcPr>
            <w:tcW w:w="4395" w:type="dxa"/>
            <w:tcBorders>
              <w:top w:val="nil"/>
              <w:left w:val="single" w:sz="4" w:space="0" w:color="auto"/>
              <w:bottom w:val="nil"/>
              <w:right w:val="single" w:sz="4" w:space="0" w:color="auto"/>
            </w:tcBorders>
            <w:shd w:val="clear" w:color="auto" w:fill="auto"/>
          </w:tcPr>
          <w:p w14:paraId="1C5A9B02" w14:textId="77777777" w:rsidR="00BA4D5E" w:rsidRPr="00742768" w:rsidRDefault="00BA4D5E" w:rsidP="005210D9">
            <w:pPr>
              <w:rPr>
                <w:sz w:val="16"/>
                <w:szCs w:val="16"/>
                <w:lang w:val="en-US"/>
              </w:rPr>
            </w:pPr>
            <w:r w:rsidRPr="00E64A44">
              <w:rPr>
                <w:sz w:val="16"/>
                <w:szCs w:val="16"/>
                <w:lang w:val="en-US"/>
              </w:rPr>
              <w:t>AIDs</w:t>
            </w:r>
          </w:p>
        </w:tc>
        <w:tc>
          <w:tcPr>
            <w:tcW w:w="2410" w:type="dxa"/>
            <w:tcBorders>
              <w:top w:val="nil"/>
              <w:left w:val="single" w:sz="4" w:space="0" w:color="auto"/>
              <w:bottom w:val="nil"/>
              <w:right w:val="single" w:sz="4" w:space="0" w:color="auto"/>
            </w:tcBorders>
            <w:shd w:val="clear" w:color="auto" w:fill="auto"/>
          </w:tcPr>
          <w:p w14:paraId="5AF95246"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shd w:val="clear" w:color="auto" w:fill="auto"/>
          </w:tcPr>
          <w:p w14:paraId="29D62A43" w14:textId="77777777" w:rsidR="00BA4D5E" w:rsidRPr="00E64A44" w:rsidRDefault="00BA4D5E" w:rsidP="005210D9">
            <w:pPr>
              <w:jc w:val="center"/>
              <w:rPr>
                <w:sz w:val="16"/>
                <w:szCs w:val="16"/>
                <w:lang w:val="en-US"/>
              </w:rPr>
            </w:pPr>
            <w:r w:rsidRPr="00E64A44">
              <w:rPr>
                <w:sz w:val="16"/>
                <w:szCs w:val="16"/>
                <w:lang w:val="en-US"/>
              </w:rPr>
              <w:sym w:font="Wingdings" w:char="F0FC"/>
            </w:r>
          </w:p>
        </w:tc>
      </w:tr>
      <w:tr w:rsidR="00BA4D5E" w:rsidRPr="00E64A44" w14:paraId="6ADCCAA7" w14:textId="77777777" w:rsidTr="005210D9">
        <w:tc>
          <w:tcPr>
            <w:tcW w:w="4395" w:type="dxa"/>
            <w:tcBorders>
              <w:top w:val="nil"/>
              <w:left w:val="single" w:sz="4" w:space="0" w:color="auto"/>
              <w:bottom w:val="nil"/>
              <w:right w:val="single" w:sz="4" w:space="0" w:color="auto"/>
            </w:tcBorders>
            <w:shd w:val="clear" w:color="auto" w:fill="auto"/>
          </w:tcPr>
          <w:p w14:paraId="22013FEE" w14:textId="77777777" w:rsidR="00BA4D5E" w:rsidRPr="00742768" w:rsidRDefault="00BA4D5E" w:rsidP="005210D9">
            <w:pPr>
              <w:rPr>
                <w:sz w:val="16"/>
                <w:szCs w:val="16"/>
                <w:lang w:val="en-US"/>
              </w:rPr>
            </w:pPr>
            <w:r w:rsidRPr="00E64A44">
              <w:rPr>
                <w:sz w:val="16"/>
                <w:szCs w:val="16"/>
                <w:lang w:val="en-US"/>
              </w:rPr>
              <w:t>Peptic ulcer disease</w:t>
            </w:r>
          </w:p>
        </w:tc>
        <w:tc>
          <w:tcPr>
            <w:tcW w:w="2410" w:type="dxa"/>
            <w:tcBorders>
              <w:top w:val="nil"/>
              <w:left w:val="single" w:sz="4" w:space="0" w:color="auto"/>
              <w:bottom w:val="nil"/>
              <w:right w:val="single" w:sz="4" w:space="0" w:color="auto"/>
            </w:tcBorders>
            <w:shd w:val="clear" w:color="auto" w:fill="auto"/>
          </w:tcPr>
          <w:p w14:paraId="24FE6248"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shd w:val="clear" w:color="auto" w:fill="auto"/>
          </w:tcPr>
          <w:p w14:paraId="4E0D2F4F" w14:textId="77777777" w:rsidR="00BA4D5E" w:rsidRPr="00E64A44" w:rsidRDefault="00BA4D5E" w:rsidP="005210D9">
            <w:pPr>
              <w:jc w:val="center"/>
              <w:rPr>
                <w:sz w:val="16"/>
                <w:szCs w:val="16"/>
                <w:lang w:val="en-US"/>
              </w:rPr>
            </w:pPr>
            <w:r w:rsidRPr="00E64A44">
              <w:rPr>
                <w:sz w:val="16"/>
                <w:szCs w:val="16"/>
                <w:lang w:val="en-US"/>
              </w:rPr>
              <w:sym w:font="Wingdings" w:char="F0FC"/>
            </w:r>
          </w:p>
        </w:tc>
      </w:tr>
      <w:tr w:rsidR="00BA4D5E" w:rsidRPr="00E64A44" w14:paraId="3B72CE4F" w14:textId="77777777" w:rsidTr="005210D9">
        <w:tc>
          <w:tcPr>
            <w:tcW w:w="4395" w:type="dxa"/>
            <w:tcBorders>
              <w:top w:val="nil"/>
              <w:left w:val="single" w:sz="4" w:space="0" w:color="auto"/>
              <w:bottom w:val="single" w:sz="4" w:space="0" w:color="auto"/>
              <w:right w:val="single" w:sz="4" w:space="0" w:color="auto"/>
            </w:tcBorders>
            <w:shd w:val="clear" w:color="auto" w:fill="auto"/>
          </w:tcPr>
          <w:p w14:paraId="33576A85" w14:textId="77CD45AF" w:rsidR="00BA4D5E" w:rsidRPr="00E64A44" w:rsidRDefault="00BA4D5E" w:rsidP="005210D9">
            <w:pPr>
              <w:rPr>
                <w:b/>
                <w:bCs/>
                <w:sz w:val="16"/>
                <w:szCs w:val="16"/>
                <w:lang w:val="en-US"/>
              </w:rPr>
            </w:pPr>
            <w:r w:rsidRPr="00E64A44">
              <w:rPr>
                <w:sz w:val="16"/>
                <w:szCs w:val="16"/>
                <w:lang w:val="en-US"/>
              </w:rPr>
              <w:t xml:space="preserve">Connective tissue disease </w:t>
            </w:r>
            <w:r w:rsidR="00A25862">
              <w:rPr>
                <w:sz w:val="16"/>
                <w:szCs w:val="16"/>
                <w:lang w:val="en-US"/>
              </w:rPr>
              <w:t>[</w:t>
            </w:r>
            <w:proofErr w:type="gramStart"/>
            <w:r w:rsidRPr="00E64A44">
              <w:rPr>
                <w:sz w:val="16"/>
                <w:szCs w:val="16"/>
                <w:lang w:val="en-US"/>
              </w:rPr>
              <w:t>e.g.</w:t>
            </w:r>
            <w:proofErr w:type="gramEnd"/>
            <w:r w:rsidRPr="00E64A44">
              <w:rPr>
                <w:sz w:val="16"/>
                <w:szCs w:val="16"/>
                <w:lang w:val="en-US"/>
              </w:rPr>
              <w:t xml:space="preserve"> SLE, rheumatoid arthritis, not osteoarthritis</w:t>
            </w:r>
            <w:r w:rsidR="00A25862">
              <w:rPr>
                <w:sz w:val="16"/>
                <w:szCs w:val="16"/>
                <w:lang w:val="en-US"/>
              </w:rPr>
              <w:t>]</w:t>
            </w:r>
          </w:p>
        </w:tc>
        <w:tc>
          <w:tcPr>
            <w:tcW w:w="2410" w:type="dxa"/>
            <w:tcBorders>
              <w:top w:val="nil"/>
              <w:left w:val="single" w:sz="4" w:space="0" w:color="auto"/>
              <w:bottom w:val="single" w:sz="4" w:space="0" w:color="auto"/>
              <w:right w:val="single" w:sz="4" w:space="0" w:color="auto"/>
            </w:tcBorders>
            <w:shd w:val="clear" w:color="auto" w:fill="auto"/>
          </w:tcPr>
          <w:p w14:paraId="3B9E41EA"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single" w:sz="4" w:space="0" w:color="auto"/>
              <w:right w:val="single" w:sz="4" w:space="0" w:color="auto"/>
            </w:tcBorders>
            <w:shd w:val="clear" w:color="auto" w:fill="auto"/>
          </w:tcPr>
          <w:p w14:paraId="4153806E" w14:textId="77777777" w:rsidR="00BA4D5E" w:rsidRPr="00E64A44" w:rsidRDefault="00BA4D5E" w:rsidP="005210D9">
            <w:pPr>
              <w:jc w:val="center"/>
              <w:rPr>
                <w:sz w:val="16"/>
                <w:szCs w:val="16"/>
                <w:lang w:val="en-US"/>
              </w:rPr>
            </w:pPr>
            <w:r w:rsidRPr="00E64A44">
              <w:rPr>
                <w:sz w:val="16"/>
                <w:szCs w:val="16"/>
                <w:lang w:val="en-US"/>
              </w:rPr>
              <w:sym w:font="Wingdings" w:char="F0FC"/>
            </w:r>
          </w:p>
        </w:tc>
      </w:tr>
      <w:tr w:rsidR="00BA4D5E" w:rsidRPr="00E64A44" w14:paraId="1E66352A" w14:textId="77777777" w:rsidTr="005210D9">
        <w:tc>
          <w:tcPr>
            <w:tcW w:w="4395" w:type="dxa"/>
            <w:tcBorders>
              <w:top w:val="nil"/>
              <w:left w:val="single" w:sz="4" w:space="0" w:color="auto"/>
              <w:bottom w:val="single" w:sz="4" w:space="0" w:color="auto"/>
              <w:right w:val="single" w:sz="4" w:space="0" w:color="auto"/>
            </w:tcBorders>
            <w:shd w:val="clear" w:color="auto" w:fill="auto"/>
          </w:tcPr>
          <w:p w14:paraId="3E617814" w14:textId="77777777" w:rsidR="00BA4D5E" w:rsidRPr="00742768" w:rsidRDefault="00BA4D5E" w:rsidP="005210D9">
            <w:pPr>
              <w:rPr>
                <w:b/>
                <w:bCs/>
                <w:sz w:val="16"/>
                <w:szCs w:val="16"/>
                <w:lang w:val="en-US"/>
              </w:rPr>
            </w:pPr>
            <w:r w:rsidRPr="00742768">
              <w:rPr>
                <w:b/>
                <w:bCs/>
                <w:sz w:val="16"/>
                <w:szCs w:val="16"/>
                <w:lang w:val="en-US"/>
              </w:rPr>
              <w:t xml:space="preserve">Additional </w:t>
            </w:r>
            <w:r>
              <w:rPr>
                <w:b/>
                <w:bCs/>
                <w:sz w:val="16"/>
                <w:szCs w:val="16"/>
                <w:lang w:val="en-US"/>
              </w:rPr>
              <w:t xml:space="preserve">prevalent </w:t>
            </w:r>
            <w:r w:rsidRPr="00742768">
              <w:rPr>
                <w:b/>
                <w:bCs/>
                <w:sz w:val="16"/>
                <w:szCs w:val="16"/>
                <w:lang w:val="en-US"/>
              </w:rPr>
              <w:t>comorbidities</w:t>
            </w:r>
            <w:r>
              <w:rPr>
                <w:b/>
                <w:bCs/>
                <w:sz w:val="16"/>
                <w:szCs w:val="16"/>
                <w:lang w:val="en-US"/>
              </w:rPr>
              <w:t xml:space="preserve"> in patients with T2DM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C4866C4"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single" w:sz="4" w:space="0" w:color="auto"/>
              <w:right w:val="single" w:sz="4" w:space="0" w:color="auto"/>
            </w:tcBorders>
            <w:shd w:val="clear" w:color="auto" w:fill="auto"/>
          </w:tcPr>
          <w:p w14:paraId="409B3C54" w14:textId="77777777" w:rsidR="00BA4D5E" w:rsidRPr="00E64A44" w:rsidRDefault="00BA4D5E" w:rsidP="005210D9">
            <w:pPr>
              <w:jc w:val="center"/>
              <w:rPr>
                <w:sz w:val="16"/>
                <w:szCs w:val="16"/>
                <w:lang w:val="en-US"/>
              </w:rPr>
            </w:pPr>
            <w:r w:rsidRPr="00E64A44">
              <w:rPr>
                <w:sz w:val="16"/>
                <w:szCs w:val="16"/>
                <w:lang w:val="en-US"/>
              </w:rPr>
              <w:sym w:font="Wingdings" w:char="F0FC"/>
            </w:r>
          </w:p>
        </w:tc>
      </w:tr>
      <w:tr w:rsidR="00BA4D5E" w:rsidRPr="00E64A44" w14:paraId="58A36E91" w14:textId="77777777" w:rsidTr="005210D9">
        <w:tc>
          <w:tcPr>
            <w:tcW w:w="4395" w:type="dxa"/>
            <w:tcBorders>
              <w:top w:val="single" w:sz="4" w:space="0" w:color="auto"/>
              <w:left w:val="single" w:sz="4" w:space="0" w:color="auto"/>
              <w:bottom w:val="nil"/>
              <w:right w:val="single" w:sz="4" w:space="0" w:color="auto"/>
            </w:tcBorders>
            <w:shd w:val="clear" w:color="auto" w:fill="auto"/>
          </w:tcPr>
          <w:p w14:paraId="52124D25" w14:textId="77777777" w:rsidR="00BA4D5E" w:rsidRPr="00E64A44" w:rsidRDefault="00BA4D5E" w:rsidP="005210D9">
            <w:pPr>
              <w:rPr>
                <w:b/>
                <w:bCs/>
                <w:sz w:val="16"/>
                <w:szCs w:val="16"/>
                <w:lang w:val="en-US"/>
              </w:rPr>
            </w:pPr>
            <w:r>
              <w:rPr>
                <w:sz w:val="16"/>
                <w:szCs w:val="16"/>
                <w:lang w:val="en-US"/>
              </w:rPr>
              <w:t>Hypertension</w:t>
            </w:r>
          </w:p>
        </w:tc>
        <w:tc>
          <w:tcPr>
            <w:tcW w:w="2410" w:type="dxa"/>
            <w:tcBorders>
              <w:top w:val="single" w:sz="4" w:space="0" w:color="auto"/>
              <w:left w:val="single" w:sz="4" w:space="0" w:color="auto"/>
              <w:bottom w:val="nil"/>
              <w:right w:val="single" w:sz="4" w:space="0" w:color="auto"/>
            </w:tcBorders>
            <w:shd w:val="clear" w:color="auto" w:fill="auto"/>
          </w:tcPr>
          <w:p w14:paraId="232669D2"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single" w:sz="4" w:space="0" w:color="auto"/>
              <w:left w:val="single" w:sz="4" w:space="0" w:color="auto"/>
              <w:bottom w:val="nil"/>
              <w:right w:val="single" w:sz="4" w:space="0" w:color="auto"/>
            </w:tcBorders>
            <w:shd w:val="clear" w:color="auto" w:fill="auto"/>
          </w:tcPr>
          <w:p w14:paraId="13B66DEA" w14:textId="77777777" w:rsidR="00BA4D5E" w:rsidRPr="00E64A44" w:rsidRDefault="00BA4D5E" w:rsidP="005210D9">
            <w:pPr>
              <w:jc w:val="center"/>
              <w:rPr>
                <w:sz w:val="16"/>
                <w:szCs w:val="16"/>
                <w:lang w:val="en-US"/>
              </w:rPr>
            </w:pPr>
            <w:r w:rsidRPr="00E64A44">
              <w:rPr>
                <w:sz w:val="16"/>
                <w:szCs w:val="16"/>
                <w:lang w:val="en-US"/>
              </w:rPr>
              <w:sym w:font="Wingdings" w:char="F0FC"/>
            </w:r>
          </w:p>
        </w:tc>
      </w:tr>
      <w:tr w:rsidR="00BA4D5E" w:rsidRPr="00E64A44" w14:paraId="2D105511" w14:textId="77777777" w:rsidTr="005210D9">
        <w:tc>
          <w:tcPr>
            <w:tcW w:w="4395" w:type="dxa"/>
            <w:tcBorders>
              <w:top w:val="nil"/>
              <w:left w:val="single" w:sz="4" w:space="0" w:color="auto"/>
              <w:bottom w:val="nil"/>
              <w:right w:val="single" w:sz="4" w:space="0" w:color="auto"/>
            </w:tcBorders>
            <w:shd w:val="clear" w:color="auto" w:fill="auto"/>
          </w:tcPr>
          <w:p w14:paraId="10D5923C" w14:textId="77777777" w:rsidR="00BA4D5E" w:rsidRPr="00E64A44" w:rsidRDefault="00BA4D5E" w:rsidP="005210D9">
            <w:pPr>
              <w:rPr>
                <w:b/>
                <w:bCs/>
                <w:sz w:val="16"/>
                <w:szCs w:val="16"/>
                <w:lang w:val="en-US"/>
              </w:rPr>
            </w:pPr>
            <w:r>
              <w:rPr>
                <w:sz w:val="16"/>
                <w:szCs w:val="16"/>
                <w:lang w:val="en-US"/>
              </w:rPr>
              <w:t>Asthma</w:t>
            </w:r>
          </w:p>
        </w:tc>
        <w:tc>
          <w:tcPr>
            <w:tcW w:w="2410" w:type="dxa"/>
            <w:tcBorders>
              <w:top w:val="nil"/>
              <w:left w:val="single" w:sz="4" w:space="0" w:color="auto"/>
              <w:bottom w:val="nil"/>
              <w:right w:val="single" w:sz="4" w:space="0" w:color="auto"/>
            </w:tcBorders>
            <w:shd w:val="clear" w:color="auto" w:fill="auto"/>
          </w:tcPr>
          <w:p w14:paraId="6C57CE4D"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nil"/>
              <w:right w:val="single" w:sz="4" w:space="0" w:color="auto"/>
            </w:tcBorders>
            <w:shd w:val="clear" w:color="auto" w:fill="auto"/>
          </w:tcPr>
          <w:p w14:paraId="7F925D40" w14:textId="77777777" w:rsidR="00BA4D5E" w:rsidRPr="00E64A44" w:rsidRDefault="00BA4D5E" w:rsidP="005210D9">
            <w:pPr>
              <w:jc w:val="center"/>
              <w:rPr>
                <w:sz w:val="16"/>
                <w:szCs w:val="16"/>
                <w:lang w:val="en-US"/>
              </w:rPr>
            </w:pPr>
            <w:r w:rsidRPr="00E64A44">
              <w:rPr>
                <w:sz w:val="16"/>
                <w:szCs w:val="16"/>
                <w:lang w:val="en-US"/>
              </w:rPr>
              <w:sym w:font="Wingdings" w:char="F0FC"/>
            </w:r>
          </w:p>
        </w:tc>
      </w:tr>
      <w:tr w:rsidR="00BA4D5E" w:rsidRPr="00E64A44" w14:paraId="3DCE2984" w14:textId="77777777" w:rsidTr="005210D9">
        <w:tc>
          <w:tcPr>
            <w:tcW w:w="4395" w:type="dxa"/>
            <w:tcBorders>
              <w:top w:val="nil"/>
              <w:left w:val="single" w:sz="4" w:space="0" w:color="auto"/>
              <w:bottom w:val="single" w:sz="4" w:space="0" w:color="auto"/>
              <w:right w:val="single" w:sz="4" w:space="0" w:color="auto"/>
            </w:tcBorders>
            <w:shd w:val="clear" w:color="auto" w:fill="auto"/>
          </w:tcPr>
          <w:p w14:paraId="669C278B" w14:textId="77777777" w:rsidR="00BA4D5E" w:rsidRPr="00E64A44" w:rsidRDefault="00BA4D5E" w:rsidP="005210D9">
            <w:pPr>
              <w:rPr>
                <w:b/>
                <w:bCs/>
                <w:sz w:val="16"/>
                <w:szCs w:val="16"/>
                <w:lang w:val="en-US"/>
              </w:rPr>
            </w:pPr>
            <w:r>
              <w:rPr>
                <w:sz w:val="16"/>
                <w:szCs w:val="16"/>
                <w:lang w:val="en-US"/>
              </w:rPr>
              <w:t>Hypothyroidism</w:t>
            </w:r>
          </w:p>
        </w:tc>
        <w:tc>
          <w:tcPr>
            <w:tcW w:w="2410" w:type="dxa"/>
            <w:tcBorders>
              <w:top w:val="nil"/>
              <w:left w:val="single" w:sz="4" w:space="0" w:color="auto"/>
              <w:bottom w:val="single" w:sz="4" w:space="0" w:color="auto"/>
              <w:right w:val="single" w:sz="4" w:space="0" w:color="auto"/>
            </w:tcBorders>
            <w:shd w:val="clear" w:color="auto" w:fill="auto"/>
          </w:tcPr>
          <w:p w14:paraId="0FA5EC72" w14:textId="77777777" w:rsidR="00BA4D5E" w:rsidRPr="00E64A44" w:rsidRDefault="00BA4D5E" w:rsidP="005210D9">
            <w:pPr>
              <w:jc w:val="center"/>
              <w:rPr>
                <w:sz w:val="16"/>
                <w:szCs w:val="16"/>
                <w:lang w:val="en-US"/>
              </w:rPr>
            </w:pPr>
            <w:r w:rsidRPr="00E64A44">
              <w:rPr>
                <w:sz w:val="16"/>
                <w:szCs w:val="16"/>
                <w:lang w:val="en-US"/>
              </w:rPr>
              <w:sym w:font="Wingdings" w:char="F0FC"/>
            </w:r>
          </w:p>
        </w:tc>
        <w:tc>
          <w:tcPr>
            <w:tcW w:w="3118" w:type="dxa"/>
            <w:tcBorders>
              <w:top w:val="nil"/>
              <w:left w:val="single" w:sz="4" w:space="0" w:color="auto"/>
              <w:bottom w:val="single" w:sz="4" w:space="0" w:color="auto"/>
              <w:right w:val="single" w:sz="4" w:space="0" w:color="auto"/>
            </w:tcBorders>
            <w:shd w:val="clear" w:color="auto" w:fill="auto"/>
          </w:tcPr>
          <w:p w14:paraId="6B6C88EF" w14:textId="77777777" w:rsidR="00BA4D5E" w:rsidRPr="00E64A44" w:rsidRDefault="00BA4D5E" w:rsidP="005210D9">
            <w:pPr>
              <w:jc w:val="center"/>
              <w:rPr>
                <w:sz w:val="16"/>
                <w:szCs w:val="16"/>
                <w:lang w:val="en-US"/>
              </w:rPr>
            </w:pPr>
            <w:r w:rsidRPr="00E64A44">
              <w:rPr>
                <w:sz w:val="16"/>
                <w:szCs w:val="16"/>
                <w:lang w:val="en-US"/>
              </w:rPr>
              <w:sym w:font="Wingdings" w:char="F0FC"/>
            </w:r>
          </w:p>
        </w:tc>
      </w:tr>
    </w:tbl>
    <w:p w14:paraId="2DA0C844" w14:textId="77777777" w:rsidR="002A5F6E" w:rsidRDefault="002A5F6E" w:rsidP="00BA4D5E">
      <w:pPr>
        <w:rPr>
          <w:sz w:val="16"/>
          <w:szCs w:val="16"/>
          <w:lang w:val="en-US"/>
        </w:rPr>
      </w:pPr>
    </w:p>
    <w:p w14:paraId="291B8DFD" w14:textId="1F662B88" w:rsidR="00BA4D5E" w:rsidRPr="002542CA" w:rsidRDefault="005D010A" w:rsidP="00BA4D5E">
      <w:pPr>
        <w:rPr>
          <w:sz w:val="16"/>
          <w:szCs w:val="16"/>
          <w:lang w:val="en-US"/>
        </w:rPr>
      </w:pPr>
      <w:r w:rsidRPr="002542CA">
        <w:rPr>
          <w:sz w:val="16"/>
          <w:szCs w:val="16"/>
          <w:lang w:val="en-US"/>
        </w:rPr>
        <w:t>*E</w:t>
      </w:r>
      <w:r w:rsidR="000069A4">
        <w:rPr>
          <w:sz w:val="16"/>
          <w:szCs w:val="16"/>
          <w:lang w:val="en-US"/>
        </w:rPr>
        <w:t>MIS</w:t>
      </w:r>
      <w:r w:rsidRPr="002542CA">
        <w:rPr>
          <w:sz w:val="16"/>
          <w:szCs w:val="16"/>
          <w:lang w:val="en-US"/>
        </w:rPr>
        <w:t xml:space="preserve"> and Systm1 are primary care software </w:t>
      </w:r>
      <w:proofErr w:type="spellStart"/>
      <w:r w:rsidRPr="002542CA">
        <w:rPr>
          <w:sz w:val="16"/>
          <w:szCs w:val="16"/>
          <w:lang w:val="en-US"/>
        </w:rPr>
        <w:t>programmes</w:t>
      </w:r>
      <w:proofErr w:type="spellEnd"/>
      <w:r w:rsidRPr="002542CA">
        <w:rPr>
          <w:sz w:val="16"/>
          <w:szCs w:val="16"/>
          <w:lang w:val="en-US"/>
        </w:rPr>
        <w:t xml:space="preserve"> used throughout England</w:t>
      </w:r>
    </w:p>
    <w:p w14:paraId="45782EDE" w14:textId="77777777" w:rsidR="00BA4D5E" w:rsidRDefault="00BA4D5E">
      <w:pPr>
        <w:rPr>
          <w:sz w:val="22"/>
          <w:szCs w:val="22"/>
        </w:rPr>
      </w:pPr>
    </w:p>
    <w:p w14:paraId="79F1BC7F" w14:textId="73C08B0E" w:rsidR="00BA4D5E" w:rsidRDefault="00BA4D5E">
      <w:pPr>
        <w:rPr>
          <w:sz w:val="22"/>
          <w:szCs w:val="22"/>
        </w:rPr>
      </w:pPr>
      <w:r>
        <w:rPr>
          <w:sz w:val="22"/>
          <w:szCs w:val="22"/>
        </w:rPr>
        <w:br w:type="page"/>
      </w:r>
    </w:p>
    <w:p w14:paraId="3CA38675" w14:textId="77777777" w:rsidR="00626AF4" w:rsidRDefault="00626AF4">
      <w:pPr>
        <w:rPr>
          <w:sz w:val="22"/>
          <w:szCs w:val="22"/>
        </w:rPr>
      </w:pPr>
    </w:p>
    <w:p w14:paraId="6025DD19" w14:textId="77777777" w:rsidR="00626AF4" w:rsidRDefault="00626AF4">
      <w:pPr>
        <w:rPr>
          <w:sz w:val="22"/>
          <w:szCs w:val="22"/>
        </w:rPr>
      </w:pPr>
    </w:p>
    <w:p w14:paraId="3D34BAB0" w14:textId="77777777" w:rsidR="00626AF4" w:rsidRDefault="00626AF4">
      <w:pPr>
        <w:rPr>
          <w:sz w:val="22"/>
          <w:szCs w:val="22"/>
        </w:rPr>
      </w:pPr>
    </w:p>
    <w:p w14:paraId="2FD352CF" w14:textId="37016E39" w:rsidR="00626AF4" w:rsidRPr="00FD2724" w:rsidRDefault="00FD2724">
      <w:pPr>
        <w:rPr>
          <w:b/>
          <w:bCs/>
          <w:sz w:val="22"/>
          <w:szCs w:val="22"/>
          <w:u w:val="single"/>
        </w:rPr>
      </w:pPr>
      <w:r w:rsidRPr="00FD2724">
        <w:rPr>
          <w:b/>
          <w:bCs/>
          <w:sz w:val="22"/>
          <w:szCs w:val="22"/>
          <w:u w:val="single"/>
        </w:rPr>
        <w:t>Figure legends</w:t>
      </w:r>
    </w:p>
    <w:p w14:paraId="0E27F0FE" w14:textId="77777777" w:rsidR="00626AF4" w:rsidRDefault="00626AF4">
      <w:pPr>
        <w:rPr>
          <w:sz w:val="22"/>
          <w:szCs w:val="22"/>
        </w:rPr>
      </w:pPr>
    </w:p>
    <w:p w14:paraId="5E29143B" w14:textId="0C36C44E" w:rsidR="00626AF4" w:rsidRDefault="00626AF4">
      <w:pPr>
        <w:rPr>
          <w:b/>
          <w:bCs/>
          <w:sz w:val="22"/>
          <w:szCs w:val="22"/>
        </w:rPr>
      </w:pPr>
      <w:r w:rsidRPr="00626AF4">
        <w:rPr>
          <w:b/>
          <w:bCs/>
          <w:sz w:val="22"/>
          <w:szCs w:val="22"/>
        </w:rPr>
        <w:t>Figure 1</w:t>
      </w:r>
    </w:p>
    <w:p w14:paraId="7799A3EE" w14:textId="13F3AD80" w:rsidR="005C50B4" w:rsidRPr="005C50B4" w:rsidRDefault="0039288F">
      <w:pPr>
        <w:rPr>
          <w:sz w:val="22"/>
          <w:szCs w:val="22"/>
        </w:rPr>
      </w:pPr>
      <w:r>
        <w:rPr>
          <w:sz w:val="22"/>
          <w:szCs w:val="22"/>
        </w:rPr>
        <w:t>An overview of</w:t>
      </w:r>
      <w:r w:rsidR="005C50B4" w:rsidRPr="005C50B4">
        <w:rPr>
          <w:sz w:val="22"/>
          <w:szCs w:val="22"/>
        </w:rPr>
        <w:t xml:space="preserve"> usual care for </w:t>
      </w:r>
      <w:r w:rsidR="005C50B4">
        <w:rPr>
          <w:sz w:val="22"/>
          <w:szCs w:val="22"/>
        </w:rPr>
        <w:t>l</w:t>
      </w:r>
      <w:r w:rsidR="005C50B4" w:rsidRPr="005C50B4">
        <w:rPr>
          <w:sz w:val="22"/>
          <w:szCs w:val="22"/>
        </w:rPr>
        <w:t xml:space="preserve">iver disease assessment and management </w:t>
      </w:r>
      <w:r>
        <w:rPr>
          <w:sz w:val="22"/>
          <w:szCs w:val="22"/>
        </w:rPr>
        <w:t xml:space="preserve">within primary and secondary care liver services </w:t>
      </w:r>
      <w:r w:rsidR="005C50B4" w:rsidRPr="005C50B4">
        <w:rPr>
          <w:sz w:val="22"/>
          <w:szCs w:val="22"/>
        </w:rPr>
        <w:t xml:space="preserve">in </w:t>
      </w:r>
      <w:r>
        <w:rPr>
          <w:sz w:val="22"/>
          <w:szCs w:val="22"/>
        </w:rPr>
        <w:t xml:space="preserve">study areas – highlighting </w:t>
      </w:r>
      <w:r w:rsidR="000069A4">
        <w:rPr>
          <w:sz w:val="22"/>
          <w:szCs w:val="22"/>
        </w:rPr>
        <w:t xml:space="preserve">the complexities and </w:t>
      </w:r>
      <w:r>
        <w:rPr>
          <w:sz w:val="22"/>
          <w:szCs w:val="22"/>
        </w:rPr>
        <w:t>subt</w:t>
      </w:r>
      <w:r w:rsidR="000069A4">
        <w:rPr>
          <w:sz w:val="22"/>
          <w:szCs w:val="22"/>
        </w:rPr>
        <w:t xml:space="preserve">le </w:t>
      </w:r>
      <w:r>
        <w:rPr>
          <w:sz w:val="22"/>
          <w:szCs w:val="22"/>
        </w:rPr>
        <w:t xml:space="preserve">variations in practice. </w:t>
      </w:r>
    </w:p>
    <w:p w14:paraId="2F6B3AAC" w14:textId="77777777" w:rsidR="00626AF4" w:rsidRDefault="00626AF4">
      <w:pPr>
        <w:rPr>
          <w:sz w:val="22"/>
          <w:szCs w:val="22"/>
        </w:rPr>
      </w:pPr>
    </w:p>
    <w:p w14:paraId="13775359" w14:textId="31A9E2F2" w:rsidR="00E420FA" w:rsidRDefault="00010E2E" w:rsidP="00010E2E">
      <w:pPr>
        <w:rPr>
          <w:rFonts w:cstheme="minorHAnsi"/>
          <w:b/>
          <w:bCs/>
          <w:sz w:val="22"/>
          <w:szCs w:val="22"/>
        </w:rPr>
      </w:pPr>
      <w:r>
        <w:rPr>
          <w:rFonts w:cstheme="minorHAnsi"/>
          <w:b/>
          <w:bCs/>
          <w:sz w:val="22"/>
          <w:szCs w:val="22"/>
        </w:rPr>
        <w:t xml:space="preserve">Figure </w:t>
      </w:r>
      <w:r w:rsidR="00BF1F91">
        <w:rPr>
          <w:rFonts w:cstheme="minorHAnsi"/>
          <w:b/>
          <w:bCs/>
          <w:sz w:val="22"/>
          <w:szCs w:val="22"/>
        </w:rPr>
        <w:t>2</w:t>
      </w:r>
      <w:r w:rsidR="000C4F9E">
        <w:rPr>
          <w:rFonts w:cstheme="minorHAnsi"/>
          <w:b/>
          <w:bCs/>
          <w:sz w:val="22"/>
          <w:szCs w:val="22"/>
        </w:rPr>
        <w:t xml:space="preserve"> </w:t>
      </w:r>
    </w:p>
    <w:p w14:paraId="67D18F41" w14:textId="6EC5FC8D" w:rsidR="00BF1F91" w:rsidRDefault="00E420FA" w:rsidP="00010E2E">
      <w:pPr>
        <w:rPr>
          <w:rFonts w:cstheme="minorHAnsi"/>
          <w:sz w:val="22"/>
          <w:szCs w:val="22"/>
        </w:rPr>
      </w:pPr>
      <w:r w:rsidRPr="00E420FA">
        <w:rPr>
          <w:rFonts w:cstheme="minorHAnsi"/>
          <w:sz w:val="22"/>
          <w:szCs w:val="22"/>
        </w:rPr>
        <w:t xml:space="preserve">Markov model structure </w:t>
      </w:r>
      <w:r>
        <w:rPr>
          <w:rFonts w:cstheme="minorHAnsi"/>
          <w:sz w:val="22"/>
          <w:szCs w:val="22"/>
        </w:rPr>
        <w:t>used to calculate incremental cost-effectiveness of different testing strategies. The findings f</w:t>
      </w:r>
      <w:r w:rsidR="002542CA">
        <w:rPr>
          <w:rFonts w:cstheme="minorHAnsi"/>
          <w:sz w:val="22"/>
          <w:szCs w:val="22"/>
        </w:rPr>
        <w:t>ro</w:t>
      </w:r>
      <w:r>
        <w:rPr>
          <w:rFonts w:cstheme="minorHAnsi"/>
          <w:sz w:val="22"/>
          <w:szCs w:val="22"/>
        </w:rPr>
        <w:t>m the trial will parameterise this model. Numbers 1-4 correspond to the benefits of early detection that will be incorporated into the modelling.</w:t>
      </w:r>
    </w:p>
    <w:p w14:paraId="48DFBE55" w14:textId="77777777" w:rsidR="00BF1F91" w:rsidRDefault="00BF1F91" w:rsidP="00BF1F91">
      <w:pPr>
        <w:rPr>
          <w:rFonts w:cstheme="minorHAnsi"/>
          <w:b/>
          <w:bCs/>
          <w:sz w:val="22"/>
          <w:szCs w:val="22"/>
        </w:rPr>
      </w:pPr>
    </w:p>
    <w:p w14:paraId="4A959AFF" w14:textId="77777777" w:rsidR="00BF1F91" w:rsidRDefault="00BF1F91" w:rsidP="00BF1F91">
      <w:pPr>
        <w:rPr>
          <w:rFonts w:cstheme="minorHAnsi"/>
          <w:b/>
          <w:bCs/>
          <w:sz w:val="22"/>
          <w:szCs w:val="22"/>
        </w:rPr>
      </w:pPr>
      <w:r>
        <w:rPr>
          <w:rFonts w:cstheme="minorHAnsi"/>
          <w:b/>
          <w:bCs/>
          <w:sz w:val="22"/>
          <w:szCs w:val="22"/>
        </w:rPr>
        <w:t xml:space="preserve">Figure 3 </w:t>
      </w:r>
    </w:p>
    <w:p w14:paraId="0D78D045" w14:textId="3BCF247D" w:rsidR="0003104A" w:rsidRPr="00EF4FA3" w:rsidRDefault="00BF1F91" w:rsidP="00FD2724">
      <w:pPr>
        <w:widowControl w:val="0"/>
        <w:autoSpaceDE w:val="0"/>
        <w:autoSpaceDN w:val="0"/>
        <w:adjustRightInd w:val="0"/>
        <w:rPr>
          <w:sz w:val="22"/>
          <w:szCs w:val="22"/>
        </w:rPr>
      </w:pPr>
      <w:r w:rsidRPr="00217D66">
        <w:rPr>
          <w:rFonts w:cstheme="minorHAnsi"/>
          <w:sz w:val="22"/>
          <w:szCs w:val="22"/>
        </w:rPr>
        <w:t>Study flow chart showing how the study arms and nested cost-effectiveness evaluation</w:t>
      </w:r>
      <w:r>
        <w:rPr>
          <w:rFonts w:cstheme="minorHAnsi"/>
          <w:sz w:val="22"/>
          <w:szCs w:val="22"/>
        </w:rPr>
        <w:t>. Rationale for</w:t>
      </w:r>
      <w:r w:rsidR="000069A4">
        <w:rPr>
          <w:rFonts w:cstheme="minorHAnsi"/>
          <w:sz w:val="22"/>
          <w:szCs w:val="22"/>
        </w:rPr>
        <w:t xml:space="preserve"> </w:t>
      </w:r>
      <w:r>
        <w:rPr>
          <w:rFonts w:cstheme="minorHAnsi"/>
          <w:sz w:val="22"/>
          <w:szCs w:val="22"/>
        </w:rPr>
        <w:t>study sample size is also conveyed.</w:t>
      </w:r>
    </w:p>
    <w:sectPr w:rsidR="0003104A" w:rsidRPr="00EF4FA3" w:rsidSect="003D4428">
      <w:footerReference w:type="even" r:id="rId31"/>
      <w:footerReference w:type="default" r:id="rId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11624" w14:textId="77777777" w:rsidR="00E26ECC" w:rsidRDefault="00E26ECC" w:rsidP="003D4428">
      <w:r>
        <w:separator/>
      </w:r>
    </w:p>
  </w:endnote>
  <w:endnote w:type="continuationSeparator" w:id="0">
    <w:p w14:paraId="5AE6EFF1" w14:textId="77777777" w:rsidR="00E26ECC" w:rsidRDefault="00E26ECC" w:rsidP="003D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qual">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2976613"/>
      <w:docPartObj>
        <w:docPartGallery w:val="Page Numbers (Bottom of Page)"/>
        <w:docPartUnique/>
      </w:docPartObj>
    </w:sdtPr>
    <w:sdtContent>
      <w:p w14:paraId="068944A3" w14:textId="0EF2AB49" w:rsidR="00E43CB6" w:rsidRDefault="00E43CB6" w:rsidP="00E83F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C7BC23" w14:textId="77777777" w:rsidR="00E43CB6" w:rsidRDefault="00E43CB6" w:rsidP="003D44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034807"/>
      <w:docPartObj>
        <w:docPartGallery w:val="Page Numbers (Bottom of Page)"/>
        <w:docPartUnique/>
      </w:docPartObj>
    </w:sdtPr>
    <w:sdtContent>
      <w:p w14:paraId="0BC36EB8" w14:textId="2C63A704" w:rsidR="00E83F15" w:rsidRDefault="00E83F15" w:rsidP="006549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D877B80" w14:textId="08A2B9D6" w:rsidR="00E83F15" w:rsidRPr="00E83F15" w:rsidRDefault="00E83F15" w:rsidP="00E83F15">
    <w:pPr>
      <w:pStyle w:val="Footer"/>
      <w:ind w:right="360"/>
      <w:rPr>
        <w:sz w:val="16"/>
        <w:szCs w:val="16"/>
      </w:rPr>
    </w:pPr>
    <w:r w:rsidRPr="002A5F6E">
      <w:rPr>
        <w:sz w:val="16"/>
        <w:szCs w:val="16"/>
      </w:rPr>
      <w:t xml:space="preserve">Version </w:t>
    </w:r>
    <w:r w:rsidR="00DF70FB" w:rsidRPr="002A5F6E">
      <w:rPr>
        <w:sz w:val="16"/>
        <w:szCs w:val="16"/>
      </w:rPr>
      <w:t>2</w:t>
    </w:r>
    <w:r w:rsidRPr="002A5F6E">
      <w:rPr>
        <w:sz w:val="16"/>
        <w:szCs w:val="16"/>
      </w:rPr>
      <w:t xml:space="preserve">.0 </w:t>
    </w:r>
    <w:r w:rsidR="00DF70FB" w:rsidRPr="002A5F6E">
      <w:rPr>
        <w:sz w:val="16"/>
        <w:szCs w:val="16"/>
      </w:rPr>
      <w:t>6</w:t>
    </w:r>
    <w:r w:rsidRPr="002A5F6E">
      <w:rPr>
        <w:sz w:val="16"/>
        <w:szCs w:val="16"/>
      </w:rPr>
      <w:t>/</w:t>
    </w:r>
    <w:r w:rsidR="00DF70FB" w:rsidRPr="002A5F6E">
      <w:rPr>
        <w:sz w:val="16"/>
        <w:szCs w:val="16"/>
      </w:rPr>
      <w:t>12</w:t>
    </w:r>
    <w:r w:rsidRPr="002A5F6E">
      <w:rPr>
        <w:sz w:val="16"/>
        <w:szCs w:val="16"/>
      </w:rPr>
      <w:t>/24</w:t>
    </w:r>
  </w:p>
  <w:p w14:paraId="40E425DF" w14:textId="5DA9CB61" w:rsidR="00E43CB6" w:rsidRPr="003D4428" w:rsidRDefault="00E43CB6" w:rsidP="003D4428">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477B" w14:textId="77777777" w:rsidR="00E26ECC" w:rsidRDefault="00E26ECC" w:rsidP="003D4428">
      <w:r>
        <w:separator/>
      </w:r>
    </w:p>
  </w:footnote>
  <w:footnote w:type="continuationSeparator" w:id="0">
    <w:p w14:paraId="330347AA" w14:textId="77777777" w:rsidR="00E26ECC" w:rsidRDefault="00E26ECC" w:rsidP="003D4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CF3"/>
    <w:multiLevelType w:val="hybridMultilevel"/>
    <w:tmpl w:val="401CE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471A6"/>
    <w:multiLevelType w:val="multilevel"/>
    <w:tmpl w:val="60C4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06565"/>
    <w:multiLevelType w:val="hybridMultilevel"/>
    <w:tmpl w:val="9B4AF534"/>
    <w:lvl w:ilvl="0" w:tplc="9A6228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B57C38"/>
    <w:multiLevelType w:val="multilevel"/>
    <w:tmpl w:val="641C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268A9"/>
    <w:multiLevelType w:val="hybridMultilevel"/>
    <w:tmpl w:val="2D2C6C72"/>
    <w:lvl w:ilvl="0" w:tplc="54CA23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D12D84"/>
    <w:multiLevelType w:val="hybridMultilevel"/>
    <w:tmpl w:val="C3EA5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74C98"/>
    <w:multiLevelType w:val="hybridMultilevel"/>
    <w:tmpl w:val="7BA03078"/>
    <w:lvl w:ilvl="0" w:tplc="7562C3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742ECF"/>
    <w:multiLevelType w:val="hybridMultilevel"/>
    <w:tmpl w:val="CF96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5E2A1E"/>
    <w:multiLevelType w:val="hybridMultilevel"/>
    <w:tmpl w:val="D3749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BA5C49"/>
    <w:multiLevelType w:val="hybridMultilevel"/>
    <w:tmpl w:val="2FB8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422F5"/>
    <w:multiLevelType w:val="multilevel"/>
    <w:tmpl w:val="7E48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585DC4"/>
    <w:multiLevelType w:val="multilevel"/>
    <w:tmpl w:val="C384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884923"/>
    <w:multiLevelType w:val="hybridMultilevel"/>
    <w:tmpl w:val="B4B04458"/>
    <w:lvl w:ilvl="0" w:tplc="BC6E7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AE02BD"/>
    <w:multiLevelType w:val="hybridMultilevel"/>
    <w:tmpl w:val="D5D8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8B39D8"/>
    <w:multiLevelType w:val="hybridMultilevel"/>
    <w:tmpl w:val="A562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CC7B6B"/>
    <w:multiLevelType w:val="hybridMultilevel"/>
    <w:tmpl w:val="FC9EE84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99699264">
    <w:abstractNumId w:val="11"/>
  </w:num>
  <w:num w:numId="2" w16cid:durableId="1261256426">
    <w:abstractNumId w:val="14"/>
  </w:num>
  <w:num w:numId="3" w16cid:durableId="913390987">
    <w:abstractNumId w:val="13"/>
  </w:num>
  <w:num w:numId="4" w16cid:durableId="794713251">
    <w:abstractNumId w:val="7"/>
  </w:num>
  <w:num w:numId="5" w16cid:durableId="1632007574">
    <w:abstractNumId w:val="15"/>
  </w:num>
  <w:num w:numId="6" w16cid:durableId="1018656790">
    <w:abstractNumId w:val="12"/>
  </w:num>
  <w:num w:numId="7" w16cid:durableId="1651905145">
    <w:abstractNumId w:val="6"/>
  </w:num>
  <w:num w:numId="8" w16cid:durableId="1617062390">
    <w:abstractNumId w:val="10"/>
  </w:num>
  <w:num w:numId="9" w16cid:durableId="69542739">
    <w:abstractNumId w:val="9"/>
  </w:num>
  <w:num w:numId="10" w16cid:durableId="1261109282">
    <w:abstractNumId w:val="1"/>
  </w:num>
  <w:num w:numId="11" w16cid:durableId="1187016260">
    <w:abstractNumId w:val="2"/>
  </w:num>
  <w:num w:numId="12" w16cid:durableId="1413042334">
    <w:abstractNumId w:val="4"/>
  </w:num>
  <w:num w:numId="13" w16cid:durableId="1550219892">
    <w:abstractNumId w:val="0"/>
  </w:num>
  <w:num w:numId="14" w16cid:durableId="1786264609">
    <w:abstractNumId w:val="3"/>
  </w:num>
  <w:num w:numId="15" w16cid:durableId="86467559">
    <w:abstractNumId w:val="8"/>
  </w:num>
  <w:num w:numId="16" w16cid:durableId="1476724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6"/>
    <w:rsid w:val="00002B2B"/>
    <w:rsid w:val="000069A4"/>
    <w:rsid w:val="00007FC1"/>
    <w:rsid w:val="00010501"/>
    <w:rsid w:val="00010E2E"/>
    <w:rsid w:val="00014194"/>
    <w:rsid w:val="000152C3"/>
    <w:rsid w:val="00023F88"/>
    <w:rsid w:val="00025D2A"/>
    <w:rsid w:val="0003104A"/>
    <w:rsid w:val="00041AE9"/>
    <w:rsid w:val="00041EC0"/>
    <w:rsid w:val="00052A76"/>
    <w:rsid w:val="00054DC7"/>
    <w:rsid w:val="000665E5"/>
    <w:rsid w:val="000665FB"/>
    <w:rsid w:val="00077D7B"/>
    <w:rsid w:val="00087DC6"/>
    <w:rsid w:val="0009595E"/>
    <w:rsid w:val="00097760"/>
    <w:rsid w:val="000B6FDB"/>
    <w:rsid w:val="000C1F8E"/>
    <w:rsid w:val="000C4406"/>
    <w:rsid w:val="000C4F9E"/>
    <w:rsid w:val="000C681F"/>
    <w:rsid w:val="000C7637"/>
    <w:rsid w:val="000D3BA7"/>
    <w:rsid w:val="000E5DBA"/>
    <w:rsid w:val="000F2BCB"/>
    <w:rsid w:val="000F424F"/>
    <w:rsid w:val="00111A23"/>
    <w:rsid w:val="00134723"/>
    <w:rsid w:val="0014566B"/>
    <w:rsid w:val="00153881"/>
    <w:rsid w:val="00160016"/>
    <w:rsid w:val="00166045"/>
    <w:rsid w:val="001726DE"/>
    <w:rsid w:val="00173600"/>
    <w:rsid w:val="00177818"/>
    <w:rsid w:val="00177CB1"/>
    <w:rsid w:val="00182FCE"/>
    <w:rsid w:val="0018443B"/>
    <w:rsid w:val="00195CAC"/>
    <w:rsid w:val="001B2D3B"/>
    <w:rsid w:val="001B55B2"/>
    <w:rsid w:val="001B622C"/>
    <w:rsid w:val="001B6764"/>
    <w:rsid w:val="001B7338"/>
    <w:rsid w:val="001C4768"/>
    <w:rsid w:val="001D238E"/>
    <w:rsid w:val="001D4A4B"/>
    <w:rsid w:val="001F121F"/>
    <w:rsid w:val="00217D66"/>
    <w:rsid w:val="0022002E"/>
    <w:rsid w:val="00231EFF"/>
    <w:rsid w:val="002542CA"/>
    <w:rsid w:val="00257E9C"/>
    <w:rsid w:val="00261013"/>
    <w:rsid w:val="00262F86"/>
    <w:rsid w:val="002658F6"/>
    <w:rsid w:val="00286446"/>
    <w:rsid w:val="002A5F6E"/>
    <w:rsid w:val="002B2F89"/>
    <w:rsid w:val="002B388A"/>
    <w:rsid w:val="002C5C1D"/>
    <w:rsid w:val="002D4750"/>
    <w:rsid w:val="002D5D81"/>
    <w:rsid w:val="002E09D0"/>
    <w:rsid w:val="002E2053"/>
    <w:rsid w:val="002F1B3C"/>
    <w:rsid w:val="00327577"/>
    <w:rsid w:val="00333630"/>
    <w:rsid w:val="0034052D"/>
    <w:rsid w:val="00343A30"/>
    <w:rsid w:val="00347462"/>
    <w:rsid w:val="0036195D"/>
    <w:rsid w:val="003671F8"/>
    <w:rsid w:val="003872BB"/>
    <w:rsid w:val="00390BAC"/>
    <w:rsid w:val="0039288F"/>
    <w:rsid w:val="0039540F"/>
    <w:rsid w:val="00397318"/>
    <w:rsid w:val="003A09E4"/>
    <w:rsid w:val="003A54FA"/>
    <w:rsid w:val="003A5B79"/>
    <w:rsid w:val="003A5F81"/>
    <w:rsid w:val="003B3108"/>
    <w:rsid w:val="003C38BC"/>
    <w:rsid w:val="003D4428"/>
    <w:rsid w:val="003D70E5"/>
    <w:rsid w:val="003E49AF"/>
    <w:rsid w:val="003E4E5A"/>
    <w:rsid w:val="003E719F"/>
    <w:rsid w:val="003E7E56"/>
    <w:rsid w:val="003F30E3"/>
    <w:rsid w:val="00403AE1"/>
    <w:rsid w:val="00406A99"/>
    <w:rsid w:val="004129E4"/>
    <w:rsid w:val="00415096"/>
    <w:rsid w:val="004176FB"/>
    <w:rsid w:val="004214E2"/>
    <w:rsid w:val="00425A6C"/>
    <w:rsid w:val="00427D3C"/>
    <w:rsid w:val="00432676"/>
    <w:rsid w:val="0044360F"/>
    <w:rsid w:val="004437AB"/>
    <w:rsid w:val="00446040"/>
    <w:rsid w:val="00454B1D"/>
    <w:rsid w:val="00456F25"/>
    <w:rsid w:val="004570BA"/>
    <w:rsid w:val="004613DA"/>
    <w:rsid w:val="00465FC2"/>
    <w:rsid w:val="00466CAC"/>
    <w:rsid w:val="00472333"/>
    <w:rsid w:val="00476FE0"/>
    <w:rsid w:val="00493667"/>
    <w:rsid w:val="004A7F67"/>
    <w:rsid w:val="004B18F0"/>
    <w:rsid w:val="004C1D80"/>
    <w:rsid w:val="004C23D2"/>
    <w:rsid w:val="004C485A"/>
    <w:rsid w:val="004D6AC2"/>
    <w:rsid w:val="004E1B67"/>
    <w:rsid w:val="004E5B43"/>
    <w:rsid w:val="005210D9"/>
    <w:rsid w:val="00546FB4"/>
    <w:rsid w:val="00562055"/>
    <w:rsid w:val="00565FED"/>
    <w:rsid w:val="00596F5F"/>
    <w:rsid w:val="005A0A81"/>
    <w:rsid w:val="005B2C74"/>
    <w:rsid w:val="005B5897"/>
    <w:rsid w:val="005B58AF"/>
    <w:rsid w:val="005C50B4"/>
    <w:rsid w:val="005C6514"/>
    <w:rsid w:val="005D010A"/>
    <w:rsid w:val="005D05C5"/>
    <w:rsid w:val="005D607E"/>
    <w:rsid w:val="005E7849"/>
    <w:rsid w:val="005F1077"/>
    <w:rsid w:val="00600E76"/>
    <w:rsid w:val="00616347"/>
    <w:rsid w:val="00620A8C"/>
    <w:rsid w:val="00626AF4"/>
    <w:rsid w:val="0062767A"/>
    <w:rsid w:val="006341D8"/>
    <w:rsid w:val="006409BF"/>
    <w:rsid w:val="006738C8"/>
    <w:rsid w:val="0068321A"/>
    <w:rsid w:val="00697861"/>
    <w:rsid w:val="006A76BD"/>
    <w:rsid w:val="006B5646"/>
    <w:rsid w:val="006C10D3"/>
    <w:rsid w:val="006D362B"/>
    <w:rsid w:val="006D6665"/>
    <w:rsid w:val="006E1DBF"/>
    <w:rsid w:val="006F095A"/>
    <w:rsid w:val="006F54C3"/>
    <w:rsid w:val="00700578"/>
    <w:rsid w:val="00721676"/>
    <w:rsid w:val="00722D8A"/>
    <w:rsid w:val="00725FA5"/>
    <w:rsid w:val="00732727"/>
    <w:rsid w:val="007346C6"/>
    <w:rsid w:val="00743136"/>
    <w:rsid w:val="00745A9E"/>
    <w:rsid w:val="0075062F"/>
    <w:rsid w:val="00757735"/>
    <w:rsid w:val="00782741"/>
    <w:rsid w:val="00790BA4"/>
    <w:rsid w:val="0079308B"/>
    <w:rsid w:val="007D4DAF"/>
    <w:rsid w:val="007D704B"/>
    <w:rsid w:val="007E17DC"/>
    <w:rsid w:val="007E2FF4"/>
    <w:rsid w:val="007E3256"/>
    <w:rsid w:val="007E588B"/>
    <w:rsid w:val="007F0446"/>
    <w:rsid w:val="00800F29"/>
    <w:rsid w:val="00815A44"/>
    <w:rsid w:val="00817CAF"/>
    <w:rsid w:val="008331D8"/>
    <w:rsid w:val="0084544A"/>
    <w:rsid w:val="008468C7"/>
    <w:rsid w:val="00877A52"/>
    <w:rsid w:val="00881BC3"/>
    <w:rsid w:val="008842A4"/>
    <w:rsid w:val="0088555A"/>
    <w:rsid w:val="00890C3D"/>
    <w:rsid w:val="00890F66"/>
    <w:rsid w:val="008940F9"/>
    <w:rsid w:val="00894803"/>
    <w:rsid w:val="008A2A42"/>
    <w:rsid w:val="008A3CA0"/>
    <w:rsid w:val="008A53B1"/>
    <w:rsid w:val="008B1713"/>
    <w:rsid w:val="008B5B4B"/>
    <w:rsid w:val="008C07B2"/>
    <w:rsid w:val="008D1476"/>
    <w:rsid w:val="008D3B66"/>
    <w:rsid w:val="008D4596"/>
    <w:rsid w:val="008E25D0"/>
    <w:rsid w:val="008F3FCD"/>
    <w:rsid w:val="008F4939"/>
    <w:rsid w:val="00900F77"/>
    <w:rsid w:val="00904D5D"/>
    <w:rsid w:val="00912B34"/>
    <w:rsid w:val="00920C8B"/>
    <w:rsid w:val="00930E97"/>
    <w:rsid w:val="00934A3D"/>
    <w:rsid w:val="00936FDF"/>
    <w:rsid w:val="00945724"/>
    <w:rsid w:val="009616FE"/>
    <w:rsid w:val="00965853"/>
    <w:rsid w:val="00967E27"/>
    <w:rsid w:val="00967E88"/>
    <w:rsid w:val="009858CB"/>
    <w:rsid w:val="0099151B"/>
    <w:rsid w:val="00991E62"/>
    <w:rsid w:val="009B72A9"/>
    <w:rsid w:val="009C0F58"/>
    <w:rsid w:val="009C216D"/>
    <w:rsid w:val="009C359B"/>
    <w:rsid w:val="009C631C"/>
    <w:rsid w:val="009E243B"/>
    <w:rsid w:val="009E24AF"/>
    <w:rsid w:val="009F3B08"/>
    <w:rsid w:val="009F5225"/>
    <w:rsid w:val="00A02472"/>
    <w:rsid w:val="00A02628"/>
    <w:rsid w:val="00A04343"/>
    <w:rsid w:val="00A04D88"/>
    <w:rsid w:val="00A05184"/>
    <w:rsid w:val="00A1288B"/>
    <w:rsid w:val="00A2504C"/>
    <w:rsid w:val="00A25862"/>
    <w:rsid w:val="00A33338"/>
    <w:rsid w:val="00A4121F"/>
    <w:rsid w:val="00A4600A"/>
    <w:rsid w:val="00A67A9B"/>
    <w:rsid w:val="00A85B41"/>
    <w:rsid w:val="00A87937"/>
    <w:rsid w:val="00A90F42"/>
    <w:rsid w:val="00AA4B72"/>
    <w:rsid w:val="00AC01BA"/>
    <w:rsid w:val="00AD12FE"/>
    <w:rsid w:val="00AD5101"/>
    <w:rsid w:val="00AD6C00"/>
    <w:rsid w:val="00AE3C15"/>
    <w:rsid w:val="00AF1FE8"/>
    <w:rsid w:val="00B004EA"/>
    <w:rsid w:val="00B23537"/>
    <w:rsid w:val="00B32372"/>
    <w:rsid w:val="00B3450F"/>
    <w:rsid w:val="00B52158"/>
    <w:rsid w:val="00B66DE1"/>
    <w:rsid w:val="00B7211C"/>
    <w:rsid w:val="00B743CE"/>
    <w:rsid w:val="00B76128"/>
    <w:rsid w:val="00B80BEE"/>
    <w:rsid w:val="00B8268C"/>
    <w:rsid w:val="00B83B58"/>
    <w:rsid w:val="00B83C67"/>
    <w:rsid w:val="00B85035"/>
    <w:rsid w:val="00B96204"/>
    <w:rsid w:val="00BA0491"/>
    <w:rsid w:val="00BA4D5E"/>
    <w:rsid w:val="00BA6207"/>
    <w:rsid w:val="00BC572A"/>
    <w:rsid w:val="00BC639C"/>
    <w:rsid w:val="00BC775C"/>
    <w:rsid w:val="00BC7CD6"/>
    <w:rsid w:val="00BE19EA"/>
    <w:rsid w:val="00BE38E1"/>
    <w:rsid w:val="00BF092B"/>
    <w:rsid w:val="00BF1F91"/>
    <w:rsid w:val="00BF314F"/>
    <w:rsid w:val="00BF3FA8"/>
    <w:rsid w:val="00BF4CC1"/>
    <w:rsid w:val="00BF641D"/>
    <w:rsid w:val="00C03159"/>
    <w:rsid w:val="00C24421"/>
    <w:rsid w:val="00C5775F"/>
    <w:rsid w:val="00C614C8"/>
    <w:rsid w:val="00C653D9"/>
    <w:rsid w:val="00C81540"/>
    <w:rsid w:val="00C8455E"/>
    <w:rsid w:val="00C8495E"/>
    <w:rsid w:val="00C84E95"/>
    <w:rsid w:val="00C866FD"/>
    <w:rsid w:val="00C86B98"/>
    <w:rsid w:val="00C86E71"/>
    <w:rsid w:val="00C941C6"/>
    <w:rsid w:val="00C95E18"/>
    <w:rsid w:val="00CA2602"/>
    <w:rsid w:val="00CA2FF3"/>
    <w:rsid w:val="00CA414A"/>
    <w:rsid w:val="00CA4392"/>
    <w:rsid w:val="00CC7424"/>
    <w:rsid w:val="00CF11A6"/>
    <w:rsid w:val="00CF27DD"/>
    <w:rsid w:val="00CF2ACC"/>
    <w:rsid w:val="00D11CD1"/>
    <w:rsid w:val="00D13510"/>
    <w:rsid w:val="00D30073"/>
    <w:rsid w:val="00D36C6F"/>
    <w:rsid w:val="00D36CB2"/>
    <w:rsid w:val="00D42F2E"/>
    <w:rsid w:val="00D62B8D"/>
    <w:rsid w:val="00D64864"/>
    <w:rsid w:val="00D66D50"/>
    <w:rsid w:val="00D7137A"/>
    <w:rsid w:val="00D714E3"/>
    <w:rsid w:val="00D85D5F"/>
    <w:rsid w:val="00D93AB9"/>
    <w:rsid w:val="00D9736B"/>
    <w:rsid w:val="00DB1ACD"/>
    <w:rsid w:val="00DC0228"/>
    <w:rsid w:val="00DC42D3"/>
    <w:rsid w:val="00DC6C27"/>
    <w:rsid w:val="00DC70F5"/>
    <w:rsid w:val="00DD1E3A"/>
    <w:rsid w:val="00DF70FB"/>
    <w:rsid w:val="00E0270B"/>
    <w:rsid w:val="00E02B49"/>
    <w:rsid w:val="00E02C00"/>
    <w:rsid w:val="00E0724E"/>
    <w:rsid w:val="00E07A3F"/>
    <w:rsid w:val="00E150E1"/>
    <w:rsid w:val="00E170E4"/>
    <w:rsid w:val="00E23BD4"/>
    <w:rsid w:val="00E26ECC"/>
    <w:rsid w:val="00E312B1"/>
    <w:rsid w:val="00E346BE"/>
    <w:rsid w:val="00E37290"/>
    <w:rsid w:val="00E41C25"/>
    <w:rsid w:val="00E420FA"/>
    <w:rsid w:val="00E43CB6"/>
    <w:rsid w:val="00E45B66"/>
    <w:rsid w:val="00E52115"/>
    <w:rsid w:val="00E53921"/>
    <w:rsid w:val="00E53B89"/>
    <w:rsid w:val="00E62A91"/>
    <w:rsid w:val="00E8297D"/>
    <w:rsid w:val="00E83F15"/>
    <w:rsid w:val="00EA04EF"/>
    <w:rsid w:val="00EA2218"/>
    <w:rsid w:val="00EC338D"/>
    <w:rsid w:val="00ED094F"/>
    <w:rsid w:val="00ED1D19"/>
    <w:rsid w:val="00ED42C7"/>
    <w:rsid w:val="00EE1A4D"/>
    <w:rsid w:val="00EE574A"/>
    <w:rsid w:val="00EF4FA3"/>
    <w:rsid w:val="00F00D01"/>
    <w:rsid w:val="00F01206"/>
    <w:rsid w:val="00F025AA"/>
    <w:rsid w:val="00F07262"/>
    <w:rsid w:val="00F07873"/>
    <w:rsid w:val="00F11595"/>
    <w:rsid w:val="00F14F71"/>
    <w:rsid w:val="00F2112A"/>
    <w:rsid w:val="00F27FF7"/>
    <w:rsid w:val="00F31ED7"/>
    <w:rsid w:val="00F32672"/>
    <w:rsid w:val="00F40FB4"/>
    <w:rsid w:val="00F41A50"/>
    <w:rsid w:val="00F45415"/>
    <w:rsid w:val="00F46884"/>
    <w:rsid w:val="00F50BEF"/>
    <w:rsid w:val="00F65BDE"/>
    <w:rsid w:val="00F67B25"/>
    <w:rsid w:val="00F729E2"/>
    <w:rsid w:val="00F80A41"/>
    <w:rsid w:val="00F80A4B"/>
    <w:rsid w:val="00F903D9"/>
    <w:rsid w:val="00F91C04"/>
    <w:rsid w:val="00FB1CDD"/>
    <w:rsid w:val="00FB31CF"/>
    <w:rsid w:val="00FB3A71"/>
    <w:rsid w:val="00FB3D41"/>
    <w:rsid w:val="00FC3AA4"/>
    <w:rsid w:val="00FC7DB4"/>
    <w:rsid w:val="00FD2724"/>
    <w:rsid w:val="00FD725A"/>
    <w:rsid w:val="00FE01D1"/>
    <w:rsid w:val="00FF0A59"/>
    <w:rsid w:val="00FF3E05"/>
    <w:rsid w:val="00FF4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E34BD"/>
  <w15:docId w15:val="{895712EA-357C-1440-B838-70D89180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4428"/>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11A6"/>
    <w:rPr>
      <w:b/>
      <w:bCs/>
    </w:rPr>
  </w:style>
  <w:style w:type="paragraph" w:styleId="NormalWeb">
    <w:name w:val="Normal (Web)"/>
    <w:basedOn w:val="Normal"/>
    <w:uiPriority w:val="99"/>
    <w:unhideWhenUsed/>
    <w:rsid w:val="00CF11A6"/>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27577"/>
    <w:rPr>
      <w:i/>
      <w:iCs/>
    </w:rPr>
  </w:style>
  <w:style w:type="character" w:customStyle="1" w:styleId="Heading1Char">
    <w:name w:val="Heading 1 Char"/>
    <w:basedOn w:val="DefaultParagraphFont"/>
    <w:link w:val="Heading1"/>
    <w:uiPriority w:val="9"/>
    <w:rsid w:val="003D4428"/>
    <w:rPr>
      <w:rFonts w:ascii="Times New Roman" w:eastAsia="Times New Roman" w:hAnsi="Times New Roman" w:cs="Times New Roman"/>
      <w:b/>
      <w:bCs/>
      <w:kern w:val="36"/>
      <w:sz w:val="48"/>
      <w:szCs w:val="48"/>
      <w:lang w:eastAsia="en-GB"/>
      <w14:ligatures w14:val="none"/>
    </w:rPr>
  </w:style>
  <w:style w:type="paragraph" w:styleId="ListParagraph">
    <w:name w:val="List Paragraph"/>
    <w:basedOn w:val="Normal"/>
    <w:uiPriority w:val="34"/>
    <w:qFormat/>
    <w:rsid w:val="003D4428"/>
    <w:pPr>
      <w:ind w:left="720"/>
      <w:contextualSpacing/>
    </w:pPr>
    <w:rPr>
      <w:kern w:val="0"/>
      <w14:ligatures w14:val="none"/>
    </w:rPr>
  </w:style>
  <w:style w:type="character" w:styleId="CommentReference">
    <w:name w:val="annotation reference"/>
    <w:basedOn w:val="DefaultParagraphFont"/>
    <w:uiPriority w:val="99"/>
    <w:semiHidden/>
    <w:unhideWhenUsed/>
    <w:rsid w:val="003D4428"/>
    <w:rPr>
      <w:sz w:val="16"/>
      <w:szCs w:val="16"/>
    </w:rPr>
  </w:style>
  <w:style w:type="character" w:customStyle="1" w:styleId="apple-converted-space">
    <w:name w:val="apple-converted-space"/>
    <w:basedOn w:val="DefaultParagraphFont"/>
    <w:rsid w:val="003D4428"/>
  </w:style>
  <w:style w:type="paragraph" w:styleId="Header">
    <w:name w:val="header"/>
    <w:basedOn w:val="Normal"/>
    <w:link w:val="HeaderChar"/>
    <w:uiPriority w:val="99"/>
    <w:unhideWhenUsed/>
    <w:rsid w:val="003D4428"/>
    <w:pPr>
      <w:tabs>
        <w:tab w:val="center" w:pos="4680"/>
        <w:tab w:val="right" w:pos="9360"/>
      </w:tabs>
    </w:pPr>
  </w:style>
  <w:style w:type="character" w:customStyle="1" w:styleId="HeaderChar">
    <w:name w:val="Header Char"/>
    <w:basedOn w:val="DefaultParagraphFont"/>
    <w:link w:val="Header"/>
    <w:uiPriority w:val="99"/>
    <w:rsid w:val="003D4428"/>
  </w:style>
  <w:style w:type="paragraph" w:styleId="Footer">
    <w:name w:val="footer"/>
    <w:basedOn w:val="Normal"/>
    <w:link w:val="FooterChar"/>
    <w:uiPriority w:val="99"/>
    <w:unhideWhenUsed/>
    <w:rsid w:val="003D4428"/>
    <w:pPr>
      <w:tabs>
        <w:tab w:val="center" w:pos="4680"/>
        <w:tab w:val="right" w:pos="9360"/>
      </w:tabs>
    </w:pPr>
  </w:style>
  <w:style w:type="character" w:customStyle="1" w:styleId="FooterChar">
    <w:name w:val="Footer Char"/>
    <w:basedOn w:val="DefaultParagraphFont"/>
    <w:link w:val="Footer"/>
    <w:uiPriority w:val="99"/>
    <w:rsid w:val="003D4428"/>
  </w:style>
  <w:style w:type="character" w:styleId="LineNumber">
    <w:name w:val="line number"/>
    <w:basedOn w:val="DefaultParagraphFont"/>
    <w:uiPriority w:val="99"/>
    <w:semiHidden/>
    <w:unhideWhenUsed/>
    <w:rsid w:val="003D4428"/>
  </w:style>
  <w:style w:type="character" w:styleId="PageNumber">
    <w:name w:val="page number"/>
    <w:basedOn w:val="DefaultParagraphFont"/>
    <w:uiPriority w:val="99"/>
    <w:semiHidden/>
    <w:unhideWhenUsed/>
    <w:rsid w:val="003D4428"/>
  </w:style>
  <w:style w:type="paragraph" w:styleId="CommentText">
    <w:name w:val="annotation text"/>
    <w:basedOn w:val="Normal"/>
    <w:link w:val="CommentTextChar"/>
    <w:uiPriority w:val="99"/>
    <w:unhideWhenUsed/>
    <w:rsid w:val="00697861"/>
    <w:rPr>
      <w:sz w:val="20"/>
      <w:szCs w:val="20"/>
    </w:rPr>
  </w:style>
  <w:style w:type="character" w:customStyle="1" w:styleId="CommentTextChar">
    <w:name w:val="Comment Text Char"/>
    <w:basedOn w:val="DefaultParagraphFont"/>
    <w:link w:val="CommentText"/>
    <w:uiPriority w:val="99"/>
    <w:rsid w:val="00697861"/>
    <w:rPr>
      <w:sz w:val="20"/>
      <w:szCs w:val="20"/>
    </w:rPr>
  </w:style>
  <w:style w:type="paragraph" w:styleId="CommentSubject">
    <w:name w:val="annotation subject"/>
    <w:basedOn w:val="CommentText"/>
    <w:next w:val="CommentText"/>
    <w:link w:val="CommentSubjectChar"/>
    <w:uiPriority w:val="99"/>
    <w:semiHidden/>
    <w:unhideWhenUsed/>
    <w:rsid w:val="00697861"/>
    <w:rPr>
      <w:b/>
      <w:bCs/>
    </w:rPr>
  </w:style>
  <w:style w:type="character" w:customStyle="1" w:styleId="CommentSubjectChar">
    <w:name w:val="Comment Subject Char"/>
    <w:basedOn w:val="CommentTextChar"/>
    <w:link w:val="CommentSubject"/>
    <w:uiPriority w:val="99"/>
    <w:semiHidden/>
    <w:rsid w:val="00697861"/>
    <w:rPr>
      <w:b/>
      <w:bCs/>
      <w:sz w:val="20"/>
      <w:szCs w:val="20"/>
    </w:rPr>
  </w:style>
  <w:style w:type="paragraph" w:styleId="BalloonText">
    <w:name w:val="Balloon Text"/>
    <w:basedOn w:val="Normal"/>
    <w:link w:val="BalloonTextChar"/>
    <w:uiPriority w:val="99"/>
    <w:semiHidden/>
    <w:unhideWhenUsed/>
    <w:rsid w:val="00FF3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E05"/>
    <w:rPr>
      <w:rFonts w:ascii="Segoe UI" w:hAnsi="Segoe UI" w:cs="Segoe UI"/>
      <w:sz w:val="18"/>
      <w:szCs w:val="18"/>
    </w:rPr>
  </w:style>
  <w:style w:type="paragraph" w:styleId="Revision">
    <w:name w:val="Revision"/>
    <w:hidden/>
    <w:uiPriority w:val="99"/>
    <w:semiHidden/>
    <w:rsid w:val="00177818"/>
  </w:style>
  <w:style w:type="character" w:styleId="Hyperlink">
    <w:name w:val="Hyperlink"/>
    <w:basedOn w:val="DefaultParagraphFont"/>
    <w:uiPriority w:val="99"/>
    <w:unhideWhenUsed/>
    <w:rsid w:val="00A1288B"/>
    <w:rPr>
      <w:color w:val="0563C1" w:themeColor="hyperlink"/>
      <w:u w:val="single"/>
    </w:rPr>
  </w:style>
  <w:style w:type="character" w:customStyle="1" w:styleId="UnresolvedMention1">
    <w:name w:val="Unresolved Mention1"/>
    <w:basedOn w:val="DefaultParagraphFont"/>
    <w:uiPriority w:val="99"/>
    <w:semiHidden/>
    <w:unhideWhenUsed/>
    <w:rsid w:val="00A1288B"/>
    <w:rPr>
      <w:color w:val="605E5C"/>
      <w:shd w:val="clear" w:color="auto" w:fill="E1DFDD"/>
    </w:rPr>
  </w:style>
  <w:style w:type="character" w:customStyle="1" w:styleId="complextitleprimary">
    <w:name w:val="complextitle_primary"/>
    <w:basedOn w:val="DefaultParagraphFont"/>
    <w:rsid w:val="008C07B2"/>
  </w:style>
  <w:style w:type="character" w:customStyle="1" w:styleId="complextitlesecondary">
    <w:name w:val="complextitle_secondary"/>
    <w:basedOn w:val="DefaultParagraphFont"/>
    <w:rsid w:val="008C07B2"/>
  </w:style>
  <w:style w:type="table" w:styleId="TableGrid">
    <w:name w:val="Table Grid"/>
    <w:basedOn w:val="TableNormal"/>
    <w:uiPriority w:val="39"/>
    <w:rsid w:val="00790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1FE8"/>
    <w:rPr>
      <w:color w:val="954F72" w:themeColor="followedHyperlink"/>
      <w:u w:val="single"/>
    </w:rPr>
  </w:style>
  <w:style w:type="character" w:customStyle="1" w:styleId="identifier">
    <w:name w:val="identifier"/>
    <w:basedOn w:val="DefaultParagraphFont"/>
    <w:rsid w:val="003872BB"/>
  </w:style>
  <w:style w:type="character" w:customStyle="1" w:styleId="id-label">
    <w:name w:val="id-label"/>
    <w:basedOn w:val="DefaultParagraphFont"/>
    <w:rsid w:val="003872BB"/>
  </w:style>
  <w:style w:type="character" w:styleId="UnresolvedMention">
    <w:name w:val="Unresolved Mention"/>
    <w:basedOn w:val="DefaultParagraphFont"/>
    <w:uiPriority w:val="99"/>
    <w:semiHidden/>
    <w:unhideWhenUsed/>
    <w:rsid w:val="00343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955">
      <w:bodyDiv w:val="1"/>
      <w:marLeft w:val="0"/>
      <w:marRight w:val="0"/>
      <w:marTop w:val="0"/>
      <w:marBottom w:val="0"/>
      <w:divBdr>
        <w:top w:val="none" w:sz="0" w:space="0" w:color="auto"/>
        <w:left w:val="none" w:sz="0" w:space="0" w:color="auto"/>
        <w:bottom w:val="none" w:sz="0" w:space="0" w:color="auto"/>
        <w:right w:val="none" w:sz="0" w:space="0" w:color="auto"/>
      </w:divBdr>
      <w:divsChild>
        <w:div w:id="1938563932">
          <w:marLeft w:val="0"/>
          <w:marRight w:val="0"/>
          <w:marTop w:val="0"/>
          <w:marBottom w:val="0"/>
          <w:divBdr>
            <w:top w:val="none" w:sz="0" w:space="0" w:color="auto"/>
            <w:left w:val="none" w:sz="0" w:space="0" w:color="auto"/>
            <w:bottom w:val="none" w:sz="0" w:space="0" w:color="auto"/>
            <w:right w:val="none" w:sz="0" w:space="0" w:color="auto"/>
          </w:divBdr>
        </w:div>
        <w:div w:id="634411097">
          <w:marLeft w:val="0"/>
          <w:marRight w:val="0"/>
          <w:marTop w:val="0"/>
          <w:marBottom w:val="0"/>
          <w:divBdr>
            <w:top w:val="none" w:sz="0" w:space="0" w:color="auto"/>
            <w:left w:val="none" w:sz="0" w:space="0" w:color="auto"/>
            <w:bottom w:val="none" w:sz="0" w:space="0" w:color="auto"/>
            <w:right w:val="none" w:sz="0" w:space="0" w:color="auto"/>
          </w:divBdr>
        </w:div>
      </w:divsChild>
    </w:div>
    <w:div w:id="504394373">
      <w:bodyDiv w:val="1"/>
      <w:marLeft w:val="0"/>
      <w:marRight w:val="0"/>
      <w:marTop w:val="0"/>
      <w:marBottom w:val="0"/>
      <w:divBdr>
        <w:top w:val="none" w:sz="0" w:space="0" w:color="auto"/>
        <w:left w:val="none" w:sz="0" w:space="0" w:color="auto"/>
        <w:bottom w:val="none" w:sz="0" w:space="0" w:color="auto"/>
        <w:right w:val="none" w:sz="0" w:space="0" w:color="auto"/>
      </w:divBdr>
    </w:div>
    <w:div w:id="902831549">
      <w:bodyDiv w:val="1"/>
      <w:marLeft w:val="0"/>
      <w:marRight w:val="0"/>
      <w:marTop w:val="0"/>
      <w:marBottom w:val="0"/>
      <w:divBdr>
        <w:top w:val="none" w:sz="0" w:space="0" w:color="auto"/>
        <w:left w:val="none" w:sz="0" w:space="0" w:color="auto"/>
        <w:bottom w:val="none" w:sz="0" w:space="0" w:color="auto"/>
        <w:right w:val="none" w:sz="0" w:space="0" w:color="auto"/>
      </w:divBdr>
      <w:divsChild>
        <w:div w:id="1091075804">
          <w:marLeft w:val="0"/>
          <w:marRight w:val="0"/>
          <w:marTop w:val="0"/>
          <w:marBottom w:val="0"/>
          <w:divBdr>
            <w:top w:val="none" w:sz="0" w:space="0" w:color="auto"/>
            <w:left w:val="none" w:sz="0" w:space="0" w:color="auto"/>
            <w:bottom w:val="none" w:sz="0" w:space="0" w:color="auto"/>
            <w:right w:val="none" w:sz="0" w:space="0" w:color="auto"/>
          </w:divBdr>
          <w:divsChild>
            <w:div w:id="1498155083">
              <w:marLeft w:val="0"/>
              <w:marRight w:val="0"/>
              <w:marTop w:val="0"/>
              <w:marBottom w:val="0"/>
              <w:divBdr>
                <w:top w:val="none" w:sz="0" w:space="0" w:color="auto"/>
                <w:left w:val="none" w:sz="0" w:space="0" w:color="auto"/>
                <w:bottom w:val="none" w:sz="0" w:space="0" w:color="auto"/>
                <w:right w:val="none" w:sz="0" w:space="0" w:color="auto"/>
              </w:divBdr>
            </w:div>
          </w:divsChild>
        </w:div>
        <w:div w:id="1450977995">
          <w:marLeft w:val="0"/>
          <w:marRight w:val="0"/>
          <w:marTop w:val="0"/>
          <w:marBottom w:val="0"/>
          <w:divBdr>
            <w:top w:val="none" w:sz="0" w:space="0" w:color="auto"/>
            <w:left w:val="none" w:sz="0" w:space="0" w:color="auto"/>
            <w:bottom w:val="none" w:sz="0" w:space="0" w:color="auto"/>
            <w:right w:val="none" w:sz="0" w:space="0" w:color="auto"/>
          </w:divBdr>
          <w:divsChild>
            <w:div w:id="20430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9774">
      <w:bodyDiv w:val="1"/>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074014732">
              <w:marLeft w:val="0"/>
              <w:marRight w:val="0"/>
              <w:marTop w:val="0"/>
              <w:marBottom w:val="0"/>
              <w:divBdr>
                <w:top w:val="none" w:sz="0" w:space="0" w:color="auto"/>
                <w:left w:val="none" w:sz="0" w:space="0" w:color="auto"/>
                <w:bottom w:val="none" w:sz="0" w:space="0" w:color="auto"/>
                <w:right w:val="none" w:sz="0" w:space="0" w:color="auto"/>
              </w:divBdr>
            </w:div>
          </w:divsChild>
        </w:div>
        <w:div w:id="251016100">
          <w:marLeft w:val="0"/>
          <w:marRight w:val="0"/>
          <w:marTop w:val="0"/>
          <w:marBottom w:val="0"/>
          <w:divBdr>
            <w:top w:val="none" w:sz="0" w:space="0" w:color="auto"/>
            <w:left w:val="none" w:sz="0" w:space="0" w:color="auto"/>
            <w:bottom w:val="none" w:sz="0" w:space="0" w:color="auto"/>
            <w:right w:val="none" w:sz="0" w:space="0" w:color="auto"/>
          </w:divBdr>
          <w:divsChild>
            <w:div w:id="7259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2247">
      <w:bodyDiv w:val="1"/>
      <w:marLeft w:val="0"/>
      <w:marRight w:val="0"/>
      <w:marTop w:val="0"/>
      <w:marBottom w:val="0"/>
      <w:divBdr>
        <w:top w:val="none" w:sz="0" w:space="0" w:color="auto"/>
        <w:left w:val="none" w:sz="0" w:space="0" w:color="auto"/>
        <w:bottom w:val="none" w:sz="0" w:space="0" w:color="auto"/>
        <w:right w:val="none" w:sz="0" w:space="0" w:color="auto"/>
      </w:divBdr>
      <w:divsChild>
        <w:div w:id="506795639">
          <w:marLeft w:val="0"/>
          <w:marRight w:val="0"/>
          <w:marTop w:val="0"/>
          <w:marBottom w:val="0"/>
          <w:divBdr>
            <w:top w:val="none" w:sz="0" w:space="0" w:color="auto"/>
            <w:left w:val="none" w:sz="0" w:space="0" w:color="auto"/>
            <w:bottom w:val="none" w:sz="0" w:space="0" w:color="auto"/>
            <w:right w:val="none" w:sz="0" w:space="0" w:color="auto"/>
          </w:divBdr>
        </w:div>
        <w:div w:id="1864320168">
          <w:marLeft w:val="0"/>
          <w:marRight w:val="0"/>
          <w:marTop w:val="0"/>
          <w:marBottom w:val="0"/>
          <w:divBdr>
            <w:top w:val="none" w:sz="0" w:space="0" w:color="auto"/>
            <w:left w:val="none" w:sz="0" w:space="0" w:color="auto"/>
            <w:bottom w:val="none" w:sz="0" w:space="0" w:color="auto"/>
            <w:right w:val="none" w:sz="0" w:space="0" w:color="auto"/>
          </w:divBdr>
        </w:div>
        <w:div w:id="49350400">
          <w:marLeft w:val="0"/>
          <w:marRight w:val="0"/>
          <w:marTop w:val="0"/>
          <w:marBottom w:val="0"/>
          <w:divBdr>
            <w:top w:val="none" w:sz="0" w:space="0" w:color="auto"/>
            <w:left w:val="none" w:sz="0" w:space="0" w:color="auto"/>
            <w:bottom w:val="none" w:sz="0" w:space="0" w:color="auto"/>
            <w:right w:val="none" w:sz="0" w:space="0" w:color="auto"/>
          </w:divBdr>
        </w:div>
        <w:div w:id="218368255">
          <w:marLeft w:val="0"/>
          <w:marRight w:val="0"/>
          <w:marTop w:val="0"/>
          <w:marBottom w:val="0"/>
          <w:divBdr>
            <w:top w:val="none" w:sz="0" w:space="0" w:color="auto"/>
            <w:left w:val="none" w:sz="0" w:space="0" w:color="auto"/>
            <w:bottom w:val="none" w:sz="0" w:space="0" w:color="auto"/>
            <w:right w:val="none" w:sz="0" w:space="0" w:color="auto"/>
          </w:divBdr>
        </w:div>
        <w:div w:id="723140680">
          <w:marLeft w:val="0"/>
          <w:marRight w:val="0"/>
          <w:marTop w:val="0"/>
          <w:marBottom w:val="0"/>
          <w:divBdr>
            <w:top w:val="none" w:sz="0" w:space="0" w:color="auto"/>
            <w:left w:val="none" w:sz="0" w:space="0" w:color="auto"/>
            <w:bottom w:val="none" w:sz="0" w:space="0" w:color="auto"/>
            <w:right w:val="none" w:sz="0" w:space="0" w:color="auto"/>
          </w:divBdr>
        </w:div>
        <w:div w:id="435950691">
          <w:marLeft w:val="0"/>
          <w:marRight w:val="0"/>
          <w:marTop w:val="0"/>
          <w:marBottom w:val="0"/>
          <w:divBdr>
            <w:top w:val="none" w:sz="0" w:space="0" w:color="auto"/>
            <w:left w:val="none" w:sz="0" w:space="0" w:color="auto"/>
            <w:bottom w:val="none" w:sz="0" w:space="0" w:color="auto"/>
            <w:right w:val="none" w:sz="0" w:space="0" w:color="auto"/>
          </w:divBdr>
        </w:div>
        <w:div w:id="477305191">
          <w:marLeft w:val="0"/>
          <w:marRight w:val="0"/>
          <w:marTop w:val="0"/>
          <w:marBottom w:val="0"/>
          <w:divBdr>
            <w:top w:val="none" w:sz="0" w:space="0" w:color="auto"/>
            <w:left w:val="none" w:sz="0" w:space="0" w:color="auto"/>
            <w:bottom w:val="none" w:sz="0" w:space="0" w:color="auto"/>
            <w:right w:val="none" w:sz="0" w:space="0" w:color="auto"/>
          </w:divBdr>
        </w:div>
        <w:div w:id="130101249">
          <w:marLeft w:val="0"/>
          <w:marRight w:val="0"/>
          <w:marTop w:val="0"/>
          <w:marBottom w:val="0"/>
          <w:divBdr>
            <w:top w:val="none" w:sz="0" w:space="0" w:color="auto"/>
            <w:left w:val="none" w:sz="0" w:space="0" w:color="auto"/>
            <w:bottom w:val="none" w:sz="0" w:space="0" w:color="auto"/>
            <w:right w:val="none" w:sz="0" w:space="0" w:color="auto"/>
          </w:divBdr>
        </w:div>
        <w:div w:id="531652809">
          <w:marLeft w:val="0"/>
          <w:marRight w:val="0"/>
          <w:marTop w:val="0"/>
          <w:marBottom w:val="0"/>
          <w:divBdr>
            <w:top w:val="none" w:sz="0" w:space="0" w:color="auto"/>
            <w:left w:val="none" w:sz="0" w:space="0" w:color="auto"/>
            <w:bottom w:val="none" w:sz="0" w:space="0" w:color="auto"/>
            <w:right w:val="none" w:sz="0" w:space="0" w:color="auto"/>
          </w:divBdr>
        </w:div>
        <w:div w:id="510797015">
          <w:marLeft w:val="0"/>
          <w:marRight w:val="0"/>
          <w:marTop w:val="0"/>
          <w:marBottom w:val="0"/>
          <w:divBdr>
            <w:top w:val="none" w:sz="0" w:space="0" w:color="auto"/>
            <w:left w:val="none" w:sz="0" w:space="0" w:color="auto"/>
            <w:bottom w:val="none" w:sz="0" w:space="0" w:color="auto"/>
            <w:right w:val="none" w:sz="0" w:space="0" w:color="auto"/>
          </w:divBdr>
        </w:div>
        <w:div w:id="1795832061">
          <w:marLeft w:val="0"/>
          <w:marRight w:val="0"/>
          <w:marTop w:val="0"/>
          <w:marBottom w:val="0"/>
          <w:divBdr>
            <w:top w:val="none" w:sz="0" w:space="0" w:color="auto"/>
            <w:left w:val="none" w:sz="0" w:space="0" w:color="auto"/>
            <w:bottom w:val="none" w:sz="0" w:space="0" w:color="auto"/>
            <w:right w:val="none" w:sz="0" w:space="0" w:color="auto"/>
          </w:divBdr>
        </w:div>
        <w:div w:id="1640264296">
          <w:marLeft w:val="0"/>
          <w:marRight w:val="0"/>
          <w:marTop w:val="0"/>
          <w:marBottom w:val="0"/>
          <w:divBdr>
            <w:top w:val="none" w:sz="0" w:space="0" w:color="auto"/>
            <w:left w:val="none" w:sz="0" w:space="0" w:color="auto"/>
            <w:bottom w:val="none" w:sz="0" w:space="0" w:color="auto"/>
            <w:right w:val="none" w:sz="0" w:space="0" w:color="auto"/>
          </w:divBdr>
        </w:div>
        <w:div w:id="757292938">
          <w:marLeft w:val="0"/>
          <w:marRight w:val="0"/>
          <w:marTop w:val="0"/>
          <w:marBottom w:val="0"/>
          <w:divBdr>
            <w:top w:val="none" w:sz="0" w:space="0" w:color="auto"/>
            <w:left w:val="none" w:sz="0" w:space="0" w:color="auto"/>
            <w:bottom w:val="none" w:sz="0" w:space="0" w:color="auto"/>
            <w:right w:val="none" w:sz="0" w:space="0" w:color="auto"/>
          </w:divBdr>
        </w:div>
        <w:div w:id="1171723683">
          <w:marLeft w:val="0"/>
          <w:marRight w:val="0"/>
          <w:marTop w:val="0"/>
          <w:marBottom w:val="0"/>
          <w:divBdr>
            <w:top w:val="none" w:sz="0" w:space="0" w:color="auto"/>
            <w:left w:val="none" w:sz="0" w:space="0" w:color="auto"/>
            <w:bottom w:val="none" w:sz="0" w:space="0" w:color="auto"/>
            <w:right w:val="none" w:sz="0" w:space="0" w:color="auto"/>
          </w:divBdr>
        </w:div>
        <w:div w:id="549532461">
          <w:marLeft w:val="0"/>
          <w:marRight w:val="0"/>
          <w:marTop w:val="0"/>
          <w:marBottom w:val="0"/>
          <w:divBdr>
            <w:top w:val="none" w:sz="0" w:space="0" w:color="auto"/>
            <w:left w:val="none" w:sz="0" w:space="0" w:color="auto"/>
            <w:bottom w:val="none" w:sz="0" w:space="0" w:color="auto"/>
            <w:right w:val="none" w:sz="0" w:space="0" w:color="auto"/>
          </w:divBdr>
        </w:div>
        <w:div w:id="1708139780">
          <w:marLeft w:val="0"/>
          <w:marRight w:val="0"/>
          <w:marTop w:val="0"/>
          <w:marBottom w:val="0"/>
          <w:divBdr>
            <w:top w:val="none" w:sz="0" w:space="0" w:color="auto"/>
            <w:left w:val="none" w:sz="0" w:space="0" w:color="auto"/>
            <w:bottom w:val="none" w:sz="0" w:space="0" w:color="auto"/>
            <w:right w:val="none" w:sz="0" w:space="0" w:color="auto"/>
          </w:divBdr>
        </w:div>
        <w:div w:id="767968828">
          <w:marLeft w:val="0"/>
          <w:marRight w:val="0"/>
          <w:marTop w:val="0"/>
          <w:marBottom w:val="0"/>
          <w:divBdr>
            <w:top w:val="none" w:sz="0" w:space="0" w:color="auto"/>
            <w:left w:val="none" w:sz="0" w:space="0" w:color="auto"/>
            <w:bottom w:val="none" w:sz="0" w:space="0" w:color="auto"/>
            <w:right w:val="none" w:sz="0" w:space="0" w:color="auto"/>
          </w:divBdr>
        </w:div>
        <w:div w:id="1995063309">
          <w:marLeft w:val="0"/>
          <w:marRight w:val="0"/>
          <w:marTop w:val="0"/>
          <w:marBottom w:val="0"/>
          <w:divBdr>
            <w:top w:val="none" w:sz="0" w:space="0" w:color="auto"/>
            <w:left w:val="none" w:sz="0" w:space="0" w:color="auto"/>
            <w:bottom w:val="none" w:sz="0" w:space="0" w:color="auto"/>
            <w:right w:val="none" w:sz="0" w:space="0" w:color="auto"/>
          </w:divBdr>
        </w:div>
      </w:divsChild>
    </w:div>
    <w:div w:id="1487434127">
      <w:bodyDiv w:val="1"/>
      <w:marLeft w:val="0"/>
      <w:marRight w:val="0"/>
      <w:marTop w:val="0"/>
      <w:marBottom w:val="0"/>
      <w:divBdr>
        <w:top w:val="none" w:sz="0" w:space="0" w:color="auto"/>
        <w:left w:val="none" w:sz="0" w:space="0" w:color="auto"/>
        <w:bottom w:val="none" w:sz="0" w:space="0" w:color="auto"/>
        <w:right w:val="none" w:sz="0" w:space="0" w:color="auto"/>
      </w:divBdr>
    </w:div>
    <w:div w:id="1645625843">
      <w:bodyDiv w:val="1"/>
      <w:marLeft w:val="0"/>
      <w:marRight w:val="0"/>
      <w:marTop w:val="0"/>
      <w:marBottom w:val="0"/>
      <w:divBdr>
        <w:top w:val="none" w:sz="0" w:space="0" w:color="auto"/>
        <w:left w:val="none" w:sz="0" w:space="0" w:color="auto"/>
        <w:bottom w:val="none" w:sz="0" w:space="0" w:color="auto"/>
        <w:right w:val="none" w:sz="0" w:space="0" w:color="auto"/>
      </w:divBdr>
    </w:div>
    <w:div w:id="1844391895">
      <w:bodyDiv w:val="1"/>
      <w:marLeft w:val="0"/>
      <w:marRight w:val="0"/>
      <w:marTop w:val="0"/>
      <w:marBottom w:val="0"/>
      <w:divBdr>
        <w:top w:val="none" w:sz="0" w:space="0" w:color="auto"/>
        <w:left w:val="none" w:sz="0" w:space="0" w:color="auto"/>
        <w:bottom w:val="none" w:sz="0" w:space="0" w:color="auto"/>
        <w:right w:val="none" w:sz="0" w:space="0" w:color="auto"/>
      </w:divBdr>
    </w:div>
    <w:div w:id="1850559359">
      <w:bodyDiv w:val="1"/>
      <w:marLeft w:val="0"/>
      <w:marRight w:val="0"/>
      <w:marTop w:val="0"/>
      <w:marBottom w:val="0"/>
      <w:divBdr>
        <w:top w:val="none" w:sz="0" w:space="0" w:color="auto"/>
        <w:left w:val="none" w:sz="0" w:space="0" w:color="auto"/>
        <w:bottom w:val="none" w:sz="0" w:space="0" w:color="auto"/>
        <w:right w:val="none" w:sz="0" w:space="0" w:color="auto"/>
      </w:divBdr>
    </w:div>
    <w:div w:id="2045709411">
      <w:bodyDiv w:val="1"/>
      <w:marLeft w:val="0"/>
      <w:marRight w:val="0"/>
      <w:marTop w:val="0"/>
      <w:marBottom w:val="0"/>
      <w:divBdr>
        <w:top w:val="none" w:sz="0" w:space="0" w:color="auto"/>
        <w:left w:val="none" w:sz="0" w:space="0" w:color="auto"/>
        <w:bottom w:val="none" w:sz="0" w:space="0" w:color="auto"/>
        <w:right w:val="none" w:sz="0" w:space="0" w:color="auto"/>
      </w:divBdr>
      <w:divsChild>
        <w:div w:id="1206412544">
          <w:marLeft w:val="0"/>
          <w:marRight w:val="0"/>
          <w:marTop w:val="0"/>
          <w:marBottom w:val="0"/>
          <w:divBdr>
            <w:top w:val="none" w:sz="0" w:space="0" w:color="auto"/>
            <w:left w:val="none" w:sz="0" w:space="0" w:color="auto"/>
            <w:bottom w:val="none" w:sz="0" w:space="0" w:color="auto"/>
            <w:right w:val="none" w:sz="0" w:space="0" w:color="auto"/>
          </w:divBdr>
          <w:divsChild>
            <w:div w:id="1619218820">
              <w:marLeft w:val="0"/>
              <w:marRight w:val="0"/>
              <w:marTop w:val="0"/>
              <w:marBottom w:val="0"/>
              <w:divBdr>
                <w:top w:val="none" w:sz="0" w:space="0" w:color="auto"/>
                <w:left w:val="none" w:sz="0" w:space="0" w:color="auto"/>
                <w:bottom w:val="none" w:sz="0" w:space="0" w:color="auto"/>
                <w:right w:val="none" w:sz="0" w:space="0" w:color="auto"/>
              </w:divBdr>
            </w:div>
          </w:divsChild>
        </w:div>
        <w:div w:id="542525321">
          <w:marLeft w:val="0"/>
          <w:marRight w:val="0"/>
          <w:marTop w:val="0"/>
          <w:marBottom w:val="0"/>
          <w:divBdr>
            <w:top w:val="none" w:sz="0" w:space="0" w:color="auto"/>
            <w:left w:val="none" w:sz="0" w:space="0" w:color="auto"/>
            <w:bottom w:val="none" w:sz="0" w:space="0" w:color="auto"/>
            <w:right w:val="none" w:sz="0" w:space="0" w:color="auto"/>
          </w:divBdr>
          <w:divsChild>
            <w:div w:id="17358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library.wiley.com/doi/full/10.1002/hep.29489" TargetMode="External"/><Relationship Id="rId18" Type="http://schemas.openxmlformats.org/officeDocument/2006/relationships/hyperlink" Target="https://www.england.nhs.uk/2023/10/nhs-mobile-testing-scheme-finds-thousands-of-new-cases-of-liver-damage/" TargetMode="External"/><Relationship Id="rId26" Type="http://schemas.openxmlformats.org/officeDocument/2006/relationships/hyperlink" Target="http://www.bmj.com/" TargetMode="External"/><Relationship Id="rId3" Type="http://schemas.openxmlformats.org/officeDocument/2006/relationships/styles" Target="styles.xml"/><Relationship Id="rId21" Type="http://schemas.openxmlformats.org/officeDocument/2006/relationships/hyperlink" Target="http://dx.plos.org/10.1371/journal.pone.020879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bi.nlm.nih.gov/pmc/articles/PMC8446814/" TargetMode="External"/><Relationship Id="rId17" Type="http://schemas.openxmlformats.org/officeDocument/2006/relationships/hyperlink" Target="https://dx.doi.org/10.2337/dc23-ad09" TargetMode="External"/><Relationship Id="rId25" Type="http://schemas.openxmlformats.org/officeDocument/2006/relationships/hyperlink" Target="http://bmjopen.bmj.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helancet.com/article/S0140673618318750/fulltext" TargetMode="External"/><Relationship Id="rId20" Type="http://schemas.openxmlformats.org/officeDocument/2006/relationships/hyperlink" Target="http://www.ncbi.nlm.nih.gov/pubmed/30965069" TargetMode="External"/><Relationship Id="rId29" Type="http://schemas.openxmlformats.org/officeDocument/2006/relationships/hyperlink" Target="https://pubmed.ncbi.nlm.nih.gov/35587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full/10.1002/hep.29302" TargetMode="External"/><Relationship Id="rId24" Type="http://schemas.openxmlformats.org/officeDocument/2006/relationships/hyperlink" Target="https://doi.org/10.1186/s12876-019-1039-4"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nlinelibrary.wiley.com/doi/10.1111/liv.14754" TargetMode="External"/><Relationship Id="rId23" Type="http://schemas.openxmlformats.org/officeDocument/2006/relationships/hyperlink" Target="https://www.nice.org.uk/guidance/dg48/chapter/3-Committee-discussion" TargetMode="External"/><Relationship Id="rId28" Type="http://schemas.openxmlformats.org/officeDocument/2006/relationships/hyperlink" Target="http://www.gastrojournal.org/article/S0016508517303268/fulltext" TargetMode="External"/><Relationship Id="rId10" Type="http://schemas.openxmlformats.org/officeDocument/2006/relationships/hyperlink" Target="http://www.journal-of-hepatology.eu/article/S016882782200068X/fulltext" TargetMode="External"/><Relationship Id="rId19" Type="http://schemas.openxmlformats.org/officeDocument/2006/relationships/hyperlink" Target="http://dx.doi.org/10.1016/j.jhep.2019.05.03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sh.bilson@soton.ac.uk" TargetMode="External"/><Relationship Id="rId14" Type="http://schemas.openxmlformats.org/officeDocument/2006/relationships/hyperlink" Target="https://pubmed.ncbi.nlm.nih.gov/30689971/" TargetMode="External"/><Relationship Id="rId22" Type="http://schemas.openxmlformats.org/officeDocument/2006/relationships/hyperlink" Target="https://www.nice.org.uk/guidance/ng50" TargetMode="External"/><Relationship Id="rId27" Type="http://schemas.openxmlformats.org/officeDocument/2006/relationships/hyperlink" Target="https://www.sealedenvelope.com/simple-randomiser/v1/lists" TargetMode="External"/><Relationship Id="rId30" Type="http://schemas.openxmlformats.org/officeDocument/2006/relationships/hyperlink" Target="https://doi.org/10.1186/s12916-019-1373-y" TargetMode="External"/><Relationship Id="rId8" Type="http://schemas.openxmlformats.org/officeDocument/2006/relationships/hyperlink" Target="mailto:t.reinson@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28DFE8-F6AB-7C45-9247-3765F87E8373}">
  <we:reference id="f78a3046-9e99-4300-aa2b-5814002b01a2" version="1.55.1.0" store="EXCatalog" storeType="EXCatalog"/>
  <we:alternateReferences>
    <we:reference id="WA104382081" version="1.55.1.0" store="en-GB"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591BA2A-4D93-0A41-813C-F55A837A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7245</Words>
  <Characters>41302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Buchanan</dc:creator>
  <cp:lastModifiedBy>Ryan Buchanan</cp:lastModifiedBy>
  <cp:revision>3</cp:revision>
  <cp:lastPrinted>2025-02-06T12:00:00Z</cp:lastPrinted>
  <dcterms:created xsi:type="dcterms:W3CDTF">2025-02-06T21:13:00Z</dcterms:created>
  <dcterms:modified xsi:type="dcterms:W3CDTF">2025-02-07T14:18:00Z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2ef65693-9d64-3e10-b1ef-9c3a5262b564</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