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0BD51" w14:textId="77777777" w:rsidR="00E719FC" w:rsidRPr="00D52239" w:rsidRDefault="007C7450">
      <w:pPr>
        <w:pStyle w:val="Title"/>
        <w:pBdr>
          <w:top w:val="nil"/>
          <w:left w:val="nil"/>
          <w:bottom w:val="nil"/>
          <w:right w:val="nil"/>
          <w:between w:val="nil"/>
        </w:pBdr>
      </w:pPr>
      <w:bookmarkStart w:id="0" w:name="_tek88iiydwl6" w:colFirst="0" w:colLast="0"/>
      <w:bookmarkEnd w:id="0"/>
      <w:r w:rsidRPr="00D52239">
        <w:t>Linking obesity-associated genotype to child language development: the role of early-life neurology-related proteomics and brain myelination</w:t>
      </w:r>
    </w:p>
    <w:p w14:paraId="2E50BD53" w14:textId="2DCA0449" w:rsidR="00E719FC" w:rsidRPr="00D52239" w:rsidRDefault="007C7450">
      <w:pPr>
        <w:spacing w:before="240" w:after="240"/>
        <w:rPr>
          <w:vertAlign w:val="superscript"/>
        </w:rPr>
      </w:pPr>
      <w:r w:rsidRPr="00D52239">
        <w:t>Jian Huang, PhD,</w:t>
      </w:r>
      <w:r w:rsidRPr="00D52239">
        <w:rPr>
          <w:vertAlign w:val="superscript"/>
        </w:rPr>
        <w:t>1</w:t>
      </w:r>
      <w:r w:rsidR="004270D6">
        <w:rPr>
          <w:vertAlign w:val="superscript"/>
        </w:rPr>
        <w:t>-4</w:t>
      </w:r>
      <w:r w:rsidRPr="00D52239">
        <w:rPr>
          <w:vertAlign w:val="superscript"/>
        </w:rPr>
        <w:t>,#</w:t>
      </w:r>
      <w:r w:rsidRPr="00D52239">
        <w:t xml:space="preserve"> Jinyi Che, MsC,</w:t>
      </w:r>
      <w:r w:rsidRPr="00D52239">
        <w:rPr>
          <w:vertAlign w:val="superscript"/>
        </w:rPr>
        <w:t>1,2</w:t>
      </w:r>
      <w:r w:rsidR="00BC7CD6">
        <w:rPr>
          <w:vertAlign w:val="superscript"/>
        </w:rPr>
        <w:t>,</w:t>
      </w:r>
      <w:r w:rsidR="008C405A">
        <w:rPr>
          <w:vertAlign w:val="superscript"/>
        </w:rPr>
        <w:t>5</w:t>
      </w:r>
      <w:r w:rsidRPr="00D52239">
        <w:t xml:space="preserve"> Michelle Z.L Kee, PhD,</w:t>
      </w:r>
      <w:r w:rsidRPr="00D52239">
        <w:rPr>
          <w:vertAlign w:val="superscript"/>
        </w:rPr>
        <w:t>1</w:t>
      </w:r>
      <w:r w:rsidRPr="00D52239">
        <w:t xml:space="preserve"> Ai Peng Tan, MD,</w:t>
      </w:r>
      <w:r w:rsidRPr="00D52239">
        <w:rPr>
          <w:vertAlign w:val="superscript"/>
        </w:rPr>
        <w:t>1,</w:t>
      </w:r>
      <w:r w:rsidR="008C405A">
        <w:rPr>
          <w:vertAlign w:val="superscript"/>
        </w:rPr>
        <w:t>6</w:t>
      </w:r>
      <w:r w:rsidR="009664DD">
        <w:rPr>
          <w:vertAlign w:val="superscript"/>
        </w:rPr>
        <w:t>,7</w:t>
      </w:r>
      <w:r w:rsidRPr="00D52239">
        <w:t xml:space="preserve"> Evelyn C Law, MD,</w:t>
      </w:r>
      <w:r w:rsidRPr="00D52239">
        <w:rPr>
          <w:vertAlign w:val="superscript"/>
        </w:rPr>
        <w:t>1,</w:t>
      </w:r>
      <w:r w:rsidR="008C405A">
        <w:rPr>
          <w:vertAlign w:val="superscript"/>
        </w:rPr>
        <w:t>5</w:t>
      </w:r>
      <w:r w:rsidRPr="00D52239">
        <w:rPr>
          <w:vertAlign w:val="superscript"/>
        </w:rPr>
        <w:t>,</w:t>
      </w:r>
      <w:r w:rsidR="009664DD">
        <w:rPr>
          <w:vertAlign w:val="superscript"/>
        </w:rPr>
        <w:t>8</w:t>
      </w:r>
      <w:r w:rsidRPr="00D52239">
        <w:t xml:space="preserve"> Patricia Pelufo Silveira, MD, PhD,</w:t>
      </w:r>
      <w:r w:rsidR="008C405A">
        <w:rPr>
          <w:vertAlign w:val="superscript"/>
        </w:rPr>
        <w:t>5</w:t>
      </w:r>
      <w:r w:rsidR="00BC7CD6">
        <w:rPr>
          <w:vertAlign w:val="superscript"/>
        </w:rPr>
        <w:t>,</w:t>
      </w:r>
      <w:r w:rsidR="009664DD">
        <w:rPr>
          <w:vertAlign w:val="superscript"/>
        </w:rPr>
        <w:t>9</w:t>
      </w:r>
      <w:r w:rsidRPr="00D52239">
        <w:t xml:space="preserve"> Irina Pokhvisneva, MSc,</w:t>
      </w:r>
      <w:r w:rsidR="009664DD">
        <w:rPr>
          <w:vertAlign w:val="superscript"/>
        </w:rPr>
        <w:t>9</w:t>
      </w:r>
      <w:r w:rsidRPr="00D52239">
        <w:t xml:space="preserve"> Sachin Patel, MSc,</w:t>
      </w:r>
      <w:r w:rsidR="009664DD">
        <w:rPr>
          <w:vertAlign w:val="superscript"/>
        </w:rPr>
        <w:t>9</w:t>
      </w:r>
      <w:r w:rsidRPr="00D52239">
        <w:t xml:space="preserve"> Keith M Godfrey, FMedSci,</w:t>
      </w:r>
      <w:r w:rsidR="009664DD">
        <w:rPr>
          <w:vertAlign w:val="superscript"/>
        </w:rPr>
        <w:t>10</w:t>
      </w:r>
      <w:r w:rsidRPr="00D52239">
        <w:t xml:space="preserve"> Lourdes Mary Daniel, MMed, EdM,</w:t>
      </w:r>
      <w:r w:rsidRPr="00D52239">
        <w:rPr>
          <w:vertAlign w:val="superscript"/>
        </w:rPr>
        <w:t>1</w:t>
      </w:r>
      <w:r w:rsidR="009664DD">
        <w:rPr>
          <w:vertAlign w:val="superscript"/>
        </w:rPr>
        <w:t>1</w:t>
      </w:r>
      <w:r w:rsidRPr="00D52239">
        <w:t xml:space="preserve"> Kok Hian Tan, MBBS,</w:t>
      </w:r>
      <w:r w:rsidRPr="00D52239">
        <w:rPr>
          <w:sz w:val="20"/>
          <w:szCs w:val="20"/>
        </w:rPr>
        <w:t xml:space="preserve"> </w:t>
      </w:r>
      <w:r w:rsidRPr="00D52239">
        <w:t>MMed,</w:t>
      </w:r>
      <w:r w:rsidRPr="00D52239">
        <w:rPr>
          <w:vertAlign w:val="superscript"/>
        </w:rPr>
        <w:t>1</w:t>
      </w:r>
      <w:r w:rsidR="009664DD">
        <w:rPr>
          <w:vertAlign w:val="superscript"/>
        </w:rPr>
        <w:t>2</w:t>
      </w:r>
      <w:r w:rsidRPr="00D52239">
        <w:t xml:space="preserve"> Yap Seng Chong, MD,</w:t>
      </w:r>
      <w:r w:rsidR="003F0BFD">
        <w:rPr>
          <w:vertAlign w:val="superscript"/>
        </w:rPr>
        <w:t>1</w:t>
      </w:r>
      <w:r w:rsidRPr="00D52239">
        <w:rPr>
          <w:vertAlign w:val="superscript"/>
        </w:rPr>
        <w:t>,1</w:t>
      </w:r>
      <w:r w:rsidR="00D60B11">
        <w:rPr>
          <w:vertAlign w:val="superscript"/>
        </w:rPr>
        <w:t>3</w:t>
      </w:r>
      <w:r w:rsidRPr="00D52239">
        <w:t xml:space="preserve"> Shiao-Yng Chan, MBBChir, PhD,</w:t>
      </w:r>
      <w:r w:rsidRPr="00D52239">
        <w:rPr>
          <w:vertAlign w:val="superscript"/>
        </w:rPr>
        <w:t xml:space="preserve"> 1,</w:t>
      </w:r>
      <w:r w:rsidR="00135796">
        <w:rPr>
          <w:vertAlign w:val="superscript"/>
        </w:rPr>
        <w:t>3</w:t>
      </w:r>
      <w:r w:rsidRPr="00D52239">
        <w:rPr>
          <w:vertAlign w:val="superscript"/>
        </w:rPr>
        <w:t>,1</w:t>
      </w:r>
      <w:r w:rsidR="00D60B11">
        <w:rPr>
          <w:vertAlign w:val="superscript"/>
        </w:rPr>
        <w:t>3</w:t>
      </w:r>
      <w:r w:rsidRPr="00D52239">
        <w:t xml:space="preserve"> Johan G. Eriksson, MD, DMSc,</w:t>
      </w:r>
      <w:r w:rsidRPr="00D52239">
        <w:rPr>
          <w:vertAlign w:val="superscript"/>
        </w:rPr>
        <w:t>1,</w:t>
      </w:r>
      <w:r w:rsidR="00135796">
        <w:rPr>
          <w:vertAlign w:val="superscript"/>
        </w:rPr>
        <w:t>3,1</w:t>
      </w:r>
      <w:r w:rsidR="00D60B11">
        <w:rPr>
          <w:vertAlign w:val="superscript"/>
        </w:rPr>
        <w:t>3</w:t>
      </w:r>
      <w:r w:rsidRPr="00D52239">
        <w:rPr>
          <w:vertAlign w:val="superscript"/>
        </w:rPr>
        <w:t>-1</w:t>
      </w:r>
      <w:r w:rsidR="00D60B11">
        <w:rPr>
          <w:vertAlign w:val="superscript"/>
        </w:rPr>
        <w:t>5</w:t>
      </w:r>
      <w:r w:rsidRPr="00D52239">
        <w:t xml:space="preserve"> Dennis Wang, PhD,</w:t>
      </w:r>
      <w:r w:rsidRPr="00D52239">
        <w:rPr>
          <w:vertAlign w:val="superscript"/>
        </w:rPr>
        <w:t>1</w:t>
      </w:r>
      <w:r w:rsidR="007F3A79">
        <w:rPr>
          <w:vertAlign w:val="superscript"/>
        </w:rPr>
        <w:t>-3,</w:t>
      </w:r>
      <w:r w:rsidR="008C405A">
        <w:rPr>
          <w:vertAlign w:val="superscript"/>
        </w:rPr>
        <w:t>5</w:t>
      </w:r>
      <w:r w:rsidR="009E0014">
        <w:rPr>
          <w:vertAlign w:val="superscript"/>
        </w:rPr>
        <w:t>,</w:t>
      </w:r>
      <w:r w:rsidRPr="00D52239">
        <w:rPr>
          <w:vertAlign w:val="superscript"/>
        </w:rPr>
        <w:t>1</w:t>
      </w:r>
      <w:r w:rsidR="00D60B11">
        <w:rPr>
          <w:vertAlign w:val="superscript"/>
        </w:rPr>
        <w:t>6</w:t>
      </w:r>
      <w:r w:rsidR="009E0014">
        <w:rPr>
          <w:vertAlign w:val="superscript"/>
        </w:rPr>
        <w:t>,1</w:t>
      </w:r>
      <w:r w:rsidR="00D60B11">
        <w:rPr>
          <w:vertAlign w:val="superscript"/>
        </w:rPr>
        <w:t>7</w:t>
      </w:r>
      <w:r w:rsidRPr="00D52239">
        <w:rPr>
          <w:vertAlign w:val="superscript"/>
        </w:rPr>
        <w:t xml:space="preserve"> </w:t>
      </w:r>
      <w:r w:rsidRPr="00D52239">
        <w:t>Jonathan Yinhao Huang, PhD</w:t>
      </w:r>
      <w:r w:rsidR="009E0014">
        <w:rPr>
          <w:vertAlign w:val="superscript"/>
        </w:rPr>
        <w:t>1</w:t>
      </w:r>
      <w:r w:rsidR="00D60B11">
        <w:rPr>
          <w:vertAlign w:val="superscript"/>
        </w:rPr>
        <w:t>8</w:t>
      </w:r>
      <w:r w:rsidRPr="00D52239">
        <w:rPr>
          <w:vertAlign w:val="superscript"/>
        </w:rPr>
        <w:t>,</w:t>
      </w:r>
      <w:r w:rsidR="00D60B11">
        <w:rPr>
          <w:vertAlign w:val="superscript"/>
        </w:rPr>
        <w:t>19</w:t>
      </w:r>
    </w:p>
    <w:p w14:paraId="2E50BD54" w14:textId="13EF4DE7" w:rsidR="00E719FC" w:rsidRPr="00D52239" w:rsidRDefault="00BC7CD6">
      <w:pPr>
        <w:numPr>
          <w:ilvl w:val="0"/>
          <w:numId w:val="1"/>
        </w:numPr>
        <w:spacing w:before="240" w:line="240" w:lineRule="auto"/>
      </w:pPr>
      <w:r>
        <w:t xml:space="preserve">Institute for Human Development and Potential </w:t>
      </w:r>
      <w:r w:rsidR="007C7450" w:rsidRPr="00D52239">
        <w:t>(</w:t>
      </w:r>
      <w:r>
        <w:t>IHDP</w:t>
      </w:r>
      <w:r w:rsidR="007C7450" w:rsidRPr="00D52239">
        <w:t>), Agency for Science, Technology and Research (A*STAR), Singapore, Republic of Singapore</w:t>
      </w:r>
    </w:p>
    <w:p w14:paraId="2E50BD55" w14:textId="77777777" w:rsidR="00E719FC" w:rsidRDefault="007C7450">
      <w:pPr>
        <w:numPr>
          <w:ilvl w:val="0"/>
          <w:numId w:val="1"/>
        </w:numPr>
        <w:spacing w:line="240" w:lineRule="auto"/>
      </w:pPr>
      <w:r w:rsidRPr="00D52239">
        <w:t>Bioinformatics Institute, Agency for Science, Technology and Research (A*STAR), Singapore, Republic of Singapore</w:t>
      </w:r>
    </w:p>
    <w:p w14:paraId="6943BE2A" w14:textId="6A3A9690" w:rsidR="004270D6" w:rsidRPr="00D52239" w:rsidRDefault="004270D6" w:rsidP="004270D6">
      <w:pPr>
        <w:numPr>
          <w:ilvl w:val="0"/>
          <w:numId w:val="1"/>
        </w:numPr>
        <w:spacing w:line="240" w:lineRule="auto"/>
      </w:pPr>
      <w:r w:rsidRPr="00046B14">
        <w:t>Human Potential Translational Research Program, Yong Loo Lin School of Medicine, National University of Singapore, Singapore</w:t>
      </w:r>
    </w:p>
    <w:p w14:paraId="2E50BD56" w14:textId="77777777" w:rsidR="00E719FC" w:rsidRDefault="007C7450">
      <w:pPr>
        <w:numPr>
          <w:ilvl w:val="0"/>
          <w:numId w:val="1"/>
        </w:numPr>
        <w:spacing w:line="240" w:lineRule="auto"/>
      </w:pPr>
      <w:r w:rsidRPr="00D52239">
        <w:t>Department of Epidemiology and Biostatistics, School of Public Health, Imperial College London, Norfolk Place, London, UK</w:t>
      </w:r>
    </w:p>
    <w:p w14:paraId="76224178" w14:textId="3C015735" w:rsidR="008C405A" w:rsidRPr="00D52239" w:rsidRDefault="008C405A" w:rsidP="008C405A">
      <w:pPr>
        <w:numPr>
          <w:ilvl w:val="0"/>
          <w:numId w:val="1"/>
        </w:numPr>
        <w:spacing w:line="240" w:lineRule="auto"/>
      </w:pPr>
      <w:r w:rsidRPr="00D52239">
        <w:t>Department of Paediatrics, Yong Loo Lin School of Medicine,</w:t>
      </w:r>
      <w:r w:rsidRPr="00D52239">
        <w:rPr>
          <w:sz w:val="20"/>
          <w:szCs w:val="20"/>
        </w:rPr>
        <w:t xml:space="preserve"> </w:t>
      </w:r>
      <w:r w:rsidRPr="00D52239">
        <w:t>National University of Singapore, Republic of Singapore</w:t>
      </w:r>
    </w:p>
    <w:p w14:paraId="2E50BD57" w14:textId="77777777" w:rsidR="00E719FC" w:rsidRDefault="007C7450">
      <w:pPr>
        <w:numPr>
          <w:ilvl w:val="0"/>
          <w:numId w:val="1"/>
        </w:numPr>
        <w:spacing w:line="240" w:lineRule="auto"/>
      </w:pPr>
      <w:r w:rsidRPr="00D52239">
        <w:t>Department of Diagnostic Imaging, National University Hospital, Singapore, Republic of Singapore</w:t>
      </w:r>
    </w:p>
    <w:p w14:paraId="076F5EA6" w14:textId="1DE52CC9" w:rsidR="00CD396D" w:rsidRPr="00D52239" w:rsidRDefault="009664DD" w:rsidP="009664DD">
      <w:pPr>
        <w:numPr>
          <w:ilvl w:val="0"/>
          <w:numId w:val="1"/>
        </w:numPr>
        <w:spacing w:line="240" w:lineRule="auto"/>
      </w:pPr>
      <w:r w:rsidRPr="009664DD">
        <w:t>Department of Diagnostic Radiology, Yong Loo Lin School of Medicine, NUS, Singapore</w:t>
      </w:r>
      <w:r>
        <w:t xml:space="preserve">, </w:t>
      </w:r>
      <w:r w:rsidRPr="00D52239">
        <w:t>Republic of Singapore</w:t>
      </w:r>
    </w:p>
    <w:p w14:paraId="2E50BD59" w14:textId="77777777" w:rsidR="00E719FC" w:rsidRPr="00D52239" w:rsidRDefault="007C7450">
      <w:pPr>
        <w:numPr>
          <w:ilvl w:val="0"/>
          <w:numId w:val="1"/>
        </w:numPr>
        <w:spacing w:line="240" w:lineRule="auto"/>
      </w:pPr>
      <w:r w:rsidRPr="00D52239">
        <w:t>Department of Paediatrics, Khoo Teck Puat-National University Children’s Medical Institute, National University Hospital, Singapore, Republic of Singapore</w:t>
      </w:r>
    </w:p>
    <w:p w14:paraId="2E50BD5B" w14:textId="47920003" w:rsidR="00E719FC" w:rsidRPr="00D52239" w:rsidRDefault="007C7450" w:rsidP="00BC7CD6">
      <w:pPr>
        <w:numPr>
          <w:ilvl w:val="0"/>
          <w:numId w:val="1"/>
        </w:numPr>
        <w:spacing w:line="240" w:lineRule="auto"/>
      </w:pPr>
      <w:r w:rsidRPr="00D52239">
        <w:t>Department of Psychiatry, Faculty of Medicine and Ludmer Centre for Neuroinformatics and Mental Health, Douglas Hospital Research Centre, McGill University, Montreal, Canada</w:t>
      </w:r>
    </w:p>
    <w:p w14:paraId="2E50BD5C" w14:textId="77777777" w:rsidR="00E719FC" w:rsidRPr="00D52239" w:rsidRDefault="007C7450">
      <w:pPr>
        <w:numPr>
          <w:ilvl w:val="0"/>
          <w:numId w:val="1"/>
        </w:numPr>
        <w:spacing w:line="240" w:lineRule="auto"/>
      </w:pPr>
      <w:r w:rsidRPr="00D52239">
        <w:t>MRC Lifecourse Epidemiology Centre and NIHR Southampton Biomedical Research Centre, University of Southampton &amp; University Hospital Southampton NHS Foundation Trust, Southampton, United Kingdom</w:t>
      </w:r>
    </w:p>
    <w:p w14:paraId="2E50BD5D" w14:textId="77777777" w:rsidR="00E719FC" w:rsidRPr="00D52239" w:rsidRDefault="007C7450">
      <w:pPr>
        <w:numPr>
          <w:ilvl w:val="0"/>
          <w:numId w:val="1"/>
        </w:numPr>
        <w:spacing w:line="240" w:lineRule="auto"/>
      </w:pPr>
      <w:r w:rsidRPr="00D52239">
        <w:t>Department of Child Development, KK Women’s and Children’s Hospital, Singapore, Republic of Singapore</w:t>
      </w:r>
    </w:p>
    <w:p w14:paraId="2E50BD5E" w14:textId="77777777" w:rsidR="00E719FC" w:rsidRPr="00D52239" w:rsidRDefault="007C7450">
      <w:pPr>
        <w:numPr>
          <w:ilvl w:val="0"/>
          <w:numId w:val="1"/>
        </w:numPr>
        <w:spacing w:line="240" w:lineRule="auto"/>
      </w:pPr>
      <w:r w:rsidRPr="00D52239">
        <w:t>Department of Maternal Fetal Medicine, KK Women’s and Children’s Hospital, Singapore, Republic of Singapore</w:t>
      </w:r>
    </w:p>
    <w:p w14:paraId="2E50BD61" w14:textId="29CD6575" w:rsidR="00E719FC" w:rsidRPr="00D52239" w:rsidRDefault="007C7450">
      <w:pPr>
        <w:numPr>
          <w:ilvl w:val="0"/>
          <w:numId w:val="1"/>
        </w:numPr>
        <w:spacing w:line="240" w:lineRule="auto"/>
      </w:pPr>
      <w:r w:rsidRPr="00D52239">
        <w:t>Department of Obstetrics &amp; Gynaecology, Yong Loo Lin School of Medicine, National University of Singapore, Singapore, Republic of Singapore</w:t>
      </w:r>
    </w:p>
    <w:p w14:paraId="2E50BD62" w14:textId="77777777" w:rsidR="00E719FC" w:rsidRPr="00D52239" w:rsidRDefault="007C7450">
      <w:pPr>
        <w:numPr>
          <w:ilvl w:val="0"/>
          <w:numId w:val="1"/>
        </w:numPr>
        <w:spacing w:line="240" w:lineRule="auto"/>
      </w:pPr>
      <w:r w:rsidRPr="00D52239">
        <w:t>Department of general practice and primary health care, University of Helsinki, Helsinki, Finland</w:t>
      </w:r>
    </w:p>
    <w:p w14:paraId="2E50BD64" w14:textId="471743DD" w:rsidR="00E719FC" w:rsidRPr="00D52239" w:rsidRDefault="007C7450" w:rsidP="00BC7CD6">
      <w:pPr>
        <w:numPr>
          <w:ilvl w:val="0"/>
          <w:numId w:val="1"/>
        </w:numPr>
        <w:spacing w:line="240" w:lineRule="auto"/>
      </w:pPr>
      <w:r w:rsidRPr="00D52239">
        <w:t>Folkhälsan Research Center, Helsinki, Finland</w:t>
      </w:r>
    </w:p>
    <w:p w14:paraId="2E50BD65" w14:textId="77777777" w:rsidR="00E719FC" w:rsidRPr="00D52239" w:rsidRDefault="007C7450">
      <w:pPr>
        <w:numPr>
          <w:ilvl w:val="0"/>
          <w:numId w:val="1"/>
        </w:numPr>
        <w:spacing w:line="240" w:lineRule="auto"/>
      </w:pPr>
      <w:r w:rsidRPr="00D52239">
        <w:t>National Heart and Lung Institute, Imperial College London, London, UK</w:t>
      </w:r>
    </w:p>
    <w:p w14:paraId="2E50BD66" w14:textId="77777777" w:rsidR="00E719FC" w:rsidRPr="00D52239" w:rsidRDefault="007C7450">
      <w:pPr>
        <w:numPr>
          <w:ilvl w:val="0"/>
          <w:numId w:val="1"/>
        </w:numPr>
        <w:spacing w:line="240" w:lineRule="auto"/>
      </w:pPr>
      <w:r w:rsidRPr="00D52239">
        <w:t>Department of Computer Science, University of Sheffield, Sheffield, UK</w:t>
      </w:r>
    </w:p>
    <w:p w14:paraId="2E50BD67" w14:textId="77777777" w:rsidR="00E719FC" w:rsidRPr="00D52239" w:rsidRDefault="007C7450">
      <w:pPr>
        <w:numPr>
          <w:ilvl w:val="0"/>
          <w:numId w:val="1"/>
        </w:numPr>
        <w:spacing w:line="240" w:lineRule="auto"/>
      </w:pPr>
      <w:r w:rsidRPr="00D52239">
        <w:t>Centre for Quantitative Medicine, Duke-NUS Medical School, Singapore, Republic of Singapore</w:t>
      </w:r>
    </w:p>
    <w:p w14:paraId="2E50BD68" w14:textId="77777777" w:rsidR="00E719FC" w:rsidRPr="00D52239" w:rsidRDefault="007C7450">
      <w:pPr>
        <w:numPr>
          <w:ilvl w:val="0"/>
          <w:numId w:val="1"/>
        </w:numPr>
        <w:spacing w:after="240" w:line="240" w:lineRule="auto"/>
      </w:pPr>
      <w:r w:rsidRPr="00D52239">
        <w:lastRenderedPageBreak/>
        <w:t>Thompson School of Social Work &amp; Public Health, Office of Public Health Studies, University of Hawai`i at Mānoa, Honolulu, Hawai`i, USA</w:t>
      </w:r>
    </w:p>
    <w:p w14:paraId="14641A55" w14:textId="77777777" w:rsidR="00A57E7D" w:rsidRPr="00D52239" w:rsidRDefault="00A57E7D">
      <w:pPr>
        <w:spacing w:before="240" w:after="240" w:line="240" w:lineRule="auto"/>
        <w:rPr>
          <w:sz w:val="24"/>
          <w:szCs w:val="24"/>
        </w:rPr>
      </w:pPr>
    </w:p>
    <w:p w14:paraId="2E50BD6B" w14:textId="77777777" w:rsidR="00E719FC" w:rsidRPr="00D52239" w:rsidRDefault="007C7450">
      <w:pPr>
        <w:spacing w:line="240" w:lineRule="auto"/>
        <w:rPr>
          <w:b/>
          <w:sz w:val="24"/>
          <w:szCs w:val="24"/>
        </w:rPr>
      </w:pPr>
      <w:r w:rsidRPr="00D52239">
        <w:rPr>
          <w:b/>
          <w:sz w:val="24"/>
          <w:szCs w:val="24"/>
          <w:vertAlign w:val="superscript"/>
        </w:rPr>
        <w:t>#</w:t>
      </w:r>
      <w:r w:rsidRPr="00D52239">
        <w:rPr>
          <w:b/>
          <w:sz w:val="24"/>
          <w:szCs w:val="24"/>
        </w:rPr>
        <w:t xml:space="preserve"> Corresponding authors</w:t>
      </w:r>
    </w:p>
    <w:p w14:paraId="2E50BD6C" w14:textId="77777777" w:rsidR="00E719FC" w:rsidRPr="00D52239" w:rsidRDefault="007C7450">
      <w:pPr>
        <w:spacing w:line="240" w:lineRule="auto"/>
        <w:rPr>
          <w:sz w:val="24"/>
          <w:szCs w:val="24"/>
        </w:rPr>
      </w:pPr>
      <w:r w:rsidRPr="00D52239">
        <w:rPr>
          <w:sz w:val="24"/>
          <w:szCs w:val="24"/>
        </w:rPr>
        <w:t>Jian Huang</w:t>
      </w:r>
    </w:p>
    <w:p w14:paraId="2E50BD6D" w14:textId="1522E60C" w:rsidR="00E719FC" w:rsidRPr="00D52239" w:rsidRDefault="008D348F">
      <w:pPr>
        <w:spacing w:line="240" w:lineRule="auto"/>
        <w:rPr>
          <w:sz w:val="24"/>
          <w:szCs w:val="24"/>
        </w:rPr>
      </w:pPr>
      <w:r w:rsidRPr="008D348F">
        <w:rPr>
          <w:sz w:val="24"/>
          <w:szCs w:val="24"/>
        </w:rPr>
        <w:t xml:space="preserve">Institute for Human Development and Potential </w:t>
      </w:r>
      <w:r w:rsidR="007C7450" w:rsidRPr="00D52239">
        <w:rPr>
          <w:sz w:val="24"/>
          <w:szCs w:val="24"/>
        </w:rPr>
        <w:t>(</w:t>
      </w:r>
      <w:r>
        <w:rPr>
          <w:sz w:val="24"/>
          <w:szCs w:val="24"/>
        </w:rPr>
        <w:t>IHDP</w:t>
      </w:r>
      <w:r w:rsidR="007C7450" w:rsidRPr="00D52239">
        <w:rPr>
          <w:sz w:val="24"/>
          <w:szCs w:val="24"/>
        </w:rPr>
        <w:t>), Brenner Centre for Molecular Medicine, 30 Medical Drive, Singapore 117609</w:t>
      </w:r>
    </w:p>
    <w:p w14:paraId="2E50BD70" w14:textId="1E13C5C1" w:rsidR="00E719FC" w:rsidRPr="00D52239" w:rsidRDefault="007C7450" w:rsidP="005A7393">
      <w:pPr>
        <w:spacing w:line="240" w:lineRule="auto"/>
        <w:rPr>
          <w:sz w:val="24"/>
          <w:szCs w:val="24"/>
        </w:rPr>
      </w:pPr>
      <w:r w:rsidRPr="00D52239">
        <w:rPr>
          <w:sz w:val="24"/>
          <w:szCs w:val="24"/>
        </w:rPr>
        <w:t>huang_jian@sics.a-star.edu.sg</w:t>
      </w:r>
    </w:p>
    <w:p w14:paraId="2E50BD71" w14:textId="77777777" w:rsidR="00E719FC" w:rsidRPr="00D52239" w:rsidRDefault="007C7450">
      <w:pPr>
        <w:rPr>
          <w:b/>
        </w:rPr>
      </w:pPr>
      <w:r w:rsidRPr="00D52239">
        <w:br w:type="page"/>
      </w:r>
    </w:p>
    <w:p w14:paraId="2E50BD72" w14:textId="41790C78" w:rsidR="00E719FC" w:rsidRPr="00D52239" w:rsidRDefault="00BD4B70">
      <w:pPr>
        <w:pStyle w:val="Heading1"/>
      </w:pPr>
      <w:bookmarkStart w:id="1" w:name="_m6m2u9rlvqdo" w:colFirst="0" w:colLast="0"/>
      <w:bookmarkEnd w:id="1"/>
      <w:r>
        <w:lastRenderedPageBreak/>
        <w:t>Summary</w:t>
      </w:r>
    </w:p>
    <w:p w14:paraId="2D045FB6" w14:textId="77777777" w:rsidR="00250D4F" w:rsidRPr="00D52239" w:rsidRDefault="00250D4F" w:rsidP="00250D4F">
      <w:pPr>
        <w:rPr>
          <w:b/>
          <w:bCs/>
        </w:rPr>
      </w:pPr>
      <w:r w:rsidRPr="00D52239">
        <w:rPr>
          <w:b/>
          <w:bCs/>
        </w:rPr>
        <w:t>Background</w:t>
      </w:r>
    </w:p>
    <w:p w14:paraId="5CFC9032" w14:textId="6E95221C" w:rsidR="00250D4F" w:rsidRPr="00D52239" w:rsidRDefault="00407CBF" w:rsidP="00250D4F">
      <w:r w:rsidRPr="00D52239">
        <w:t>The association between childhood obesity and language development may be socio-environmentally confounded and attributed to comorbid pathways.</w:t>
      </w:r>
    </w:p>
    <w:p w14:paraId="2780BEC1" w14:textId="77777777" w:rsidR="00250D4F" w:rsidRPr="00D52239" w:rsidRDefault="00250D4F" w:rsidP="00250D4F"/>
    <w:p w14:paraId="48AD713C" w14:textId="39B9C9D5" w:rsidR="00250D4F" w:rsidRPr="00D52239" w:rsidRDefault="00250D4F" w:rsidP="00250D4F">
      <w:pPr>
        <w:rPr>
          <w:b/>
          <w:bCs/>
        </w:rPr>
      </w:pPr>
      <w:r w:rsidRPr="00D52239">
        <w:rPr>
          <w:b/>
          <w:bCs/>
        </w:rPr>
        <w:t>Methods</w:t>
      </w:r>
    </w:p>
    <w:p w14:paraId="11499F98" w14:textId="4ED7A1E5" w:rsidR="00250D4F" w:rsidRPr="00D52239" w:rsidRDefault="00407CBF" w:rsidP="00250D4F">
      <w:r w:rsidRPr="00D52239">
        <w:t>In a longitudinal Singaporean mother-offspring cohort, we leverage</w:t>
      </w:r>
      <w:r w:rsidR="00DA7AC5">
        <w:t>d</w:t>
      </w:r>
      <w:r w:rsidRPr="00D52239">
        <w:t xml:space="preserve"> trans-ancestry polygenic predictions of body mass index (BMI) to interrogate the causal effects of early</w:t>
      </w:r>
      <w:r w:rsidR="00CA729A">
        <w:t>-</w:t>
      </w:r>
      <w:r w:rsidRPr="00D52239">
        <w:t>life BMI on child language development and its effects on molecular and neuroimaging measures.</w:t>
      </w:r>
      <w:r w:rsidR="00E31279">
        <w:t xml:space="preserve"> </w:t>
      </w:r>
      <w:r w:rsidR="0050227A">
        <w:t xml:space="preserve">Leveraging large </w:t>
      </w:r>
      <w:r w:rsidR="000F003D">
        <w:t xml:space="preserve">genome-wide association studies, we </w:t>
      </w:r>
      <w:r w:rsidR="0052204D">
        <w:t xml:space="preserve">examined whether </w:t>
      </w:r>
      <w:r w:rsidR="00B70187">
        <w:t xml:space="preserve">the link between </w:t>
      </w:r>
      <w:r w:rsidR="00DE16A2">
        <w:t xml:space="preserve">obesity and language development </w:t>
      </w:r>
      <w:r w:rsidR="00124C49">
        <w:t xml:space="preserve">is causal or due to </w:t>
      </w:r>
      <w:r w:rsidR="00FD7B7A">
        <w:t xml:space="preserve">a </w:t>
      </w:r>
      <w:r w:rsidR="00124C49">
        <w:t>shared genetic basis.</w:t>
      </w:r>
    </w:p>
    <w:p w14:paraId="1B655538" w14:textId="77777777" w:rsidR="00250D4F" w:rsidRPr="00D52239" w:rsidRDefault="00250D4F" w:rsidP="00250D4F"/>
    <w:p w14:paraId="77BF71D1" w14:textId="40DDE34A" w:rsidR="00250D4F" w:rsidRPr="00D52239" w:rsidRDefault="00250D4F" w:rsidP="00250D4F">
      <w:pPr>
        <w:rPr>
          <w:b/>
          <w:bCs/>
        </w:rPr>
      </w:pPr>
      <w:r w:rsidRPr="00D52239">
        <w:rPr>
          <w:b/>
          <w:bCs/>
        </w:rPr>
        <w:t>Findings</w:t>
      </w:r>
    </w:p>
    <w:p w14:paraId="38EC088C" w14:textId="30004043" w:rsidR="00250D4F" w:rsidRPr="00D52239" w:rsidRDefault="00407CBF" w:rsidP="00250D4F">
      <w:r w:rsidRPr="00D52239">
        <w:t xml:space="preserve">We found an inverse association between polygenic risk for obesity, which is less susceptible to confounding, and language ability assessed at age 9. </w:t>
      </w:r>
      <w:r w:rsidR="009C44BD">
        <w:t xml:space="preserve">Our findings </w:t>
      </w:r>
      <w:r w:rsidRPr="00D52239">
        <w:t>suggested a shared genetic basis between obesity and language development rather than a causal effect of obesity on language development. Interrogating early-life mechanisms including neurology-related proteomics and language-related white matter microstructure, we found that EFNA4</w:t>
      </w:r>
      <w:r w:rsidR="00DD0C20">
        <w:t xml:space="preserve"> and</w:t>
      </w:r>
      <w:r w:rsidR="00DD0C20" w:rsidRPr="00D52239">
        <w:t xml:space="preserve"> </w:t>
      </w:r>
      <w:r w:rsidRPr="00D52239">
        <w:t xml:space="preserve">VWC2 expressions </w:t>
      </w:r>
      <w:r w:rsidR="00DD0C20">
        <w:t>were</w:t>
      </w:r>
      <w:r w:rsidR="00DD0C20" w:rsidRPr="00D52239">
        <w:t xml:space="preserve"> </w:t>
      </w:r>
      <w:r w:rsidRPr="00D52239">
        <w:t>associated with language ability</w:t>
      </w:r>
      <w:r w:rsidR="00B5597F">
        <w:t xml:space="preserve"> as well as </w:t>
      </w:r>
      <w:r w:rsidRPr="00D52239">
        <w:t xml:space="preserve">fractional anisotropy of language-related white matter tracts, suggesting a role in brain myelination. Additionally, the expression of the EPH-Ephrin signalling pathway in the hippocampus might contribute to language development. </w:t>
      </w:r>
      <w:r w:rsidR="00451FB1">
        <w:t>P</w:t>
      </w:r>
      <w:r w:rsidR="00451FB1" w:rsidRPr="00D52239">
        <w:t>olygenic risk for obesity</w:t>
      </w:r>
      <w:r w:rsidR="00451FB1">
        <w:t xml:space="preserve"> was nominally associated with EFNA4 and VWC2 expression. However, </w:t>
      </w:r>
      <w:r w:rsidR="00E44275">
        <w:t>we</w:t>
      </w:r>
      <w:r w:rsidR="00840031">
        <w:t xml:space="preserve"> did not </w:t>
      </w:r>
      <w:r w:rsidR="000029BD">
        <w:t>find support for</w:t>
      </w:r>
      <w:r w:rsidR="00840031">
        <w:t xml:space="preserve"> </w:t>
      </w:r>
      <w:r w:rsidR="00451FB1">
        <w:t>mediating mechanism</w:t>
      </w:r>
      <w:r w:rsidR="00840031">
        <w:t>s</w:t>
      </w:r>
      <w:r w:rsidR="00451FB1">
        <w:t xml:space="preserve"> via these proteins.</w:t>
      </w:r>
    </w:p>
    <w:p w14:paraId="7EF16191" w14:textId="77777777" w:rsidR="00250D4F" w:rsidRPr="00D52239" w:rsidRDefault="00250D4F" w:rsidP="00250D4F"/>
    <w:p w14:paraId="27F25B13" w14:textId="067E5E15" w:rsidR="00250D4F" w:rsidRPr="00D52239" w:rsidRDefault="00250D4F" w:rsidP="00250D4F">
      <w:pPr>
        <w:rPr>
          <w:b/>
          <w:bCs/>
        </w:rPr>
      </w:pPr>
      <w:r w:rsidRPr="00D52239">
        <w:rPr>
          <w:b/>
          <w:bCs/>
        </w:rPr>
        <w:t>Interpretation</w:t>
      </w:r>
    </w:p>
    <w:p w14:paraId="4B804356" w14:textId="7FA05862" w:rsidR="00250D4F" w:rsidRPr="00D52239" w:rsidRDefault="00407CBF" w:rsidP="00250D4F">
      <w:r w:rsidRPr="00D52239">
        <w:t xml:space="preserve">This study demonstrates the potential of examining </w:t>
      </w:r>
      <w:r w:rsidR="00E85558">
        <w:t>early-life</w:t>
      </w:r>
      <w:r w:rsidRPr="00D52239">
        <w:t xml:space="preserve"> proteomics in conjunction with deep genotyping and phenotyping and provides biological insights into the shared genomic links between obesity and language development.</w:t>
      </w:r>
    </w:p>
    <w:p w14:paraId="3B63FE26" w14:textId="77777777" w:rsidR="00250D4F" w:rsidRPr="00D52239" w:rsidRDefault="00250D4F" w:rsidP="00250D4F"/>
    <w:p w14:paraId="2E50BD73" w14:textId="348E745B" w:rsidR="00E719FC" w:rsidRPr="00D52239" w:rsidRDefault="00250D4F" w:rsidP="00250D4F">
      <w:pPr>
        <w:rPr>
          <w:b/>
          <w:bCs/>
        </w:rPr>
      </w:pPr>
      <w:r w:rsidRPr="00D52239">
        <w:rPr>
          <w:b/>
          <w:bCs/>
        </w:rPr>
        <w:t>Funding</w:t>
      </w:r>
    </w:p>
    <w:p w14:paraId="428CF48C" w14:textId="4F6540B3" w:rsidR="00250D4F" w:rsidRPr="00D52239" w:rsidRDefault="00BB766A" w:rsidP="00250D4F">
      <w:r w:rsidRPr="00D52239">
        <w:t>Singapore National Research Foundation and Agency for Science, Technology and Research.</w:t>
      </w:r>
    </w:p>
    <w:p w14:paraId="2E50BD76" w14:textId="77777777" w:rsidR="00E719FC" w:rsidRPr="00D52239" w:rsidRDefault="00E719FC"/>
    <w:p w14:paraId="2E50BD77" w14:textId="2B4BBB88" w:rsidR="00E719FC" w:rsidRPr="00D52239" w:rsidRDefault="00E554BA">
      <w:r w:rsidRPr="00D52239">
        <w:rPr>
          <w:b/>
          <w:bCs/>
        </w:rPr>
        <w:t>Keywords</w:t>
      </w:r>
      <w:r w:rsidRPr="00D52239">
        <w:t>: polygenic risk score</w:t>
      </w:r>
      <w:r w:rsidR="00CB5C18">
        <w:t>;</w:t>
      </w:r>
      <w:r w:rsidRPr="00D52239">
        <w:t xml:space="preserve"> obesity</w:t>
      </w:r>
      <w:r w:rsidR="00CB5C18">
        <w:t>;</w:t>
      </w:r>
      <w:r w:rsidRPr="00D52239">
        <w:t xml:space="preserve"> language development</w:t>
      </w:r>
      <w:r w:rsidR="00CB5C18">
        <w:t>;</w:t>
      </w:r>
      <w:r w:rsidRPr="00D52239">
        <w:t xml:space="preserve"> neurology-related protein</w:t>
      </w:r>
    </w:p>
    <w:p w14:paraId="5D8A0A42" w14:textId="77777777" w:rsidR="00D070C3" w:rsidRPr="00D52239" w:rsidRDefault="00D070C3"/>
    <w:p w14:paraId="16EBE293" w14:textId="77777777" w:rsidR="00101C52" w:rsidRPr="00D52239" w:rsidRDefault="00101C52">
      <w:pPr>
        <w:sectPr w:rsidR="00101C52" w:rsidRPr="00D52239" w:rsidSect="00EE3B44">
          <w:footerReference w:type="default" r:id="rId8"/>
          <w:pgSz w:w="11909" w:h="16834"/>
          <w:pgMar w:top="1440" w:right="1440" w:bottom="1440" w:left="1440" w:header="720" w:footer="720" w:gutter="0"/>
          <w:pgNumType w:start="1"/>
          <w:cols w:space="720"/>
        </w:sectPr>
      </w:pPr>
    </w:p>
    <w:p w14:paraId="389644DD" w14:textId="5E2F3D91" w:rsidR="009405FB" w:rsidRPr="00FA1F93" w:rsidRDefault="00101C52" w:rsidP="00FA1F93">
      <w:pPr>
        <w:pStyle w:val="Heading1"/>
      </w:pPr>
      <w:r w:rsidRPr="00FA1F93">
        <w:lastRenderedPageBreak/>
        <w:t>Research in context</w:t>
      </w:r>
    </w:p>
    <w:p w14:paraId="63DE3CCF" w14:textId="2A8B2999" w:rsidR="00101C52" w:rsidRPr="00D52239" w:rsidRDefault="00FB1552">
      <w:pPr>
        <w:rPr>
          <w:u w:val="single"/>
        </w:rPr>
      </w:pPr>
      <w:r w:rsidRPr="00D52239">
        <w:rPr>
          <w:u w:val="single"/>
        </w:rPr>
        <w:t>Evidence before this study</w:t>
      </w:r>
    </w:p>
    <w:p w14:paraId="30FBE504" w14:textId="4C8E9929" w:rsidR="00F838AE" w:rsidRPr="00D52239" w:rsidRDefault="005870E1">
      <w:r w:rsidRPr="00D52239">
        <w:t>Language development is a cornerstone of cognitive growth. The development of childhood weight and obesity is plausibly linked to suboptimal neurodevelopment but is highly confounded by socioenvironmental factors. However, identifying the extent and mechanisms by which early weight status affects language development may lead to promising early targets for mitigating disparities in lifelong health and well-being.</w:t>
      </w:r>
    </w:p>
    <w:p w14:paraId="6DA05051" w14:textId="77777777" w:rsidR="00F777C3" w:rsidRPr="00D52239" w:rsidRDefault="00F777C3"/>
    <w:p w14:paraId="56825AE6" w14:textId="77777777" w:rsidR="00FB1552" w:rsidRPr="00D52239" w:rsidRDefault="00FB1552" w:rsidP="00FB1552">
      <w:pPr>
        <w:rPr>
          <w:u w:val="single"/>
        </w:rPr>
      </w:pPr>
      <w:r w:rsidRPr="00D52239">
        <w:rPr>
          <w:u w:val="single"/>
        </w:rPr>
        <w:t>Added value of this study</w:t>
      </w:r>
    </w:p>
    <w:p w14:paraId="778A7F41" w14:textId="3C549288" w:rsidR="006755BF" w:rsidRPr="00D52239" w:rsidRDefault="00F777C3" w:rsidP="00FB1552">
      <w:r w:rsidRPr="00D52239">
        <w:t>We leveraged trans-ancestry polygenic predictions of BMI to interrogate the causal effects of early</w:t>
      </w:r>
      <w:r w:rsidR="00E006C4">
        <w:t>-</w:t>
      </w:r>
      <w:r w:rsidRPr="00D52239">
        <w:t xml:space="preserve">life BMI on child language development and its effects on molecular and neuroimaging measures. We did not find evidence for a direct causal influence of genetically predicted obesity-related traits on language-related skills using Mendelian randomisation. Instead, we found evidence of </w:t>
      </w:r>
      <w:r w:rsidR="00FD7B7A">
        <w:t xml:space="preserve">a </w:t>
      </w:r>
      <w:r w:rsidR="00A17497">
        <w:t>shared genetic basis</w:t>
      </w:r>
      <w:r w:rsidRPr="00D52239">
        <w:t xml:space="preserve"> between obesity-related traits and language-related skills.</w:t>
      </w:r>
      <w:r w:rsidR="006755BF" w:rsidRPr="00D52239">
        <w:t xml:space="preserve"> We also investigated the role of neurology-related proteomics and </w:t>
      </w:r>
      <w:r w:rsidR="008F11B9">
        <w:t>found that</w:t>
      </w:r>
      <w:r w:rsidR="00EB1FD6">
        <w:t xml:space="preserve"> higher polygenic risk for obesity was nominally and positively associated with EFNA4 and VWC2 expression, both of which </w:t>
      </w:r>
      <w:r w:rsidR="00EB1FD6" w:rsidRPr="00D52239">
        <w:t xml:space="preserve">were </w:t>
      </w:r>
      <w:r w:rsidR="00EB1FD6">
        <w:t xml:space="preserve">inversely </w:t>
      </w:r>
      <w:r w:rsidR="00EB1FD6" w:rsidRPr="00D52239">
        <w:t>associated with the WIAT-III language-related composite score</w:t>
      </w:r>
      <w:r w:rsidR="00EB1FD6">
        <w:t>. However, mediating mechanisms via EFNA4 or VWC2 were not supported.</w:t>
      </w:r>
    </w:p>
    <w:p w14:paraId="32EC78AF" w14:textId="77777777" w:rsidR="00F777C3" w:rsidRPr="00D52239" w:rsidRDefault="00F777C3" w:rsidP="00FB1552"/>
    <w:p w14:paraId="55745AB7" w14:textId="2A5E9133" w:rsidR="00FB1552" w:rsidRPr="00D52239" w:rsidRDefault="00FB1552" w:rsidP="00FB1552">
      <w:pPr>
        <w:rPr>
          <w:u w:val="single"/>
        </w:rPr>
      </w:pPr>
      <w:r w:rsidRPr="00D52239">
        <w:rPr>
          <w:u w:val="single"/>
        </w:rPr>
        <w:t>Implications of all the available evidence</w:t>
      </w:r>
    </w:p>
    <w:p w14:paraId="043D2ACE" w14:textId="7C9C566B" w:rsidR="008F11B9" w:rsidRPr="00D52239" w:rsidRDefault="00F777C3" w:rsidP="008F11B9">
      <w:r w:rsidRPr="00D52239">
        <w:t>These findings support that genetic variants associated with child</w:t>
      </w:r>
      <w:r w:rsidR="008F11B9">
        <w:t>hood</w:t>
      </w:r>
      <w:r w:rsidRPr="00D52239">
        <w:t xml:space="preserve"> obesity may be implicated </w:t>
      </w:r>
      <w:r w:rsidR="008F11B9">
        <w:t xml:space="preserve">in </w:t>
      </w:r>
      <w:r w:rsidRPr="00D52239">
        <w:t>language development, explaining previous observations. However, while our further investigation uncovered mechanisms of interest for early language development, evidence points to shared genomic pathways rather than a direct causal pathway from obesity development to language development.</w:t>
      </w:r>
      <w:r w:rsidR="006755BF" w:rsidRPr="00D52239">
        <w:t xml:space="preserve"> </w:t>
      </w:r>
      <w:r w:rsidR="00686667">
        <w:t>Although mediating mechanisms via individual proteins were not identified, our investigation suggests a more comprehensive early-life proteomic profiling warrant</w:t>
      </w:r>
      <w:r w:rsidR="003A49E8">
        <w:t>s</w:t>
      </w:r>
      <w:r w:rsidR="00686667">
        <w:t xml:space="preserve"> further investigation</w:t>
      </w:r>
      <w:r w:rsidR="003A541F">
        <w:t xml:space="preserve">. This has the potential to </w:t>
      </w:r>
      <w:r w:rsidR="00686667">
        <w:t xml:space="preserve">unravel the link between cardiometabolic health and neurodevelopment at the molecular level and to provide insight into </w:t>
      </w:r>
      <w:r w:rsidR="003A541F">
        <w:t xml:space="preserve">how </w:t>
      </w:r>
      <w:r w:rsidR="00686667">
        <w:t>human development lay</w:t>
      </w:r>
      <w:r w:rsidR="00D33A06">
        <w:t>s</w:t>
      </w:r>
      <w:r w:rsidR="00686667">
        <w:t xml:space="preserve"> </w:t>
      </w:r>
      <w:r w:rsidR="00D33A06">
        <w:t>the</w:t>
      </w:r>
      <w:r w:rsidR="00686667">
        <w:t xml:space="preserve"> foundation for future health trajectories.</w:t>
      </w:r>
    </w:p>
    <w:p w14:paraId="2E50BD78" w14:textId="181E9D73" w:rsidR="00E719FC" w:rsidRPr="00D52239" w:rsidRDefault="007C7450">
      <w:r w:rsidRPr="00D52239">
        <w:br w:type="page"/>
      </w:r>
    </w:p>
    <w:p w14:paraId="2E50BD79" w14:textId="77777777" w:rsidR="00E719FC" w:rsidRPr="00D52239" w:rsidRDefault="007C7450">
      <w:pPr>
        <w:pStyle w:val="Heading1"/>
        <w:spacing w:after="200"/>
      </w:pPr>
      <w:bookmarkStart w:id="2" w:name="_dpoa7mjrx26b" w:colFirst="0" w:colLast="0"/>
      <w:bookmarkEnd w:id="2"/>
      <w:r w:rsidRPr="00D52239">
        <w:lastRenderedPageBreak/>
        <w:t>Introduction</w:t>
      </w:r>
    </w:p>
    <w:p w14:paraId="6F62924F" w14:textId="0E4A0A1A" w:rsidR="00F65E08" w:rsidRDefault="007C7450">
      <w:pPr>
        <w:spacing w:after="200"/>
      </w:pPr>
      <w:r w:rsidRPr="00D52239">
        <w:t>Language is the primary medium for conveying thoughts and emotions. It is deeply intertwined with the way individuals process and interpret information. This interconnection highlights the critical role of language development as a cornerstone of cognitive growth, setting a foundation for future health and well-being.</w:t>
      </w:r>
      <w:r w:rsidR="00352423" w:rsidRPr="00D52239">
        <w:fldChar w:fldCharType="begin"/>
      </w:r>
      <w:r w:rsidR="00A323E5">
        <w:instrText xml:space="preserve"> ADDIN ZOTERO_ITEM CSL_CITATION {"citationID":"m27OojPh","properties":{"formattedCitation":"(1)","plainCitation":"(1)","noteIndex":0},"citationItems":[{"id":646,"uris":["http://zotero.org/users/11760769/items/9YMD95HQ"],"itemData":{"id":646,"type":"article-journal","abstract":"The use of spoken and written language is a fundamental human capacity. Individual differences in reading- and language-related skills are influenced by genetic variation, with twin-based heritability estimates of 30 to 80% depending on the trait. The genetic architecture is complex, heterogeneous, and multifactorial, but investigations of contributions of single-nucleotide polymorphisms (SNPs) were thus far underpowered. We present a multicohort genome-wide association study (GWAS) of five traits assessed individually using psychometric measures (word reading, nonword reading, spelling, phoneme awareness, and nonword repetition) in samples of 13,633 to 33,959 participants aged 5 to 26 y. We identified genome-wide significant association with word reading (rs11208009, P = 1.098 × 10-8) at a locus that has not been associated with intelligence or educational attainment. All five reading-/language-related traits showed robust SNP heritability, accounting for 13 to 26% of trait variability. Genomic structural equation modeling revealed a shared genetic factor explaining most of the variation in word/nonword reading, spelling, and phoneme awareness, which only partially overlapped with genetic variation contributing to nonword repetition, intelligence, and educational attainment. A multivariate GWAS of word/nonword reading, spelling, and phoneme awareness maximized power for follow-up investigation. Genetic correlation analysis with neuroimaging traits identified an association with the surface area of the banks of the left superior temporal sulcus, a brain region linked to the processing of spoken and written language. Heritability was enriched for genomic elements regulating gene expression in the fetal brain and in chromosomal regions that are depleted of Neanderthal variants. Together, these results provide avenues for deciphering the biological underpinnings of uniquely human traits.","container-title":"Proceedings of the National Academy of Sciences of the United States of America","DOI":"10.1073/pnas.2202764119","ISSN":"1091-6490","issue":"35","journalAbbreviation":"Proc Natl Acad Sci U S A","language":"eng","note":"PMID: 35998220\nPMCID: PMC9436320","page":"e2202764119","source":"PubMed","title":"Genome-wide analyses of individual differences in quantitatively assessed reading- and language-related skills in up to 34,000 people","volume":"119","author":[{"family":"Eising","given":"Else"},{"family":"Mirza-Schreiber","given":"Nazanin"},{"family":"Zeeuw","given":"Eveline L.","non-dropping-particle":"de"},{"family":"Wang","given":"Carol A."},{"family":"Truong","given":"Dongnhu T."},{"family":"Allegrini","given":"Andrea G."},{"family":"Shapland","given":"Chin Yang"},{"family":"Zhu","given":"Gu"},{"family":"Wigg","given":"Karen G."},{"family":"Gerritse","given":"Margot L."},{"family":"Molz","given":"Barbara"},{"family":"Alagöz","given":"Gökberk"},{"family":"Gialluisi","given":"Alessandro"},{"family":"Abbondanza","given":"Filippo"},{"family":"Rimfeld","given":"Kaili"},{"family":"Donkelaar","given":"Marjolein","non-dropping-particle":"van"},{"family":"Liao","given":"Zhijie"},{"family":"Jansen","given":"Philip R."},{"family":"Andlauer","given":"Till F. M."},{"family":"Bates","given":"Timothy C."},{"family":"Bernard","given":"Manon"},{"family":"Blokland","given":"Kirsten"},{"family":"Bonte","given":"Milene"},{"family":"Børglum","given":"Anders D."},{"family":"Bourgeron","given":"Thomas"},{"family":"Brandeis","given":"Daniel"},{"family":"Ceroni","given":"Fabiola"},{"family":"Csépe","given":"Valéria"},{"family":"Dale","given":"Philip S."},{"family":"Jong","given":"Peter F.","non-dropping-particle":"de"},{"family":"DeFries","given":"John C."},{"family":"Démonet","given":"Jean-François"},{"family":"Demontis","given":"Ditte"},{"family":"Feng","given":"Yu"},{"family":"Gordon","given":"Scott D."},{"family":"Guger","given":"Sharon L."},{"family":"Hayiou-Thomas","given":"Marianna E."},{"family":"Hernández-Cabrera","given":"Juan A."},{"family":"Hottenga","given":"Jouke-Jan"},{"family":"Hulme","given":"Charles"},{"family":"Kere","given":"Juha"},{"family":"Kerr","given":"Elizabeth N."},{"family":"Koomar","given":"Tanner"},{"family":"Landerl","given":"Karin"},{"family":"Leonard","given":"Gabriel T."},{"family":"Lovett","given":"Maureen W."},{"family":"Lyytinen","given":"Heikki"},{"family":"Martin","given":"Nicholas G."},{"family":"Martinelli","given":"Angela"},{"family":"Maurer","given":"Urs"},{"family":"Michaelson","given":"Jacob J."},{"family":"Moll","given":"Kristina"},{"family":"Monaco","given":"Anthony P."},{"family":"Morgan","given":"Angela T."},{"family":"Nöthen","given":"Markus M."},{"family":"Pausova","given":"Zdenka"},{"family":"Pennell","given":"Craig E."},{"family":"Pennington","given":"Bruce F."},{"family":"Price","given":"Kaitlyn M."},{"family":"Rajagopal","given":"Veera M."},{"family":"Ramus","given":"Franck"},{"family":"Richer","given":"Louis"},{"family":"Simpson","given":"Nuala H."},{"family":"Smith","given":"Shelley D."},{"family":"Snowling","given":"Margaret J."},{"family":"Stein","given":"John"},{"family":"Strug","given":"Lisa J."},{"family":"Talcott","given":"Joel B."},{"family":"Tiemeier","given":"Henning"},{"family":"Schroeff","given":"Marc P.","non-dropping-particle":"van der"},{"family":"Verhoef","given":"Ellen"},{"family":"Watkins","given":"Kate E."},{"family":"Wilkinson","given":"Margaret"},{"family":"Wright","given":"Margaret J."},{"family":"Barr","given":"Cathy L."},{"family":"Boomsma","given":"Dorret I."},{"family":"Carreiras","given":"Manuel"},{"family":"Franken","given":"Marie-Christine J."},{"family":"Gruen","given":"Jeffrey R."},{"family":"Luciano","given":"Michelle"},{"family":"Müller-Myhsok","given":"Bertram"},{"family":"Newbury","given":"Dianne F."},{"family":"Olson","given":"Richard K."},{"family":"Paracchini","given":"Silvia"},{"family":"Paus","given":"Tomáš"},{"family":"Plomin","given":"Robert"},{"family":"Reilly","given":"Sheena"},{"family":"Schulte-Körne","given":"Gerd"},{"family":"Tomblin","given":"J. Bruce"},{"family":"Bergen","given":"Elsje","non-dropping-particle":"van"},{"family":"Whitehouse","given":"Andrew J. O."},{"family":"Willcutt","given":"Erik G."},{"family":"St Pourcain","given":"Beate"},{"family":"Francks","given":"Clyde"},{"family":"Fisher","given":"Simon E."}],"issued":{"date-parts":[["2022",8,30]]}}}],"schema":"https://github.com/citation-style-language/schema/raw/master/csl-citation.json"} </w:instrText>
      </w:r>
      <w:r w:rsidR="00352423" w:rsidRPr="00D52239">
        <w:fldChar w:fldCharType="separate"/>
      </w:r>
      <w:r w:rsidR="008A120B" w:rsidRPr="008A120B">
        <w:t>(1)</w:t>
      </w:r>
      <w:r w:rsidR="00352423" w:rsidRPr="00D52239">
        <w:fldChar w:fldCharType="end"/>
      </w:r>
      <w:r w:rsidRPr="00D52239">
        <w:t xml:space="preserve"> Previous research has established associations of early</w:t>
      </w:r>
      <w:r w:rsidR="00801832">
        <w:t>-</w:t>
      </w:r>
      <w:r w:rsidRPr="00D52239">
        <w:t>life language skills with executive function and performance in school assessments among primary-aged children.</w:t>
      </w:r>
      <w:r w:rsidR="00352423" w:rsidRPr="00D52239">
        <w:fldChar w:fldCharType="begin"/>
      </w:r>
      <w:r w:rsidR="00A323E5">
        <w:instrText xml:space="preserve"> ADDIN ZOTERO_ITEM CSL_CITATION {"citationID":"B2f6TmZ1","properties":{"formattedCitation":"(2,3)","plainCitation":"(2,3)","noteIndex":0},"citationItems":[{"id":866,"uris":["http://zotero.org/users/11760769/items/98BQUZMD"],"itemData":{"id":866,"type":"article-journal","container-title":"Oxford Review of Education","DOI":"10.1080/03054985.2020.1824902","ISSN":"0305-4985, 1465-3915","issue":"2","journalAbbreviation":"Oxford Review of Education","language":"en","page":"260-283","source":"DOI.org (Crossref)","title":"Pathways from the early language and communication environment to literacy outcomes at the end of primary school; the roles of language development and social development","volume":"47","author":[{"family":"Gibson","given":"Jenny L."},{"family":"Newbury","given":"Dianne F."},{"family":"Durkin","given":"Kevin"},{"family":"Pickles","given":"Andrew"},{"family":"Conti-Ramsden","given":"Gina"},{"family":"Toseeb","given":"Umar"}],"issued":{"date-parts":[["2021",3,4]]}}},{"id":853,"uris":["http://zotero.org/users/11760769/items/2BKAYHPG"],"itemData":{"id":853,"type":"article-journal","abstract":"Childhood socioeconomic status (SES) is related to disparities in the development of both language and executive functioning (EF) skills. Emerging evidence suggests that language development may precede and provide necessary scaffolding for EF development in early childhood. The present preregistered study investigates how these skills co-develop longitudinally in early childhood and whether language development explains the relationship between SES and EF development. A socioeconomically diverse sample of 305 children completed repeated assessments of language (sentence comprehension) and EF (cognitive flexibility, behavioral inhibition, and cognitive inhibition) at four waves spaced 9 months apart from ages 3 to 5 years. Bivariate latent curve models with structured residuals were estimated to disaggregate between-person and within-person components of stability and change. Results revealed bidirectional relationships between language and EF across all waves. However, at 3 years, language comprehension more strongly predicted EF than the reverse; yet by 5 years, the bidirectional effects across domains did not significantly differ. Children from higher-SES backgrounds exhibited higher initial language and EF skills than children from lower-SES families, though SES was not associated with either rate of growth. Finally, early language-mediated the association between SES and early EF skills, and this model outperformed a reverse direction mediation. Together, results suggest that EF development is driven by early language development, and that SES disparities in EF are explained, at least in part, by early differences in language comprehension. These findings have implications for early interventions to support children's language skills as a potential pathway to improving early EF development.","container-title":"Developmental Science","DOI":"10.1111/desc.13227","ISSN":"1467-7687","issue":"5","journalAbbreviation":"Dev Sci","language":"eng","note":"PMID: 34981872\nPMCID: PMC9250946","page":"e13227","source":"PubMed","title":"Language development as a mechanism linking socioeconomic status to executive functioning development in preschool","volume":"25","author":[{"family":"Romeo","given":"Rachel R."},{"family":"Flournoy","given":"John C."},{"family":"McLaughlin","given":"Katie A."},{"family":"Lengua","given":"Liliana J."}],"issued":{"date-parts":[["2022",9]]}}}],"schema":"https://github.com/citation-style-language/schema/raw/master/csl-citation.json"} </w:instrText>
      </w:r>
      <w:r w:rsidR="00352423" w:rsidRPr="00D52239">
        <w:fldChar w:fldCharType="separate"/>
      </w:r>
      <w:r w:rsidR="008A120B" w:rsidRPr="008A120B">
        <w:t>(2,3)</w:t>
      </w:r>
      <w:r w:rsidR="00352423" w:rsidRPr="00D52239">
        <w:fldChar w:fldCharType="end"/>
      </w:r>
      <w:r w:rsidRPr="00D52239">
        <w:t xml:space="preserve"> Furthermore, lower early</w:t>
      </w:r>
      <w:r w:rsidR="00D47AF9">
        <w:t>-</w:t>
      </w:r>
      <w:r w:rsidRPr="00D52239">
        <w:t>life language ability has been associated with mental disorders and psychosocial disabilities in adulthood,</w:t>
      </w:r>
      <w:r w:rsidR="00352423" w:rsidRPr="00D52239">
        <w:fldChar w:fldCharType="begin"/>
      </w:r>
      <w:r w:rsidR="00A323E5">
        <w:instrText xml:space="preserve"> ADDIN ZOTERO_ITEM CSL_CITATION {"citationID":"xDrFDr6a","properties":{"formattedCitation":"(4)","plainCitation":"(4)","noteIndex":0},"citationItems":[{"id":869,"uris":["http://zotero.org/users/11760769/items/ZB5VSYBX"],"itemData":{"id":869,"type":"article-journal","abstract":"OBJECTIVES: Little is known on the psychosocial adult outcomes of children's early language skills or intervening circumstances. The aim of this study was to assess the longitudinal trajectory linking childhood receptive language skills to psychosocial outcomes in later life.\nMETHODS: The study comprised 6941 men and women who participated in a nationally representative Birth Cohort Study. Direct assessment of language skills were made at age 5. The sample was studied again at age 34 to assess psychosocial outcomes and levels of adult mental health. Characteristics of the family environment, individual adjustment, and social adaptation in the transition to adulthood were assessed as potential moderating factors linking early language skills to adult mental health.\nRESULTS: In early childhood, cohort members with poor receptive language experienced more disadvantaged socioeconomic circumstances than cohort members with normal language skills and showed more behavior and psychosocial adjustment problems in the transition to adulthood. At age 34, cohort members with poor early language skills reported lower levels of mental health than cohort members with normal language. After adjustment for family background and experiences of social adaptation, early language skills maintained a significant and independent impact in predicting adult mental health.\nCONCLUSIONS: Early receptive language skills are significantly associated with adult mental health as well as psychosocial adjustment during early childhood and in later life. The needs of children with language problems are complex and call for early and continuing provision of educational support and services.","container-title":"Pediatrics","DOI":"10.1542/peds.2009-3282","ISSN":"1098-4275","issue":"1","journalAbbreviation":"Pediatrics","language":"eng","note":"PMID: 20587683","page":"e73-80","source":"PubMed","title":"Children's language ability and psychosocial development: a 29-year follow-up study","title-short":"Children's language ability and psychosocial development","volume":"126","author":[{"family":"Schoon","given":"Ingrid"},{"family":"Parsons","given":"Samantha"},{"family":"Rush","given":"Robert"},{"family":"Law","given":"James"}],"issued":{"date-parts":[["2010",7]]}}}],"schema":"https://github.com/citation-style-language/schema/raw/master/csl-citation.json"} </w:instrText>
      </w:r>
      <w:r w:rsidR="00352423" w:rsidRPr="00D52239">
        <w:fldChar w:fldCharType="separate"/>
      </w:r>
      <w:r w:rsidR="008A120B" w:rsidRPr="008A120B">
        <w:t>(4)</w:t>
      </w:r>
      <w:r w:rsidR="00352423" w:rsidRPr="00D52239">
        <w:fldChar w:fldCharType="end"/>
      </w:r>
      <w:r w:rsidRPr="00D52239">
        <w:t xml:space="preserve"> and poorer cognitive function and an elevated risk of Alzheimer’s disease in later years.</w:t>
      </w:r>
      <w:r w:rsidR="00352423" w:rsidRPr="00D52239">
        <w:fldChar w:fldCharType="begin"/>
      </w:r>
      <w:r w:rsidR="00A323E5">
        <w:instrText xml:space="preserve"> ADDIN ZOTERO_ITEM CSL_CITATION {"citationID":"0G4Df4YL","properties":{"formattedCitation":"(5,6)","plainCitation":"(5,6)","noteIndex":0},"citationItems":[{"id":867,"uris":["http://zotero.org/users/11760769/items/JUYIJQ3R"],"itemData":{"id":867,"type":"article-journal","abstract":"Findings from the Nun Study indicate that low linguistic ability in early life has a strong association with dementia and premature death in late life. In the present study, we investigated the relationship of linguistic ability in early life to the neuropathology of Alzheimer's disease and cerebrovascular disease. The analyses were done on a subset of 74 participants in the Nun Study for whom we had handwritten autobiographies completed some time between the ages of 19 and 37 (mean = 23 years). An average of 62 years after writing the autobiographies, when the participants were 78 to 97 years old, they died and their brains were removed for our neuropathologic studies. Linguistic ability in early life was measured by the idea (proposition) density of the autobiographies, i.e., a standard measure of the content of ideas in text samples. Idea density scores from early life had strong inverse correlations with the severity of Alzheimer's disease pathology in the neocortex: Correlations between idea density scores and neurofibrillary tangle counts were -0.59 for the frontal lobe, -0.48 for the temporal lobe, and -0.49 for the parietal lobe (all p values &lt; 0.0001). Idea density scores were unrelated to the severity of atherosclerosis of the major arteries at the base of the brain and to the presence of lacunar and large brain infarcts. Low linguistic ability in early life may reflect suboptimal neurological and cognitive development, which might increase susceptibility to the development of Alzheimer's disease pathology in late life.","container-title":"Annals of the New York Academy of Sciences","DOI":"10.1111/j.1749-6632.2000.tb06347.x","ISSN":"0077-8923","journalAbbreviation":"Ann N Y Acad Sci","language":"eng","note":"PMID: 10818486","page":"34-38","source":"PubMed","title":"Linguistic ability in early life and the neuropathology of Alzheimer's disease and cerebrovascular disease. Findings from the Nun Study","volume":"903","author":[{"family":"Snowdon","given":"D. A."},{"family":"Greiner","given":"L. H."},{"family":"Markesbery","given":"W. R."}],"issued":{"date-parts":[["2000",4]]}}},{"id":868,"uris":["http://zotero.org/users/11760769/items/C528R28E"],"itemData":{"id":868,"type":"article-journal","abstract":"OBJECTIVE: To determine if linguistic ability in early life is associated with cognitive function and Alzheimer's disease in late life.\nDESIGN: Two measures of linguistic ability in early life, idea density and grammatical complexity, were derived from autobiographies written at a mean age of 22 years. Approximately 58 years later, the women who wrote these autobiographies participated in an assessment of cognitive function, and those who subsequently died were evaluated neuropathologically.\nSETTING: Convents in the United States participating in the Nun Study; primarily convents in the Milwaukee, Wis, area.\nPARTICIPANTS: Cognitive function was investigated in 93 participants who were aged 75 to 95 years at the time of their assessments, and Alzheimer's disease was investigated in the 14 participants who died at 79 to 96 years of age.\nMAIN OUTCOME MEASURES: Seven neuropsychological tests and neuropathologically confirmed Alzheimer's disease.\nRESULTS: Low idea density and low grammatical complexity in autobiographies written in early life were associated with low cognitive test scores in late life. Low idea density in early life had stronger and more consistent associations with poor cognitive function than did low grammatical complexity. Among the 14 sisters who died, neuropathologically confirmed Alzheimer's disease was present in all of those with low idea density in early life and in none of those with high idea density.\nCONCLUSIONS: Low linguistic ability in early life was a strong predictor of poor cognitive function and Alzheimer's disease in late life.","container-title":"JAMA","ISSN":"0098-7484","issue":"7","journalAbbreviation":"JAMA","language":"eng","note":"PMID: 8606473","page":"528-532","source":"PubMed","title":"Linguistic ability in early life and cognitive function and Alzheimer's disease in late life. Findings from the Nun Study","volume":"275","author":[{"family":"Snowdon","given":"D. A."},{"family":"Kemper","given":"S. J."},{"family":"Mortimer","given":"J. A."},{"family":"Greiner","given":"L. H."},{"family":"Wekstein","given":"D. R."},{"family":"Markesbery","given":"W. R."}],"issued":{"date-parts":[["1996",2,21]]}}}],"schema":"https://github.com/citation-style-language/schema/raw/master/csl-citation.json"} </w:instrText>
      </w:r>
      <w:r w:rsidR="00352423" w:rsidRPr="00D52239">
        <w:fldChar w:fldCharType="separate"/>
      </w:r>
      <w:r w:rsidR="008A120B" w:rsidRPr="008A120B">
        <w:t>(5,6)</w:t>
      </w:r>
      <w:r w:rsidR="00352423" w:rsidRPr="00D52239">
        <w:fldChar w:fldCharType="end"/>
      </w:r>
      <w:r w:rsidRPr="00D52239">
        <w:t xml:space="preserve"> These findings highlight the enduring effects of early language abilities. The underlying biological processes that mediate language development, such as brain myelination,</w:t>
      </w:r>
      <w:r w:rsidR="00352423" w:rsidRPr="00D52239">
        <w:fldChar w:fldCharType="begin"/>
      </w:r>
      <w:r w:rsidR="00A323E5">
        <w:instrText xml:space="preserve"> ADDIN ZOTERO_ITEM CSL_CITATION {"citationID":"V88ePPvL","properties":{"formattedCitation":"(7)","plainCitation":"(7)","noteIndex":0},"citationItems":[{"id":1033,"uris":["http://zotero.org/users/11760769/items/XJU7MUTW"],"itemData":{"id":1033,"type":"article-journal","abstract":"BACKGROUND: The rapid development of language abilities in early childhood coincides with a similarly accelerated progression in brain maturation.\nOBJECTIVE: To quantitate myelination in the lateral part of the verbal left hemisphere from birth to 3 years in the living human brain.\nMETHODS: One hundred children (mean age 16.6 months) were examined using three-dimensional MRI, and a subgroup of 40 children were also evaluated behaviorally. The volume of myelinated white matter was measured in language-related temporal and frontal regions and in the central sensorimotor region. A method was developed to compose a movie sequence for all the myelination process using volumetric data.\nRESULTS: A plot of age against relative volume of myelinated white matter graphically detailed the myelination progress in the lateral brain. The changes started in sensorimotor white matter and the Heschl gyrus and ultimately extended to the language-related areas. Both comprehension and production regions showed a very similar myelination course, suggesting simultaneous maturation of the temporofrontal language network. The movie sequence of white matter images dynamically displayed the anatomic details of myelin deposition in this part of the brain. The analysis of language performance showed acceleration in children's vocabulary after 18 months, once a rapid myelination phase was attained in the language brain.\nCONCLUSIONS: This volumetric study may contribute to further characterize the early stages of brain maturation by showing the fine progression of myelin deposition in the language domains and illustrating its relationship to children's vocabulary acquisition.","container-title":"Neurology","DOI":"10.1212/01.wnl.0000201049.66073.8d","ISSN":"1526-632X","issue":"3","journalAbbreviation":"Neurology","language":"eng","note":"PMID: 16476931","page":"339-343","source":"PubMed","title":"Myelination of language-related areas in the developing brain","volume":"66","author":[{"family":"Pujol","given":"J."},{"family":"Soriano-Mas","given":"C."},{"family":"Ortiz","given":"H."},{"family":"Sebastián-Gallés","given":"N."},{"family":"Losilla","given":"J. M."},{"family":"Deus","given":"J."}],"issued":{"date-parts":[["2006",2,14]]}}}],"schema":"https://github.com/citation-style-language/schema/raw/master/csl-citation.json"} </w:instrText>
      </w:r>
      <w:r w:rsidR="00352423" w:rsidRPr="00D52239">
        <w:fldChar w:fldCharType="separate"/>
      </w:r>
      <w:r w:rsidR="008A120B" w:rsidRPr="008A120B">
        <w:t>(7)</w:t>
      </w:r>
      <w:r w:rsidR="00352423" w:rsidRPr="00D52239">
        <w:fldChar w:fldCharType="end"/>
      </w:r>
      <w:r w:rsidRPr="00D52239">
        <w:rPr>
          <w:vertAlign w:val="superscript"/>
        </w:rPr>
        <w:t xml:space="preserve"> </w:t>
      </w:r>
      <w:r w:rsidRPr="00D52239">
        <w:t>can be influenced by a variety of factors, including nutrition, physical activity, and obesity,</w:t>
      </w:r>
      <w:r w:rsidR="00352423" w:rsidRPr="00D52239">
        <w:fldChar w:fldCharType="begin"/>
      </w:r>
      <w:r w:rsidR="00A323E5">
        <w:instrText xml:space="preserve"> ADDIN ZOTERO_ITEM CSL_CITATION {"citationID":"hwKV66cb","properties":{"formattedCitation":"(8)","plainCitation":"(8)","noteIndex":0},"citationItems":[{"id":1181,"uris":["http://zotero.org/users/11760769/items/W5WFG3QL"],"itemData":{"id":1181,"type":"article-journal","abstract":"To date, studies have demonstrated the dynamic influence of exogenous environmental stimuli on multiple regions of the brain. This environmental influence positively and negatively impacts programs governing myelination, and acts on myelinating oligodendrocyte (OL) cells across the human lifespan. Developmentally, environmental manipulation of OL progenitor cells (OPCs) has profound effects on the establishment of functional cognitive, sensory, and motor programs. Furthermore, central nervous system (CNS) myelin remains an adaptive entity in adulthood, sensitive to environmentally induced structural changes. Here, we discuss the role of environmental stimuli on mechanisms governing programs of CNS myelination under normal and pathological conditions. Importantly, we highlight how these extrinsic cues can influence the intrinsic power of myelin plasticity to promote functional recovery.","container-title":"Trends in Neurosciences","DOI":"10.1016/j.tins.2017.06.009","ISSN":"1878-108X","issue":"9","journalAbbreviation":"Trends Neurosci","language":"eng","note":"PMID: 28844283\nPMCID: PMC5671205","page":"572-587","source":"PubMed","title":"All Wrapped Up: Environmental Effects on Myelination","title-short":"All Wrapped Up","volume":"40","author":[{"family":"Forbes","given":"Thomas A."},{"family":"Gallo","given":"Vittorio"}],"issued":{"date-parts":[["2017",9]]}}}],"schema":"https://github.com/citation-style-language/schema/raw/master/csl-citation.json"} </w:instrText>
      </w:r>
      <w:r w:rsidR="00352423" w:rsidRPr="00D52239">
        <w:fldChar w:fldCharType="separate"/>
      </w:r>
      <w:r w:rsidR="008A120B" w:rsidRPr="008A120B">
        <w:t>(8)</w:t>
      </w:r>
      <w:r w:rsidR="00352423" w:rsidRPr="00D52239">
        <w:fldChar w:fldCharType="end"/>
      </w:r>
      <w:r w:rsidRPr="00D52239">
        <w:t xml:space="preserve"> which supports the observed association between childhood obesity and poorer neurocognitive functioning.</w:t>
      </w:r>
      <w:r w:rsidR="00352423" w:rsidRPr="00D52239">
        <w:fldChar w:fldCharType="begin"/>
      </w:r>
      <w:r w:rsidR="00A323E5">
        <w:instrText xml:space="preserve"> ADDIN ZOTERO_ITEM CSL_CITATION {"citationID":"pyrU0y0w","properties":{"formattedCitation":"(9)","plainCitation":"(9)","noteIndex":0},"citationItems":[{"id":1205,"uris":["http://zotero.org/users/11760769/items/EN7SP8FZ"],"itemData":{"id":1205,"type":"article-journal","abstract":"Childhood obesity rates have risen dramatically over the past few decades. Although obesity has been linked to poorer neurocognitive functioning in adults, much less is known about this relationship in children and adolescents. Therefore, we conducted a systematic review to examine the relationship between obesity and obesity-related behaviors with neurocognitive functioning in youth. We reviewed articles from 1976 to 2013 using PsycInfo, PubMed, Medline and Google Scholar. Search terms included cognitive function, neurocognitive function/performance, executive function, impulsivity, self-regulation, effortful control, cognitive control, inhibition, delayed gratification, memory, attention, language, motor, visuo-spatial, academic achievement, obesity, overweight, body mass index, waist-hip ratio, adiposity and body fat. Articles were excluded if participants had health problems known to affect cognitive functioning, the study used imaging as the only outcome measure, they were non-peer-reviewed dissertations, theses, review papers, commentaries, or they were non-English articles. Sixty-seven studies met inclusion criteria for this review. Overall, we found data that support a negative relationship between obesity and various aspects of neurocognitive functioning, such as executive functioning, attention, visuo-spatial performance, and motor skill. The existing literature is mixed on the effects among obesity, general cognitive functioning, language, learning, memory, and academic achievement. Executive dysfunction is associated with obesity-related behaviors, such as increased intake, disinhibited eating, and less physical activity. Physical activity is positively linked with motor skill. More longitudinal research is needed to determine the directionality of such relationships, to point towards crucial intervention time periods in the development of children, and to inform effective treatment programs.","container-title":"International Journal of Obesity (2005)","DOI":"10.1038/ijo.2013.142","ISSN":"1476-5497","issue":"4","journalAbbreviation":"Int J Obes (Lond)","language":"eng","note":"PMID: 23913029\nPMCID: PMC4456183","page":"494-506","source":"PubMed","title":"Neurocognitive correlates of obesity and obesity-related behaviors in children and adolescents","volume":"38","author":[{"family":"Liang","given":"J."},{"family":"Matheson","given":"B. E."},{"family":"Kaye","given":"W. H."},{"family":"Boutelle","given":"K. N."}],"issued":{"date-parts":[["2014",4]]}}}],"schema":"https://github.com/citation-style-language/schema/raw/master/csl-citation.json"} </w:instrText>
      </w:r>
      <w:r w:rsidR="00352423" w:rsidRPr="00D52239">
        <w:fldChar w:fldCharType="separate"/>
      </w:r>
      <w:r w:rsidR="008A120B" w:rsidRPr="008A120B">
        <w:t>(9)</w:t>
      </w:r>
      <w:r w:rsidR="00352423" w:rsidRPr="00D52239">
        <w:fldChar w:fldCharType="end"/>
      </w:r>
      <w:r w:rsidRPr="00D52239">
        <w:t xml:space="preserve"> In particular, the inhibitory role of obesity in myelination may contribute to its association with cognitive development and educational outcomes.</w:t>
      </w:r>
      <w:r w:rsidR="00352423" w:rsidRPr="00D52239">
        <w:fldChar w:fldCharType="begin"/>
      </w:r>
      <w:r w:rsidR="00A323E5">
        <w:instrText xml:space="preserve"> ADDIN ZOTERO_ITEM CSL_CITATION {"citationID":"9EMq40k7","properties":{"formattedCitation":"(10,11)","plainCitation":"(10,11)","noteIndex":0},"citationItems":[{"id":857,"uris":["http://zotero.org/users/11760769/items/A8QCPHLF"],"itemData":{"id":857,"type":"article-journal","abstract":"Abstract\n            Obese children tend to perform worse academically than normal</w:instrText>
      </w:r>
      <w:r w:rsidR="00A323E5">
        <w:rPr>
          <w:rFonts w:ascii="Cambria Math" w:hAnsi="Cambria Math" w:cs="Cambria Math"/>
        </w:rPr>
        <w:instrText>‐</w:instrText>
      </w:r>
      <w:r w:rsidR="00A323E5">
        <w:instrText>weight children. If poor cognitive achievement is truly a consequence of childhood obesity, this relationship has significant policy implications. Therefore, an important question is to what extent can this correlation be explained by other factors that jointly determine obesity and cognitive achievement in childhood? To answer this question, we exploit a rich longitudinal dataset of Australian children, which is linked to national assessments in math and literacy. Using a range of estimators, we find that obesity and body mass index are negatively related to cognitive achievement for boys but not girls. This effect cannot be explained by sociodemographic factors, past cognitive achievement or unobserved time</w:instrText>
      </w:r>
      <w:r w:rsidR="00A323E5">
        <w:rPr>
          <w:rFonts w:ascii="Cambria Math" w:hAnsi="Cambria Math" w:cs="Cambria Math"/>
        </w:rPr>
        <w:instrText>‐</w:instrText>
      </w:r>
      <w:r w:rsidR="00A323E5">
        <w:instrText>invariant characteristics and is robust to different measures of adiposity. Given the enormous importance of early human capital development for future well</w:instrText>
      </w:r>
      <w:r w:rsidR="00A323E5">
        <w:rPr>
          <w:rFonts w:ascii="Cambria Math" w:hAnsi="Cambria Math" w:cs="Cambria Math"/>
        </w:rPr>
        <w:instrText>‐</w:instrText>
      </w:r>
      <w:r w:rsidR="00A323E5">
        <w:instrText xml:space="preserve">being and prosperity, this negative effect for boys is concerning and warrants further investigation. Copyright © 2015 John Wiley &amp; Sons, Ltd.","container-title":"Health Economics","DOI":"10.1002/hec.3211","ISSN":"1057-9230, 1099-1050","issue":"9","journalAbbreviation":"Health Economics","language":"en","page":"1082-1100","source":"DOI.org (Crossref)","title":"Childhood Obesity and Cognitive Achievement","volume":"24","author":[{"family":"Black","given":"Nicole"},{"family":"Johnston","given":"David W."},{"family":"Peeters","given":"Anna"}],"issued":{"date-parts":[["2015",9]]}}},{"id":860,"uris":["http://zotero.org/users/11760769/items/GJAZAQJW"],"itemData":{"id":860,"type":"article-journal","abstract":"OBJECTIVE: Whether obesity is associated with childhood cognition is unknown. Given the sensitivity of the developing brain to environmental factors, this study examined whether early-life weight status was associated with children's cognition.\nMETHODS: Using data from mother-child pairs enrolled in the Health Outcomes and Measures of the Environment (HOME) Study (2003-2006), children's early-life weight status was assessed using weight-for-length/height standard deviation (SD) scores. A battery of neuropsychological tests was administered to assess cognition, executive function, and visual-spatial abilities at ages 5 and 8 years. Using linear mixed models, associations between early-life weight status and cognition were estimated.\nRESULTS: Among 233 children, 167 were lean (≤1 SD) and 48 were nonlean (&gt;1 SD). After covariate adjustment, the results suggest that full-scale intelligence quotient scores decreased with a 1-unit increase in weight-for-height SD score (β = -1.4, 95% CI: -3.0 to 0.1). For individual component scores, with a 1-unit increase in weight-for-height SD score, perceptual reasoning (β = -1.7, 95% CI: -3.3 to 0.0) and working memory (β: -2.4, CI: -4.4 to -0.4) scores decreased. Weight status was generally not associated with other cognition measures.\nCONCLUSIONS: Within this cohort of typically developing children, early-life weight status was inversely associated with children's perceptual reasoning and working memory scores and possibly with full-scale intelligent quotient scores.","container-title":"Obesity (Silver Spring, Md.)","DOI":"10.1002/oby.22192","ISSN":"1930-739X","issue":"6","journalAbbreviation":"Obesity (Silver Spring)","language":"eng","note":"PMID: 29797555\nPMCID: PMC5975980","page":"1088-1095","source":"PubMed","title":"Impact of Early-Life Weight Status on Cognitive Abilities in Children","volume":"26","author":[{"family":"Li","given":"Nan"},{"family":"Yolton","given":"Kimberly"},{"family":"Lanphear","given":"Bruce P."},{"family":"Chen","given":"Aimin"},{"family":"Kalkwarf","given":"Heidi J."},{"family":"Braun","given":"Joseph M."}],"issued":{"date-parts":[["2018",6]]}}}],"schema":"https://github.com/citation-style-language/schema/raw/master/csl-citation.json"} </w:instrText>
      </w:r>
      <w:r w:rsidR="00352423" w:rsidRPr="00D52239">
        <w:fldChar w:fldCharType="separate"/>
      </w:r>
      <w:r w:rsidR="008A120B" w:rsidRPr="008A120B">
        <w:t>(10,11)</w:t>
      </w:r>
      <w:r w:rsidR="00352423" w:rsidRPr="00D52239">
        <w:fldChar w:fldCharType="end"/>
      </w:r>
      <w:r w:rsidRPr="00D52239">
        <w:t xml:space="preserve"> Since obesity and language development are both heavily socially patterned,</w:t>
      </w:r>
      <w:r w:rsidR="00352423" w:rsidRPr="00D52239">
        <w:fldChar w:fldCharType="begin"/>
      </w:r>
      <w:r w:rsidR="00A323E5">
        <w:instrText xml:space="preserve"> ADDIN ZOTERO_ITEM CSL_CITATION {"citationID":"zhfO1C6N","properties":{"formattedCitation":"(12,13)","plainCitation":"(12,13)","noteIndex":0},"citationItems":[{"id":856,"uris":["http://zotero.org/users/11760769/items/FZLJPIJN"],"itemData":{"id":856,"type":"article-journal","abstract":"PURPOSE OF REVIEW: To explore the sequence and interaction of infancy and early childhood risk factors, particularly relating to disturbances in the social environment, and how the consequences of such exposures can promote weight gain and obesity.\nRECENT FINDINGS: This review will argue that socioeconomic adversity is a key upstream catalyst that sets the stage for critical midstream risk factors such as family strain and dysfunction, offspring insecurity, stress, emotional turmoil, low self-esteem, and poor mental health. These midstream risk factors, particularly stress and emotional turmoil, create a more or less perfect foil for calorie-dense junk food self-medication and subtle addiction, to alleviate uncomfortable psychological and emotional states. Disturbances in the social environment during infancy and early childhood appear to play a critical role in weight gain and obesity, through such mechanisms as insecurity, stress, and emotional turmoil, eventually leading to junk food self-medication and subtle addiction.","container-title":"Current Obesity Reports","DOI":"10.1007/s13679-018-0310-2","ISSN":"2162-4968","issue":"2","journalAbbreviation":"Curr Obes Rep","language":"eng","note":"PMID: 29704182\nPMCID: PMC5958160","page":"204-209","source":"PubMed","title":"Early Childhood Obesity Risk Factors: Socioeconomic Adversity, Family Dysfunction, Offspring Distress, and Junk Food Self-Medication","title-short":"Early Childhood Obesity Risk Factors","volume":"7","author":[{"family":"Hemmingsson","given":"Erik"}],"issued":{"date-parts":[["2018",6]]}}},{"id":1206,"uris":["http://zotero.org/users/11760769/items/GLXB9FGM"],"itemData":{"id":1206,"type":"article-journal","container-title":"Nature Neuroscience","DOI":"10.1038/nn.3983","ISSN":"1097-6256, 1546-1726","issue":"5","journalAbbreviation":"Nat Neurosci","language":"en","page":"773-778","source":"DOI.org (Crossref)","title":"Family income, parental education and brain structure in children and adolescents","volume":"18","author":[{"family":"Noble","given":"Kimberly G"},{"family":"Houston","given":"Suzanne M"},{"family":"Brito","given":"Natalie H"},{"family":"Bartsch","given":"Hauke"},{"family":"Kan","given":"Eric"},{"family":"Kuperman","given":"Joshua M"},{"family":"Akshoomoff","given":"Natacha"},{"family":"Amaral","given":"David G"},{"family":"Bloss","given":"Cinnamon S"},{"family":"Libiger","given":"Ondrej"},{"family":"Schork","given":"Nicholas J"},{"family":"Murray","given":"Sarah S"},{"family":"Casey","given":"B J"},{"family":"Chang","given":"Linda"},{"family":"Ernst","given":"Thomas M"},{"family":"Frazier","given":"Jean A"},{"family":"Gruen","given":"Jeffrey R"},{"family":"Kennedy","given":"David N"},{"family":"Van Zijl","given":"Peter"},{"family":"Mostofsky","given":"Stewart"},{"family":"Kaufmann","given":"Walter E"},{"family":"Kenet","given":"Tal"},{"family":"Dale","given":"Anders M"},{"family":"Jernigan","given":"Terry L"},{"family":"Sowell","given":"Elizabeth R"}],"issued":{"date-parts":[["2015",5]]}}}],"schema":"https://github.com/citation-style-language/schema/raw/master/csl-citation.json"} </w:instrText>
      </w:r>
      <w:r w:rsidR="00352423" w:rsidRPr="00D52239">
        <w:fldChar w:fldCharType="separate"/>
      </w:r>
      <w:r w:rsidR="008A120B" w:rsidRPr="008A120B">
        <w:t>(12,13)</w:t>
      </w:r>
      <w:r w:rsidR="00352423" w:rsidRPr="00D52239">
        <w:fldChar w:fldCharType="end"/>
      </w:r>
      <w:r w:rsidRPr="00D52239">
        <w:t xml:space="preserve"> early obesity management may be a modifiable pathway to mitigate early language disparities. However, shared socio-environmental factors render the effects of obesity difficult to study. In contrast, recent studies using genetically predicted body mass index (BMI) have shown promise in understanding the interplay between environmentally and genetically influenced obesity and the causal effects of long-term exposure to obesity by mitigating environmental confounding compared to conventional observational studies.</w:t>
      </w:r>
      <w:r w:rsidR="00352423" w:rsidRPr="00D52239">
        <w:fldChar w:fldCharType="begin"/>
      </w:r>
      <w:r w:rsidR="00A323E5">
        <w:instrText xml:space="preserve"> ADDIN ZOTERO_ITEM CSL_CITATION {"citationID":"UpfEV3FP","properties":{"formattedCitation":"(14)","plainCitation":"(14)","noteIndex":0},"citationItems":[{"id":850,"uris":["http://zotero.org/users/11760769/items/HY7HLDRD"],"itemData":{"id":850,"type":"article-journal","container-title":"eClinicalMedicine","DOI":"10.1016/j.eclinm.2023.101943","ISSN":"25895370","journalAbbreviation":"eClinicalMedicine","language":"en","page":"101943","source":"DOI.org (Crossref)","title":"Genetically and environmentally predicted obesity in relation to cardiovascular disease: a nationwide cohort study","title-short":"Genetically and environmentally predicted obesity in relation to cardiovascular disease","volume":"58","author":[{"family":"Ojalehto","given":"Elsa"},{"family":"Zhan","given":"Yiqiang"},{"family":"Jylhävä","given":"Juulia"},{"family":"Reynolds","given":"Chandra A."},{"family":"Dahl Aslan","given":"Anna K."},{"family":"Karlsson","given":"Ida K."}],"issued":{"date-parts":[["2023",4]]}}}],"schema":"https://github.com/citation-style-language/schema/raw/master/csl-citation.json"} </w:instrText>
      </w:r>
      <w:r w:rsidR="00352423" w:rsidRPr="00D52239">
        <w:fldChar w:fldCharType="separate"/>
      </w:r>
      <w:r w:rsidR="008A120B" w:rsidRPr="008A120B">
        <w:t>(14)</w:t>
      </w:r>
      <w:r w:rsidR="00352423" w:rsidRPr="00D52239">
        <w:fldChar w:fldCharType="end"/>
      </w:r>
      <w:r w:rsidRPr="00D52239">
        <w:t xml:space="preserve"> </w:t>
      </w:r>
    </w:p>
    <w:p w14:paraId="2E50BD7B" w14:textId="3FA15204" w:rsidR="00E719FC" w:rsidRDefault="009D5A15">
      <w:pPr>
        <w:spacing w:after="200"/>
      </w:pPr>
      <w:r>
        <w:t>In this study</w:t>
      </w:r>
      <w:r w:rsidRPr="00D52239">
        <w:t>, we leverage</w:t>
      </w:r>
      <w:r w:rsidR="004E3FB0">
        <w:t>d</w:t>
      </w:r>
      <w:r w:rsidRPr="00D52239">
        <w:t xml:space="preserve"> </w:t>
      </w:r>
      <w:r>
        <w:t xml:space="preserve">genetic discovery from </w:t>
      </w:r>
      <w:r w:rsidR="00BC5CCD">
        <w:t xml:space="preserve">large </w:t>
      </w:r>
      <w:r w:rsidRPr="00D52239">
        <w:t>genome-wide association studies (GWAS)</w:t>
      </w:r>
      <w:r>
        <w:t xml:space="preserve"> and t</w:t>
      </w:r>
      <w:r w:rsidRPr="00D52239">
        <w:t>he deep phenotyping and longitudinal design of the Growing Up in Singapore Towards healthy Outcomes (GUSTO) cohort</w:t>
      </w:r>
      <w:r w:rsidRPr="00DD3934">
        <w:t xml:space="preserve"> </w:t>
      </w:r>
      <w:r>
        <w:t xml:space="preserve">for </w:t>
      </w:r>
      <w:r w:rsidRPr="00D52239">
        <w:t>a comprehensive investigation of the potential mechanisms underlying the relationship between childhood obesity and language development through a triangulation method</w:t>
      </w:r>
      <w:r>
        <w:t xml:space="preserve">. Genetic correlations were observed between childhood obesity-related traits and language-related skills using summary-level data. </w:t>
      </w:r>
      <w:r w:rsidRPr="00D52239">
        <w:t>We</w:t>
      </w:r>
      <w:r>
        <w:t xml:space="preserve"> further</w:t>
      </w:r>
      <w:r w:rsidRPr="00D52239">
        <w:t xml:space="preserve"> incorporated extensive molecular and neuroimaging phenotyping in primary-aged children with cutting-edge analytic methods</w:t>
      </w:r>
      <w:r>
        <w:t xml:space="preserve"> in the GUSTO cohort</w:t>
      </w:r>
      <w:r w:rsidRPr="00D52239">
        <w:t xml:space="preserve">. </w:t>
      </w:r>
      <w:r w:rsidR="007C7450" w:rsidRPr="00D52239">
        <w:t>Specifically, we constructed a trans-ancestry polygenic risk score (PRS) integrating genetic architecture knowledge from GWAS</w:t>
      </w:r>
      <w:r w:rsidR="00DD3934">
        <w:t xml:space="preserve"> </w:t>
      </w:r>
      <w:r w:rsidR="007C7450" w:rsidRPr="00D52239">
        <w:t>of BMI in both European and Asian populations.</w:t>
      </w:r>
      <w:r w:rsidR="00352423" w:rsidRPr="00D52239">
        <w:fldChar w:fldCharType="begin"/>
      </w:r>
      <w:r w:rsidR="00A323E5">
        <w:instrText xml:space="preserve"> ADDIN ZOTERO_ITEM CSL_CITATION {"citationID":"1RyHQOTw","properties":{"formattedCitation":"(15)","plainCitation":"(15)","noteIndex":0},"citationItems":[{"id":83,"uris":["http://zotero.org/users/11760769/items/CK5M24F6"],"itemData":{"id":83,"type":"article-journal","container-title":"Nature Genetics","DOI":"10.1038/s41588-022-01054-7","ISSN":"1061-4036, 1546-1718","issue":"5","journalAbbreviation":"Nat Genet","language":"en","page":"573-580","source":"DOI.org (Crossref)","title":"Improving polygenic prediction in ancestrally diverse populations","volume":"54","author":[{"family":"Ruan","given":"Yunfeng"},{"family":"Lin","given":"Yen-Feng"},{"family":"Feng","given":"Yen-Chen Anne"},{"family":"Chen","given":"Chia-Yen"},{"family":"Lam","given":"Max"},{"family":"Guo","given":"Zhenglin"},{"literal":"Stanley Global Asia Initiatives"},{"family":"Ahn","given":"Yong Min"},{"family":"Akiyama","given":"Kazufumi"},{"family":"Arai","given":"Makoto"},{"family":"Baek","given":"Ji Hyun"},{"family":"Chen","given":"Wei J."},{"family":"Chung","given":"Young-Chul"},{"family":"Feng","given":"Gang"},{"family":"Fujii","given":"Kumiko"},{"family":"Glatt","given":"Stephen J."},{"family":"Ha","given":"Kyooseob"},{"family":"Hattori","given":"Kotaro"},{"family":"Higuchi","given":"Teruhiko"},{"family":"Hishimoto","given":"Akitoyo"},{"family":"Hong","given":"Kyung Sue"},{"family":"Horiuchi","given":"Yasue"},{"family":"Hwu","given":"Hai-Gwo"},{"family":"Ikeda","given":"Masashi"},{"family":"Ishiwata","given":"Sayuri"},{"family":"Itokawa","given":"Masanari"},{"family":"Iwata","given":"Nakao"},{"family":"Joo","given":"Eun-Jeong"},{"family":"Kahn","given":"Rene S."},{"family":"Kim","given":"Sung-Wan"},{"family":"Kim","given":"Se Joo"},{"family":"Kim","given":"Se Hyun"},{"family":"Kinoshita","given":"Makoto"},{"family":"Kunugi","given":"Hiroshi"},{"family":"Kusumawardhani","given":"Agung"},{"family":"Lee","given":"Jimmy"},{"family":"Lee","given":"Byung Dae"},{"family":"Lee","given":"Heon-Jeong"},{"family":"Liu","given":"Jianjun"},{"family":"Liu","given":"Ruize"},{"family":"Ma","given":"Xiancang"},{"family":"Myung","given":"Woojae"},{"family":"Numata","given":"Shusuke"},{"family":"Ohmori","given":"Tetsuro"},{"family":"Otsuka","given":"Ikuo"},{"family":"Ozeki","given":"Yuji"},{"family":"Schwab","given":"Sibylle G."},{"family":"Shi","given":"Wenzhao"},{"family":"Shimoda","given":"Kazutaka"},{"family":"Sim","given":"Kang"},{"family":"Sora","given":"Ichiro"},{"family":"Tang","given":"Jinsong"},{"family":"Toyota","given":"Tomoko"},{"family":"Tsuang","given":"Ming"},{"family":"Wildenauer","given":"Dieter B."},{"family":"Won","given":"Hong-Hee"},{"family":"Yoshikawa","given":"Takeo"},{"family":"Zheng","given":"Alice"},{"family":"Zhu","given":"Feng"},{"family":"He","given":"Lin"},{"family":"Sawa","given":"Akira"},{"family":"Martin","given":"Alicia R."},{"family":"Qin","given":"Shengying"},{"family":"Huang","given":"Hailiang"},{"family":"Ge","given":"Tian"}],"issued":{"date-parts":[["2022",5]]}}}],"schema":"https://github.com/citation-style-language/schema/raw/master/csl-citation.json"} </w:instrText>
      </w:r>
      <w:r w:rsidR="00352423" w:rsidRPr="00D52239">
        <w:fldChar w:fldCharType="separate"/>
      </w:r>
      <w:r w:rsidR="008A120B" w:rsidRPr="008A120B">
        <w:t>(15)</w:t>
      </w:r>
      <w:r w:rsidR="00352423" w:rsidRPr="00D52239">
        <w:fldChar w:fldCharType="end"/>
      </w:r>
      <w:r w:rsidR="007C7450" w:rsidRPr="00D52239">
        <w:t xml:space="preserve"> Utilising this PRS, we were able to interrogate the unconfounded effects of genetically-predicted obesity on language ability at ages 4 and 9 years, magnetic resonance imaging (MRI)-based white matter microstructure at 7.5 years, and neurology-related proteomics at 8 years. </w:t>
      </w:r>
      <w:r w:rsidR="00457DD1" w:rsidRPr="00D52239">
        <w:t xml:space="preserve">We found that genetic predisposition to obesity, as indicated by the PRS, was associated with lower language scores. </w:t>
      </w:r>
      <w:r w:rsidR="00457DD1">
        <w:t xml:space="preserve">However, causality was not established based on either one-sample or two-sample </w:t>
      </w:r>
      <w:r w:rsidR="00457DD1" w:rsidRPr="00D52239">
        <w:t>Mendelian randomisation (MR)</w:t>
      </w:r>
      <w:r w:rsidR="00457DD1">
        <w:t xml:space="preserve">. </w:t>
      </w:r>
      <w:r w:rsidR="00AA7387">
        <w:t>Nevertheless, t</w:t>
      </w:r>
      <w:r w:rsidR="007C7450" w:rsidRPr="00D52239">
        <w:t>o offer biological insight into language development, our investigation in the GUSTO children extended to examining the involvement of neurology-related proteins and fractional anisotropy (FA) of language-related white matter tracts, which are rarely studied in children. Specifically, we adopted a Bayesian framework and accounted for protein</w:t>
      </w:r>
      <w:r w:rsidR="00801832">
        <w:t>-</w:t>
      </w:r>
      <w:r w:rsidR="007C7450" w:rsidRPr="00D52239">
        <w:t xml:space="preserve">protein interactions to identify proteins relevant to language development and examine if common neurology-related proteins contribute to the link between genetic predisposition to obesity and language development. The associations between candidate proteins in plasma and FA were investigated to shed light on the </w:t>
      </w:r>
      <w:r w:rsidR="007C7450" w:rsidRPr="00D52239">
        <w:lastRenderedPageBreak/>
        <w:t xml:space="preserve">potential role of myelination. </w:t>
      </w:r>
      <w:r w:rsidR="000A24E2">
        <w:t xml:space="preserve">Mediation analysis was </w:t>
      </w:r>
      <w:r w:rsidR="004C7EA2">
        <w:t xml:space="preserve">conducted to assess the potential mediating mechanisms underlying the effect of polygenic risk for obesity on language development via candidate proteins. </w:t>
      </w:r>
      <w:r w:rsidR="007C7450" w:rsidRPr="00D52239">
        <w:t>To further elucidate the role of a candidate protein, ephrin-A4 (EFNA4), we constructed pathway- and brain-region-specific expression-based PRS (ePRS) focusing on the EPH-Ephrin signalling pathway.</w:t>
      </w:r>
      <w:r w:rsidR="00352423" w:rsidRPr="00D52239">
        <w:fldChar w:fldCharType="begin"/>
      </w:r>
      <w:r w:rsidR="00A323E5">
        <w:instrText xml:space="preserve"> ADDIN ZOTERO_ITEM CSL_CITATION {"citationID":"9U3FTu0D","properties":{"formattedCitation":"(16)","plainCitation":"(16)","noteIndex":0},"citationItems":[{"id":1197,"uris":["http://zotero.org/users/11760769/items/53ZWXY89"],"itemData":{"id":1197,"type":"article-journal","abstract":"BACKGROUND: Activation of brain insulin receptors modulates reward sensitivity, inhibitory control and memory. Variations in the functioning of this mechanism likely associate with individual differences in the risk for related mental disorders (attention deficit hyperactivity disorder or ADHD, addiction, dementia), in agreement with the high co-morbidity between insulin resistance and psychopathology. These neurobiological mechanisms can be explored using genetic studies. We propose a novel, biologically informed genetic score reflecting the mesocorticolimbic and hippocampal insulin receptor-related gene networks, and investigate if it predicts endophenotypes (impulsivity, cognitive ability) in community samples of children, and psychopathology (addiction, dementia) in adults.\nMETHODS: Lists of genes co-expressed with the insulin receptor in the mesocorticolimbic system or hippocampus were created. SNPs from these genes (post-clumping) were compiled in a polygenic score using the association betas described in a conventional GWAS (ADHD in the mesocorticolimbic score and Alzheimer in the hippocampal score). Across multiple samples (n = 4502), the biologically informed, mesocorticolimbic or hippocampal specific insulin receptor polygenic scores were calculated, and their ability to predict impulsivity, risk for addiction, cognitive performance and presence of Alzheimer's disease was investigated.\nFINDINGS: The biologically-informed ePRS-IR score showed better prediction of child impulsivity and cognitive performance, as well as risk for addiction and Alzheimer's disease in comparison to conventional polygenic scores for ADHD, addiction and dementia.\nINTERPRETATION: This novel, biologically-informed approach enables the use of genomic datasets to probe relevant biological processes involved in neural function and disorders. FUND: Toxic Stress Research network of the JPB Foundation, Jacobs Foundation (Switzerland), Sackler Foundation.","container-title":"EBioMedicine","DOI":"10.1016/j.ebiom.2019.03.051","ISSN":"2352-3964","journalAbbreviation":"EBioMedicine","language":"eng","note":"PMID: 30922963\nPMCID: PMC6491717","page":"188-202","source":"PubMed","title":"A biologically-informed polygenic score identifies endophenotypes and clinical conditions associated with the insulin receptor function on specific brain regions","volume":"42","author":[{"family":"Hari Dass","given":"Shantala A."},{"family":"McCracken","given":"Kathryn"},{"family":"Pokhvisneva","given":"Irina"},{"family":"Chen","given":"Lawrence M."},{"family":"Garg","given":"Elika"},{"family":"Nguyen","given":"Thao T. T."},{"family":"Wang","given":"Zihan"},{"family":"Barth","given":"Barbara"},{"family":"Yaqubi","given":"Moein"},{"family":"McEwen","given":"Lisa M."},{"family":"MacIsaac","given":"Julie L."},{"family":"Diorio","given":"Josie"},{"family":"Kobor","given":"Michael S."},{"family":"O'Donnell","given":"Kieran J."},{"family":"Meaney","given":"Michael J."},{"family":"Silveira","given":"Patricia P."}],"issued":{"date-parts":[["2019",4]]}}}],"schema":"https://github.com/citation-style-language/schema/raw/master/csl-citation.json"} </w:instrText>
      </w:r>
      <w:r w:rsidR="00352423" w:rsidRPr="00D52239">
        <w:fldChar w:fldCharType="separate"/>
      </w:r>
      <w:r w:rsidR="008A120B" w:rsidRPr="008A120B">
        <w:t>(16)</w:t>
      </w:r>
      <w:r w:rsidR="00352423" w:rsidRPr="00D52239">
        <w:fldChar w:fldCharType="end"/>
      </w:r>
      <w:r w:rsidR="007C7450" w:rsidRPr="00D52239">
        <w:t xml:space="preserve"> </w:t>
      </w:r>
      <w:r w:rsidR="007C7450" w:rsidRPr="00D52239">
        <w:rPr>
          <w:b/>
        </w:rPr>
        <w:t>Figure 1</w:t>
      </w:r>
      <w:r w:rsidR="007C7450" w:rsidRPr="00D52239">
        <w:t xml:space="preserve"> shows the overarching framework of this study.</w:t>
      </w:r>
    </w:p>
    <w:p w14:paraId="2E50BD7C" w14:textId="77777777" w:rsidR="00E719FC" w:rsidRDefault="007C7450">
      <w:pPr>
        <w:pStyle w:val="Heading1"/>
        <w:spacing w:after="200"/>
      </w:pPr>
      <w:bookmarkStart w:id="3" w:name="_d9y80wey89jk" w:colFirst="0" w:colLast="0"/>
      <w:bookmarkEnd w:id="3"/>
      <w:r w:rsidRPr="00D52239">
        <w:t>Methods</w:t>
      </w:r>
    </w:p>
    <w:p w14:paraId="1BD25D07" w14:textId="3F8F1192" w:rsidR="00B25D42" w:rsidRDefault="00FA1F93" w:rsidP="00B25D42">
      <w:pPr>
        <w:pStyle w:val="Heading2"/>
        <w:spacing w:after="200"/>
      </w:pPr>
      <w:r>
        <w:t>GWAS s</w:t>
      </w:r>
      <w:r w:rsidR="00B25D42" w:rsidRPr="005A78AE">
        <w:t>ummary-level data</w:t>
      </w:r>
    </w:p>
    <w:p w14:paraId="0D0C10B6" w14:textId="5373BD2A" w:rsidR="005A78AE" w:rsidRPr="005A78AE" w:rsidRDefault="00DF05CA" w:rsidP="005A78AE">
      <w:r w:rsidRPr="00D52239">
        <w:t>We obtained the genetic associations of childhood BMI and obesity from GWAS meta-analyses led by the Early Growth Genetics (EGG) Consortium (childhood BMI: N=39,620, aged 2 to 10 years; childhood obesity: N</w:t>
      </w:r>
      <w:r w:rsidRPr="00D52239">
        <w:rPr>
          <w:vertAlign w:val="subscript"/>
        </w:rPr>
        <w:t>case</w:t>
      </w:r>
      <w:r w:rsidRPr="00D52239">
        <w:t>=8,613, N</w:t>
      </w:r>
      <w:r w:rsidRPr="00D52239">
        <w:rPr>
          <w:vertAlign w:val="subscript"/>
        </w:rPr>
        <w:t>control</w:t>
      </w:r>
      <w:r w:rsidRPr="00D52239">
        <w:t>=12,696, aged 2 to 19 years).</w:t>
      </w:r>
      <w:r w:rsidRPr="00D52239">
        <w:fldChar w:fldCharType="begin"/>
      </w:r>
      <w:r w:rsidR="00A323E5">
        <w:instrText xml:space="preserve"> ADDIN ZOTERO_ITEM CSL_CITATION {"citationID":"NiY4TQCT","properties":{"formattedCitation":"(17,18)","plainCitation":"(17,18)","noteIndex":0},"citationItems":[{"id":648,"uris":["http://zotero.org/users/11760769/items/7EN5XF5D"],"itemData":{"id":648,"type":"article-journal","container-title":"PLOS Genetics","DOI":"10.1371/journal.pgen.1008718","ISSN":"1553-7404","issue":"10","journalAbbreviation":"PLoS Genet","language":"en","page":"e1008718","source":"DOI.org (Crossref)","title":"Novel loci for childhood body mass index and shared heritability with adult cardiometabolic traits","volume":"16","author":[{"family":"Vogelezang","given":"Suzanne"},{"family":"Bradfield","given":"Jonathan P."},{"family":"Ahluwalia","given":"Tarunveer S."},{"family":"Curtin","given":"John A."},{"family":"Lakka","given":"Timo A."},{"family":"Grarup","given":"Niels"},{"family":"Scholz","given":"Markus"},{"family":"Van Der Most","given":"Peter J."},{"family":"Monnereau","given":"Claire"},{"family":"Stergiakouli","given":"Evie"},{"family":"Heiskala","given":"Anni"},{"family":"Horikoshi","given":"Momoko"},{"family":"Fedko","given":"Iryna O."},{"family":"Vilor-Tejedor","given":"Natalia"},{"family":"Cousminer","given":"Diana L."},{"family":"Standl","given":"Marie"},{"family":"Wang","given":"Carol A."},{"family":"Viikari","given":"Jorma"},{"family":"Geller","given":"Frank"},{"family":"Íñiguez","given":"Carmen"},{"family":"Pitkänen","given":"Niina"},{"family":"Chesi","given":"Alessandra"},{"family":"Bacelis","given":"Jonas"},{"family":"Yengo","given":"Loic"},{"family":"Torrent","given":"Maties"},{"family":"Ntalla","given":"Ioanna"},{"family":"Helgeland","given":"Øyvind"},{"family":"Selzam","given":"Saskia"},{"family":"Vonk","given":"Judith M."},{"family":"Zafarmand","given":"Mohammed H."},{"family":"Heude","given":"Barbara"},{"family":"Farooqi","given":"Ismaa Sadaf"},{"family":"Alyass","given":"Akram"},{"family":"Beaumont","given":"Robin N."},{"family":"Have","given":"Christian T."},{"family":"Rzehak","given":"Peter"},{"family":"Bilbao","given":"Jose Ramon"},{"family":"Schnurr","given":"Theresia M."},{"family":"Barroso","given":"Inês"},{"family":"Bønnelykke","given":"Klaus"},{"family":"Beilin","given":"Lawrence J."},{"family":"Carstensen","given":"Lisbeth"},{"family":"Charles","given":"Marie-Aline"},{"family":"Chawes","given":"Bo"},{"family":"Clément","given":"Karine"},{"family":"Closa-Monasterolo","given":"Ricardo"},{"family":"Custovic","given":"Adnan"},{"family":"Eriksson","given":"Johan G."},{"family":"Escribano","given":"Joaquin"},{"family":"Groen-Blokhuis","given":"Maria"},{"family":"Grote","given":"Veit"},{"family":"Gruszfeld","given":"Dariusz"},{"family":"Hakonarson","given":"Hakon"},{"family":"Hansen","given":"Torben"},{"family":"Hattersley","given":"Andrew T."},{"family":"Hollensted","given":"Mette"},{"family":"Hottenga","given":"Jouke-Jan"},{"family":"Hyppönen","given":"Elina"},{"family":"Johansson","given":"Stefan"},{"family":"Joro","given":"Raimo"},{"family":"Kähönen","given":"Mika"},{"family":"Karhunen","given":"Ville"},{"family":"Kiess","given":"Wieland"},{"family":"Knight","given":"Bridget A."},{"family":"Koletzko","given":"Berthold"},{"family":"Kühnapfel","given":"Andreas"},{"family":"Landgraf","given":"Kathrin"},{"family":"Langhendries","given":"Jean-Paul"},{"family":"Lehtimäki","given":"Terho"},{"family":"Leinonen","given":"Jaakko T."},{"family":"Li","given":"Aihuali"},{"family":"Lindi","given":"Virpi"},{"family":"Lowry","given":"Estelle"},{"family":"Bustamante","given":"Mariona"},{"family":"Medina-Gomez","given":"Carolina"},{"family":"Melbye","given":"Mads"},{"family":"Michaelsen","given":"Kim F."},{"family":"Morgen","given":"Camilla S."},{"family":"Mori","given":"Trevor A."},{"family":"Nielsen","given":"Tenna R. H."},{"family":"Niinikoski","given":"Harri"},{"family":"Oldehinkel","given":"Albertine J."},{"family":"Pahkala","given":"Katja"},{"family":"Panoutsopoulou","given":"Kalliope"},{"family":"Pedersen","given":"Oluf"},{"family":"Pennell","given":"Craig E."},{"family":"Power","given":"Christine"},{"family":"Reijneveld","given":"Sijmen A."},{"family":"Rivadeneira","given":"Fernando"},{"family":"Simpson","given":"Angela"},{"family":"Sly","given":"Peter D."},{"family":"Stokholm","given":"Jakob"},{"family":"Teo","given":"Kook K."},{"family":"Thiering","given":"Elisabeth"},{"family":"Timpson","given":"Nicholas J."},{"family":"Uitterlinden","given":"André G."},{"family":"Van Beijsterveldt","given":"Catharina E. M."},{"family":"Van Schaik","given":"Barbera D. C."},{"family":"Vaudel","given":"Marc"},{"family":"Verduci","given":"Elvira"},{"family":"Vinding","given":"Rebecca K."},{"family":"Vogel","given":"Mandy"},{"family":"Zeggini","given":"Eleftheria"},{"family":"Sebert","given":"Sylvain"},{"family":"Lind","given":"Mads V."},{"family":"Brown","given":"Christopher D."},{"family":"Santa-Marina","given":"Loreto"},{"family":"Reischl","given":"Eva"},{"family":"Frithioff-Bøjsøe","given":"Christine"},{"family":"Meyre","given":"David"},{"family":"Wheeler","given":"Eleanor"},{"family":"Ong","given":"Ken"},{"family":"Nohr","given":"Ellen A."},{"family":"Vrijkotte","given":"Tanja G. M."},{"family":"Koppelman","given":"Gerard H."},{"family":"Plomin","given":"Robert"},{"family":"Njølstad","given":"Pål R."},{"family":"Dedoussis","given":"George D."},{"family":"Froguel","given":"Philippe"},{"family":"Sørensen","given":"Thorkild I. A."},{"family":"Jacobsson","given":"Bo"},{"family":"Freathy","given":"Rachel M."},{"family":"Zemel","given":"Babette S."},{"family":"Raitakari","given":"Olli"},{"family":"Vrijheid","given":"Martine"},{"family":"Feenstra","given":"Bjarke"},{"family":"Lyytikäinen","given":"Leo-Pekka"},{"family":"Snieder","given":"Harold"},{"family":"Kirsten","given":"Holger"},{"family":"Holt","given":"Patrick G."},{"family":"Heinrich","given":"Joachim"},{"family":"Widén","given":"Elisabeth"},{"family":"Sunyer","given":"Jordi"},{"family":"Boomsma","given":"Dorret I."},{"family":"Järvelin","given":"Marjo-Riitta"},{"family":"Körner","given":"Antje"},{"family":"Davey Smith","given":"George"},{"family":"Holm","given":"Jens-Christian"},{"family":"Atalay","given":"Mustafa"},{"family":"Murray","given":"Clare"},{"family":"Bisgaard","given":"Hans"},{"family":"McCarthy","given":"Mark I."},{"literal":"Early Growth Genetics Consortium"},{"family":"Jaddoe","given":"Vincent W. V."},{"family":"Grant","given":"Struan F. A."},{"family":"Felix","given":"Janine F."}],"editor":[{"family":"Copenhaver","given":"Gregory P."}],"issued":{"date-parts":[["2020",10,12]]}}},{"id":831,"uris":["http://zotero.org/users/11760769/items/ELCXX5VJ"],"itemData":{"id":831,"type":"article-journal","abstract":"Abstract\n            Although hundreds of genome-wide association studies-implicated loci have been reported for adult obesity-related traits, less is known about the genetics specific for early-onset obesity and with only a few studies conducted in non-European populations to date. Searching for additional genetic variants associated with childhood obesity, we performed a trans-ancestral meta-analysis of 30 studies consisting of up to 13 005 cases (≥95th percentile of body mass index (BMI) achieved 2–18 years old) and 15 599 controls (consistently &amp;lt;50th percentile of BMI) of European, African, North/South American and East Asian ancestry. Suggestive loci were taken forward for replication in a sample of 1888 cases and 4689 controls from seven cohorts of European and North/South American ancestry. In addition to observing 18 previously implicated BMI or obesity loci, for both early and late onset, we uncovered one completely novel locus in this trans-ancestral analysis (nearest gene, METTL15). The variant was nominally associated with only the European subgroup analysis but had a consistent direction of effect in other ethnicities. We then utilized trans-ancestral Bayesian analysis to narrow down the location of the probable causal variant at each genome-wide significant signal. Of all the fine-mapped loci, we were able to narrow down the causative variant at four known loci to fewer than 10 single nucleotide polymorphisms (SNPs) (FAIM2, GNPDA2, MC4R and SEC16B loci). In conclusion, an ethnically diverse setting has enabled us to both identify an additional pediatric obesity locus and further fine-map existing loci.","container-title":"Human Molecular Genetics","DOI":"10.1093/hmg/ddz161","ISSN":"0964-6906, 1460-2083","issue":"19","language":"en","page":"3327-3338","source":"DOI.org (Crossref)","title":"A trans-ancestral meta-analysis of genome-wide association studies reveals loci associated with childhood obesity","volume":"28","author":[{"family":"Bradfield","given":"Jonathan P"},{"family":"Vogelezang","given":"Suzanne"},{"family":"Felix","given":"Janine F"},{"family":"Chesi","given":"Alessandra"},{"family":"Helgeland","given":"Øyvind"},{"family":"Horikoshi","given":"Momoko"},{"family":"Karhunen","given":"Ville"},{"family":"Lowry","given":"Estelle"},{"family":"Cousminer","given":"Diana L"},{"family":"Ahluwalia","given":"Tarunveer S"},{"family":"Thiering","given":"Elisabeth"},{"family":"Boh","given":"Eileen Tai-Hui"},{"family":"Zafarmand","given":"Mohammad H"},{"family":"Vilor-Tejedor","given":"Natalia"},{"family":"Wang","given":"Carol A"},{"family":"Joro","given":"Raimo"},{"family":"Chen","given":"Zhanghua"},{"family":"Gauderman","given":"William J"},{"family":"Pitkänen","given":"Niina"},{"family":"Parra","given":"Esteban J"},{"family":"Fernandez-Rhodes","given":"Lindsay"},{"family":"Alyass","given":"Akram"},{"family":"Monnereau","given":"Claire"},{"family":"Curtin","given":"John A"},{"family":"Have","given":"Christian T"},{"family":"McCormack","given":"Shana E"},{"family":"Hollensted","given":"Mette"},{"family":"Frithioff-Bøjsøe","given":"Christine"},{"family":"Valladares-Salgado","given":"Adan"},{"family":"Peralta-Romero","given":"Jesus"},{"family":"Teo","given":"Yik-Ying"},{"family":"Standl","given":"Marie"},{"family":"Leinonen","given":"Jaakko T"},{"family":"Holm","given":"Jens-Christian"},{"family":"Peters","given":"Triinu"},{"family":"Vioque","given":"Jesus"},{"family":"Vrijheid","given":"Martine"},{"family":"Simpson","given":"Angela"},{"family":"Custovic","given":"Adnan"},{"family":"Vaudel","given":"Marc"},{"family":"Canouil","given":"Mickaël"},{"family":"Lindi","given":"Virpi"},{"family":"Atalay","given":"Mustafa"},{"family":"Kähönen","given":"Mika"},{"family":"Raitakari","given":"Olli T"},{"family":"Van Schaik","given":"Barbera D C"},{"family":"Berkowitz","given":"Robert I"},{"family":"Cole","given":"Shelley A"},{"family":"Voruganti","given":"V Saroja"},{"family":"Wang","given":"Yujie"},{"family":"Highland","given":"Heather M"},{"family":"Comuzzie","given":"Anthony G"},{"family":"Butte","given":"Nancy F"},{"family":"Justice","given":"Anne E"},{"family":"Gahagan","given":"Sheila"},{"family":"Blanco","given":"Estela"},{"family":"Lehtimäki","given":"Terho"},{"family":"Lakka","given":"Timo A"},{"family":"Hebebrand","given":"Johannes"},{"family":"Bonnefond","given":"Amélie"},{"family":"Grarup","given":"Niels"},{"family":"Froguel","given":"Philippe"},{"family":"Lyytikäinen","given":"Leo-Pekka"},{"family":"Cruz","given":"Miguel"},{"family":"Kobes","given":"Sayuko"},{"family":"Hanson","given":"Robert L"},{"family":"Zemel","given":"Babette S"},{"family":"Hinney","given":"Anke"},{"family":"Teo","given":"Koon K"},{"family":"Meyre","given":"David"},{"family":"North","given":"Kari E"},{"family":"Gilliland","given":"Frank D"},{"family":"Bisgaard","given":"Hans"},{"family":"Bustamante","given":"Mariona"},{"family":"Bonnelykke","given":"Klaus"},{"family":"Pennell","given":"Craig E"},{"family":"Rivadeneira","given":"Fernando"},{"family":"Uitterlinden","given":"André G"},{"family":"Baier","given":"Leslie J"},{"family":"Vrijkotte","given":"Tanja G M"},{"family":"Heinrich","given":"Joachim"},{"family":"Sørensen","given":"Thorkild I A"},{"family":"Saw","given":"Seang-Mei"},{"family":"Pedersen","given":"Oluf"},{"family":"Hansen","given":"Torben"},{"family":"Eriksson","given":"Johan"},{"family":"Widén","given":"Elisabeth"},{"family":"McCarthy","given":"Mark I"},{"family":"Njølstad","given":"Pål R"},{"family":"Power","given":"Christine"},{"family":"Hyppönen","given":"Elina"},{"family":"Sebert","given":"Sylvain"},{"family":"Brown","given":"Christopher D"},{"family":"Järvelin","given":"Marjo-Riitta"},{"family":"Timpson","given":"Nicholas J"},{"family":"Johansson","given":"Stefan"},{"family":"Hakonarson","given":"Hakon"},{"family":"Jaddoe","given":"Vincent W V"},{"literal":"Struan F A Grant for the Early Growth Genetics Consortium"}],"issued":{"date-parts":[["2019",10,1]]}}}],"schema":"https://github.com/citation-style-language/schema/raw/master/csl-citation.json"} </w:instrText>
      </w:r>
      <w:r w:rsidRPr="00D52239">
        <w:fldChar w:fldCharType="separate"/>
      </w:r>
      <w:r w:rsidR="008A120B" w:rsidRPr="008A120B">
        <w:t>(17,18)</w:t>
      </w:r>
      <w:r w:rsidRPr="00D52239">
        <w:fldChar w:fldCharType="end"/>
      </w:r>
      <w:r w:rsidRPr="00D52239">
        <w:rPr>
          <w:rFonts w:eastAsia="Arial Unicode MS"/>
        </w:rPr>
        <w:t xml:space="preserve"> Childhood obesity was defined as ≥95</w:t>
      </w:r>
      <w:r w:rsidRPr="00D52239">
        <w:rPr>
          <w:vertAlign w:val="superscript"/>
        </w:rPr>
        <w:t>th</w:t>
      </w:r>
      <w:r w:rsidRPr="00D52239">
        <w:t xml:space="preserve"> percentile of BMI, and the control group maintained a BMI &lt;50</w:t>
      </w:r>
      <w:r w:rsidRPr="00D52239">
        <w:rPr>
          <w:vertAlign w:val="superscript"/>
        </w:rPr>
        <w:t>th</w:t>
      </w:r>
      <w:r w:rsidRPr="00D52239">
        <w:t xml:space="preserve"> percentile throughout childhood.</w:t>
      </w:r>
      <w:r w:rsidRPr="00D52239">
        <w:fldChar w:fldCharType="begin"/>
      </w:r>
      <w:r w:rsidR="00A323E5">
        <w:instrText xml:space="preserve"> ADDIN ZOTERO_ITEM CSL_CITATION {"citationID":"mq0QK2uO","properties":{"formattedCitation":"(18)","plainCitation":"(18)","noteIndex":0},"citationItems":[{"id":831,"uris":["http://zotero.org/users/11760769/items/ELCXX5VJ"],"itemData":{"id":831,"type":"article-journal","abstract":"Abstract\n            Although hundreds of genome-wide association studies-implicated loci have been reported for adult obesity-related traits, less is known about the genetics specific for early-onset obesity and with only a few studies conducted in non-European populations to date. Searching for additional genetic variants associated with childhood obesity, we performed a trans-ancestral meta-analysis of 30 studies consisting of up to 13 005 cases (≥95th percentile of body mass index (BMI) achieved 2–18 years old) and 15 599 controls (consistently &amp;lt;50th percentile of BMI) of European, African, North/South American and East Asian ancestry. Suggestive loci were taken forward for replication in a sample of 1888 cases and 4689 controls from seven cohorts of European and North/South American ancestry. In addition to observing 18 previously implicated BMI or obesity loci, for both early and late onset, we uncovered one completely novel locus in this trans-ancestral analysis (nearest gene, METTL15). The variant was nominally associated with only the European subgroup analysis but had a consistent direction of effect in other ethnicities. We then utilized trans-ancestral Bayesian analysis to narrow down the location of the probable causal variant at each genome-wide significant signal. Of all the fine-mapped loci, we were able to narrow down the causative variant at four known loci to fewer than 10 single nucleotide polymorphisms (SNPs) (FAIM2, GNPDA2, MC4R and SEC16B loci). In conclusion, an ethnically diverse setting has enabled us to both identify an additional pediatric obesity locus and further fine-map existing loci.","container-title":"Human Molecular Genetics","DOI":"10.1093/hmg/ddz161","ISSN":"0964-6906, 1460-2083","issue":"19","language":"en","page":"3327-3338","source":"DOI.org (Crossref)","title":"A trans-ancestral meta-analysis of genome-wide association studies reveals loci associated with childhood obesity","volume":"28","author":[{"family":"Bradfield","given":"Jonathan P"},{"family":"Vogelezang","given":"Suzanne"},{"family":"Felix","given":"Janine F"},{"family":"Chesi","given":"Alessandra"},{"family":"Helgeland","given":"Øyvind"},{"family":"Horikoshi","given":"Momoko"},{"family":"Karhunen","given":"Ville"},{"family":"Lowry","given":"Estelle"},{"family":"Cousminer","given":"Diana L"},{"family":"Ahluwalia","given":"Tarunveer S"},{"family":"Thiering","given":"Elisabeth"},{"family":"Boh","given":"Eileen Tai-Hui"},{"family":"Zafarmand","given":"Mohammad H"},{"family":"Vilor-Tejedor","given":"Natalia"},{"family":"Wang","given":"Carol A"},{"family":"Joro","given":"Raimo"},{"family":"Chen","given":"Zhanghua"},{"family":"Gauderman","given":"William J"},{"family":"Pitkänen","given":"Niina"},{"family":"Parra","given":"Esteban J"},{"family":"Fernandez-Rhodes","given":"Lindsay"},{"family":"Alyass","given":"Akram"},{"family":"Monnereau","given":"Claire"},{"family":"Curtin","given":"John A"},{"family":"Have","given":"Christian T"},{"family":"McCormack","given":"Shana E"},{"family":"Hollensted","given":"Mette"},{"family":"Frithioff-Bøjsøe","given":"Christine"},{"family":"Valladares-Salgado","given":"Adan"},{"family":"Peralta-Romero","given":"Jesus"},{"family":"Teo","given":"Yik-Ying"},{"family":"Standl","given":"Marie"},{"family":"Leinonen","given":"Jaakko T"},{"family":"Holm","given":"Jens-Christian"},{"family":"Peters","given":"Triinu"},{"family":"Vioque","given":"Jesus"},{"family":"Vrijheid","given":"Martine"},{"family":"Simpson","given":"Angela"},{"family":"Custovic","given":"Adnan"},{"family":"Vaudel","given":"Marc"},{"family":"Canouil","given":"Mickaël"},{"family":"Lindi","given":"Virpi"},{"family":"Atalay","given":"Mustafa"},{"family":"Kähönen","given":"Mika"},{"family":"Raitakari","given":"Olli T"},{"family":"Van Schaik","given":"Barbera D C"},{"family":"Berkowitz","given":"Robert I"},{"family":"Cole","given":"Shelley A"},{"family":"Voruganti","given":"V Saroja"},{"family":"Wang","given":"Yujie"},{"family":"Highland","given":"Heather M"},{"family":"Comuzzie","given":"Anthony G"},{"family":"Butte","given":"Nancy F"},{"family":"Justice","given":"Anne E"},{"family":"Gahagan","given":"Sheila"},{"family":"Blanco","given":"Estela"},{"family":"Lehtimäki","given":"Terho"},{"family":"Lakka","given":"Timo A"},{"family":"Hebebrand","given":"Johannes"},{"family":"Bonnefond","given":"Amélie"},{"family":"Grarup","given":"Niels"},{"family":"Froguel","given":"Philippe"},{"family":"Lyytikäinen","given":"Leo-Pekka"},{"family":"Cruz","given":"Miguel"},{"family":"Kobes","given":"Sayuko"},{"family":"Hanson","given":"Robert L"},{"family":"Zemel","given":"Babette S"},{"family":"Hinney","given":"Anke"},{"family":"Teo","given":"Koon K"},{"family":"Meyre","given":"David"},{"family":"North","given":"Kari E"},{"family":"Gilliland","given":"Frank D"},{"family":"Bisgaard","given":"Hans"},{"family":"Bustamante","given":"Mariona"},{"family":"Bonnelykke","given":"Klaus"},{"family":"Pennell","given":"Craig E"},{"family":"Rivadeneira","given":"Fernando"},{"family":"Uitterlinden","given":"André G"},{"family":"Baier","given":"Leslie J"},{"family":"Vrijkotte","given":"Tanja G M"},{"family":"Heinrich","given":"Joachim"},{"family":"Sørensen","given":"Thorkild I A"},{"family":"Saw","given":"Seang-Mei"},{"family":"Pedersen","given":"Oluf"},{"family":"Hansen","given":"Torben"},{"family":"Eriksson","given":"Johan"},{"family":"Widén","given":"Elisabeth"},{"family":"McCarthy","given":"Mark I"},{"family":"Njølstad","given":"Pål R"},{"family":"Power","given":"Christine"},{"family":"Hyppönen","given":"Elina"},{"family":"Sebert","given":"Sylvain"},{"family":"Brown","given":"Christopher D"},{"family":"Järvelin","given":"Marjo-Riitta"},{"family":"Timpson","given":"Nicholas J"},{"family":"Johansson","given":"Stefan"},{"family":"Hakonarson","given":"Hakon"},{"family":"Jaddoe","given":"Vincent W V"},{"literal":"Struan F A Grant for the Early Growth Genetics Consortium"}],"issued":{"date-parts":[["2019",10,1]]}}}],"schema":"https://github.com/citation-style-language/schema/raw/master/csl-citation.json"} </w:instrText>
      </w:r>
      <w:r w:rsidRPr="00D52239">
        <w:fldChar w:fldCharType="separate"/>
      </w:r>
      <w:r w:rsidR="008A120B" w:rsidRPr="008A120B">
        <w:t>(18)</w:t>
      </w:r>
      <w:r w:rsidRPr="00D52239">
        <w:fldChar w:fldCharType="end"/>
      </w:r>
      <w:r w:rsidRPr="00D52239">
        <w:t xml:space="preserve"> We obtained the genetic associations of self-reported perceived body size at age 10 from a GWAS in the UK Biobank participants (N=453,169).</w:t>
      </w:r>
      <w:r w:rsidRPr="00D52239">
        <w:fldChar w:fldCharType="begin"/>
      </w:r>
      <w:r w:rsidR="00A323E5">
        <w:instrText xml:space="preserve"> ADDIN ZOTERO_ITEM CSL_CITATION {"citationID":"GR887tIZ","properties":{"formattedCitation":"(19)","plainCitation":"(19)","noteIndex":0},"citationItems":[{"id":647,"uris":["http://zotero.org/users/11760769/items/9IMLSEUS"],"itemData":{"id":647,"type":"article-journal","abstract":"OBJECTIVE: To evaluate whether body size in early life has an independent effect on risk of disease in later life or whether its influence is mediated by body size in adulthood.\nDESIGN: Two sample univariable and multivariable mendelian randomisation.\nSETTING: The UK Biobank prospective cohort study and four large scale genome-wide association studies (GWAS) consortiums.\nPARTICIPANTS: 453 169 participants enrolled in UK Biobank and a combined total of more than 700 000 people from different GWAS consortiums.\nEXPOSURES: Measured body mass index during adulthood (mean age 56.5) and self-reported perceived body size at age 10.\nMAIN OUTCOME MEASURES: Coronary artery disease, type 2 diabetes, breast cancer, and prostate cancer.\nRESULTS: Having a larger genetically predicted body size in early life was associated with an increased odds of coronary artery disease (odds ratio 1.49 for each change in body size category unless stated otherwise, 95% confidence interval 1.33 to 1.68) and type 2 diabetes (2.32, 1.76 to 3.05) based on univariable mendelian randomisation analyses. However, little evidence was found of a direct effect (ie, not through adult body size) based on multivariable mendelian randomisation estimates (coronary artery disease: 1.02, 0.86 to 1.22; type 2 diabetes:1.16, 0.74 to 1.82). In the multivariable mendelian randomisation analysis of breast cancer risk, strong evidence was found of a protective direct effect for larger body size in early life (0.59, 0.50 to 0.71), with less evidence of a direct effect of adult body size on this outcome (1.08, 0.93 to 1.27). Including age at menarche as an additional exposure provided weak evidence of a total causal effect (univariable mendelian randomisation odds ratio 0.98, 95% confidence interval 0.91 to 1.06) but strong evidence of a direct causal effect, independent of early life and adult body size (multivariable mendelian randomisation odds ratio 0.90, 0.85 to 0.95). No strong evidence was found of a causal effect of either early or later life measures on prostate cancer (early life body size odds ratio 1.06, 95% confidence interval 0.81 to 1.40; adult body size 0.87, 0.70 to 1.08).\nCONCLUSIONS: The findings suggest that the positive association between body size in childhood and risk of coronary artery disease and type 2 diabetes in adulthood can be attributed to individuals remaining large into later life. However, having a smaller body size during childhood might increase the risk of breast cancer regardless of body size in adulthood, with timing of puberty also putatively playing a role.","container-title":"BMJ (Clinical research ed.)","DOI":"10.1136/bmj.m1203","ISSN":"1756-1833","journalAbbreviation":"BMJ","language":"eng","note":"PMID: 32376654\nPMCID: PMC7201936","page":"m1203","source":"PubMed","title":"Use of genetic variation to separate the effects of early and later life adiposity on disease risk: mendelian randomisation study","title-short":"Use of genetic variation to separate the effects of early and later life adiposity on disease risk","volume":"369","author":[{"family":"Richardson","given":"Tom G."},{"family":"Sanderson","given":"Eleanor"},{"family":"Elsworth","given":"Benjamin"},{"family":"Tilling","given":"Kate"},{"family":"Davey Smith","given":"George"}],"issued":{"date-parts":[["2020",5,6]]}}}],"schema":"https://github.com/citation-style-language/schema/raw/master/csl-citation.json"} </w:instrText>
      </w:r>
      <w:r w:rsidRPr="00D52239">
        <w:fldChar w:fldCharType="separate"/>
      </w:r>
      <w:r w:rsidR="008A120B" w:rsidRPr="008A120B">
        <w:t>(19)</w:t>
      </w:r>
      <w:r w:rsidRPr="00D52239">
        <w:fldChar w:fldCharType="end"/>
      </w:r>
      <w:r w:rsidRPr="00D52239">
        <w:t xml:space="preserve"> Childhood BMI, obesity, and self-reported perceived body size have a high genetic correlation (r</w:t>
      </w:r>
      <w:r w:rsidRPr="00D52239">
        <w:rPr>
          <w:vertAlign w:val="subscript"/>
        </w:rPr>
        <w:t>g</w:t>
      </w:r>
      <w:r w:rsidRPr="00D52239">
        <w:t xml:space="preserve">&gt;0.9). </w:t>
      </w:r>
      <w:r w:rsidR="008155C8">
        <w:t>To achieve a larger sample size f</w:t>
      </w:r>
      <w:r w:rsidR="00423A35">
        <w:t>or constructing a t</w:t>
      </w:r>
      <w:r w:rsidR="00423A35" w:rsidRPr="00423A35">
        <w:t xml:space="preserve">rans-ancestry </w:t>
      </w:r>
      <w:r w:rsidR="00423A35">
        <w:t xml:space="preserve">PRS in </w:t>
      </w:r>
      <w:r w:rsidR="00E03308">
        <w:t xml:space="preserve">our GUSTO cohort, we obtained </w:t>
      </w:r>
      <w:r w:rsidR="00E03308" w:rsidRPr="00D52239">
        <w:t>an East Asian GWAS of BMI from BioBank Japan (N=163,835) and a European GWAS of BMI from a meta-analysis of GIANT and UK BioBank (N=681,275).</w:t>
      </w:r>
      <w:r w:rsidR="00E03308" w:rsidRPr="00D52239">
        <w:fldChar w:fldCharType="begin"/>
      </w:r>
      <w:r w:rsidR="00A323E5">
        <w:instrText xml:space="preserve"> ADDIN ZOTERO_ITEM CSL_CITATION {"citationID":"SMN3payw","properties":{"formattedCitation":"(20,21)","plainCitation":"(20,21)","noteIndex":0},"citationItems":[{"id":"KsjVSMqE/C73BcTiO","uris":["http://zotero.org/users/local/QxLaFCKG/items/7WCPVJDK"],"itemData":{"id":12,"type":"article-journal","container-title":"Nature Genetics","DOI":"10.1038/s41588-021-00931-x","ISSN":"1061-4036, 1546-1718","issue":"10","journalAbbreviation":"Nat Genet","language":"en","page":"1415-1424","source":"DOI.org (Crossref)","title":"A cross-population atlas of genetic associations for 220 human phenotypes","volume":"53","author":[{"family":"Sakaue","given":"Saori"},{"family":"Kanai","given":"Masahiro"},{"family":"Tanigawa","given":"Yosuke"},{"family":"Karjalainen","given":"Juha"},{"family":"Kurki","given":"Mitja"},{"family":"Koshiba","given":"Seizo"},{"family":"Narita","given":"Akira"},{"family":"Konuma","given":"Takahiro"},{"family":"Yamamoto","given":"Kenichi"},{"family":"Akiyama","given":"Masato"},{"family":"Ishigaki","given":"Kazuyoshi"},{"family":"Suzuki","given":"Akari"},{"family":"Suzuki","given":"Ken"},{"family":"Obara","given":"Wataru"},{"family":"Yamaji","given":"Ken"},{"family":"Takahashi","given":"Kazuhisa"},{"family":"Asai","given":"Satoshi"},{"family":"Takahashi","given":"Yasuo"},{"family":"Suzuki","given":"Takao"},{"family":"Shinozaki","given":"Nobuaki"},{"family":"Yamaguchi","given":"Hiroki"},{"family":"Minami","given":"Shiro"},{"family":"Murayama","given":"Shigeo"},{"family":"Yoshimori","given":"Kozo"},{"family":"Nagayama","given":"Satoshi"},{"family":"Obata","given":"Daisuke"},{"family":"Higashiyama","given":"Masahiko"},{"family":"Masumoto","given":"Akihide"},{"family":"Koretsune","given":"Yukihiro"},{"literal":"FinnGen"},{"family":"Ito","given":"Kaoru"},{"family":"Terao","given":"Chikashi"},{"family":"Yamauchi","given":"Toshimasa"},{"family":"Komuro","given":"Issei"},{"family":"Kadowaki","given":"Takashi"},{"family":"Tamiya","given":"Gen"},{"family":"Yamamoto","given":"Masayuki"},{"family":"Nakamura","given":"Yusuke"},{"family":"Kubo","given":"Michiaki"},{"family":"Murakami","given":"Yoshinori"},{"family":"Yamamoto","given":"Kazuhiko"},{"family":"Kamatani","given":"Yoichiro"},{"family":"Palotie","given":"Aarno"},{"family":"Rivas","given":"Manuel A."},{"family":"Daly","given":"Mark J."},{"family":"Matsuda","given":"Koichi"},{"family":"Okada","given":"Yukinori"}],"issued":{"date-parts":[["2021",10]]}}},{"id":"KsjVSMqE/kpoqMlrb","uris":["http://zotero.org/users/local/QxLaFCKG/items/S8KBQFW6"],"itemData":{"id":9,"type":"article-journal","container-title":"Human Molecular Genetics","DOI":"10.1093/hmg/ddy271","ISSN":"1460-2083","issue":"20","journalAbbreviation":"Hum Mol Genet","language":"eng","note":"PMID: 30124842\nPMCID: PMC6488973","page":"3641-3649","source":"PubMed","title":"Meta-analysis of genome-wide association studies for height and body mass index in </w:instrText>
      </w:r>
      <w:r w:rsidR="00A323E5">
        <w:rPr>
          <w:rFonts w:ascii="Cambria Math" w:hAnsi="Cambria Math" w:cs="Cambria Math"/>
        </w:rPr>
        <w:instrText>∼</w:instrText>
      </w:r>
      <w:r w:rsidR="00A323E5">
        <w:instrText xml:space="preserve">700000 individuals of European ancestry","volume":"27","author":[{"family":"Yengo","given":"Loic"},{"family":"Sidorenko","given":"Julia"},{"family":"Kemper","given":"Kathryn E."},{"family":"Zheng","given":"Zhili"},{"family":"Wood","given":"Andrew R."},{"family":"Weedon","given":"Michael N."},{"family":"Frayling","given":"Timothy M."},{"family":"Hirschhorn","given":"Joel"},{"family":"Yang","given":"Jian"},{"family":"Visscher","given":"Peter M."},{"literal":"GIANT Consortium"}],"issued":{"date-parts":[["2018",10,15]]}}}],"schema":"https://github.com/citation-style-language/schema/raw/master/csl-citation.json"} </w:instrText>
      </w:r>
      <w:r w:rsidR="00E03308" w:rsidRPr="00D52239">
        <w:fldChar w:fldCharType="separate"/>
      </w:r>
      <w:r w:rsidR="008A120B" w:rsidRPr="008A120B">
        <w:t>(20,21)</w:t>
      </w:r>
      <w:r w:rsidR="00E03308" w:rsidRPr="00D52239">
        <w:fldChar w:fldCharType="end"/>
      </w:r>
      <w:r w:rsidR="00935B95">
        <w:t xml:space="preserve"> </w:t>
      </w:r>
      <w:r w:rsidR="008155C8">
        <w:t>Gen</w:t>
      </w:r>
      <w:r w:rsidRPr="00D52239">
        <w:t>etic associations for language-related skills were obtained from GWAS meta-analyses led by the GenLang Consortium (N=12,828 to 27,180, aged 5 to 26 years).</w:t>
      </w:r>
      <w:r w:rsidRPr="00D52239">
        <w:fldChar w:fldCharType="begin"/>
      </w:r>
      <w:r w:rsidR="00A323E5">
        <w:instrText xml:space="preserve"> ADDIN ZOTERO_ITEM CSL_CITATION {"citationID":"p8EjzQVS","properties":{"formattedCitation":"(1)","plainCitation":"(1)","noteIndex":0},"citationItems":[{"id":646,"uris":["http://zotero.org/users/11760769/items/9YMD95HQ"],"itemData":{"id":646,"type":"article-journal","abstract":"The use of spoken and written language is a fundamental human capacity. Individual differences in reading- and language-related skills are influenced by genetic variation, with twin-based heritability estimates of 30 to 80% depending on the trait. The genetic architecture is complex, heterogeneous, and multifactorial, but investigations of contributions of single-nucleotide polymorphisms (SNPs) were thus far underpowered. We present a multicohort genome-wide association study (GWAS) of five traits assessed individually using psychometric measures (word reading, nonword reading, spelling, phoneme awareness, and nonword repetition) in samples of 13,633 to 33,959 participants aged 5 to 26 y. We identified genome-wide significant association with word reading (rs11208009, P = 1.098 × 10-8) at a locus that has not been associated with intelligence or educational attainment. All five reading-/language-related traits showed robust SNP heritability, accounting for 13 to 26% of trait variability. Genomic structural equation modeling revealed a shared genetic factor explaining most of the variation in word/nonword reading, spelling, and phoneme awareness, which only partially overlapped with genetic variation contributing to nonword repetition, intelligence, and educational attainment. A multivariate GWAS of word/nonword reading, spelling, and phoneme awareness maximized power for follow-up investigation. Genetic correlation analysis with neuroimaging traits identified an association with the surface area of the banks of the left superior temporal sulcus, a brain region linked to the processing of spoken and written language. Heritability was enriched for genomic elements regulating gene expression in the fetal brain and in chromosomal regions that are depleted of Neanderthal variants. Together, these results provide avenues for deciphering the biological underpinnings of uniquely human traits.","container-title":"Proceedings of the National Academy of Sciences of the United States of America","DOI":"10.1073/pnas.2202764119","ISSN":"1091-6490","issue":"35","journalAbbreviation":"Proc Natl Acad Sci U S A","language":"eng","note":"PMID: 35998220\nPMCID: PMC9436320","page":"e2202764119","source":"PubMed","title":"Genome-wide analyses of individual differences in quantitatively assessed reading- and language-related skills in up to 34,000 people","volume":"119","author":[{"family":"Eising","given":"Else"},{"family":"Mirza-Schreiber","given":"Nazanin"},{"family":"Zeeuw","given":"Eveline L.","non-dropping-particle":"de"},{"family":"Wang","given":"Carol A."},{"family":"Truong","given":"Dongnhu T."},{"family":"Allegrini","given":"Andrea G."},{"family":"Shapland","given":"Chin Yang"},{"family":"Zhu","given":"Gu"},{"family":"Wigg","given":"Karen G."},{"family":"Gerritse","given":"Margot L."},{"family":"Molz","given":"Barbara"},{"family":"Alagöz","given":"Gökberk"},{"family":"Gialluisi","given":"Alessandro"},{"family":"Abbondanza","given":"Filippo"},{"family":"Rimfeld","given":"Kaili"},{"family":"Donkelaar","given":"Marjolein","non-dropping-particle":"van"},{"family":"Liao","given":"Zhijie"},{"family":"Jansen","given":"Philip R."},{"family":"Andlauer","given":"Till F. M."},{"family":"Bates","given":"Timothy C."},{"family":"Bernard","given":"Manon"},{"family":"Blokland","given":"Kirsten"},{"family":"Bonte","given":"Milene"},{"family":"Børglum","given":"Anders D."},{"family":"Bourgeron","given":"Thomas"},{"family":"Brandeis","given":"Daniel"},{"family":"Ceroni","given":"Fabiola"},{"family":"Csépe","given":"Valéria"},{"family":"Dale","given":"Philip S."},{"family":"Jong","given":"Peter F.","non-dropping-particle":"de"},{"family":"DeFries","given":"John C."},{"family":"Démonet","given":"Jean-François"},{"family":"Demontis","given":"Ditte"},{"family":"Feng","given":"Yu"},{"family":"Gordon","given":"Scott D."},{"family":"Guger","given":"Sharon L."},{"family":"Hayiou-Thomas","given":"Marianna E."},{"family":"Hernández-Cabrera","given":"Juan A."},{"family":"Hottenga","given":"Jouke-Jan"},{"family":"Hulme","given":"Charles"},{"family":"Kere","given":"Juha"},{"family":"Kerr","given":"Elizabeth N."},{"family":"Koomar","given":"Tanner"},{"family":"Landerl","given":"Karin"},{"family":"Leonard","given":"Gabriel T."},{"family":"Lovett","given":"Maureen W."},{"family":"Lyytinen","given":"Heikki"},{"family":"Martin","given":"Nicholas G."},{"family":"Martinelli","given":"Angela"},{"family":"Maurer","given":"Urs"},{"family":"Michaelson","given":"Jacob J."},{"family":"Moll","given":"Kristina"},{"family":"Monaco","given":"Anthony P."},{"family":"Morgan","given":"Angela T."},{"family":"Nöthen","given":"Markus M."},{"family":"Pausova","given":"Zdenka"},{"family":"Pennell","given":"Craig E."},{"family":"Pennington","given":"Bruce F."},{"family":"Price","given":"Kaitlyn M."},{"family":"Rajagopal","given":"Veera M."},{"family":"Ramus","given":"Franck"},{"family":"Richer","given":"Louis"},{"family":"Simpson","given":"Nuala H."},{"family":"Smith","given":"Shelley D."},{"family":"Snowling","given":"Margaret J."},{"family":"Stein","given":"John"},{"family":"Strug","given":"Lisa J."},{"family":"Talcott","given":"Joel B."},{"family":"Tiemeier","given":"Henning"},{"family":"Schroeff","given":"Marc P.","non-dropping-particle":"van der"},{"family":"Verhoef","given":"Ellen"},{"family":"Watkins","given":"Kate E."},{"family":"Wilkinson","given":"Margaret"},{"family":"Wright","given":"Margaret J."},{"family":"Barr","given":"Cathy L."},{"family":"Boomsma","given":"Dorret I."},{"family":"Carreiras","given":"Manuel"},{"family":"Franken","given":"Marie-Christine J."},{"family":"Gruen","given":"Jeffrey R."},{"family":"Luciano","given":"Michelle"},{"family":"Müller-Myhsok","given":"Bertram"},{"family":"Newbury","given":"Dianne F."},{"family":"Olson","given":"Richard K."},{"family":"Paracchini","given":"Silvia"},{"family":"Paus","given":"Tomáš"},{"family":"Plomin","given":"Robert"},{"family":"Reilly","given":"Sheena"},{"family":"Schulte-Körne","given":"Gerd"},{"family":"Tomblin","given":"J. Bruce"},{"family":"Bergen","given":"Elsje","non-dropping-particle":"van"},{"family":"Whitehouse","given":"Andrew J. O."},{"family":"Willcutt","given":"Erik G."},{"family":"St Pourcain","given":"Beate"},{"family":"Francks","given":"Clyde"},{"family":"Fisher","given":"Simon E."}],"issued":{"date-parts":[["2022",8,30]]}}}],"schema":"https://github.com/citation-style-language/schema/raw/master/csl-citation.json"} </w:instrText>
      </w:r>
      <w:r w:rsidRPr="00D52239">
        <w:fldChar w:fldCharType="separate"/>
      </w:r>
      <w:r w:rsidR="008A120B" w:rsidRPr="008A120B">
        <w:t>(1)</w:t>
      </w:r>
      <w:r w:rsidRPr="00D52239">
        <w:fldChar w:fldCharType="end"/>
      </w:r>
      <w:r w:rsidRPr="00D52239">
        <w:t xml:space="preserve"> Specifically, five language-related traits were investigated: word reading, nonword reading, spelling, phoneme awareness, and nonword repetition. These five traits were genetically correlated with each other (r</w:t>
      </w:r>
      <w:r w:rsidRPr="00D52239">
        <w:rPr>
          <w:vertAlign w:val="subscript"/>
        </w:rPr>
        <w:t>g</w:t>
      </w:r>
      <w:r w:rsidRPr="00D52239">
        <w:t>&gt;0.5), except that the correlation is weaker between nonword repetition and phoneme awareness (r</w:t>
      </w:r>
      <w:r w:rsidRPr="00D52239">
        <w:rPr>
          <w:vertAlign w:val="subscript"/>
        </w:rPr>
        <w:t>g</w:t>
      </w:r>
      <w:r w:rsidRPr="00D52239">
        <w:t>=0.30).</w:t>
      </w:r>
      <w:r w:rsidRPr="00D52239">
        <w:fldChar w:fldCharType="begin"/>
      </w:r>
      <w:r w:rsidR="00A323E5">
        <w:instrText xml:space="preserve"> ADDIN ZOTERO_ITEM CSL_CITATION {"citationID":"tjslUlU5","properties":{"formattedCitation":"(1)","plainCitation":"(1)","noteIndex":0},"citationItems":[{"id":646,"uris":["http://zotero.org/users/11760769/items/9YMD95HQ"],"itemData":{"id":646,"type":"article-journal","abstract":"The use of spoken and written language is a fundamental human capacity. Individual differences in reading- and language-related skills are influenced by genetic variation, with twin-based heritability estimates of 30 to 80% depending on the trait. The genetic architecture is complex, heterogeneous, and multifactorial, but investigations of contributions of single-nucleotide polymorphisms (SNPs) were thus far underpowered. We present a multicohort genome-wide association study (GWAS) of five traits assessed individually using psychometric measures (word reading, nonword reading, spelling, phoneme awareness, and nonword repetition) in samples of 13,633 to 33,959 participants aged 5 to 26 y. We identified genome-wide significant association with word reading (rs11208009, P = 1.098 × 10-8) at a locus that has not been associated with intelligence or educational attainment. All five reading-/language-related traits showed robust SNP heritability, accounting for 13 to 26% of trait variability. Genomic structural equation modeling revealed a shared genetic factor explaining most of the variation in word/nonword reading, spelling, and phoneme awareness, which only partially overlapped with genetic variation contributing to nonword repetition, intelligence, and educational attainment. A multivariate GWAS of word/nonword reading, spelling, and phoneme awareness maximized power for follow-up investigation. Genetic correlation analysis with neuroimaging traits identified an association with the surface area of the banks of the left superior temporal sulcus, a brain region linked to the processing of spoken and written language. Heritability was enriched for genomic elements regulating gene expression in the fetal brain and in chromosomal regions that are depleted of Neanderthal variants. Together, these results provide avenues for deciphering the biological underpinnings of uniquely human traits.","container-title":"Proceedings of the National Academy of Sciences of the United States of America","DOI":"10.1073/pnas.2202764119","ISSN":"1091-6490","issue":"35","journalAbbreviation":"Proc Natl Acad Sci U S A","language":"eng","note":"PMID: 35998220\nPMCID: PMC9436320","page":"e2202764119","source":"PubMed","title":"Genome-wide analyses of individual differences in quantitatively assessed reading- and language-related skills in up to 34,000 people","volume":"119","author":[{"family":"Eising","given":"Else"},{"family":"Mirza-Schreiber","given":"Nazanin"},{"family":"Zeeuw","given":"Eveline L.","non-dropping-particle":"de"},{"family":"Wang","given":"Carol A."},{"family":"Truong","given":"Dongnhu T."},{"family":"Allegrini","given":"Andrea G."},{"family":"Shapland","given":"Chin Yang"},{"family":"Zhu","given":"Gu"},{"family":"Wigg","given":"Karen G."},{"family":"Gerritse","given":"Margot L."},{"family":"Molz","given":"Barbara"},{"family":"Alagöz","given":"Gökberk"},{"family":"Gialluisi","given":"Alessandro"},{"family":"Abbondanza","given":"Filippo"},{"family":"Rimfeld","given":"Kaili"},{"family":"Donkelaar","given":"Marjolein","non-dropping-particle":"van"},{"family":"Liao","given":"Zhijie"},{"family":"Jansen","given":"Philip R."},{"family":"Andlauer","given":"Till F. M."},{"family":"Bates","given":"Timothy C."},{"family":"Bernard","given":"Manon"},{"family":"Blokland","given":"Kirsten"},{"family":"Bonte","given":"Milene"},{"family":"Børglum","given":"Anders D."},{"family":"Bourgeron","given":"Thomas"},{"family":"Brandeis","given":"Daniel"},{"family":"Ceroni","given":"Fabiola"},{"family":"Csépe","given":"Valéria"},{"family":"Dale","given":"Philip S."},{"family":"Jong","given":"Peter F.","non-dropping-particle":"de"},{"family":"DeFries","given":"John C."},{"family":"Démonet","given":"Jean-François"},{"family":"Demontis","given":"Ditte"},{"family":"Feng","given":"Yu"},{"family":"Gordon","given":"Scott D."},{"family":"Guger","given":"Sharon L."},{"family":"Hayiou-Thomas","given":"Marianna E."},{"family":"Hernández-Cabrera","given":"Juan A."},{"family":"Hottenga","given":"Jouke-Jan"},{"family":"Hulme","given":"Charles"},{"family":"Kere","given":"Juha"},{"family":"Kerr","given":"Elizabeth N."},{"family":"Koomar","given":"Tanner"},{"family":"Landerl","given":"Karin"},{"family":"Leonard","given":"Gabriel T."},{"family":"Lovett","given":"Maureen W."},{"family":"Lyytinen","given":"Heikki"},{"family":"Martin","given":"Nicholas G."},{"family":"Martinelli","given":"Angela"},{"family":"Maurer","given":"Urs"},{"family":"Michaelson","given":"Jacob J."},{"family":"Moll","given":"Kristina"},{"family":"Monaco","given":"Anthony P."},{"family":"Morgan","given":"Angela T."},{"family":"Nöthen","given":"Markus M."},{"family":"Pausova","given":"Zdenka"},{"family":"Pennell","given":"Craig E."},{"family":"Pennington","given":"Bruce F."},{"family":"Price","given":"Kaitlyn M."},{"family":"Rajagopal","given":"Veera M."},{"family":"Ramus","given":"Franck"},{"family":"Richer","given":"Louis"},{"family":"Simpson","given":"Nuala H."},{"family":"Smith","given":"Shelley D."},{"family":"Snowling","given":"Margaret J."},{"family":"Stein","given":"John"},{"family":"Strug","given":"Lisa J."},{"family":"Talcott","given":"Joel B."},{"family":"Tiemeier","given":"Henning"},{"family":"Schroeff","given":"Marc P.","non-dropping-particle":"van der"},{"family":"Verhoef","given":"Ellen"},{"family":"Watkins","given":"Kate E."},{"family":"Wilkinson","given":"Margaret"},{"family":"Wright","given":"Margaret J."},{"family":"Barr","given":"Cathy L."},{"family":"Boomsma","given":"Dorret I."},{"family":"Carreiras","given":"Manuel"},{"family":"Franken","given":"Marie-Christine J."},{"family":"Gruen","given":"Jeffrey R."},{"family":"Luciano","given":"Michelle"},{"family":"Müller-Myhsok","given":"Bertram"},{"family":"Newbury","given":"Dianne F."},{"family":"Olson","given":"Richard K."},{"family":"Paracchini","given":"Silvia"},{"family":"Paus","given":"Tomáš"},{"family":"Plomin","given":"Robert"},{"family":"Reilly","given":"Sheena"},{"family":"Schulte-Körne","given":"Gerd"},{"family":"Tomblin","given":"J. Bruce"},{"family":"Bergen","given":"Elsje","non-dropping-particle":"van"},{"family":"Whitehouse","given":"Andrew J. O."},{"family":"Willcutt","given":"Erik G."},{"family":"St Pourcain","given":"Beate"},{"family":"Francks","given":"Clyde"},{"family":"Fisher","given":"Simon E."}],"issued":{"date-parts":[["2022",8,30]]}}}],"schema":"https://github.com/citation-style-language/schema/raw/master/csl-citation.json"} </w:instrText>
      </w:r>
      <w:r w:rsidRPr="00D52239">
        <w:fldChar w:fldCharType="separate"/>
      </w:r>
      <w:r w:rsidR="008A120B" w:rsidRPr="008A120B">
        <w:t>(1)</w:t>
      </w:r>
      <w:r w:rsidRPr="00D52239">
        <w:fldChar w:fldCharType="end"/>
      </w:r>
      <w:r w:rsidRPr="00D52239">
        <w:t xml:space="preserve"> Details about the GWAS are summarised in </w:t>
      </w:r>
      <w:r w:rsidRPr="00D52239">
        <w:rPr>
          <w:b/>
        </w:rPr>
        <w:t>Supplementary Table 1</w:t>
      </w:r>
      <w:r w:rsidRPr="00D52239">
        <w:t>.</w:t>
      </w:r>
    </w:p>
    <w:p w14:paraId="426954ED" w14:textId="53C6C670" w:rsidR="00B25D42" w:rsidRPr="00D52239" w:rsidRDefault="00B25D42" w:rsidP="00B25D42">
      <w:pPr>
        <w:pStyle w:val="Heading2"/>
        <w:spacing w:after="200"/>
      </w:pPr>
      <w:bookmarkStart w:id="4" w:name="_fsd2ip14jq30" w:colFirst="0" w:colLast="0"/>
      <w:bookmarkEnd w:id="4"/>
      <w:r w:rsidRPr="005A78AE">
        <w:t>GUSTO cohort</w:t>
      </w:r>
    </w:p>
    <w:p w14:paraId="20ED50E7" w14:textId="3D781DCB" w:rsidR="00B25D42" w:rsidRPr="00B25D42" w:rsidRDefault="00B25D42">
      <w:pPr>
        <w:spacing w:before="240" w:after="240"/>
        <w:rPr>
          <w:u w:val="single"/>
        </w:rPr>
      </w:pPr>
      <w:r w:rsidRPr="00B25D42">
        <w:rPr>
          <w:u w:val="single"/>
        </w:rPr>
        <w:t>Cohort characteristics</w:t>
      </w:r>
    </w:p>
    <w:p w14:paraId="2B7FDEA4" w14:textId="487C1900" w:rsidR="00D110DE" w:rsidRPr="00D52239" w:rsidRDefault="007C7450" w:rsidP="004F400B">
      <w:pPr>
        <w:spacing w:after="200"/>
      </w:pPr>
      <w:r w:rsidRPr="00D52239">
        <w:t>The GUSTO cohort is a parent-offspring prospective cohort that recruited pregnant women aged 18 and above at the National University Hospital (NUH) and KK Women’s and Children’s Hospital (KKH) in Singapore between June 2009 and September 2010. The cohort has been described in detail previously.</w:t>
      </w:r>
      <w:r w:rsidR="00352423" w:rsidRPr="00D52239">
        <w:fldChar w:fldCharType="begin"/>
      </w:r>
      <w:r w:rsidR="00A323E5">
        <w:instrText xml:space="preserve"> ADDIN ZOTERO_ITEM CSL_CITATION {"citationID":"q6w6vMJy","properties":{"formattedCitation":"(22)","plainCitation":"(22)","noteIndex":0},"citationItems":[{"id":58,"uris":["http://zotero.org/users/11760769/items/LIWJD45T"],"itemData":{"id":58,"type":"article-journal","container-title":"International Journal of Epidemiology","DOI":"10.1093/ije/dyt125","ISSN":"1464-3685","issue":"5","journalAbbreviation":"Int J Epidemiol","language":"eng","note":"PMID: 23912809","page":"1401-1409","source":"PubMed","title":"Cohort profile: Growing Up in Singapore Towards healthy Outcomes (GUSTO) birth cohort study","title-short":"Cohort profile","volume":"43","author":[{"family":"Soh","given":"Shu-E."},{"family":"Tint","given":"Mya Thway"},{"family":"Gluckman","given":"Peter D."},{"family":"Godfrey","given":"Keith M."},{"family":"Rifkin-Graboi","given":"Anne"},{"family":"Chan","given":"Yiong Huak"},{"family":"Stünkel","given":"Walter"},{"family":"Holbrook","given":"Joanna D."},{"family":"Kwek","given":"Kenneth"},{"family":"Chong","given":"Yap-Seng"},{"family":"Saw","given":"Seang Mei"},{"literal":"GUSTO Study Group"}],"issued":{"date-parts":[["2014",10]]}}}],"schema":"https://github.com/citation-style-language/schema/raw/master/csl-citation.json"} </w:instrText>
      </w:r>
      <w:r w:rsidR="00352423" w:rsidRPr="00D52239">
        <w:fldChar w:fldCharType="separate"/>
      </w:r>
      <w:r w:rsidR="008A120B" w:rsidRPr="008A120B">
        <w:t>(22)</w:t>
      </w:r>
      <w:r w:rsidR="00352423" w:rsidRPr="00D52239">
        <w:fldChar w:fldCharType="end"/>
      </w:r>
      <w:r w:rsidRPr="00D52239">
        <w:t xml:space="preserve"> In brief, </w:t>
      </w:r>
      <w:r w:rsidR="00C20942">
        <w:t>t</w:t>
      </w:r>
      <w:r w:rsidRPr="00D52239">
        <w:t xml:space="preserve">he original GUSTO cohort consisted of 1,450 pregnancies. Excluding 246 lost to follow-up before delivery, 96 conceived by </w:t>
      </w:r>
      <w:r w:rsidRPr="00D52239">
        <w:rPr>
          <w:i/>
        </w:rPr>
        <w:t>in vitro</w:t>
      </w:r>
      <w:r w:rsidRPr="00D52239">
        <w:t xml:space="preserve"> fertilisation, ten pairs of twins, two children without information on date of birth and sex lost to follow-up within the first week, and one death within the first week, our present study is based on follow-up of 1,095 live, singleton births.</w:t>
      </w:r>
      <w:r w:rsidR="005C65A0">
        <w:t xml:space="preserve"> Biological sex was determined based on medical </w:t>
      </w:r>
      <w:r w:rsidR="00446851">
        <w:t>records and parents’ reports.</w:t>
      </w:r>
      <w:r w:rsidRPr="00D52239">
        <w:t xml:space="preserve"> The GUSTO cohort has been extensively phenotyped through numerous visits both during pregnancy and after birth. These follow-ups focused on assessing maternal health as well as monitoring the growth and development of the child. We gathered sociodemographic data via self-administered questionnaires completed by participants during pregnancy and collected obstetric </w:t>
      </w:r>
      <w:r w:rsidRPr="00D52239">
        <w:lastRenderedPageBreak/>
        <w:t>information from medical records. Maternal pre-pregnancy BMI was estimated based on self-reported pre-pregnancy weight and height measured by trained staff at the 26</w:t>
      </w:r>
      <w:r w:rsidRPr="00D52239">
        <w:rPr>
          <w:vertAlign w:val="superscript"/>
        </w:rPr>
        <w:t>th</w:t>
      </w:r>
      <w:r w:rsidRPr="00D52239">
        <w:t xml:space="preserve"> gestational weeks. The height and weight of the GUSTO children were measured during the annual follow-ups starting from age 3 </w:t>
      </w:r>
      <w:r w:rsidR="004A02BB">
        <w:t>to calculate</w:t>
      </w:r>
      <w:r w:rsidRPr="00D52239">
        <w:t xml:space="preserve"> body mass index (BMI, kg/m</w:t>
      </w:r>
      <w:r w:rsidRPr="00D52239">
        <w:rPr>
          <w:vertAlign w:val="superscript"/>
        </w:rPr>
        <w:t>2</w:t>
      </w:r>
      <w:r w:rsidRPr="00D52239">
        <w:t xml:space="preserve">). Fat percentage was estimated using Quantitative Magnetic Resonance (QMR) during the annual follow-ups starting from age 5. </w:t>
      </w:r>
      <w:r w:rsidR="000E12BB">
        <w:t xml:space="preserve">The </w:t>
      </w:r>
      <w:r w:rsidRPr="00D52239">
        <w:t xml:space="preserve">BMI and fat percentage </w:t>
      </w:r>
      <w:r w:rsidR="000E12BB">
        <w:t xml:space="preserve">distributions </w:t>
      </w:r>
      <w:r w:rsidRPr="00D52239">
        <w:t xml:space="preserve">among the GUSTO children from ages 3 to 9 are shown in </w:t>
      </w:r>
      <w:r w:rsidRPr="00D52239">
        <w:rPr>
          <w:b/>
        </w:rPr>
        <w:t>Supplementary Figure 1</w:t>
      </w:r>
      <w:r w:rsidRPr="00D52239">
        <w:t>.</w:t>
      </w:r>
      <w:r w:rsidR="00D110DE">
        <w:t xml:space="preserve"> </w:t>
      </w:r>
      <w:r w:rsidR="00017F01">
        <w:t xml:space="preserve">In this study, </w:t>
      </w:r>
      <w:r w:rsidR="006515DB">
        <w:t xml:space="preserve">we performed the analyses </w:t>
      </w:r>
      <w:r w:rsidR="00055E87">
        <w:t xml:space="preserve">by including </w:t>
      </w:r>
      <w:r w:rsidR="00017F01">
        <w:t xml:space="preserve">all participants with </w:t>
      </w:r>
      <w:r w:rsidR="00055E87">
        <w:t>available data.</w:t>
      </w:r>
      <w:r w:rsidR="00017F01">
        <w:t xml:space="preserve"> </w:t>
      </w:r>
      <w:r w:rsidR="003703C4">
        <w:t xml:space="preserve">Given that </w:t>
      </w:r>
      <w:r w:rsidR="00E5790A">
        <w:t xml:space="preserve">insufficient sample size increases the variability of </w:t>
      </w:r>
      <w:r w:rsidR="00F85B3A">
        <w:t xml:space="preserve">analysis, we calculated the </w:t>
      </w:r>
      <w:r w:rsidR="00D47EDC">
        <w:t>c</w:t>
      </w:r>
      <w:r w:rsidR="00AF4BC2" w:rsidRPr="00AF4BC2">
        <w:t xml:space="preserve">oefficient of </w:t>
      </w:r>
      <w:r w:rsidR="00D47EDC">
        <w:t>v</w:t>
      </w:r>
      <w:r w:rsidR="00AF4BC2" w:rsidRPr="00AF4BC2">
        <w:t>ariation</w:t>
      </w:r>
      <w:r w:rsidR="00AF4BC2">
        <w:t xml:space="preserve"> </w:t>
      </w:r>
      <w:r w:rsidR="006A4433">
        <w:t xml:space="preserve">as </w:t>
      </w:r>
      <m:oMath>
        <m:f>
          <m:fPr>
            <m:ctrlPr>
              <w:rPr>
                <w:rFonts w:ascii="Cambria Math" w:hAnsi="Cambria Math"/>
                <w:i/>
              </w:rPr>
            </m:ctrlPr>
          </m:fPr>
          <m:num>
            <m:r>
              <w:rPr>
                <w:rFonts w:ascii="Cambria Math" w:hAnsi="Cambria Math"/>
              </w:rPr>
              <m:t>Standard Error</m:t>
            </m:r>
          </m:num>
          <m:den>
            <m:r>
              <w:rPr>
                <w:rFonts w:ascii="Cambria Math" w:hAnsi="Cambria Math"/>
              </w:rPr>
              <m:t>|β|</m:t>
            </m:r>
          </m:den>
        </m:f>
        <m:r>
          <w:rPr>
            <w:rFonts w:ascii="Cambria Math" w:hAnsi="Cambria Math"/>
          </w:rPr>
          <m:t>×100%</m:t>
        </m:r>
      </m:oMath>
      <w:r w:rsidR="00DB7F0A">
        <w:t xml:space="preserve"> to </w:t>
      </w:r>
      <w:r w:rsidR="00E72465">
        <w:t xml:space="preserve">assess the </w:t>
      </w:r>
      <w:r w:rsidR="00927E6D">
        <w:t xml:space="preserve">precision of </w:t>
      </w:r>
      <w:r w:rsidR="008152E6">
        <w:t>estimates</w:t>
      </w:r>
      <w:r w:rsidR="003703C4">
        <w:t>.</w:t>
      </w:r>
    </w:p>
    <w:p w14:paraId="18EF99E7" w14:textId="77777777" w:rsidR="00735CA9" w:rsidRPr="009D151A" w:rsidRDefault="00735CA9" w:rsidP="009D151A">
      <w:pPr>
        <w:spacing w:before="240" w:after="240"/>
        <w:rPr>
          <w:u w:val="single"/>
        </w:rPr>
      </w:pPr>
      <w:bookmarkStart w:id="5" w:name="_ququw24mqs4l" w:colFirst="0" w:colLast="0"/>
      <w:bookmarkStart w:id="6" w:name="_mav93l8hifia" w:colFirst="0" w:colLast="0"/>
      <w:bookmarkEnd w:id="5"/>
      <w:bookmarkEnd w:id="6"/>
      <w:r w:rsidRPr="009D151A">
        <w:rPr>
          <w:u w:val="single"/>
        </w:rPr>
        <w:t>Genotyping and imputation</w:t>
      </w:r>
    </w:p>
    <w:p w14:paraId="6893CFEE" w14:textId="0570867A" w:rsidR="00C060CA" w:rsidRPr="00735CA9" w:rsidRDefault="00735CA9" w:rsidP="00994686">
      <w:pPr>
        <w:spacing w:before="240" w:after="240"/>
      </w:pPr>
      <w:r>
        <w:t>For genotyping the cohort participants and their parents, we used cord tissue from the children, maternal blood samples collected during the 26</w:t>
      </w:r>
      <w:r>
        <w:rPr>
          <w:vertAlign w:val="superscript"/>
        </w:rPr>
        <w:t>th</w:t>
      </w:r>
      <w:r>
        <w:t xml:space="preserve"> week of pregnancy, and paternal buccal swab samples obtained approximately two to three years after the child’s birth, respectively. </w:t>
      </w:r>
      <w:r>
        <w:rPr>
          <w:rFonts w:ascii="Arial Unicode MS" w:eastAsia="Arial Unicode MS" w:hAnsi="Arial Unicode MS" w:cs="Arial Unicode MS"/>
        </w:rPr>
        <w:t>GUSTO child and parental genotyping was performed using the Infinium OmniExpressExome array. We removed genetic variants with minor allele frequencies (MAF) &lt; 0.05, call rates &lt; 95%, and p-value for Hardy-Weinberg equilibrium ≤10</w:t>
      </w:r>
      <w:r>
        <w:rPr>
          <w:vertAlign w:val="superscript"/>
        </w:rPr>
        <w:t>-6</w:t>
      </w:r>
      <w:r>
        <w:t>. Allele frequencies were compared to those in the 1000 Genomes Project reference panel (East Asian population for Chinese and Malay; South Asian population for Indian). Genetic variants with an allele frequency differing more than 0.2 for Chinese and Indian or 0.3 for Malay were excluded. The resulting data were pre-phased using SHAPEIT v2.837 with family trio information and then imputed using the Sanger Imputation Service. Imputed data with an INFO score &gt; 0.8 were retained. The final genotyping data were available for 1,025 mother-child dyads and 689 fathers after quality control</w:t>
      </w:r>
      <w:r w:rsidR="009D151A">
        <w:t xml:space="preserve"> (out of the </w:t>
      </w:r>
      <w:r w:rsidR="009D151A" w:rsidRPr="00D52239">
        <w:t>1,095 live, singleton births</w:t>
      </w:r>
      <w:r w:rsidR="009D151A">
        <w:t>)</w:t>
      </w:r>
      <w:r>
        <w:t>. Principal component analysis was applied to child genotyped data, and the first three principal components were generated using PLINK 2.0 and used to account for genetic ancestry in the downstream analyses</w:t>
      </w:r>
      <w:r w:rsidR="009D151A">
        <w:t xml:space="preserve">, given that </w:t>
      </w:r>
      <w:r w:rsidR="009D151A" w:rsidRPr="00D52239">
        <w:t xml:space="preserve">the </w:t>
      </w:r>
      <w:r w:rsidR="009D151A">
        <w:t>GUSTO</w:t>
      </w:r>
      <w:r w:rsidR="009D151A" w:rsidRPr="00D52239">
        <w:t xml:space="preserve"> families are of Chinese, Malay, or Indian ethnicity with homogeneous ethnic backgrounds</w:t>
      </w:r>
      <w:r w:rsidR="009D151A">
        <w:t>.</w:t>
      </w:r>
      <w:r w:rsidR="009D151A">
        <w:fldChar w:fldCharType="begin"/>
      </w:r>
      <w:r w:rsidR="00A323E5">
        <w:instrText xml:space="preserve"> ADDIN ZOTERO_ITEM CSL_CITATION {"citationID":"NTCoO4JG","properties":{"formattedCitation":"(23)","plainCitation":"(23)","noteIndex":0},"citationItems":[{"id":1214,"uris":["http://zotero.org/users/11760769/items/BIHTTZR3"],"itemData":{"id":1214,"type":"article-journal","abstract":"Integrating the genotype with epigenetic marks holds the promise of better understanding the biology that underlies the complex interactions of inherited and environmental components that define the developmental origins of a range of disorders. The quality of the in utero environment significantly influences health over the lifecourse. Epigenetics, and in particular DNA methylation marks, have been postulated as a mechanism for the enduring effects of the prenatal environment. Accordingly, neonate methylomes contain molecular memory of the individual in utero experience. However, interindividual variation in methylation can also be a consequence of DNA sequence polymorphisms that result in methylation quantitative trait loci (methQTLs) and, potentially, the interaction between fixed genetic variation and environmental influences. We surveyed the genotypes and DNA methylomes of 237 neonates and found 1423 punctuate regions of the methylome that were highly variable across individuals, termed variably methylated regions (VMRs), against a backdrop of homogeneity. MethQTLs were readily detected in neonatal methylomes, and genotype alone best explained </w:instrText>
      </w:r>
      <w:r w:rsidR="00A323E5">
        <w:rPr>
          <w:rFonts w:ascii="Cambria Math" w:hAnsi="Cambria Math" w:cs="Cambria Math"/>
        </w:rPr>
        <w:instrText>∼</w:instrText>
      </w:r>
      <w:r w:rsidR="00A323E5">
        <w:instrText xml:space="preserve">25% of the VMRs. We found that the best explanation for 75% of VMRs was the interaction of genotype with different in utero environments, including maternal smoking, maternal depression, maternal BMI, infant birth weight, gestational age, and birth order. Our study sheds new light on the complex relationship between biological inheritance as represented by genotype and individual prenatal experience and suggests the importance of considering both fixed genetic variation and environmental factors in interpreting epigenetic variation.","container-title":"Genome Research","DOI":"10.1101/gr.171439.113","ISSN":"1549-5469","issue":"7","journalAbbreviation":"Genome Res","language":"eng","note":"PMID: 24709820\nPMCID: PMC4079963","page":"1064-1074","source":"PubMed","title":"The effect of genotype and in utero environment on interindividual variation in neonate DNA methylomes","volume":"24","author":[{"family":"Teh","given":"Ai Ling"},{"family":"Pan","given":"Hong"},{"family":"Chen","given":"Li"},{"family":"Ong","given":"Mei-Lyn"},{"family":"Dogra","given":"Shaillay"},{"family":"Wong","given":"Johnny"},{"family":"MacIsaac","given":"Julia L."},{"family":"Mah","given":"Sarah M."},{"family":"McEwen","given":"Lisa M."},{"family":"Saw","given":"Seang-Mei"},{"family":"Godfrey","given":"Keith M."},{"family":"Chong","given":"Yap-Seng"},{"family":"Kwek","given":"Kenneth"},{"family":"Kwoh","given":"Chee-Keong"},{"family":"Soh","given":"Shu-E."},{"family":"Chong","given":"Mary F. F."},{"family":"Barton","given":"Sheila"},{"family":"Karnani","given":"Neerja"},{"family":"Cheong","given":"Clara Y."},{"family":"Buschdorf","given":"Jan Paul"},{"family":"Stünkel","given":"Walter"},{"family":"Kobor","given":"Michael S."},{"family":"Meaney","given":"Michael J."},{"family":"Gluckman","given":"Peter D."},{"family":"Holbrook","given":"Joanna D."}],"issued":{"date-parts":[["2014",7]]}}}],"schema":"https://github.com/citation-style-language/schema/raw/master/csl-citation.json"} </w:instrText>
      </w:r>
      <w:r w:rsidR="009D151A">
        <w:fldChar w:fldCharType="separate"/>
      </w:r>
      <w:r w:rsidR="009D151A" w:rsidRPr="008A120B">
        <w:t>(23)</w:t>
      </w:r>
      <w:r w:rsidR="009D151A">
        <w:fldChar w:fldCharType="end"/>
      </w:r>
    </w:p>
    <w:p w14:paraId="2E50BD83" w14:textId="51D4B796" w:rsidR="00E719FC" w:rsidRPr="00994686" w:rsidRDefault="007C7450" w:rsidP="00994686">
      <w:pPr>
        <w:spacing w:before="240" w:after="240"/>
        <w:rPr>
          <w:u w:val="single"/>
        </w:rPr>
      </w:pPr>
      <w:r w:rsidRPr="00994686">
        <w:rPr>
          <w:u w:val="single"/>
        </w:rPr>
        <w:t>Language development</w:t>
      </w:r>
    </w:p>
    <w:p w14:paraId="2E50BD84" w14:textId="42A82026" w:rsidR="00E719FC" w:rsidRPr="00D52239" w:rsidRDefault="007C7450">
      <w:pPr>
        <w:spacing w:after="200"/>
      </w:pPr>
      <w:r w:rsidRPr="00D52239">
        <w:t xml:space="preserve">Language development was assessed using the Peabody Picture Vocabulary Test, Fourth Edition (PPVT-4) at age 4 (N=702) and the Wechsler Individual Achievement Test, Third Edition (WIAT-III) at age 9 (N=365) in the GUSTO cohort. Both tests were conducted in English, the official language used in the Singaporean school system. </w:t>
      </w:r>
      <w:r w:rsidR="00A17301">
        <w:t>In brief, the PPVT-4 is an achievement test of receptive vocabulary conducted by letting the child choose one out of the four pictures corresponding to the word the experimenter said.</w:t>
      </w:r>
      <w:r w:rsidR="00A17301">
        <w:fldChar w:fldCharType="begin"/>
      </w:r>
      <w:r w:rsidR="00A323E5">
        <w:instrText xml:space="preserve"> ADDIN ZOTERO_ITEM CSL_CITATION {"citationID":"BLKoFyDx","properties":{"formattedCitation":"(24)","plainCitation":"(24)","noteIndex":0},"citationItems":[{"id":"KsjVSMqE/qNzlZ3Ze","uris":["http://zotero.org/users/local/QxLaFCKG/items/UFH3458H"],"itemData":{"id":6,"type":"dataset","DOI":"10.1037/t15144-000","language":"en","note":"Institution: American Psychological Association\nDOI: 10.1037/t15144-000","source":"DOI.org (Crossref)","title":"Peabody Picture Vocabulary Test--Fourth Edition","URL":"http://doi.apa.org/getdoi.cfm?doi=10.1037/t15144-000","author":[{"family":"Dunn","given":"Lloyd M."},{"family":"Dunn","given":"Douglas M."}],"accessed":{"date-parts":[["2024",1,7]]},"issued":{"date-parts":[["2012",11,12]]}}}],"schema":"https://github.com/citation-style-language/schema/raw/master/csl-citation.json"} </w:instrText>
      </w:r>
      <w:r w:rsidR="00A17301">
        <w:fldChar w:fldCharType="separate"/>
      </w:r>
      <w:r w:rsidR="00954685" w:rsidRPr="00954685">
        <w:t>(24)</w:t>
      </w:r>
      <w:r w:rsidR="00A17301">
        <w:fldChar w:fldCharType="end"/>
      </w:r>
      <w:r w:rsidR="00A17301">
        <w:t xml:space="preserve"> We used the WIAT-III to assess the children’s academic ability in listening, speaking, and writing.</w:t>
      </w:r>
      <w:r w:rsidR="00A17301">
        <w:fldChar w:fldCharType="begin"/>
      </w:r>
      <w:r w:rsidR="00A323E5">
        <w:instrText xml:space="preserve"> ADDIN ZOTERO_ITEM CSL_CITATION {"citationID":"ZkaK0gwk","properties":{"formattedCitation":"(25)","plainCitation":"(25)","noteIndex":0},"citationItems":[{"id":"KsjVSMqE/CvdTKIPU","uris":["http://zotero.org/users/local/QxLaFCKG/items/CTD2ZGXU"],"itemData":{"id":7,"type":"article-journal","container-title":"Applied Neuropsychology","DOI":"10.1080/09084282.2010.499803","ISSN":"1532-4826","issue":"3","journalAbbreviation":"Appl Neuropsychol","language":"eng","note":"PMID: 20799115","page":"234-236","source":"PubMed","title":"Wechsler Individual Achievement Test-III: what is the 'gold standard' for measuring academic achievement?","title-short":"Wechsler Individual Achievement Test-III","volume":"17","author":[{"family":"Burns","given":"Thomas G."}],"issued":{"date-parts":[["2010",7]]}}}],"schema":"https://github.com/citation-style-language/schema/raw/master/csl-citation.json"} </w:instrText>
      </w:r>
      <w:r w:rsidR="00A17301">
        <w:fldChar w:fldCharType="separate"/>
      </w:r>
      <w:r w:rsidR="00954685" w:rsidRPr="00954685">
        <w:t>(25)</w:t>
      </w:r>
      <w:r w:rsidR="00A17301">
        <w:fldChar w:fldCharType="end"/>
      </w:r>
      <w:r w:rsidR="00A17301">
        <w:t xml:space="preserve"> Specifically, a language-related composite score based on their performance in three WIAT-III tasks: pseudoword decoding, oral reading, and spelling. </w:t>
      </w:r>
      <w:r w:rsidRPr="00D52239">
        <w:t xml:space="preserve">Both the PPVT-4 and WIAT-III scores were standardised by study sample standard deviation in the following analyses. Distributions of PPVT-4 and WIAT-III raw scores among the GUSTO children are shown in </w:t>
      </w:r>
      <w:r w:rsidRPr="00D52239">
        <w:rPr>
          <w:b/>
        </w:rPr>
        <w:t>Supplementary Figure 2</w:t>
      </w:r>
      <w:r w:rsidRPr="00D52239">
        <w:t>.</w:t>
      </w:r>
    </w:p>
    <w:p w14:paraId="2E50BD85" w14:textId="77777777" w:rsidR="00E719FC" w:rsidRPr="00994686" w:rsidRDefault="007C7450" w:rsidP="00994686">
      <w:pPr>
        <w:spacing w:before="240" w:after="240"/>
        <w:rPr>
          <w:u w:val="single"/>
        </w:rPr>
      </w:pPr>
      <w:bookmarkStart w:id="7" w:name="_jfidu0xvgfk8" w:colFirst="0" w:colLast="0"/>
      <w:bookmarkEnd w:id="7"/>
      <w:r w:rsidRPr="00994686">
        <w:rPr>
          <w:u w:val="single"/>
        </w:rPr>
        <w:t>Neurology-related proteomics</w:t>
      </w:r>
    </w:p>
    <w:p w14:paraId="2E50BD86" w14:textId="31694E63" w:rsidR="00E719FC" w:rsidRPr="00D52239" w:rsidRDefault="007C7450">
      <w:r w:rsidRPr="00D52239">
        <w:lastRenderedPageBreak/>
        <w:t>Proteomic analysis was performed using the Olink Target 96 Neurology Panel.</w:t>
      </w:r>
      <w:r w:rsidR="00352423" w:rsidRPr="00D52239">
        <w:fldChar w:fldCharType="begin"/>
      </w:r>
      <w:r w:rsidR="00A323E5">
        <w:instrText xml:space="preserve"> ADDIN ZOTERO_ITEM CSL_CITATION {"citationID":"qHYEGXtY","properties":{"formattedCitation":"(26)","plainCitation":"(26)","noteIndex":0},"citationItems":[{"id":848,"uris":["http://zotero.org/users/11760769/items/MYWEKKKR"],"itemData":{"id":848,"type":"article-journal","container-title":"PLoS ONE","DOI":"10.1371/journal.pone.0095192","ISSN":"1932-6203","issue":"4","journalAbbreviation":"PLoS ONE","language":"en","page":"e95192","source":"DOI.org (Crossref)","title":"Homogenous 96-Plex PEA Immunoassay Exhibiting High Sensitivity, Specificity, and Excellent Scalability","volume":"9","author":[{"family":"Assarsson","given":"Erika"},{"family":"Lundberg","given":"Martin"},{"family":"Holmquist","given":"Göran"},{"family":"Björkesten","given":"Johan"},{"family":"Bucht Thorsen","given":"Stine"},{"family":"Ekman","given":"Daniel"},{"family":"Eriksson","given":"Anna"},{"family":"Rennel Dickens","given":"Emma"},{"family":"Ohlsson","given":"Sandra"},{"family":"Edfeldt","given":"Gabriella"},{"family":"Andersson","given":"Ann-Catrin"},{"family":"Lindstedt","given":"Patrik"},{"family":"Stenvang","given":"Jan"},{"family":"Gullberg","given":"Mats"},{"family":"Fredriksson","given":"Simon"}],"editor":[{"family":"Hoheisel","given":"Jörg D."}],"issued":{"date-parts":[["2014",4,22]]}}}],"schema":"https://github.com/citation-style-language/schema/raw/master/csl-citation.json"} </w:instrText>
      </w:r>
      <w:r w:rsidR="00352423" w:rsidRPr="00D52239">
        <w:fldChar w:fldCharType="separate"/>
      </w:r>
      <w:r w:rsidR="00954685" w:rsidRPr="00954685">
        <w:t>(26)</w:t>
      </w:r>
      <w:r w:rsidR="00352423" w:rsidRPr="00D52239">
        <w:fldChar w:fldCharType="end"/>
      </w:r>
      <w:r w:rsidRPr="00D52239">
        <w:rPr>
          <w:vertAlign w:val="superscript"/>
        </w:rPr>
        <w:t xml:space="preserve"> </w:t>
      </w:r>
      <w:r w:rsidRPr="00D52239">
        <w:t xml:space="preserve">This panel measures the expression levels of proteins that are implicated in neurobiological processes such as neural development and synaptic function, neurological diseases, and broader roles in processes such as cellular regulation, immunology, development and metabolism. In GUSTO, children’s fasting blood samples were collected during the follow-up at age ~8 years in tubes containing ethylenediamine tetraacetic acid (EDTA). </w:t>
      </w:r>
      <w:r w:rsidR="006D4C97">
        <w:t xml:space="preserve">Among the 1,095 children who remained in the cohort at delivery, EDTA plasma samples were available for 497 and were sent for proteomic analysis. </w:t>
      </w:r>
      <w:r w:rsidR="007445BF">
        <w:t xml:space="preserve">Olink’s internal control is spiked into the samples at the same concentration. Their levels are monitored for each sample and compared against the median level of internal control in the corresponding plate. If the controls differ by more than ±0.3 NPX, the sample is considered to fail the quality control. In our study, thirty-five samples failed Olink’s internal quality control and were excluded from this analysis. </w:t>
      </w:r>
      <w:r w:rsidRPr="00D52239">
        <w:t>Among the 92 neurology-related proteins being investigated (</w:t>
      </w:r>
      <w:r w:rsidRPr="00D52239">
        <w:rPr>
          <w:b/>
        </w:rPr>
        <w:t>Supplementary Table 2</w:t>
      </w:r>
      <w:r w:rsidRPr="00D52239">
        <w:t>), the expressions of five proteins (LXN (Q9BS40), GDNF (P39905), LAIR-2 (Q6ISS4), TMPRSS5 (Q9H3S3), HAGH (Q16775)) was below the limit of detection (LOD) for 0.2% to 1.5% of the samples and the expression of two proteins (Beta-NGF (P01138) and MAPT (P10636)) was below the LOD for over 90% of the samples. Olink Panel measures the protein expression in a relative quantification unit, Normalized Protein eXpression (NPX), in a log2 scale, thus one NPX difference represents a doubling of protein expression. For our analysis, we did not exclude measurements below the LOD.</w:t>
      </w:r>
    </w:p>
    <w:p w14:paraId="2E50BD87" w14:textId="77777777" w:rsidR="00E719FC" w:rsidRPr="00994686" w:rsidRDefault="007C7450" w:rsidP="00994686">
      <w:pPr>
        <w:spacing w:before="240" w:after="240"/>
        <w:rPr>
          <w:u w:val="single"/>
        </w:rPr>
      </w:pPr>
      <w:bookmarkStart w:id="8" w:name="_pnt41v4qxulo" w:colFirst="0" w:colLast="0"/>
      <w:bookmarkEnd w:id="8"/>
      <w:r w:rsidRPr="00994686">
        <w:rPr>
          <w:u w:val="single"/>
        </w:rPr>
        <w:t>MRI-based white matter microstructure measures</w:t>
      </w:r>
    </w:p>
    <w:p w14:paraId="2E50BD88" w14:textId="30DB326B" w:rsidR="00E719FC" w:rsidRPr="00D52239" w:rsidRDefault="007C7450">
      <w:r w:rsidRPr="00D52239">
        <w:t xml:space="preserve">A total of 425 participants underwent an MRI session of the brain at age ~7.5 years utilising a 3-Tesla scanner (Magnetom Skyra; Siemens, Germany). </w:t>
      </w:r>
      <w:r w:rsidR="007D5837">
        <w:t>Individuals with a head motion parameter over 3mm were excluded from the analysis.</w:t>
      </w:r>
      <w:r w:rsidR="007D5837" w:rsidRPr="00D52239">
        <w:t xml:space="preserve"> </w:t>
      </w:r>
      <w:r w:rsidRPr="00D52239">
        <w:t xml:space="preserve">White matter tract masks defined from AutoPtx were then applied to the </w:t>
      </w:r>
      <w:r w:rsidR="00FC6DA3">
        <w:t>fractional anisotropy (</w:t>
      </w:r>
      <w:r w:rsidRPr="00D52239">
        <w:t>FA</w:t>
      </w:r>
      <w:r w:rsidR="00FC6DA3">
        <w:t>)</w:t>
      </w:r>
      <w:r w:rsidRPr="00D52239">
        <w:t xml:space="preserve"> map to extract mean white matter FA along the white matter tracts of interest. FA indicates the directional coherence of water diffusivity and is a marker of axonal myelination. Increasing axonal myelination across development, indexed by a higher FA, is a key process of brain maturation as it increases signal transmission </w:t>
      </w:r>
      <w:r w:rsidR="006B3459" w:rsidRPr="00D52239">
        <w:t xml:space="preserve">efficiency </w:t>
      </w:r>
      <w:r w:rsidRPr="00D52239">
        <w:t>along white matter tracts.</w:t>
      </w:r>
      <w:r w:rsidR="00352423" w:rsidRPr="00D52239">
        <w:fldChar w:fldCharType="begin"/>
      </w:r>
      <w:r w:rsidR="00A323E5">
        <w:instrText xml:space="preserve"> ADDIN ZOTERO_ITEM CSL_CITATION {"citationID":"1uBLRkuk","properties":{"formattedCitation":"(27)","plainCitation":"(27)","noteIndex":0},"citationItems":[{"id":1154,"uris":["http://zotero.org/users/11760769/items/8YCNUBY7"],"itemData":{"id":1154,"type":"article-journal","container-title":"Trends in Neurosciences","DOI":"10.1016/j.tins.2008.04.001","ISSN":"01662236","issue":"7","journalAbbreviation":"Trends in Neurosciences","language":"en","page":"361-370","source":"DOI.org (Crossref)","title":"White matter in learning, cognition and psychiatric disorders","volume":"31","author":[{"family":"Fields","given":"R. Douglas"}],"issued":{"date-parts":[["2008",7]]}}}],"schema":"https://github.com/citation-style-language/schema/raw/master/csl-citation.json"} </w:instrText>
      </w:r>
      <w:r w:rsidR="00352423" w:rsidRPr="00D52239">
        <w:fldChar w:fldCharType="separate"/>
      </w:r>
      <w:r w:rsidR="00954685" w:rsidRPr="00954685">
        <w:t>(27)</w:t>
      </w:r>
      <w:r w:rsidR="00352423" w:rsidRPr="00D52239">
        <w:fldChar w:fldCharType="end"/>
      </w:r>
      <w:r w:rsidRPr="00D52239">
        <w:t xml:space="preserve"> In this analysis, the selection of regions of interest (ROIs) was based on reviews and meta-analyses conducted on the white matter language network.</w:t>
      </w:r>
      <w:r w:rsidR="00352423" w:rsidRPr="00D52239">
        <w:fldChar w:fldCharType="begin"/>
      </w:r>
      <w:r w:rsidR="00A323E5">
        <w:instrText xml:space="preserve"> ADDIN ZOTERO_ITEM CSL_CITATION {"citationID":"fTG1UyQj","properties":{"formattedCitation":"(28\\uc0\\u8211{}30)","plainCitation":"(28–30)","noteIndex":0},"citationItems":[{"id":1131,"uris":["http://zotero.org/users/11760769/items/DI93FMB9"],"itemData":{"id":1131,"type":"article-journal","abstract":"Language processing is a trait of human species. The knowledge about its neurobiological basis has been increased considerably over the past decades. Different brain regions in the left and right hemisphere have been identified to support particular language functions. Networks involving the temporal cortex and the inferior frontal cortex with a clear left lateralization were shown to support syntactic processes, whereas less lateralized temporo-frontal networks subserve semantic processes. These networks have been substantiated both by functional as well as by structural connectivity data. Electrophysiological measures indicate that within these networks syntactic processes of local structure building precede the assignment of grammatical and semantic relations in a sentence. Suprasegmental prosodic information overtly available in the acoustic language input is processed predominantly in a temporo-frontal network in the right hemisphere associated with a clear electrophysiological marker. Studies with patients suffering from lesions in the corpus callosum reveal that the posterior portion of this structure plays a crucial role in the interaction of syntactic and prosodic information during language processing.","container-title":"Physiological Reviews","DOI":"10.1152/physrev.00006.2011","ISSN":"1522-1210","issue":"4","journalAbbreviation":"Physiol Rev","language":"eng","note":"PMID: 22013214","page":"1357-1392","source":"PubMed","title":"The brain basis of language processing: from structure to function","title-short":"The brain basis of language processing","volume":"91","author":[{"family":"Friederici","given":"Angela D."}],"issued":{"date-parts":[["2011",10]]}}},{"id":1130,"uris":["http://zotero.org/users/11760769/items/N6MCZHEF"],"itemData":{"id":1130,"type":"article-journal","abstract":"In this review of 100 fMRI studies of speech comprehension and production, published in 2009, activation is reported for: prelexical speech perception in bilateral superior temporal gyri; meaningful speech in middle and inferior temporal cortex; semantic retrieval in the left angular gyrus and pars orbitalis; and sentence comprehension in bilateral superior temporal sulci. For incomprehensible sentences, activation increases in four inferior frontal regions, posterior planum temporale, and ventral supramarginal gyrus. These effects are associated with the use of prior knowledge of semantic associations, word sequences, and articulation that predict the content of the sentence. Speech production activates the same set of regions as speech comprehension but in addition, activation is reported for: word retrieval in left middle frontal cortex; articulatory planning in the left anterior insula; the initiation and execution of speech in left putamen, pre-SMA, SMA, and motor cortex; and for suppressing unintended responses in the anterior cingulate and bilateral head of caudate nuclei. Anatomical and functional connectivity studies are now required to identify the processing pathways that integrate these areas to support language.","container-title":"Annals of the New York Academy of Sciences","DOI":"10.1111/j.1749-6632.2010.05444.x","ISSN":"1749-6632","journalAbbreviation":"Ann N Y Acad Sci","language":"eng","note":"PMID: 20392276","page":"62-88","source":"PubMed","title":"The anatomy of language: a review of 100 fMRI studies published in 2009","title-short":"The anatomy of language","volume":"1191","author":[{"family":"Price","given":"Cathy J."}],"issued":{"date-parts":[["2010",3]]}}},{"id":1129,"uris":["http://zotero.org/users/11760769/items/A3N954S2"],"itemData":{"id":1129,"type":"article-journal","abstract":"Functional dissociations within the neural basis of auditory sentence processing are difficult to specify because phonological, syntactic and semantic information are all involved when sentences are perceived. In this review I argue that sentence processing is supported by a temporo-frontal network. Within this network, temporal regions subserve aspects of identification and frontal regions the building of syntactic and semantic relations. Temporal analyses of brain activation within this network support syntax-first models because they reveal that building of syntactic structure precedes semantic processes and that these interact only during a later stage.","container-title":"Trends in Cognitive Sciences","DOI":"10.1016/s1364-6613(00)01839-8","ISSN":"1364-6613","issue":"2","journalAbbreviation":"Trends Cogn Sci","language":"eng","note":"PMID: 15866191","page":"78-84","source":"PubMed","title":"Towards a neural basis of auditory sentence processing","volume":"6","author":[{"family":"Friederici","given":"Angela D."}],"issued":{"date-parts":[["2002",2,1]]}}}],"schema":"https://github.com/citation-style-language/schema/raw/master/csl-citation.json"} </w:instrText>
      </w:r>
      <w:r w:rsidR="00352423" w:rsidRPr="00D52239">
        <w:fldChar w:fldCharType="separate"/>
      </w:r>
      <w:r w:rsidR="00954685" w:rsidRPr="00954685">
        <w:t>(28–30)</w:t>
      </w:r>
      <w:r w:rsidR="00352423" w:rsidRPr="00D52239">
        <w:fldChar w:fldCharType="end"/>
      </w:r>
      <w:r w:rsidRPr="00D52239">
        <w:t xml:space="preserve"> </w:t>
      </w:r>
      <w:r w:rsidR="009F4AEA">
        <w:t xml:space="preserve">Both the dorsal stream, namely the superior longitudinal fasciculus, and the ventral stream, consisting of the inferior longitudinal fasciculus, inferior fronto-occipital fasciculus, and uncinate fasciculus, were included. </w:t>
      </w:r>
      <w:r w:rsidRPr="00D52239">
        <w:t xml:space="preserve">Medial lemniscus was included as a negative control, given that it primarily transports sensory information of conscious proprioception, vibration, fine touch, and two-point discrimination and has no language-related function. We conducted separate investigations on the right and left hemispheres. </w:t>
      </w:r>
    </w:p>
    <w:p w14:paraId="2E50BD89" w14:textId="1A2A83E2" w:rsidR="00E719FC" w:rsidRPr="00D52239" w:rsidRDefault="007C7450">
      <w:pPr>
        <w:pStyle w:val="Heading2"/>
        <w:pBdr>
          <w:top w:val="nil"/>
          <w:left w:val="nil"/>
          <w:bottom w:val="nil"/>
          <w:right w:val="nil"/>
          <w:between w:val="nil"/>
        </w:pBdr>
        <w:spacing w:after="200"/>
      </w:pPr>
      <w:bookmarkStart w:id="9" w:name="_x4n5tlstbndt" w:colFirst="0" w:colLast="0"/>
      <w:bookmarkEnd w:id="9"/>
      <w:r w:rsidRPr="00D52239">
        <w:t>Statisti</w:t>
      </w:r>
      <w:r w:rsidR="00653290">
        <w:t>cs</w:t>
      </w:r>
    </w:p>
    <w:p w14:paraId="5F550D45" w14:textId="77777777" w:rsidR="00905A77" w:rsidRDefault="00905A77" w:rsidP="00905A77">
      <w:pPr>
        <w:spacing w:after="200"/>
        <w:rPr>
          <w:u w:val="single"/>
        </w:rPr>
      </w:pPr>
      <w:r>
        <w:rPr>
          <w:u w:val="single"/>
        </w:rPr>
        <w:t>Summary-level genetic c</w:t>
      </w:r>
      <w:r w:rsidRPr="00D52239">
        <w:rPr>
          <w:u w:val="single"/>
        </w:rPr>
        <w:t>orrelation</w:t>
      </w:r>
      <w:r>
        <w:rPr>
          <w:u w:val="single"/>
        </w:rPr>
        <w:t xml:space="preserve"> and colocalisation</w:t>
      </w:r>
    </w:p>
    <w:p w14:paraId="745A3E76" w14:textId="173E0ABF" w:rsidR="00123B3D" w:rsidRPr="00905A77" w:rsidRDefault="00F803D9">
      <w:pPr>
        <w:spacing w:after="200"/>
      </w:pPr>
      <w:r w:rsidRPr="00D52239">
        <w:t xml:space="preserve">We performed </w:t>
      </w:r>
      <w:r w:rsidR="001F0C7E" w:rsidRPr="001F0C7E">
        <w:t xml:space="preserve">linkage disequilibrium score regression </w:t>
      </w:r>
      <w:r w:rsidRPr="00D52239">
        <w:t>(LD</w:t>
      </w:r>
      <w:r w:rsidR="00C9534B" w:rsidRPr="00C9534B">
        <w:t xml:space="preserve"> </w:t>
      </w:r>
      <w:r w:rsidR="00C9534B">
        <w:t>S</w:t>
      </w:r>
      <w:r w:rsidR="00C9534B" w:rsidRPr="001F0C7E">
        <w:t>core regression</w:t>
      </w:r>
      <w:r w:rsidRPr="00D52239">
        <w:t>) to assess the genetic correlation between child obesity-related traits and language-related skills,</w:t>
      </w:r>
      <w:r w:rsidRPr="00D52239">
        <w:fldChar w:fldCharType="begin"/>
      </w:r>
      <w:r w:rsidR="00A323E5">
        <w:instrText xml:space="preserve"> ADDIN ZOTERO_ITEM CSL_CITATION {"citationID":"8R3BTslG","properties":{"formattedCitation":"(31)","plainCitation":"(31)","noteIndex":0},"citationItems":[{"id":639,"uris":["http://zotero.org/users/11760769/items/7JSR9WFI"],"itemData":{"id":639,"type":"article-journal","abstract":"Both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size.","container-title":"Nature Genetics","DOI":"10.1038/ng.3211","ISSN":"1546-1718","issue":"3","journalAbbreviation":"Nat Genet","language":"eng","note":"PMID: 25642630\nPMCID: PMC4495769","page":"291-295","source":"PubMed","title":"LD Score regression distinguishes confounding from polygenicity in genome-wide association studies","volume":"47","author":[{"family":"Bulik-Sullivan","given":"Brendan K."},{"family":"Loh","given":"Po-Ru"},{"family":"Finucane","given":"Hilary K."},{"family":"Ripke","given":"Stephan"},{"family":"Yang","given":"Jian"},{"literal":"Schizophrenia Working Group of the Psychiatric Genomics Consortium"},{"family":"Patterson","given":"Nick"},{"family":"Daly","given":"Mark J."},{"family":"Price","given":"Alkes L."},{"family":"Neale","given":"Benjamin M."}],"issued":{"date-parts":[["2015",3]]}}}],"schema":"https://github.com/citation-style-language/schema/raw/master/csl-citation.json"} </w:instrText>
      </w:r>
      <w:r w:rsidRPr="00D52239">
        <w:fldChar w:fldCharType="separate"/>
      </w:r>
      <w:r w:rsidR="00954685" w:rsidRPr="00954685">
        <w:t>(31)</w:t>
      </w:r>
      <w:r w:rsidRPr="00D52239">
        <w:fldChar w:fldCharType="end"/>
      </w:r>
      <w:r w:rsidRPr="00D52239">
        <w:t xml:space="preserve"> and genetic colocalisation analysis to assess whether two traits share a genetic causal variant within a given genomic region.</w:t>
      </w:r>
      <w:r w:rsidRPr="00D52239">
        <w:fldChar w:fldCharType="begin"/>
      </w:r>
      <w:r w:rsidR="00A323E5">
        <w:instrText xml:space="preserve"> ADDIN ZOTERO_ITEM CSL_CITATION {"citationID":"LviWbegR","properties":{"formattedCitation":"(32)","plainCitation":"(32)","noteIndex":0},"citationItems":[{"id":902,"uris":["http://zotero.org/users/11760769/items/NGXIMAEN"],"itemData":{"id":902,"type":"article-journal","container-title":"PLoS Genetics","DOI":"10.1371/journal.pgen.1004383","ISSN":"1553-7404","issue":"5","journalAbbreviation":"PLoS Genet","language":"en","page":"e1004383","source":"DOI.org (Crossref)","title":"Bayesian Test for Colocalisation between Pairs of Genetic Association Studies Using Summary Statistics","volume":"10","author":[{"family":"Giambartolomei","given":"Claudia"},{"family":"Vukcevic","given":"Damjan"},{"family":"Schadt","given":"Eric E."},{"family":"Franke","given":"Lude"},{"family":"Hingorani","given":"Aroon D."},{"family":"Wallace","given":"Chris"},{"family":"Plagnol","given":"Vincent"}],"editor":[{"family":"Williams","given":"Scott M."}],"issued":{"date-parts":[["2014",5,15]]}}}],"schema":"https://github.com/citation-style-language/schema/raw/master/csl-citation.json"} </w:instrText>
      </w:r>
      <w:r w:rsidRPr="00D52239">
        <w:fldChar w:fldCharType="separate"/>
      </w:r>
      <w:r w:rsidR="00954685" w:rsidRPr="00954685">
        <w:t>(32)</w:t>
      </w:r>
      <w:r w:rsidRPr="00D52239">
        <w:fldChar w:fldCharType="end"/>
      </w:r>
      <w:r w:rsidRPr="00D52239">
        <w:t xml:space="preserve"> We reported the genetic correlation (r</w:t>
      </w:r>
      <w:r w:rsidRPr="00D52239">
        <w:rPr>
          <w:vertAlign w:val="subscript"/>
        </w:rPr>
        <w:t>g</w:t>
      </w:r>
      <w:r w:rsidRPr="00D52239">
        <w:t xml:space="preserve">) between each </w:t>
      </w:r>
      <w:r w:rsidRPr="00D52239">
        <w:lastRenderedPageBreak/>
        <w:t>obesity-related trait and each language-related skill.</w:t>
      </w:r>
      <w:r w:rsidR="00790878">
        <w:t xml:space="preserve"> </w:t>
      </w:r>
      <w:r w:rsidR="00790878" w:rsidRPr="00D52239">
        <w:t xml:space="preserve">For genetic colocalisation, we extracted 392 independent loci reported by the three GWAS of obesity-related traits and focused on the genomic region ±100kb from each independent locus. We investigated colocalisation between each obesity-related trait and each language-related skill under a single causal variant assumption. </w:t>
      </w:r>
      <w:r w:rsidR="00F72948">
        <w:t xml:space="preserve">One locus (rs146980124) was excluded from this analysis, given that no overlapping SNPs between GWAS of obesity-related traits and language-related skills were found within ±100kb from this locus. </w:t>
      </w:r>
      <w:r w:rsidR="00790878" w:rsidRPr="00D52239">
        <w:t>A posterior probability of sharing a common causal variant (PP.H4) greater than 0.80 was considered the evidence for colocalisation.</w:t>
      </w:r>
    </w:p>
    <w:p w14:paraId="2C7CEE78" w14:textId="3836C547" w:rsidR="00B27982" w:rsidRPr="00D52239" w:rsidRDefault="00B27982" w:rsidP="00B27982">
      <w:pPr>
        <w:spacing w:after="200"/>
        <w:rPr>
          <w:u w:val="single"/>
        </w:rPr>
      </w:pPr>
      <w:r>
        <w:rPr>
          <w:u w:val="single"/>
        </w:rPr>
        <w:t>GUSTO c</w:t>
      </w:r>
      <w:r w:rsidRPr="00D52239">
        <w:rPr>
          <w:u w:val="single"/>
        </w:rPr>
        <w:t>ohort characteristics</w:t>
      </w:r>
    </w:p>
    <w:p w14:paraId="4D8D7404" w14:textId="7BD74649" w:rsidR="00123B3D" w:rsidRPr="00B27982" w:rsidRDefault="00B27982" w:rsidP="00B24721">
      <w:pPr>
        <w:spacing w:after="200"/>
      </w:pPr>
      <w:r w:rsidRPr="00D52239">
        <w:t xml:space="preserve">We tabulated descriptive statistics for covariates and compared their means and proportions in the full GUSTO cohort with those in the sub-samples with both child PRS and language development outcomes under investigation in this study. We used a </w:t>
      </w:r>
      <w:r w:rsidR="00B24721">
        <w:t xml:space="preserve">Mann-Whitney </w:t>
      </w:r>
      <w:r w:rsidR="00B24721" w:rsidRPr="003D3A79">
        <w:rPr>
          <w:i/>
          <w:iCs/>
          <w:u w:val="single"/>
        </w:rPr>
        <w:t>U</w:t>
      </w:r>
      <w:r w:rsidR="00B24721">
        <w:t xml:space="preserve">-test </w:t>
      </w:r>
      <w:r w:rsidRPr="00D52239">
        <w:t xml:space="preserve">for continuous covariates (maternal pre-pregnancy BMI, age at delivery, and gestational age at birth) </w:t>
      </w:r>
      <w:r w:rsidR="00A94510">
        <w:t xml:space="preserve">given </w:t>
      </w:r>
      <w:r w:rsidR="002E1433">
        <w:t xml:space="preserve">that </w:t>
      </w:r>
      <w:r w:rsidR="006B2EB7">
        <w:t xml:space="preserve">the </w:t>
      </w:r>
      <w:r w:rsidR="002E1433">
        <w:t>normality assumption was not fulfilled</w:t>
      </w:r>
      <w:r w:rsidR="0030087B">
        <w:t xml:space="preserve"> (see </w:t>
      </w:r>
      <w:r w:rsidR="0066308F" w:rsidRPr="004923ED">
        <w:rPr>
          <w:b/>
          <w:bCs/>
        </w:rPr>
        <w:t>Supplementary Figure 3</w:t>
      </w:r>
      <w:r w:rsidR="0066308F">
        <w:t xml:space="preserve"> for </w:t>
      </w:r>
      <w:r w:rsidR="0030087B">
        <w:t>Q-Q plots</w:t>
      </w:r>
      <w:r w:rsidR="0066308F">
        <w:t>)</w:t>
      </w:r>
      <w:r w:rsidR="002E1433">
        <w:t xml:space="preserve"> </w:t>
      </w:r>
      <w:r w:rsidRPr="00D52239">
        <w:t>and a chi-squared test for categorical covariates (child sex, ethnicity, maternal highest educational level household monthly income, parity, and maternal status of GDM).</w:t>
      </w:r>
      <w:r w:rsidR="00327949">
        <w:t xml:space="preserve"> </w:t>
      </w:r>
      <w:r w:rsidR="00D15ACA">
        <w:t xml:space="preserve">In our analyses, we included </w:t>
      </w:r>
      <w:r w:rsidR="00D15ACA" w:rsidRPr="00910C50">
        <w:t>covariate</w:t>
      </w:r>
      <w:r w:rsidR="00D15ACA">
        <w:t>s</w:t>
      </w:r>
      <w:r w:rsidR="00D15ACA" w:rsidRPr="00910C50">
        <w:t xml:space="preserve"> that </w:t>
      </w:r>
      <w:r w:rsidR="00D15ACA">
        <w:t>are</w:t>
      </w:r>
      <w:r w:rsidR="00D15ACA" w:rsidRPr="00910C50">
        <w:t xml:space="preserve"> a cause of the exposure, or of the outcome, or of both</w:t>
      </w:r>
      <w:r w:rsidR="00D15ACA">
        <w:t xml:space="preserve">, according to the </w:t>
      </w:r>
      <w:r w:rsidR="00D15ACA" w:rsidRPr="00FF6608">
        <w:t>disjunctive cause criterion</w:t>
      </w:r>
      <w:r w:rsidR="00B114C8">
        <w:t xml:space="preserve"> (see </w:t>
      </w:r>
      <w:r w:rsidR="00B114C8" w:rsidRPr="00711B3A">
        <w:rPr>
          <w:b/>
          <w:bCs/>
        </w:rPr>
        <w:t xml:space="preserve">Supplementary Figure </w:t>
      </w:r>
      <w:r w:rsidR="0037546C">
        <w:rPr>
          <w:b/>
          <w:bCs/>
        </w:rPr>
        <w:t>4</w:t>
      </w:r>
      <w:r w:rsidR="00B114C8">
        <w:t xml:space="preserve"> for</w:t>
      </w:r>
      <w:r w:rsidR="00B53B24">
        <w:t xml:space="preserve"> the </w:t>
      </w:r>
      <w:r w:rsidR="00B53B24" w:rsidRPr="00B53B24">
        <w:t>directed acyclic graph</w:t>
      </w:r>
      <w:r w:rsidR="00B53B24">
        <w:t>s)</w:t>
      </w:r>
      <w:r w:rsidR="00D15ACA">
        <w:t>.</w:t>
      </w:r>
      <w:r w:rsidR="00A323E5">
        <w:fldChar w:fldCharType="begin"/>
      </w:r>
      <w:r w:rsidR="00A323E5">
        <w:instrText xml:space="preserve"> ADDIN ZOTERO_ITEM CSL_CITATION {"citationID":"a22ru12vj6k","properties":{"formattedCitation":"(33)","plainCitation":"(33)","noteIndex":0},"citationItems":[{"id":1227,"uris":["http://zotero.org/users/11760769/items/JBQL9D3B"],"itemData":{"id":1227,"type":"article-journal","abstract":"Abstract\n            Selecting an appropriate set of confounders for which to control is critical for reliable causal inference. Recent theoretical and methodological developments have helped clarify a number of principles of confounder selection. When complete knowledge of a causal diagram relating all covariates to each other is available, graphical rules can be used to make decisions about covariate control. Unfortunately, such complete knowledge is often unavailable. This paper puts forward a practical approach to confounder selection decisions when the somewhat less stringent assumption is made that knowledge is available for each covariate whether it is a cause of the exposure, and whether it is a cause of the outcome. Based on recent theoretically justified developments in the causal inference literature, the following proposal is made for covariate control decisions: control for each covariate that is a cause of the exposure, or of the outcome, or of both; exclude from this set any variable known to be an instrumental variable; and include as a covariate any proxy for an unmeasured variable that is a common cause of both the exposure and the outcome. Various principles of confounder selection are then further related to statistical covariate selection methods.","container-title":"European Journal of Epidemiology","DOI":"10.1007/s10654-019-00494-6","ISSN":"0393-2990, 1573-7284","issue":"3","journalAbbreviation":"Eur J Epidemiol","language":"en","page":"211-219","source":"DOI.org (Crossref)","title":"Principles of confounder selection","volume":"34","author":[{"family":"VanderWeele","given":"Tyler J."}],"issued":{"date-parts":[["2019",3,15]]}}}],"schema":"https://github.com/citation-style-language/schema/raw/master/csl-citation.json"} </w:instrText>
      </w:r>
      <w:r w:rsidR="00A323E5">
        <w:fldChar w:fldCharType="separate"/>
      </w:r>
      <w:r w:rsidR="00A323E5" w:rsidRPr="00A323E5">
        <w:t>(33)</w:t>
      </w:r>
      <w:r w:rsidR="00A323E5">
        <w:fldChar w:fldCharType="end"/>
      </w:r>
    </w:p>
    <w:p w14:paraId="7855B7F9" w14:textId="30B8BE0F" w:rsidR="00A1449E" w:rsidRPr="00994686" w:rsidRDefault="00A1449E" w:rsidP="00A1449E">
      <w:pPr>
        <w:spacing w:before="240" w:after="240"/>
        <w:rPr>
          <w:u w:val="single"/>
        </w:rPr>
      </w:pPr>
      <w:r w:rsidRPr="00994686">
        <w:rPr>
          <w:u w:val="single"/>
        </w:rPr>
        <w:t xml:space="preserve">Trans-ancestry polygenic risk score (PRS) </w:t>
      </w:r>
      <w:r w:rsidR="00A0029D" w:rsidRPr="00D52239">
        <w:rPr>
          <w:u w:val="single"/>
        </w:rPr>
        <w:t>for obesity</w:t>
      </w:r>
    </w:p>
    <w:p w14:paraId="2E50BD8C" w14:textId="7CF2C5D9" w:rsidR="00E719FC" w:rsidRPr="00A0029D" w:rsidRDefault="00A1449E" w:rsidP="00A0029D">
      <w:pPr>
        <w:spacing w:before="240" w:after="240"/>
      </w:pPr>
      <w:r w:rsidRPr="00D52239">
        <w:t xml:space="preserve">We employed a trans-ancestry </w:t>
      </w:r>
      <w:r w:rsidR="00A81C47">
        <w:t xml:space="preserve">Bayesian </w:t>
      </w:r>
      <w:r w:rsidRPr="00D52239">
        <w:t>PRS method, PRS-CSx, to enhance the estimation of genetic effect sizes across different populations.</w:t>
      </w:r>
      <w:r w:rsidRPr="00D52239">
        <w:fldChar w:fldCharType="begin"/>
      </w:r>
      <w:r w:rsidR="00A323E5">
        <w:instrText xml:space="preserve"> ADDIN ZOTERO_ITEM CSL_CITATION {"citationID":"yrj0SEbM","properties":{"formattedCitation":"(15)","plainCitation":"(15)","noteIndex":0},"citationItems":[{"id":83,"uris":["http://zotero.org/users/11760769/items/CK5M24F6"],"itemData":{"id":83,"type":"article-journal","container-title":"Nature Genetics","DOI":"10.1038/s41588-022-01054-7","ISSN":"1061-4036, 1546-1718","issue":"5","journalAbbreviation":"Nat Genet","language":"en","page":"573-580","source":"DOI.org (Crossref)","title":"Improving polygenic prediction in ancestrally diverse populations","volume":"54","author":[{"family":"Ruan","given":"Yunfeng"},{"family":"Lin","given":"Yen-Feng"},{"family":"Feng","given":"Yen-Chen Anne"},{"family":"Chen","given":"Chia-Yen"},{"family":"Lam","given":"Max"},{"family":"Guo","given":"Zhenglin"},{"literal":"Stanley Global Asia Initiatives"},{"family":"Ahn","given":"Yong Min"},{"family":"Akiyama","given":"Kazufumi"},{"family":"Arai","given":"Makoto"},{"family":"Baek","given":"Ji Hyun"},{"family":"Chen","given":"Wei J."},{"family":"Chung","given":"Young-Chul"},{"family":"Feng","given":"Gang"},{"family":"Fujii","given":"Kumiko"},{"family":"Glatt","given":"Stephen J."},{"family":"Ha","given":"Kyooseob"},{"family":"Hattori","given":"Kotaro"},{"family":"Higuchi","given":"Teruhiko"},{"family":"Hishimoto","given":"Akitoyo"},{"family":"Hong","given":"Kyung Sue"},{"family":"Horiuchi","given":"Yasue"},{"family":"Hwu","given":"Hai-Gwo"},{"family":"Ikeda","given":"Masashi"},{"family":"Ishiwata","given":"Sayuri"},{"family":"Itokawa","given":"Masanari"},{"family":"Iwata","given":"Nakao"},{"family":"Joo","given":"Eun-Jeong"},{"family":"Kahn","given":"Rene S."},{"family":"Kim","given":"Sung-Wan"},{"family":"Kim","given":"Se Joo"},{"family":"Kim","given":"Se Hyun"},{"family":"Kinoshita","given":"Makoto"},{"family":"Kunugi","given":"Hiroshi"},{"family":"Kusumawardhani","given":"Agung"},{"family":"Lee","given":"Jimmy"},{"family":"Lee","given":"Byung Dae"},{"family":"Lee","given":"Heon-Jeong"},{"family":"Liu","given":"Jianjun"},{"family":"Liu","given":"Ruize"},{"family":"Ma","given":"Xiancang"},{"family":"Myung","given":"Woojae"},{"family":"Numata","given":"Shusuke"},{"family":"Ohmori","given":"Tetsuro"},{"family":"Otsuka","given":"Ikuo"},{"family":"Ozeki","given":"Yuji"},{"family":"Schwab","given":"Sibylle G."},{"family":"Shi","given":"Wenzhao"},{"family":"Shimoda","given":"Kazutaka"},{"family":"Sim","given":"Kang"},{"family":"Sora","given":"Ichiro"},{"family":"Tang","given":"Jinsong"},{"family":"Toyota","given":"Tomoko"},{"family":"Tsuang","given":"Ming"},{"family":"Wildenauer","given":"Dieter B."},{"family":"Won","given":"Hong-Hee"},{"family":"Yoshikawa","given":"Takeo"},{"family":"Zheng","given":"Alice"},{"family":"Zhu","given":"Feng"},{"family":"He","given":"Lin"},{"family":"Sawa","given":"Akira"},{"family":"Martin","given":"Alicia R."},{"family":"Qin","given":"Shengying"},{"family":"Huang","given":"Hailiang"},{"family":"Ge","given":"Tian"}],"issued":{"date-parts":[["2022",5]]}}}],"schema":"https://github.com/citation-style-language/schema/raw/master/csl-citation.json"} </w:instrText>
      </w:r>
      <w:r w:rsidRPr="00D52239">
        <w:fldChar w:fldCharType="separate"/>
      </w:r>
      <w:r w:rsidR="008A120B" w:rsidRPr="008A120B">
        <w:t>(15)</w:t>
      </w:r>
      <w:r w:rsidRPr="00D52239">
        <w:fldChar w:fldCharType="end"/>
      </w:r>
      <w:r w:rsidRPr="00D52239">
        <w:t xml:space="preserve"> In brief, a shared continuous shrinkage (CS) prior was used to infer posterior SNP effect sizes using the GWAS summary statistics of different ancestries and the ancestry-matched LD reference panels. </w:t>
      </w:r>
      <w:r w:rsidR="0070174B">
        <w:t>In this study, we applied the “auto” feature of PRS-CSx, which is designed to automatically determine the global shrinkage parameter from the discovery summary statistics. Population-specific posterior SNP effect sizes were then combined using an inverse-variance-weighted meta-analysis. Finally, PRS was calculated based on the meta-analysed posterior SNP effect sizes using PRSice-2.</w:t>
      </w:r>
      <w:r w:rsidR="008477DF">
        <w:fldChar w:fldCharType="begin"/>
      </w:r>
      <w:r w:rsidR="00A323E5">
        <w:instrText xml:space="preserve"> ADDIN ZOTERO_ITEM CSL_CITATION {"citationID":"5gFpad14","properties":{"formattedCitation":"(34)","plainCitation":"(34)","noteIndex":0},"citationItems":[{"id":844,"uris":["http://zotero.org/users/11760769/items/9URSUMZD"],"itemData":{"id":844,"type":"article-journal","abstract":"Abstract\n            \n              Background\n              Polygenic risk score (PRS) analyses have become an integral part of biomedical research, exploited to gain insights into shared aetiology among traits, to control for genomic profile in experimental studies, and to strengthen causal inference, among a range of applications. Substantial efforts are now devoted to biobank projects to collect large genetic and phenotypic data, providing unprecedented opportunity for genetic discovery and applications. To process the large-scale data provided by such biobank resources, highly efficient and scalable methods and software are required.\n            \n            \n              Results\n              Here we introduce PRSice-2, an efficient and scalable software program for automating and simplifying PRS analyses on large-scale data. PRSice-2 handles both genotyped and imputed data, provides empirical association P-values free from inflation due to overfitting, supports different inheritance models, and can evaluate multiple continuous and binary target traits simultaneously. We demonstrate that PRSice-2 is dramatically faster and more memory-efficient than PRSice-1 and alternative PRS software, LDpred and lassosum, while having comparable predictive power.\n            \n            \n              Conclusion\n              PRSice-2's combination of efficiency and power will be increasingly important as data sizes grow and as the applications of PRS become more sophisticated, e.g., when incorporated into high-dimensional or gene set–based analyses. PRSice-2 is written in C++, with an R script for plotting, and is freely available for download from http://PRSice.info.","container-title":"GigaScience","DOI":"10.1093/gigascience/giz082","ISSN":"2047-217X","issue":"7","language":"en","page":"giz082","source":"DOI.org (Crossref)","title":"PRSice-2: Polygenic Risk Score software for biobank-scale data","title-short":"PRSice-2","volume":"8","author":[{"family":"Choi","given":"Shing Wan"},{"family":"O'Reilly","given":"Paul F"}],"issued":{"date-parts":[["2019",7,1]]}}}],"schema":"https://github.com/citation-style-language/schema/raw/master/csl-citation.json"} </w:instrText>
      </w:r>
      <w:r w:rsidR="008477DF">
        <w:fldChar w:fldCharType="separate"/>
      </w:r>
      <w:r w:rsidR="00A323E5" w:rsidRPr="00A323E5">
        <w:t>(34)</w:t>
      </w:r>
      <w:r w:rsidR="008477DF">
        <w:fldChar w:fldCharType="end"/>
      </w:r>
      <w:r w:rsidR="0070174B">
        <w:t xml:space="preserve"> Given that PRS-CSx adopts a Bayesian polygenic framework, LD clumping and P-value thresholding are not performed.</w:t>
      </w:r>
      <w:r w:rsidR="0057341C">
        <w:t xml:space="preserve"> </w:t>
      </w:r>
      <w:r w:rsidRPr="00D52239">
        <w:t>Specifically, we constructed PRS for obesity for the GUSTO children and parents using East Asian</w:t>
      </w:r>
      <w:r w:rsidR="004911C8">
        <w:t xml:space="preserve"> and European</w:t>
      </w:r>
      <w:r w:rsidRPr="00D52239">
        <w:t xml:space="preserve"> GWAS of BMI </w:t>
      </w:r>
      <w:r w:rsidR="00362178">
        <w:t>along with t</w:t>
      </w:r>
      <w:r w:rsidRPr="00D52239">
        <w:t>he 1000 Genomes Project EAS and EUR LD reference panels to estimate the cross-population effect sizes.</w:t>
      </w:r>
      <w:r w:rsidR="00291DB8">
        <w:t xml:space="preserve"> </w:t>
      </w:r>
      <w:r w:rsidR="00DF67AA">
        <w:t xml:space="preserve">Details of the GWAS are summarised in </w:t>
      </w:r>
      <w:r w:rsidR="00DF67AA">
        <w:rPr>
          <w:b/>
        </w:rPr>
        <w:t>Supplementary Table 1</w:t>
      </w:r>
      <w:r w:rsidR="00DF67AA">
        <w:t>. Ultimately, the meta-analysed posterior effect sizes of 862,759 SNPs were estimated and used for the final PRS construction. PRS are standardised by study sample standard deviation for downstream analyses.</w:t>
      </w:r>
    </w:p>
    <w:p w14:paraId="2E50BD8D" w14:textId="21D3393E" w:rsidR="00E719FC" w:rsidRPr="00D52239" w:rsidRDefault="00903A7D">
      <w:r>
        <w:t xml:space="preserve">To assess the association between PRS and child obesity, </w:t>
      </w:r>
      <w:r w:rsidR="007C7450" w:rsidRPr="00D52239">
        <w:t>we applied</w:t>
      </w:r>
      <w:r w:rsidR="00197806">
        <w:t xml:space="preserve"> </w:t>
      </w:r>
      <w:r w:rsidR="003A0D4D">
        <w:t>linear</w:t>
      </w:r>
      <w:r w:rsidR="003A0D4D" w:rsidRPr="00D52239">
        <w:t xml:space="preserve"> </w:t>
      </w:r>
      <w:r w:rsidR="00A81614" w:rsidRPr="00D52239">
        <w:t>Generalized Estimating Equation (GEE)</w:t>
      </w:r>
      <w:r w:rsidR="00BD6C89">
        <w:t xml:space="preserve"> </w:t>
      </w:r>
      <w:r w:rsidR="003A0D4D">
        <w:t>models</w:t>
      </w:r>
      <w:r w:rsidR="003A0D4D" w:rsidRPr="00D52239">
        <w:t xml:space="preserve"> </w:t>
      </w:r>
      <w:r w:rsidR="007C7450" w:rsidRPr="00D52239">
        <w:t>to estimate the average change in the BMI</w:t>
      </w:r>
      <w:r w:rsidR="00A81614">
        <w:t xml:space="preserve"> </w:t>
      </w:r>
      <w:r w:rsidR="00A81614" w:rsidRPr="00D52239">
        <w:t>(age 3 to 9 years)</w:t>
      </w:r>
      <w:r w:rsidR="007C7450" w:rsidRPr="00D52239">
        <w:t xml:space="preserve"> or fat percentage </w:t>
      </w:r>
      <w:r w:rsidR="00A81614" w:rsidRPr="00D52239">
        <w:t xml:space="preserve">(age 5 to 9 years) </w:t>
      </w:r>
      <w:r w:rsidR="007C7450" w:rsidRPr="00D52239">
        <w:t>per unit higher in child PRS for obesity.</w:t>
      </w:r>
      <w:r w:rsidR="00A81614" w:rsidRPr="00D52239">
        <w:fldChar w:fldCharType="begin"/>
      </w:r>
      <w:r w:rsidR="00A323E5">
        <w:instrText xml:space="preserve"> ADDIN ZOTERO_ITEM CSL_CITATION {"citationID":"ldK2bt4E","properties":{"formattedCitation":"(35)","plainCitation":"(35)","noteIndex":0},"citationItems":[{"id":1097,"uris":["http://zotero.org/users/11760769/items/N284EZI9"],"itemData":{"id":1097,"type":"article-journal","abstract":"The generalized estimating equation (GEE) approach of Zeger and Liang facilitates analysis of data collected in longitudinal, nested, or repeated measures designs. GEEs use the generalized linear model to estimate more efficient and unbiased regression parameters relative to ordinary least squares regression in part because they permit specification of a working correlation matrix that accounts for the form of within-subject correlation of responses on dependent variables of many different distributions, including normal, binomial, and Poisson. The author briefly explains the theory behind GEEs and their beneficial statistical properties and limitations and compares GEEs to suboptimal approaches for analyzing longitudinal data through use of two examples. The first demonstration applies GEEs to the analysis of data from a longitudinal lab study with a counted response variable; the second demonstration applies GEEs to analysis of data with a normally distributed response variable from subjects nested within branch offices ofan organization.","container-title":"Organizational Research Methods","DOI":"10.1177/1094428104263672","ISSN":"1094-4281, 1552-7425","issue":"2","journalAbbreviation":"Organizational Research Methods","language":"en","page":"127-150","source":"DOI.org (Crossref)","title":"Using Generalized Estimating Equations for Longitudinal Data Analysis","volume":"7","author":[{"family":"Ballinger","given":"Gary A."}],"issued":{"date-parts":[["2004",4]]}}}],"schema":"https://github.com/citation-style-language/schema/raw/master/csl-citation.json"} </w:instrText>
      </w:r>
      <w:r w:rsidR="00A81614" w:rsidRPr="00D52239">
        <w:fldChar w:fldCharType="separate"/>
      </w:r>
      <w:r w:rsidR="00A323E5" w:rsidRPr="00A323E5">
        <w:t>(35)</w:t>
      </w:r>
      <w:r w:rsidR="00A81614" w:rsidRPr="00D52239">
        <w:fldChar w:fldCharType="end"/>
      </w:r>
      <w:r w:rsidR="007C7450" w:rsidRPr="00D52239">
        <w:t xml:space="preserve"> </w:t>
      </w:r>
      <w:r w:rsidR="007A37D7">
        <w:t>In brief, GEE accommodates longitudinal data by specifying a correlation structure for the repeated measurements, thereby adjusting for within-subject correlation. In this study, w</w:t>
      </w:r>
      <w:r w:rsidR="00F41BF3">
        <w:t xml:space="preserve">e used GEE models </w:t>
      </w:r>
      <w:r w:rsidR="009F3610">
        <w:t xml:space="preserve">with </w:t>
      </w:r>
      <w:r w:rsidR="00A10E77">
        <w:t>a c</w:t>
      </w:r>
      <w:r w:rsidR="00A10E77" w:rsidRPr="00A10E77">
        <w:t>luster-robust variance estimator</w:t>
      </w:r>
      <w:r w:rsidR="00A10E77">
        <w:t xml:space="preserve"> and </w:t>
      </w:r>
      <w:r w:rsidR="009F3610">
        <w:t>the first-order autoregressive structure (AR1), assuming correlations to be highest between adjacent time points.</w:t>
      </w:r>
      <w:r w:rsidR="009F3610" w:rsidRPr="00D52239">
        <w:t xml:space="preserve"> </w:t>
      </w:r>
      <w:r w:rsidR="007C7450" w:rsidRPr="00D52239">
        <w:t xml:space="preserve">We adjusted for child age at the time of BMI and fat percentage measure and covariates, </w:t>
      </w:r>
      <w:r w:rsidR="007C7450" w:rsidRPr="00D52239">
        <w:lastRenderedPageBreak/>
        <w:t>including child sex, genetic ancestry, maternal highest educational level, household monthly income, gestational age at birth, maternal age at delivery, maternal pre-pregnancy BMI, parity, maternal status of GDM. We also adjusted for maternal and paternal PRS for obesity to account for the effects of parental genomes (genetic nurture). We estimated marginal R</w:t>
      </w:r>
      <w:r w:rsidR="007C7450" w:rsidRPr="00D52239">
        <w:rPr>
          <w:vertAlign w:val="superscript"/>
        </w:rPr>
        <w:t>2</w:t>
      </w:r>
      <w:r w:rsidR="007C7450" w:rsidRPr="00D52239">
        <w:t xml:space="preserve"> to assess the variance explained by a GEE model, including child PRS, sex, and age at the time of BMI and fat percentage measure.</w:t>
      </w:r>
      <w:r w:rsidR="00352423" w:rsidRPr="00D52239">
        <w:fldChar w:fldCharType="begin"/>
      </w:r>
      <w:r w:rsidR="00A323E5">
        <w:instrText xml:space="preserve"> ADDIN ZOTERO_ITEM CSL_CITATION {"citationID":"VxH4gZN1","properties":{"formattedCitation":"(35)","plainCitation":"(35)","noteIndex":0},"citationItems":[{"id":1097,"uris":["http://zotero.org/users/11760769/items/N284EZI9"],"itemData":{"id":1097,"type":"article-journal","abstract":"The generalized estimating equation (GEE) approach of Zeger and Liang facilitates analysis of data collected in longitudinal, nested, or repeated measures designs. GEEs use the generalized linear model to estimate more efficient and unbiased regression parameters relative to ordinary least squares regression in part because they permit specification of a working correlation matrix that accounts for the form of within-subject correlation of responses on dependent variables of many different distributions, including normal, binomial, and Poisson. The author briefly explains the theory behind GEEs and their beneficial statistical properties and limitations and compares GEEs to suboptimal approaches for analyzing longitudinal data through use of two examples. The first demonstration applies GEEs to the analysis of data from a longitudinal lab study with a counted response variable; the second demonstration applies GEEs to analysis of data with a normally distributed response variable from subjects nested within branch offices ofan organization.","container-title":"Organizational Research Methods","DOI":"10.1177/1094428104263672","ISSN":"1094-4281, 1552-7425","issue":"2","journalAbbreviation":"Organizational Research Methods","language":"en","page":"127-150","source":"DOI.org (Crossref)","title":"Using Generalized Estimating Equations for Longitudinal Data Analysis","volume":"7","author":[{"family":"Ballinger","given":"Gary A."}],"issued":{"date-parts":[["2004",4]]}}}],"schema":"https://github.com/citation-style-language/schema/raw/master/csl-citation.json"} </w:instrText>
      </w:r>
      <w:r w:rsidR="00352423" w:rsidRPr="00D52239">
        <w:fldChar w:fldCharType="separate"/>
      </w:r>
      <w:r w:rsidR="00A323E5" w:rsidRPr="00A323E5">
        <w:t>(35)</w:t>
      </w:r>
      <w:r w:rsidR="00352423" w:rsidRPr="00D52239">
        <w:fldChar w:fldCharType="end"/>
      </w:r>
    </w:p>
    <w:p w14:paraId="7AF474E3" w14:textId="77777777" w:rsidR="00F64339" w:rsidRDefault="00F64339" w:rsidP="00F64339">
      <w:pPr>
        <w:pBdr>
          <w:top w:val="nil"/>
          <w:left w:val="nil"/>
          <w:bottom w:val="nil"/>
          <w:right w:val="nil"/>
          <w:between w:val="nil"/>
        </w:pBdr>
        <w:spacing w:before="200" w:after="200"/>
        <w:rPr>
          <w:u w:val="single"/>
        </w:rPr>
      </w:pPr>
      <w:r>
        <w:rPr>
          <w:u w:val="single"/>
        </w:rPr>
        <w:t>Unravelling the link between o</w:t>
      </w:r>
      <w:r w:rsidRPr="00D52239">
        <w:rPr>
          <w:u w:val="single"/>
        </w:rPr>
        <w:t>besity</w:t>
      </w:r>
      <w:r w:rsidRPr="00917893">
        <w:rPr>
          <w:u w:val="single"/>
        </w:rPr>
        <w:t xml:space="preserve"> </w:t>
      </w:r>
      <w:r w:rsidRPr="00D52239">
        <w:rPr>
          <w:u w:val="single"/>
        </w:rPr>
        <w:t>and language development</w:t>
      </w:r>
      <w:r>
        <w:rPr>
          <w:u w:val="single"/>
        </w:rPr>
        <w:t xml:space="preserve"> with triangulation</w:t>
      </w:r>
    </w:p>
    <w:p w14:paraId="2E50BD8F" w14:textId="4F1ABE6D" w:rsidR="00E719FC" w:rsidRDefault="007C7450">
      <w:pPr>
        <w:spacing w:after="200"/>
      </w:pPr>
      <w:r w:rsidRPr="00D52239">
        <w:t xml:space="preserve">In GUSTO, we investigated the relationships of child PRS for obesity </w:t>
      </w:r>
      <w:r w:rsidR="00D9667A">
        <w:t xml:space="preserve">and </w:t>
      </w:r>
      <w:r w:rsidR="00D9667A" w:rsidRPr="00D52239">
        <w:t xml:space="preserve">childhood BMI </w:t>
      </w:r>
      <w:r w:rsidRPr="00D52239">
        <w:t xml:space="preserve">with language development assessed by PPVT-4 and WIAT-III using multiple linear regressions. </w:t>
      </w:r>
      <w:r w:rsidR="005431F5">
        <w:t xml:space="preserve">For </w:t>
      </w:r>
      <w:r w:rsidR="00FA5FA2">
        <w:t xml:space="preserve">the analysis of </w:t>
      </w:r>
      <w:r w:rsidR="00FA5FA2" w:rsidRPr="00D52239">
        <w:t>child PRS for obesity</w:t>
      </w:r>
      <w:r w:rsidR="00FA5FA2">
        <w:t>,</w:t>
      </w:r>
      <w:r w:rsidR="00FA5FA2" w:rsidRPr="00D52239">
        <w:t xml:space="preserve"> </w:t>
      </w:r>
      <w:r w:rsidR="00FA5FA2">
        <w:t>w</w:t>
      </w:r>
      <w:r w:rsidRPr="00D52239">
        <w:t xml:space="preserve">e adjusted for age at language assessment, child sex, genetic ancestry, maternal highest educational level, household monthly income, pregnancy-related factors (i.e., gestational age at birth, maternal age at delivery, maternal pre-pregnancy BMI, parity, and maternal status of GDM), and parental PRS for obesity. </w:t>
      </w:r>
      <w:r w:rsidR="009A3F18">
        <w:t>To</w:t>
      </w:r>
      <w:r w:rsidR="005A5839">
        <w:t xml:space="preserve"> </w:t>
      </w:r>
      <w:r w:rsidR="005A5839" w:rsidRPr="00D52239">
        <w:t>examine the influence of socio-economic status and other early</w:t>
      </w:r>
      <w:r w:rsidR="00520B1B">
        <w:t>-</w:t>
      </w:r>
      <w:r w:rsidR="005A5839" w:rsidRPr="00D52239">
        <w:t>life factors</w:t>
      </w:r>
      <w:r w:rsidR="005A5839">
        <w:t xml:space="preserve"> on </w:t>
      </w:r>
      <w:r w:rsidR="009A3F18">
        <w:t xml:space="preserve">the </w:t>
      </w:r>
      <w:r w:rsidR="00C21EAB" w:rsidRPr="009A3F18">
        <w:t>phenotypic relationship</w:t>
      </w:r>
      <w:r w:rsidR="00C21EAB">
        <w:t xml:space="preserve"> </w:t>
      </w:r>
      <w:r w:rsidR="007A1D37">
        <w:t xml:space="preserve">between childhood BMI and </w:t>
      </w:r>
      <w:r w:rsidR="0078561C">
        <w:t>language development</w:t>
      </w:r>
      <w:r w:rsidR="009A3F18">
        <w:t xml:space="preserve">, we </w:t>
      </w:r>
      <w:r w:rsidR="009A3F18" w:rsidRPr="00D52239">
        <w:t>adjusted for child sex, age at the time of height and weight measure, and age at language assessment</w:t>
      </w:r>
      <w:r w:rsidR="009A3F18">
        <w:t xml:space="preserve"> in Model 1 and </w:t>
      </w:r>
      <w:r w:rsidR="009A3F18" w:rsidRPr="00D52239">
        <w:t>additionally adjusted for genetic ancestry, maternal highest educational level, household monthly income, and pregnancy-related factors</w:t>
      </w:r>
      <w:r w:rsidR="009A3F18">
        <w:t xml:space="preserve"> in Model 2.</w:t>
      </w:r>
      <w:r w:rsidR="00FB2044">
        <w:t xml:space="preserve"> </w:t>
      </w:r>
      <w:r w:rsidR="00717CDA">
        <w:t>Additionally, w</w:t>
      </w:r>
      <w:r w:rsidR="007730AE" w:rsidRPr="00D52239">
        <w:t>e assess</w:t>
      </w:r>
      <w:r w:rsidR="007730AE">
        <w:t>ed</w:t>
      </w:r>
      <w:r w:rsidR="007730AE" w:rsidRPr="00D52239">
        <w:t xml:space="preserve"> the causal relationship of genetically predicted BMI and fat percentage with</w:t>
      </w:r>
      <w:r w:rsidR="002E5B8B">
        <w:t xml:space="preserve"> PPVT-4 and</w:t>
      </w:r>
      <w:r w:rsidR="007730AE" w:rsidRPr="00D52239">
        <w:t xml:space="preserve"> WIAT-III score</w:t>
      </w:r>
      <w:r w:rsidR="00C95AAF">
        <w:t>s</w:t>
      </w:r>
      <w:r w:rsidR="007730AE" w:rsidRPr="00D52239">
        <w:t xml:space="preserve"> </w:t>
      </w:r>
      <w:r w:rsidR="00C95AAF">
        <w:t>using</w:t>
      </w:r>
      <w:r w:rsidR="007730AE" w:rsidRPr="00D52239">
        <w:t xml:space="preserve"> a two-stage least-square (2SLS) regression</w:t>
      </w:r>
      <w:r w:rsidR="00C95AAF">
        <w:t xml:space="preserve">, i.e., </w:t>
      </w:r>
      <w:r w:rsidR="00C95AAF" w:rsidRPr="00D52239">
        <w:t>one-sample MR</w:t>
      </w:r>
      <w:r w:rsidR="009507E4">
        <w:t xml:space="preserve"> analysis</w:t>
      </w:r>
      <w:r w:rsidR="007730AE" w:rsidRPr="00D52239">
        <w:t>. Specifically, we constructed a</w:t>
      </w:r>
      <w:r w:rsidR="00CA76BB">
        <w:t xml:space="preserve"> </w:t>
      </w:r>
      <w:r w:rsidR="005C37B7">
        <w:t xml:space="preserve">Clumping and Thresholding (C+T) </w:t>
      </w:r>
      <w:r w:rsidR="007730AE" w:rsidRPr="00D52239">
        <w:t>PRS for obesity using only the independent, genome-wide significant SNPs (P-value&lt;5</w:t>
      </w:r>
      <w:r w:rsidR="007730AE" w:rsidRPr="00D52239">
        <w:rPr>
          <w:color w:val="040C28"/>
        </w:rPr>
        <w:t>×</w:t>
      </w:r>
      <w:r w:rsidR="007730AE" w:rsidRPr="00D52239">
        <w:t>10</w:t>
      </w:r>
      <w:r w:rsidR="007730AE" w:rsidRPr="00D52239">
        <w:rPr>
          <w:vertAlign w:val="superscript"/>
        </w:rPr>
        <w:t>-8</w:t>
      </w:r>
      <w:r w:rsidR="007730AE" w:rsidRPr="00D52239">
        <w:t xml:space="preserve"> and </w:t>
      </w:r>
      <w:r w:rsidR="007730AE" w:rsidRPr="00D52239">
        <w:rPr>
          <w:color w:val="333333"/>
          <w:highlight w:val="white"/>
        </w:rPr>
        <w:t>R</w:t>
      </w:r>
      <w:r w:rsidR="007730AE" w:rsidRPr="00D52239">
        <w:rPr>
          <w:b/>
          <w:color w:val="333333"/>
          <w:highlight w:val="white"/>
        </w:rPr>
        <w:t>²</w:t>
      </w:r>
      <w:r w:rsidR="007730AE" w:rsidRPr="00D52239">
        <w:t xml:space="preserve">&lt;0.001, </w:t>
      </w:r>
      <w:r w:rsidR="007730AE" w:rsidRPr="00D52239">
        <w:rPr>
          <w:b/>
        </w:rPr>
        <w:t xml:space="preserve">Supplementary Table </w:t>
      </w:r>
      <w:r w:rsidR="009439CE">
        <w:rPr>
          <w:b/>
        </w:rPr>
        <w:t>3</w:t>
      </w:r>
      <w:r w:rsidR="007730AE" w:rsidRPr="00D52239">
        <w:t>) from the same East Asian GWAS of BMI from BioBank Japan as we used for the trans-ancestry PRS.</w:t>
      </w:r>
      <w:r w:rsidR="00EC36BF">
        <w:fldChar w:fldCharType="begin"/>
      </w:r>
      <w:r w:rsidR="00A323E5">
        <w:instrText xml:space="preserve"> ADDIN ZOTERO_ITEM CSL_CITATION {"citationID":"a2floh6dq6s","properties":{"formattedCitation":"(36)","plainCitation":"(36)","noteIndex":0},"citationItems":[{"id":89,"uris":["http://zotero.org/users/11760769/items/QKTFTVSY"],"itemData":{"id":89,"type":"article-journal","container-title":"Nature Reviews Methods Primers","DOI":"10.1038/s43586-021-00092-5","ISSN":"2662-8449","issue":"1","journalAbbreviation":"Nat Rev Methods Primers","language":"en","page":"6","source":"DOI.org (Crossref)","title":"Mendelian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00EC36BF">
        <w:fldChar w:fldCharType="separate"/>
      </w:r>
      <w:r w:rsidR="00A323E5" w:rsidRPr="00A323E5">
        <w:t>(36)</w:t>
      </w:r>
      <w:r w:rsidR="00EC36BF">
        <w:fldChar w:fldCharType="end"/>
      </w:r>
      <w:r w:rsidR="007730AE" w:rsidRPr="00D52239">
        <w:t xml:space="preserve"> We used the conventional clumping and thresholding PRS as the genetic instrumental variable to minimise the risk of pleiotropy in the MR analysis. In the 2SLS regression, we adjusted for child sex, age at </w:t>
      </w:r>
      <w:r w:rsidR="002E5B8B">
        <w:t>language</w:t>
      </w:r>
      <w:r w:rsidR="007730AE" w:rsidRPr="00D52239">
        <w:t xml:space="preserve"> assessment, age at BMI and fat percentage measurements, genetic ancestry, and parental PRS for obesity.</w:t>
      </w:r>
      <w:r w:rsidR="00043DC7">
        <w:t xml:space="preserve"> </w:t>
      </w:r>
      <w:r w:rsidRPr="00D52239">
        <w:t xml:space="preserve">Sex-specific analyses were performed by fitting the same model only in boys and only in girls separately. We applied a stringent Bonferroni correction with a P-value threshold of 0.05/(2×3) for the analyses of language development to account for multiple comparisons of two language scores and three sex groups (Overall (Boys and Girls), Boys, and Girls). </w:t>
      </w:r>
    </w:p>
    <w:p w14:paraId="0D9B2800" w14:textId="1C46A7DF" w:rsidR="00C93AFE" w:rsidRPr="00D52239" w:rsidRDefault="00FB5941" w:rsidP="00C93AFE">
      <w:pPr>
        <w:spacing w:after="200"/>
      </w:pPr>
      <w:r>
        <w:t xml:space="preserve">Leveraging </w:t>
      </w:r>
      <w:r w:rsidR="00400597">
        <w:t>genetic associations</w:t>
      </w:r>
      <w:r>
        <w:t xml:space="preserve"> from large </w:t>
      </w:r>
      <w:r w:rsidR="004748CF">
        <w:t>GWAS</w:t>
      </w:r>
      <w:r w:rsidR="00857CE5" w:rsidRPr="00857CE5">
        <w:t xml:space="preserve"> </w:t>
      </w:r>
      <w:r w:rsidR="00857CE5" w:rsidRPr="00D52239">
        <w:t>in individuals of European ancestry</w:t>
      </w:r>
      <w:r w:rsidR="004748CF">
        <w:t>,</w:t>
      </w:r>
      <w:r w:rsidR="00C61956">
        <w:t xml:space="preserve"> w</w:t>
      </w:r>
      <w:r w:rsidR="00C93AFE" w:rsidRPr="00D52239">
        <w:t>e performed univariable two-sample MR analyses to investigate the causal relationships between</w:t>
      </w:r>
      <w:r w:rsidR="00857CE5">
        <w:t xml:space="preserve"> childhood</w:t>
      </w:r>
      <w:r w:rsidR="00C93AFE" w:rsidRPr="00D52239">
        <w:t xml:space="preserve"> obesity-related traits and language-related skills. For each MR analysis, we selected single-nucleotide polymorphisms (SNPs) associated with an obesity-related trait at a P-value&lt;5×10</w:t>
      </w:r>
      <w:r w:rsidR="00C93AFE" w:rsidRPr="00D52239">
        <w:rPr>
          <w:vertAlign w:val="superscript"/>
        </w:rPr>
        <w:t>-8</w:t>
      </w:r>
      <w:r w:rsidR="00C93AFE" w:rsidRPr="00D52239">
        <w:t xml:space="preserve"> and with an F-statistics&gt;10. We kept only the independent SNPs (r</w:t>
      </w:r>
      <w:r w:rsidR="00C93AFE" w:rsidRPr="00D52239">
        <w:rPr>
          <w:vertAlign w:val="superscript"/>
        </w:rPr>
        <w:t>2</w:t>
      </w:r>
      <w:r w:rsidR="00C93AFE" w:rsidRPr="00D52239">
        <w:t xml:space="preserve">&lt;0.001) by performing linkage disequilibrium (LD) clumping </w:t>
      </w:r>
      <w:r w:rsidR="00C93AFE">
        <w:t xml:space="preserve">with a window size 10,000 kb </w:t>
      </w:r>
      <w:r w:rsidR="00C93AFE" w:rsidRPr="00D52239">
        <w:t xml:space="preserve">and </w:t>
      </w:r>
      <w:r w:rsidR="00944282">
        <w:t>removed</w:t>
      </w:r>
      <w:r w:rsidR="00C93AFE" w:rsidRPr="00D52239">
        <w:t xml:space="preserve"> correlated SNPs that were less strongly associated with the exposure based on their P-values. </w:t>
      </w:r>
      <w:r w:rsidR="001D6406">
        <w:t>To minimise the risk of reverse causation, we performed Steiger filtering to remove SNPs with a stronger association with the outcome than with the exposure.</w:t>
      </w:r>
      <w:r w:rsidR="001D6406">
        <w:fldChar w:fldCharType="begin"/>
      </w:r>
      <w:r w:rsidR="00A323E5">
        <w:instrText xml:space="preserve"> ADDIN ZOTERO_ITEM CSL_CITATION {"citationID":"R9JtgmEw","properties":{"formattedCitation":"(37)","plainCitation":"(37)","noteIndex":0},"citationItems":[{"id":645,"uris":["http://zotero.org/users/11760769/items/ZGMIIGAC"],"itemData":{"id":645,"type":"article-journal","abstract":"Inference about the causal structure that induces correlations between two traits can be achieved by combining genetic associations with a mediation-based approach, as is done in the causal inference test (CIT). However, we show that measurement error in the phenotypes can lead to the CIT inferring the wrong causal direction, and that increasing sample sizes has the adverse effect of increasing confidence in the wrong answer. This problem is likely to be general to other mediation-based approaches. Here we introduce an extension to Mendelian randomisation, a method that uses genetic associations in an instrumentation framework, that enables inference of the causal direction between traits, with some advantages. First, it can be performed using only summary level data from genome-wide association studies; second, it is less susceptible to bias in the presence of measurement error or unmeasured confounding. We apply the method to infer the causal direction between DNA methylation and gene expression levels. Our results demonstrate that, in general, DNA methylation is more likely to be the causal factor, but this result is highly susceptible to bias induced by systematic differences in measurement error between the platforms, and by horizontal pleiotropy. We emphasise that, where possible, implementing MR and appropriate sensitivity analyses alongside other approaches such as CIT is important to triangulate reliable conclusions about causality.","container-title":"PLoS genetics","DOI":"10.1371/journal.pgen.1007081","ISSN":"1553-7404","issue":"11","journalAbbreviation":"PLoS Genet","language":"eng","note":"PMID: 29149188\nPMCID: PMC5711033","page":"e1007081","source":"PubMed","title":"Orienting the causal relationship between imprecisely measured traits using GWAS summary data","volume":"13","author":[{"family":"Hemani","given":"Gibran"},{"family":"Tilling","given":"Kate"},{"family":"Davey Smith","given":"George"}],"issued":{"date-parts":[["2017",11]]}}}],"schema":"https://github.com/citation-style-language/schema/raw/master/csl-citation.json"} </w:instrText>
      </w:r>
      <w:r w:rsidR="001D6406">
        <w:fldChar w:fldCharType="separate"/>
      </w:r>
      <w:r w:rsidR="00A323E5" w:rsidRPr="00A323E5">
        <w:t>(37)</w:t>
      </w:r>
      <w:r w:rsidR="001D6406">
        <w:fldChar w:fldCharType="end"/>
      </w:r>
      <w:r w:rsidR="001D6406">
        <w:t xml:space="preserve"> </w:t>
      </w:r>
      <w:r w:rsidR="00080437">
        <w:t>Variant harmonisation was performed, and non-inferable palindromic SNPs were dropped. These criteria ensured that SNPs selected as instrumental variables for MR analyses met the relevance assumption.</w:t>
      </w:r>
      <w:r w:rsidR="00080437">
        <w:fldChar w:fldCharType="begin"/>
      </w:r>
      <w:r w:rsidR="00A323E5">
        <w:instrText xml:space="preserve"> ADDIN ZOTERO_ITEM CSL_CITATION {"citationID":"iRV0NErG","properties":{"formattedCitation":"(36)","plainCitation":"(36)","noteIndex":0},"citationItems":[{"id":89,"uris":["http://zotero.org/users/11760769/items/QKTFTVSY"],"itemData":{"id":89,"type":"article-journal","container-title":"Nature Reviews Methods Primers","DOI":"10.1038/s43586-021-00092-5","ISSN":"2662-8449","issue":"1","journalAbbreviation":"Nat Rev Methods Primers","language":"en","page":"6","source":"DOI.org (Crossref)","title":"Mendelian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00080437">
        <w:fldChar w:fldCharType="separate"/>
      </w:r>
      <w:r w:rsidR="00A323E5" w:rsidRPr="00A323E5">
        <w:t>(36)</w:t>
      </w:r>
      <w:r w:rsidR="00080437">
        <w:fldChar w:fldCharType="end"/>
      </w:r>
      <w:r w:rsidR="00080437">
        <w:t xml:space="preserve"> </w:t>
      </w:r>
      <w:r w:rsidR="00170B6F" w:rsidRPr="00D52239">
        <w:t xml:space="preserve">We listed the SNPs used for each MR analysis in </w:t>
      </w:r>
      <w:r w:rsidR="00170B6F" w:rsidRPr="00D52239">
        <w:rPr>
          <w:b/>
        </w:rPr>
        <w:t xml:space="preserve">Supplementary Table </w:t>
      </w:r>
      <w:r w:rsidR="00170B6F">
        <w:rPr>
          <w:b/>
        </w:rPr>
        <w:t>4</w:t>
      </w:r>
      <w:r w:rsidR="00170B6F" w:rsidRPr="00D52239">
        <w:t>.</w:t>
      </w:r>
      <w:r w:rsidR="00170B6F">
        <w:t xml:space="preserve"> </w:t>
      </w:r>
      <w:r w:rsidR="00C93AFE" w:rsidRPr="00D52239">
        <w:t xml:space="preserve">SNP-specific effects were estimated by dividing the SNP-outcome association by the SNP-exposure association (Wald estimator) for each SNP selected as the </w:t>
      </w:r>
      <w:r w:rsidR="00C93AFE" w:rsidRPr="00D52239">
        <w:lastRenderedPageBreak/>
        <w:t>instrumental variable.</w:t>
      </w:r>
      <w:r w:rsidR="00C93AFE" w:rsidRPr="00D52239">
        <w:fldChar w:fldCharType="begin"/>
      </w:r>
      <w:r w:rsidR="00A323E5">
        <w:instrText xml:space="preserve"> ADDIN ZOTERO_ITEM CSL_CITATION {"citationID":"QjzpDJuA","properties":{"formattedCitation":"(36)","plainCitation":"(36)","noteIndex":0},"citationItems":[{"id":89,"uris":["http://zotero.org/users/11760769/items/QKTFTVSY"],"itemData":{"id":89,"type":"article-journal","container-title":"Nature Reviews Methods Primers","DOI":"10.1038/s43586-021-00092-5","ISSN":"2662-8449","issue":"1","journalAbbreviation":"Nat Rev Methods Primers","language":"en","page":"6","source":"DOI.org (Crossref)","title":"Mendelian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00C93AFE" w:rsidRPr="00D52239">
        <w:fldChar w:fldCharType="separate"/>
      </w:r>
      <w:r w:rsidR="00A323E5" w:rsidRPr="00A323E5">
        <w:t>(36)</w:t>
      </w:r>
      <w:r w:rsidR="00C93AFE" w:rsidRPr="00D52239">
        <w:fldChar w:fldCharType="end"/>
      </w:r>
      <w:r w:rsidR="00C93AFE" w:rsidRPr="00D52239">
        <w:t xml:space="preserve"> We then used the inverse-variance weighted (IVW) random effects model to pool the SNP-specific Wald estimates, weighted by the inverse variance of the SNP-outcome association. </w:t>
      </w:r>
      <w:r w:rsidR="00170B6F">
        <w:t>MR analysis also assumes no confounders between the instrumental variables and the outcome (i.e., exchangeability), and the instrumental variables only influence the outcome via the exposure (i.e., exclusion restriction).</w:t>
      </w:r>
      <w:r w:rsidR="00170B6F">
        <w:fldChar w:fldCharType="begin"/>
      </w:r>
      <w:r w:rsidR="00A323E5">
        <w:instrText xml:space="preserve"> ADDIN ZOTERO_ITEM CSL_CITATION {"citationID":"nxywhDCl","properties":{"formattedCitation":"(36)","plainCitation":"(36)","noteIndex":0},"citationItems":[{"id":89,"uris":["http://zotero.org/users/11760769/items/QKTFTVSY"],"itemData":{"id":89,"type":"article-journal","container-title":"Nature Reviews Methods Primers","DOI":"10.1038/s43586-021-00092-5","ISSN":"2662-8449","issue":"1","journalAbbreviation":"Nat Rev Methods Primers","language":"en","page":"6","source":"DOI.org (Crossref)","title":"Mendelian randomization","volume":"2","author":[{"family":"Sanderson","given":"Eleanor"},{"family":"Glymour","given":"M. Maria"},{"family":"Holmes","given":"Michael V."},{"family":"Kang","given":"Hyunseung"},{"family":"Morrison","given":"Jean"},{"family":"Munafò","given":"Marcus R."},{"family":"Palmer","given":"Tom"},{"family":"Schooling","given":"C. Mary"},{"family":"Wallace","given":"Chris"},{"family":"Zhao","given":"Qingyuan"},{"family":"Davey Smith","given":"George"}],"issued":{"date-parts":[["2022",2,10]]}}}],"schema":"https://github.com/citation-style-language/schema/raw/master/csl-citation.json"} </w:instrText>
      </w:r>
      <w:r w:rsidR="00170B6F">
        <w:fldChar w:fldCharType="separate"/>
      </w:r>
      <w:r w:rsidR="00A323E5" w:rsidRPr="00A323E5">
        <w:t>(36)</w:t>
      </w:r>
      <w:r w:rsidR="00170B6F">
        <w:fldChar w:fldCharType="end"/>
      </w:r>
      <w:r w:rsidR="00170B6F">
        <w:t xml:space="preserve"> These two assumptions are not verifiable but will be assessed through sensitivity analyses in this study. </w:t>
      </w:r>
      <w:r w:rsidR="00C93AFE" w:rsidRPr="00D52239">
        <w:t>We applied three sensitivity methods</w:t>
      </w:r>
      <w:r w:rsidR="00C93AFE">
        <w:t xml:space="preserve"> (</w:t>
      </w:r>
      <w:r w:rsidR="00C93AFE" w:rsidRPr="00D52239">
        <w:t>weighted median (WM)</w:t>
      </w:r>
      <w:r w:rsidR="00C93AFE">
        <w:t xml:space="preserve">, </w:t>
      </w:r>
      <w:r w:rsidR="00C93AFE" w:rsidRPr="00D52239">
        <w:t>MR-Egger regression</w:t>
      </w:r>
      <w:r w:rsidR="00C93AFE">
        <w:t xml:space="preserve">, and </w:t>
      </w:r>
      <w:r w:rsidR="00C93AFE" w:rsidRPr="00D52239">
        <w:t>the Joint Analysis of Marginal algorithm for MR (JAM-MR</w:t>
      </w:r>
      <w:r w:rsidR="00C93AFE">
        <w:t>))</w:t>
      </w:r>
      <w:r w:rsidR="00C93AFE" w:rsidRPr="00D52239">
        <w:t xml:space="preserve"> to test the robustness of MR causal estimates. </w:t>
      </w:r>
      <w:r w:rsidR="00F77EDF">
        <w:t>In brief, the WM method is consistent when up to 50% of the SNPs were invalid instrumental variables</w:t>
      </w:r>
      <w:r w:rsidR="006B45AA">
        <w:t>,</w:t>
      </w:r>
      <w:r w:rsidR="00F77EDF">
        <w:fldChar w:fldCharType="begin"/>
      </w:r>
      <w:r w:rsidR="00A323E5">
        <w:instrText xml:space="preserve"> ADDIN ZOTERO_ITEM CSL_CITATION {"citationID":"ojTVVjif","properties":{"formattedCitation":"(38)","plainCitation":"(38)","noteIndex":0},"citationItems":[{"id":643,"uris":["http://zotero.org/users/11760769/items/JXEARYS3"],"itemData":{"id":643,"type":"article-journal","abstract":"Developments in genome-wide association studies and the increasing availability of summary genetic association data have made application of Mendelian randomization relatively straightforward. However, obtaining reliable results from a Mendelian randomization investigation remains problematic, as the conventional inverse-variance weighted method only gives consistent estimates if all of the genetic variants in the analysis are valid instrumental variables. We present a novel weighted median estimator for combining data on multiple genetic variants into a single causal estimate. This estimator is consistent even when up to 50% of the information comes from invalid instrumental variables. In a simulation analysis, it is shown to have better finite-sample Type 1 error rates than the inverse-variance weighted method, and is complementary to the recently proposed MR-Egger (Mendelian randomization-Egger) regression method. In analyses of the causal effects of low-density lipoprotein cholesterol and high-density lipoprotein cholesterol on coronary artery disease risk, the inverse-variance weighted method suggests a causal effect of both lipid fractions, whereas the weighted median and MR-Egger regression methods suggest a null effect of high-density lipoprotein cholesterol that corresponds with the experimental evidence. Both median-based and MR-Egger regression methods should be considered as sensitivity analyses for Mendelian randomization investigations with multiple genetic variants.","container-title":"Genetic Epidemiology","DOI":"10.1002/gepi.21965","ISSN":"1098-2272","issue":"4","journalAbbreviation":"Genet Epidemiol","language":"eng","note":"PMID: 27061298\nPMCID: PMC4849733","page":"304-314","source":"PubMed","title":"Consistent Estimation in Mendelian Randomization with Some Invalid Instruments Using a Weighted Median Estimator","volume":"40","author":[{"family":"Bowden","given":"Jack"},{"family":"Davey Smith","given":"George"},{"family":"Haycock","given":"Philip C."},{"family":"Burgess","given":"Stephen"}],"issued":{"date-parts":[["2016",5]]}}}],"schema":"https://github.com/citation-style-language/schema/raw/master/csl-citation.json"} </w:instrText>
      </w:r>
      <w:r w:rsidR="00F77EDF">
        <w:fldChar w:fldCharType="separate"/>
      </w:r>
      <w:r w:rsidR="00A323E5" w:rsidRPr="00A323E5">
        <w:t>(38)</w:t>
      </w:r>
      <w:r w:rsidR="00F77EDF">
        <w:fldChar w:fldCharType="end"/>
      </w:r>
      <w:r w:rsidR="00F77EDF">
        <w:t xml:space="preserve"> </w:t>
      </w:r>
      <w:r w:rsidR="006B45AA">
        <w:t>t</w:t>
      </w:r>
      <w:r w:rsidR="00F77EDF">
        <w:t>he MR-Egger regression allows for pleiotropic effects, assuming that the magnitude of pleiotropic effects is independent of the strength of the SNP-exposure association</w:t>
      </w:r>
      <w:r w:rsidR="006B45AA">
        <w:t>,</w:t>
      </w:r>
      <w:r w:rsidR="00F77EDF">
        <w:fldChar w:fldCharType="begin"/>
      </w:r>
      <w:r w:rsidR="00A323E5">
        <w:instrText xml:space="preserve"> ADDIN ZOTERO_ITEM CSL_CITATION {"citationID":"ndREkQ2c","properties":{"formattedCitation":"(39)","plainCitation":"(39)","noteIndex":0},"citationItems":[{"id":642,"uris":["http://zotero.org/users/11760769/items/CRSZGUIL"],"itemData":{"id":642,"type":"article-journal","container-title":"International Journal of Epidemiology","DOI":"10.1093/ije/dyv080","ISSN":"0300-5771, 1464-3685","issue":"2","journalAbbreviation":"International Journal of Epidemiology","language":"en","page":"512-525","source":"DOI.org (Crossref)","title":"Mendelian randomization with invalid instruments: effect estimation and bias detection through Egger regression","title-short":"Mendelian randomization with invalid instruments","volume":"44","author":[{"family":"Bowden","given":"J."},{"family":"Davey Smith","given":"G."},{"family":"Burgess","given":"S."}],"issued":{"date-parts":[["2015",4,1]]}}}],"schema":"https://github.com/citation-style-language/schema/raw/master/csl-citation.json"} </w:instrText>
      </w:r>
      <w:r w:rsidR="00F77EDF">
        <w:fldChar w:fldCharType="separate"/>
      </w:r>
      <w:r w:rsidR="00A323E5" w:rsidRPr="00A323E5">
        <w:t>(39)</w:t>
      </w:r>
      <w:r w:rsidR="00F77EDF">
        <w:fldChar w:fldCharType="end"/>
      </w:r>
      <w:r w:rsidR="00F77EDF">
        <w:t xml:space="preserve"> </w:t>
      </w:r>
      <w:r w:rsidR="006B45AA">
        <w:t xml:space="preserve">and </w:t>
      </w:r>
      <w:r w:rsidR="00F77EDF">
        <w:t>JAM-MR</w:t>
      </w:r>
      <w:r w:rsidR="006B45AA">
        <w:t xml:space="preserve"> is </w:t>
      </w:r>
      <w:r w:rsidR="00F77EDF">
        <w:t>a Bayesian inference method that downweighs SNPs with pleiotropic effects.</w:t>
      </w:r>
      <w:r w:rsidR="00F77EDF">
        <w:fldChar w:fldCharType="begin"/>
      </w:r>
      <w:r w:rsidR="00A323E5">
        <w:instrText xml:space="preserve"> ADDIN ZOTERO_ITEM CSL_CITATION {"citationID":"OI8qyWTM","properties":{"formattedCitation":"(40)","plainCitation":"(40)","noteIndex":0},"citationItems":[{"id":641,"uris":["http://zotero.org/users/11760769/items/SLJVFTJU"],"itemData":{"id":641,"type":"article-journal","abstract":"Mendelian randomization is the use of genetic variants as instruments to assess the existence of a causal relationship between a risk factor and an outcome. A Mendelian randomization analysis requires a set of genetic variants that are strongly associated with the risk factor and only associated with the outcome through their effect on the risk factor. We describe a novel variable selection algorithm for Mendelian randomization that can identify sets of genetic variants which are suitable in both these respects. Our algorithm is applicable in the context of two-sample summary-data Mendelian randomization and employs a recently proposed theoretical extension of the traditional Bayesian statistics framework, including a loss function to penalize genetic variants that exhibit pleiotropic effects. The algorithm offers robust inference through the use of model averaging, as we illustrate by running it on a range of simulation scenarios and comparing it against established pleiotropy-robust Mendelian randomization methods. In a real-data application, we study the effect of systolic and diastolic blood pressure on the risk of suffering from coronary heart disease (CHD). Based on a recent large-scale GWAS for blood pressure, we use 395 genetic variants for systolic and 391 variants for diastolic blood pressure. Both traits are shown to have significant risk-increasing effects on CHD risk.","container-title":"Statistics in Medicine","DOI":"10.1002/sim.9109","ISSN":"1097-0258","issue":"23","journalAbbreviation":"Stat Med","language":"eng","note":"PMID: 34155684\nPMCID: PMC8446304","page":"5025-5045","source":"PubMed","title":"Bayesian variable selection with a pleiotropic loss function in Mendelian randomization","volume":"40","author":[{"family":"Gkatzionis","given":"Apostolos"},{"family":"Burgess","given":"Stephen"},{"family":"Conti","given":"David V."},{"family":"Newcombe","given":"Paul J."}],"issued":{"date-parts":[["2021",10,15]]}}}],"schema":"https://github.com/citation-style-language/schema/raw/master/csl-citation.json"} </w:instrText>
      </w:r>
      <w:r w:rsidR="00F77EDF">
        <w:fldChar w:fldCharType="separate"/>
      </w:r>
      <w:r w:rsidR="00A323E5" w:rsidRPr="00A323E5">
        <w:t>(40)</w:t>
      </w:r>
      <w:r w:rsidR="00F77EDF">
        <w:fldChar w:fldCharType="end"/>
      </w:r>
      <w:r w:rsidR="00A11BC3">
        <w:t xml:space="preserve"> </w:t>
      </w:r>
      <w:r w:rsidR="00C93AFE" w:rsidRPr="00D52239">
        <w:t>Additionally, we applied MR-Radial to detect outlier SNPs that substantially influence the analysis and are likely to contribute to the violation of MR assumptions.</w:t>
      </w:r>
      <w:r w:rsidR="00C93AFE" w:rsidRPr="00D52239">
        <w:fldChar w:fldCharType="begin"/>
      </w:r>
      <w:r w:rsidR="00A323E5">
        <w:instrText xml:space="preserve"> ADDIN ZOTERO_ITEM CSL_CITATION {"citationID":"HgRlYBBt","properties":{"formattedCitation":"(41)","plainCitation":"(41)","noteIndex":0},"citationItems":[{"id":640,"uris":["http://zotero.org/users/11760769/items/YK8ZRVQ3"],"itemData":{"id":640,"type":"article-journal","abstract":"BACKGROUND: data furnishing a two-sample Mendelian randomization (MR) study are often visualized with the aid of a scatter plot, in which single-nucleotide polymorphism (SNP)-outcome associations are plotted against the SNP-exposure associations to provide an immediate picture of the causal-effect estimate for each individual variant. It is also convenient to overlay the standard inverse-variance weighted (IVW) estimate of causal effect as a fitted slope, to see whether an individual SNP provides evidence that supports, or conflicts with, the overall consensus. Unfortunately, the traditional scatter plot is not the most appropriate means to achieve this aim whenever SNP-outcome associations are estimated with varying degrees of precision and this is reflected in the analysis.\nMETHODS: We propose instead to use a small modification of the scatter plot-the Galbraith Radial plot-for the presentation of data and results from an MR study, which enjoys many advantages over the original method. On a practical level, it removes the need to recode the genetic data and enables a more straightforward detection of outliers and influential data points. Its use extends beyond the purely aesthetic, however, to suggest a more general modelling framework to operate within when conducting an MR study, including a new form of MR-Egger regression.\nRESULTS: We illustrate the methods using data from a two-sample MR study to probe the causal effect of systolic blood pressure on coronary heart disease risk, allowing for the possible effects of pleiotropy. The Radial plot is shown to aid the detection of a single outlying variant that is responsible for large differences between IVW and MR-Egger regression estimates. Several additional plots are also proposed for informative data visualization.\nCONCLUSIONS: The Radial plot should be considered in place of the scatter plot for visualizing, analysing and interpreting data from a two-sample summary data MR study. Software is provided to help facilitate its use.","container-title":"International Journal of Epidemiology","DOI":"10.1093/ije/dyy101","ISSN":"1464-3685","issue":"4","journalAbbreviation":"Int J Epidemiol","language":"eng","note":"PMID: 29961852\nPMCID: PMC6124632","page":"1264-1278","source":"PubMed","title":"Improving the visualization, interpretation and analysis of two-sample summary data Mendelian randomization via the Radial plot and Radial regression","volume":"47","author":[{"family":"Bowden","given":"Jack"},{"family":"Spiller","given":"Wesley"},{"family":"Del Greco M","given":"Fabiola"},{"family":"Sheehan","given":"Nuala"},{"family":"Thompson","given":"John"},{"family":"Minelli","given":"Cosetta"},{"family":"Davey Smith","given":"George"}],"issued":{"date-parts":[["2018",8,1]]}}}],"schema":"https://github.com/citation-style-language/schema/raw/master/csl-citation.json"} </w:instrText>
      </w:r>
      <w:r w:rsidR="00C93AFE" w:rsidRPr="00D52239">
        <w:fldChar w:fldCharType="separate"/>
      </w:r>
      <w:r w:rsidR="00A323E5" w:rsidRPr="00A323E5">
        <w:t>(41)</w:t>
      </w:r>
      <w:r w:rsidR="00C93AFE" w:rsidRPr="00D52239">
        <w:fldChar w:fldCharType="end"/>
      </w:r>
      <w:r w:rsidR="00C93AFE" w:rsidRPr="00D52239">
        <w:t xml:space="preserve"> </w:t>
      </w:r>
      <w:r w:rsidR="00D47EEB" w:rsidRPr="008D756A">
        <w:t>Sex-specific analyses</w:t>
      </w:r>
      <w:r w:rsidR="00D47EEB">
        <w:t xml:space="preserve"> were not considered given that sex-specific GWAS were not available. </w:t>
      </w:r>
      <w:r w:rsidR="00C93AFE" w:rsidRPr="00D52239">
        <w:t>We accounted for multiple comparisons using Bonferroni correction with a P-value threshold of 0.05/(3×5) for three obesity-related traits and five language-related skills. We reported the MR results following the STROBE-MR guideline.</w:t>
      </w:r>
      <w:r w:rsidR="00C93AFE" w:rsidRPr="00D52239">
        <w:fldChar w:fldCharType="begin"/>
      </w:r>
      <w:r w:rsidR="00A323E5">
        <w:instrText xml:space="preserve"> ADDIN ZOTERO_ITEM CSL_CITATION {"citationID":"9Vdso0bm","properties":{"formattedCitation":"(42)","plainCitation":"(42)","noteIndex":0},"citationItems":[{"id":1047,"uris":["http://zotero.org/users/11760769/items/D6IY5D88"],"itemData":{"id":1047,"type":"article-journal","container-title":"BMJ","DOI":"10.1136/bmj.n2233","ISSN":"1756-1833","journalAbbreviation":"BMJ","language":"en","page":"n2233","source":"DOI.org (Crossref)","title":"Strengthening the reporting of observational studies in epidemiology using mendelian randomisation (STROBE-MR): explanation and elaboration","title-short":"Strengthening the reporting of observational studies in epidemiology using mendelian randomisation (STROBE-MR)","author":[{"family":"Skrivankova","given":"Veronika W"},{"family":"Richmond","given":"Rebecca C"},{"family":"Woolf","given":"Benjamin A R"},{"family":"Davies","given":"Neil M"},{"family":"Swanson","given":"Sonja A"},{"family":"VanderWeele","given":"Tyler J"},{"family":"Timpson","given":"Nicholas J"},{"family":"Higgins","given":"Julian P T"},{"family":"Dimou","given":"Niki"},{"family":"Langenberg","given":"Claudia"},{"family":"Loder","given":"Elizabeth W"},{"family":"Golub","given":"Robert M"},{"family":"Egger","given":"Matthias"},{"family":"Davey Smith","given":"George"},{"family":"Richards","given":"J Brent"}],"issued":{"date-parts":[["2021",10,26]]}}}],"schema":"https://github.com/citation-style-language/schema/raw/master/csl-citation.json"} </w:instrText>
      </w:r>
      <w:r w:rsidR="00C93AFE" w:rsidRPr="00D52239">
        <w:fldChar w:fldCharType="separate"/>
      </w:r>
      <w:r w:rsidR="00A323E5" w:rsidRPr="00A323E5">
        <w:t>(42)</w:t>
      </w:r>
      <w:r w:rsidR="00C93AFE" w:rsidRPr="00D52239">
        <w:fldChar w:fldCharType="end"/>
      </w:r>
    </w:p>
    <w:p w14:paraId="24BA5FFE" w14:textId="6043229A" w:rsidR="003C707F" w:rsidRPr="00C93AFE" w:rsidRDefault="00234A8B" w:rsidP="00C93AFE">
      <w:pPr>
        <w:pBdr>
          <w:top w:val="nil"/>
          <w:left w:val="nil"/>
          <w:bottom w:val="nil"/>
          <w:right w:val="nil"/>
          <w:between w:val="nil"/>
        </w:pBdr>
        <w:spacing w:before="200" w:after="200"/>
        <w:rPr>
          <w:u w:val="single"/>
        </w:rPr>
      </w:pPr>
      <w:r>
        <w:rPr>
          <w:u w:val="single"/>
        </w:rPr>
        <w:t>Linking polygenic risk</w:t>
      </w:r>
      <w:r w:rsidR="00C93AFE" w:rsidRPr="00D52239">
        <w:rPr>
          <w:u w:val="single"/>
        </w:rPr>
        <w:t xml:space="preserve"> for obesity, neurology-related proteins, </w:t>
      </w:r>
      <w:r w:rsidRPr="00234A8B">
        <w:rPr>
          <w:u w:val="single"/>
        </w:rPr>
        <w:t>language-related white matter tract formations</w:t>
      </w:r>
      <w:r>
        <w:rPr>
          <w:u w:val="single"/>
        </w:rPr>
        <w:t>,</w:t>
      </w:r>
      <w:r w:rsidRPr="00234A8B">
        <w:rPr>
          <w:u w:val="single"/>
        </w:rPr>
        <w:t xml:space="preserve"> </w:t>
      </w:r>
      <w:r w:rsidR="00C93AFE" w:rsidRPr="00D52239">
        <w:rPr>
          <w:u w:val="single"/>
        </w:rPr>
        <w:t>and language development</w:t>
      </w:r>
    </w:p>
    <w:p w14:paraId="2D253384" w14:textId="1CA1DE97" w:rsidR="00674A2D" w:rsidRDefault="009A2FFC">
      <w:pPr>
        <w:spacing w:after="200"/>
      </w:pPr>
      <w:r>
        <w:t>In GUSTO, w</w:t>
      </w:r>
      <w:r w:rsidR="007C7450" w:rsidRPr="00D52239">
        <w:t>e adopted a clustering and mixture method to identify neurology-related proteins implicated in language</w:t>
      </w:r>
      <w:r w:rsidR="009B68B7">
        <w:t xml:space="preserve"> development</w:t>
      </w:r>
      <w:r w:rsidR="007C7450" w:rsidRPr="00D52239">
        <w:t xml:space="preserve">. </w:t>
      </w:r>
      <w:r w:rsidR="003F6EAD">
        <w:t>Protein-Protein interacti</w:t>
      </w:r>
      <w:r w:rsidR="0032676C">
        <w:t>on</w:t>
      </w:r>
      <w:r w:rsidR="003F6EAD">
        <w:t xml:space="preserve"> clusters were identified based on the </w:t>
      </w:r>
      <w:r w:rsidR="003F6EAD" w:rsidRPr="00D52239">
        <w:t>STRING database (Version 12.0)</w:t>
      </w:r>
      <w:r w:rsidR="003F6EAD" w:rsidRPr="00D52239">
        <w:fldChar w:fldCharType="begin"/>
      </w:r>
      <w:r w:rsidR="00A323E5">
        <w:instrText xml:space="preserve"> ADDIN ZOTERO_ITEM CSL_CITATION {"citationID":"VBPrgrGp","properties":{"formattedCitation":"(43)","plainCitation":"(43)","noteIndex":0},"citationItems":[{"id":636,"uris":["http://zotero.org/users/11760769/items/R8EQD8VJ"],"itemData":{"id":636,"type":"article-journal","abstract":"Much of the complexity within cells arises from functional and regulatory interactions among proteins. The core of these interactions is increasingly known, but novel interactions continue to be discovered, and the information remains scattered across different database resources, experimental modalities and levels of mechanistic detail. The STRING database (https://string-db.org/) systematically collects and integrates protein-protein interactions-both physical interactions as well as functional associations. The data originate from a number of sources: automated text mining of the scientific literature, computational interaction predictions from co-expression, conserved genomic context, databases of interaction experiments and known complexes/pathways from curated sources. All of these interactions are critically assessed, scored, and subsequently automatically transferred to less well-studied organisms using hierarchical orthology information. The data can be accessed via the website, but also programmatically and via bulk downloads. The most recent developments in STRING (version 12.0) are: (i) it is now possible to create, browse and analyze a full interaction network for any novel genome of interest, by submitting its complement of encoded proteins, (ii) the co-expression channel now uses variational auto-encoders to predict interactions, and it covers two new sources, single-cell RNA-seq and experimental proteomics data and (iii) the confidence in each experimentally derived interaction is now estimated based on the detection method used, and communicated to the user in the web-interface. Furthermore, STRING continues to enhance its facilities for functional enrichment analysis, which are now fully available also for user-submitted genomes.","container-title":"Nucleic Acids Research","DOI":"10.1093/nar/gkac1000","ISSN":"1362-4962","issue":"D1","journalAbbreviation":"Nucleic Acids Res","language":"eng","note":"PMID: 36370105\nPMCID: PMC9825434","page":"D638-D646","source":"PubMed","title":"The STRING database in 2023: protein-protein association networks and functional enrichment analyses for any sequenced genome of interest","title-short":"The STRING database in 2023","volume":"51","author":[{"family":"Szklarczyk","given":"Damian"},{"family":"Kirsch","given":"Rebecca"},{"family":"Koutrouli","given":"Mikaela"},{"family":"Nastou","given":"Katerina"},{"family":"Mehryary","given":"Farrokh"},{"family":"Hachilif","given":"Radja"},{"family":"Gable","given":"Annika L."},{"family":"Fang","given":"Tao"},{"family":"Doncheva","given":"Nadezhda T."},{"family":"Pyysalo","given":"Sampo"},{"family":"Bork","given":"Peer"},{"family":"Jensen","given":"Lars J."},{"family":"Mering","given":"Christian","non-dropping-particle":"von"}],"issued":{"date-parts":[["2023",1,6]]}}}],"schema":"https://github.com/citation-style-language/schema/raw/master/csl-citation.json"} </w:instrText>
      </w:r>
      <w:r w:rsidR="003F6EAD" w:rsidRPr="00D52239">
        <w:fldChar w:fldCharType="separate"/>
      </w:r>
      <w:r w:rsidR="00A323E5" w:rsidRPr="00A323E5">
        <w:t>(43)</w:t>
      </w:r>
      <w:r w:rsidR="003F6EAD" w:rsidRPr="00D52239">
        <w:fldChar w:fldCharType="end"/>
      </w:r>
      <w:r w:rsidR="003F6EAD">
        <w:t xml:space="preserve"> and using </w:t>
      </w:r>
      <w:r w:rsidR="003F6EAD" w:rsidRPr="00D52239">
        <w:t>the edge-betweenness clustering method.</w:t>
      </w:r>
      <w:r w:rsidR="003F6EAD" w:rsidRPr="00D52239">
        <w:fldChar w:fldCharType="begin"/>
      </w:r>
      <w:r w:rsidR="00A323E5">
        <w:instrText xml:space="preserve"> ADDIN ZOTERO_ITEM CSL_CITATION {"citationID":"GoXn5dPj","properties":{"formattedCitation":"(44)","plainCitation":"(44)","noteIndex":0},"citationItems":[{"id":635,"uris":["http://zotero.org/users/11760769/items/DRM7SLXE"],"itemData":{"id":635,"type":"article-journal","container-title":"BMC Bioinformatics","DOI":"10.1186/1471-2105-6-39","ISSN":"14712105","issue":"1","journalAbbreviation":"BMC Bioinformatics","page":"39","source":"DOI.org (Crossref)","title":"The Use of Edge-Betweenness Clustering to Investigate Biological Function in Protein Interaction Networks","volume":"6","author":[{"family":"Dunn","given":"Ruth"},{"family":"Dudbridge","given":"Frank"},{"family":"Sanderson","given":"Christopher M"}],"issued":{"date-parts":[["2005"]]}}}],"schema":"https://github.com/citation-style-language/schema/raw/master/csl-citation.json"} </w:instrText>
      </w:r>
      <w:r w:rsidR="003F6EAD" w:rsidRPr="00D52239">
        <w:fldChar w:fldCharType="separate"/>
      </w:r>
      <w:r w:rsidR="00A323E5" w:rsidRPr="00A323E5">
        <w:t>(44)</w:t>
      </w:r>
      <w:r w:rsidR="003F6EAD" w:rsidRPr="00D52239">
        <w:fldChar w:fldCharType="end"/>
      </w:r>
      <w:r w:rsidR="003F6EAD">
        <w:t xml:space="preserve"> </w:t>
      </w:r>
      <w:r w:rsidR="007C7450" w:rsidRPr="00D52239">
        <w:t xml:space="preserve">Following this, we performed Bayesian kernel machine regression (BKMR) with hierarchical variable selection to identify protein clusters and individual proteins relevant to </w:t>
      </w:r>
      <w:r w:rsidR="00153B37">
        <w:t>language development</w:t>
      </w:r>
      <w:r w:rsidR="00544CDF">
        <w:t>.</w:t>
      </w:r>
      <w:r w:rsidR="00352423" w:rsidRPr="00D52239">
        <w:fldChar w:fldCharType="begin"/>
      </w:r>
      <w:r w:rsidR="00A323E5">
        <w:instrText xml:space="preserve"> ADDIN ZOTERO_ITEM CSL_CITATION {"citationID":"vAfvMFUn","properties":{"formattedCitation":"(45)","plainCitation":"(45)","noteIndex":0},"citationItems":[{"id":634,"uris":["http://zotero.org/users/11760769/items/QQL8MUVD"],"itemData":{"id":634,"type":"article-journal","container-title":"Environmental Health","DOI":"10.1186/s12940-018-0413-y","ISSN":"1476-069X","issue":"1","journalAbbreviation":"Environ Health","language":"en","page":"67","source":"DOI.org (Crossref)","title":"Statistical software for analyzing the health effects of multiple concurrent exposures via Bayesian kernel machine regression","volume":"17","author":[{"family":"Bobb","given":"Jennifer F."},{"family":"Claus Henn","given":"Birgit"},{"family":"Valeri","given":"Linda"},{"family":"Coull","given":"Brent A."}],"issued":{"date-parts":[["2018",12]]}}}],"schema":"https://github.com/citation-style-language/schema/raw/master/csl-citation.json"} </w:instrText>
      </w:r>
      <w:r w:rsidR="00352423" w:rsidRPr="00D52239">
        <w:fldChar w:fldCharType="separate"/>
      </w:r>
      <w:r w:rsidR="00A323E5" w:rsidRPr="00A323E5">
        <w:t>(45)</w:t>
      </w:r>
      <w:r w:rsidR="00352423" w:rsidRPr="00D52239">
        <w:fldChar w:fldCharType="end"/>
      </w:r>
      <w:r w:rsidR="007C7450" w:rsidRPr="00D52239">
        <w:t xml:space="preserve"> </w:t>
      </w:r>
      <w:r w:rsidR="00F070B2" w:rsidRPr="00F070B2">
        <w:t>To establish the temporal relationship</w:t>
      </w:r>
      <w:r w:rsidR="00F070B2">
        <w:t>, w</w:t>
      </w:r>
      <w:r w:rsidR="00881609">
        <w:t xml:space="preserve">e only considered </w:t>
      </w:r>
      <w:r w:rsidR="00881609" w:rsidRPr="00D52239">
        <w:t>the WIAT-III score</w:t>
      </w:r>
      <w:r w:rsidR="00881609">
        <w:t xml:space="preserve"> in this analysis</w:t>
      </w:r>
      <w:r w:rsidR="00F070B2">
        <w:t xml:space="preserve">, as </w:t>
      </w:r>
      <w:r w:rsidR="00881609">
        <w:t>WIAT-III was assessed at a later time point than the blood sample collection for proteomic analysis</w:t>
      </w:r>
      <w:r w:rsidR="00881609" w:rsidRPr="00D52239">
        <w:t>.</w:t>
      </w:r>
      <w:r w:rsidR="00300297">
        <w:t xml:space="preserve"> </w:t>
      </w:r>
      <w:r w:rsidR="007C7450" w:rsidRPr="00D52239">
        <w:t>Detailed methods are described in our previous work investigating blood biomarker mixtures</w:t>
      </w:r>
      <w:r w:rsidR="006E1B67">
        <w:t>.</w:t>
      </w:r>
      <w:r w:rsidR="00352423" w:rsidRPr="00D52239">
        <w:fldChar w:fldCharType="begin"/>
      </w:r>
      <w:r w:rsidR="00A323E5">
        <w:instrText xml:space="preserve"> ADDIN ZOTERO_ITEM CSL_CITATION {"citationID":"So2g7EMk","properties":{"formattedCitation":"(46)","plainCitation":"(46)","noteIndex":0},"citationItems":[{"id":180,"uris":["http://zotero.org/users/11760769/items/R4QSLW4T"],"itemData":{"id":180,"type":"article-journal","abstract":"Human brain development starts in the embryonic period. Maternal preconception nutrition and nutrient availability to the embryo may influence brain development at this critical period following conception and early cellular differentiation, thereby affecting offspring neurodevelopmental and behavioural disorder risk. However, studying this is challenging due to difficulties in characterizing preconception nutritional status and few studies have objective neurodevelopmental imaging measures in children. We investigated the associations of maternal preconception circulating blood nutrient-related biomarker mixtures (~15 weeks before conception) with child behavioural symptoms (Child Behaviour Checklist (CBCL), aged 3 years) within the Singapore Preconception Study of Long-Term Maternal and Child Outcomes (S-PRESTO) study. The CBCL preschool form evaluates child behaviours based on syndrome scales and Diagnostic and Statistical Manual of Mental Disorders (DSM) oriented scales. These scales consist of internalizing problems, externalizing problems, anxiety problems, pervasive developmental problems, oppositional defiant, etc. We applied data-driven clustering and a method for modelling mixtures (Bayesian kernel machine regression, BKMR) to account for complex, non-linear dependencies between 67 biomarkers. We used effect decomposition analyses to explore the potential mediating role of neonatal (week 1) brain microstructure, specifically orientation dispersion indices (ODI) of 49 cortical and subcortical grey matter regions. We found that higher levels of a nutrient cluster including thiamine, thiamine monophosphate (TMP), pyridoxal phosphate, pyridoxic acid, and pyridoxal were associated with a higher CBCL score for internalizing problems (posterior inclusion probability (PIP) = 0.768). Specifically, thiamine independently influenced CBCL (Conditional PIP = 0.775). Higher maternal preconception thiamine level was also associated with a lower right subthalamic nucleus ODI (P-value = 0.01) while a lower right subthalamic nucleus ODI was associated with higher CBCL scores for multiple domains (P-value &lt; 0.05). One potential mechanism is the suboptimal metabolism of free thiamine to active vitamin B1, but additional follow-up and replication studies in other cohorts are needed.","container-title":"Translational Psychiatry","DOI":"10.1038/s41398-023-02332-6","ISSN":"2158-3188","issue":"1","journalAbbreviation":"Transl Psychiatry","language":"eng","license":"All rights reserved","note":"PMID: 36737601\nPMCID: PMC9898508","page":"38","source":"PubMed","title":"Maternal preconception circulating blood biomarker mixtures, child behavioural symptom scores and the potential mediating role of neonatal brain microstructure: the S-PRESTO cohort","title-short":"Maternal preconception circulating blood biomarker mixtures, child behavioural symptom scores and the potential mediating role of neonatal brain microstructure","volume":"13","author":[{"family":"Huang","given":"Jian"},{"family":"Tan","given":"Ai Peng"},{"family":"Law","given":"Evelyn"},{"family":"Godfrey","given":"Keith M."},{"family":"Qiu","given":"Anqi"},{"family":"Daniel","given":"Lourdes Mary"},{"family":"Fortier","given":"Marielle"},{"family":"Tan","given":"Kok Hian"},{"family":"Chan","given":"Jerry Kok Yen"},{"family":"Cameron-Smith","given":"David"},{"family":"Chong","given":"Yap Seng"},{"family":"Chan","given":"Shiao-Yng"},{"family":"Eriksson","given":"Johan G."},{"family":"Meaney","given":"Michael J."},{"family":"Huang","given":"Jonathan"}],"issued":{"date-parts":[["2023",2,3]]}}}],"schema":"https://github.com/citation-style-language/schema/raw/master/csl-citation.json"} </w:instrText>
      </w:r>
      <w:r w:rsidR="00352423" w:rsidRPr="00D52239">
        <w:fldChar w:fldCharType="separate"/>
      </w:r>
      <w:r w:rsidR="00A323E5" w:rsidRPr="00A323E5">
        <w:t>(46)</w:t>
      </w:r>
      <w:r w:rsidR="00352423" w:rsidRPr="00D52239">
        <w:fldChar w:fldCharType="end"/>
      </w:r>
      <w:r w:rsidR="007C7450" w:rsidRPr="00D52239">
        <w:t xml:space="preserve"> </w:t>
      </w:r>
      <w:r w:rsidR="006A7E4A">
        <w:t xml:space="preserve">In brief, we performed 500,000 Markov chain Monte Carlo (MCMC) iterations (50% burn-in) with 10 independent chains. We estimated posterior inclusion probabilities (PIPs) for each protein cluster (Cluster PIP) and the PIPs for each protein, given that its cluster was selected into the model (Conditional PIP). </w:t>
      </w:r>
      <w:r w:rsidR="007C7450" w:rsidRPr="00D52239">
        <w:t>Sex-specific BKMR analysis was not performed as the restricted sample sizes led to instability and non-convergence in the MCMC iteration process.</w:t>
      </w:r>
      <w:r w:rsidR="00352423" w:rsidRPr="00D52239">
        <w:fldChar w:fldCharType="begin"/>
      </w:r>
      <w:r w:rsidR="00A323E5">
        <w:instrText xml:space="preserve"> ADDIN ZOTERO_ITEM CSL_CITATION {"citationID":"bQZkm0JH","properties":{"formattedCitation":"(47)","plainCitation":"(47)","noteIndex":0},"citationItems":[{"id":1132,"uris":["http://zotero.org/users/11760769/items/VXCVBPP8"],"itemData":{"id":1132,"type":"article-journal","abstract":"Markov Chain Monte Carlo (MCMC) methods are increasingly popular among epidemiologists. The reason for this may in part be that MCMC offers an appealing approach to handling some difficult types of analyses. Additionally, MCMC methods are those most commonly used for Bayesian analysis. However, epidemiologists are still largely unfamiliar with MCMC. They may lack familiarity either with he implementation of MCMC or with interpretation of the resultant output. As with tutorials outlining the calculus behind maximum likelihood in previous decades, a simple description of the machinery of MCMC is needed. We provide an introduction to conducting analyses with MCMC, and show that, given the same data and under certain model specifications, the results of an MCMC simulation match those of methods based on standard maximum-likelihood estimation (MLE). In addition, we highlight examples of instances in which MCMC approaches to data analysis provide a clear advantage over MLE. We hope that this brief tutorial will encourage epidemiologists to consider MCMC approaches as part of their analytic tool-kit.","container-title":"International Journal of Epidemiology","DOI":"10.1093/ije/dyt043","ISSN":"1464-3685","issue":"2","journalAbbreviation":"Int J Epidemiol","language":"eng","note":"PMID: 23569196\nPMCID: PMC3619958","page":"627-634","source":"PubMed","title":"Markov chain Monte Carlo: an introduction for epidemiologists","title-short":"Markov chain Monte Carlo","volume":"42","author":[{"family":"Hamra","given":"Ghassan"},{"family":"MacLehose","given":"Richard"},{"family":"Richardson","given":"David"}],"issued":{"date-parts":[["2013",4]]}}}],"schema":"https://github.com/citation-style-language/schema/raw/master/csl-citation.json"} </w:instrText>
      </w:r>
      <w:r w:rsidR="00352423" w:rsidRPr="00D52239">
        <w:fldChar w:fldCharType="separate"/>
      </w:r>
      <w:r w:rsidR="00A323E5" w:rsidRPr="00A323E5">
        <w:t>(47)</w:t>
      </w:r>
      <w:r w:rsidR="00352423" w:rsidRPr="00D52239">
        <w:fldChar w:fldCharType="end"/>
      </w:r>
      <w:r w:rsidR="007C7450" w:rsidRPr="00D52239">
        <w:t xml:space="preserve"> We considered protein clusters with a Cluster PIP greater than 0.50 to be relevant to the WIAT-III score. Within each cluster, we evaluate the relevance of individual proteins based on their Conditional PIP. We validated the direction of associations using linear regression models for each protein and performed sex-specific analysis for candidate proteins.</w:t>
      </w:r>
      <w:r w:rsidR="00F75E17">
        <w:t xml:space="preserve"> Considering the exploratory nature of this analysis, we chose a parsimonious model adjusting for </w:t>
      </w:r>
      <w:r w:rsidR="00C43B1D">
        <w:t>child</w:t>
      </w:r>
      <w:r w:rsidR="00F75E17">
        <w:t xml:space="preserve"> sex, genetic ancestry, age at WIAT-III assessment and age at </w:t>
      </w:r>
      <w:r w:rsidR="00A50E36">
        <w:t>blood draw for proteomic analysis</w:t>
      </w:r>
      <w:r w:rsidR="00F75E17">
        <w:t>, plate ID for proteomic analysis, mother’s highest educational level, and household monthly income.</w:t>
      </w:r>
      <w:r w:rsidR="00674A2D">
        <w:t xml:space="preserve"> </w:t>
      </w:r>
    </w:p>
    <w:p w14:paraId="44AF18B7" w14:textId="7F66E79A" w:rsidR="009A2FFC" w:rsidRDefault="009A2FFC">
      <w:pPr>
        <w:spacing w:after="200"/>
      </w:pPr>
      <w:r>
        <w:t>W</w:t>
      </w:r>
      <w:r w:rsidRPr="00D52239">
        <w:t xml:space="preserve">e also investigated the sex-specific associations of child PRS for obesity with neurology-related protein expression. We fitted multiple linear regressions for each of the 92 proteins separately, adjusting for </w:t>
      </w:r>
      <w:r w:rsidRPr="002114D7">
        <w:t xml:space="preserve">age at </w:t>
      </w:r>
      <w:r w:rsidR="00A50E36">
        <w:t>blood draw for proteomic analysis</w:t>
      </w:r>
      <w:r w:rsidRPr="002114D7">
        <w:t xml:space="preserve">, child sex, genetic ancestry, maternal highest educational level, household monthly income, pregnancy-related </w:t>
      </w:r>
      <w:r w:rsidRPr="002114D7">
        <w:lastRenderedPageBreak/>
        <w:t>factors, parental PRS for obesity</w:t>
      </w:r>
      <w:r>
        <w:t>, and</w:t>
      </w:r>
      <w:r w:rsidRPr="00D52239">
        <w:t xml:space="preserve"> the plate ID for proteomic analysis as a technical covariate. We applied a stringent Bonferroni correction with a P-value threshold of 0.05/(92×3) as our level of formal significance to account for multiple comparisons of 92 proteins and three sex groups (Overall (Boys and Girls), Boys, Girls). As an exploratory study, we also indicated associations that are nominally significant with a P-value&lt;0.05.</w:t>
      </w:r>
    </w:p>
    <w:p w14:paraId="332EC745" w14:textId="67863F73" w:rsidR="0030494A" w:rsidRPr="00D52239" w:rsidRDefault="0030494A" w:rsidP="0030494A">
      <w:pPr>
        <w:spacing w:after="200"/>
      </w:pPr>
      <w:r>
        <w:t>W</w:t>
      </w:r>
      <w:r w:rsidRPr="00D52239">
        <w:t xml:space="preserve">e </w:t>
      </w:r>
      <w:r>
        <w:t xml:space="preserve">further </w:t>
      </w:r>
      <w:r w:rsidRPr="00D52239">
        <w:t>investigated the associations between candidate neurology-related proteins and FA in white matter tracts using multiple linear regression adjusting for children’s sex, genetic ancestry, age at MRI scan and age at blood draw for proteomic analysis, plate ID for proteomic analysis, mother’s highest educational level, and household monthly income. As an exploratory analysis, we highlighted associations with P-values smaller than 0.05 and 0.01.</w:t>
      </w:r>
    </w:p>
    <w:p w14:paraId="3B83DBFA" w14:textId="11ADC3A0" w:rsidR="00786178" w:rsidRDefault="00EF524F">
      <w:pPr>
        <w:spacing w:after="200"/>
      </w:pPr>
      <w:r>
        <w:t>Mediation analysis</w:t>
      </w:r>
      <w:r w:rsidRPr="00A033B6">
        <w:t xml:space="preserve"> </w:t>
      </w:r>
      <w:r>
        <w:t>was</w:t>
      </w:r>
      <w:r w:rsidRPr="00A033B6">
        <w:t xml:space="preserve"> performed </w:t>
      </w:r>
      <w:r>
        <w:t xml:space="preserve">using a </w:t>
      </w:r>
      <w:r w:rsidRPr="00E1702C">
        <w:t>regression-based counterfactual approach</w:t>
      </w:r>
      <w:r>
        <w:t xml:space="preserve">, which decomposes the </w:t>
      </w:r>
      <w:r w:rsidRPr="00A033B6">
        <w:t xml:space="preserve">causal effect </w:t>
      </w:r>
      <w:r>
        <w:t xml:space="preserve">into </w:t>
      </w:r>
      <w:r w:rsidRPr="00E1702C">
        <w:t>pure and total (including interaction) direct effects and pure and total (including mediated-interaction) indirect effects</w:t>
      </w:r>
      <w:r w:rsidR="009E1BB7">
        <w:t>.</w:t>
      </w:r>
      <w:r w:rsidR="009E1BB7">
        <w:fldChar w:fldCharType="begin"/>
      </w:r>
      <w:r w:rsidR="00A323E5">
        <w:instrText xml:space="preserve"> ADDIN ZOTERO_ITEM CSL_CITATION {"citationID":"1CpE1zd8","properties":{"formattedCitation":"(48)","plainCitation":"(48)","noteIndex":0},"citationItems":[{"id":30,"uris":["http://zotero.org/users/11760769/items/DA7N2CJL"],"itemData":{"id":30,"type":"article-journal","abstract":"The overall effect of an exposure on an outcome, in the presence of a mediator with which the exposure may interact, can be decomposed into 4 components: (1) the effect of the exposure in the absence of the mediator, (2) the interactive effect when the mediator is left to what it would be in the absence of exposure, (3) a mediated interaction, and (4) a pure mediated effect. These 4 components, respectively, correspond to the portion of the effect that is due to neither mediation nor interaction, to just interaction (but not mediation), to both mediation and interaction, and to just mediation (but not interaction). This 4-way decomposition unites methods that attribute effects to interactions and methods that assess mediation. Certain combinations of these 4 components correspond to measures for mediation, whereas other combinations correspond to measures of interaction previously proposed in the literature. Prior decompositions in the literature are in essence special cases of this 4-way decomposition. The 4-way decomposition can be carried out using standard statistical models, and software is provided to estimate each of the 4 components. The 4-way decomposition provides maximum insight into how much of an effect is mediated, how much is due to interaction, how much is due to both mediation and interaction together, and how much is due to neither.","container-title":"Epidemiology (Cambridge, Mass.)","DOI":"10.1097/EDE.0000000000000121","ISSN":"1531-5487","issue":"5","journalAbbreviation":"Epidemiology","language":"eng","note":"PMID: 25000145\nPMCID: PMC4220271","page":"749-761","source":"PubMed","title":"A unification of mediation and interaction: a 4-way decomposition","title-short":"A unification of mediation and interaction","volume":"25","author":[{"family":"VanderWeele","given":"Tyler J."}],"issued":{"date-parts":[["2014",9]]}}}],"schema":"https://github.com/citation-style-language/schema/raw/master/csl-citation.json"} </w:instrText>
      </w:r>
      <w:r w:rsidR="009E1BB7">
        <w:fldChar w:fldCharType="separate"/>
      </w:r>
      <w:r w:rsidR="00A323E5" w:rsidRPr="00A323E5">
        <w:t>(48)</w:t>
      </w:r>
      <w:r w:rsidR="009E1BB7">
        <w:fldChar w:fldCharType="end"/>
      </w:r>
      <w:r>
        <w:t xml:space="preserve"> </w:t>
      </w:r>
      <w:r w:rsidR="005B7275">
        <w:t xml:space="preserve">Specifically, we assessed the </w:t>
      </w:r>
      <w:r w:rsidR="008A41DF">
        <w:t>indirect</w:t>
      </w:r>
      <w:r w:rsidR="005B7275">
        <w:t xml:space="preserve"> effect </w:t>
      </w:r>
      <w:r w:rsidR="00567512">
        <w:t xml:space="preserve">of child PRS for obesity on WIAT-III language score via two candidate neurology-related proteins, i.e., EFNA4 and VWC2, </w:t>
      </w:r>
      <w:r w:rsidR="005A1927">
        <w:t>based on the findings</w:t>
      </w:r>
      <w:r w:rsidR="00567512">
        <w:t xml:space="preserve"> in the aforementioned analyses.</w:t>
      </w:r>
      <w:r w:rsidR="00EC05D0">
        <w:t xml:space="preserve"> We adjusted for </w:t>
      </w:r>
      <w:r w:rsidR="00EC05D0" w:rsidRPr="00C303B2">
        <w:t xml:space="preserve">age at </w:t>
      </w:r>
      <w:r w:rsidR="00EC05D0">
        <w:t xml:space="preserve">language assessment, </w:t>
      </w:r>
      <w:r w:rsidR="00EC05D0" w:rsidRPr="00C303B2">
        <w:t>age at blood draw for proteomic analysis, child sex, genetic ancestry, maternal highest educational level, household monthly income</w:t>
      </w:r>
      <w:r w:rsidR="00EC05D0">
        <w:t xml:space="preserve">, parental PRS for obesity, </w:t>
      </w:r>
      <w:r w:rsidR="001D75D4" w:rsidRPr="001D75D4">
        <w:t>gestational age at birth, maternal age at delivery, maternal pre-pregnancy BMI, parity, maternal status of GDM</w:t>
      </w:r>
      <w:r w:rsidR="001D75D4">
        <w:t xml:space="preserve">, </w:t>
      </w:r>
      <w:r w:rsidR="00EC05D0">
        <w:t xml:space="preserve">and </w:t>
      </w:r>
      <w:r w:rsidR="00EC05D0" w:rsidRPr="00D52239">
        <w:t>plate ID</w:t>
      </w:r>
      <w:r w:rsidR="00EC05D0">
        <w:t xml:space="preserve"> </w:t>
      </w:r>
      <w:r w:rsidR="00EC05D0" w:rsidRPr="00D52239">
        <w:t>for proteomic analysis</w:t>
      </w:r>
      <w:r w:rsidR="00EC05D0">
        <w:t>.</w:t>
      </w:r>
      <w:r w:rsidR="00E0717A">
        <w:t xml:space="preserve"> Additionally, we examined the genetic correlation between </w:t>
      </w:r>
      <w:r w:rsidR="001C0749">
        <w:t xml:space="preserve">BMI and expression of EFNA4 and VWC2 </w:t>
      </w:r>
      <w:r w:rsidR="00ED36B2">
        <w:t>using GWAS of adult populations of European ancestry</w:t>
      </w:r>
      <w:r w:rsidR="00AC2337">
        <w:t xml:space="preserve"> (</w:t>
      </w:r>
      <w:r w:rsidR="00AC2337" w:rsidRPr="00526053">
        <w:rPr>
          <w:b/>
          <w:bCs/>
        </w:rPr>
        <w:t>Supplementary Table 1</w:t>
      </w:r>
      <w:r w:rsidR="00AC2337">
        <w:t>)</w:t>
      </w:r>
      <w:r w:rsidR="00AC2337" w:rsidRPr="00AC2337">
        <w:t>.</w:t>
      </w:r>
    </w:p>
    <w:p w14:paraId="2E50BD92" w14:textId="77777777" w:rsidR="00E719FC" w:rsidRPr="00D52239" w:rsidRDefault="007C7450">
      <w:pPr>
        <w:spacing w:after="200"/>
        <w:rPr>
          <w:u w:val="single"/>
        </w:rPr>
      </w:pPr>
      <w:bookmarkStart w:id="10" w:name="_97zc2ued9ruc" w:colFirst="0" w:colLast="0"/>
      <w:bookmarkStart w:id="11" w:name="_xh9yan8547pf" w:colFirst="0" w:colLast="0"/>
      <w:bookmarkEnd w:id="10"/>
      <w:bookmarkEnd w:id="11"/>
      <w:r w:rsidRPr="00D52239">
        <w:rPr>
          <w:u w:val="single"/>
        </w:rPr>
        <w:t>Brain-region-specific predicted expression (ePRS) analyses</w:t>
      </w:r>
    </w:p>
    <w:p w14:paraId="2E50BD93" w14:textId="030D1FF8" w:rsidR="00E719FC" w:rsidRPr="00D52239" w:rsidRDefault="00530005">
      <w:pPr>
        <w:spacing w:after="200"/>
      </w:pPr>
      <w:r w:rsidRPr="00D52239">
        <w:t xml:space="preserve">Among the candidate neurology-related proteins for the WIAT-III score identified in our analysis, </w:t>
      </w:r>
      <w:r>
        <w:t xml:space="preserve">EFNA4 was more strongly associated with PRS for obesity as well as </w:t>
      </w:r>
      <w:r w:rsidRPr="00D52239">
        <w:t>FA in</w:t>
      </w:r>
      <w:r>
        <w:t xml:space="preserve"> multiple</w:t>
      </w:r>
      <w:r w:rsidRPr="00D52239">
        <w:t xml:space="preserve"> white matter tracts</w:t>
      </w:r>
      <w:r>
        <w:t>.</w:t>
      </w:r>
      <w:r w:rsidR="006B32B5">
        <w:t xml:space="preserve"> </w:t>
      </w:r>
      <w:r w:rsidR="00782CE9">
        <w:t xml:space="preserve">In addition, </w:t>
      </w:r>
      <w:r w:rsidR="007C7450" w:rsidRPr="00D52239">
        <w:t>EFNA4 has been reported to regulate myelination, which is relevant to language ability.</w:t>
      </w:r>
      <w:r w:rsidR="00352423" w:rsidRPr="00D52239">
        <w:fldChar w:fldCharType="begin"/>
      </w:r>
      <w:r w:rsidR="00A323E5">
        <w:instrText xml:space="preserve"> ADDIN ZOTERO_ITEM CSL_CITATION {"citationID":"evhiDrkc","properties":{"formattedCitation":"(49)","plainCitation":"(49)","noteIndex":0},"citationItems":[{"id":1037,"uris":["http://zotero.org/users/11760769/items/FUFBPW4L"],"itemData":{"id":1037,"type":"article-journal","container-title":"NeuroImage","DOI":"10.1016/j.neuroimage.2022.119641","ISSN":"10538119","journalAbbreviation":"NeuroImage","language":"en","page":"119641","source":"DOI.org (Crossref)","title":"Brain myelination at 7 months of age predicts later language development","volume":"263","author":[{"family":"Corrigan","given":"Neva M."},{"family":"Yarnykh","given":"Vasily L."},{"family":"Huber","given":"Elizabeth"},{"family":"Zhao","given":"T. Christina"},{"family":"Kuhl","given":"Patricia K."}],"issued":{"date-parts":[["2022",11]]}}}],"schema":"https://github.com/citation-style-language/schema/raw/master/csl-citation.json"} </w:instrText>
      </w:r>
      <w:r w:rsidR="00352423" w:rsidRPr="00D52239">
        <w:fldChar w:fldCharType="separate"/>
      </w:r>
      <w:r w:rsidR="00A323E5" w:rsidRPr="00A323E5">
        <w:t>(49)</w:t>
      </w:r>
      <w:r w:rsidR="00352423" w:rsidRPr="00D52239">
        <w:fldChar w:fldCharType="end"/>
      </w:r>
      <w:r w:rsidR="007C7450" w:rsidRPr="00D52239">
        <w:t xml:space="preserve"> Thus, we further examined the influence of the expression of the EPH-Ephrin signalling pathway on the WIAT-III score. We constructed pathway- and </w:t>
      </w:r>
      <w:r w:rsidR="003F6EAD" w:rsidRPr="00D52239">
        <w:t>brain</w:t>
      </w:r>
      <w:r w:rsidR="007C7450" w:rsidRPr="00D52239">
        <w:t>-region-specific ePRS based on a method we developed and applied in previous studies.</w:t>
      </w:r>
      <w:r w:rsidR="00352423" w:rsidRPr="00D52239">
        <w:fldChar w:fldCharType="begin"/>
      </w:r>
      <w:r w:rsidR="00A323E5">
        <w:instrText xml:space="preserve"> ADDIN ZOTERO_ITEM CSL_CITATION {"citationID":"RHuNZVP3","properties":{"formattedCitation":"(16,50)","plainCitation":"(16,50)","noteIndex":0},"citationItems":[{"id":1197,"uris":["http://zotero.org/users/11760769/items/53ZWXY89"],"itemData":{"id":1197,"type":"article-journal","abstract":"BACKGROUND: Activation of brain insulin receptors modulates reward sensitivity, inhibitory control and memory. Variations in the functioning of this mechanism likely associate with individual differences in the risk for related mental disorders (attention deficit hyperactivity disorder or ADHD, addiction, dementia), in agreement with the high co-morbidity between insulin resistance and psychopathology. These neurobiological mechanisms can be explored using genetic studies. We propose a novel, biologically informed genetic score reflecting the mesocorticolimbic and hippocampal insulin receptor-related gene networks, and investigate if it predicts endophenotypes (impulsivity, cognitive ability) in community samples of children, and psychopathology (addiction, dementia) in adults.\nMETHODS: Lists of genes co-expressed with the insulin receptor in the mesocorticolimbic system or hippocampus were created. SNPs from these genes (post-clumping) were compiled in a polygenic score using the association betas described in a conventional GWAS (ADHD in the mesocorticolimbic score and Alzheimer in the hippocampal score). Across multiple samples (n = 4502), the biologically informed, mesocorticolimbic or hippocampal specific insulin receptor polygenic scores were calculated, and their ability to predict impulsivity, risk for addiction, cognitive performance and presence of Alzheimer's disease was investigated.\nFINDINGS: The biologically-informed ePRS-IR score showed better prediction of child impulsivity and cognitive performance, as well as risk for addiction and Alzheimer's disease in comparison to conventional polygenic scores for ADHD, addiction and dementia.\nINTERPRETATION: This novel, biologically-informed approach enables the use of genomic datasets to probe relevant biological processes involved in neural function and disorders. FUND: Toxic Stress Research network of the JPB Foundation, Jacobs Foundation (Switzerland), Sackler Foundation.","container-title":"EBioMedicine","DOI":"10.1016/j.ebiom.2019.03.051","ISSN":"2352-3964","journalAbbreviation":"EBioMedicine","language":"eng","note":"PMID: 30922963\nPMCID: PMC6491717","page":"188-202","source":"PubMed","title":"A biologically-informed polygenic score identifies endophenotypes and clinical conditions associated with the insulin receptor function on specific brain regions","volume":"42","author":[{"family":"Hari Dass","given":"Shantala A."},{"family":"McCracken","given":"Kathryn"},{"family":"Pokhvisneva","given":"Irina"},{"family":"Chen","given":"Lawrence M."},{"family":"Garg","given":"Elika"},{"family":"Nguyen","given":"Thao T. T."},{"family":"Wang","given":"Zihan"},{"family":"Barth","given":"Barbara"},{"family":"Yaqubi","given":"Moein"},{"family":"McEwen","given":"Lisa M."},{"family":"MacIsaac","given":"Julie L."},{"family":"Diorio","given":"Josie"},{"family":"Kobor","given":"Michael S."},{"family":"O'Donnell","given":"Kieran J."},{"family":"Meaney","given":"Michael J."},{"family":"Silveira","given":"Patricia P."}],"issued":{"date-parts":[["2019",4]]}}},{"id":1207,"uris":["http://zotero.org/users/11760769/items/QWUQXV2R"],"itemData":{"id":1207,"type":"article-journal","abstract":"BACKGROUND: Genetic polymorphisms of the dopamine transporter gene (DAT1) and perinatal complications associated with poor oxygenation are risk factors for attentional problems in childhood and may show interactive effects.\nMETHODS: We created a novel expression-based polygenic risk score (ePRS) reflecting variations in the function of the DAT1 gene network (ePRS-DAT1) in the prefrontal cortex and explored the effects of its interaction with perinatal hypoxic-ischemic-associated conditions on cognitive flexibility and brain gray matter density in healthy children from two birth cohorts-MAVAN from Canada (n = 139 boys and girls) and GUSTO from Singapore (n = 312 boys and girls).\nRESULTS: A history of exposure to several perinatal hypoxic-ischemic-associated conditions was associated with impaired cognitive flexibility only in the high-ePRS group, suggesting that variation in the prefrontal cortex expression of genes involved in dopamine reuptake is associated with differences in this behavior. Interestingly, this result was observed in both ethnically distinct birth cohorts. Additionally, parallel independent component analysis (MAVAN cohort, n = 40 children) demonstrated relationships between single nucleotide polymorphism-based ePRS and gray matter density in areas involved in executive (cortical regions) and integrative (bilateral thalamus and putamen) functions, and these relationships differ in children from high and low exposure to hypoxic-ischemic-associated conditions.\nCONCLUSIONS: These findings reveal that the impact of conditions associated with hypoxia-ischemia on brain development and executive functions is moderated by genotypes associated with dopamine signaling in the prefrontal cortex. We discuss the potential impact of innovative genomic and environmental measures for the identification of children at high risk for impaired executive functions.","container-title":"Biological Psychiatry","DOI":"10.1016/j.biopsych.2019.03.983","ISSN":"1873-2402","issue":"8","journalAbbreviation":"Biol Psychiatry","language":"eng","note":"PMID: 31142432","page":"621-630","source":"PubMed","title":"Prefrontal Cortex Dopamine Transporter Gene Network Moderates the Effect of Perinatal Hypoxic-Ischemic Conditions on Cognitive Flexibility and Brain Gray Matter Density in Children","volume":"86","author":[{"family":"Miguel","given":"Patrícia Maidana"},{"family":"Pereira","given":"Lenir Orlandi"},{"family":"Barth","given":"Barbara"},{"family":"Mendonça Filho","given":"Euclides José","non-dropping-particle":"de"},{"family":"Pokhvisneva","given":"Irina"},{"family":"Nguyen","given":"Thao T. T."},{"family":"Garg","given":"Elika"},{"family":"Razzolini","given":"Bruna Regis"},{"family":"Koh","given":"Dawn Xin Ping"},{"family":"Gallant","given":"Heather"},{"family":"Sassi","given":"Roberto Britto"},{"family":"Hall","given":"Geoffrey B. C."},{"family":"O'Donnell","given":"Kieran John"},{"family":"Meaney","given":"Michael J."},{"family":"Silveira","given":"Patrícia Pelufo"}],"issued":{"date-parts":[["2019",10,15]]}}}],"schema":"https://github.com/citation-style-language/schema/raw/master/csl-citation.json"} </w:instrText>
      </w:r>
      <w:r w:rsidR="00352423" w:rsidRPr="00D52239">
        <w:fldChar w:fldCharType="separate"/>
      </w:r>
      <w:r w:rsidR="00A323E5" w:rsidRPr="00A323E5">
        <w:t>(16,50)</w:t>
      </w:r>
      <w:r w:rsidR="00352423" w:rsidRPr="00D52239">
        <w:fldChar w:fldCharType="end"/>
      </w:r>
      <w:r w:rsidR="007C7450" w:rsidRPr="00D52239">
        <w:t xml:space="preserve"> A total of 90 autosomal genes were identified for the EPH-Ephrin signalling pathway (R-HSA-2682334.3) using the REACTOME database (release 88). SNPs from these genes were annotated, and their associations (effect sizes and </w:t>
      </w:r>
      <w:r w:rsidR="006A28DE">
        <w:t>P</w:t>
      </w:r>
      <w:r w:rsidR="007C7450" w:rsidRPr="00D52239">
        <w:t xml:space="preserve">-values) with </w:t>
      </w:r>
      <w:r w:rsidR="003F6EAD" w:rsidRPr="00D52239">
        <w:t>brain</w:t>
      </w:r>
      <w:r w:rsidR="007C7450" w:rsidRPr="00D52239">
        <w:t>-region-specific gene expression were obtained from the Genotype-Tissue Expression (GTEx) Project V7.</w:t>
      </w:r>
      <w:r w:rsidR="00352423" w:rsidRPr="00D52239">
        <w:fldChar w:fldCharType="begin"/>
      </w:r>
      <w:r w:rsidR="00A323E5">
        <w:instrText xml:space="preserve"> ADDIN ZOTERO_ITEM CSL_CITATION {"citationID":"7SZfCPRy","properties":{"formattedCitation":"(51)","plainCitation":"(51)","noteIndex":0},"citationItems":[{"id":1196,"uris":["http://zotero.org/users/11760769/items/D5EYDH4H"],"itemData":{"id":1196,"type":"article-journal","abstract":"The Genotype-Tissue Expression (GTEx) project was established to characterize genetic effects on the transcriptome across human tissues and to link these regulatory mechanisms to trait and disease associations. Here, we present analyses of the version 8 data, examining 15,201 RNA-sequencing samples from 49 tissues of 838 postmortem donors. We comprehensively characterize genetic associations for gene expression and splicing in cis and trans, showing that regulatory associations are found for almost all genes, and describe the underlying molecular mechanisms and their contribution to allelic heterogeneity and pleiotropy of complex traits. Leveraging the large diversity of tissues, we provide insights into the tissue specificity of genetic effects and show that cell type composition is a key factor in understanding gene regulatory mechanisms in human tissues.","container-title":"Science (New York, N.Y.)","DOI":"10.1126/science.aaz1776","ISSN":"1095-9203","issue":"6509","journalAbbreviation":"Science","language":"eng","note":"PMID: 32913098\nPMCID: PMC7737656","page":"1318-1330","source":"PubMed","title":"The GTEx Consortium atlas of genetic regulatory effects across human tissues","volume":"369","author":[{"literal":"GTEx Consortium"}],"issued":{"date-parts":[["2020",9,11]]}}}],"schema":"https://github.com/citation-style-language/schema/raw/master/csl-citation.json"} </w:instrText>
      </w:r>
      <w:r w:rsidR="00352423" w:rsidRPr="00D52239">
        <w:fldChar w:fldCharType="separate"/>
      </w:r>
      <w:r w:rsidR="00A323E5" w:rsidRPr="00A323E5">
        <w:t>(51)</w:t>
      </w:r>
      <w:r w:rsidR="00352423" w:rsidRPr="00D52239">
        <w:fldChar w:fldCharType="end"/>
      </w:r>
      <w:r w:rsidR="007C7450" w:rsidRPr="00D52239">
        <w:t xml:space="preserve"> ePRS for the GUSTO children were then constructed by summing the effect alleles of the uncorrelated SNPs </w:t>
      </w:r>
      <w:r w:rsidR="007A0EB0">
        <w:t>(r</w:t>
      </w:r>
      <w:r w:rsidR="007A0EB0">
        <w:rPr>
          <w:vertAlign w:val="superscript"/>
        </w:rPr>
        <w:t>2</w:t>
      </w:r>
      <w:r w:rsidR="007A0EB0">
        <w:t xml:space="preserve">&gt;0.2 across 500kb region) </w:t>
      </w:r>
      <w:r w:rsidR="007C7450" w:rsidRPr="00D52239">
        <w:t>weighted by their effect sizes for gene expression. In brief, the pathway-specific ePRS represent individual variations in the expression of the EPH-Ephrin signalling pathway in the five brain tissues under investigation in this study, namely the amygdala, caudate, hippocampus, putamen, and prefrontal cortex.</w:t>
      </w:r>
    </w:p>
    <w:p w14:paraId="2E50BD9E" w14:textId="77777777" w:rsidR="00E719FC" w:rsidRPr="00D52239" w:rsidRDefault="007C7450">
      <w:pPr>
        <w:pStyle w:val="Heading2"/>
        <w:pBdr>
          <w:top w:val="nil"/>
          <w:left w:val="nil"/>
          <w:bottom w:val="nil"/>
          <w:right w:val="nil"/>
          <w:between w:val="nil"/>
        </w:pBdr>
        <w:spacing w:after="200"/>
      </w:pPr>
      <w:r w:rsidRPr="00D52239">
        <w:lastRenderedPageBreak/>
        <w:t>Software and packages</w:t>
      </w:r>
    </w:p>
    <w:p w14:paraId="21BCA077" w14:textId="6BE7B4A5" w:rsidR="00AF06BB" w:rsidRPr="00D52239" w:rsidRDefault="007C7450" w:rsidP="0046272C">
      <w:r w:rsidRPr="00D52239">
        <w:t xml:space="preserve">Trans-ancestry PRS were constructed using </w:t>
      </w:r>
      <w:r w:rsidRPr="00D52239">
        <w:rPr>
          <w:i/>
        </w:rPr>
        <w:t>PRS-CSx</w:t>
      </w:r>
      <w:r w:rsidRPr="00D52239">
        <w:t xml:space="preserve"> and </w:t>
      </w:r>
      <w:r w:rsidRPr="00D52239">
        <w:rPr>
          <w:i/>
        </w:rPr>
        <w:t>PRSice-2 v2.3.5</w:t>
      </w:r>
      <w:r w:rsidRPr="00D52239">
        <w:t xml:space="preserve">. GEE was performed using R package </w:t>
      </w:r>
      <w:r w:rsidRPr="00D52239">
        <w:rPr>
          <w:i/>
        </w:rPr>
        <w:t>geepack</w:t>
      </w:r>
      <w:r w:rsidR="003C3B44">
        <w:rPr>
          <w:i/>
        </w:rPr>
        <w:t xml:space="preserve"> </w:t>
      </w:r>
      <w:r w:rsidR="003C3B44" w:rsidRPr="003C3B44">
        <w:rPr>
          <w:i/>
        </w:rPr>
        <w:t>1.3.11</w:t>
      </w:r>
      <w:r w:rsidRPr="00D52239">
        <w:t xml:space="preserve">. Bayesian kernel machine regression was performed using R package </w:t>
      </w:r>
      <w:r w:rsidRPr="00D52239">
        <w:rPr>
          <w:i/>
        </w:rPr>
        <w:t>bkmr</w:t>
      </w:r>
      <w:r w:rsidR="00607053">
        <w:rPr>
          <w:i/>
        </w:rPr>
        <w:t xml:space="preserve"> 0.2.2</w:t>
      </w:r>
      <w:r w:rsidRPr="00D52239">
        <w:t xml:space="preserve">. MR analyses were performed using R packages </w:t>
      </w:r>
      <w:r w:rsidRPr="00D52239">
        <w:rPr>
          <w:i/>
        </w:rPr>
        <w:t>TwoSampleMR</w:t>
      </w:r>
      <w:r w:rsidR="0046272C">
        <w:rPr>
          <w:i/>
        </w:rPr>
        <w:t xml:space="preserve"> </w:t>
      </w:r>
      <w:r w:rsidR="0046272C" w:rsidRPr="0046272C">
        <w:rPr>
          <w:i/>
        </w:rPr>
        <w:t>0.6.7</w:t>
      </w:r>
      <w:r w:rsidRPr="00D52239">
        <w:t xml:space="preserve">, </w:t>
      </w:r>
      <w:r w:rsidRPr="00D52239">
        <w:rPr>
          <w:i/>
        </w:rPr>
        <w:t>ieugwasr</w:t>
      </w:r>
      <w:r w:rsidR="0046272C">
        <w:rPr>
          <w:i/>
        </w:rPr>
        <w:t xml:space="preserve"> 1.0.1</w:t>
      </w:r>
      <w:r w:rsidRPr="00D52239">
        <w:t xml:space="preserve">, </w:t>
      </w:r>
      <w:r w:rsidRPr="00D52239">
        <w:rPr>
          <w:i/>
        </w:rPr>
        <w:t>R2BGLiMS</w:t>
      </w:r>
      <w:r w:rsidRPr="00D52239">
        <w:t xml:space="preserve">, and </w:t>
      </w:r>
      <w:r w:rsidRPr="00D52239">
        <w:rPr>
          <w:i/>
        </w:rPr>
        <w:t>RadialMR</w:t>
      </w:r>
      <w:r w:rsidRPr="00D52239">
        <w:t xml:space="preserve">. Genetic correlation was estimated using </w:t>
      </w:r>
      <w:r w:rsidRPr="00D52239">
        <w:rPr>
          <w:i/>
        </w:rPr>
        <w:t xml:space="preserve">ldsc </w:t>
      </w:r>
      <w:r w:rsidRPr="00D52239">
        <w:t xml:space="preserve">v1.0.1. Genetic colocalisation analysis was performed using </w:t>
      </w:r>
      <w:r w:rsidRPr="00D52239">
        <w:rPr>
          <w:i/>
        </w:rPr>
        <w:t xml:space="preserve">coloc </w:t>
      </w:r>
      <w:r w:rsidRPr="00D52239">
        <w:t xml:space="preserve">v5.2.2. 2SLS regression was performed using the R package </w:t>
      </w:r>
      <w:r w:rsidRPr="00D52239">
        <w:rPr>
          <w:i/>
        </w:rPr>
        <w:t>ivreg</w:t>
      </w:r>
      <w:r w:rsidR="000A4E77">
        <w:rPr>
          <w:i/>
        </w:rPr>
        <w:t xml:space="preserve"> </w:t>
      </w:r>
      <w:r w:rsidR="000A4E77" w:rsidRPr="000A4E77">
        <w:rPr>
          <w:i/>
        </w:rPr>
        <w:t>0.6-3</w:t>
      </w:r>
      <w:r w:rsidRPr="00D52239">
        <w:t>. ePRS were generated using PRSoS.</w:t>
      </w:r>
      <w:r w:rsidR="00352423" w:rsidRPr="00D52239">
        <w:fldChar w:fldCharType="begin"/>
      </w:r>
      <w:r w:rsidR="00A323E5">
        <w:instrText xml:space="preserve"> ADDIN ZOTERO_ITEM CSL_CITATION {"citationID":"VhpFQvaz","properties":{"formattedCitation":"(52)","plainCitation":"(52)","noteIndex":0},"citationItems":[{"id":1204,"uris":["http://zotero.org/users/11760769/items/NTS8KC8Q"],"itemData":{"id":1204,"type":"article-journal","container-title":"BMC Bioinformatics","DOI":"10.1186/s12859-018-2289-9","ISSN":"1471-2105","issue":"1","journalAbbreviation":"BMC Bioinformatics","language":"en","page":"295","source":"DOI.org (Crossref)","title":"PRS-on-Spark (PRSoS): a novel, efficient and flexible approach for generating polygenic risk scores","title-short":"PRS-on-Spark (PRSoS)","volume":"19","author":[{"family":"Chen","given":"Lawrence M."},{"family":"Yao","given":"Nelson"},{"family":"Garg","given":"Elika"},{"family":"Zhu","given":"Yuecai"},{"family":"Nguyen","given":"Thao T. T."},{"family":"Pokhvisneva","given":"Irina"},{"family":"Hari Dass","given":"Shantala A."},{"family":"Unternaehrer","given":"Eva"},{"family":"Gaudreau","given":"Hélène"},{"family":"Forest","given":"Marie"},{"family":"McEwen","given":"Lisa M."},{"family":"MacIsaac","given":"Julia L."},{"family":"Kobor","given":"Michael S."},{"family":"Greenwood","given":"Celia M. T."},{"family":"Silveira","given":"Patricia P."},{"family":"Meaney","given":"Michael J."},{"family":"O’Donnell","given":"Kieran J."}],"issued":{"date-parts":[["2018",12]]}}}],"schema":"https://github.com/citation-style-language/schema/raw/master/csl-citation.json"} </w:instrText>
      </w:r>
      <w:r w:rsidR="00352423" w:rsidRPr="00D52239">
        <w:fldChar w:fldCharType="separate"/>
      </w:r>
      <w:r w:rsidR="00A323E5" w:rsidRPr="00A323E5">
        <w:t>(52)</w:t>
      </w:r>
      <w:r w:rsidR="00352423" w:rsidRPr="00D52239">
        <w:fldChar w:fldCharType="end"/>
      </w:r>
      <w:r w:rsidRPr="00D52239">
        <w:t xml:space="preserve"> </w:t>
      </w:r>
      <w:r w:rsidR="00C0168D">
        <w:t xml:space="preserve">Mediation analysis was performed using the R package </w:t>
      </w:r>
      <w:r w:rsidR="00C0168D" w:rsidRPr="00C0168D">
        <w:rPr>
          <w:i/>
          <w:iCs/>
        </w:rPr>
        <w:t>regmedint</w:t>
      </w:r>
      <w:r w:rsidR="009C032C">
        <w:rPr>
          <w:i/>
          <w:iCs/>
        </w:rPr>
        <w:t xml:space="preserve"> </w:t>
      </w:r>
      <w:r w:rsidR="009C032C" w:rsidRPr="009C032C">
        <w:rPr>
          <w:i/>
          <w:iCs/>
        </w:rPr>
        <w:t>1.0.1</w:t>
      </w:r>
      <w:r w:rsidR="00C0168D">
        <w:t xml:space="preserve">. </w:t>
      </w:r>
      <w:r w:rsidRPr="00D52239">
        <w:t>All statistical analyses were performed using R version 4.2.3.</w:t>
      </w:r>
    </w:p>
    <w:p w14:paraId="6C6176DA" w14:textId="77777777" w:rsidR="00AF06BB" w:rsidRPr="00D52239" w:rsidRDefault="00AF06BB" w:rsidP="00AF06BB">
      <w:pPr>
        <w:pStyle w:val="Heading2"/>
        <w:pBdr>
          <w:top w:val="nil"/>
          <w:left w:val="nil"/>
          <w:bottom w:val="nil"/>
          <w:right w:val="nil"/>
          <w:between w:val="nil"/>
        </w:pBdr>
        <w:spacing w:after="200"/>
      </w:pPr>
      <w:r w:rsidRPr="00D52239">
        <w:t>Ethics</w:t>
      </w:r>
    </w:p>
    <w:p w14:paraId="55AFE9F9" w14:textId="0ED72851" w:rsidR="00B77D15" w:rsidRPr="00D52239" w:rsidRDefault="00AF06BB" w:rsidP="00AF06BB">
      <w:r w:rsidRPr="00D52239">
        <w:t>Ethics approval was obtained from Centralised Institutional Review Board of SingHealth (2018/2767) and the Domain Specific Review Board of Singapore National Healthcare Group (D/2009/021, B/2014/00414).</w:t>
      </w:r>
      <w:r w:rsidR="00FE0A0C" w:rsidRPr="00FE0A0C">
        <w:t xml:space="preserve"> Informed consent was obtained from the parents</w:t>
      </w:r>
      <w:r w:rsidR="002942D0">
        <w:t xml:space="preserve"> and </w:t>
      </w:r>
      <w:r w:rsidR="00FE0A0C" w:rsidRPr="00FE0A0C">
        <w:t>from the parents on behalf of their children.</w:t>
      </w:r>
    </w:p>
    <w:p w14:paraId="18ABDECE" w14:textId="77777777" w:rsidR="004D2E33" w:rsidRPr="00D52239" w:rsidRDefault="004D2E33" w:rsidP="004D2E33">
      <w:pPr>
        <w:pStyle w:val="Heading2"/>
        <w:pBdr>
          <w:top w:val="nil"/>
          <w:left w:val="nil"/>
          <w:bottom w:val="nil"/>
          <w:right w:val="nil"/>
          <w:between w:val="nil"/>
        </w:pBdr>
        <w:spacing w:after="200"/>
      </w:pPr>
      <w:r w:rsidRPr="00D52239">
        <w:t>Role of Funders</w:t>
      </w:r>
    </w:p>
    <w:p w14:paraId="3DFD19B7" w14:textId="148F45F4" w:rsidR="004D2E33" w:rsidRPr="00D52239" w:rsidRDefault="004D2E33" w:rsidP="004D2E33">
      <w:r w:rsidRPr="00D52239">
        <w:t>None of the funders were directly involved in the design, data collection, analysis, or interpretation, or writing of this report.</w:t>
      </w:r>
    </w:p>
    <w:p w14:paraId="2E50BDA0" w14:textId="77777777" w:rsidR="00E719FC" w:rsidRPr="00D52239" w:rsidRDefault="007C7450">
      <w:pPr>
        <w:pStyle w:val="Heading1"/>
        <w:spacing w:after="200"/>
        <w:rPr>
          <w:b/>
        </w:rPr>
      </w:pPr>
      <w:bookmarkStart w:id="12" w:name="_eude22egzwsu" w:colFirst="0" w:colLast="0"/>
      <w:bookmarkEnd w:id="12"/>
      <w:r w:rsidRPr="00D52239">
        <w:t xml:space="preserve">Results </w:t>
      </w:r>
    </w:p>
    <w:p w14:paraId="2FCBF3AD" w14:textId="4AEE902D" w:rsidR="00AF4F29" w:rsidRDefault="00AF4F29" w:rsidP="00AF4F29">
      <w:pPr>
        <w:pStyle w:val="Heading2"/>
        <w:pBdr>
          <w:top w:val="nil"/>
          <w:left w:val="nil"/>
          <w:bottom w:val="nil"/>
          <w:right w:val="nil"/>
          <w:between w:val="nil"/>
        </w:pBdr>
        <w:spacing w:after="200"/>
      </w:pPr>
      <w:r>
        <w:t>G</w:t>
      </w:r>
      <w:r w:rsidRPr="00D4641A">
        <w:t xml:space="preserve">enetic correlation </w:t>
      </w:r>
      <w:r>
        <w:t>and colocali</w:t>
      </w:r>
      <w:r w:rsidR="00DD3CE4">
        <w:t>s</w:t>
      </w:r>
      <w:r>
        <w:t xml:space="preserve">ation </w:t>
      </w:r>
      <w:r w:rsidRPr="00D4641A">
        <w:t>for obesity and language development</w:t>
      </w:r>
    </w:p>
    <w:p w14:paraId="5637B328" w14:textId="2AF4852E" w:rsidR="00D4641A" w:rsidRDefault="00D4641A">
      <w:pPr>
        <w:spacing w:after="200"/>
      </w:pPr>
      <w:r w:rsidRPr="00D52239">
        <w:t>Childhood obesity was inversely correlated with spelling (r</w:t>
      </w:r>
      <w:r w:rsidRPr="00D52239">
        <w:rPr>
          <w:vertAlign w:val="subscript"/>
        </w:rPr>
        <w:t>g</w:t>
      </w:r>
      <w:r w:rsidRPr="00D52239">
        <w:t>=-0.23, P-value=2.0×10</w:t>
      </w:r>
      <w:r w:rsidRPr="00D52239">
        <w:rPr>
          <w:vertAlign w:val="superscript"/>
        </w:rPr>
        <w:t>-4</w:t>
      </w:r>
      <w:r w:rsidR="00234502" w:rsidRPr="00234502">
        <w:t>, 95%CI -0.36</w:t>
      </w:r>
      <w:r w:rsidR="00234502">
        <w:t xml:space="preserve"> to </w:t>
      </w:r>
      <w:r w:rsidR="00234502" w:rsidRPr="00234502">
        <w:t>-0.11</w:t>
      </w:r>
      <w:r w:rsidRPr="00D52239">
        <w:t>), word reading (r</w:t>
      </w:r>
      <w:r w:rsidRPr="00D52239">
        <w:rPr>
          <w:vertAlign w:val="subscript"/>
        </w:rPr>
        <w:t>g</w:t>
      </w:r>
      <w:r w:rsidRPr="00D52239">
        <w:t>=-0.15, P-value=0.00</w:t>
      </w:r>
      <w:r w:rsidR="00C62391">
        <w:t>87</w:t>
      </w:r>
      <w:r w:rsidR="00234502">
        <w:t xml:space="preserve">, 95%CI </w:t>
      </w:r>
      <w:r w:rsidR="00CC4B80" w:rsidRPr="00CC4B80">
        <w:t>-0.27</w:t>
      </w:r>
      <w:r w:rsidR="00CC4B80">
        <w:t xml:space="preserve"> to </w:t>
      </w:r>
      <w:r w:rsidR="00CC4B80" w:rsidRPr="00CC4B80">
        <w:t>-0.04</w:t>
      </w:r>
      <w:r w:rsidRPr="00D52239">
        <w:t>), and nonword reading (r</w:t>
      </w:r>
      <w:r w:rsidRPr="00D52239">
        <w:rPr>
          <w:vertAlign w:val="subscript"/>
        </w:rPr>
        <w:t>g</w:t>
      </w:r>
      <w:r w:rsidRPr="00D52239">
        <w:t>=-0.18, P-value=0.011</w:t>
      </w:r>
      <w:r w:rsidR="00CC4B80">
        <w:t>, 95%CI</w:t>
      </w:r>
      <w:r w:rsidR="00CC4B80" w:rsidRPr="00CC4B80">
        <w:t xml:space="preserve"> -0.32</w:t>
      </w:r>
      <w:r w:rsidR="00CC4B80">
        <w:t xml:space="preserve"> to </w:t>
      </w:r>
      <w:r w:rsidR="00CC4B80" w:rsidRPr="00CC4B80">
        <w:t>-0.04</w:t>
      </w:r>
      <w:r w:rsidRPr="00D52239">
        <w:t>)</w:t>
      </w:r>
      <w:r w:rsidR="000F280D">
        <w:t xml:space="preserve"> based on LD</w:t>
      </w:r>
      <w:r w:rsidR="003F460D">
        <w:t xml:space="preserve"> Score</w:t>
      </w:r>
      <w:r w:rsidR="000F280D">
        <w:t xml:space="preserve"> regression</w:t>
      </w:r>
      <w:r w:rsidR="003642FE">
        <w:t xml:space="preserve"> </w:t>
      </w:r>
      <w:r w:rsidRPr="00D52239">
        <w:t>(</w:t>
      </w:r>
      <w:r w:rsidRPr="00D52239">
        <w:rPr>
          <w:b/>
        </w:rPr>
        <w:t xml:space="preserve">Table </w:t>
      </w:r>
      <w:r w:rsidR="0012397B">
        <w:rPr>
          <w:b/>
        </w:rPr>
        <w:t>1</w:t>
      </w:r>
      <w:r w:rsidRPr="00D52239">
        <w:t xml:space="preserve">). </w:t>
      </w:r>
      <w:r w:rsidR="00277EF1">
        <w:t>C</w:t>
      </w:r>
      <w:r w:rsidRPr="00D52239">
        <w:t xml:space="preserve">olocalisation was </w:t>
      </w:r>
      <w:r w:rsidR="003E7AA7">
        <w:t xml:space="preserve">only </w:t>
      </w:r>
      <w:r w:rsidRPr="00D52239">
        <w:t xml:space="preserve">identified for child body size and word reading within ±100kb from </w:t>
      </w:r>
      <w:r w:rsidRPr="00D52239">
        <w:rPr>
          <w:sz w:val="23"/>
          <w:szCs w:val="23"/>
        </w:rPr>
        <w:t xml:space="preserve">rs7503580 </w:t>
      </w:r>
      <w:r w:rsidRPr="00D52239">
        <w:t xml:space="preserve">(PP.H4=0.82, </w:t>
      </w:r>
      <w:r w:rsidRPr="00D52239">
        <w:rPr>
          <w:b/>
        </w:rPr>
        <w:t xml:space="preserve">Table </w:t>
      </w:r>
      <w:r w:rsidR="0012397B">
        <w:rPr>
          <w:b/>
        </w:rPr>
        <w:t>1</w:t>
      </w:r>
      <w:r w:rsidRPr="00D52239">
        <w:t xml:space="preserve"> and </w:t>
      </w:r>
      <w:r w:rsidRPr="00D52239">
        <w:rPr>
          <w:b/>
        </w:rPr>
        <w:t xml:space="preserve">Supplementary Table </w:t>
      </w:r>
      <w:r w:rsidR="00191B97">
        <w:rPr>
          <w:b/>
        </w:rPr>
        <w:t>5</w:t>
      </w:r>
      <w:r w:rsidRPr="00D52239">
        <w:t xml:space="preserve">), and the four SNPs on </w:t>
      </w:r>
      <w:r w:rsidRPr="00D52239">
        <w:rPr>
          <w:i/>
        </w:rPr>
        <w:t>BAIAP2</w:t>
      </w:r>
      <w:r w:rsidRPr="00D52239">
        <w:t xml:space="preserve"> contributed the highest SNP-specific PP.H4 conditional on H4 being true (PP.H4=0.41 for rs12449515, PP.H4=0.24 for rs12944344, PP.H4=0.18 for rs12949063, and PP.H4=0.17 for rs4072587).</w:t>
      </w:r>
    </w:p>
    <w:p w14:paraId="2573AC56" w14:textId="475FCE5F" w:rsidR="004339BC" w:rsidRDefault="004339BC" w:rsidP="00351DFA">
      <w:pPr>
        <w:pStyle w:val="Heading2"/>
        <w:pBdr>
          <w:top w:val="nil"/>
          <w:left w:val="nil"/>
          <w:bottom w:val="nil"/>
          <w:right w:val="nil"/>
          <w:between w:val="nil"/>
        </w:pBdr>
        <w:spacing w:after="200"/>
      </w:pPr>
      <w:r w:rsidRPr="004339BC">
        <w:t>Trans-ancestry PR</w:t>
      </w:r>
      <w:r w:rsidR="00351DFA">
        <w:t>S</w:t>
      </w:r>
      <w:r w:rsidRPr="004339BC">
        <w:t xml:space="preserve"> for obesity</w:t>
      </w:r>
      <w:r>
        <w:t xml:space="preserve"> </w:t>
      </w:r>
      <w:r w:rsidR="00351DFA">
        <w:t>in GUSTO</w:t>
      </w:r>
    </w:p>
    <w:p w14:paraId="2E50BDA1" w14:textId="790CF9FC" w:rsidR="00E719FC" w:rsidRPr="00D52239" w:rsidRDefault="007C7450">
      <w:pPr>
        <w:spacing w:after="200"/>
        <w:rPr>
          <w:u w:val="single"/>
        </w:rPr>
      </w:pPr>
      <w:r w:rsidRPr="00D52239">
        <w:t xml:space="preserve">Among the 1,095 GUSTO children, 733 had both genotyping data for PRS construction and at least one language development outcome under investigation in this study. We did not observe substantial differences between the </w:t>
      </w:r>
      <w:r w:rsidR="00355DAB">
        <w:t>entire</w:t>
      </w:r>
      <w:r w:rsidRPr="00D52239">
        <w:t xml:space="preserve"> cohort and the sub-sample regarding important demographic characteristics, such as maternal ethnicity and household monthly income, or clinical covariates, such as maternal pre-pregnancy BMI (</w:t>
      </w:r>
      <w:r w:rsidRPr="00D52239">
        <w:rPr>
          <w:b/>
        </w:rPr>
        <w:t xml:space="preserve">Table </w:t>
      </w:r>
      <w:r w:rsidR="0012397B">
        <w:rPr>
          <w:b/>
        </w:rPr>
        <w:t>2</w:t>
      </w:r>
      <w:r w:rsidRPr="00D52239">
        <w:t xml:space="preserve">). </w:t>
      </w:r>
    </w:p>
    <w:p w14:paraId="4B4081D0" w14:textId="5BE64519" w:rsidR="00A50170" w:rsidRDefault="007C7450">
      <w:pPr>
        <w:spacing w:after="200"/>
      </w:pPr>
      <w:r w:rsidRPr="00D52239">
        <w:lastRenderedPageBreak/>
        <w:t>The marginal R</w:t>
      </w:r>
      <w:r w:rsidRPr="00D52239">
        <w:rPr>
          <w:vertAlign w:val="superscript"/>
        </w:rPr>
        <w:t>2</w:t>
      </w:r>
      <w:r w:rsidRPr="00D52239">
        <w:t xml:space="preserve"> for BMI and fat percentage were 0.1</w:t>
      </w:r>
      <w:r w:rsidR="00A50170">
        <w:t>1</w:t>
      </w:r>
      <w:r w:rsidRPr="00D52239">
        <w:t xml:space="preserve"> (Girls=0.</w:t>
      </w:r>
      <w:r w:rsidR="00A50170">
        <w:t>10</w:t>
      </w:r>
      <w:r w:rsidRPr="00D52239">
        <w:t>, Boys=0.11) and 0.12 (Girls=0.0</w:t>
      </w:r>
      <w:r w:rsidR="00A50170">
        <w:t>70</w:t>
      </w:r>
      <w:r w:rsidRPr="00D52239">
        <w:t>, Boys=0.10), respectively, based on the GEE models including child PRS, sex, and age at BMI and fat percentage measurement. Additionally adjusting for genetic ancestry, maternal highest educational level, household monthly income, pregnancy-related covariates and parental PRS, child PRS for obesity remained positively associated with childhood BMI (</w:t>
      </w:r>
      <w:r w:rsidR="003C65BF" w:rsidRPr="00D52239">
        <w:t>GEE model</w:t>
      </w:r>
      <w:r w:rsidR="003C65BF">
        <w:t xml:space="preserve">: </w:t>
      </w:r>
      <w:r w:rsidRPr="00D52239">
        <w:rPr>
          <w:rFonts w:eastAsia="Cardo"/>
        </w:rPr>
        <w:t>ꞵ</w:t>
      </w:r>
      <w:r w:rsidRPr="00D52239">
        <w:t>=</w:t>
      </w:r>
      <w:r w:rsidRPr="00D52239">
        <w:rPr>
          <w:color w:val="1F1F1F"/>
          <w:highlight w:val="white"/>
        </w:rPr>
        <w:t>0.93</w:t>
      </w:r>
      <w:r w:rsidRPr="00D52239">
        <w:t>, P-value=2.1</w:t>
      </w:r>
      <w:r w:rsidRPr="00D52239">
        <w:rPr>
          <w:color w:val="444746"/>
          <w:highlight w:val="white"/>
        </w:rPr>
        <w:t>×</w:t>
      </w:r>
      <w:r w:rsidRPr="00D52239">
        <w:t>10</w:t>
      </w:r>
      <w:r w:rsidRPr="00D52239">
        <w:rPr>
          <w:vertAlign w:val="superscript"/>
        </w:rPr>
        <w:t>-13</w:t>
      </w:r>
      <w:r w:rsidRPr="00D52239">
        <w:t xml:space="preserve">, 95% CI </w:t>
      </w:r>
      <w:r w:rsidRPr="00D52239">
        <w:rPr>
          <w:color w:val="1F1F1F"/>
          <w:highlight w:val="white"/>
        </w:rPr>
        <w:t>0.68</w:t>
      </w:r>
      <w:r w:rsidRPr="00D52239">
        <w:t xml:space="preserve"> to </w:t>
      </w:r>
      <w:r w:rsidRPr="00D52239">
        <w:rPr>
          <w:color w:val="1F1F1F"/>
          <w:highlight w:val="white"/>
        </w:rPr>
        <w:t>1.18</w:t>
      </w:r>
      <w:r w:rsidRPr="00D52239">
        <w:t>) and fat percentage (</w:t>
      </w:r>
      <w:r w:rsidR="00CD53CA" w:rsidRPr="00D52239">
        <w:t>GEE model</w:t>
      </w:r>
      <w:r w:rsidR="00CD53CA">
        <w:t xml:space="preserve">: </w:t>
      </w:r>
      <w:r w:rsidRPr="00D52239">
        <w:rPr>
          <w:rFonts w:eastAsia="Cardo"/>
        </w:rPr>
        <w:t>ꞵ</w:t>
      </w:r>
      <w:r w:rsidRPr="00D52239">
        <w:t>=</w:t>
      </w:r>
      <w:r w:rsidRPr="00D52239">
        <w:rPr>
          <w:color w:val="1F1F1F"/>
          <w:highlight w:val="white"/>
        </w:rPr>
        <w:t>2.63</w:t>
      </w:r>
      <w:r w:rsidRPr="00D52239">
        <w:t>, P-value=7.8</w:t>
      </w:r>
      <w:r w:rsidRPr="00D52239">
        <w:rPr>
          <w:color w:val="444746"/>
          <w:highlight w:val="white"/>
        </w:rPr>
        <w:t>×</w:t>
      </w:r>
      <w:r w:rsidRPr="00D52239">
        <w:t>10</w:t>
      </w:r>
      <w:r w:rsidRPr="00D52239">
        <w:rPr>
          <w:vertAlign w:val="superscript"/>
        </w:rPr>
        <w:t>-8</w:t>
      </w:r>
      <w:r w:rsidRPr="00D52239">
        <w:t xml:space="preserve">, 95% CI </w:t>
      </w:r>
      <w:r w:rsidRPr="00D52239">
        <w:rPr>
          <w:color w:val="1F1F1F"/>
          <w:highlight w:val="white"/>
        </w:rPr>
        <w:t>1.67</w:t>
      </w:r>
      <w:r w:rsidRPr="00D52239">
        <w:t xml:space="preserve"> to </w:t>
      </w:r>
      <w:r w:rsidRPr="00D52239">
        <w:rPr>
          <w:color w:val="1F1F1F"/>
          <w:highlight w:val="white"/>
        </w:rPr>
        <w:t>3.59</w:t>
      </w:r>
      <w:r w:rsidRPr="00D52239">
        <w:t xml:space="preserve">), as shown in </w:t>
      </w:r>
      <w:r w:rsidRPr="00D52239">
        <w:rPr>
          <w:b/>
        </w:rPr>
        <w:t xml:space="preserve">Supplementary Table </w:t>
      </w:r>
      <w:r w:rsidR="00191B97">
        <w:rPr>
          <w:b/>
        </w:rPr>
        <w:t>6</w:t>
      </w:r>
      <w:r w:rsidRPr="00D52239">
        <w:rPr>
          <w:b/>
        </w:rPr>
        <w:t>.</w:t>
      </w:r>
      <w:r w:rsidRPr="00D52239">
        <w:t xml:space="preserve"> These associations were consistent in both boys and girls. </w:t>
      </w:r>
      <w:r w:rsidR="00930E83">
        <w:t xml:space="preserve">Expectedly, the </w:t>
      </w:r>
      <w:r w:rsidR="00930E83" w:rsidRPr="00930E83">
        <w:t xml:space="preserve">C+T PRS for obesity using only the independent, genome-wide significant SNPs </w:t>
      </w:r>
      <w:r w:rsidR="00930E83">
        <w:t>had a lower marginal R</w:t>
      </w:r>
      <w:r w:rsidR="00930E83" w:rsidRPr="00930E83">
        <w:rPr>
          <w:vertAlign w:val="superscript"/>
        </w:rPr>
        <w:t>2</w:t>
      </w:r>
      <w:r w:rsidR="00FF36C6">
        <w:t xml:space="preserve"> of 0.0</w:t>
      </w:r>
      <w:r w:rsidR="00EC6018">
        <w:t>45</w:t>
      </w:r>
      <w:r w:rsidR="00FF36C6">
        <w:t xml:space="preserve"> for BMI </w:t>
      </w:r>
      <w:r w:rsidR="009711E6">
        <w:t>(</w:t>
      </w:r>
      <w:r w:rsidR="00FF36C6">
        <w:t>Girls=</w:t>
      </w:r>
      <w:r w:rsidR="009711E6">
        <w:t>0.04</w:t>
      </w:r>
      <w:r w:rsidR="00EC6018">
        <w:t>0</w:t>
      </w:r>
      <w:r w:rsidR="00FF36C6">
        <w:t>, Boys=</w:t>
      </w:r>
      <w:r w:rsidR="009711E6">
        <w:t>0.0</w:t>
      </w:r>
      <w:r w:rsidR="00EC6018">
        <w:t>4</w:t>
      </w:r>
      <w:r w:rsidR="009711E6">
        <w:t>5)</w:t>
      </w:r>
      <w:r w:rsidR="00FF36C6">
        <w:t xml:space="preserve"> and </w:t>
      </w:r>
      <w:r w:rsidR="00A50170">
        <w:t>of 0.10</w:t>
      </w:r>
      <w:r w:rsidR="00E976C4">
        <w:t xml:space="preserve"> for fat percentage (Girls=0.048, Boys=0.053)</w:t>
      </w:r>
      <w:r w:rsidR="002566F2">
        <w:t xml:space="preserve"> and was less strongly associated with</w:t>
      </w:r>
      <w:r w:rsidR="00456817">
        <w:t xml:space="preserve"> childhood BMI and fat percentage (</w:t>
      </w:r>
      <w:r w:rsidR="00456817" w:rsidRPr="00D52239">
        <w:rPr>
          <w:b/>
        </w:rPr>
        <w:t xml:space="preserve">Supplementary Table </w:t>
      </w:r>
      <w:r w:rsidR="00456817">
        <w:rPr>
          <w:b/>
        </w:rPr>
        <w:t>6</w:t>
      </w:r>
      <w:r w:rsidR="00456817" w:rsidRPr="002B36FF">
        <w:rPr>
          <w:bCs/>
        </w:rPr>
        <w:t>)</w:t>
      </w:r>
      <w:r w:rsidR="00E976C4">
        <w:t>.</w:t>
      </w:r>
    </w:p>
    <w:p w14:paraId="743F7D3A" w14:textId="77777777" w:rsidR="00667697" w:rsidRPr="003257B1" w:rsidRDefault="00667697" w:rsidP="00667697">
      <w:pPr>
        <w:pStyle w:val="Heading2"/>
        <w:pBdr>
          <w:top w:val="nil"/>
          <w:left w:val="nil"/>
          <w:bottom w:val="nil"/>
          <w:right w:val="nil"/>
          <w:between w:val="nil"/>
        </w:pBdr>
        <w:spacing w:after="200"/>
      </w:pPr>
      <w:r>
        <w:t>Causation not identified</w:t>
      </w:r>
      <w:r w:rsidRPr="003257B1">
        <w:t xml:space="preserve"> between obesity and language development</w:t>
      </w:r>
    </w:p>
    <w:p w14:paraId="0C441FBA" w14:textId="0135DB6E" w:rsidR="003257B1" w:rsidRPr="00461CBD" w:rsidRDefault="003257B1">
      <w:pPr>
        <w:spacing w:after="200"/>
      </w:pPr>
      <w:r w:rsidRPr="00D52239">
        <w:rPr>
          <w:b/>
        </w:rPr>
        <w:t>Figure 2</w:t>
      </w:r>
      <w:r w:rsidRPr="00D52239">
        <w:t xml:space="preserve"> and </w:t>
      </w:r>
      <w:r w:rsidRPr="00D52239">
        <w:rPr>
          <w:b/>
        </w:rPr>
        <w:t xml:space="preserve">Table </w:t>
      </w:r>
      <w:r w:rsidR="0012397B">
        <w:rPr>
          <w:b/>
        </w:rPr>
        <w:t>3</w:t>
      </w:r>
      <w:r w:rsidRPr="00D52239">
        <w:t xml:space="preserve"> show that child PRS for obesity was inversely associated with child language scores as assessed by PPVT-4 </w:t>
      </w:r>
      <w:r w:rsidR="00CA6371">
        <w:t xml:space="preserve">(age 4) </w:t>
      </w:r>
      <w:r w:rsidRPr="00D52239">
        <w:t>and WIAT-III</w:t>
      </w:r>
      <w:r w:rsidR="00DA059B">
        <w:t xml:space="preserve"> </w:t>
      </w:r>
      <w:r w:rsidR="00CA6371">
        <w:t xml:space="preserve">(age 9) </w:t>
      </w:r>
      <w:r w:rsidR="00DA059B" w:rsidRPr="00D52239">
        <w:t>in the GUSTO cohort</w:t>
      </w:r>
      <w:r w:rsidRPr="00D52239">
        <w:t>. These associations were stronger in boys compared to girls. After accounting for multiple comparisons, we found that a higher child PRS for obesity remained associated</w:t>
      </w:r>
      <w:r w:rsidRPr="00D52239">
        <w:rPr>
          <w:rFonts w:eastAsia="Cardo"/>
        </w:rPr>
        <w:t xml:space="preserve"> with a lower WIAT-III language score in the overall group (</w:t>
      </w:r>
      <w:r w:rsidR="00CD53CA">
        <w:rPr>
          <w:rFonts w:eastAsia="Cardo"/>
        </w:rPr>
        <w:t xml:space="preserve">linear </w:t>
      </w:r>
      <w:r w:rsidR="004401ED" w:rsidRPr="00D52239">
        <w:t>regression</w:t>
      </w:r>
      <w:r w:rsidR="00CD53CA">
        <w:rPr>
          <w:rFonts w:eastAsia="Cardo"/>
        </w:rPr>
        <w:t xml:space="preserve">: </w:t>
      </w:r>
      <w:r w:rsidRPr="00D52239">
        <w:rPr>
          <w:rFonts w:eastAsia="Cardo"/>
        </w:rPr>
        <w:t>ꞵ</w:t>
      </w:r>
      <w:r w:rsidRPr="00D52239">
        <w:t>=-0.37, 95%CI -0.55 to -0.19, P-value=6.5</w:t>
      </w:r>
      <w:r w:rsidRPr="00D52239">
        <w:rPr>
          <w:rFonts w:eastAsia="Roboto"/>
          <w:color w:val="444746"/>
          <w:sz w:val="21"/>
          <w:szCs w:val="21"/>
          <w:highlight w:val="white"/>
        </w:rPr>
        <w:t>×</w:t>
      </w:r>
      <w:r w:rsidRPr="00D52239">
        <w:t>10</w:t>
      </w:r>
      <w:r w:rsidRPr="00D52239">
        <w:rPr>
          <w:vertAlign w:val="superscript"/>
        </w:rPr>
        <w:t>-5</w:t>
      </w:r>
      <w:r w:rsidRPr="00D52239">
        <w:rPr>
          <w:rFonts w:eastAsia="Cardo"/>
        </w:rPr>
        <w:t>) and in boys (</w:t>
      </w:r>
      <w:r w:rsidR="007949D8">
        <w:rPr>
          <w:rFonts w:eastAsia="Cardo"/>
        </w:rPr>
        <w:t xml:space="preserve">linear </w:t>
      </w:r>
      <w:r w:rsidR="004401ED" w:rsidRPr="00D52239">
        <w:t>regression</w:t>
      </w:r>
      <w:r w:rsidR="007949D8">
        <w:rPr>
          <w:rFonts w:eastAsia="Cardo"/>
        </w:rPr>
        <w:t xml:space="preserve">: </w:t>
      </w:r>
      <w:r w:rsidRPr="00D52239">
        <w:rPr>
          <w:rFonts w:eastAsia="Cardo"/>
        </w:rPr>
        <w:t>ꞵ</w:t>
      </w:r>
      <w:r w:rsidRPr="00D52239">
        <w:t>=-0.56, 95%CI -0.81 to -0.31, P-value=2.5</w:t>
      </w:r>
      <w:r w:rsidRPr="00D52239">
        <w:rPr>
          <w:rFonts w:eastAsia="Roboto"/>
          <w:color w:val="444746"/>
          <w:sz w:val="21"/>
          <w:szCs w:val="21"/>
          <w:highlight w:val="white"/>
        </w:rPr>
        <w:t>×</w:t>
      </w:r>
      <w:r w:rsidRPr="00D52239">
        <w:t>10</w:t>
      </w:r>
      <w:r w:rsidRPr="00D52239">
        <w:rPr>
          <w:vertAlign w:val="superscript"/>
        </w:rPr>
        <w:t>-5</w:t>
      </w:r>
      <w:r w:rsidRPr="00D52239">
        <w:t xml:space="preserve">). The association in girls was </w:t>
      </w:r>
      <w:r w:rsidR="00645E6D">
        <w:t>less evident</w:t>
      </w:r>
      <w:r w:rsidRPr="00D52239">
        <w:t xml:space="preserve"> (</w:t>
      </w:r>
      <w:r w:rsidR="00160209">
        <w:rPr>
          <w:rFonts w:eastAsia="Cardo"/>
        </w:rPr>
        <w:t xml:space="preserve">linear </w:t>
      </w:r>
      <w:r w:rsidR="004401ED" w:rsidRPr="00D52239">
        <w:t>regression</w:t>
      </w:r>
      <w:r w:rsidR="00160209">
        <w:rPr>
          <w:rFonts w:eastAsia="Cardo"/>
        </w:rPr>
        <w:t xml:space="preserve">: </w:t>
      </w:r>
      <w:r w:rsidRPr="00D52239">
        <w:rPr>
          <w:rFonts w:eastAsia="Cardo"/>
        </w:rPr>
        <w:t>ꞵ</w:t>
      </w:r>
      <w:r w:rsidRPr="00D52239">
        <w:t>=-0.27, 95%CI -0.53 to 9.8</w:t>
      </w:r>
      <w:r w:rsidRPr="00D52239">
        <w:rPr>
          <w:rFonts w:eastAsia="Roboto"/>
          <w:color w:val="444746"/>
          <w:sz w:val="21"/>
          <w:szCs w:val="21"/>
        </w:rPr>
        <w:t>×</w:t>
      </w:r>
      <w:r w:rsidRPr="00D52239">
        <w:t>10</w:t>
      </w:r>
      <w:r w:rsidRPr="00D52239">
        <w:rPr>
          <w:vertAlign w:val="superscript"/>
        </w:rPr>
        <w:t>-5</w:t>
      </w:r>
      <w:r w:rsidRPr="00D52239">
        <w:t xml:space="preserve"> P-value=0.050).</w:t>
      </w:r>
      <w:r w:rsidR="00DA059B">
        <w:t xml:space="preserve"> </w:t>
      </w:r>
      <w:r w:rsidR="00A024F7">
        <w:t>However, p</w:t>
      </w:r>
      <w:r w:rsidR="00DA059B" w:rsidRPr="00D52239">
        <w:t xml:space="preserve">henotypic childhood BMI was not associated with PPVT-4 </w:t>
      </w:r>
      <w:r w:rsidR="003C258F">
        <w:t>or</w:t>
      </w:r>
      <w:r w:rsidR="00DA059B" w:rsidRPr="00D52239">
        <w:t xml:space="preserve"> WIAT-III </w:t>
      </w:r>
      <w:r w:rsidR="00CA6371" w:rsidRPr="00D52239">
        <w:t xml:space="preserve">language scores </w:t>
      </w:r>
      <w:r w:rsidR="00DA059B" w:rsidRPr="00D52239">
        <w:t>(</w:t>
      </w:r>
      <w:r w:rsidR="00DA059B" w:rsidRPr="00D52239">
        <w:rPr>
          <w:b/>
        </w:rPr>
        <w:t xml:space="preserve">Supplementary </w:t>
      </w:r>
      <w:r w:rsidR="005505E2">
        <w:rPr>
          <w:b/>
        </w:rPr>
        <w:t>Table</w:t>
      </w:r>
      <w:r w:rsidR="00DA059B" w:rsidRPr="00D52239">
        <w:rPr>
          <w:b/>
        </w:rPr>
        <w:t xml:space="preserve"> </w:t>
      </w:r>
      <w:r w:rsidR="00251402">
        <w:rPr>
          <w:b/>
        </w:rPr>
        <w:t>7</w:t>
      </w:r>
      <w:r w:rsidR="00DA059B" w:rsidRPr="00D52239">
        <w:t>)</w:t>
      </w:r>
      <w:r w:rsidR="00C202BF">
        <w:t xml:space="preserve"> and an </w:t>
      </w:r>
      <w:r w:rsidR="00DA059B" w:rsidRPr="00D52239">
        <w:t xml:space="preserve">attenuation in the effect sizes </w:t>
      </w:r>
      <w:r w:rsidR="00C202BF">
        <w:t xml:space="preserve">was observed </w:t>
      </w:r>
      <w:r w:rsidR="00DA059B" w:rsidRPr="00D52239">
        <w:t xml:space="preserve">upon further adjustment for genetic ancestry, maternal highest educational level, household monthly income, and pregnancy-related factors. This attenuation was more pronounced for the associations between BMI and WIAT-III language score in boys. </w:t>
      </w:r>
      <w:r w:rsidR="00FB7AE5">
        <w:t xml:space="preserve">Using </w:t>
      </w:r>
      <w:r w:rsidR="00FB7AE5" w:rsidRPr="00D52239">
        <w:t>one-sample MR analysis</w:t>
      </w:r>
      <w:r w:rsidR="00B673EE">
        <w:t xml:space="preserve"> in GUSTO</w:t>
      </w:r>
      <w:r w:rsidR="00FB7AE5">
        <w:t xml:space="preserve">, </w:t>
      </w:r>
      <w:r w:rsidR="00DA059B" w:rsidRPr="00D52239">
        <w:t xml:space="preserve">we found </w:t>
      </w:r>
      <w:r w:rsidR="00C7639E">
        <w:t xml:space="preserve">inverse associations </w:t>
      </w:r>
      <w:r w:rsidR="000868E1">
        <w:t>between</w:t>
      </w:r>
      <w:r w:rsidR="00C7639E">
        <w:t xml:space="preserve"> </w:t>
      </w:r>
      <w:r w:rsidR="006F1CC1">
        <w:t xml:space="preserve">Bayesian PRS predicted </w:t>
      </w:r>
      <w:r w:rsidR="00C7639E">
        <w:t xml:space="preserve">BMI and </w:t>
      </w:r>
      <w:r w:rsidR="004A2B19" w:rsidRPr="004A2B19">
        <w:t>WIAT-III scores</w:t>
      </w:r>
      <w:r w:rsidR="00847309">
        <w:t xml:space="preserve"> (</w:t>
      </w:r>
      <w:r w:rsidR="00847309" w:rsidRPr="00847309">
        <w:rPr>
          <w:b/>
          <w:bCs/>
        </w:rPr>
        <w:t xml:space="preserve">Supplementary Table </w:t>
      </w:r>
      <w:r w:rsidR="00251402">
        <w:rPr>
          <w:b/>
          <w:bCs/>
        </w:rPr>
        <w:t>8</w:t>
      </w:r>
      <w:r w:rsidR="00847309">
        <w:t>). However, such associations were not replicated for BMI predicted by the C+T PRS (</w:t>
      </w:r>
      <w:r w:rsidR="00847309" w:rsidRPr="00847309">
        <w:rPr>
          <w:b/>
          <w:bCs/>
        </w:rPr>
        <w:t>Supplementary Table</w:t>
      </w:r>
      <w:r w:rsidR="00191B97">
        <w:rPr>
          <w:b/>
          <w:bCs/>
        </w:rPr>
        <w:t xml:space="preserve"> 7</w:t>
      </w:r>
      <w:r w:rsidR="00847309">
        <w:t>).</w:t>
      </w:r>
      <w:r w:rsidR="00DA059B" w:rsidRPr="00D52239">
        <w:t xml:space="preserve"> </w:t>
      </w:r>
      <w:r w:rsidR="00FB7AE5" w:rsidRPr="00D52239">
        <w:t>Consistent</w:t>
      </w:r>
      <w:r w:rsidR="00546CCF">
        <w:t xml:space="preserve">ly, </w:t>
      </w:r>
      <w:r w:rsidR="00F23866" w:rsidRPr="00D52239">
        <w:t>we did not find evidence supporting a causal relationship between childhood obesity-related traits and language-related skills</w:t>
      </w:r>
      <w:r w:rsidR="00546CCF">
        <w:t xml:space="preserve"> using </w:t>
      </w:r>
      <w:r w:rsidR="00546CCF" w:rsidRPr="00D52239">
        <w:t>two-sample MR analys</w:t>
      </w:r>
      <w:r w:rsidR="00306D56">
        <w:t>es</w:t>
      </w:r>
      <w:r w:rsidR="00546CCF">
        <w:t xml:space="preserve"> based on European GWAS</w:t>
      </w:r>
      <w:r w:rsidR="00473D68">
        <w:t xml:space="preserve"> (</w:t>
      </w:r>
      <w:r w:rsidR="009377C7" w:rsidRPr="00D52239">
        <w:rPr>
          <w:b/>
        </w:rPr>
        <w:t xml:space="preserve">Supplementary </w:t>
      </w:r>
      <w:r w:rsidR="00F23866" w:rsidRPr="00D52239">
        <w:rPr>
          <w:b/>
        </w:rPr>
        <w:t xml:space="preserve">Figure </w:t>
      </w:r>
      <w:r w:rsidR="005200B1">
        <w:rPr>
          <w:b/>
        </w:rPr>
        <w:t>5</w:t>
      </w:r>
      <w:r w:rsidR="00F23866" w:rsidRPr="00D52239">
        <w:t>). Sensitivity analyses excluding outlier SNPs identified by MR-Radial remained consistent. MR-Egger did not suggest potential pleiotropic effects (</w:t>
      </w:r>
      <w:r w:rsidR="00F23866" w:rsidRPr="00D52239">
        <w:rPr>
          <w:b/>
        </w:rPr>
        <w:t xml:space="preserve">Supplementary Tables </w:t>
      </w:r>
      <w:r w:rsidR="005505E2">
        <w:rPr>
          <w:b/>
        </w:rPr>
        <w:t>9</w:t>
      </w:r>
      <w:r w:rsidR="00F23866" w:rsidRPr="00D52239">
        <w:rPr>
          <w:b/>
        </w:rPr>
        <w:t xml:space="preserve"> to </w:t>
      </w:r>
      <w:r w:rsidR="005505E2">
        <w:rPr>
          <w:b/>
        </w:rPr>
        <w:t>11</w:t>
      </w:r>
      <w:r w:rsidR="00F23866" w:rsidRPr="00D52239">
        <w:t xml:space="preserve">). </w:t>
      </w:r>
    </w:p>
    <w:p w14:paraId="2E50BDA6" w14:textId="42EB7CBD" w:rsidR="00E719FC" w:rsidRPr="00930CAC" w:rsidRDefault="007C7450" w:rsidP="00351DFA">
      <w:pPr>
        <w:pStyle w:val="Heading2"/>
        <w:pBdr>
          <w:top w:val="nil"/>
          <w:left w:val="nil"/>
          <w:bottom w:val="nil"/>
          <w:right w:val="nil"/>
          <w:between w:val="nil"/>
        </w:pBdr>
        <w:spacing w:after="200"/>
      </w:pPr>
      <w:r w:rsidRPr="00930CAC">
        <w:t xml:space="preserve">Neurology-related proteins </w:t>
      </w:r>
      <w:r w:rsidR="00EB6CA9">
        <w:t xml:space="preserve">linking </w:t>
      </w:r>
      <w:r w:rsidR="00201C67">
        <w:t>polygenic risk for obesity</w:t>
      </w:r>
      <w:r w:rsidR="00C05204">
        <w:t>,</w:t>
      </w:r>
      <w:r w:rsidR="00201C67">
        <w:t xml:space="preserve"> </w:t>
      </w:r>
      <w:r w:rsidRPr="00930CAC">
        <w:t>language development</w:t>
      </w:r>
      <w:r w:rsidR="00766D2E">
        <w:t>,</w:t>
      </w:r>
      <w:r w:rsidRPr="00930CAC">
        <w:t xml:space="preserve"> and language-related white matter tracts</w:t>
      </w:r>
    </w:p>
    <w:p w14:paraId="758BC4B5" w14:textId="058B61AD" w:rsidR="00DB24EB" w:rsidRDefault="007C7450" w:rsidP="0090462A">
      <w:pPr>
        <w:spacing w:after="200"/>
      </w:pPr>
      <w:r w:rsidRPr="00D52239">
        <w:t>Among the 92 neurology-related proteins under investigation, we identified 28 clusters based on their protein-protein interactions (</w:t>
      </w:r>
      <w:r w:rsidRPr="00D52239">
        <w:rPr>
          <w:b/>
        </w:rPr>
        <w:t xml:space="preserve">Figure </w:t>
      </w:r>
      <w:r w:rsidR="009377C7">
        <w:rPr>
          <w:b/>
        </w:rPr>
        <w:t>3</w:t>
      </w:r>
      <w:r w:rsidRPr="00D52239">
        <w:rPr>
          <w:b/>
        </w:rPr>
        <w:t xml:space="preserve"> </w:t>
      </w:r>
      <w:r w:rsidRPr="00D52239">
        <w:t xml:space="preserve">and </w:t>
      </w:r>
      <w:r w:rsidRPr="00D52239">
        <w:rPr>
          <w:b/>
        </w:rPr>
        <w:t xml:space="preserve">Supplementary Table </w:t>
      </w:r>
      <w:r w:rsidR="005505E2">
        <w:rPr>
          <w:b/>
        </w:rPr>
        <w:t>12</w:t>
      </w:r>
      <w:r w:rsidRPr="00D52239">
        <w:t xml:space="preserve">). Using the BKMR mixture method, contactin-5 (CNTN5; Cluster PIP=0.79) was the single protein that was most relevant to the WIAT-III score, followed by brain-specific chordin-like protein, also </w:t>
      </w:r>
      <w:r w:rsidRPr="00D52239">
        <w:lastRenderedPageBreak/>
        <w:t>called VWC2 (Cluster PIP=0.56). Protein cluster 4 was also found to be associated with the WIAT-III score (Cluster PIP=0.51), and EFNA4 (Conditional PIP=0.48) was the most relevant protein within this cluster. These findings based on BKMR were consistent with those based on linear regression (</w:t>
      </w:r>
      <w:r w:rsidRPr="00D52239">
        <w:rPr>
          <w:b/>
        </w:rPr>
        <w:t xml:space="preserve">Figure </w:t>
      </w:r>
      <w:r w:rsidR="009377C7">
        <w:rPr>
          <w:b/>
        </w:rPr>
        <w:t>4</w:t>
      </w:r>
      <w:r w:rsidRPr="00D52239">
        <w:t xml:space="preserve"> and </w:t>
      </w:r>
      <w:r w:rsidRPr="00D52239">
        <w:rPr>
          <w:b/>
        </w:rPr>
        <w:t xml:space="preserve">Supplementary Table </w:t>
      </w:r>
      <w:r w:rsidR="005505E2">
        <w:rPr>
          <w:b/>
        </w:rPr>
        <w:t>13</w:t>
      </w:r>
      <w:r w:rsidRPr="00D52239">
        <w:t>),</w:t>
      </w:r>
      <w:r w:rsidRPr="00D52239">
        <w:rPr>
          <w:rFonts w:eastAsia="Cardo"/>
        </w:rPr>
        <w:t xml:space="preserve"> where EFNA4 and VWC2 were inversely associated with WIAT-III score (EFNA4: ꞵ=-0.90, P-value=0.001</w:t>
      </w:r>
      <w:r w:rsidR="00020FFB">
        <w:rPr>
          <w:rFonts w:eastAsia="Cardo"/>
        </w:rPr>
        <w:t>0</w:t>
      </w:r>
      <w:r w:rsidRPr="00D52239">
        <w:rPr>
          <w:rFonts w:eastAsia="Cardo"/>
        </w:rPr>
        <w:t>, 95% CI -1.44 to -0.36; VWC2: ꞵ=-0.41, P-value=0.014, 95% CI -0.74 to -0.08), and CNTN5 was positively associated with WIAT-III score (ꞵ=0.45, P-value=0.007</w:t>
      </w:r>
      <w:r w:rsidR="00DD1E7F">
        <w:rPr>
          <w:rFonts w:eastAsia="Cardo"/>
        </w:rPr>
        <w:t>0</w:t>
      </w:r>
      <w:r w:rsidRPr="00D52239">
        <w:rPr>
          <w:rFonts w:eastAsia="Cardo"/>
        </w:rPr>
        <w:t xml:space="preserve">, 95% CI 0.13 to 0.77). </w:t>
      </w:r>
      <w:r w:rsidRPr="00D52239">
        <w:rPr>
          <w:b/>
        </w:rPr>
        <w:t xml:space="preserve">Supplementary Table </w:t>
      </w:r>
      <w:r w:rsidR="005505E2">
        <w:rPr>
          <w:b/>
        </w:rPr>
        <w:t>13</w:t>
      </w:r>
      <w:r w:rsidRPr="00D52239">
        <w:t xml:space="preserve"> suggested sex-specific associations between these proteins and WIAT-III score, with EFNA4 (P-value=0.00</w:t>
      </w:r>
      <w:r w:rsidR="00DD1E7F">
        <w:t>29</w:t>
      </w:r>
      <w:r w:rsidRPr="00D52239">
        <w:t>) and VWC2 (P-value=0.003</w:t>
      </w:r>
      <w:r w:rsidR="00DD1E7F">
        <w:t>0</w:t>
      </w:r>
      <w:r w:rsidRPr="00D52239">
        <w:t xml:space="preserve">) more relevant for boys and CNTN5 more relevant for girls (P-value=0.037). </w:t>
      </w:r>
      <w:r w:rsidR="00DB24EB">
        <w:t xml:space="preserve">Surprisingly, </w:t>
      </w:r>
      <w:r w:rsidR="00DB24EB" w:rsidRPr="00D52239">
        <w:t xml:space="preserve">EFNA4 was positively associated with FA of language-related white matter tracts in girls but not in boys, with more substantial effects in the inferior longitudinal fasciculus and inferior fronto-occipital fasciculus </w:t>
      </w:r>
      <w:r w:rsidR="00DB24EB" w:rsidRPr="00D52239">
        <w:rPr>
          <w:b/>
        </w:rPr>
        <w:t xml:space="preserve">(Supplementary Figure </w:t>
      </w:r>
      <w:r w:rsidR="005200B1">
        <w:rPr>
          <w:b/>
        </w:rPr>
        <w:t>6</w:t>
      </w:r>
      <w:r w:rsidR="00DB24EB" w:rsidRPr="00D52239">
        <w:rPr>
          <w:b/>
        </w:rPr>
        <w:t>)</w:t>
      </w:r>
      <w:r w:rsidR="00DB24EB" w:rsidRPr="00D52239">
        <w:t>. Similarly, VWC2 was positively associated with FA of the left inferior longitudinal fasciculus and left inferior fronto-occipital fasciculus only in girls (</w:t>
      </w:r>
      <w:r w:rsidR="00DB24EB" w:rsidRPr="00D52239">
        <w:rPr>
          <w:b/>
        </w:rPr>
        <w:t xml:space="preserve">Supplementary Figure </w:t>
      </w:r>
      <w:r w:rsidR="005200B1">
        <w:rPr>
          <w:b/>
        </w:rPr>
        <w:t>7</w:t>
      </w:r>
      <w:r w:rsidR="00DB24EB" w:rsidRPr="00D52239">
        <w:t xml:space="preserve">). EFNA4 and VWC2 were robust to confounding, with no observed associations with FA of the medial lemniscus (negative control). </w:t>
      </w:r>
      <w:r w:rsidR="00DB24EB">
        <w:t>On the contrary</w:t>
      </w:r>
      <w:r w:rsidR="00DB24EB" w:rsidRPr="00D52239">
        <w:t>, CNTN5 was associated with FA of the medial lemniscus (negative control) but not with FA of other language-related white matter tracts (</w:t>
      </w:r>
      <w:r w:rsidR="00DB24EB" w:rsidRPr="00D52239">
        <w:rPr>
          <w:b/>
        </w:rPr>
        <w:t xml:space="preserve">Supplementary Figure </w:t>
      </w:r>
      <w:r w:rsidR="005200B1">
        <w:rPr>
          <w:b/>
        </w:rPr>
        <w:t>8</w:t>
      </w:r>
      <w:r w:rsidR="00DB24EB" w:rsidRPr="00D52239">
        <w:t>).</w:t>
      </w:r>
      <w:r w:rsidR="00DB24EB" w:rsidRPr="00DB24EB">
        <w:t xml:space="preserve"> </w:t>
      </w:r>
      <w:r w:rsidR="00DB24EB" w:rsidRPr="00D52239">
        <w:t xml:space="preserve">Detailed results on the association of each protein with each functional brain region are presented in </w:t>
      </w:r>
      <w:r w:rsidR="00DB24EB" w:rsidRPr="00D52239">
        <w:rPr>
          <w:b/>
        </w:rPr>
        <w:t xml:space="preserve">Supplementary Table </w:t>
      </w:r>
      <w:r w:rsidR="005505E2">
        <w:rPr>
          <w:b/>
        </w:rPr>
        <w:t>14</w:t>
      </w:r>
      <w:r w:rsidR="00DB24EB" w:rsidRPr="00D52239">
        <w:t>.</w:t>
      </w:r>
      <w:r w:rsidR="00DB24EB">
        <w:t xml:space="preserve"> </w:t>
      </w:r>
    </w:p>
    <w:p w14:paraId="1307F65C" w14:textId="1FB390EA" w:rsidR="00F934FA" w:rsidRDefault="00C85DC2" w:rsidP="0090462A">
      <w:pPr>
        <w:spacing w:after="200"/>
      </w:pPr>
      <w:r>
        <w:t xml:space="preserve">On the other hand, </w:t>
      </w:r>
      <w:r w:rsidR="0090462A" w:rsidRPr="00D52239">
        <w:rPr>
          <w:rFonts w:eastAsia="Cardo"/>
        </w:rPr>
        <w:t>macrophage scavenger receptor 1 (MSR1) was the only protein</w:t>
      </w:r>
      <w:r w:rsidR="009154C7">
        <w:rPr>
          <w:rFonts w:eastAsia="Cardo"/>
        </w:rPr>
        <w:t xml:space="preserve"> that</w:t>
      </w:r>
      <w:r w:rsidR="0090462A" w:rsidRPr="00D52239">
        <w:rPr>
          <w:rFonts w:eastAsia="Cardo"/>
        </w:rPr>
        <w:t xml:space="preserve"> </w:t>
      </w:r>
      <w:r w:rsidR="00FA57D9">
        <w:rPr>
          <w:rFonts w:eastAsia="Cardo"/>
        </w:rPr>
        <w:t xml:space="preserve">remained </w:t>
      </w:r>
      <w:r w:rsidR="0090462A" w:rsidRPr="00D52239">
        <w:rPr>
          <w:rFonts w:eastAsia="Cardo"/>
        </w:rPr>
        <w:t xml:space="preserve">associated with child PRS for obesity </w:t>
      </w:r>
      <w:r w:rsidR="00DC7DEF">
        <w:rPr>
          <w:rFonts w:eastAsia="Cardo"/>
        </w:rPr>
        <w:t>a</w:t>
      </w:r>
      <w:r w:rsidR="00DC7DEF" w:rsidRPr="00D52239">
        <w:rPr>
          <w:rFonts w:eastAsia="Cardo"/>
        </w:rPr>
        <w:t>fter accounting for multiple comparisons</w:t>
      </w:r>
      <w:r w:rsidR="00FA57D9">
        <w:rPr>
          <w:rFonts w:eastAsia="Cardo"/>
        </w:rPr>
        <w:t xml:space="preserve"> </w:t>
      </w:r>
      <w:r w:rsidR="0090462A" w:rsidRPr="00D52239">
        <w:rPr>
          <w:rFonts w:eastAsia="Cardo"/>
        </w:rPr>
        <w:t>(</w:t>
      </w:r>
      <w:r w:rsidR="00171C8D">
        <w:rPr>
          <w:rFonts w:eastAsia="Cardo"/>
        </w:rPr>
        <w:t xml:space="preserve">linear </w:t>
      </w:r>
      <w:r w:rsidR="00171C8D" w:rsidRPr="00D52239">
        <w:t>regression</w:t>
      </w:r>
      <w:r w:rsidR="00171C8D">
        <w:t>:</w:t>
      </w:r>
      <w:r w:rsidR="00171C8D" w:rsidRPr="00D52239">
        <w:t xml:space="preserve"> </w:t>
      </w:r>
      <w:r w:rsidR="0090462A" w:rsidRPr="00D52239">
        <w:rPr>
          <w:rFonts w:eastAsia="Cardo"/>
        </w:rPr>
        <w:t>Overall: ꞵ=0.15, P-value= 1.0</w:t>
      </w:r>
      <w:r w:rsidR="0090462A" w:rsidRPr="00D52239">
        <w:rPr>
          <w:rFonts w:eastAsia="Roboto"/>
          <w:color w:val="444746"/>
          <w:sz w:val="21"/>
          <w:szCs w:val="21"/>
          <w:highlight w:val="white"/>
        </w:rPr>
        <w:t>×</w:t>
      </w:r>
      <w:r w:rsidR="0090462A" w:rsidRPr="00D52239">
        <w:t>10</w:t>
      </w:r>
      <w:r w:rsidR="0090462A" w:rsidRPr="00D52239">
        <w:rPr>
          <w:vertAlign w:val="superscript"/>
        </w:rPr>
        <w:t>-4</w:t>
      </w:r>
      <w:r w:rsidR="0090462A" w:rsidRPr="00D52239">
        <w:rPr>
          <w:rFonts w:eastAsia="Cardo"/>
        </w:rPr>
        <w:t>, 95% CI 0.08 to 0.23; Boys: ꞵ=0.24, P-value=2.7</w:t>
      </w:r>
      <w:r w:rsidR="0090462A" w:rsidRPr="00D52239">
        <w:rPr>
          <w:rFonts w:eastAsia="Roboto"/>
          <w:color w:val="444746"/>
          <w:sz w:val="21"/>
          <w:szCs w:val="21"/>
          <w:highlight w:val="white"/>
        </w:rPr>
        <w:t>×</w:t>
      </w:r>
      <w:r w:rsidR="0090462A" w:rsidRPr="00D52239">
        <w:t>10</w:t>
      </w:r>
      <w:r w:rsidR="0090462A" w:rsidRPr="00D52239">
        <w:rPr>
          <w:vertAlign w:val="superscript"/>
        </w:rPr>
        <w:t>-5</w:t>
      </w:r>
      <w:r w:rsidR="0090462A" w:rsidRPr="00D52239">
        <w:t xml:space="preserve">, 95% CI 0.13 to 0.35). </w:t>
      </w:r>
      <w:r w:rsidR="002E6C87">
        <w:t>The association between c</w:t>
      </w:r>
      <w:r w:rsidR="0090462A" w:rsidRPr="00D52239">
        <w:t xml:space="preserve">hild PRS </w:t>
      </w:r>
      <w:r w:rsidR="002E6C87">
        <w:t>and</w:t>
      </w:r>
      <w:r w:rsidR="002E6C87" w:rsidRPr="00D52239">
        <w:t xml:space="preserve"> </w:t>
      </w:r>
      <w:r w:rsidR="0090462A" w:rsidRPr="00D52239">
        <w:t xml:space="preserve">obesity with MSR1 in girls </w:t>
      </w:r>
      <w:r w:rsidR="002E6C87">
        <w:t xml:space="preserve">was not observed in our analysis </w:t>
      </w:r>
      <w:r w:rsidR="0090462A" w:rsidRPr="00D52239">
        <w:t>(</w:t>
      </w:r>
      <w:r w:rsidR="00AB74DF">
        <w:rPr>
          <w:rFonts w:eastAsia="Cardo"/>
        </w:rPr>
        <w:t xml:space="preserve">linear </w:t>
      </w:r>
      <w:r w:rsidR="00AB74DF" w:rsidRPr="00D52239">
        <w:t>regression</w:t>
      </w:r>
      <w:r w:rsidR="00AB74DF">
        <w:t>:</w:t>
      </w:r>
      <w:r w:rsidR="00AB74DF" w:rsidRPr="00D52239">
        <w:t xml:space="preserve"> </w:t>
      </w:r>
      <w:r w:rsidR="0090462A" w:rsidRPr="00D52239">
        <w:rPr>
          <w:rFonts w:eastAsia="Cardo"/>
        </w:rPr>
        <w:t>ꞵ</w:t>
      </w:r>
      <w:r w:rsidR="0090462A" w:rsidRPr="00D52239">
        <w:t>=0.05, P-value=0.36, 95% CI -0.06 to 0.17)</w:t>
      </w:r>
      <w:r w:rsidR="0090462A">
        <w:t>.</w:t>
      </w:r>
      <w:r w:rsidR="00DB24EB" w:rsidRPr="00DB24EB">
        <w:t xml:space="preserve"> </w:t>
      </w:r>
      <w:r w:rsidR="00DB24EB" w:rsidRPr="00D52239">
        <w:t>Despite not being associated with the WIAT-III score, MSR1 was positively associated with FA of the right inferior longitudinal fasciculus and the left inferior fronto-occipital fasciculus (</w:t>
      </w:r>
      <w:r w:rsidR="00DB24EB" w:rsidRPr="00D52239">
        <w:rPr>
          <w:b/>
        </w:rPr>
        <w:t xml:space="preserve">Supplementary Figure </w:t>
      </w:r>
      <w:r w:rsidR="005200B1">
        <w:rPr>
          <w:b/>
        </w:rPr>
        <w:t>9</w:t>
      </w:r>
      <w:r w:rsidR="00DB24EB" w:rsidRPr="00D52239">
        <w:t>).</w:t>
      </w:r>
      <w:r w:rsidR="00F14D80">
        <w:t xml:space="preserve"> C</w:t>
      </w:r>
      <w:r w:rsidR="00F934FA" w:rsidRPr="00D52239">
        <w:t xml:space="preserve">hild PRS for obesity was </w:t>
      </w:r>
      <w:r w:rsidR="00F14D80">
        <w:t xml:space="preserve">only weakly </w:t>
      </w:r>
      <w:r w:rsidR="00F934FA" w:rsidRPr="00D52239">
        <w:t>associated with EFNA4</w:t>
      </w:r>
      <w:r w:rsidR="00F934FA">
        <w:t xml:space="preserve"> and </w:t>
      </w:r>
      <w:r w:rsidR="00F934FA" w:rsidRPr="00D52239">
        <w:t>VWC2</w:t>
      </w:r>
      <w:r w:rsidR="00F934FA">
        <w:t xml:space="preserve"> in boys </w:t>
      </w:r>
      <w:r w:rsidR="00F934FA" w:rsidRPr="00D52239">
        <w:rPr>
          <w:rFonts w:eastAsia="Cardo"/>
        </w:rPr>
        <w:t>(</w:t>
      </w:r>
      <w:r w:rsidR="00F934FA">
        <w:rPr>
          <w:rFonts w:eastAsia="Cardo"/>
        </w:rPr>
        <w:t xml:space="preserve">linear </w:t>
      </w:r>
      <w:r w:rsidR="00F934FA" w:rsidRPr="00D52239">
        <w:t>regression</w:t>
      </w:r>
      <w:r w:rsidR="00F934FA">
        <w:t>:</w:t>
      </w:r>
      <w:r w:rsidR="00F934FA" w:rsidRPr="00D52239">
        <w:t xml:space="preserve"> </w:t>
      </w:r>
      <w:r w:rsidR="00F934FA" w:rsidRPr="00D52239">
        <w:rPr>
          <w:rFonts w:eastAsia="Cardo"/>
        </w:rPr>
        <w:t>EFNA4: ꞵ=</w:t>
      </w:r>
      <w:r w:rsidR="00F934FA">
        <w:rPr>
          <w:rFonts w:eastAsia="Cardo"/>
        </w:rPr>
        <w:t>0.08</w:t>
      </w:r>
      <w:r w:rsidR="00F934FA" w:rsidRPr="00D52239">
        <w:rPr>
          <w:rFonts w:eastAsia="Cardo"/>
        </w:rPr>
        <w:t>, P-value=0.0</w:t>
      </w:r>
      <w:r w:rsidR="00F934FA">
        <w:rPr>
          <w:rFonts w:eastAsia="Cardo"/>
        </w:rPr>
        <w:t>23</w:t>
      </w:r>
      <w:r w:rsidR="00F934FA" w:rsidRPr="00D52239">
        <w:rPr>
          <w:rFonts w:eastAsia="Cardo"/>
        </w:rPr>
        <w:t xml:space="preserve">, 95% CI </w:t>
      </w:r>
      <w:r w:rsidR="00F934FA">
        <w:rPr>
          <w:rFonts w:eastAsia="Cardo"/>
        </w:rPr>
        <w:t>0.01</w:t>
      </w:r>
      <w:r w:rsidR="00F934FA" w:rsidRPr="00D52239">
        <w:rPr>
          <w:rFonts w:eastAsia="Cardo"/>
        </w:rPr>
        <w:t xml:space="preserve"> to </w:t>
      </w:r>
      <w:r w:rsidR="00F934FA">
        <w:rPr>
          <w:rFonts w:eastAsia="Cardo"/>
        </w:rPr>
        <w:t>0.15</w:t>
      </w:r>
      <w:r w:rsidR="00F934FA" w:rsidRPr="00D52239">
        <w:rPr>
          <w:rFonts w:eastAsia="Cardo"/>
        </w:rPr>
        <w:t>; VWC2: ꞵ=</w:t>
      </w:r>
      <w:r w:rsidR="00F934FA">
        <w:rPr>
          <w:rFonts w:eastAsia="Cardo"/>
        </w:rPr>
        <w:t>0.10</w:t>
      </w:r>
      <w:r w:rsidR="00F934FA" w:rsidRPr="00D52239">
        <w:rPr>
          <w:rFonts w:eastAsia="Cardo"/>
        </w:rPr>
        <w:t>, P-value=0.</w:t>
      </w:r>
      <w:r w:rsidR="00F934FA">
        <w:rPr>
          <w:rFonts w:eastAsia="Cardo"/>
        </w:rPr>
        <w:t>042</w:t>
      </w:r>
      <w:r w:rsidR="00F934FA" w:rsidRPr="00D52239">
        <w:rPr>
          <w:rFonts w:eastAsia="Cardo"/>
        </w:rPr>
        <w:t xml:space="preserve">, 95% CI </w:t>
      </w:r>
      <w:r w:rsidR="00F934FA">
        <w:rPr>
          <w:rFonts w:eastAsia="Cardo"/>
        </w:rPr>
        <w:t>0.004</w:t>
      </w:r>
      <w:r w:rsidR="00F934FA" w:rsidRPr="00D52239">
        <w:rPr>
          <w:rFonts w:eastAsia="Cardo"/>
        </w:rPr>
        <w:t xml:space="preserve"> to </w:t>
      </w:r>
      <w:r w:rsidR="00F934FA">
        <w:rPr>
          <w:rFonts w:eastAsia="Cardo"/>
        </w:rPr>
        <w:t xml:space="preserve">0.20; </w:t>
      </w:r>
      <w:r w:rsidR="00F934FA" w:rsidRPr="00D52239">
        <w:rPr>
          <w:b/>
        </w:rPr>
        <w:t xml:space="preserve">Supplementary Table </w:t>
      </w:r>
      <w:r w:rsidR="005505E2">
        <w:rPr>
          <w:b/>
        </w:rPr>
        <w:t>15</w:t>
      </w:r>
      <w:r w:rsidR="00F934FA" w:rsidRPr="00D52239">
        <w:rPr>
          <w:rFonts w:eastAsia="Cardo"/>
        </w:rPr>
        <w:t xml:space="preserve">). </w:t>
      </w:r>
    </w:p>
    <w:p w14:paraId="2E50BDA7" w14:textId="2BF0C385" w:rsidR="00E719FC" w:rsidRPr="00E470E9" w:rsidRDefault="000E0C8C">
      <w:pPr>
        <w:spacing w:after="200"/>
      </w:pPr>
      <w:r>
        <w:t>Nevertheless, m</w:t>
      </w:r>
      <w:r w:rsidR="0059575E">
        <w:t xml:space="preserve">ediation analysis </w:t>
      </w:r>
      <w:r w:rsidR="005A753D">
        <w:t>does</w:t>
      </w:r>
      <w:r w:rsidR="005B62A7">
        <w:t xml:space="preserve"> not </w:t>
      </w:r>
      <w:r w:rsidR="005A753D">
        <w:t>support t</w:t>
      </w:r>
      <w:r w:rsidR="005B62A7">
        <w:t xml:space="preserve">he </w:t>
      </w:r>
      <w:r w:rsidR="00275DC1">
        <w:t>mediating mechanisms via EFNA4 or VWC2 expression</w:t>
      </w:r>
      <w:r w:rsidR="00416591">
        <w:t xml:space="preserve"> </w:t>
      </w:r>
      <w:r w:rsidR="005A753D">
        <w:t xml:space="preserve">for </w:t>
      </w:r>
      <w:r w:rsidR="00973264">
        <w:t xml:space="preserve">the effect of </w:t>
      </w:r>
      <w:r w:rsidR="005A753D">
        <w:t>higher polygenic risk for obesity on a lower WIAT-III language score</w:t>
      </w:r>
      <w:r w:rsidR="0078560E">
        <w:t xml:space="preserve"> </w:t>
      </w:r>
      <w:r w:rsidR="00103C85">
        <w:t>(</w:t>
      </w:r>
      <w:r w:rsidR="00E74D33" w:rsidRPr="008F0DDF">
        <w:rPr>
          <w:b/>
          <w:bCs/>
        </w:rPr>
        <w:t xml:space="preserve">Figure </w:t>
      </w:r>
      <w:r w:rsidR="00E74D33">
        <w:rPr>
          <w:b/>
          <w:bCs/>
        </w:rPr>
        <w:t xml:space="preserve">5 and </w:t>
      </w:r>
      <w:r w:rsidR="00103C85" w:rsidRPr="00103C85">
        <w:rPr>
          <w:b/>
          <w:bCs/>
        </w:rPr>
        <w:t xml:space="preserve">Supplementary Table </w:t>
      </w:r>
      <w:r w:rsidR="005505E2">
        <w:rPr>
          <w:b/>
          <w:bCs/>
        </w:rPr>
        <w:t>16</w:t>
      </w:r>
      <w:r w:rsidR="00103C85" w:rsidRPr="00103C85">
        <w:t>)</w:t>
      </w:r>
      <w:r w:rsidR="00275DC1">
        <w:t>.</w:t>
      </w:r>
      <w:r w:rsidR="00616656">
        <w:t xml:space="preserve"> Instead, we found strong genetic correlations between BMI and these</w:t>
      </w:r>
      <w:r w:rsidR="00A64875">
        <w:t xml:space="preserve"> two</w:t>
      </w:r>
      <w:r w:rsidR="00616656">
        <w:t xml:space="preserve"> proteins (</w:t>
      </w:r>
      <w:r w:rsidR="00616656" w:rsidRPr="00103C85">
        <w:rPr>
          <w:b/>
          <w:bCs/>
        </w:rPr>
        <w:t xml:space="preserve">Supplementary Table </w:t>
      </w:r>
      <w:r w:rsidR="005505E2">
        <w:rPr>
          <w:b/>
          <w:bCs/>
        </w:rPr>
        <w:t>17</w:t>
      </w:r>
      <w:r w:rsidR="00616656" w:rsidRPr="00616656">
        <w:t>)</w:t>
      </w:r>
      <w:r w:rsidR="00616656">
        <w:t xml:space="preserve">. </w:t>
      </w:r>
      <w:r w:rsidR="00074C8D" w:rsidRPr="00E470E9">
        <w:t xml:space="preserve">Given </w:t>
      </w:r>
      <w:r w:rsidR="00942793" w:rsidRPr="00E470E9">
        <w:t>the more evident findings</w:t>
      </w:r>
      <w:r w:rsidR="0030317C">
        <w:t xml:space="preserve"> in our analyses</w:t>
      </w:r>
      <w:r w:rsidR="00942793" w:rsidRPr="00E470E9">
        <w:t xml:space="preserve"> </w:t>
      </w:r>
      <w:r w:rsidR="00DF2074" w:rsidRPr="00E470E9">
        <w:t xml:space="preserve">and </w:t>
      </w:r>
      <w:r w:rsidR="006C4798" w:rsidRPr="00E470E9">
        <w:t>previously reported</w:t>
      </w:r>
      <w:r w:rsidR="00DF2074" w:rsidRPr="00E470E9">
        <w:t xml:space="preserve"> </w:t>
      </w:r>
      <w:r w:rsidR="006F6465" w:rsidRPr="00E470E9">
        <w:t xml:space="preserve">regulatory </w:t>
      </w:r>
      <w:r w:rsidR="006C4798" w:rsidRPr="00E470E9">
        <w:t xml:space="preserve">role in myelination </w:t>
      </w:r>
      <w:r w:rsidR="005862AC" w:rsidRPr="00E470E9">
        <w:t xml:space="preserve">of EFNA4, we further </w:t>
      </w:r>
      <w:r w:rsidR="00DF2074" w:rsidRPr="00E470E9">
        <w:t xml:space="preserve">investigated </w:t>
      </w:r>
      <w:r w:rsidR="005862AC" w:rsidRPr="00E470E9">
        <w:t xml:space="preserve">brain-region-specific predicted expression </w:t>
      </w:r>
      <w:r w:rsidR="00DF2074" w:rsidRPr="00E470E9">
        <w:t>related to EPH-Ephrin signalling.</w:t>
      </w:r>
      <w:r w:rsidR="001F511B" w:rsidRPr="001F511B">
        <w:t xml:space="preserve"> </w:t>
      </w:r>
      <w:r w:rsidR="001F511B" w:rsidRPr="00E470E9">
        <w:t>Consistent</w:t>
      </w:r>
      <w:r w:rsidR="001F511B">
        <w:t xml:space="preserve"> with the proteomic analysis</w:t>
      </w:r>
      <w:r w:rsidR="007C7450" w:rsidRPr="00E470E9">
        <w:t>, a higher ePRS of EPH-Ephrin signalling in the hippocampus was associated with a lower WIAT-III score in boys (</w:t>
      </w:r>
      <w:r w:rsidR="007C7450" w:rsidRPr="00E470E9">
        <w:rPr>
          <w:b/>
        </w:rPr>
        <w:t xml:space="preserve">Supplementary Table </w:t>
      </w:r>
      <w:r w:rsidR="00DA0A20">
        <w:rPr>
          <w:b/>
        </w:rPr>
        <w:t>1</w:t>
      </w:r>
      <w:r w:rsidR="00697E84">
        <w:rPr>
          <w:b/>
        </w:rPr>
        <w:t>8</w:t>
      </w:r>
      <w:r w:rsidR="007C7450" w:rsidRPr="00E470E9">
        <w:rPr>
          <w:rFonts w:eastAsia="Cardo"/>
        </w:rPr>
        <w:t xml:space="preserve">, </w:t>
      </w:r>
      <w:r w:rsidR="00F27C1F">
        <w:rPr>
          <w:rFonts w:eastAsia="Cardo"/>
        </w:rPr>
        <w:t xml:space="preserve">linear </w:t>
      </w:r>
      <w:r w:rsidR="00F27C1F" w:rsidRPr="00D52239">
        <w:t>regression</w:t>
      </w:r>
      <w:r w:rsidR="00F27C1F">
        <w:t>:</w:t>
      </w:r>
      <w:r w:rsidR="00F27C1F" w:rsidRPr="00D52239">
        <w:t xml:space="preserve"> </w:t>
      </w:r>
      <w:r w:rsidR="007C7450" w:rsidRPr="00E470E9">
        <w:rPr>
          <w:rFonts w:eastAsia="Cardo"/>
        </w:rPr>
        <w:t>ꞵ=-0.21, P-value=0.006</w:t>
      </w:r>
      <w:r w:rsidR="005843BC">
        <w:rPr>
          <w:rFonts w:eastAsia="Cardo"/>
        </w:rPr>
        <w:t>2</w:t>
      </w:r>
      <w:r w:rsidR="007C7450" w:rsidRPr="00E470E9">
        <w:rPr>
          <w:rFonts w:eastAsia="Cardo"/>
        </w:rPr>
        <w:t>, 95% CI -0.35 to -0.06).</w:t>
      </w:r>
      <w:r w:rsidR="00A50C93">
        <w:rPr>
          <w:rFonts w:eastAsia="Cardo"/>
        </w:rPr>
        <w:t xml:space="preserve"> </w:t>
      </w:r>
    </w:p>
    <w:p w14:paraId="2E50BDAC" w14:textId="77777777" w:rsidR="00E719FC" w:rsidRPr="00D52239" w:rsidRDefault="007C7450">
      <w:pPr>
        <w:pStyle w:val="Heading1"/>
        <w:spacing w:after="200"/>
      </w:pPr>
      <w:bookmarkStart w:id="13" w:name="_vu2ra7ifdhni" w:colFirst="0" w:colLast="0"/>
      <w:bookmarkEnd w:id="13"/>
      <w:r w:rsidRPr="00D52239">
        <w:lastRenderedPageBreak/>
        <w:t>Discussion</w:t>
      </w:r>
    </w:p>
    <w:p w14:paraId="2E50BDAD" w14:textId="716B2487" w:rsidR="00E719FC" w:rsidRPr="00D52239" w:rsidRDefault="00700535" w:rsidP="0000386F">
      <w:pPr>
        <w:spacing w:after="200"/>
      </w:pPr>
      <w:r w:rsidRPr="00D52239">
        <w:t>In this study, we found evidence of</w:t>
      </w:r>
      <w:r>
        <w:t xml:space="preserve"> </w:t>
      </w:r>
      <w:r w:rsidR="00501AC0">
        <w:t xml:space="preserve">a </w:t>
      </w:r>
      <w:r>
        <w:t xml:space="preserve">genetic correlation between </w:t>
      </w:r>
      <w:r w:rsidRPr="00D52239">
        <w:t>obesity-related traits and language-related skills</w:t>
      </w:r>
      <w:r>
        <w:t xml:space="preserve"> </w:t>
      </w:r>
      <w:r w:rsidRPr="00D52239">
        <w:t>leveraging large GWAS summary statistics</w:t>
      </w:r>
      <w:r>
        <w:t xml:space="preserve">. In the GUSTO cohort, </w:t>
      </w:r>
      <w:r w:rsidRPr="00D52239">
        <w:t xml:space="preserve">child PRS for obesity, which is less susceptible to socio-environmental confounding, was associated with both lower PPVT-4 and WIAT-III scores, particularly in boys. </w:t>
      </w:r>
      <w:r>
        <w:t xml:space="preserve">However, one-sample MR in the GUSTO cohort and two-sample MR based on </w:t>
      </w:r>
      <w:r w:rsidR="008A7EBA">
        <w:t xml:space="preserve">summary-level </w:t>
      </w:r>
      <w:r w:rsidRPr="00D52239">
        <w:t xml:space="preserve">GWAS </w:t>
      </w:r>
      <w:r w:rsidR="008A7EBA">
        <w:t>data</w:t>
      </w:r>
      <w:r w:rsidR="0000436C">
        <w:t xml:space="preserve"> </w:t>
      </w:r>
      <w:r>
        <w:t>did not support a causal relationship between obesity and language development.</w:t>
      </w:r>
      <w:r w:rsidRPr="00E952D1">
        <w:t xml:space="preserve"> </w:t>
      </w:r>
      <w:r w:rsidR="008D54D9" w:rsidRPr="000905F7">
        <w:t xml:space="preserve">Particularly, the </w:t>
      </w:r>
      <w:r w:rsidR="00B01C63" w:rsidRPr="000905F7">
        <w:t xml:space="preserve">contradicting </w:t>
      </w:r>
      <w:r w:rsidR="008D54D9" w:rsidRPr="000905F7">
        <w:t xml:space="preserve">findings </w:t>
      </w:r>
      <w:r w:rsidR="00B01C63" w:rsidRPr="000905F7">
        <w:t>of the one-sample MR analyses using Bayesian PRS and C+T PRS</w:t>
      </w:r>
      <w:r w:rsidR="008D54D9" w:rsidRPr="000905F7">
        <w:t xml:space="preserve"> suggested that </w:t>
      </w:r>
      <w:r w:rsidR="00B01C63" w:rsidRPr="000905F7">
        <w:t>polygenic risk</w:t>
      </w:r>
      <w:r w:rsidR="008D54D9" w:rsidRPr="000905F7">
        <w:t xml:space="preserve"> for obesity was associated with language development</w:t>
      </w:r>
      <w:r w:rsidR="00B01C63" w:rsidRPr="000905F7">
        <w:t xml:space="preserve"> </w:t>
      </w:r>
      <w:r w:rsidR="00685EE3" w:rsidRPr="000905F7">
        <w:t>due to</w:t>
      </w:r>
      <w:r w:rsidR="00B01C63" w:rsidRPr="000905F7">
        <w:t xml:space="preserve"> </w:t>
      </w:r>
      <w:r w:rsidR="008D54D9" w:rsidRPr="000905F7">
        <w:t>non-BMI-related mechanisms.</w:t>
      </w:r>
      <w:r w:rsidRPr="000905F7">
        <w:t xml:space="preserve"> </w:t>
      </w:r>
      <w:r w:rsidR="002E2D93">
        <w:t>O</w:t>
      </w:r>
      <w:r>
        <w:t xml:space="preserve">ur examination </w:t>
      </w:r>
      <w:r w:rsidR="002E1AD4">
        <w:t>of</w:t>
      </w:r>
      <w:r>
        <w:t xml:space="preserve"> the </w:t>
      </w:r>
      <w:r w:rsidRPr="00E952D1">
        <w:t>neurology-related proteins and FA</w:t>
      </w:r>
      <w:r>
        <w:t xml:space="preserve"> </w:t>
      </w:r>
      <w:r w:rsidRPr="00E952D1">
        <w:t>of language-related white matter tracts</w:t>
      </w:r>
      <w:r>
        <w:t xml:space="preserve"> provided </w:t>
      </w:r>
      <w:r w:rsidRPr="00E952D1">
        <w:t>biological insight</w:t>
      </w:r>
      <w:r>
        <w:t xml:space="preserve"> </w:t>
      </w:r>
      <w:r w:rsidRPr="00E952D1">
        <w:t>into language development</w:t>
      </w:r>
      <w:r>
        <w:t xml:space="preserve">. </w:t>
      </w:r>
      <w:r w:rsidR="002316F8">
        <w:t>W</w:t>
      </w:r>
      <w:r w:rsidR="002316F8" w:rsidRPr="00D52239">
        <w:t xml:space="preserve">e measured a range of circulating neurology-related proteins </w:t>
      </w:r>
      <w:r w:rsidR="002316F8">
        <w:t xml:space="preserve">in the GUSTO children </w:t>
      </w:r>
      <w:r w:rsidR="002316F8" w:rsidRPr="00D52239">
        <w:t>and found sex-specific associations of EFNA4, VWC2</w:t>
      </w:r>
      <w:r w:rsidR="002316F8">
        <w:t xml:space="preserve">, and </w:t>
      </w:r>
      <w:r w:rsidR="002316F8" w:rsidRPr="00D52239">
        <w:t>CNTN5 with the WIAT-III score.</w:t>
      </w:r>
      <w:r w:rsidR="00441EF6">
        <w:t xml:space="preserve"> Particularly</w:t>
      </w:r>
      <w:r>
        <w:t xml:space="preserve">, </w:t>
      </w:r>
      <w:r w:rsidR="00A45B64">
        <w:t>higher polygenic risk</w:t>
      </w:r>
      <w:r>
        <w:t xml:space="preserve"> for obesity was nominally and positively associated with EFNA4 and VWC2 expression, both of which </w:t>
      </w:r>
      <w:r w:rsidRPr="00D52239">
        <w:t xml:space="preserve">were </w:t>
      </w:r>
      <w:r>
        <w:t xml:space="preserve">inversely </w:t>
      </w:r>
      <w:r w:rsidRPr="00D52239">
        <w:t>associated with the WIAT-III language-related composite score</w:t>
      </w:r>
      <w:r>
        <w:t xml:space="preserve">. </w:t>
      </w:r>
      <w:r w:rsidR="005E6562">
        <w:t xml:space="preserve">However, mediating mechanisms via EFNA4 or VWC2 were not supported. </w:t>
      </w:r>
      <w:r w:rsidRPr="00D52239">
        <w:t>The inverse association between EFNA4 and WIAT-III score was more pronounced in boys, which is supported by the consistent association between gene expression of the EPH-Ephrin signalling pathway in the hippocampus and WIAT-III score, as well as the existing knowledge about the regulatory role of Ephrin A4 receptor in myelination</w:t>
      </w:r>
      <w:r w:rsidR="000D014D" w:rsidRPr="00D52239">
        <w:t>.</w:t>
      </w:r>
      <w:r w:rsidR="000D014D" w:rsidRPr="00D52239">
        <w:fldChar w:fldCharType="begin"/>
      </w:r>
      <w:r w:rsidR="00A323E5">
        <w:instrText xml:space="preserve"> ADDIN ZOTERO_ITEM CSL_CITATION {"citationID":"vsZhRxaL","properties":{"formattedCitation":"(53)","plainCitation":"(53)","noteIndex":0},"citationItems":[{"id":1031,"uris":["http://zotero.org/users/11760769/items/KIMXPSWS"],"itemData":{"id":1031,"type":"article-journal","abstract":"Myelin plays a crucial role in axon function recovery following nerve damage, and the interaction between Schwann cells (SCs) and regenerating axons profoundly affects myelin formation. Eph receptor A4 (EphA4), a member of the Eph tyrosine kinase receptor family, regulates cell-cell interactions via its ligand ephrins. However, our current knowledge on how EphA4 regulates the formation of myelin sheaths remains limited. In order to explore the roles of EphA4 in myelination in the peripheral nervous system, we used a combination of (1) a co-culture model of dorsal root ganglion (DRG) explants and SCs, (2) a SC differentiation model induced by db-cAMP, and (3) a regeneration model of crushed sciatic nerves in rats. Our results demonstrated that EphA4 inhibited myelination by inhibiting SC differentiation and facilitating SC proliferation in vitro. The in vivo experiments revealed that EphA4 expression in SCs is upregulated following nerve crush injury and then downregulated during remyelination. Moreover, silencing of EphA4 by siRNA or overexpression of EphA4 by genetic manipulation can accelerate or slow down nerve remyelination in crushed sciatic nerves. Taken together, our results suggest that EphA4 may negatively regulate myelination by abrogating SC differentiation.","container-title":"Frontiers in Neuroscience","DOI":"10.3389/fnins.2019.01191","ISSN":"1662-4548","journalAbbreviation":"Front Neurosci","language":"eng","note":"PMID: 31798398\nPMCID: PMC6863774","page":"1191","source":"PubMed","title":"EphA4 Negatively Regulates Myelination by Inhibiting Schwann Cell Differentiation in the Peripheral Nervous System","volume":"13","author":[{"family":"Chen","given":"Ruyue"},{"family":"Yang","given":"Xiaoming"},{"family":"Zhang","given":"Bin"},{"family":"Wang","given":"Shengran"},{"family":"Bao","given":"Shuangxi"},{"family":"Gu","given":"Yun"},{"family":"Li","given":"Shiying"}],"issued":{"date-parts":[["2019"]]}}}],"schema":"https://github.com/citation-style-language/schema/raw/master/csl-citation.json"} </w:instrText>
      </w:r>
      <w:r w:rsidR="000D014D" w:rsidRPr="00D52239">
        <w:fldChar w:fldCharType="separate"/>
      </w:r>
      <w:r w:rsidR="00A323E5" w:rsidRPr="00A323E5">
        <w:t>(53)</w:t>
      </w:r>
      <w:r w:rsidR="000D014D" w:rsidRPr="00D52239">
        <w:fldChar w:fldCharType="end"/>
      </w:r>
      <w:r w:rsidR="0000386F">
        <w:t xml:space="preserve"> </w:t>
      </w:r>
    </w:p>
    <w:p w14:paraId="04A6687C" w14:textId="32A475B3" w:rsidR="00E22D60" w:rsidRDefault="007C7450">
      <w:pPr>
        <w:spacing w:after="200"/>
      </w:pPr>
      <w:r w:rsidRPr="00D52239">
        <w:t xml:space="preserve">EFNA4 belongs to the ephrin family, and it binds to various Ephrin A receptors. The Ephrin A4 receptor, coded by the </w:t>
      </w:r>
      <w:r w:rsidRPr="00D52239">
        <w:rPr>
          <w:i/>
        </w:rPr>
        <w:t xml:space="preserve">EPHA4 </w:t>
      </w:r>
      <w:r w:rsidRPr="00D52239">
        <w:t>gene, is a primary receptor that binds to EFNA4, and it negatively regulates myelination in both the central and peripheral nervous systems.</w:t>
      </w:r>
      <w:r w:rsidR="00352423" w:rsidRPr="00D52239">
        <w:fldChar w:fldCharType="begin"/>
      </w:r>
      <w:r w:rsidR="00A323E5">
        <w:instrText xml:space="preserve"> ADDIN ZOTERO_ITEM CSL_CITATION {"citationID":"v2uJFaaP","properties":{"formattedCitation":"(53)","plainCitation":"(53)","noteIndex":0},"citationItems":[{"id":1031,"uris":["http://zotero.org/users/11760769/items/KIMXPSWS"],"itemData":{"id":1031,"type":"article-journal","abstract":"Myelin plays a crucial role in axon function recovery following nerve damage, and the interaction between Schwann cells (SCs) and regenerating axons profoundly affects myelin formation. Eph receptor A4 (EphA4), a member of the Eph tyrosine kinase receptor family, regulates cell-cell interactions via its ligand ephrins. However, our current knowledge on how EphA4 regulates the formation of myelin sheaths remains limited. In order to explore the roles of EphA4 in myelination in the peripheral nervous system, we used a combination of (1) a co-culture model of dorsal root ganglion (DRG) explants and SCs, (2) a SC differentiation model induced by db-cAMP, and (3) a regeneration model of crushed sciatic nerves in rats. Our results demonstrated that EphA4 inhibited myelination by inhibiting SC differentiation and facilitating SC proliferation in vitro. The in vivo experiments revealed that EphA4 expression in SCs is upregulated following nerve crush injury and then downregulated during remyelination. Moreover, silencing of EphA4 by siRNA or overexpression of EphA4 by genetic manipulation can accelerate or slow down nerve remyelination in crushed sciatic nerves. Taken together, our results suggest that EphA4 may negatively regulate myelination by abrogating SC differentiation.","container-title":"Frontiers in Neuroscience","DOI":"10.3389/fnins.2019.01191","ISSN":"1662-4548","journalAbbreviation":"Front Neurosci","language":"eng","note":"PMID: 31798398\nPMCID: PMC6863774","page":"1191","source":"PubMed","title":"EphA4 Negatively Regulates Myelination by Inhibiting Schwann Cell Differentiation in the Peripheral Nervous System","volume":"13","author":[{"family":"Chen","given":"Ruyue"},{"family":"Yang","given":"Xiaoming"},{"family":"Zhang","given":"Bin"},{"family":"Wang","given":"Shengran"},{"family":"Bao","given":"Shuangxi"},{"family":"Gu","given":"Yun"},{"family":"Li","given":"Shiying"}],"issued":{"date-parts":[["2019"]]}}}],"schema":"https://github.com/citation-style-language/schema/raw/master/csl-citation.json"} </w:instrText>
      </w:r>
      <w:r w:rsidR="00352423" w:rsidRPr="00D52239">
        <w:fldChar w:fldCharType="separate"/>
      </w:r>
      <w:r w:rsidR="00A323E5" w:rsidRPr="00A323E5">
        <w:t>(53)</w:t>
      </w:r>
      <w:r w:rsidR="00352423" w:rsidRPr="00D52239">
        <w:fldChar w:fldCharType="end"/>
      </w:r>
      <w:r w:rsidRPr="00D52239">
        <w:t xml:space="preserve"> It has also been found to modulate synaptic plasticity and neurogenesis.</w:t>
      </w:r>
      <w:r w:rsidR="00352423" w:rsidRPr="00D52239">
        <w:fldChar w:fldCharType="begin"/>
      </w:r>
      <w:r w:rsidR="00A323E5">
        <w:instrText xml:space="preserve"> ADDIN ZOTERO_ITEM CSL_CITATION {"citationID":"EX5hsrEo","properties":{"formattedCitation":"(54,55)","plainCitation":"(54,55)","noteIndex":0},"citationItems":[{"id":1163,"uris":["http://zotero.org/users/11760769/items/39DAES59"],"itemData":{"id":1163,"type":"article-journal","container-title":"Nature Neuroscience","DOI":"10.1038/nn.2231","ISSN":"1097-6256, 1546-1726","issue":"1","journalAbbreviation":"Nat Neurosci","language":"en","page":"15-20","source":"DOI.org (Crossref)","title":"Bidirectional modulation of synaptic functions by Eph/ephrin signaling","volume":"12","author":[{"family":"Klein","given":"Rüdiger"}],"issued":{"date-parts":[["2009",1]]}}},{"id":1164,"uris":["http://zotero.org/users/11760769/items/GDZV93YI"],"itemData":{"id":1164,"type":"article-journal","container-title":"Molecular Neurobiology","DOI":"10.1007/s12035-014-9020-2","ISSN":"0893-7648, 1559-1182","issue":"1","journalAbbreviation":"Mol Neurobiol","language":"en","page":"561-576","source":"DOI.org (Crossref)","title":"The Ephrin-A5/EphA4 Interaction Modulates Neurogenesis and Angiogenesis by the p-Akt and p-ERK Pathways in a Mouse Model of TLE","volume":"53","author":[{"family":"Shu","given":"Yi"},{"family":"Xiao","given":"Bo"},{"family":"Wu","given":"Qian"},{"family":"Liu","given":"Tiantian"},{"family":"Du","given":"Yang"},{"family":"Tang","given":"Haiyun"},{"family":"Chen","given":"Si"},{"family":"Feng","given":"Li"},{"family":"Long","given":"Lili"},{"family":"Li","given":"Yi"}],"issued":{"date-parts":[["2016",1]]}}}],"schema":"https://github.com/citation-style-language/schema/raw/master/csl-citation.json"} </w:instrText>
      </w:r>
      <w:r w:rsidR="00352423" w:rsidRPr="00D52239">
        <w:fldChar w:fldCharType="separate"/>
      </w:r>
      <w:r w:rsidR="00A323E5" w:rsidRPr="00A323E5">
        <w:t>(54,55)</w:t>
      </w:r>
      <w:r w:rsidR="00352423" w:rsidRPr="00D52239">
        <w:fldChar w:fldCharType="end"/>
      </w:r>
      <w:r w:rsidRPr="00D52239">
        <w:rPr>
          <w:vertAlign w:val="superscript"/>
        </w:rPr>
        <w:t xml:space="preserve"> </w:t>
      </w:r>
      <w:r w:rsidRPr="00D52239">
        <w:t>Myelin deposition in the language-related brain regions improves children’s vocabulary development.</w:t>
      </w:r>
      <w:r w:rsidR="00352423" w:rsidRPr="00D52239">
        <w:fldChar w:fldCharType="begin"/>
      </w:r>
      <w:r w:rsidR="00A323E5">
        <w:instrText xml:space="preserve"> ADDIN ZOTERO_ITEM CSL_CITATION {"citationID":"xmp23PkY","properties":{"formattedCitation":"(7,49)","plainCitation":"(7,49)","noteIndex":0},"citationItems":[{"id":1037,"uris":["http://zotero.org/users/11760769/items/FUFBPW4L"],"itemData":{"id":1037,"type":"article-journal","container-title":"NeuroImage","DOI":"10.1016/j.neuroimage.2022.119641","ISSN":"10538119","journalAbbreviation":"NeuroImage","language":"en","page":"119641","source":"DOI.org (Crossref)","title":"Brain myelination at 7 months of age predicts later language development","volume":"263","author":[{"family":"Corrigan","given":"Neva M."},{"family":"Yarnykh","given":"Vasily L."},{"family":"Huber","given":"Elizabeth"},{"family":"Zhao","given":"T. Christina"},{"family":"Kuhl","given":"Patricia K."}],"issued":{"date-parts":[["2022",11]]}}},{"id":1033,"uris":["http://zotero.org/users/11760769/items/XJU7MUTW"],"itemData":{"id":1033,"type":"article-journal","abstract":"BACKGROUND: The rapid development of language abilities in early childhood coincides with a similarly accelerated progression in brain maturation.\nOBJECTIVE: To quantitate myelination in the lateral part of the verbal left hemisphere from birth to 3 years in the living human brain.\nMETHODS: One hundred children (mean age 16.6 months) were examined using three-dimensional MRI, and a subgroup of 40 children were also evaluated behaviorally. The volume of myelinated white matter was measured in language-related temporal and frontal regions and in the central sensorimotor region. A method was developed to compose a movie sequence for all the myelination process using volumetric data.\nRESULTS: A plot of age against relative volume of myelinated white matter graphically detailed the myelination progress in the lateral brain. The changes started in sensorimotor white matter and the Heschl gyrus and ultimately extended to the language-related areas. Both comprehension and production regions showed a very similar myelination course, suggesting simultaneous maturation of the temporofrontal language network. The movie sequence of white matter images dynamically displayed the anatomic details of myelin deposition in this part of the brain. The analysis of language performance showed acceleration in children's vocabulary after 18 months, once a rapid myelination phase was attained in the language brain.\nCONCLUSIONS: This volumetric study may contribute to further characterize the early stages of brain maturation by showing the fine progression of myelin deposition in the language domains and illustrating its relationship to children's vocabulary acquisition.","container-title":"Neurology","DOI":"10.1212/01.wnl.0000201049.66073.8d","ISSN":"1526-632X","issue":"3","journalAbbreviation":"Neurology","language":"eng","note":"PMID: 16476931","page":"339-343","source":"PubMed","title":"Myelination of language-related areas in the developing brain","volume":"66","author":[{"family":"Pujol","given":"J."},{"family":"Soriano-Mas","given":"C."},{"family":"Ortiz","given":"H."},{"family":"Sebastián-Gallés","given":"N."},{"family":"Losilla","given":"J. M."},{"family":"Deus","given":"J."}],"issued":{"date-parts":[["2006",2,14]]}}}],"schema":"https://github.com/citation-style-language/schema/raw/master/csl-citation.json"} </w:instrText>
      </w:r>
      <w:r w:rsidR="00352423" w:rsidRPr="00D52239">
        <w:fldChar w:fldCharType="separate"/>
      </w:r>
      <w:r w:rsidR="00A323E5" w:rsidRPr="00A323E5">
        <w:t>(7,49)</w:t>
      </w:r>
      <w:r w:rsidR="00352423" w:rsidRPr="00D52239">
        <w:fldChar w:fldCharType="end"/>
      </w:r>
      <w:r w:rsidRPr="00D52239">
        <w:t xml:space="preserve"> More recently, the in-home language environment has been associated with brain myelination in early development.</w:t>
      </w:r>
      <w:r w:rsidR="00352423" w:rsidRPr="00D52239">
        <w:fldChar w:fldCharType="begin"/>
      </w:r>
      <w:r w:rsidR="00A323E5">
        <w:instrText xml:space="preserve"> ADDIN ZOTERO_ITEM CSL_CITATION {"citationID":"cEZbTvCF","properties":{"formattedCitation":"(56)","plainCitation":"(56)","noteIndex":0},"citationItems":[{"id":1035,"uris":["http://zotero.org/users/11760769/items/A45T8NR5"],"itemData":{"id":1035,"type":"article-journal","abstract":"The language environment to which children are exposed has an impact on later language abilities as well as on brain development; however, it is unclear how early such impacts emerge. This study investigates the effects of children's early language environment and socioeconomic status (SES) on brain structure in infancy at 6 and 30 months of age (both sexes included). We used magnetic resonance imaging to quantify concentrations of myelin in specific fiber tracts in the brain. Our central question was whether Language Environment Analysis (LENA) measures from in-home recording devices and SES measures of maternal education predicted myelin concentrations over the course of development. Results indicate that 30-month-old children exposed to larger amounts of in-home adult input showed more myelination in the white matter tracts most associated with language. Right hemisphere regions also show an association with SES, with older children from more highly educated mothers and exposed to more adult input, showing greater myelin concentrations in language-related areas. We discuss these results in relation to the current literature and implications for future research.\n            \n              SIGNIFICANCE STATEMENT\n              This is the first study to look at how brain myelination is impacted by language input and socioeconomic status early in development. We find robust relationships of both factors in language-related brain areas at 30 months of age.","container-title":"The Journal of Neuroscience","DOI":"10.1523/JNEUROSCI.1034-22.2023","ISSN":"0270-6474, 1529-2401","issue":"23","journalAbbreviation":"J. Neurosci.","language":"en","page":"4279-4290","source":"DOI.org (Crossref)","title":"Language Exposure and Brain Myelination in Early Development","volume":"43","author":[{"family":"Fibla","given":"Laia"},{"family":"Forbes","given":"Samuel H."},{"family":"McCarthy","given":"Jordan"},{"family":"Mee","given":"Kate"},{"family":"Magnotta","given":"Vincent"},{"family":"Deoni","given":"Sean"},{"family":"Cameron","given":"Donnie"},{"family":"Spencer","given":"John P."}],"issued":{"date-parts":[["2023",6,7]]}}}],"schema":"https://github.com/citation-style-language/schema/raw/master/csl-citation.json"} </w:instrText>
      </w:r>
      <w:r w:rsidR="00352423" w:rsidRPr="00D52239">
        <w:fldChar w:fldCharType="separate"/>
      </w:r>
      <w:r w:rsidR="00A323E5" w:rsidRPr="00A323E5">
        <w:t>(56)</w:t>
      </w:r>
      <w:r w:rsidR="00352423" w:rsidRPr="00D52239">
        <w:fldChar w:fldCharType="end"/>
      </w:r>
      <w:r w:rsidRPr="00D52239">
        <w:t xml:space="preserve"> In our study, we observed a positive association of EFNA4 with FA in the inferior longitudinal fasciculus and inferior fronto-occipital fasciculus in girls, which is an indirect marker of myelination. The inferior longitudinal fasciculus and inferior fronto-occipital fasciculus contribute to language comprehension and semantic processing, playing critical roles in the understanding and interpretation of language.</w:t>
      </w:r>
      <w:r w:rsidR="00352423" w:rsidRPr="00D52239">
        <w:fldChar w:fldCharType="begin"/>
      </w:r>
      <w:r w:rsidR="00A323E5">
        <w:instrText xml:space="preserve"> ADDIN ZOTERO_ITEM CSL_CITATION {"citationID":"blS39LFz","properties":{"formattedCitation":"(57,58)","plainCitation":"(57,58)","noteIndex":0},"citationItems":[{"id":1095,"uris":["http://zotero.org/users/11760769/items/PFLCSV8U"],"itemData":{"id":1095,"type":"article-journal","abstract":"Abstract\n            \n              Background\n              During the first 3-years of life, as the brain undergoes dramatic growth, children begin to develop speech and language. Hallmarks of this progression are seen when children reach developmental milestones, forming the foundation of language. Expressive language milestones, such as the production of a child’s first word, are delayed in 5–8% of children. While for some children delays in reaching these milestones are harbingers of developmental disorders, for others expressive language delays appear to resolve. Regardless of whether or not early language skills appear resolved, difficulty with later comprehension is a likely outcome. Whether this heightened risk for poor comprehension differs based on text features, individual characteristics, or receipt of intervention remains unknown. Moreover, this relationship between expressive language development and comprehension is not yet linked to neurobiology, though the inferior longitudinal fasciculus (ILF) is a potential neurobiological correlate. Therefore, we investigated the impact of, and interactions between, expressive language development, early intervention, and the ILF on comprehension.\n            \n            \n              Methods\n              Longitudinal recurrent survival analyses predicted the risk of answering a comprehension question incorrectly. Predictors of comprehension included expressive language development, passage features, participant characteristics, fractional anisotropy, receipt of early intervention, and later diagnosis of speech or language disorders.\n            \n            \n              Results\n              Children with later expressive language milestones had poorer comprehension. When comprehension text features were examined, children with later milestones had poorer listening and reading comprehension, and poorer narrative and expository comprehension. The left ILF acted as a neurodevelopmental correlate, one that moderated the relationship between expressive language milestones and comprehension. Specifically, the left ILF exacerbated the relationship for those who did not receive early intervention and buffered the relationship for those who received intervention services. Early intervention decreased the risk of poor comprehension by 39% for children later diagnosed with a speech or language disorder.\n            \n            \n              Conclusions\n              Early intervention should be provided for children with delayed expressive language milestones, particularly those who are at risk for speech or language disorders. The ILF plays a critical role in the relationship between expressive language development and comprehension, which may be that of a protective factor for children with the most severe early issues with speech and language.","container-title":"Journal of Neurodevelopmental Disorders","DOI":"10.1186/s11689-019-9296-7","ISSN":"1866-1947, 1866-1955","issue":"1","journalAbbreviation":"J Neurodevelop Disord","language":"en","page":"37","source":"DOI.org (Crossref)","title":"The impact of expressive language development and the left inferior longitudinal fasciculus on listening and reading comprehension","volume":"11","author":[{"family":"Del Tufo","given":"Stephanie N."},{"family":"Earle","given":"F. Sayako"},{"family":"Cutting","given":"Laurie E."}],"issued":{"date-parts":[["2019",12]]}}},{"id":1096,"uris":["http://zotero.org/users/11760769/items/VNPBIZMW"],"itemData":{"id":1096,"type":"article-journal","container-title":"Journal of Clinical Neuroscience","DOI":"10.1016/j.jocn.2019.07.039","ISSN":"09675868","journalAbbreviation":"Journal of Clinical Neuroscience","language":"en","page":"290-294","source":"DOI.org (Crossref)","title":"Inferior Fronto-Occipital fascicle anatomy in brain tumor surgeries: From anatomy lab to surgical theater","title-short":"Inferior Fronto-Occipital fascicle anatomy in brain tumor surgeries","volume":"68","author":[{"family":"Altieri","given":"Roberto"},{"family":"Melcarne","given":"Antonio"},{"family":"Junemann","given":"Carola"},{"family":"Zeppa","given":"Pietro"},{"family":"Zenga","given":"Francesco"},{"family":"Garbossa","given":"Diego"},{"family":"Certo","given":"Francesco"},{"family":"Barbagallo","given":"Giuseppe"}],"issued":{"date-parts":[["2019",10]]}}}],"schema":"https://github.com/citation-style-language/schema/raw/master/csl-citation.json"} </w:instrText>
      </w:r>
      <w:r w:rsidR="00352423" w:rsidRPr="00D52239">
        <w:fldChar w:fldCharType="separate"/>
      </w:r>
      <w:r w:rsidR="00A323E5" w:rsidRPr="00A323E5">
        <w:t>(57,58)</w:t>
      </w:r>
      <w:r w:rsidR="00352423" w:rsidRPr="00D52239">
        <w:fldChar w:fldCharType="end"/>
      </w:r>
      <w:r w:rsidRPr="00D52239">
        <w:t xml:space="preserve"> The associations of EFNA4 with FA in these white matter tracts in boys, though not significant, were in the opposite direction to those in girls. Another protein in the ephrin family, EFNA1, has shown sex-dimorphic gene expression patterns in Parkinson’s disease, with over-expression in male patients but under-expression in female patients compared to the corresponding sex-specific control groups.</w:t>
      </w:r>
      <w:r w:rsidR="00352423" w:rsidRPr="00D52239">
        <w:fldChar w:fldCharType="begin"/>
      </w:r>
      <w:r w:rsidR="00A323E5">
        <w:instrText xml:space="preserve"> ADDIN ZOTERO_ITEM CSL_CITATION {"citationID":"l30JvCOO","properties":{"formattedCitation":"(59)","plainCitation":"(59)","noteIndex":0},"citationItems":[{"id":1127,"uris":["http://zotero.org/users/11760769/items/EGUGRCJH"],"itemData":{"id":1127,"type":"article-journal","abstract":"Abstract\n            Parkinson’s disease (PD) is a heterogeneous disorder, and among the factors which influence the symptom profile, biological sex has been reported to play a significant role. While males have a higher age-adjusted disease incidence and are more frequently affected by muscle rigidity, females present more often with disabling tremors. The molecular mechanisms involved in these differences are still largely unknown, and an improved understanding of the relevant factors may open new avenues for pharmacological disease modification. To help address this challenge, we conducted a meta-analysis of disease-associated molecular sex differences in brain transcriptomics data from case/control studies. Both sex-specific (alteration in only one sex) and sex-dimorphic changes (changes in both sexes, but with opposite direction) were identified. Using further systems level pathway and network analyses, coordinated sex-related alterations were studied. These analyses revealed significant disease-associated sex differences in mitochondrial pathways and highlight specific regulatory factors whose activity changes can explain downstream network alterations, propagated through gene regulatory cascades. Single-cell expression data analyses confirmed the main pathway-level changes observed in bulk transcriptomics data. Overall, our analyses revealed significant sex disparities in PD-associated transcriptomic changes, resulting in coordinated modulations of molecular processes. Among the regulatory factors involved, NR4A2 has already been reported to harbor rare mutations in familial PD and its pharmacological activation confers neuroprotective effects in toxin-induced models of Parkinsonism. Our observations suggest that NR4A2 may warrant further research as a potential adjuvant therapeutic target to address a subset of pathological molecular features of PD that display sex-associated profiles.","container-title":"npj Parkinson's Disease","DOI":"10.1038/s41531-023-00446-8","ISSN":"2373-8057","issue":"1","journalAbbreviation":"npj Parkinsons Dis.","language":"en","page":"8","source":"DOI.org (Crossref)","title":"Systems level analysis of sex-dependent gene expression changes in Parkinson’s disease","volume":"9","author":[{"family":"Tranchevent","given":"Léon-Charles"},{"family":"Halder","given":"Rashi"},{"family":"Glaab","given":"Enrico"}],"issued":{"date-parts":[["2023",1,21]]}}}],"schema":"https://github.com/citation-style-language/schema/raw/master/csl-citation.json"} </w:instrText>
      </w:r>
      <w:r w:rsidR="00352423" w:rsidRPr="00D52239">
        <w:fldChar w:fldCharType="separate"/>
      </w:r>
      <w:r w:rsidR="00A323E5" w:rsidRPr="00A323E5">
        <w:t>(59)</w:t>
      </w:r>
      <w:r w:rsidR="00352423" w:rsidRPr="00D52239">
        <w:fldChar w:fldCharType="end"/>
      </w:r>
      <w:r w:rsidRPr="00D52239">
        <w:t xml:space="preserve"> Due to the binding preference of EFNA4, its interactions with Ephrin A receptors can vary by cellular context and developmental stage, which may explain the observed sex-dimorphic associations between EFNA4 and FA in the white matter tracts. Our study further revealed that the EPH-Ephrin signalling pathway, rather than the isolated expression of the EFNA4 protein, may play a role in language development. On the other hand, CNTN5 plays a pivotal role in maintaining neural circuitry within the auditory system and may be responsible for delayed auditory responses in children diagnosed with ASD.</w:t>
      </w:r>
      <w:r w:rsidR="00352423" w:rsidRPr="00D52239">
        <w:fldChar w:fldCharType="begin"/>
      </w:r>
      <w:r w:rsidR="00A323E5">
        <w:instrText xml:space="preserve"> ADDIN ZOTERO_ITEM CSL_CITATION {"citationID":"3AT4XY3V","properties":{"formattedCitation":"(60)","plainCitation":"(60)","noteIndex":0},"citationItems":[{"id":1028,"uris":["http://zotero.org/users/11760769/items/GIWJSP9Y"],"itemData":{"id":1028,"type":"article-journal","abstract":"Contactins are a group of cell adhesion molecules that are mainly expressed in the brain and play pivotal roles in the organization of axonal domains, axonal guidance, neuritogenesis, neuronal development, synapse formation and plasticity, axo-glia interactions and neural regeneration. Contactins comprise a family of six members. Their absence leads to malformed axons and impaired nerve conduction. Contactin mediated protein complex formation is critical for the organization of the axon in early central nervous system development. Mutations and differential expression of contactins have been identified in neuro-developmental or neurological disorders. Taken together, contactins are extensively studied in the context of nervous system development. This review summarizes the physiological roles of all six members of the Contactin family in neurodevelopment as well as their involvement in neurological/neurodevelopmental disorders.","container-title":"Neural Regeneration Research","DOI":"10.4103/1673-5374.244776","ISSN":"1673-5374","issue":"2","journalAbbreviation":"Neural Regen Res","language":"eng","note":"PMID: 30530999\nPMCID: PMC6301169","page":"206-216","source":"PubMed","title":"Contactins in the central nervous system: role in health and disease","title-short":"Contactins in the central nervous system","volume":"14","author":[{"family":"Chatterjee","given":"Madhurima"},{"family":"Schild","given":"Detlev"},{"family":"Teunissen","given":"Charlotte E."}],"issued":{"date-parts":[["2019",2]]}}}],"schema":"https://github.com/citation-style-language/schema/raw/master/csl-citation.json"} </w:instrText>
      </w:r>
      <w:r w:rsidR="00352423" w:rsidRPr="00D52239">
        <w:fldChar w:fldCharType="separate"/>
      </w:r>
      <w:r w:rsidR="00A323E5" w:rsidRPr="00A323E5">
        <w:t>(60)</w:t>
      </w:r>
      <w:r w:rsidR="00352423" w:rsidRPr="00D52239">
        <w:fldChar w:fldCharType="end"/>
      </w:r>
      <w:r w:rsidR="007F27EA" w:rsidRPr="007F27EA">
        <w:t xml:space="preserve"> </w:t>
      </w:r>
      <w:r w:rsidR="007F27EA" w:rsidRPr="00D52239">
        <w:t xml:space="preserve">VWC2 functions as an antagonist to bone morphogenetic proteins (BMPs), which are essential in the development of the central </w:t>
      </w:r>
      <w:r w:rsidR="007F27EA" w:rsidRPr="00D52239">
        <w:lastRenderedPageBreak/>
        <w:t>nervous system</w:t>
      </w:r>
      <w:r w:rsidRPr="00D52239">
        <w:t>.</w:t>
      </w:r>
      <w:r w:rsidR="00352423" w:rsidRPr="00D52239">
        <w:fldChar w:fldCharType="begin"/>
      </w:r>
      <w:r w:rsidR="00A323E5">
        <w:instrText xml:space="preserve"> ADDIN ZOTERO_ITEM CSL_CITATION {"citationID":"fI2unegU","properties":{"formattedCitation":"(61)","plainCitation":"(61)","noteIndex":0},"citationItems":[{"id":1030,"uris":["http://zotero.org/users/11760769/items/HVCHRC2W"],"itemData":{"id":1030,"type":"article-journal","container-title":"Experimental Neurology","DOI":"10.1016/j.expneurol.2020.113455","ISSN":"00144886","journalAbbreviation":"Experimental Neurology","language":"en","page":"113455","source":"DOI.org (Crossref)","title":"Bone morphogenetic proteins: New insights into their roles and mechanisms in CNS development, pathology and repair","title-short":"Bone morphogenetic proteins","volume":"334","author":[{"family":"Hart","given":"Christopher G."},{"family":"Karimi-Abdolrezaee","given":"Soheila"}],"issued":{"date-parts":[["2020",12]]}}}],"schema":"https://github.com/citation-style-language/schema/raw/master/csl-citation.json"} </w:instrText>
      </w:r>
      <w:r w:rsidR="00352423" w:rsidRPr="00D52239">
        <w:fldChar w:fldCharType="separate"/>
      </w:r>
      <w:r w:rsidR="00A323E5" w:rsidRPr="00A323E5">
        <w:t>(61)</w:t>
      </w:r>
      <w:r w:rsidR="00352423" w:rsidRPr="00D52239">
        <w:fldChar w:fldCharType="end"/>
      </w:r>
      <w:r w:rsidRPr="00D52239">
        <w:t xml:space="preserve"> </w:t>
      </w:r>
      <w:r w:rsidR="007F27EA" w:rsidRPr="00D52239">
        <w:t>However, it is less clear how VWC2 may be implicated in early-life language development.</w:t>
      </w:r>
      <w:r w:rsidR="007F27EA">
        <w:t xml:space="preserve"> </w:t>
      </w:r>
      <w:r w:rsidRPr="00D52239">
        <w:t xml:space="preserve">The associations of CNTN5 and VWC2 with FA in the white matter tracts were not as strong as those observed for EFNA4, suggesting different biological mechanisms may be involved. </w:t>
      </w:r>
      <w:r w:rsidR="00540CF2">
        <w:t>Our investigation did not support mediating mechanisms underlying the effect of polygenic risk for obesity on language development via EFNA4</w:t>
      </w:r>
      <w:r w:rsidR="003F3998">
        <w:t>; however</w:t>
      </w:r>
      <w:r w:rsidR="00480F08">
        <w:t xml:space="preserve">, polygenic risk for obesity may influence multiple proteins </w:t>
      </w:r>
      <w:r w:rsidR="00C4560F">
        <w:t xml:space="preserve">relevant to the </w:t>
      </w:r>
      <w:r w:rsidR="00540CF2" w:rsidRPr="00D52239">
        <w:t xml:space="preserve">EPH-Ephrin signalling </w:t>
      </w:r>
      <w:r w:rsidR="00C4560F">
        <w:t xml:space="preserve">pathway, which was </w:t>
      </w:r>
      <w:r w:rsidR="00C23C33">
        <w:t>associated with language score in this study</w:t>
      </w:r>
      <w:r w:rsidR="00540CF2">
        <w:t>.</w:t>
      </w:r>
      <w:r w:rsidR="00C23C33" w:rsidRPr="00C23C33">
        <w:t xml:space="preserve"> </w:t>
      </w:r>
      <w:r w:rsidR="00E24BA8">
        <w:t xml:space="preserve">This suggests </w:t>
      </w:r>
      <w:r w:rsidR="002E45C8">
        <w:t xml:space="preserve">a </w:t>
      </w:r>
      <w:r w:rsidR="00E24BA8">
        <w:t xml:space="preserve">more comprehensive </w:t>
      </w:r>
      <w:r w:rsidR="00E24BA8" w:rsidRPr="00D52239">
        <w:t>early-life proteomic profil</w:t>
      </w:r>
      <w:r w:rsidR="002E45C8">
        <w:t>ing</w:t>
      </w:r>
      <w:r w:rsidR="00E24BA8" w:rsidRPr="00D52239">
        <w:t xml:space="preserve"> </w:t>
      </w:r>
      <w:r w:rsidR="001D4740">
        <w:t>warrants</w:t>
      </w:r>
      <w:r w:rsidR="00E24BA8" w:rsidRPr="00D52239">
        <w:t xml:space="preserve"> further investigation</w:t>
      </w:r>
      <w:r w:rsidR="00E24BA8">
        <w:t xml:space="preserve"> </w:t>
      </w:r>
      <w:r w:rsidR="00514A85">
        <w:t>to unravel</w:t>
      </w:r>
      <w:r w:rsidR="00E24BA8">
        <w:t xml:space="preserve"> the link between cardiometabolic health and </w:t>
      </w:r>
      <w:r w:rsidR="00E24BA8" w:rsidRPr="00D52239">
        <w:t>neurodevelopment at the molecular level</w:t>
      </w:r>
      <w:r w:rsidR="00E24BA8">
        <w:t>.</w:t>
      </w:r>
      <w:r w:rsidR="00425E23">
        <w:t xml:space="preserve"> </w:t>
      </w:r>
    </w:p>
    <w:p w14:paraId="7C2699F4" w14:textId="3B1E1AFC" w:rsidR="002D55C3" w:rsidRDefault="00425E23" w:rsidP="002D55C3">
      <w:pPr>
        <w:spacing w:after="200"/>
      </w:pPr>
      <w:r w:rsidRPr="00D52239">
        <w:t>Recent studies have highlighted the potential of large-scale plasma proteomics in elucidating the complexities of human health and ageing.</w:t>
      </w:r>
      <w:r w:rsidRPr="00D52239">
        <w:fldChar w:fldCharType="begin"/>
      </w:r>
      <w:r w:rsidR="00A323E5">
        <w:instrText xml:space="preserve"> ADDIN ZOTERO_ITEM CSL_CITATION {"citationID":"DUZq5PTz","properties":{"formattedCitation":"(62,63)","plainCitation":"(62,63)","noteIndex":0},"citationItems":[{"id":1126,"uris":["http://zotero.org/users/11760769/items/6C53ZWXU"],"itemData":{"id":1126,"type":"article-journal","abstract":"Abstract\n            \n              Animal studies show aging varies between individuals as well as between organs within an individual\n              1–4\n              , but whether this is true in humans and its effect on age-related diseases is unknown. We utilized levels of human blood plasma proteins originating from specific organs to measure organ-specific aging differences in living individuals. Using machine learning models, we analysed aging in 11 major organs and estimated organ age reproducibly in five independent cohorts encompassing 5,676 adults across the human lifespan. We discovered nearly 20% of the population show strongly accelerated age in one organ and 1.7% are multi-organ agers. Accelerated organ aging confers 20–50% higher mortality risk, and organ-specific diseases relate to faster aging of those organs. We find individuals with accelerated heart aging have a 250% increased heart failure risk and accelerated brain and vascular aging predict Alzheimer’s disease (AD) progression independently from and as strongly as plasma pTau-181 (ref.\n              5\n              ), the current best blood-based biomarker for AD. Our models link vascular calcification, extracellular matrix alterations and synaptic protein shedding to early cognitive decline. We introduce a simple and interpretable method to study organ aging using plasma proteomics data, predicting diseases and aging effects.","container-title":"Nature","DOI":"10.1038/s41586-023-06802-1","ISSN":"0028-0836, 1476-4687","issue":"7990","journalAbbreviation":"Nature","language":"en","page":"164-172","source":"DOI.org (Crossref)","title":"Organ aging signatures in the plasma proteome track health and disease","volume":"624","author":[{"family":"Oh","given":"Hamilton Se-Hwee"},{"family":"Rutledge","given":"Jarod"},{"family":"Nachun","given":"Daniel"},{"family":"Pálovics","given":"Róbert"},{"family":"Abiose","given":"Olamide"},{"family":"Moran-Losada","given":"Patricia"},{"family":"Channappa","given":"Divya"},{"family":"Urey","given":"Deniz Yagmur"},{"family":"Kim","given":"Kate"},{"family":"Sung","given":"Yun Ju"},{"family":"Wang","given":"Lihua"},{"family":"Timsina","given":"Jigyasha"},{"family":"Western","given":"Dan"},{"family":"Liu","given":"Menghan"},{"family":"Kohlfeld","given":"Pat"},{"family":"Budde","given":"John"},{"family":"Wilson","given":"Edward N."},{"family":"Guen","given":"Yann"},{"family":"Maurer","given":"Taylor M."},{"family":"Haney","given":"Michael"},{"family":"Yang","given":"Andrew C."},{"family":"He","given":"Zihuai"},{"family":"Greicius","given":"Michael D."},{"family":"Andreasson","given":"Katrin I."},{"family":"Sathyan","given":"Sanish"},{"family":"Weiss","given":"Erica F."},{"family":"Milman","given":"Sofiya"},{"family":"Barzilai","given":"Nir"},{"family":"Cruchaga","given":"Carlos"},{"family":"Wagner","given":"Anthony D."},{"family":"Mormino","given":"Elizabeth"},{"family":"Lehallier","given":"Benoit"},{"family":"Henderson","given":"Victor W."},{"family":"Longo","given":"Frank M."},{"family":"Montgomery","given":"Stephen B."},{"family":"Wyss-Coray","given":"Tony"}],"issued":{"date-parts":[["2023",12,7]]}}},{"id":888,"uris":["http://zotero.org/users/11760769/items/RSD8PZKA"],"itemData":{"id":888,"type":"article-journal","abstract":"Abstract\n            Developing a single-domain assay to identify individuals at high risk of future events is a priority for multi-disease and mortality prevention. By training a neural network, we developed a disease/mortality-specific proteomic risk score (ProRS) based on 1461 Olink plasma proteins measured in 52,006 UK Biobank participants. This integrative score markedly stratified the risk for 45 common conditions, including infectious, hematological, endocrine, psychiatric, neurological, sensory, circulatory, respiratory, digestive, cutaneous, musculoskeletal, and genitourinary diseases, cancers, and mortality. The discriminations witnessed high accuracies achieved by ProRS for 10 endpoints (e.g., cancer, dementia, and death), with C-indexes exceeding 0.80. Notably, ProRS produced much better or equivalent predictive performance than established clinical indicators for almost all endpoints. Incorporating clinical predictors with ProRS enhanced predictive power for most endpoints, but this combination only exhibited limited improvement when compared to ProRS alone. Some proteins, e.g., GDF15, exhibited important discriminative values for various diseases. We also showed that the good discriminative performance observed could be largely translated into practical clinical utility. Taken together, proteomic profiles may serve as a replacement for complex laboratory tests or clinical measures to refine the comprehensive risk assessments of multiple diseases and mortalities simultaneously. Our models were internally validated in the UK Biobank; thus, further independent external validations are necessary to confirm our findings before application in clinical settings.","container-title":"Nature Communications","DOI":"10.1038/s41467-023-43575-7","ISSN":"2041-1723","issue":"1","journalAbbreviation":"Nat Commun","language":"en","page":"7817","source":"DOI.org (Crossref)","title":"Plasma proteomic profiles predict individual future health risk","volume":"14","author":[{"family":"You","given":"Jia"},{"family":"Guo","given":"Yu"},{"family":"Zhang","given":"Yi"},{"family":"Kang","given":"Ju-Jiao"},{"family":"Wang","given":"Lin-Bo"},{"family":"Feng","given":"Jian-Feng"},{"family":"Cheng","given":"Wei"},{"family":"Yu","given":"Jin-Tai"}],"issued":{"date-parts":[["2023",11,28]]}}}],"schema":"https://github.com/citation-style-language/schema/raw/master/csl-citation.json"} </w:instrText>
      </w:r>
      <w:r w:rsidRPr="00D52239">
        <w:fldChar w:fldCharType="separate"/>
      </w:r>
      <w:r w:rsidR="00A323E5" w:rsidRPr="00A323E5">
        <w:t>(62,63)</w:t>
      </w:r>
      <w:r w:rsidRPr="00D52239">
        <w:fldChar w:fldCharType="end"/>
      </w:r>
      <w:r w:rsidR="00947F77">
        <w:t xml:space="preserve"> </w:t>
      </w:r>
      <w:r w:rsidR="00BF4CB6">
        <w:t xml:space="preserve">Early-life proteomics can provide insight into human development which lay a foundation for future health trajectories. </w:t>
      </w:r>
      <w:r w:rsidR="00E22D60" w:rsidRPr="00D52239">
        <w:t>Specifically, EFNA4</w:t>
      </w:r>
      <w:r w:rsidR="00E22D60">
        <w:t xml:space="preserve"> and</w:t>
      </w:r>
      <w:r w:rsidR="00E22D60" w:rsidRPr="00D52239">
        <w:t xml:space="preserve"> VWC2</w:t>
      </w:r>
      <w:r w:rsidR="00E22D60">
        <w:t xml:space="preserve"> </w:t>
      </w:r>
      <w:r w:rsidR="00E22D60" w:rsidRPr="00D52239">
        <w:t>exhibit inverse associations with general fluid cognitive ability in later life, whereas CNTN5 is positively associated with a general factor of FA derived from multiple white matter tracts.</w:t>
      </w:r>
      <w:r w:rsidR="00E22D60" w:rsidRPr="00D52239">
        <w:fldChar w:fldCharType="begin"/>
      </w:r>
      <w:r w:rsidR="00A323E5">
        <w:instrText xml:space="preserve"> ADDIN ZOTERO_ITEM CSL_CITATION {"citationID":"jop2khc0","properties":{"formattedCitation":"(64)","plainCitation":"(64)","noteIndex":0},"citationItems":[{"id":849,"uris":["http://zotero.org/users/11760769/items/U9KV5VGJ"],"itemData":{"id":849,"type":"article-journal","abstract":"Abstract\n            Identifying biological correlates of late life cognitive function is important if we are to ascertain biomarkers for, and develop treatments to help reduce, age-related cognitive decline. Here, we investigated the associations between plasma levels of 90 neurology-related proteins (Olink® Proteomics) and general fluid cognitive ability in the Lothian Birth Cohort 1936 (LBC1936, N = 798), Lothian Birth Cohort 1921 (LBC1921, N = 165), and the INTERVAL BioResource (N = 4451). In the LBC1936, 22 of the proteins were significantly associated with general fluid cognitive ability (β between −0.11 and −0.17). MRI-assessed total brain volume partially mediated the association between 10 of these proteins and general fluid cognitive ability. In an age-matched subsample of INTERVAL, effect sizes for the 22 proteins, although smaller, were all in the same direction as in LBC1936. Plasma levels of a number of neurology-related proteins are associated with general fluid cognitive ability in later life, mediated by brain volume in some cases.","container-title":"Nature Communications","DOI":"10.1038/s41467-019-14161-7","ISSN":"2041-1723","issue":"1","journalAbbreviation":"Nat Commun","language":"en","page":"800","source":"DOI.org (Crossref)","title":"Neurology-related protein biomarkers are associated with cognitive ability and brain volume in older age","volume":"11","author":[{"family":"Harris","given":"Sarah E."},{"family":"Cox","given":"Simon R."},{"family":"Bell","given":"Steven"},{"family":"Marioni","given":"Riccardo E."},{"family":"Prins","given":"Bram P."},{"family":"Pattie","given":"Alison"},{"family":"Corley","given":"Janie"},{"family":"Muñoz Maniega","given":"Susana"},{"family":"Valdés Hernández","given":"Maria"},{"family":"Morris","given":"Zoe"},{"family":"John","given":"Sally"},{"family":"Bronson","given":"Paola G."},{"family":"Tucker-Drob","given":"Elliot M."},{"family":"Starr","given":"John M."},{"family":"Bastin","given":"Mark E."},{"family":"Wardlaw","given":"Joanna M."},{"family":"Butterworth","given":"Adam S."},{"family":"Deary","given":"Ian J."}],"issued":{"date-parts":[["2020",2,10]]}}}],"schema":"https://github.com/citation-style-language/schema/raw/master/csl-citation.json"} </w:instrText>
      </w:r>
      <w:r w:rsidR="00E22D60" w:rsidRPr="00D52239">
        <w:fldChar w:fldCharType="separate"/>
      </w:r>
      <w:r w:rsidR="00A323E5" w:rsidRPr="00A323E5">
        <w:t>(64)</w:t>
      </w:r>
      <w:r w:rsidR="00E22D60" w:rsidRPr="00D52239">
        <w:fldChar w:fldCharType="end"/>
      </w:r>
      <w:r w:rsidR="00E22D60" w:rsidRPr="00D52239">
        <w:t xml:space="preserve"> These observations in the older population align with our findings in the younger population, suggesting the relevance of these proteins in early-life neurodevelopment and lifelong cognitive health.</w:t>
      </w:r>
      <w:r w:rsidR="00E22D60">
        <w:t xml:space="preserve"> </w:t>
      </w:r>
      <w:r w:rsidR="00A67EFF">
        <w:t>In this study, we also found that g</w:t>
      </w:r>
      <w:r w:rsidR="007C7450" w:rsidRPr="00D52239">
        <w:t>enetic risk for obesity exhibited a stronger association with MSR1, which is involved in regulating immune response and inflammatory response.</w:t>
      </w:r>
      <w:r w:rsidR="00352423" w:rsidRPr="00D52239">
        <w:fldChar w:fldCharType="begin"/>
      </w:r>
      <w:r w:rsidR="00A323E5">
        <w:instrText xml:space="preserve"> ADDIN ZOTERO_ITEM CSL_CITATION {"citationID":"aGIPo8fW","properties":{"formattedCitation":"(65)","plainCitation":"(65)","noteIndex":0},"citationItems":[{"id":1038,"uris":["http://zotero.org/users/11760769/items/V9UL78W4"],"itemData":{"id":1038,"type":"article-journal","abstract":"Macrophage scavenger receptor 1 (MSR1), also named CD204, holds key inflammatory roles in multiple pathophysiologic processes. Present primarily on the surface of various types of macrophage, this receptor variably affects processes such as atherosclerosis, innate and adaptive immunity, lung and liver disease, and more recently, cancer. As highlighted throughout this review, the role of MSR1 is often dichotomous, being either host protective or detrimental to the pathogenesis of disease. We will discuss the role of MSR1 in health and disease with a focus on the molecular mechanisms influencing MSR1 expression, how altered expression affects disease process and macrophage function, the limited cell signalling pathways discovered thus far, the emerging role of MSR1 in tumour associated macrophages as well as the therapeutic potential of targeting MSR1.","container-title":"Frontiers in Immunology","DOI":"10.3389/fimmu.2022.1012002","ISSN":"1664-3224","journalAbbreviation":"Front Immunol","language":"eng","note":"PMID: 36325338\nPMCID: PMC9618966","page":"1012002","source":"PubMed","title":"The role of macrophage scavenger receptor 1 (MSR1) in inflammatory disorders and cancer","volume":"13","author":[{"family":"Gudgeon","given":"Jack"},{"family":"Marín-Rubio","given":"José Luis"},{"family":"Trost","given":"Matthias"}],"issued":{"date-parts":[["2022"]]}}}],"schema":"https://github.com/citation-style-language/schema/raw/master/csl-citation.json"} </w:instrText>
      </w:r>
      <w:r w:rsidR="00352423" w:rsidRPr="00D52239">
        <w:fldChar w:fldCharType="separate"/>
      </w:r>
      <w:r w:rsidR="00A323E5" w:rsidRPr="00A323E5">
        <w:t>(65)</w:t>
      </w:r>
      <w:r w:rsidR="00352423" w:rsidRPr="00D52239">
        <w:fldChar w:fldCharType="end"/>
      </w:r>
      <w:r w:rsidR="007C7450" w:rsidRPr="00D52239">
        <w:t xml:space="preserve"> It also mediates the uptake of modified low-density lipoprotein (LDL), particularly oxidised LDL,</w:t>
      </w:r>
      <w:r w:rsidR="00352423" w:rsidRPr="00D52239">
        <w:fldChar w:fldCharType="begin"/>
      </w:r>
      <w:r w:rsidR="00A323E5">
        <w:instrText xml:space="preserve"> ADDIN ZOTERO_ITEM CSL_CITATION {"citationID":"EuhZETBo","properties":{"formattedCitation":"(66)","plainCitation":"(66)","noteIndex":0},"citationItems":[{"id":1041,"uris":["http://zotero.org/users/11760769/items/HJYX34DW"],"itemData":{"id":1041,"type":"article-journal","abstract":"Macrophages are centrally involved during atherosclerosis development and are the predominant cell type that accumulates cholesterol in the plaque. Macrophages however, are heterogeneous in nature reflecting a variety of microenvironments and different phenotypes may be more prone to contribute towards atherosclerosis progression. Using primary human monocyte-derived macrophages, we sought to evaluate one aspect of atherogenic potential of different macrophage phenotypes by determining their propensity to associate with and accumulate oxidized low density lipoprotein (oxLDL). Classically-activated macrophages treated simultaneously with interferon γ (IFNγ) and tumor necrosis factor α (TNFα) associated with less oxLDL and accumulated less cholesterol compared to untreated controls. The combined treatment of IFNγ and TNFα reduced the mRNA expression of CD36 and the expression of both cell surface CD36 and macrophage scavenger receptor 1 (MSR1) protein. Under oxLDL loaded conditions, IFNγ and TNFα did not reduce macrophage protein expression of the transcription factor peroxisome proliferator-actived receptor γ (PPARγ) which is known to positively regulate CD36 expression. However, macrophages treated with IFNγ attenuated the ability of the PPARγ-specific agonist rosiglitazone from upregulating cell surface CD36 protein expression. Our results demonstrate that the observed reduction of cholesterol accumulation in macrophages treated with IFNγ and TNFα following oxLDL treatment was due at least in part to reduced cell surface CD36 and MSR1 protein expression.","container-title":"Biochimica Et Biophysica Acta","DOI":"10.1016/j.bbalip.2012.10.009","ISSN":"0006-3002","issue":"2","journalAbbreviation":"Biochim Biophys Acta","language":"eng","note":"PMID: 23142249\nPMCID: PMC3569505","page":"378-386","source":"PubMed","title":"Macrophage heterogeneity and cholesterol homeostasis: classically-activated macrophages are associated with reduced cholesterol accumulation following treatment with oxidized LDL","title-short":"Macrophage heterogeneity and cholesterol homeostasis","volume":"1831","author":[{"family":"Chu","given":"Eugene M."},{"family":"Tai","given":"Daven C."},{"family":"Beer","given":"Jennifer L."},{"family":"Hill","given":"John S."}],"issued":{"date-parts":[["2013",2]]}}}],"schema":"https://github.com/citation-style-language/schema/raw/master/csl-citation.json"} </w:instrText>
      </w:r>
      <w:r w:rsidR="00352423" w:rsidRPr="00D52239">
        <w:fldChar w:fldCharType="separate"/>
      </w:r>
      <w:r w:rsidR="00A323E5" w:rsidRPr="00A323E5">
        <w:t>(66)</w:t>
      </w:r>
      <w:r w:rsidR="00352423" w:rsidRPr="00D52239">
        <w:fldChar w:fldCharType="end"/>
      </w:r>
      <w:r w:rsidR="007C7450" w:rsidRPr="00D52239">
        <w:t xml:space="preserve"> which may have implications for cognitive decline and neurodegeneration.</w:t>
      </w:r>
      <w:r w:rsidR="00352423" w:rsidRPr="00D52239">
        <w:fldChar w:fldCharType="begin"/>
      </w:r>
      <w:r w:rsidR="00A323E5">
        <w:instrText xml:space="preserve"> ADDIN ZOTERO_ITEM CSL_CITATION {"citationID":"zAL7Need","properties":{"formattedCitation":"(67,68)","plainCitation":"(67,68)","noteIndex":0},"citationItems":[{"id":1043,"uris":["http://zotero.org/users/11760769/items/75CPY45E"],"itemData":{"id":1043,"type":"article-journal","abstract":"Alzheimer's disease (AD), the most common neurodegenerative disorder associated with dementia, is typified by the pathological accumulation of amyloid Aβ peptides and neurofibrillary tangles (NFT) within the brain. Considerable evidence indicates that many events contribute to AD progression, including oxidative stress, inflammation, and altered cholesterol metabolism. The brain's high lipid content makes it particularly vulnerable to oxidative species, with the consequent enhancement of lipid peroxidation and cholesterol oxidation, and the subsequent formation of end products, mainly 4-hydroxynonenal and oxysterols, respectively from the two processes. The chronic inflammatory events observed in the AD brain include activation of microglia and astrocytes, together with enhancement of inflammatory molecule and free radical release. Along with glial cells, neurons themselves have been found to contribute to neuroinflammation in the AD brain, by serving as sources of inflammatory mediators. Oxidative stress is intimately associated with neuroinflammation, and a vicious circle has been found to connect oxidative stress and inflammation in AD. Alongside oxidative stress and inflammation, altered cholesterol metabolism and hypercholesterolemia also significantly contribute to neuronal damage and to progression of AD. Increasing evidence is now consolidating the hypothesis that oxidized cholesterol is the driving force behind the development of AD, and that oxysterols are the link connecting the disease to altered cholesterol metabolism in the brain and hypercholesterolemia; this is because of the ability of oxysterols, unlike cholesterol, to cross the blood brain barrier (BBB). The key role of oxysterols in AD pathogenesis has been strongly supported by research pointing to their involvement in modulating neuroinflammation, Aβ accumulation, and cell death. This review highlights the key role played by cholesterol and oxysterols in the brain in AD pathogenesis.","container-title":"Frontiers in Aging Neuroscience","DOI":"10.3389/fnagi.2015.00119","ISSN":"1663-4365","journalAbbreviation":"Front Aging Neurosci","language":"eng","note":"PMID: 26150787\nPMCID: PMC4473000","page":"119","source":"PubMed","title":"Oxidized cholesterol as the driving force behind the development of Alzheimer's disease","volume":"7","author":[{"family":"Gamba","given":"Paola"},{"family":"Testa","given":"Gabriella"},{"family":"Gargiulo","given":"Simona"},{"family":"Staurenghi","given":"Erica"},{"family":"Poli","given":"Giuseppe"},{"family":"Leonarduzzi","given":"Gabriella"}],"issued":{"date-parts":[["2015"]]}}},{"id":1027,"uris":["http://zotero.org/users/11760769/items/ARWNKW95"],"itemData":{"id":1027,"type":"article-journal","abstract":"Abstract\n            \n              Identifying circulating proteins associated with cognitive function may point to biomarkers and molecular process of cognitive impairment. Few studies have investigated the association between circulating proteins and cognitive function. We identify 246 protein measures quantified by the SomaScan assay as associated with cognitive function (\n              p\n               &lt; 4.9E-5, n up to 7289). Of these, 45 were replicated using SomaScan data, and three were replicated using Olink data at Bonferroni-corrected significance. Enrichment analysis linked the proteins associated with general cognitive function to cell signaling pathways and synapse architecture. Mendelian randomization analysis implicated higher levels of NECTIN2, a protein mediating viral entry into neuronal cells, with higher Alzheimer’s disease (AD) risk (\n              p\n               = 2.5E-26). Levels of 14 other protein measures were implicated as consequences of AD susceptibility (\n              p\n               &lt; 2.0E-4). Proteins implicated as causes or consequences of AD susceptibility may provide new insight into the potential relationship between immunity and AD susceptibility as well as potential therapeutic targets.","container-title":"Communications Biology","DOI":"10.1038/s42003-023-05454-1","ISSN":"2399-3642","issue":"1","journalAbbreviation":"Commun Biol","language":"en","page":"1117","source":"DOI.org (Crossref)","title":"Identification of circulating proteins associated with general cognitive function among middle-aged and older adults","volume":"6","author":[{"family":"Tin","given":"Adrienne"},{"family":"Fohner","given":"Alison E."},{"family":"Yang","given":"Qiong"},{"family":"Brody","given":"Jennifer A."},{"family":"Davies","given":"Gail"},{"family":"Yao","given":"Jie"},{"family":"Liu","given":"Dan"},{"family":"Caro","given":"Ilana"},{"family":"Lindbohm","given":"Joni V."},{"family":"Duggan","given":"Michael R."},{"family":"Meirelles","given":"Osorio"},{"family":"Harris","given":"Sarah E."},{"family":"Gudmundsdottir","given":"Valborg"},{"family":"Taylor","given":"Adele M."},{"family":"Henry","given":"Albert"},{"family":"Beiser","given":"Alexa S."},{"family":"Shojaie","given":"Ali"},{"family":"Coors","given":"Annabell"},{"family":"Fitzpatrick","given":"Annette L."},{"family":"Langenberg","given":"Claudia"},{"family":"Satizabal","given":"Claudia L."},{"family":"Sitlani","given":"Colleen M."},{"family":"Wheeler","given":"Eleanor"},{"family":"Tucker-Drob","given":"Elliot M."},{"family":"Bressler","given":"Jan"},{"family":"Coresh","given":"Josef"},{"family":"Bis","given":"Joshua C."},{"family":"Candia","given":"Julián"},{"family":"Jennings","given":"Lori L."},{"family":"Pietzner","given":"Maik"},{"family":"Lathrop","given":"Mark"},{"family":"Lopez","given":"Oscar L."},{"family":"Redmond","given":"Paul"},{"family":"Gerszten","given":"Robert E."},{"family":"Rich","given":"Stephen S."},{"family":"Heckbert","given":"Susan R."},{"family":"Austin","given":"Thomas R."},{"family":"Hughes","given":"Timothy M."},{"family":"Tanaka","given":"Toshiko"},{"family":"Emilsson","given":"Valur"},{"family":"Vasan","given":"Ramachandran S."},{"family":"Guo","given":"Xiuqing"},{"family":"Zhu","given":"Yineng"},{"family":"Tzourio","given":"Christophe"},{"family":"Rotter","given":"Jerome I."},{"family":"Walker","given":"Keenan A."},{"family":"Ferrucci","given":"Luigi"},{"family":"Kivimäki","given":"Mika"},{"family":"Breteler","given":"Monique M. B."},{"family":"Cox","given":"Simon R."},{"family":"Debette","given":"Stephanie"},{"family":"Mosley","given":"Thomas H."},{"family":"Gudnason","given":"Vilmundur G."},{"family":"Launer","given":"Lenore J."},{"family":"Psaty","given":"Bruce M."},{"family":"Seshadri","given":"Sudha"},{"family":"Fornage","given":"Myriam"}],"issued":{"date-parts":[["2023",11,3]]}}}],"schema":"https://github.com/citation-style-language/schema/raw/master/csl-citation.json"} </w:instrText>
      </w:r>
      <w:r w:rsidR="00352423" w:rsidRPr="00D52239">
        <w:fldChar w:fldCharType="separate"/>
      </w:r>
      <w:r w:rsidR="00A323E5" w:rsidRPr="00A323E5">
        <w:t>(67,68)</w:t>
      </w:r>
      <w:r w:rsidR="00352423" w:rsidRPr="00D52239">
        <w:fldChar w:fldCharType="end"/>
      </w:r>
      <w:r w:rsidR="007C7450" w:rsidRPr="00D52239">
        <w:t xml:space="preserve"> </w:t>
      </w:r>
      <w:r w:rsidR="00A67EFF">
        <w:t>Although</w:t>
      </w:r>
      <w:r w:rsidR="007C1477">
        <w:t xml:space="preserve"> we did not find an association between MSR1 and language development, </w:t>
      </w:r>
      <w:r w:rsidR="003A6861">
        <w:t>it has been associated with lower</w:t>
      </w:r>
      <w:r w:rsidR="00C349DF" w:rsidRPr="00D52239">
        <w:t xml:space="preserve"> general fluid cognitive ability</w:t>
      </w:r>
      <w:r w:rsidR="008349E1">
        <w:t xml:space="preserve"> and</w:t>
      </w:r>
      <w:r w:rsidR="002D55C3">
        <w:t xml:space="preserve"> </w:t>
      </w:r>
      <w:r w:rsidR="002D55C3" w:rsidRPr="002D55C3">
        <w:t>white matter hyperintensity volume</w:t>
      </w:r>
      <w:r w:rsidR="00150780">
        <w:t>, which is correlated with cognitive impairment,</w:t>
      </w:r>
      <w:r w:rsidR="008349E1">
        <w:t xml:space="preserve"> </w:t>
      </w:r>
      <w:r w:rsidR="00C349DF" w:rsidRPr="00D52239">
        <w:t>in later life</w:t>
      </w:r>
      <w:r w:rsidR="002D55C3">
        <w:t xml:space="preserve">. </w:t>
      </w:r>
    </w:p>
    <w:p w14:paraId="2E50BDB1" w14:textId="64B4E9D8" w:rsidR="00E719FC" w:rsidRPr="00D52239" w:rsidRDefault="007C7450" w:rsidP="002D55C3">
      <w:pPr>
        <w:spacing w:after="200"/>
      </w:pPr>
      <w:r w:rsidRPr="00D52239">
        <w:t>Limitations exist in this study of complex traits. First, language development in the GUSTO children was assessed using English-based tests. We were not able to take into account the mother tongue languages in the multi-ethnic setting in Singapore, e.g., Chinese, Malay, and Tamil/Non-Tamil Indian languages. However, functional magnetic resonance imaging (fMRI) investigation showed that the neural architecture of the language network is consistent across speakers of 45 different languages.</w:t>
      </w:r>
      <w:r w:rsidR="00352423" w:rsidRPr="00D52239">
        <w:fldChar w:fldCharType="begin"/>
      </w:r>
      <w:r w:rsidR="00A323E5">
        <w:instrText xml:space="preserve"> ADDIN ZOTERO_ITEM CSL_CITATION {"citationID":"Oevbol4H","properties":{"formattedCitation":"(69)","plainCitation":"(69)","noteIndex":0},"citationItems":[{"id":1073,"uris":["http://zotero.org/users/11760769/items/KKVA84XJ"],"itemData":{"id":1073,"type":"article-journal","container-title":"Nature Neuroscience","DOI":"10.1038/s41593-022-01114-5","ISSN":"1097-6256, 1546-1726","issue":"8","journalAbbreviation":"Nat Neurosci","language":"en","page":"1014-1019","source":"DOI.org (Crossref)","title":"An investigation across 45 languages and 12 language families reveals a universal language network","volume":"25","author":[{"family":"Malik-Moraleda","given":"Saima"},{"family":"Ayyash","given":"Dima"},{"family":"Gallée","given":"Jeanne"},{"family":"Affourtit","given":"Josef"},{"family":"Hoffmann","given":"Malte"},{"family":"Mineroff","given":"Zachary"},{"family":"Jouravlev","given":"Olessia"},{"family":"Fedorenko","given":"Evelina"}],"issued":{"date-parts":[["2022",8]]}}}],"schema":"https://github.com/citation-style-language/schema/raw/master/csl-citation.json"} </w:instrText>
      </w:r>
      <w:r w:rsidR="00352423" w:rsidRPr="00D52239">
        <w:fldChar w:fldCharType="separate"/>
      </w:r>
      <w:r w:rsidR="00A323E5" w:rsidRPr="00A323E5">
        <w:t>(69)</w:t>
      </w:r>
      <w:r w:rsidR="00352423" w:rsidRPr="00D52239">
        <w:fldChar w:fldCharType="end"/>
      </w:r>
      <w:r w:rsidRPr="00D52239">
        <w:t xml:space="preserve"> This may suggest that our findings are also applicable to speakers of other languages. Second, while the language tests we used focused on assessing vocabulary and reading abilities, it is important to recognise that language development involves other domains. For instance, pragmatic development is crucial for facilitating effective communication in various social contexts,</w:t>
      </w:r>
      <w:r w:rsidR="00352423" w:rsidRPr="00D52239">
        <w:fldChar w:fldCharType="begin"/>
      </w:r>
      <w:r w:rsidR="00A323E5">
        <w:instrText xml:space="preserve"> ADDIN ZOTERO_ITEM CSL_CITATION {"citationID":"B36WtT30","properties":{"formattedCitation":"(70)","plainCitation":"(70)","noteIndex":0},"citationItems":[{"id":1072,"uris":["http://zotero.org/users/11760769/items/9ZH4MSJ7"],"itemData":{"id":1072,"type":"article-journal","abstract":"Abstract \n            \n              Background:\n              Children who show disproportionate difficulty with the pragmatic as compared with the structural aspects of language are described as having pragmatic language impairment (PLI) or social communication disorder (SCD). Some children who have PLI also show mild social impairments associated with high</w:instrText>
      </w:r>
      <w:r w:rsidR="00A323E5">
        <w:rPr>
          <w:rFonts w:ascii="Cambria Math" w:hAnsi="Cambria Math" w:cs="Cambria Math"/>
        </w:rPr>
        <w:instrText>‐</w:instrText>
      </w:r>
      <w:r w:rsidR="00A323E5">
        <w:instrText>functioning autism or autism spectrum disorder (ASD). There is little robust evidence of effectiveness of speech–language interventions which target the language, pragmatic or social communication needs of these children.\n            \n            \n              Aims:\n              To evaluate the effectiveness of an intensive manualized social communication intervention (SCIP) for children who have PLI with or without features of ASD.\n            \n            \n              Methods &amp; Procedures\n              : In a single</w:instrText>
      </w:r>
      <w:r w:rsidR="00A323E5">
        <w:rPr>
          <w:rFonts w:ascii="Cambria Math" w:hAnsi="Cambria Math" w:cs="Cambria Math"/>
        </w:rPr>
        <w:instrText>‐</w:instrText>
      </w:r>
      <w:r w:rsidR="00A323E5">
        <w:instrText>blind RCT design, 88 children with pragmatic and social communication needs aged 5;11–10;8, recruited from UK speech and language therapy services, were randomly assigned in a 2:1 ratio to SCIP or to treatment</w:instrText>
      </w:r>
      <w:r w:rsidR="00A323E5">
        <w:rPr>
          <w:rFonts w:ascii="Cambria Math" w:hAnsi="Cambria Math" w:cs="Cambria Math"/>
        </w:rPr>
        <w:instrText>‐</w:instrText>
      </w:r>
      <w:r w:rsidR="00A323E5">
        <w:instrText>as</w:instrText>
      </w:r>
      <w:r w:rsidR="00A323E5">
        <w:rPr>
          <w:rFonts w:ascii="Cambria Math" w:hAnsi="Cambria Math" w:cs="Cambria Math"/>
        </w:rPr>
        <w:instrText>‐</w:instrText>
      </w:r>
      <w:r w:rsidR="00A323E5">
        <w:instrText>usual. Children in the SCIP condition received up to 20 sessions of direct intervention from a specialist research speech and language therapist working with supervised assistants. All therapy content and methodology was derived from an intervention manual. A primary outcome measure of structural language and secondary outcome measures of narrative, parent</w:instrText>
      </w:r>
      <w:r w:rsidR="00A323E5">
        <w:rPr>
          <w:rFonts w:ascii="Cambria Math" w:hAnsi="Cambria Math" w:cs="Cambria Math"/>
        </w:rPr>
        <w:instrText>‐</w:instrText>
      </w:r>
      <w:r w:rsidR="00A323E5">
        <w:instrText>reported pragmatic functioning and social communication, blind</w:instrText>
      </w:r>
      <w:r w:rsidR="00A323E5">
        <w:rPr>
          <w:rFonts w:ascii="Cambria Math" w:hAnsi="Cambria Math" w:cs="Cambria Math"/>
        </w:rPr>
        <w:instrText>‐</w:instrText>
      </w:r>
      <w:r w:rsidR="00A323E5">
        <w:instrText>rated perceptions of conversational competence and teacher</w:instrText>
      </w:r>
      <w:r w:rsidR="00A323E5">
        <w:rPr>
          <w:rFonts w:ascii="Cambria Math" w:hAnsi="Cambria Math" w:cs="Cambria Math"/>
        </w:rPr>
        <w:instrText>‐</w:instrText>
      </w:r>
      <w:r w:rsidR="00A323E5">
        <w:instrText>reported ratings of classroom learning skills were taken pre</w:instrText>
      </w:r>
      <w:r w:rsidR="00A323E5">
        <w:rPr>
          <w:rFonts w:ascii="Cambria Math" w:hAnsi="Cambria Math" w:cs="Cambria Math"/>
        </w:rPr>
        <w:instrText>‐</w:instrText>
      </w:r>
      <w:r w:rsidR="00A323E5">
        <w:instrText>intervention, immediately post</w:instrText>
      </w:r>
      <w:r w:rsidR="00A323E5">
        <w:rPr>
          <w:rFonts w:ascii="Cambria Math" w:hAnsi="Cambria Math" w:cs="Cambria Math"/>
        </w:rPr>
        <w:instrText>‐</w:instrText>
      </w:r>
      <w:r w:rsidR="00A323E5">
        <w:instrText>intervention and at 6</w:instrText>
      </w:r>
      <w:r w:rsidR="00A323E5">
        <w:rPr>
          <w:rFonts w:ascii="Cambria Math" w:hAnsi="Cambria Math" w:cs="Cambria Math"/>
        </w:rPr>
        <w:instrText>‐</w:instrText>
      </w:r>
      <w:r w:rsidR="00A323E5">
        <w:instrText>month follow</w:instrText>
      </w:r>
      <w:r w:rsidR="00A323E5">
        <w:rPr>
          <w:rFonts w:ascii="Cambria Math" w:hAnsi="Cambria Math" w:cs="Cambria Math"/>
        </w:rPr>
        <w:instrText>‐</w:instrText>
      </w:r>
      <w:r w:rsidR="00A323E5">
        <w:instrText>up. Analysis was by intention to treat.\n            \n            \n              Outcomes &amp; Results:\n              No significant treatment effect was found for the primary outcome measure of structural language ability or for a measure of narrative ability. Significant treatment effects were found for blind</w:instrText>
      </w:r>
      <w:r w:rsidR="00A323E5">
        <w:rPr>
          <w:rFonts w:ascii="Cambria Math" w:hAnsi="Cambria Math" w:cs="Cambria Math"/>
        </w:rPr>
        <w:instrText>‐</w:instrText>
      </w:r>
      <w:r w:rsidR="00A323E5">
        <w:instrText>rated perceptions of conversational competence, for parent</w:instrText>
      </w:r>
      <w:r w:rsidR="00A323E5">
        <w:rPr>
          <w:rFonts w:ascii="Cambria Math" w:hAnsi="Cambria Math" w:cs="Cambria Math"/>
        </w:rPr>
        <w:instrText>‐</w:instrText>
      </w:r>
      <w:r w:rsidR="00A323E5">
        <w:instrText>reported measures of pragmatic functioning and social communication, and for teacher</w:instrText>
      </w:r>
      <w:r w:rsidR="00A323E5">
        <w:rPr>
          <w:rFonts w:ascii="Cambria Math" w:hAnsi="Cambria Math" w:cs="Cambria Math"/>
        </w:rPr>
        <w:instrText>‐</w:instrText>
      </w:r>
      <w:r w:rsidR="00A323E5">
        <w:instrText>reported ratings of classroom learning skills.\n            \n            \n              Conclusions &amp; Implications\n              : There is some evidence of an intervention effect on blind and parent/teacher</w:instrText>
      </w:r>
      <w:r w:rsidR="00A323E5">
        <w:rPr>
          <w:rFonts w:ascii="Cambria Math" w:hAnsi="Cambria Math" w:cs="Cambria Math"/>
        </w:rPr>
        <w:instrText>‐</w:instrText>
      </w:r>
      <w:r w:rsidR="00A323E5">
        <w:instrText>reported communication outcomes, but not standardized language assessment outcomes, for 6–11</w:instrText>
      </w:r>
      <w:r w:rsidR="00A323E5">
        <w:rPr>
          <w:rFonts w:ascii="Cambria Math" w:hAnsi="Cambria Math" w:cs="Cambria Math"/>
        </w:rPr>
        <w:instrText>‐</w:instrText>
      </w:r>
      <w:r w:rsidR="00A323E5">
        <w:instrText>year</w:instrText>
      </w:r>
      <w:r w:rsidR="00A323E5">
        <w:rPr>
          <w:rFonts w:ascii="Cambria Math" w:hAnsi="Cambria Math" w:cs="Cambria Math"/>
        </w:rPr>
        <w:instrText>‐</w:instrText>
      </w:r>
      <w:r w:rsidR="00A323E5">
        <w:instrText>old children who have pragmatic and social communication needs. These findings are discussed in the context of the increasingly central role of service user outcomes in providing evidence for an intervention. The substantial overlap between the presence of PLI and ASD (75%) across the whole cohort suggests that the intervention may also be applicable to some verbally able children with ASD who have pragmatic communication needs.","container-title":"International Journal of Language &amp; Communication Disorders","DOI":"10.1111/j.1460-6984.2011.00146.x","ISSN":"1368-2822, 1460-6984","issue":"3","journalAbbreviation":"Intl J Lang &amp; Comm Disor","language":"en","page":"233-244","source":"DOI.org (Crossref)","title":"The Social Communication Intervention Project: a randomized controlled trial of the effectiveness of speech and language therapy for school</w:instrText>
      </w:r>
      <w:r w:rsidR="00A323E5">
        <w:rPr>
          <w:rFonts w:ascii="Cambria Math" w:hAnsi="Cambria Math" w:cs="Cambria Math"/>
        </w:rPr>
        <w:instrText>‐</w:instrText>
      </w:r>
      <w:r w:rsidR="00A323E5">
        <w:instrText xml:space="preserve">age children who have pragmatic and social communication problems with or without autism spectrum disorder","title-short":"The Social Communication Intervention Project","volume":"47","author":[{"family":"Adams","given":"Catherine"},{"family":"Lockton","given":"Elaine"},{"family":"Freed","given":"Jenny"},{"family":"Gaile","given":"Jacqueline"},{"family":"Earl","given":"Gillian"},{"family":"McBean","given":"Kirsty"},{"family":"Nash","given":"Marysia"},{"family":"Green","given":"Jonathan"},{"family":"Vail","given":"Andy"},{"family":"Law","given":"James"}],"issued":{"date-parts":[["2012",5]]}}}],"schema":"https://github.com/citation-style-language/schema/raw/master/csl-citation.json"} </w:instrText>
      </w:r>
      <w:r w:rsidR="00352423" w:rsidRPr="00D52239">
        <w:fldChar w:fldCharType="separate"/>
      </w:r>
      <w:r w:rsidR="00A323E5" w:rsidRPr="00A323E5">
        <w:t>(70)</w:t>
      </w:r>
      <w:r w:rsidR="00352423" w:rsidRPr="00D52239">
        <w:fldChar w:fldCharType="end"/>
      </w:r>
      <w:r w:rsidRPr="00D52239">
        <w:t xml:space="preserve"> which may be intricately linked with issues related to obesity and self-esteem. </w:t>
      </w:r>
      <w:r w:rsidR="00157BE4">
        <w:t xml:space="preserve">Third, </w:t>
      </w:r>
      <w:r w:rsidR="00CA4305">
        <w:t xml:space="preserve">the </w:t>
      </w:r>
      <w:r w:rsidR="00D54634">
        <w:t xml:space="preserve">sample size in the GUSTO cohort is small compared to </w:t>
      </w:r>
      <w:r w:rsidR="00511F6E">
        <w:t>population-based adult cohort</w:t>
      </w:r>
      <w:r w:rsidR="000D2A84">
        <w:t>s</w:t>
      </w:r>
      <w:r w:rsidR="00CA4305">
        <w:t xml:space="preserve"> and biobanks. </w:t>
      </w:r>
      <w:r w:rsidR="0068762C">
        <w:t>Thus, we are not able to split the GUSTO cohort into training and testing sets for PRS construction.</w:t>
      </w:r>
      <w:r w:rsidR="00FB7D7D">
        <w:t xml:space="preserve"> However, we showed that our Bayesian PRS is </w:t>
      </w:r>
      <w:r w:rsidR="00995465">
        <w:t xml:space="preserve">highly associated with childhood BMI and fat percentage. </w:t>
      </w:r>
      <w:r w:rsidR="007344D7">
        <w:t>The small sample sizes</w:t>
      </w:r>
      <w:r w:rsidR="005F4AD1">
        <w:t xml:space="preserve"> in this study</w:t>
      </w:r>
      <w:r w:rsidR="007344D7">
        <w:t xml:space="preserve"> also </w:t>
      </w:r>
      <w:r w:rsidR="00241D79">
        <w:t>reduce</w:t>
      </w:r>
      <w:r w:rsidR="005F4AD1">
        <w:t>d</w:t>
      </w:r>
      <w:r w:rsidR="007441AB">
        <w:t xml:space="preserve"> </w:t>
      </w:r>
      <w:r w:rsidR="005F4AD1">
        <w:t xml:space="preserve">the </w:t>
      </w:r>
      <w:r w:rsidR="007441AB">
        <w:t xml:space="preserve">precision of </w:t>
      </w:r>
      <w:r w:rsidR="00802328">
        <w:t xml:space="preserve">our </w:t>
      </w:r>
      <w:r w:rsidR="007441AB">
        <w:t xml:space="preserve">estimates </w:t>
      </w:r>
      <w:r w:rsidR="00802328">
        <w:t xml:space="preserve">as reflected by </w:t>
      </w:r>
      <w:r w:rsidR="007637FE">
        <w:t xml:space="preserve">coefficients of variation </w:t>
      </w:r>
      <w:r w:rsidR="00802328">
        <w:t>exceeding</w:t>
      </w:r>
      <w:r w:rsidR="007637FE">
        <w:t xml:space="preserve"> 20%</w:t>
      </w:r>
      <w:r w:rsidR="001D53E6">
        <w:t xml:space="preserve">, </w:t>
      </w:r>
      <w:r w:rsidR="000301D2">
        <w:t>particularly</w:t>
      </w:r>
      <w:r w:rsidR="001D53E6">
        <w:t xml:space="preserve"> in the sex-specific analyses. </w:t>
      </w:r>
      <w:r w:rsidR="00B43AB8">
        <w:t>Th</w:t>
      </w:r>
      <w:r w:rsidR="00F545D2">
        <w:t xml:space="preserve">e high variability </w:t>
      </w:r>
      <w:r w:rsidR="00B43AB8">
        <w:t xml:space="preserve">limited the </w:t>
      </w:r>
      <w:r w:rsidR="00F545D2">
        <w:t xml:space="preserve">statistical </w:t>
      </w:r>
      <w:r w:rsidR="00B43AB8">
        <w:t>power t</w:t>
      </w:r>
      <w:r w:rsidR="00B06F3A">
        <w:t xml:space="preserve">o detect </w:t>
      </w:r>
      <w:r w:rsidR="008C62C8">
        <w:t xml:space="preserve">associations of interest </w:t>
      </w:r>
      <w:r w:rsidR="00D846D5">
        <w:t>given the small expected</w:t>
      </w:r>
      <w:r w:rsidR="00907691">
        <w:t xml:space="preserve"> effect sizes</w:t>
      </w:r>
      <w:r w:rsidR="00D846D5">
        <w:t xml:space="preserve"> in this study</w:t>
      </w:r>
      <w:r w:rsidR="00907691">
        <w:t>.</w:t>
      </w:r>
      <w:r w:rsidR="00B35462">
        <w:t xml:space="preserve"> </w:t>
      </w:r>
      <w:r w:rsidR="00141994">
        <w:t>Fourth</w:t>
      </w:r>
      <w:r w:rsidRPr="00D52239">
        <w:t xml:space="preserve">, GWAS meta-analysis of language-related skills may be susceptible to heterogeneity due to the different age ranges and assessments across cohorts. Nevertheless, participants from most cohorts were below 18 years of age, and the choice of assessment tools was aimed at maintaining consistency </w:t>
      </w:r>
      <w:r w:rsidRPr="00D52239">
        <w:lastRenderedPageBreak/>
        <w:t xml:space="preserve">among the different cohorts. </w:t>
      </w:r>
      <w:r w:rsidR="00141994">
        <w:t>Fifth</w:t>
      </w:r>
      <w:r w:rsidRPr="00D52239">
        <w:t>, GWAS of childhood body size relies on self-reported during adulthood, which may introduce bias, especially since adults with larger body sizes might recall their early</w:t>
      </w:r>
      <w:r w:rsidR="00520B1B">
        <w:t>-</w:t>
      </w:r>
      <w:r w:rsidRPr="00D52239">
        <w:t xml:space="preserve">life body size differently compared to thinner adults. By investigating three obesity-related traits, our MR analysis provided consistent results. </w:t>
      </w:r>
      <w:r w:rsidR="00141994">
        <w:t>Sixth</w:t>
      </w:r>
      <w:r w:rsidRPr="00D52239">
        <w:t>, given that large-scale genetic studies of child obesity-related traits and language-related skills are only available for the European population, generalisation of these results to other populations requires cautious interpretation. Nevertheless, one-sample MR analysis in the GUSTO cohort showed consistent results.</w:t>
      </w:r>
      <w:r w:rsidR="00D81A6D">
        <w:t xml:space="preserve"> </w:t>
      </w:r>
      <w:r w:rsidR="00140415">
        <w:t>Last but not least, unmeasured confounding may exist in the association analyses for PRS for obesity and language outcomes and the mediation analyses.</w:t>
      </w:r>
    </w:p>
    <w:p w14:paraId="1C6BD0B2" w14:textId="4EFB43CB" w:rsidR="001660B9" w:rsidRDefault="007C7450">
      <w:r w:rsidRPr="00D52239">
        <w:t xml:space="preserve">Our study revealed that the genotypes associated with obesity are linked to early-life language development in children. This association is likely due to a shared genetic basis between obesity and language-related skills rather than a causal effect of obesity. </w:t>
      </w:r>
      <w:r w:rsidR="001022F4">
        <w:t xml:space="preserve">Although </w:t>
      </w:r>
      <w:r w:rsidR="00E35BFC">
        <w:t xml:space="preserve">mediating mechanisms underlying the effect of polygenic risk for obesity on language development </w:t>
      </w:r>
      <w:r w:rsidR="00ED1A6A">
        <w:t xml:space="preserve">via EFNA4 </w:t>
      </w:r>
      <w:r w:rsidR="00E35BFC">
        <w:t>were</w:t>
      </w:r>
      <w:r w:rsidR="001022F4">
        <w:t xml:space="preserve"> not established, our findings suggest </w:t>
      </w:r>
      <w:r w:rsidR="001022F4" w:rsidRPr="00D52239">
        <w:t xml:space="preserve">EPH-Ephrin signalling </w:t>
      </w:r>
      <w:r w:rsidR="001022F4">
        <w:t>expression may be responsible for language development.</w:t>
      </w:r>
      <w:r w:rsidR="001022F4" w:rsidRPr="00D52239">
        <w:t xml:space="preserve"> </w:t>
      </w:r>
      <w:r w:rsidR="00C31D9E">
        <w:t>M</w:t>
      </w:r>
      <w:r w:rsidR="00DC2F32">
        <w:t>ediating mechanism</w:t>
      </w:r>
      <w:r w:rsidR="00C31D9E">
        <w:t>s</w:t>
      </w:r>
      <w:r w:rsidR="00DC2F32">
        <w:t xml:space="preserve"> involving</w:t>
      </w:r>
      <w:r w:rsidR="00D4200B">
        <w:t xml:space="preserve"> </w:t>
      </w:r>
      <w:r w:rsidR="00C5252C">
        <w:t xml:space="preserve">multiple proteins </w:t>
      </w:r>
      <w:r w:rsidR="00DC2F32">
        <w:t>in the</w:t>
      </w:r>
      <w:r w:rsidR="00C5252C">
        <w:t xml:space="preserve"> </w:t>
      </w:r>
      <w:r w:rsidR="00C5252C" w:rsidRPr="00D52239">
        <w:t xml:space="preserve">EPH-Ephrin signalling </w:t>
      </w:r>
      <w:r w:rsidR="00C5252C">
        <w:t xml:space="preserve">pathway </w:t>
      </w:r>
      <w:r w:rsidR="00C31D9E">
        <w:t>warrant</w:t>
      </w:r>
      <w:r w:rsidR="00C5252C">
        <w:t xml:space="preserve"> further investigation.</w:t>
      </w:r>
      <w:r w:rsidR="00AC1ADB">
        <w:t xml:space="preserve"> </w:t>
      </w:r>
      <w:r w:rsidR="00C92E22">
        <w:t>T</w:t>
      </w:r>
      <w:r w:rsidR="00C92E22" w:rsidRPr="00D52239">
        <w:t xml:space="preserve">his study demonstrates the potential of examining </w:t>
      </w:r>
      <w:r w:rsidR="00C92E22">
        <w:t xml:space="preserve">early-life </w:t>
      </w:r>
      <w:r w:rsidR="00C92E22" w:rsidRPr="00D52239">
        <w:t xml:space="preserve">proteomics in conjunction with deep genotyping and phenotyping. </w:t>
      </w:r>
      <w:r w:rsidR="00C92E22">
        <w:t xml:space="preserve">Comprehensive early-life proteomic profiling is needed to enhance the understanding </w:t>
      </w:r>
      <w:r w:rsidR="001D4740">
        <w:t xml:space="preserve">of </w:t>
      </w:r>
      <w:r w:rsidR="00C92E22">
        <w:t>the link between cardiometabolic health and neurodevelopment at the molecular level.</w:t>
      </w:r>
      <w:r w:rsidR="001A02B1">
        <w:t xml:space="preserve"> </w:t>
      </w:r>
      <w:r w:rsidRPr="00D52239">
        <w:t>Other studies in similar cohorts across other sociodemographic contexts are needed to support and expand upon our findings.</w:t>
      </w:r>
    </w:p>
    <w:p w14:paraId="3F96B9F9" w14:textId="7FE4C3D3" w:rsidR="001660B9" w:rsidRPr="00D52239" w:rsidRDefault="001660B9">
      <w:pPr>
        <w:sectPr w:rsidR="001660B9" w:rsidRPr="00D52239" w:rsidSect="00AC608D">
          <w:pgSz w:w="11909" w:h="16834"/>
          <w:pgMar w:top="1440" w:right="1440" w:bottom="1440" w:left="1440" w:header="720" w:footer="720" w:gutter="0"/>
          <w:cols w:space="720"/>
        </w:sectPr>
      </w:pPr>
    </w:p>
    <w:p w14:paraId="2E50BDB3" w14:textId="53558698" w:rsidR="00E719FC" w:rsidRPr="00D52239" w:rsidRDefault="0051606E" w:rsidP="006F5665">
      <w:pPr>
        <w:pStyle w:val="Heading1"/>
        <w:pBdr>
          <w:top w:val="nil"/>
          <w:left w:val="nil"/>
          <w:bottom w:val="nil"/>
          <w:right w:val="nil"/>
          <w:between w:val="nil"/>
        </w:pBdr>
        <w:spacing w:after="200"/>
      </w:pPr>
      <w:r w:rsidRPr="00D52239">
        <w:lastRenderedPageBreak/>
        <w:t>Contributors</w:t>
      </w:r>
    </w:p>
    <w:p w14:paraId="4CB0FCEA" w14:textId="537CD2E9" w:rsidR="006F5665" w:rsidRPr="00D52239" w:rsidRDefault="006F5665" w:rsidP="006F5665">
      <w:pPr>
        <w:rPr>
          <w:sz w:val="24"/>
          <w:szCs w:val="24"/>
          <w:lang w:val="en-US"/>
        </w:rPr>
      </w:pPr>
      <w:r w:rsidRPr="00D52239">
        <w:rPr>
          <w:sz w:val="24"/>
          <w:szCs w:val="24"/>
          <w:lang w:val="en-US"/>
        </w:rPr>
        <w:t>Jian Huang contribute</w:t>
      </w:r>
      <w:r w:rsidR="00370D31" w:rsidRPr="00D52239">
        <w:rPr>
          <w:sz w:val="24"/>
          <w:szCs w:val="24"/>
          <w:lang w:val="en-US"/>
        </w:rPr>
        <w:t>d</w:t>
      </w:r>
      <w:r w:rsidRPr="00D52239">
        <w:rPr>
          <w:sz w:val="24"/>
          <w:szCs w:val="24"/>
          <w:lang w:val="en-US"/>
        </w:rPr>
        <w:t xml:space="preserve"> to conceptualisation, data curation, formal analysis, investigation, methodology, verification of the underlying data, data interpretation, visualisation, drafting, reviewing and editing the manuscript. </w:t>
      </w:r>
    </w:p>
    <w:p w14:paraId="7DB1299A" w14:textId="7C44E89B" w:rsidR="003F150C" w:rsidRPr="00D52239" w:rsidRDefault="003F150C" w:rsidP="006F5665">
      <w:pPr>
        <w:rPr>
          <w:sz w:val="24"/>
          <w:szCs w:val="24"/>
          <w:lang w:val="en-US"/>
        </w:rPr>
      </w:pPr>
      <w:r w:rsidRPr="00D52239">
        <w:rPr>
          <w:sz w:val="24"/>
          <w:szCs w:val="24"/>
          <w:lang w:val="en-US"/>
        </w:rPr>
        <w:t>Jinyi Che</w:t>
      </w:r>
      <w:r w:rsidR="005E195F" w:rsidRPr="00D52239">
        <w:rPr>
          <w:sz w:val="24"/>
          <w:szCs w:val="24"/>
          <w:lang w:val="en-US"/>
        </w:rPr>
        <w:t xml:space="preserve"> contributed to data curation, formal analysis, investigation, verification of the underlying data, data interpretation, visualisation, reviewing and editing the manuscript.</w:t>
      </w:r>
    </w:p>
    <w:p w14:paraId="14730EAA" w14:textId="5CFDEFF9" w:rsidR="003F150C" w:rsidRPr="00D52239" w:rsidRDefault="003F150C" w:rsidP="006F5665">
      <w:pPr>
        <w:rPr>
          <w:sz w:val="24"/>
          <w:szCs w:val="24"/>
          <w:lang w:val="en-US"/>
        </w:rPr>
      </w:pPr>
      <w:r w:rsidRPr="00D52239">
        <w:rPr>
          <w:sz w:val="24"/>
          <w:szCs w:val="24"/>
          <w:lang w:val="en-US"/>
        </w:rPr>
        <w:t>Michelle Z.L Kee</w:t>
      </w:r>
      <w:r w:rsidR="005E195F" w:rsidRPr="00D52239">
        <w:rPr>
          <w:sz w:val="24"/>
          <w:szCs w:val="24"/>
          <w:lang w:val="en-US"/>
        </w:rPr>
        <w:t xml:space="preserve"> contributed to data interpretation, reviewing and editing the manuscript</w:t>
      </w:r>
      <w:r w:rsidR="00530A91" w:rsidRPr="00D52239">
        <w:rPr>
          <w:sz w:val="24"/>
          <w:szCs w:val="24"/>
          <w:lang w:val="en-US"/>
        </w:rPr>
        <w:t>.</w:t>
      </w:r>
    </w:p>
    <w:p w14:paraId="397B5728" w14:textId="4DD79596" w:rsidR="00EC1A53" w:rsidRPr="00D52239" w:rsidRDefault="00EC1A53" w:rsidP="006F5665">
      <w:pPr>
        <w:rPr>
          <w:sz w:val="24"/>
          <w:szCs w:val="24"/>
          <w:lang w:val="en-US"/>
        </w:rPr>
      </w:pPr>
      <w:r w:rsidRPr="00D52239">
        <w:rPr>
          <w:sz w:val="24"/>
          <w:szCs w:val="24"/>
          <w:lang w:val="en-US"/>
        </w:rPr>
        <w:t>Ai Peng Tan</w:t>
      </w:r>
      <w:r w:rsidR="00530A91" w:rsidRPr="00D52239">
        <w:rPr>
          <w:sz w:val="24"/>
          <w:szCs w:val="24"/>
          <w:lang w:val="en-US"/>
        </w:rPr>
        <w:t xml:space="preserve"> contributed to data curation, data interpretation, reviewing and editing the manuscript.</w:t>
      </w:r>
    </w:p>
    <w:p w14:paraId="3CE384C9" w14:textId="15BBF25F" w:rsidR="006F5665" w:rsidRPr="00D52239" w:rsidRDefault="006F5665" w:rsidP="006F5665">
      <w:pPr>
        <w:rPr>
          <w:sz w:val="24"/>
          <w:szCs w:val="24"/>
          <w:lang w:val="en-US"/>
        </w:rPr>
      </w:pPr>
      <w:r w:rsidRPr="00D52239">
        <w:rPr>
          <w:sz w:val="24"/>
          <w:szCs w:val="24"/>
          <w:lang w:val="en-US"/>
        </w:rPr>
        <w:t>Evelyn Law contribute</w:t>
      </w:r>
      <w:r w:rsidR="00370D31" w:rsidRPr="00D52239">
        <w:rPr>
          <w:sz w:val="24"/>
          <w:szCs w:val="24"/>
          <w:lang w:val="en-US"/>
        </w:rPr>
        <w:t>d</w:t>
      </w:r>
      <w:r w:rsidRPr="00D52239">
        <w:rPr>
          <w:sz w:val="24"/>
          <w:szCs w:val="24"/>
          <w:lang w:val="en-US"/>
        </w:rPr>
        <w:t xml:space="preserve"> to data curation, data interpretation, funding acquisition, and reviewing and editing the manuscript.</w:t>
      </w:r>
    </w:p>
    <w:p w14:paraId="6A71E680" w14:textId="5401D4D4" w:rsidR="00EC1A53" w:rsidRPr="00D52239" w:rsidRDefault="00EC1A53" w:rsidP="00EC1A53">
      <w:pPr>
        <w:rPr>
          <w:sz w:val="24"/>
          <w:szCs w:val="24"/>
          <w:lang w:val="en-US"/>
        </w:rPr>
      </w:pPr>
      <w:r w:rsidRPr="00D52239">
        <w:rPr>
          <w:sz w:val="24"/>
          <w:szCs w:val="24"/>
          <w:lang w:val="en-US"/>
        </w:rPr>
        <w:t>Patricia Pelufo Silveira contribute</w:t>
      </w:r>
      <w:r w:rsidR="00370D31" w:rsidRPr="00D52239">
        <w:rPr>
          <w:sz w:val="24"/>
          <w:szCs w:val="24"/>
          <w:lang w:val="en-US"/>
        </w:rPr>
        <w:t>d</w:t>
      </w:r>
      <w:r w:rsidRPr="00D52239">
        <w:rPr>
          <w:sz w:val="24"/>
          <w:szCs w:val="24"/>
          <w:lang w:val="en-US"/>
        </w:rPr>
        <w:t xml:space="preserve"> to data interpretation, and reviewing and editing the manuscript.</w:t>
      </w:r>
    </w:p>
    <w:p w14:paraId="7A6FFCAC" w14:textId="77777777" w:rsidR="003A04E1" w:rsidRPr="00D52239" w:rsidRDefault="00EC1A53" w:rsidP="003A04E1">
      <w:pPr>
        <w:rPr>
          <w:sz w:val="24"/>
          <w:szCs w:val="24"/>
          <w:lang w:val="en-US"/>
        </w:rPr>
      </w:pPr>
      <w:r w:rsidRPr="00D52239">
        <w:rPr>
          <w:sz w:val="24"/>
          <w:szCs w:val="24"/>
          <w:lang w:val="en-US"/>
        </w:rPr>
        <w:t>Irina Pokhvisneva</w:t>
      </w:r>
      <w:r w:rsidR="009B6C57" w:rsidRPr="00D52239">
        <w:rPr>
          <w:sz w:val="24"/>
          <w:szCs w:val="24"/>
          <w:lang w:val="en-US"/>
        </w:rPr>
        <w:t xml:space="preserve"> and</w:t>
      </w:r>
      <w:r w:rsidR="00370D31" w:rsidRPr="00D52239">
        <w:rPr>
          <w:sz w:val="24"/>
          <w:szCs w:val="24"/>
          <w:lang w:val="en-US"/>
        </w:rPr>
        <w:t xml:space="preserve"> </w:t>
      </w:r>
      <w:r w:rsidRPr="00D52239">
        <w:rPr>
          <w:sz w:val="24"/>
          <w:szCs w:val="24"/>
          <w:lang w:val="en-US"/>
        </w:rPr>
        <w:t>Sachin Patel</w:t>
      </w:r>
      <w:r w:rsidR="00370D31" w:rsidRPr="00D52239">
        <w:rPr>
          <w:sz w:val="24"/>
          <w:szCs w:val="24"/>
          <w:lang w:val="en-US"/>
        </w:rPr>
        <w:t xml:space="preserve"> contributed</w:t>
      </w:r>
      <w:r w:rsidR="003A04E1" w:rsidRPr="00D52239">
        <w:rPr>
          <w:sz w:val="24"/>
          <w:szCs w:val="24"/>
          <w:lang w:val="en-US"/>
        </w:rPr>
        <w:t xml:space="preserve"> data analysis, data interpretation, and reviewing and editing the manuscript.</w:t>
      </w:r>
    </w:p>
    <w:p w14:paraId="7BF2FE6C" w14:textId="76B72379" w:rsidR="00EC1A53" w:rsidRPr="00D52239" w:rsidRDefault="00EC1A53" w:rsidP="006F5665">
      <w:pPr>
        <w:rPr>
          <w:sz w:val="24"/>
          <w:szCs w:val="24"/>
          <w:lang w:val="en-US"/>
        </w:rPr>
      </w:pPr>
      <w:r w:rsidRPr="00D52239">
        <w:rPr>
          <w:sz w:val="24"/>
          <w:szCs w:val="24"/>
          <w:lang w:val="en-US"/>
        </w:rPr>
        <w:t>Keith M Godfrey</w:t>
      </w:r>
      <w:r w:rsidR="003A04E1" w:rsidRPr="00D52239">
        <w:rPr>
          <w:sz w:val="24"/>
          <w:szCs w:val="24"/>
          <w:lang w:val="en-US"/>
        </w:rPr>
        <w:t xml:space="preserve"> contributed to reviewing and editing the manuscript.</w:t>
      </w:r>
    </w:p>
    <w:p w14:paraId="646DC796" w14:textId="76B40B7C" w:rsidR="00EC1A53" w:rsidRPr="00D52239" w:rsidRDefault="006F5665" w:rsidP="006F5665">
      <w:pPr>
        <w:rPr>
          <w:sz w:val="24"/>
          <w:szCs w:val="24"/>
          <w:lang w:val="en-US"/>
        </w:rPr>
      </w:pPr>
      <w:r w:rsidRPr="00D52239">
        <w:rPr>
          <w:sz w:val="24"/>
          <w:szCs w:val="24"/>
          <w:lang w:val="en-US"/>
        </w:rPr>
        <w:t>Lourdes Mary Daniel</w:t>
      </w:r>
      <w:r w:rsidR="00EC1A53" w:rsidRPr="00D52239">
        <w:rPr>
          <w:sz w:val="24"/>
          <w:szCs w:val="24"/>
          <w:lang w:val="en-US"/>
        </w:rPr>
        <w:t xml:space="preserve">, Kok Hian Tan, Yap Seng Chong </w:t>
      </w:r>
      <w:r w:rsidRPr="00D52239">
        <w:rPr>
          <w:sz w:val="24"/>
          <w:szCs w:val="24"/>
          <w:lang w:val="en-US"/>
        </w:rPr>
        <w:t>contribute</w:t>
      </w:r>
      <w:r w:rsidR="00370D31" w:rsidRPr="00D52239">
        <w:rPr>
          <w:sz w:val="24"/>
          <w:szCs w:val="24"/>
          <w:lang w:val="en-US"/>
        </w:rPr>
        <w:t>d</w:t>
      </w:r>
      <w:r w:rsidRPr="00D52239">
        <w:rPr>
          <w:sz w:val="24"/>
          <w:szCs w:val="24"/>
          <w:lang w:val="en-US"/>
        </w:rPr>
        <w:t xml:space="preserve"> to </w:t>
      </w:r>
      <w:r w:rsidR="00EC1A53" w:rsidRPr="00D52239">
        <w:rPr>
          <w:sz w:val="24"/>
          <w:szCs w:val="24"/>
          <w:lang w:val="en-US"/>
        </w:rPr>
        <w:t>funding acquisition</w:t>
      </w:r>
      <w:r w:rsidRPr="00D52239">
        <w:rPr>
          <w:sz w:val="24"/>
          <w:szCs w:val="24"/>
          <w:lang w:val="en-US"/>
        </w:rPr>
        <w:t>.</w:t>
      </w:r>
    </w:p>
    <w:p w14:paraId="21B86C07" w14:textId="0F4F9BBB" w:rsidR="00EC1A53" w:rsidRPr="00D52239" w:rsidRDefault="00EC1A53" w:rsidP="006F5665">
      <w:pPr>
        <w:rPr>
          <w:sz w:val="24"/>
          <w:szCs w:val="24"/>
          <w:lang w:val="en-US"/>
        </w:rPr>
      </w:pPr>
      <w:r w:rsidRPr="00D52239">
        <w:rPr>
          <w:sz w:val="24"/>
          <w:szCs w:val="24"/>
          <w:lang w:val="en-US"/>
        </w:rPr>
        <w:t xml:space="preserve">Shiao-Yng Chan, and Johan G. Eriksson </w:t>
      </w:r>
      <w:r w:rsidR="006F5665" w:rsidRPr="00D52239">
        <w:rPr>
          <w:sz w:val="24"/>
          <w:szCs w:val="24"/>
          <w:lang w:val="en-US"/>
        </w:rPr>
        <w:t>contribute</w:t>
      </w:r>
      <w:r w:rsidR="00370D31" w:rsidRPr="00D52239">
        <w:rPr>
          <w:sz w:val="24"/>
          <w:szCs w:val="24"/>
          <w:lang w:val="en-US"/>
        </w:rPr>
        <w:t>d</w:t>
      </w:r>
      <w:r w:rsidR="006F5665" w:rsidRPr="00D52239">
        <w:rPr>
          <w:sz w:val="24"/>
          <w:szCs w:val="24"/>
          <w:lang w:val="en-US"/>
        </w:rPr>
        <w:t xml:space="preserve"> to funding acquisition, and reviewing and editing the manuscript.</w:t>
      </w:r>
    </w:p>
    <w:p w14:paraId="0F9A8538" w14:textId="0F250A25" w:rsidR="006F5665" w:rsidRPr="00D52239" w:rsidRDefault="00EC1A53" w:rsidP="006F5665">
      <w:pPr>
        <w:rPr>
          <w:sz w:val="24"/>
          <w:szCs w:val="24"/>
          <w:lang w:val="en-US"/>
        </w:rPr>
      </w:pPr>
      <w:r w:rsidRPr="00D52239">
        <w:rPr>
          <w:sz w:val="24"/>
          <w:szCs w:val="24"/>
          <w:lang w:val="en-US"/>
        </w:rPr>
        <w:t xml:space="preserve">Dennis Wang </w:t>
      </w:r>
      <w:r w:rsidR="006F5665" w:rsidRPr="00D52239">
        <w:rPr>
          <w:sz w:val="24"/>
          <w:szCs w:val="24"/>
          <w:lang w:val="en-US"/>
        </w:rPr>
        <w:t>contribute</w:t>
      </w:r>
      <w:r w:rsidR="00370D31" w:rsidRPr="00D52239">
        <w:rPr>
          <w:sz w:val="24"/>
          <w:szCs w:val="24"/>
          <w:lang w:val="en-US"/>
        </w:rPr>
        <w:t>d</w:t>
      </w:r>
      <w:r w:rsidR="006F5665" w:rsidRPr="00D52239">
        <w:rPr>
          <w:sz w:val="24"/>
          <w:szCs w:val="24"/>
          <w:lang w:val="en-US"/>
        </w:rPr>
        <w:t xml:space="preserve"> to </w:t>
      </w:r>
      <w:r w:rsidR="00E61951" w:rsidRPr="00D52239">
        <w:rPr>
          <w:sz w:val="24"/>
          <w:szCs w:val="24"/>
          <w:lang w:val="en-US"/>
        </w:rPr>
        <w:t xml:space="preserve">methodology, </w:t>
      </w:r>
      <w:r w:rsidR="00280367" w:rsidRPr="00D52239">
        <w:rPr>
          <w:sz w:val="24"/>
          <w:szCs w:val="24"/>
          <w:lang w:val="en-US"/>
        </w:rPr>
        <w:t>data interpretation, and reviewing and editing the manuscript.</w:t>
      </w:r>
    </w:p>
    <w:p w14:paraId="006CFE5C" w14:textId="36AEAE4C" w:rsidR="00EC1A53" w:rsidRPr="00D52239" w:rsidRDefault="006F5665" w:rsidP="006F5665">
      <w:pPr>
        <w:rPr>
          <w:sz w:val="24"/>
          <w:szCs w:val="24"/>
          <w:lang w:val="en-US"/>
        </w:rPr>
      </w:pPr>
      <w:r w:rsidRPr="00D52239">
        <w:rPr>
          <w:sz w:val="24"/>
          <w:szCs w:val="24"/>
          <w:lang w:val="en-US"/>
        </w:rPr>
        <w:t>Jonathan Huang contribute</w:t>
      </w:r>
      <w:r w:rsidR="00370D31" w:rsidRPr="00D52239">
        <w:rPr>
          <w:sz w:val="24"/>
          <w:szCs w:val="24"/>
          <w:lang w:val="en-US"/>
        </w:rPr>
        <w:t>d</w:t>
      </w:r>
      <w:r w:rsidRPr="00D52239">
        <w:rPr>
          <w:sz w:val="24"/>
          <w:szCs w:val="24"/>
          <w:lang w:val="en-US"/>
        </w:rPr>
        <w:t xml:space="preserve"> to methodology, </w:t>
      </w:r>
      <w:r w:rsidR="00E61951" w:rsidRPr="00D52239">
        <w:rPr>
          <w:sz w:val="24"/>
          <w:szCs w:val="24"/>
          <w:lang w:val="en-US"/>
        </w:rPr>
        <w:t xml:space="preserve">data </w:t>
      </w:r>
      <w:r w:rsidRPr="00D52239">
        <w:rPr>
          <w:sz w:val="24"/>
          <w:szCs w:val="24"/>
          <w:lang w:val="en-US"/>
        </w:rPr>
        <w:t>interpretation, and reviewing and editing the manuscript.</w:t>
      </w:r>
    </w:p>
    <w:p w14:paraId="20FA0687" w14:textId="246E1458" w:rsidR="006F5665" w:rsidRDefault="006F5665" w:rsidP="006F5665">
      <w:pPr>
        <w:rPr>
          <w:sz w:val="24"/>
          <w:szCs w:val="24"/>
          <w:lang w:val="en-US"/>
        </w:rPr>
      </w:pPr>
      <w:r w:rsidRPr="00D52239">
        <w:rPr>
          <w:sz w:val="24"/>
          <w:szCs w:val="24"/>
          <w:lang w:val="en-US"/>
        </w:rPr>
        <w:t xml:space="preserve">All authors </w:t>
      </w:r>
      <w:r w:rsidR="00EC1A53" w:rsidRPr="00D52239">
        <w:rPr>
          <w:sz w:val="24"/>
          <w:szCs w:val="24"/>
          <w:lang w:val="en-US"/>
        </w:rPr>
        <w:t>reviewed</w:t>
      </w:r>
      <w:r w:rsidRPr="00D52239">
        <w:rPr>
          <w:sz w:val="24"/>
          <w:szCs w:val="24"/>
          <w:lang w:val="en-US"/>
        </w:rPr>
        <w:t xml:space="preserve"> and approved the final version of the manuscript.</w:t>
      </w:r>
      <w:r w:rsidR="006F3442">
        <w:rPr>
          <w:sz w:val="24"/>
          <w:szCs w:val="24"/>
          <w:lang w:val="en-US"/>
        </w:rPr>
        <w:t xml:space="preserve"> </w:t>
      </w:r>
      <w:r w:rsidR="006F3442" w:rsidRPr="00D52239">
        <w:rPr>
          <w:sz w:val="24"/>
          <w:szCs w:val="24"/>
          <w:lang w:val="en-US"/>
        </w:rPr>
        <w:t xml:space="preserve">Jian Huang </w:t>
      </w:r>
      <w:r w:rsidR="006F3442">
        <w:rPr>
          <w:sz w:val="24"/>
          <w:szCs w:val="24"/>
          <w:lang w:val="en-US"/>
        </w:rPr>
        <w:t xml:space="preserve">and </w:t>
      </w:r>
      <w:r w:rsidR="006F3442" w:rsidRPr="00D52239">
        <w:rPr>
          <w:sz w:val="24"/>
          <w:szCs w:val="24"/>
          <w:lang w:val="en-US"/>
        </w:rPr>
        <w:t xml:space="preserve">Jinyi Che </w:t>
      </w:r>
      <w:r w:rsidR="006F3442" w:rsidRPr="00C72597">
        <w:t>have accessed and verified the underlying data</w:t>
      </w:r>
    </w:p>
    <w:p w14:paraId="10806CE1" w14:textId="77777777" w:rsidR="001C66AD" w:rsidRPr="00D52239" w:rsidRDefault="001C66AD" w:rsidP="001C66AD">
      <w:pPr>
        <w:pStyle w:val="Heading1"/>
        <w:pBdr>
          <w:top w:val="nil"/>
          <w:left w:val="nil"/>
          <w:bottom w:val="nil"/>
          <w:right w:val="nil"/>
          <w:between w:val="nil"/>
        </w:pBdr>
        <w:spacing w:after="200"/>
      </w:pPr>
      <w:r w:rsidRPr="00D52239">
        <w:t>Data Sharing Statement</w:t>
      </w:r>
    </w:p>
    <w:p w14:paraId="62561389" w14:textId="16C0823C" w:rsidR="000F1D2F" w:rsidRDefault="000F1D2F" w:rsidP="001C66AD">
      <w:r w:rsidRPr="000F1D2F">
        <w:t xml:space="preserve">GWAS summary statistics are publicly available (see Supplementary Table 1 for details). Deidentified participant data from </w:t>
      </w:r>
      <w:r w:rsidR="0080439A">
        <w:t xml:space="preserve">the </w:t>
      </w:r>
      <w:r w:rsidRPr="000F1D2F">
        <w:t>GUSTO cohort will be made available on request. Data request</w:t>
      </w:r>
      <w:r w:rsidR="0080439A">
        <w:t>s</w:t>
      </w:r>
      <w:r w:rsidRPr="000F1D2F">
        <w:t xml:space="preserve"> and research proposal</w:t>
      </w:r>
      <w:r w:rsidR="0080439A">
        <w:t>s</w:t>
      </w:r>
      <w:r w:rsidRPr="000F1D2F">
        <w:t xml:space="preserve"> can be submitted following the </w:t>
      </w:r>
      <w:r w:rsidR="0080439A">
        <w:t>guidelines here:</w:t>
      </w:r>
      <w:r w:rsidRPr="000F1D2F">
        <w:t xml:space="preserve"> </w:t>
      </w:r>
      <w:hyperlink r:id="rId9" w:history="1">
        <w:r w:rsidRPr="001F39BE">
          <w:rPr>
            <w:rStyle w:val="Hyperlink"/>
          </w:rPr>
          <w:t>https://gustodatavault.sg/about/request-for-data</w:t>
        </w:r>
      </w:hyperlink>
      <w:r w:rsidRPr="000F1D2F">
        <w:t>.</w:t>
      </w:r>
    </w:p>
    <w:p w14:paraId="58BE6A99" w14:textId="4DA98534" w:rsidR="00CB06E0" w:rsidRPr="00D52239" w:rsidRDefault="00CB06E0" w:rsidP="00553B57">
      <w:pPr>
        <w:pStyle w:val="Heading1"/>
        <w:pBdr>
          <w:top w:val="nil"/>
          <w:left w:val="nil"/>
          <w:bottom w:val="nil"/>
          <w:right w:val="nil"/>
          <w:between w:val="nil"/>
        </w:pBdr>
        <w:spacing w:after="200"/>
      </w:pPr>
      <w:r w:rsidRPr="00D52239">
        <w:t>Declaration of Interests</w:t>
      </w:r>
    </w:p>
    <w:p w14:paraId="02ED1E1E" w14:textId="77777777" w:rsidR="00553B57" w:rsidRPr="00D52239" w:rsidRDefault="00553B57" w:rsidP="00553B57">
      <w:r w:rsidRPr="00D52239">
        <w:t xml:space="preserve">KMG and SC are part of an academic consortium that has received research funding from Société Des Produits Nestlé S.A., and are co-inventors on patent filings by Nestlé S.A. </w:t>
      </w:r>
      <w:r w:rsidRPr="00D52239">
        <w:lastRenderedPageBreak/>
        <w:t>outside the submitted work. KMG has received reimbursement for speaking at conferences sponsored by companies selling nutritional products. SC has received reimbursement from the Expert Group on Inositol in Basic and Clinical Research (EGOI; a not-for-profit academic organization) and Nestlé Nutrition Institute for speaking at conferences. The other authors declare no competing interests.</w:t>
      </w:r>
    </w:p>
    <w:p w14:paraId="2E50BDB6" w14:textId="77777777" w:rsidR="00E719FC" w:rsidRPr="00D52239" w:rsidRDefault="007C7450">
      <w:pPr>
        <w:pStyle w:val="Heading1"/>
        <w:pBdr>
          <w:top w:val="nil"/>
          <w:left w:val="nil"/>
          <w:bottom w:val="nil"/>
          <w:right w:val="nil"/>
          <w:between w:val="nil"/>
        </w:pBdr>
        <w:spacing w:after="200"/>
      </w:pPr>
      <w:bookmarkStart w:id="14" w:name="_zf3gup6kz61d" w:colFirst="0" w:colLast="0"/>
      <w:bookmarkStart w:id="15" w:name="_y25bpsz9y16p" w:colFirst="0" w:colLast="0"/>
      <w:bookmarkEnd w:id="14"/>
      <w:bookmarkEnd w:id="15"/>
      <w:r w:rsidRPr="00D52239">
        <w:t>Acknowledgement</w:t>
      </w:r>
    </w:p>
    <w:p w14:paraId="2E50BDB7" w14:textId="77777777" w:rsidR="00E719FC" w:rsidRPr="00D52239" w:rsidRDefault="007C7450">
      <w:r w:rsidRPr="00D52239">
        <w:t>The GUSTO study group includes: Airu Chia, Andrea Cremaschi, Anna Magdalena Fogel, Anne Eng Neo Goh, Anne Rifkin-Graboi, Anqi Qiu, Arijit Biswas, Bee Wah Lee, Birit Froukje Philipp Broekman, Candida Vaz, Chai Kiat Chng, Chan Shi Yu, Choon Looi Bong, Daniel Yam Thiam Goh, Dawn Xin Ping Koh, Dennis Wang, Desiree Y. Phua, E Shyong Tai, Elaine Kwang Hsia Tham, Elaine Phaik Ling Quah, Elizabeth Huiwen Tham, Evelyn Chung Ning Law, Evelyn Keet Wai Lau, Evelyn Xiu Ling Loo, Fabian Kok Peng Yap, Falk Müller-Riemenschneider, Franzolini Beatrice, George Seow Heong Yeo, Gerard Chung Siew Keong, Hannah Ee Juen Yong, Helen Yu Chen, Hong Pan, Huang Jian, Huang Pei, Hugo P S van Bever, Hui Min Tan, Iliana Magiati, Inez Bik Yun Wong, Ives Lim Yubin, Ivy Yee-Man Lau, Jacqueline Chin Siew Roong, Jadegoud Yaligar, Jerry Kok Yen Chan, Jia Xu, Johan Gunnar Eriksson, Jonathan Tze Liang Choo, Jonathan Y. Bernard, Jonathan Yinhao Huang, Joshua J. Gooley, Jun Shi Lai, Karen Mei Ling Tan, Keith M. Godfrey, Keri McCrickerd, Kok Hian Tan, Kothandaraman Narasimhan, Krishnamoorthy Naiduvaje, Kuan Jin Lee, Li Chen, Lieng Hsi Ling, Lin Lin Su, Ling-Wei Chen, Lourdes Mary Daniel, Lynette Pei-Chi Shek, Maria De Iorio, Marielle V. Fortier, Mary Foong-Fong Chong, Mary Wlodek, Mei Chien Chua, Melvin Khee-Shing Leow, Michael J. Meaney, Michelle Zhi Ling Kee, Min Gong, Mya Thway Tint, Navin Michael, Neerja Karnani, Ngee Lek, Noor Hidayatul Aini Bte Suaini, Oon Hoe Teoh, Peter David Gluckman, Priti Mishra, Queenie Ling Jun Li, Sambasivam Sendhil Velan, Seang Mei Saw, See Ling Loy, Seng Bin Ang, Shang Chee Chong, Shiao-Yng Chan, Shirong Cai, Shu-E Soh, Stephen Chin-Ying Hsu, Suresh Anand Sadananthan, Swee Chye Quek, Tan Ai Peng, Varsha Gupta, Victor Samuel Rajadurai, Wee Meng Han, Wei Wei Pang, Yap Seng Chong, Yin Bun Cheung, Yiong Huak Chan, Yung Seng Lee, Zhang Han.</w:t>
      </w:r>
    </w:p>
    <w:p w14:paraId="40A77FCE" w14:textId="77777777" w:rsidR="00553B57" w:rsidRPr="00D52239" w:rsidRDefault="00553B57"/>
    <w:p w14:paraId="7F4DCA84" w14:textId="394B27C6" w:rsidR="006F6B8C" w:rsidRDefault="00553B57">
      <w:r w:rsidRPr="00D52239">
        <w:t xml:space="preserve">The study is supported by the National Research Foundation (NRF) under the Open Fund-Large Collaborative Grant (OF-LCG; MOH-000504) administered by the Singapore Ministry of Health’s National Medical Research Council (NMRC) and the Agency for Science, Technology and Research (A*STAR). In RIE2025, the study is supported by funding from the NRF’s Human Health and Potential (HHP) Domain, under the Human Potential Programme. JH is supported by the NMRC Open Fund - Young Individual Research Grant (MOH-001148) and the A*STAR Human Health and Potential - Prenatal / Early Childhood Grant (H24P2M0002). </w:t>
      </w:r>
      <w:r w:rsidR="006F6B8C">
        <w:t>APT</w:t>
      </w:r>
      <w:r w:rsidR="00AE739C">
        <w:t xml:space="preserve"> is supported by the </w:t>
      </w:r>
      <w:r w:rsidR="00AE739C" w:rsidRPr="00AE739C">
        <w:t>NMRC Transition Award (MOH-001273-00).</w:t>
      </w:r>
    </w:p>
    <w:p w14:paraId="531F8963" w14:textId="5CE604AA" w:rsidR="00E719FC" w:rsidRPr="00D52239" w:rsidRDefault="00553B57">
      <w:r w:rsidRPr="00D52239">
        <w:t>KMG is supported by the National Institute for Health and Care Research (NIHR Senior Investigator (NF-SI-0515-10042) and NIHR Southampton Biomedical Research Centre (NIHR203319)) and Alzheimer’s Research UK (ARUK-PG2022A-008). For the purpose of Open Access, the author has applied a Creative Commons Attribution (CC BY) licence to any Author Accepted Manuscript version arising from this submission.</w:t>
      </w:r>
      <w:bookmarkStart w:id="16" w:name="_ncwb82f5gv97" w:colFirst="0" w:colLast="0"/>
      <w:bookmarkStart w:id="17" w:name="_reb7kqpmvzq" w:colFirst="0" w:colLast="0"/>
      <w:bookmarkStart w:id="18" w:name="_w5dvfoszfx71" w:colFirst="0" w:colLast="0"/>
      <w:bookmarkEnd w:id="16"/>
      <w:bookmarkEnd w:id="17"/>
      <w:bookmarkEnd w:id="18"/>
    </w:p>
    <w:p w14:paraId="53B42DA7" w14:textId="77777777" w:rsidR="00553B57" w:rsidRPr="00D52239" w:rsidRDefault="00553B57"/>
    <w:p w14:paraId="2E50BDBE" w14:textId="77777777" w:rsidR="00553B57" w:rsidRPr="00D52239" w:rsidRDefault="00553B57">
      <w:pPr>
        <w:sectPr w:rsidR="00553B57" w:rsidRPr="00D52239" w:rsidSect="00AC608D">
          <w:pgSz w:w="11909" w:h="16834"/>
          <w:pgMar w:top="1440" w:right="1440" w:bottom="1440" w:left="1440" w:header="720" w:footer="720" w:gutter="0"/>
          <w:cols w:space="720"/>
        </w:sectPr>
      </w:pPr>
    </w:p>
    <w:p w14:paraId="2E50BDBF" w14:textId="77777777" w:rsidR="00E719FC" w:rsidRPr="00D52239" w:rsidRDefault="007C7450">
      <w:pPr>
        <w:pStyle w:val="Heading1"/>
      </w:pPr>
      <w:bookmarkStart w:id="19" w:name="_3ww6cnj7egts" w:colFirst="0" w:colLast="0"/>
      <w:bookmarkEnd w:id="19"/>
      <w:r w:rsidRPr="00D52239">
        <w:lastRenderedPageBreak/>
        <w:t>References</w:t>
      </w:r>
    </w:p>
    <w:p w14:paraId="5A3E700A" w14:textId="77777777" w:rsidR="00A323E5" w:rsidRPr="00A323E5" w:rsidRDefault="00352423" w:rsidP="00A323E5">
      <w:pPr>
        <w:pStyle w:val="Bibliography"/>
      </w:pPr>
      <w:r w:rsidRPr="00D52239">
        <w:fldChar w:fldCharType="begin"/>
      </w:r>
      <w:r w:rsidR="00A323E5">
        <w:instrText xml:space="preserve"> ADDIN ZOTERO_BIBL {"uncited":[],"omitted":[],"custom":[]} CSL_BIBLIOGRAPHY </w:instrText>
      </w:r>
      <w:r w:rsidRPr="00D52239">
        <w:fldChar w:fldCharType="separate"/>
      </w:r>
      <w:r w:rsidR="00A323E5" w:rsidRPr="00A323E5">
        <w:t>1.</w:t>
      </w:r>
      <w:r w:rsidR="00A323E5" w:rsidRPr="00A323E5">
        <w:tab/>
        <w:t xml:space="preserve">Eising E, Mirza-Schreiber N, de Zeeuw EL, Wang CA, Truong DT, Allegrini AG, et al. Genome-wide analyses of individual differences in quantitatively assessed reading- and language-related skills in up to 34,000 people. Proc Natl Acad Sci U S A. 2022 Aug 30;119(35):e2202764119. </w:t>
      </w:r>
    </w:p>
    <w:p w14:paraId="285D1923" w14:textId="77777777" w:rsidR="00A323E5" w:rsidRPr="00A323E5" w:rsidRDefault="00A323E5" w:rsidP="00A323E5">
      <w:pPr>
        <w:pStyle w:val="Bibliography"/>
      </w:pPr>
      <w:r w:rsidRPr="00A323E5">
        <w:t>2.</w:t>
      </w:r>
      <w:r w:rsidRPr="00A323E5">
        <w:tab/>
        <w:t xml:space="preserve">Gibson JL, Newbury DF, Durkin K, Pickles A, Conti-Ramsden G, Toseeb U. Pathways from the early language and communication environment to literacy outcomes at the end of primary school; the roles of language development and social development. Oxford Review of Education. 2021 Mar 4;47(2):260–83. </w:t>
      </w:r>
    </w:p>
    <w:p w14:paraId="169A149B" w14:textId="77777777" w:rsidR="00A323E5" w:rsidRPr="00A323E5" w:rsidRDefault="00A323E5" w:rsidP="00A323E5">
      <w:pPr>
        <w:pStyle w:val="Bibliography"/>
      </w:pPr>
      <w:r w:rsidRPr="00A323E5">
        <w:t>3.</w:t>
      </w:r>
      <w:r w:rsidRPr="00A323E5">
        <w:tab/>
        <w:t xml:space="preserve">Romeo RR, Flournoy JC, McLaughlin KA, Lengua LJ. Language development as a mechanism linking socioeconomic status to executive functioning development in preschool. Dev Sci. 2022 Sep;25(5):e13227. </w:t>
      </w:r>
    </w:p>
    <w:p w14:paraId="30153D53" w14:textId="77777777" w:rsidR="00A323E5" w:rsidRPr="00A323E5" w:rsidRDefault="00A323E5" w:rsidP="00A323E5">
      <w:pPr>
        <w:pStyle w:val="Bibliography"/>
      </w:pPr>
      <w:r w:rsidRPr="00A323E5">
        <w:t>4.</w:t>
      </w:r>
      <w:r w:rsidRPr="00A323E5">
        <w:tab/>
        <w:t xml:space="preserve">Schoon I, Parsons S, Rush R, Law J. Children’s language ability and psychosocial development: a 29-year follow-up study. Pediatrics. 2010 Jul;126(1):e73-80. </w:t>
      </w:r>
    </w:p>
    <w:p w14:paraId="39DE69C7" w14:textId="77777777" w:rsidR="00A323E5" w:rsidRPr="00A323E5" w:rsidRDefault="00A323E5" w:rsidP="00A323E5">
      <w:pPr>
        <w:pStyle w:val="Bibliography"/>
      </w:pPr>
      <w:r w:rsidRPr="00A323E5">
        <w:t>5.</w:t>
      </w:r>
      <w:r w:rsidRPr="00A323E5">
        <w:tab/>
        <w:t xml:space="preserve">Snowdon DA, Greiner LH, Markesbery WR. Linguistic ability in early life and the neuropathology of Alzheimer’s disease and cerebrovascular disease. Findings from the Nun Study. Ann N Y Acad Sci. 2000 Apr;903:34–8. </w:t>
      </w:r>
    </w:p>
    <w:p w14:paraId="248CBBDB" w14:textId="77777777" w:rsidR="00A323E5" w:rsidRPr="00A323E5" w:rsidRDefault="00A323E5" w:rsidP="00A323E5">
      <w:pPr>
        <w:pStyle w:val="Bibliography"/>
      </w:pPr>
      <w:r w:rsidRPr="00A323E5">
        <w:t>6.</w:t>
      </w:r>
      <w:r w:rsidRPr="00A323E5">
        <w:tab/>
        <w:t xml:space="preserve">Snowdon DA, Kemper SJ, Mortimer JA, Greiner LH, Wekstein DR, Markesbery WR. Linguistic ability in early life and cognitive function and Alzheimer’s disease in late life. Findings from the Nun Study. JAMA. 1996 Feb 21;275(7):528–32. </w:t>
      </w:r>
    </w:p>
    <w:p w14:paraId="460F7BC0" w14:textId="77777777" w:rsidR="00A323E5" w:rsidRPr="00A323E5" w:rsidRDefault="00A323E5" w:rsidP="00A323E5">
      <w:pPr>
        <w:pStyle w:val="Bibliography"/>
      </w:pPr>
      <w:r w:rsidRPr="00A323E5">
        <w:t>7.</w:t>
      </w:r>
      <w:r w:rsidRPr="00A323E5">
        <w:tab/>
        <w:t xml:space="preserve">Pujol J, Soriano-Mas C, Ortiz H, Sebastián-Gallés N, Losilla JM, Deus J. Myelination of language-related areas in the developing brain. Neurology. 2006 Feb 14;66(3):339–43. </w:t>
      </w:r>
    </w:p>
    <w:p w14:paraId="5B0B619F" w14:textId="77777777" w:rsidR="00A323E5" w:rsidRPr="00A323E5" w:rsidRDefault="00A323E5" w:rsidP="00A323E5">
      <w:pPr>
        <w:pStyle w:val="Bibliography"/>
      </w:pPr>
      <w:r w:rsidRPr="00A323E5">
        <w:t>8.</w:t>
      </w:r>
      <w:r w:rsidRPr="00A323E5">
        <w:tab/>
        <w:t xml:space="preserve">Forbes TA, Gallo V. All Wrapped Up: Environmental Effects on Myelination. Trends Neurosci. 2017 Sep;40(9):572–87. </w:t>
      </w:r>
    </w:p>
    <w:p w14:paraId="5EACE7AD" w14:textId="77777777" w:rsidR="00A323E5" w:rsidRPr="00A323E5" w:rsidRDefault="00A323E5" w:rsidP="00A323E5">
      <w:pPr>
        <w:pStyle w:val="Bibliography"/>
      </w:pPr>
      <w:r w:rsidRPr="00A323E5">
        <w:t>9.</w:t>
      </w:r>
      <w:r w:rsidRPr="00A323E5">
        <w:tab/>
        <w:t xml:space="preserve">Liang J, Matheson BE, Kaye WH, Boutelle KN. Neurocognitive correlates of obesity and obesity-related behaviors in children and adolescents. Int J Obes (Lond). 2014 Apr;38(4):494–506. </w:t>
      </w:r>
    </w:p>
    <w:p w14:paraId="2A40CCAA" w14:textId="77777777" w:rsidR="00A323E5" w:rsidRPr="00A323E5" w:rsidRDefault="00A323E5" w:rsidP="00A323E5">
      <w:pPr>
        <w:pStyle w:val="Bibliography"/>
      </w:pPr>
      <w:r w:rsidRPr="00A323E5">
        <w:t>10.</w:t>
      </w:r>
      <w:r w:rsidRPr="00A323E5">
        <w:tab/>
        <w:t xml:space="preserve">Black N, Johnston DW, Peeters A. Childhood Obesity and Cognitive Achievement. Health Economics. 2015 Sep;24(9):1082–100. </w:t>
      </w:r>
    </w:p>
    <w:p w14:paraId="12F8500E" w14:textId="77777777" w:rsidR="00A323E5" w:rsidRPr="00A323E5" w:rsidRDefault="00A323E5" w:rsidP="00A323E5">
      <w:pPr>
        <w:pStyle w:val="Bibliography"/>
      </w:pPr>
      <w:r w:rsidRPr="00A323E5">
        <w:t>11.</w:t>
      </w:r>
      <w:r w:rsidRPr="00A323E5">
        <w:tab/>
        <w:t xml:space="preserve">Li N, Yolton K, Lanphear BP, Chen A, Kalkwarf HJ, Braun JM. Impact of Early-Life Weight Status on Cognitive Abilities in Children. Obesity (Silver Spring). 2018 Jun;26(6):1088–95. </w:t>
      </w:r>
    </w:p>
    <w:p w14:paraId="5B23E8B3" w14:textId="77777777" w:rsidR="00A323E5" w:rsidRPr="00A323E5" w:rsidRDefault="00A323E5" w:rsidP="00A323E5">
      <w:pPr>
        <w:pStyle w:val="Bibliography"/>
      </w:pPr>
      <w:r w:rsidRPr="00A323E5">
        <w:t>12.</w:t>
      </w:r>
      <w:r w:rsidRPr="00A323E5">
        <w:tab/>
        <w:t xml:space="preserve">Hemmingsson E. Early Childhood Obesity Risk Factors: Socioeconomic Adversity, Family Dysfunction, Offspring Distress, and Junk Food Self-Medication. Curr Obes Rep. 2018 Jun;7(2):204–9. </w:t>
      </w:r>
    </w:p>
    <w:p w14:paraId="0BA2FD09" w14:textId="77777777" w:rsidR="00A323E5" w:rsidRPr="00A323E5" w:rsidRDefault="00A323E5" w:rsidP="00A323E5">
      <w:pPr>
        <w:pStyle w:val="Bibliography"/>
      </w:pPr>
      <w:r w:rsidRPr="00A323E5">
        <w:t>13.</w:t>
      </w:r>
      <w:r w:rsidRPr="00A323E5">
        <w:tab/>
        <w:t xml:space="preserve">Noble KG, Houston SM, Brito NH, Bartsch H, Kan E, Kuperman JM, et al. Family income, parental education and brain structure in children and adolescents. Nat Neurosci. 2015 May;18(5):773–8. </w:t>
      </w:r>
    </w:p>
    <w:p w14:paraId="06D20C3A" w14:textId="77777777" w:rsidR="00A323E5" w:rsidRPr="00A323E5" w:rsidRDefault="00A323E5" w:rsidP="00A323E5">
      <w:pPr>
        <w:pStyle w:val="Bibliography"/>
      </w:pPr>
      <w:r w:rsidRPr="00A323E5">
        <w:t>14.</w:t>
      </w:r>
      <w:r w:rsidRPr="00A323E5">
        <w:tab/>
        <w:t xml:space="preserve">Ojalehto E, Zhan Y, Jylhävä J, Reynolds CA, Dahl Aslan AK, Karlsson IK. Genetically and environmentally predicted obesity in relation to cardiovascular disease: a nationwide cohort study. eClinicalMedicine. 2023 Apr;58:101943. </w:t>
      </w:r>
    </w:p>
    <w:p w14:paraId="432BCB43" w14:textId="77777777" w:rsidR="00A323E5" w:rsidRPr="00A323E5" w:rsidRDefault="00A323E5" w:rsidP="00A323E5">
      <w:pPr>
        <w:pStyle w:val="Bibliography"/>
      </w:pPr>
      <w:r w:rsidRPr="00A323E5">
        <w:t>15.</w:t>
      </w:r>
      <w:r w:rsidRPr="00A323E5">
        <w:tab/>
        <w:t xml:space="preserve">Ruan Y, Lin YF, Feng YCA, Chen CY, Lam M, Guo Z, et al. Improving polygenic prediction in ancestrally diverse populations. Nat Genet. 2022 May;54(5):573–80. </w:t>
      </w:r>
    </w:p>
    <w:p w14:paraId="02219A0B" w14:textId="77777777" w:rsidR="00A323E5" w:rsidRPr="00A323E5" w:rsidRDefault="00A323E5" w:rsidP="00A323E5">
      <w:pPr>
        <w:pStyle w:val="Bibliography"/>
      </w:pPr>
      <w:r w:rsidRPr="00A323E5">
        <w:t>16.</w:t>
      </w:r>
      <w:r w:rsidRPr="00A323E5">
        <w:tab/>
        <w:t xml:space="preserve">Hari Dass SA, McCracken K, Pokhvisneva I, Chen LM, Garg E, Nguyen TTT, et al. A biologically-informed polygenic score identifies endophenotypes and clinical conditions associated with the insulin receptor function on specific brain regions. EBioMedicine. 2019 Apr;42:188–202. </w:t>
      </w:r>
    </w:p>
    <w:p w14:paraId="5E1F3D29" w14:textId="77777777" w:rsidR="00A323E5" w:rsidRPr="00A323E5" w:rsidRDefault="00A323E5" w:rsidP="00A323E5">
      <w:pPr>
        <w:pStyle w:val="Bibliography"/>
      </w:pPr>
      <w:r w:rsidRPr="00A323E5">
        <w:t>17.</w:t>
      </w:r>
      <w:r w:rsidRPr="00A323E5">
        <w:tab/>
        <w:t xml:space="preserve">Vogelezang S, Bradfield JP, Ahluwalia TS, Curtin JA, Lakka TA, Grarup N, et al. Novel loci for childhood body mass index and shared heritability with adult cardiometabolic traits. Copenhaver GP, editor. PLoS Genet. 2020 Oct 12;16(10):e1008718. </w:t>
      </w:r>
    </w:p>
    <w:p w14:paraId="6F7A2B54" w14:textId="77777777" w:rsidR="00A323E5" w:rsidRPr="00A323E5" w:rsidRDefault="00A323E5" w:rsidP="00A323E5">
      <w:pPr>
        <w:pStyle w:val="Bibliography"/>
      </w:pPr>
      <w:r w:rsidRPr="00A323E5">
        <w:t>18.</w:t>
      </w:r>
      <w:r w:rsidRPr="00A323E5">
        <w:tab/>
        <w:t xml:space="preserve">Bradfield JP, Vogelezang S, Felix JF, Chesi A, Helgeland Ø, Horikoshi M, et al. A trans-ancestral meta-analysis of genome-wide association studies reveals loci associated with childhood obesity. Human Molecular Genetics. 2019 Oct 1;28(19):3327–38. </w:t>
      </w:r>
    </w:p>
    <w:p w14:paraId="3CDD39C4" w14:textId="77777777" w:rsidR="00A323E5" w:rsidRPr="00A323E5" w:rsidRDefault="00A323E5" w:rsidP="00A323E5">
      <w:pPr>
        <w:pStyle w:val="Bibliography"/>
      </w:pPr>
      <w:r w:rsidRPr="00A323E5">
        <w:t>19.</w:t>
      </w:r>
      <w:r w:rsidRPr="00A323E5">
        <w:tab/>
        <w:t xml:space="preserve">Richardson TG, Sanderson E, Elsworth B, Tilling K, Davey Smith G. Use of genetic variation to separate the effects of early and later life adiposity on disease risk: mendelian randomisation study. BMJ. 2020 May 6;369:m1203. </w:t>
      </w:r>
    </w:p>
    <w:p w14:paraId="0DFDDE9C" w14:textId="77777777" w:rsidR="00A323E5" w:rsidRPr="00A323E5" w:rsidRDefault="00A323E5" w:rsidP="00A323E5">
      <w:pPr>
        <w:pStyle w:val="Bibliography"/>
      </w:pPr>
      <w:r w:rsidRPr="00A323E5">
        <w:t>20.</w:t>
      </w:r>
      <w:r w:rsidRPr="00A323E5">
        <w:tab/>
        <w:t xml:space="preserve">Sakaue S, Kanai M, Tanigawa Y, Karjalainen J, Kurki M, Koshiba S, et al. A cross-population atlas of genetic associations for 220 human phenotypes. Nat Genet. 2021 Oct;53(10):1415–24. </w:t>
      </w:r>
    </w:p>
    <w:p w14:paraId="5F51C84F" w14:textId="77777777" w:rsidR="00A323E5" w:rsidRPr="00A323E5" w:rsidRDefault="00A323E5" w:rsidP="00A323E5">
      <w:pPr>
        <w:pStyle w:val="Bibliography"/>
      </w:pPr>
      <w:r w:rsidRPr="00A323E5">
        <w:t>21.</w:t>
      </w:r>
      <w:r w:rsidRPr="00A323E5">
        <w:tab/>
        <w:t xml:space="preserve">Yengo L, Sidorenko J, Kemper KE, Zheng Z, Wood AR, Weedon MN, et al. Meta-analysis of genome-wide association studies for height and body mass index in ∼700000 individuals of European ancestry. Hum Mol Genet. 2018 Oct 15;27(20):3641–9. </w:t>
      </w:r>
    </w:p>
    <w:p w14:paraId="5F7E5D08" w14:textId="77777777" w:rsidR="00A323E5" w:rsidRPr="00A323E5" w:rsidRDefault="00A323E5" w:rsidP="00A323E5">
      <w:pPr>
        <w:pStyle w:val="Bibliography"/>
      </w:pPr>
      <w:r w:rsidRPr="00A323E5">
        <w:t>22.</w:t>
      </w:r>
      <w:r w:rsidRPr="00A323E5">
        <w:tab/>
        <w:t xml:space="preserve">Soh SE, Tint MT, Gluckman PD, Godfrey KM, Rifkin-Graboi A, Chan YH, et al. Cohort profile: Growing Up in Singapore Towards healthy Outcomes (GUSTO) birth cohort study. Int J Epidemiol. 2014 Oct;43(5):1401–9. </w:t>
      </w:r>
    </w:p>
    <w:p w14:paraId="0DC3F00C" w14:textId="77777777" w:rsidR="00A323E5" w:rsidRPr="00A323E5" w:rsidRDefault="00A323E5" w:rsidP="00A323E5">
      <w:pPr>
        <w:pStyle w:val="Bibliography"/>
      </w:pPr>
      <w:r w:rsidRPr="00A323E5">
        <w:t>23.</w:t>
      </w:r>
      <w:r w:rsidRPr="00A323E5">
        <w:tab/>
        <w:t xml:space="preserve">Teh AL, Pan H, Chen L, Ong ML, Dogra S, Wong J, et al. The effect of genotype and in utero environment on interindividual variation in neonate DNA methylomes. Genome Res. 2014 Jul;24(7):1064–74. </w:t>
      </w:r>
    </w:p>
    <w:p w14:paraId="30DCC4AB" w14:textId="77777777" w:rsidR="00A323E5" w:rsidRPr="00A323E5" w:rsidRDefault="00A323E5" w:rsidP="00A323E5">
      <w:pPr>
        <w:pStyle w:val="Bibliography"/>
      </w:pPr>
      <w:r w:rsidRPr="00A323E5">
        <w:t>24.</w:t>
      </w:r>
      <w:r w:rsidRPr="00A323E5">
        <w:tab/>
        <w:t>Dunn LM, Dunn DM. Peabody Picture Vocabulary Test--Fourth Edition [Internet]. 2012 [cited 2024 Jan 7]. Available from: http://doi.apa.org/getdoi.cfm?doi=10.1037/t15144-000</w:t>
      </w:r>
    </w:p>
    <w:p w14:paraId="20719277" w14:textId="77777777" w:rsidR="00A323E5" w:rsidRPr="00A323E5" w:rsidRDefault="00A323E5" w:rsidP="00A323E5">
      <w:pPr>
        <w:pStyle w:val="Bibliography"/>
      </w:pPr>
      <w:r w:rsidRPr="00A323E5">
        <w:t>25.</w:t>
      </w:r>
      <w:r w:rsidRPr="00A323E5">
        <w:tab/>
        <w:t xml:space="preserve">Burns TG. Wechsler Individual Achievement Test-III: what is the “gold standard” for measuring academic achievement? Appl Neuropsychol. 2010 Jul;17(3):234–6. </w:t>
      </w:r>
    </w:p>
    <w:p w14:paraId="400C9780" w14:textId="77777777" w:rsidR="00A323E5" w:rsidRPr="00A323E5" w:rsidRDefault="00A323E5" w:rsidP="00A323E5">
      <w:pPr>
        <w:pStyle w:val="Bibliography"/>
      </w:pPr>
      <w:r w:rsidRPr="00A323E5">
        <w:t>26.</w:t>
      </w:r>
      <w:r w:rsidRPr="00A323E5">
        <w:tab/>
        <w:t xml:space="preserve">Assarsson E, Lundberg M, Holmquist G, Björkesten J, Bucht Thorsen S, Ekman D, et al. Homogenous 96-Plex PEA Immunoassay Exhibiting High Sensitivity, Specificity, and Excellent Scalability. Hoheisel JD, editor. PLoS ONE. 2014 Apr 22;9(4):e95192. </w:t>
      </w:r>
    </w:p>
    <w:p w14:paraId="3E1CF326" w14:textId="77777777" w:rsidR="00A323E5" w:rsidRPr="00A323E5" w:rsidRDefault="00A323E5" w:rsidP="00A323E5">
      <w:pPr>
        <w:pStyle w:val="Bibliography"/>
      </w:pPr>
      <w:r w:rsidRPr="00A323E5">
        <w:t>27.</w:t>
      </w:r>
      <w:r w:rsidRPr="00A323E5">
        <w:tab/>
        <w:t xml:space="preserve">Fields RD. White matter in learning, cognition and psychiatric disorders. Trends in Neurosciences. 2008 Jul;31(7):361–70. </w:t>
      </w:r>
    </w:p>
    <w:p w14:paraId="77A8D6FD" w14:textId="77777777" w:rsidR="00A323E5" w:rsidRPr="00A323E5" w:rsidRDefault="00A323E5" w:rsidP="00A323E5">
      <w:pPr>
        <w:pStyle w:val="Bibliography"/>
      </w:pPr>
      <w:r w:rsidRPr="00A323E5">
        <w:t>28.</w:t>
      </w:r>
      <w:r w:rsidRPr="00A323E5">
        <w:tab/>
        <w:t xml:space="preserve">Friederici AD. The brain basis of language processing: from structure to function. Physiol Rev. 2011 Oct;91(4):1357–92. </w:t>
      </w:r>
    </w:p>
    <w:p w14:paraId="234C8E1D" w14:textId="77777777" w:rsidR="00A323E5" w:rsidRPr="00A323E5" w:rsidRDefault="00A323E5" w:rsidP="00A323E5">
      <w:pPr>
        <w:pStyle w:val="Bibliography"/>
      </w:pPr>
      <w:r w:rsidRPr="00A323E5">
        <w:t>29.</w:t>
      </w:r>
      <w:r w:rsidRPr="00A323E5">
        <w:tab/>
        <w:t xml:space="preserve">Price CJ. The anatomy of language: a review of 100 fMRI studies published in 2009. Ann N Y Acad Sci. 2010 Mar;1191:62–88. </w:t>
      </w:r>
    </w:p>
    <w:p w14:paraId="4AF4BF15" w14:textId="77777777" w:rsidR="00A323E5" w:rsidRPr="00A323E5" w:rsidRDefault="00A323E5" w:rsidP="00A323E5">
      <w:pPr>
        <w:pStyle w:val="Bibliography"/>
      </w:pPr>
      <w:r w:rsidRPr="00A323E5">
        <w:t>30.</w:t>
      </w:r>
      <w:r w:rsidRPr="00A323E5">
        <w:tab/>
        <w:t xml:space="preserve">Friederici AD. Towards a neural basis of auditory sentence processing. Trends Cogn Sci. 2002 Feb 1;6(2):78–84. </w:t>
      </w:r>
    </w:p>
    <w:p w14:paraId="2A536C96" w14:textId="77777777" w:rsidR="00A323E5" w:rsidRPr="00A323E5" w:rsidRDefault="00A323E5" w:rsidP="00A323E5">
      <w:pPr>
        <w:pStyle w:val="Bibliography"/>
      </w:pPr>
      <w:r w:rsidRPr="00A323E5">
        <w:t>31.</w:t>
      </w:r>
      <w:r w:rsidRPr="00A323E5">
        <w:tab/>
        <w:t xml:space="preserve">Bulik-Sullivan BK, Loh PR, Finucane HK, Ripke S, Yang J, Schizophrenia Working Group of the Psychiatric Genomics Consortium, et al. LD Score regression distinguishes confounding from polygenicity in genome-wide association studies. Nat Genet. 2015 Mar;47(3):291–5. </w:t>
      </w:r>
    </w:p>
    <w:p w14:paraId="5D7975CE" w14:textId="77777777" w:rsidR="00A323E5" w:rsidRPr="00A323E5" w:rsidRDefault="00A323E5" w:rsidP="00A323E5">
      <w:pPr>
        <w:pStyle w:val="Bibliography"/>
      </w:pPr>
      <w:r w:rsidRPr="00A323E5">
        <w:t>32.</w:t>
      </w:r>
      <w:r w:rsidRPr="00A323E5">
        <w:tab/>
        <w:t xml:space="preserve">Giambartolomei C, Vukcevic D, Schadt EE, Franke L, Hingorani AD, Wallace C, et al. Bayesian Test for Colocalisation between Pairs of Genetic Association Studies Using Summary Statistics. Williams SM, editor. PLoS Genet. 2014 May 15;10(5):e1004383. </w:t>
      </w:r>
    </w:p>
    <w:p w14:paraId="17A94C56" w14:textId="77777777" w:rsidR="00A323E5" w:rsidRPr="00A323E5" w:rsidRDefault="00A323E5" w:rsidP="00A323E5">
      <w:pPr>
        <w:pStyle w:val="Bibliography"/>
      </w:pPr>
      <w:r w:rsidRPr="00A323E5">
        <w:t>33.</w:t>
      </w:r>
      <w:r w:rsidRPr="00A323E5">
        <w:tab/>
        <w:t xml:space="preserve">VanderWeele TJ. Principles of confounder selection. Eur J Epidemiol. 2019 Mar 15;34(3):211–9. </w:t>
      </w:r>
    </w:p>
    <w:p w14:paraId="54E23351" w14:textId="77777777" w:rsidR="00A323E5" w:rsidRPr="00A323E5" w:rsidRDefault="00A323E5" w:rsidP="00A323E5">
      <w:pPr>
        <w:pStyle w:val="Bibliography"/>
      </w:pPr>
      <w:r w:rsidRPr="00A323E5">
        <w:t>34.</w:t>
      </w:r>
      <w:r w:rsidRPr="00A323E5">
        <w:tab/>
        <w:t xml:space="preserve">Choi SW, O’Reilly PF. PRSice-2: Polygenic Risk Score software for biobank-scale data. GigaScience. 2019 Jul 1;8(7):giz082. </w:t>
      </w:r>
    </w:p>
    <w:p w14:paraId="04D78D7C" w14:textId="77777777" w:rsidR="00A323E5" w:rsidRPr="00A323E5" w:rsidRDefault="00A323E5" w:rsidP="00A323E5">
      <w:pPr>
        <w:pStyle w:val="Bibliography"/>
      </w:pPr>
      <w:r w:rsidRPr="00A323E5">
        <w:t>35.</w:t>
      </w:r>
      <w:r w:rsidRPr="00A323E5">
        <w:tab/>
        <w:t xml:space="preserve">Ballinger GA. Using Generalized Estimating Equations for Longitudinal Data Analysis. Organizational Research Methods. 2004 Apr;7(2):127–50. </w:t>
      </w:r>
    </w:p>
    <w:p w14:paraId="5C5B8677" w14:textId="77777777" w:rsidR="00A323E5" w:rsidRPr="00A323E5" w:rsidRDefault="00A323E5" w:rsidP="00A323E5">
      <w:pPr>
        <w:pStyle w:val="Bibliography"/>
      </w:pPr>
      <w:r w:rsidRPr="00A323E5">
        <w:t>36.</w:t>
      </w:r>
      <w:r w:rsidRPr="00A323E5">
        <w:tab/>
        <w:t xml:space="preserve">Sanderson E, Glymour MM, Holmes MV, Kang H, Morrison J, Munafò MR, et al. Mendelian randomization. Nat Rev Methods Primers. 2022 Feb 10;2(1):6. </w:t>
      </w:r>
    </w:p>
    <w:p w14:paraId="3E427AD1" w14:textId="77777777" w:rsidR="00A323E5" w:rsidRPr="00A323E5" w:rsidRDefault="00A323E5" w:rsidP="00A323E5">
      <w:pPr>
        <w:pStyle w:val="Bibliography"/>
      </w:pPr>
      <w:r w:rsidRPr="00A323E5">
        <w:t>37.</w:t>
      </w:r>
      <w:r w:rsidRPr="00A323E5">
        <w:tab/>
        <w:t xml:space="preserve">Hemani G, Tilling K, Davey Smith G. Orienting the causal relationship between imprecisely measured traits using GWAS summary data. PLoS Genet. 2017 Nov;13(11):e1007081. </w:t>
      </w:r>
    </w:p>
    <w:p w14:paraId="176E79DF" w14:textId="77777777" w:rsidR="00A323E5" w:rsidRPr="00A323E5" w:rsidRDefault="00A323E5" w:rsidP="00A323E5">
      <w:pPr>
        <w:pStyle w:val="Bibliography"/>
      </w:pPr>
      <w:r w:rsidRPr="00A323E5">
        <w:t>38.</w:t>
      </w:r>
      <w:r w:rsidRPr="00A323E5">
        <w:tab/>
        <w:t xml:space="preserve">Bowden J, Davey Smith G, Haycock PC, Burgess S. Consistent Estimation in Mendelian Randomization with Some Invalid Instruments Using a Weighted Median Estimator. Genet Epidemiol. 2016 May;40(4):304–14. </w:t>
      </w:r>
    </w:p>
    <w:p w14:paraId="0446209B" w14:textId="77777777" w:rsidR="00A323E5" w:rsidRPr="00A323E5" w:rsidRDefault="00A323E5" w:rsidP="00A323E5">
      <w:pPr>
        <w:pStyle w:val="Bibliography"/>
      </w:pPr>
      <w:r w:rsidRPr="00A323E5">
        <w:t>39.</w:t>
      </w:r>
      <w:r w:rsidRPr="00A323E5">
        <w:tab/>
        <w:t xml:space="preserve">Bowden J, Davey Smith G, Burgess S. Mendelian randomization with invalid instruments: effect estimation and bias detection through Egger regression. International Journal of Epidemiology. 2015 Apr 1;44(2):512–25. </w:t>
      </w:r>
    </w:p>
    <w:p w14:paraId="115D7D74" w14:textId="77777777" w:rsidR="00A323E5" w:rsidRPr="00A323E5" w:rsidRDefault="00A323E5" w:rsidP="00A323E5">
      <w:pPr>
        <w:pStyle w:val="Bibliography"/>
      </w:pPr>
      <w:r w:rsidRPr="00A323E5">
        <w:t>40.</w:t>
      </w:r>
      <w:r w:rsidRPr="00A323E5">
        <w:tab/>
        <w:t xml:space="preserve">Gkatzionis A, Burgess S, Conti DV, Newcombe PJ. Bayesian variable selection with a pleiotropic loss function in Mendelian randomization. Stat Med. 2021 Oct 15;40(23):5025–45. </w:t>
      </w:r>
    </w:p>
    <w:p w14:paraId="4AA285E2" w14:textId="77777777" w:rsidR="00A323E5" w:rsidRPr="00A323E5" w:rsidRDefault="00A323E5" w:rsidP="00A323E5">
      <w:pPr>
        <w:pStyle w:val="Bibliography"/>
      </w:pPr>
      <w:r w:rsidRPr="00A323E5">
        <w:t>41.</w:t>
      </w:r>
      <w:r w:rsidRPr="00A323E5">
        <w:tab/>
        <w:t xml:space="preserve">Bowden J, Spiller W, Del Greco M F, Sheehan N, Thompson J, Minelli C, et al. Improving the visualization, interpretation and analysis of two-sample summary data Mendelian randomization via the Radial plot and Radial regression. Int J Epidemiol. 2018 Aug 1;47(4):1264–78. </w:t>
      </w:r>
    </w:p>
    <w:p w14:paraId="57F71886" w14:textId="77777777" w:rsidR="00A323E5" w:rsidRPr="00A323E5" w:rsidRDefault="00A323E5" w:rsidP="00A323E5">
      <w:pPr>
        <w:pStyle w:val="Bibliography"/>
      </w:pPr>
      <w:r w:rsidRPr="00A323E5">
        <w:t>42.</w:t>
      </w:r>
      <w:r w:rsidRPr="00A323E5">
        <w:tab/>
        <w:t xml:space="preserve">Skrivankova VW, Richmond RC, Woolf BAR, Davies NM, Swanson SA, VanderWeele TJ, et al. Strengthening the reporting of observational studies in epidemiology using mendelian randomisation (STROBE-MR): explanation and elaboration. BMJ. 2021 Oct 26;n2233. </w:t>
      </w:r>
    </w:p>
    <w:p w14:paraId="3D74BC53" w14:textId="77777777" w:rsidR="00A323E5" w:rsidRPr="00A323E5" w:rsidRDefault="00A323E5" w:rsidP="00A323E5">
      <w:pPr>
        <w:pStyle w:val="Bibliography"/>
      </w:pPr>
      <w:r w:rsidRPr="00A323E5">
        <w:t>43.</w:t>
      </w:r>
      <w:r w:rsidRPr="00A323E5">
        <w:tab/>
        <w:t xml:space="preserve">Szklarczyk D, Kirsch R, Koutrouli M, Nastou K, Mehryary F, Hachilif R, et al. The STRING database in 2023: protein-protein association networks and functional enrichment analyses for any sequenced genome of interest. Nucleic Acids Res. 2023 Jan 6;51(D1):D638–46. </w:t>
      </w:r>
    </w:p>
    <w:p w14:paraId="4269885B" w14:textId="77777777" w:rsidR="00A323E5" w:rsidRPr="00A323E5" w:rsidRDefault="00A323E5" w:rsidP="00A323E5">
      <w:pPr>
        <w:pStyle w:val="Bibliography"/>
      </w:pPr>
      <w:r w:rsidRPr="00A323E5">
        <w:t>44.</w:t>
      </w:r>
      <w:r w:rsidRPr="00A323E5">
        <w:tab/>
        <w:t xml:space="preserve">Dunn R, Dudbridge F, Sanderson CM. The Use of Edge-Betweenness Clustering to Investigate Biological Function in Protein Interaction Networks. BMC Bioinformatics. 2005;6(1):39. </w:t>
      </w:r>
    </w:p>
    <w:p w14:paraId="65A0DA7B" w14:textId="77777777" w:rsidR="00A323E5" w:rsidRPr="00A323E5" w:rsidRDefault="00A323E5" w:rsidP="00A323E5">
      <w:pPr>
        <w:pStyle w:val="Bibliography"/>
      </w:pPr>
      <w:r w:rsidRPr="00A323E5">
        <w:t>45.</w:t>
      </w:r>
      <w:r w:rsidRPr="00A323E5">
        <w:tab/>
        <w:t xml:space="preserve">Bobb JF, Claus Henn B, Valeri L, Coull BA. Statistical software for analyzing the health effects of multiple concurrent exposures via Bayesian kernel machine regression. Environ Health. 2018 Dec;17(1):67. </w:t>
      </w:r>
    </w:p>
    <w:p w14:paraId="66EA8F33" w14:textId="77777777" w:rsidR="00A323E5" w:rsidRPr="00A323E5" w:rsidRDefault="00A323E5" w:rsidP="00A323E5">
      <w:pPr>
        <w:pStyle w:val="Bibliography"/>
      </w:pPr>
      <w:r w:rsidRPr="00A323E5">
        <w:t>46.</w:t>
      </w:r>
      <w:r w:rsidRPr="00A323E5">
        <w:tab/>
        <w:t xml:space="preserve">Huang J, Tan AP, Law E, Godfrey KM, Qiu A, Daniel LM, et al. Maternal preconception circulating blood biomarker mixtures, child behavioural symptom scores and the potential mediating role of neonatal brain microstructure: the S-PRESTO cohort. Transl Psychiatry. 2023 Feb 3;13(1):38. </w:t>
      </w:r>
    </w:p>
    <w:p w14:paraId="4F8494A8" w14:textId="77777777" w:rsidR="00A323E5" w:rsidRPr="00A323E5" w:rsidRDefault="00A323E5" w:rsidP="00A323E5">
      <w:pPr>
        <w:pStyle w:val="Bibliography"/>
      </w:pPr>
      <w:r w:rsidRPr="00A323E5">
        <w:t>47.</w:t>
      </w:r>
      <w:r w:rsidRPr="00A323E5">
        <w:tab/>
        <w:t xml:space="preserve">Hamra G, MacLehose R, Richardson D. Markov chain Monte Carlo: an introduction for epidemiologists. Int J Epidemiol. 2013 Apr;42(2):627–34. </w:t>
      </w:r>
    </w:p>
    <w:p w14:paraId="2C47D7E9" w14:textId="77777777" w:rsidR="00A323E5" w:rsidRPr="00A323E5" w:rsidRDefault="00A323E5" w:rsidP="00A323E5">
      <w:pPr>
        <w:pStyle w:val="Bibliography"/>
      </w:pPr>
      <w:r w:rsidRPr="00A323E5">
        <w:t>48.</w:t>
      </w:r>
      <w:r w:rsidRPr="00A323E5">
        <w:tab/>
        <w:t xml:space="preserve">VanderWeele TJ. A unification of mediation and interaction: a 4-way decomposition. Epidemiology. 2014 Sep;25(5):749–61. </w:t>
      </w:r>
    </w:p>
    <w:p w14:paraId="5B32C82E" w14:textId="77777777" w:rsidR="00A323E5" w:rsidRPr="00A323E5" w:rsidRDefault="00A323E5" w:rsidP="00A323E5">
      <w:pPr>
        <w:pStyle w:val="Bibliography"/>
      </w:pPr>
      <w:r w:rsidRPr="00A323E5">
        <w:t>49.</w:t>
      </w:r>
      <w:r w:rsidRPr="00A323E5">
        <w:tab/>
        <w:t xml:space="preserve">Corrigan NM, Yarnykh VL, Huber E, Zhao TC, Kuhl PK. Brain myelination at 7 months of age predicts later language development. NeuroImage. 2022 Nov;263:119641. </w:t>
      </w:r>
    </w:p>
    <w:p w14:paraId="463671F0" w14:textId="77777777" w:rsidR="00A323E5" w:rsidRPr="00A323E5" w:rsidRDefault="00A323E5" w:rsidP="00A323E5">
      <w:pPr>
        <w:pStyle w:val="Bibliography"/>
      </w:pPr>
      <w:r w:rsidRPr="00A323E5">
        <w:t>50.</w:t>
      </w:r>
      <w:r w:rsidRPr="00A323E5">
        <w:tab/>
        <w:t xml:space="preserve">Miguel PM, Pereira LO, Barth B, de Mendonça Filho EJ, Pokhvisneva I, Nguyen TTT, et al. Prefrontal Cortex Dopamine Transporter Gene Network Moderates the Effect of Perinatal Hypoxic-Ischemic Conditions on Cognitive Flexibility and Brain Gray Matter Density in Children. Biol Psychiatry. 2019 Oct 15;86(8):621–30. </w:t>
      </w:r>
    </w:p>
    <w:p w14:paraId="31BDED3D" w14:textId="77777777" w:rsidR="00A323E5" w:rsidRPr="00A323E5" w:rsidRDefault="00A323E5" w:rsidP="00A323E5">
      <w:pPr>
        <w:pStyle w:val="Bibliography"/>
      </w:pPr>
      <w:r w:rsidRPr="00A323E5">
        <w:t>51.</w:t>
      </w:r>
      <w:r w:rsidRPr="00A323E5">
        <w:tab/>
        <w:t xml:space="preserve">GTEx Consortium. The GTEx Consortium atlas of genetic regulatory effects across human tissues. Science. 2020 Sep 11;369(6509):1318–30. </w:t>
      </w:r>
    </w:p>
    <w:p w14:paraId="5E4309F6" w14:textId="77777777" w:rsidR="00A323E5" w:rsidRPr="00A323E5" w:rsidRDefault="00A323E5" w:rsidP="00A323E5">
      <w:pPr>
        <w:pStyle w:val="Bibliography"/>
      </w:pPr>
      <w:r w:rsidRPr="00A323E5">
        <w:t>52.</w:t>
      </w:r>
      <w:r w:rsidRPr="00A323E5">
        <w:tab/>
        <w:t xml:space="preserve">Chen LM, Yao N, Garg E, Zhu Y, Nguyen TTT, Pokhvisneva I, et al. PRS-on-Spark (PRSoS): a novel, efficient and flexible approach for generating polygenic risk scores. BMC Bioinformatics. 2018 Dec;19(1):295. </w:t>
      </w:r>
    </w:p>
    <w:p w14:paraId="4CE2032D" w14:textId="77777777" w:rsidR="00A323E5" w:rsidRPr="00A323E5" w:rsidRDefault="00A323E5" w:rsidP="00A323E5">
      <w:pPr>
        <w:pStyle w:val="Bibliography"/>
      </w:pPr>
      <w:r w:rsidRPr="00A323E5">
        <w:t>53.</w:t>
      </w:r>
      <w:r w:rsidRPr="00A323E5">
        <w:tab/>
        <w:t xml:space="preserve">Chen R, Yang X, Zhang B, Wang S, Bao S, Gu Y, et al. EphA4 Negatively Regulates Myelination by Inhibiting Schwann Cell Differentiation in the Peripheral Nervous System. Front Neurosci. 2019;13:1191. </w:t>
      </w:r>
    </w:p>
    <w:p w14:paraId="15A0A2E7" w14:textId="77777777" w:rsidR="00A323E5" w:rsidRPr="00A323E5" w:rsidRDefault="00A323E5" w:rsidP="00A323E5">
      <w:pPr>
        <w:pStyle w:val="Bibliography"/>
      </w:pPr>
      <w:r w:rsidRPr="00A323E5">
        <w:t>54.</w:t>
      </w:r>
      <w:r w:rsidRPr="00A323E5">
        <w:tab/>
        <w:t xml:space="preserve">Klein R. Bidirectional modulation of synaptic functions by Eph/ephrin signaling. Nat Neurosci. 2009 Jan;12(1):15–20. </w:t>
      </w:r>
    </w:p>
    <w:p w14:paraId="4E962B51" w14:textId="77777777" w:rsidR="00A323E5" w:rsidRPr="00A323E5" w:rsidRDefault="00A323E5" w:rsidP="00A323E5">
      <w:pPr>
        <w:pStyle w:val="Bibliography"/>
      </w:pPr>
      <w:r w:rsidRPr="00A323E5">
        <w:t>55.</w:t>
      </w:r>
      <w:r w:rsidRPr="00A323E5">
        <w:tab/>
        <w:t xml:space="preserve">Shu Y, Xiao B, Wu Q, Liu T, Du Y, Tang H, et al. The Ephrin-A5/EphA4 Interaction Modulates Neurogenesis and Angiogenesis by the p-Akt and p-ERK Pathways in a Mouse Model of TLE. Mol Neurobiol. 2016 Jan;53(1):561–76. </w:t>
      </w:r>
    </w:p>
    <w:p w14:paraId="7208B37D" w14:textId="77777777" w:rsidR="00A323E5" w:rsidRPr="00A323E5" w:rsidRDefault="00A323E5" w:rsidP="00A323E5">
      <w:pPr>
        <w:pStyle w:val="Bibliography"/>
      </w:pPr>
      <w:r w:rsidRPr="00A323E5">
        <w:t>56.</w:t>
      </w:r>
      <w:r w:rsidRPr="00A323E5">
        <w:tab/>
        <w:t xml:space="preserve">Fibla L, Forbes SH, McCarthy J, Mee K, Magnotta V, Deoni S, et al. Language Exposure and Brain Myelination in Early Development. J Neurosci. 2023 Jun 7;43(23):4279–90. </w:t>
      </w:r>
    </w:p>
    <w:p w14:paraId="52DAC648" w14:textId="77777777" w:rsidR="00A323E5" w:rsidRPr="00A323E5" w:rsidRDefault="00A323E5" w:rsidP="00A323E5">
      <w:pPr>
        <w:pStyle w:val="Bibliography"/>
      </w:pPr>
      <w:r w:rsidRPr="00A323E5">
        <w:t>57.</w:t>
      </w:r>
      <w:r w:rsidRPr="00A323E5">
        <w:tab/>
        <w:t xml:space="preserve">Del Tufo SN, Earle FS, Cutting LE. The impact of expressive language development and the left inferior longitudinal fasciculus on listening and reading comprehension. J Neurodevelop Disord. 2019 Dec;11(1):37. </w:t>
      </w:r>
    </w:p>
    <w:p w14:paraId="2DF5AC5F" w14:textId="77777777" w:rsidR="00A323E5" w:rsidRPr="00A323E5" w:rsidRDefault="00A323E5" w:rsidP="00A323E5">
      <w:pPr>
        <w:pStyle w:val="Bibliography"/>
      </w:pPr>
      <w:r w:rsidRPr="00A323E5">
        <w:t>58.</w:t>
      </w:r>
      <w:r w:rsidRPr="00A323E5">
        <w:tab/>
        <w:t xml:space="preserve">Altieri R, Melcarne A, Junemann C, Zeppa P, Zenga F, Garbossa D, et al. Inferior Fronto-Occipital fascicle anatomy in brain tumor surgeries: From anatomy lab to surgical theater. Journal of Clinical Neuroscience. 2019 Oct;68:290–4. </w:t>
      </w:r>
    </w:p>
    <w:p w14:paraId="44E287C9" w14:textId="77777777" w:rsidR="00A323E5" w:rsidRPr="00A323E5" w:rsidRDefault="00A323E5" w:rsidP="00A323E5">
      <w:pPr>
        <w:pStyle w:val="Bibliography"/>
      </w:pPr>
      <w:r w:rsidRPr="00A323E5">
        <w:t>59.</w:t>
      </w:r>
      <w:r w:rsidRPr="00A323E5">
        <w:tab/>
        <w:t xml:space="preserve">Tranchevent LC, Halder R, Glaab E. Systems level analysis of sex-dependent gene expression changes in Parkinson’s disease. npj Parkinsons Dis. 2023 Jan 21;9(1):8. </w:t>
      </w:r>
    </w:p>
    <w:p w14:paraId="41800A9A" w14:textId="77777777" w:rsidR="00A323E5" w:rsidRPr="00A323E5" w:rsidRDefault="00A323E5" w:rsidP="00A323E5">
      <w:pPr>
        <w:pStyle w:val="Bibliography"/>
      </w:pPr>
      <w:r w:rsidRPr="00A323E5">
        <w:t>60.</w:t>
      </w:r>
      <w:r w:rsidRPr="00A323E5">
        <w:tab/>
        <w:t xml:space="preserve">Chatterjee M, Schild D, Teunissen CE. Contactins in the central nervous system: role in health and disease. Neural Regen Res. 2019 Feb;14(2):206–16. </w:t>
      </w:r>
    </w:p>
    <w:p w14:paraId="682394F4" w14:textId="77777777" w:rsidR="00A323E5" w:rsidRPr="00A323E5" w:rsidRDefault="00A323E5" w:rsidP="00A323E5">
      <w:pPr>
        <w:pStyle w:val="Bibliography"/>
      </w:pPr>
      <w:r w:rsidRPr="00A323E5">
        <w:t>61.</w:t>
      </w:r>
      <w:r w:rsidRPr="00A323E5">
        <w:tab/>
        <w:t xml:space="preserve">Hart CG, Karimi-Abdolrezaee S. Bone morphogenetic proteins: New insights into their roles and mechanisms in CNS development, pathology and repair. Experimental Neurology. 2020 Dec;334:113455. </w:t>
      </w:r>
    </w:p>
    <w:p w14:paraId="38163AC5" w14:textId="77777777" w:rsidR="00A323E5" w:rsidRPr="00A323E5" w:rsidRDefault="00A323E5" w:rsidP="00A323E5">
      <w:pPr>
        <w:pStyle w:val="Bibliography"/>
      </w:pPr>
      <w:r w:rsidRPr="00A323E5">
        <w:t>62.</w:t>
      </w:r>
      <w:r w:rsidRPr="00A323E5">
        <w:tab/>
        <w:t xml:space="preserve">Oh HSH, Rutledge J, Nachun D, Pálovics R, Abiose O, Moran-Losada P, et al. Organ aging signatures in the plasma proteome track health and disease. Nature. 2023 Dec 7;624(7990):164–72. </w:t>
      </w:r>
    </w:p>
    <w:p w14:paraId="47D96125" w14:textId="77777777" w:rsidR="00A323E5" w:rsidRPr="00A323E5" w:rsidRDefault="00A323E5" w:rsidP="00A323E5">
      <w:pPr>
        <w:pStyle w:val="Bibliography"/>
      </w:pPr>
      <w:r w:rsidRPr="00A323E5">
        <w:t>63.</w:t>
      </w:r>
      <w:r w:rsidRPr="00A323E5">
        <w:tab/>
        <w:t xml:space="preserve">You J, Guo Y, Zhang Y, Kang JJ, Wang LB, Feng JF, et al. Plasma proteomic profiles predict individual future health risk. Nat Commun. 2023 Nov 28;14(1):7817. </w:t>
      </w:r>
    </w:p>
    <w:p w14:paraId="7970B083" w14:textId="77777777" w:rsidR="00A323E5" w:rsidRPr="00A323E5" w:rsidRDefault="00A323E5" w:rsidP="00A323E5">
      <w:pPr>
        <w:pStyle w:val="Bibliography"/>
      </w:pPr>
      <w:r w:rsidRPr="00A323E5">
        <w:t>64.</w:t>
      </w:r>
      <w:r w:rsidRPr="00A323E5">
        <w:tab/>
        <w:t xml:space="preserve">Harris SE, Cox SR, Bell S, Marioni RE, Prins BP, Pattie A, et al. Neurology-related protein biomarkers are associated with cognitive ability and brain volume in older age. Nat Commun. 2020 Feb 10;11(1):800. </w:t>
      </w:r>
    </w:p>
    <w:p w14:paraId="73309D41" w14:textId="77777777" w:rsidR="00A323E5" w:rsidRPr="00A323E5" w:rsidRDefault="00A323E5" w:rsidP="00A323E5">
      <w:pPr>
        <w:pStyle w:val="Bibliography"/>
      </w:pPr>
      <w:r w:rsidRPr="00A323E5">
        <w:t>65.</w:t>
      </w:r>
      <w:r w:rsidRPr="00A323E5">
        <w:tab/>
        <w:t xml:space="preserve">Gudgeon J, Marín-Rubio JL, Trost M. The role of macrophage scavenger receptor 1 (MSR1) in inflammatory disorders and cancer. Front Immunol. 2022;13:1012002. </w:t>
      </w:r>
    </w:p>
    <w:p w14:paraId="2B0DB6A2" w14:textId="77777777" w:rsidR="00A323E5" w:rsidRPr="00A323E5" w:rsidRDefault="00A323E5" w:rsidP="00A323E5">
      <w:pPr>
        <w:pStyle w:val="Bibliography"/>
      </w:pPr>
      <w:r w:rsidRPr="00A323E5">
        <w:t>66.</w:t>
      </w:r>
      <w:r w:rsidRPr="00A323E5">
        <w:tab/>
        <w:t xml:space="preserve">Chu EM, Tai DC, Beer JL, Hill JS. Macrophage heterogeneity and cholesterol homeostasis: classically-activated macrophages are associated with reduced cholesterol accumulation following treatment with oxidized LDL. Biochim Biophys Acta. 2013 Feb;1831(2):378–86. </w:t>
      </w:r>
    </w:p>
    <w:p w14:paraId="48242D9B" w14:textId="77777777" w:rsidR="00A323E5" w:rsidRPr="00A323E5" w:rsidRDefault="00A323E5" w:rsidP="00A323E5">
      <w:pPr>
        <w:pStyle w:val="Bibliography"/>
      </w:pPr>
      <w:r w:rsidRPr="00A323E5">
        <w:t>67.</w:t>
      </w:r>
      <w:r w:rsidRPr="00A323E5">
        <w:tab/>
        <w:t xml:space="preserve">Gamba P, Testa G, Gargiulo S, Staurenghi E, Poli G, Leonarduzzi G. Oxidized cholesterol as the driving force behind the development of Alzheimer’s disease. Front Aging Neurosci. 2015;7:119. </w:t>
      </w:r>
    </w:p>
    <w:p w14:paraId="2EF67B76" w14:textId="77777777" w:rsidR="00A323E5" w:rsidRPr="00A323E5" w:rsidRDefault="00A323E5" w:rsidP="00A323E5">
      <w:pPr>
        <w:pStyle w:val="Bibliography"/>
      </w:pPr>
      <w:r w:rsidRPr="00A323E5">
        <w:t>68.</w:t>
      </w:r>
      <w:r w:rsidRPr="00A323E5">
        <w:tab/>
        <w:t xml:space="preserve">Tin A, Fohner AE, Yang Q, Brody JA, Davies G, Yao J, et al. Identification of circulating proteins associated with general cognitive function among middle-aged and older adults. Commun Biol. 2023 Nov 3;6(1):1117. </w:t>
      </w:r>
    </w:p>
    <w:p w14:paraId="40EB23C7" w14:textId="77777777" w:rsidR="00A323E5" w:rsidRPr="00A323E5" w:rsidRDefault="00A323E5" w:rsidP="00A323E5">
      <w:pPr>
        <w:pStyle w:val="Bibliography"/>
      </w:pPr>
      <w:r w:rsidRPr="00A323E5">
        <w:t>69.</w:t>
      </w:r>
      <w:r w:rsidRPr="00A323E5">
        <w:tab/>
        <w:t xml:space="preserve">Malik-Moraleda S, Ayyash D, Gallée J, Affourtit J, Hoffmann M, Mineroff Z, et al. An investigation across 45 languages and 12 language families reveals a universal language network. Nat Neurosci. 2022 Aug;25(8):1014–9. </w:t>
      </w:r>
    </w:p>
    <w:p w14:paraId="17C84ED4" w14:textId="77777777" w:rsidR="00A323E5" w:rsidRPr="00A323E5" w:rsidRDefault="00A323E5" w:rsidP="00A323E5">
      <w:pPr>
        <w:pStyle w:val="Bibliography"/>
      </w:pPr>
      <w:r w:rsidRPr="00A323E5">
        <w:t>70.</w:t>
      </w:r>
      <w:r w:rsidRPr="00A323E5">
        <w:tab/>
        <w:t xml:space="preserve">Adams C, Lockton E, Freed J, Gaile J, Earl G, McBean K, et al. The Social Communication Intervention Project: a randomized controlled trial of the effectiveness of speech and language therapy for school‐age children who have pragmatic and social communication problems with or without autism spectrum disorder. Intl J Lang &amp; Comm Disor. 2012 May;47(3):233–44. </w:t>
      </w:r>
    </w:p>
    <w:p w14:paraId="2E50BDC0" w14:textId="572E6433" w:rsidR="00E719FC" w:rsidRPr="00D52239" w:rsidRDefault="00352423">
      <w:pPr>
        <w:widowControl w:val="0"/>
        <w:pBdr>
          <w:top w:val="nil"/>
          <w:left w:val="nil"/>
          <w:bottom w:val="nil"/>
          <w:right w:val="nil"/>
          <w:between w:val="nil"/>
        </w:pBdr>
        <w:spacing w:line="480" w:lineRule="auto"/>
        <w:ind w:left="264" w:hanging="264"/>
        <w:rPr>
          <w:b/>
        </w:rPr>
      </w:pPr>
      <w:r w:rsidRPr="00D52239">
        <w:fldChar w:fldCharType="end"/>
      </w:r>
    </w:p>
    <w:p w14:paraId="2E50BDC1" w14:textId="77777777" w:rsidR="00E719FC" w:rsidRPr="00D52239" w:rsidRDefault="007C7450">
      <w:pPr>
        <w:spacing w:line="480" w:lineRule="auto"/>
        <w:ind w:left="264" w:hanging="264"/>
        <w:rPr>
          <w:b/>
        </w:rPr>
      </w:pPr>
      <w:r w:rsidRPr="00D52239">
        <w:br w:type="page"/>
      </w:r>
    </w:p>
    <w:p w14:paraId="2E50BDC2" w14:textId="77777777" w:rsidR="00E719FC" w:rsidRDefault="007C7450">
      <w:pPr>
        <w:pStyle w:val="Heading1"/>
        <w:pBdr>
          <w:top w:val="nil"/>
          <w:left w:val="nil"/>
          <w:bottom w:val="nil"/>
          <w:right w:val="nil"/>
          <w:between w:val="nil"/>
        </w:pBdr>
      </w:pPr>
      <w:bookmarkStart w:id="20" w:name="_hcsi70mqdfa2" w:colFirst="0" w:colLast="0"/>
      <w:bookmarkEnd w:id="20"/>
      <w:r w:rsidRPr="00D52239">
        <w:t>Tables</w:t>
      </w:r>
    </w:p>
    <w:p w14:paraId="5FD53EE8" w14:textId="2C0DAB70" w:rsidR="00BA49FB" w:rsidRPr="00D52239" w:rsidRDefault="00BA49FB" w:rsidP="00BA49FB">
      <w:r w:rsidRPr="00D52239">
        <w:t xml:space="preserve">Table </w:t>
      </w:r>
      <w:r>
        <w:t>1.</w:t>
      </w:r>
      <w:r w:rsidRPr="00D52239">
        <w:t xml:space="preserve"> </w:t>
      </w:r>
      <w:r>
        <w:t>Genetic</w:t>
      </w:r>
      <w:r w:rsidRPr="00D52239">
        <w:t xml:space="preserve"> correlation and colocalisation for obesity-related traits and language-related skills</w:t>
      </w:r>
      <w:r>
        <w:t xml:space="preserve"> based on summary-level data</w:t>
      </w:r>
    </w:p>
    <w:tbl>
      <w:tblPr>
        <w:tblStyle w:val="a1"/>
        <w:tblW w:w="10065" w:type="dxa"/>
        <w:tblBorders>
          <w:top w:val="nil"/>
          <w:left w:val="nil"/>
          <w:bottom w:val="nil"/>
          <w:right w:val="nil"/>
          <w:insideH w:val="nil"/>
          <w:insideV w:val="nil"/>
        </w:tblBorders>
        <w:tblLayout w:type="fixed"/>
        <w:tblLook w:val="0600" w:firstRow="0" w:lastRow="0" w:firstColumn="0" w:lastColumn="0" w:noHBand="1" w:noVBand="1"/>
      </w:tblPr>
      <w:tblGrid>
        <w:gridCol w:w="1972"/>
        <w:gridCol w:w="2070"/>
        <w:gridCol w:w="810"/>
        <w:gridCol w:w="990"/>
        <w:gridCol w:w="1710"/>
        <w:gridCol w:w="278"/>
        <w:gridCol w:w="1380"/>
        <w:gridCol w:w="855"/>
      </w:tblGrid>
      <w:tr w:rsidR="00C32481" w:rsidRPr="00D52239" w14:paraId="3ED71314" w14:textId="77777777" w:rsidTr="000F766F">
        <w:tc>
          <w:tcPr>
            <w:tcW w:w="1972"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12DB3548" w14:textId="77777777" w:rsidR="00C32481" w:rsidRPr="00D52239" w:rsidRDefault="00C32481" w:rsidP="006C30CD">
            <w:pPr>
              <w:widowControl w:val="0"/>
              <w:jc w:val="center"/>
              <w:rPr>
                <w:b/>
                <w:sz w:val="20"/>
                <w:szCs w:val="20"/>
              </w:rPr>
            </w:pPr>
            <w:r w:rsidRPr="00D52239">
              <w:rPr>
                <w:b/>
                <w:sz w:val="20"/>
                <w:szCs w:val="20"/>
              </w:rPr>
              <w:t>Obesity-related trait</w:t>
            </w:r>
          </w:p>
        </w:tc>
        <w:tc>
          <w:tcPr>
            <w:tcW w:w="2070"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7E97CD50" w14:textId="77777777" w:rsidR="00C32481" w:rsidRPr="00D52239" w:rsidRDefault="00C32481" w:rsidP="006C30CD">
            <w:pPr>
              <w:widowControl w:val="0"/>
              <w:jc w:val="center"/>
              <w:rPr>
                <w:b/>
                <w:sz w:val="20"/>
                <w:szCs w:val="20"/>
              </w:rPr>
            </w:pPr>
            <w:r w:rsidRPr="00D52239">
              <w:rPr>
                <w:b/>
                <w:sz w:val="20"/>
                <w:szCs w:val="20"/>
              </w:rPr>
              <w:t>Language-related skill</w:t>
            </w:r>
          </w:p>
        </w:tc>
        <w:tc>
          <w:tcPr>
            <w:tcW w:w="3510"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34B5501" w14:textId="148F7F59" w:rsidR="00C32481" w:rsidRPr="00D52239" w:rsidRDefault="00C32481" w:rsidP="006C30CD">
            <w:pPr>
              <w:widowControl w:val="0"/>
              <w:jc w:val="center"/>
              <w:rPr>
                <w:b/>
                <w:sz w:val="20"/>
                <w:szCs w:val="20"/>
              </w:rPr>
            </w:pPr>
            <w:r w:rsidRPr="00D52239">
              <w:rPr>
                <w:b/>
                <w:sz w:val="20"/>
                <w:szCs w:val="20"/>
              </w:rPr>
              <w:t>Genetic correlation</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CDBD70F" w14:textId="2AB66B9E" w:rsidR="00C32481" w:rsidRPr="000F766F" w:rsidRDefault="00C32481" w:rsidP="000F766F">
            <w:pPr>
              <w:widowControl w:val="0"/>
              <w:rPr>
                <w:bCs/>
                <w:sz w:val="20"/>
                <w:szCs w:val="20"/>
              </w:rPr>
            </w:pPr>
          </w:p>
        </w:tc>
        <w:tc>
          <w:tcPr>
            <w:tcW w:w="2235" w:type="dxa"/>
            <w:gridSpan w:val="2"/>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8D6430D" w14:textId="77777777" w:rsidR="00C32481" w:rsidRPr="00D52239" w:rsidRDefault="00C32481" w:rsidP="006C30CD">
            <w:pPr>
              <w:widowControl w:val="0"/>
              <w:jc w:val="center"/>
              <w:rPr>
                <w:b/>
                <w:sz w:val="20"/>
                <w:szCs w:val="20"/>
              </w:rPr>
            </w:pPr>
            <w:r w:rsidRPr="00D52239">
              <w:rPr>
                <w:b/>
                <w:sz w:val="20"/>
                <w:szCs w:val="20"/>
              </w:rPr>
              <w:t>Genetic colocalisation</w:t>
            </w:r>
          </w:p>
        </w:tc>
      </w:tr>
      <w:tr w:rsidR="00C32481" w:rsidRPr="00D52239" w14:paraId="63046304" w14:textId="77777777" w:rsidTr="000F766F">
        <w:tc>
          <w:tcPr>
            <w:tcW w:w="1972" w:type="dxa"/>
            <w:vMerge/>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C03B96F" w14:textId="77777777" w:rsidR="00C32481" w:rsidRPr="00D52239" w:rsidRDefault="00C32481" w:rsidP="006C30CD">
            <w:pPr>
              <w:widowControl w:val="0"/>
              <w:spacing w:line="240" w:lineRule="auto"/>
              <w:rPr>
                <w:sz w:val="20"/>
                <w:szCs w:val="20"/>
              </w:rPr>
            </w:pPr>
          </w:p>
        </w:tc>
        <w:tc>
          <w:tcPr>
            <w:tcW w:w="2070" w:type="dxa"/>
            <w:vMerge/>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5EDC8FE" w14:textId="77777777" w:rsidR="00C32481" w:rsidRPr="00D52239" w:rsidRDefault="00C32481" w:rsidP="006C30CD">
            <w:pPr>
              <w:widowControl w:val="0"/>
              <w:spacing w:line="240" w:lineRule="auto"/>
              <w:rPr>
                <w:sz w:val="20"/>
                <w:szCs w:val="20"/>
              </w:rPr>
            </w:pP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C16ED23" w14:textId="77777777" w:rsidR="00C32481" w:rsidRPr="00D52239" w:rsidRDefault="00C32481" w:rsidP="006C30CD">
            <w:pPr>
              <w:widowControl w:val="0"/>
              <w:jc w:val="center"/>
              <w:rPr>
                <w:b/>
                <w:sz w:val="20"/>
                <w:szCs w:val="20"/>
                <w:vertAlign w:val="subscript"/>
              </w:rPr>
            </w:pPr>
            <w:r w:rsidRPr="00D52239">
              <w:rPr>
                <w:b/>
                <w:sz w:val="20"/>
                <w:szCs w:val="20"/>
              </w:rPr>
              <w:t>r</w:t>
            </w:r>
            <w:r w:rsidRPr="00D52239">
              <w:rPr>
                <w:b/>
                <w:sz w:val="20"/>
                <w:szCs w:val="20"/>
                <w:vertAlign w:val="subscript"/>
              </w:rPr>
              <w:t>g</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6942677" w14:textId="2BD1FE33" w:rsidR="00C32481" w:rsidRPr="00D52239" w:rsidRDefault="00C32481" w:rsidP="006C30CD">
            <w:pPr>
              <w:widowControl w:val="0"/>
              <w:jc w:val="center"/>
              <w:rPr>
                <w:b/>
                <w:sz w:val="20"/>
                <w:szCs w:val="20"/>
              </w:rPr>
            </w:pPr>
            <w:r w:rsidRPr="00D52239">
              <w:rPr>
                <w:b/>
                <w:sz w:val="20"/>
                <w:szCs w:val="20"/>
              </w:rPr>
              <w:t>P-value</w:t>
            </w:r>
            <w:r w:rsidRPr="00762BC9">
              <w:rPr>
                <w:b/>
                <w:sz w:val="20"/>
                <w:szCs w:val="20"/>
                <w:vertAlign w:val="superscript"/>
              </w:rPr>
              <w:t>a</w:t>
            </w:r>
          </w:p>
        </w:tc>
        <w:tc>
          <w:tcPr>
            <w:tcW w:w="1710" w:type="dxa"/>
            <w:tcBorders>
              <w:top w:val="single" w:sz="6" w:space="0" w:color="CCCCCC"/>
              <w:left w:val="single" w:sz="6" w:space="0" w:color="CCCCCC"/>
              <w:bottom w:val="single" w:sz="6" w:space="0" w:color="CCCCCC"/>
              <w:right w:val="single" w:sz="6" w:space="0" w:color="CCCCCC"/>
            </w:tcBorders>
          </w:tcPr>
          <w:p w14:paraId="00A6B281" w14:textId="11AE7C8E" w:rsidR="00C32481" w:rsidRPr="00D52239" w:rsidRDefault="00C32481" w:rsidP="006C30CD">
            <w:pPr>
              <w:widowControl w:val="0"/>
              <w:jc w:val="center"/>
              <w:rPr>
                <w:b/>
                <w:sz w:val="20"/>
                <w:szCs w:val="20"/>
              </w:rPr>
            </w:pPr>
            <w:r>
              <w:rPr>
                <w:b/>
                <w:sz w:val="20"/>
                <w:szCs w:val="20"/>
              </w:rPr>
              <w:t>95%CI</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C947967" w14:textId="683CD43A" w:rsidR="00C32481" w:rsidRPr="000F766F" w:rsidRDefault="00C32481" w:rsidP="000F766F">
            <w:pPr>
              <w:widowControl w:val="0"/>
              <w:rPr>
                <w:bCs/>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702138C" w14:textId="77777777" w:rsidR="00C32481" w:rsidRPr="00D52239" w:rsidRDefault="00C32481" w:rsidP="006C30CD">
            <w:pPr>
              <w:widowControl w:val="0"/>
              <w:jc w:val="center"/>
              <w:rPr>
                <w:b/>
                <w:sz w:val="20"/>
                <w:szCs w:val="20"/>
              </w:rPr>
            </w:pPr>
            <w:r w:rsidRPr="00D52239">
              <w:rPr>
                <w:b/>
                <w:sz w:val="20"/>
                <w:szCs w:val="20"/>
              </w:rPr>
              <w:t>Lead SNP</w:t>
            </w:r>
          </w:p>
        </w:tc>
        <w:tc>
          <w:tcPr>
            <w:tcW w:w="8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65B4C55D" w14:textId="77777777" w:rsidR="00C32481" w:rsidRPr="00D52239" w:rsidRDefault="00C32481" w:rsidP="006C30CD">
            <w:pPr>
              <w:widowControl w:val="0"/>
              <w:jc w:val="center"/>
              <w:rPr>
                <w:b/>
                <w:sz w:val="20"/>
                <w:szCs w:val="20"/>
              </w:rPr>
            </w:pPr>
            <w:r w:rsidRPr="00D52239">
              <w:rPr>
                <w:b/>
                <w:sz w:val="20"/>
                <w:szCs w:val="20"/>
              </w:rPr>
              <w:t>PP.H4</w:t>
            </w:r>
          </w:p>
        </w:tc>
      </w:tr>
      <w:tr w:rsidR="00AA5670" w:rsidRPr="00D52239" w14:paraId="0C7F1973"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A576F50" w14:textId="77777777" w:rsidR="00AA5670" w:rsidRPr="00D52239" w:rsidRDefault="00AA5670" w:rsidP="00AA5670">
            <w:pPr>
              <w:widowControl w:val="0"/>
              <w:rPr>
                <w:sz w:val="20"/>
                <w:szCs w:val="20"/>
              </w:rPr>
            </w:pPr>
            <w:r w:rsidRPr="00D52239">
              <w:rPr>
                <w:sz w:val="20"/>
                <w:szCs w:val="20"/>
              </w:rPr>
              <w:t>Childhood BMI</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7562841" w14:textId="77777777" w:rsidR="00AA5670" w:rsidRPr="00D52239" w:rsidRDefault="00AA5670" w:rsidP="00AA5670">
            <w:pPr>
              <w:widowControl w:val="0"/>
              <w:rPr>
                <w:sz w:val="20"/>
                <w:szCs w:val="20"/>
              </w:rPr>
            </w:pPr>
            <w:r w:rsidRPr="00D52239">
              <w:rPr>
                <w:sz w:val="20"/>
                <w:szCs w:val="20"/>
              </w:rPr>
              <w:t>Nonword Reading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81EA3EC" w14:textId="607B6CED" w:rsidR="00AA5670" w:rsidRPr="00AA5670" w:rsidRDefault="00AA5670" w:rsidP="00AA5670">
            <w:pPr>
              <w:widowControl w:val="0"/>
              <w:jc w:val="center"/>
              <w:rPr>
                <w:sz w:val="20"/>
                <w:szCs w:val="20"/>
              </w:rPr>
            </w:pPr>
            <w:r w:rsidRPr="00AA5670">
              <w:rPr>
                <w:color w:val="000000"/>
                <w:sz w:val="20"/>
                <w:szCs w:val="20"/>
              </w:rPr>
              <w:t>3.8x10</w:t>
            </w:r>
            <w:r w:rsidRPr="00AA5670">
              <w:rPr>
                <w:color w:val="000000"/>
                <w:sz w:val="20"/>
                <w:szCs w:val="20"/>
                <w:vertAlign w:val="superscript"/>
              </w:rPr>
              <w:t>-3</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A834C67" w14:textId="26BF5732" w:rsidR="00AA5670" w:rsidRPr="00AA5670" w:rsidRDefault="00AA5670" w:rsidP="00AA5670">
            <w:pPr>
              <w:widowControl w:val="0"/>
              <w:jc w:val="center"/>
              <w:rPr>
                <w:sz w:val="20"/>
                <w:szCs w:val="20"/>
              </w:rPr>
            </w:pPr>
            <w:r w:rsidRPr="00AA5670">
              <w:rPr>
                <w:color w:val="000000"/>
                <w:sz w:val="20"/>
                <w:szCs w:val="20"/>
              </w:rPr>
              <w:t>0.96</w:t>
            </w:r>
          </w:p>
        </w:tc>
        <w:tc>
          <w:tcPr>
            <w:tcW w:w="1710" w:type="dxa"/>
            <w:tcBorders>
              <w:top w:val="single" w:sz="6" w:space="0" w:color="CCCCCC"/>
              <w:left w:val="single" w:sz="6" w:space="0" w:color="CCCCCC"/>
              <w:bottom w:val="single" w:sz="6" w:space="0" w:color="CCCCCC"/>
              <w:right w:val="single" w:sz="6" w:space="0" w:color="CCCCCC"/>
            </w:tcBorders>
            <w:vAlign w:val="bottom"/>
          </w:tcPr>
          <w:p w14:paraId="23979258" w14:textId="0DD7CBF9" w:rsidR="00AA5670" w:rsidRPr="00AA5670" w:rsidRDefault="00AA5670" w:rsidP="00AA5670">
            <w:pPr>
              <w:widowControl w:val="0"/>
              <w:jc w:val="center"/>
              <w:rPr>
                <w:sz w:val="20"/>
                <w:szCs w:val="20"/>
              </w:rPr>
            </w:pPr>
            <w:r w:rsidRPr="00AA5670">
              <w:rPr>
                <w:color w:val="000000"/>
                <w:sz w:val="20"/>
                <w:szCs w:val="20"/>
              </w:rPr>
              <w:t>-0.13 to 0.14</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A170A0C" w14:textId="4DB7E9F7"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0E94726" w14:textId="77777777" w:rsidR="00AA5670" w:rsidRPr="00D52239" w:rsidRDefault="00AA5670" w:rsidP="00AA5670">
            <w:pPr>
              <w:widowControl w:val="0"/>
              <w:jc w:val="center"/>
              <w:rPr>
                <w:sz w:val="20"/>
                <w:szCs w:val="20"/>
              </w:rPr>
            </w:pPr>
            <w:r w:rsidRPr="00D52239">
              <w:rPr>
                <w:sz w:val="20"/>
                <w:szCs w:val="20"/>
              </w:rPr>
              <w:t>rs10182458</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05B6003" w14:textId="77777777" w:rsidR="00AA5670" w:rsidRPr="00D52239" w:rsidRDefault="00AA5670" w:rsidP="00AA5670">
            <w:pPr>
              <w:widowControl w:val="0"/>
              <w:jc w:val="center"/>
              <w:rPr>
                <w:sz w:val="20"/>
                <w:szCs w:val="20"/>
              </w:rPr>
            </w:pPr>
            <w:r w:rsidRPr="00D52239">
              <w:rPr>
                <w:sz w:val="20"/>
                <w:szCs w:val="20"/>
              </w:rPr>
              <w:t>0.24</w:t>
            </w:r>
          </w:p>
        </w:tc>
      </w:tr>
      <w:tr w:rsidR="00AA5670" w:rsidRPr="00D52239" w14:paraId="2774D94F"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30019C3" w14:textId="77777777" w:rsidR="00AA5670" w:rsidRPr="00D52239" w:rsidRDefault="00AA5670" w:rsidP="00AA5670">
            <w:pPr>
              <w:widowControl w:val="0"/>
              <w:rPr>
                <w:sz w:val="20"/>
                <w:szCs w:val="20"/>
              </w:rPr>
            </w:pPr>
            <w:r w:rsidRPr="00D52239">
              <w:rPr>
                <w:sz w:val="20"/>
                <w:szCs w:val="20"/>
              </w:rPr>
              <w:t>Childhood BMI</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5E8FE2B" w14:textId="77777777" w:rsidR="00AA5670" w:rsidRPr="00D52239" w:rsidRDefault="00AA5670" w:rsidP="00AA5670">
            <w:pPr>
              <w:widowControl w:val="0"/>
              <w:rPr>
                <w:sz w:val="20"/>
                <w:szCs w:val="20"/>
              </w:rPr>
            </w:pPr>
            <w:r w:rsidRPr="00D52239">
              <w:rPr>
                <w:sz w:val="20"/>
                <w:szCs w:val="20"/>
              </w:rPr>
              <w:t>Nonword Repetition</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CD4DD2B" w14:textId="0B8E6E59" w:rsidR="00AA5670" w:rsidRPr="00AA5670" w:rsidRDefault="00AA5670" w:rsidP="00AA5670">
            <w:pPr>
              <w:widowControl w:val="0"/>
              <w:jc w:val="center"/>
              <w:rPr>
                <w:sz w:val="20"/>
                <w:szCs w:val="20"/>
              </w:rPr>
            </w:pPr>
            <w:r w:rsidRPr="00AA5670">
              <w:rPr>
                <w:color w:val="000000"/>
                <w:sz w:val="20"/>
                <w:szCs w:val="20"/>
              </w:rPr>
              <w:t>-0.064</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D35B907" w14:textId="1BED864A" w:rsidR="00AA5670" w:rsidRPr="00AA5670" w:rsidRDefault="00AA5670" w:rsidP="00AA5670">
            <w:pPr>
              <w:widowControl w:val="0"/>
              <w:jc w:val="center"/>
              <w:rPr>
                <w:sz w:val="20"/>
                <w:szCs w:val="20"/>
              </w:rPr>
            </w:pPr>
            <w:r w:rsidRPr="00AA5670">
              <w:rPr>
                <w:color w:val="000000"/>
                <w:sz w:val="20"/>
                <w:szCs w:val="20"/>
              </w:rPr>
              <w:t>0.50</w:t>
            </w:r>
          </w:p>
        </w:tc>
        <w:tc>
          <w:tcPr>
            <w:tcW w:w="1710" w:type="dxa"/>
            <w:tcBorders>
              <w:top w:val="single" w:sz="6" w:space="0" w:color="CCCCCC"/>
              <w:left w:val="single" w:sz="6" w:space="0" w:color="CCCCCC"/>
              <w:bottom w:val="single" w:sz="6" w:space="0" w:color="CCCCCC"/>
              <w:right w:val="single" w:sz="6" w:space="0" w:color="CCCCCC"/>
            </w:tcBorders>
            <w:vAlign w:val="bottom"/>
          </w:tcPr>
          <w:p w14:paraId="216994F8" w14:textId="3FE79EEB" w:rsidR="00AA5670" w:rsidRPr="00AA5670" w:rsidRDefault="00AA5670" w:rsidP="00AA5670">
            <w:pPr>
              <w:widowControl w:val="0"/>
              <w:jc w:val="center"/>
              <w:rPr>
                <w:sz w:val="20"/>
                <w:szCs w:val="20"/>
              </w:rPr>
            </w:pPr>
            <w:r w:rsidRPr="00AA5670">
              <w:rPr>
                <w:color w:val="000000"/>
                <w:sz w:val="20"/>
                <w:szCs w:val="20"/>
              </w:rPr>
              <w:t>-0.25 to 0.12</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1080581" w14:textId="1B979631"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BC7F60A" w14:textId="77777777" w:rsidR="00AA5670" w:rsidRPr="00D52239" w:rsidRDefault="00AA5670" w:rsidP="00AA5670">
            <w:pPr>
              <w:widowControl w:val="0"/>
              <w:jc w:val="center"/>
              <w:rPr>
                <w:sz w:val="20"/>
                <w:szCs w:val="20"/>
              </w:rPr>
            </w:pPr>
            <w:r w:rsidRPr="00D52239">
              <w:rPr>
                <w:sz w:val="20"/>
                <w:szCs w:val="20"/>
              </w:rPr>
              <w:t>rs35926495</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1369EC0" w14:textId="77777777" w:rsidR="00AA5670" w:rsidRPr="00D52239" w:rsidRDefault="00AA5670" w:rsidP="00AA5670">
            <w:pPr>
              <w:widowControl w:val="0"/>
              <w:jc w:val="center"/>
              <w:rPr>
                <w:sz w:val="20"/>
                <w:szCs w:val="20"/>
              </w:rPr>
            </w:pPr>
            <w:r w:rsidRPr="00D52239">
              <w:rPr>
                <w:sz w:val="20"/>
                <w:szCs w:val="20"/>
              </w:rPr>
              <w:t>0.60</w:t>
            </w:r>
          </w:p>
        </w:tc>
      </w:tr>
      <w:tr w:rsidR="00AA5670" w:rsidRPr="00D52239" w14:paraId="54103B20"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8C16FF6" w14:textId="77777777" w:rsidR="00AA5670" w:rsidRPr="00D52239" w:rsidRDefault="00AA5670" w:rsidP="00AA5670">
            <w:pPr>
              <w:widowControl w:val="0"/>
              <w:rPr>
                <w:sz w:val="20"/>
                <w:szCs w:val="20"/>
              </w:rPr>
            </w:pPr>
            <w:r w:rsidRPr="00D52239">
              <w:rPr>
                <w:sz w:val="20"/>
                <w:szCs w:val="20"/>
              </w:rPr>
              <w:t>Childhood BMI</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FF1018D" w14:textId="77777777" w:rsidR="00AA5670" w:rsidRPr="00D52239" w:rsidRDefault="00AA5670" w:rsidP="00AA5670">
            <w:pPr>
              <w:widowControl w:val="0"/>
              <w:rPr>
                <w:sz w:val="20"/>
                <w:szCs w:val="20"/>
              </w:rPr>
            </w:pPr>
            <w:r w:rsidRPr="00D52239">
              <w:rPr>
                <w:sz w:val="20"/>
                <w:szCs w:val="20"/>
              </w:rPr>
              <w:t>Phoneme Awareness</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A93B8B1" w14:textId="2DE56C08" w:rsidR="00AA5670" w:rsidRPr="00AA5670" w:rsidRDefault="00AA5670" w:rsidP="00AA5670">
            <w:pPr>
              <w:widowControl w:val="0"/>
              <w:jc w:val="center"/>
              <w:rPr>
                <w:sz w:val="20"/>
                <w:szCs w:val="20"/>
              </w:rPr>
            </w:pPr>
            <w:r w:rsidRPr="00AA5670">
              <w:rPr>
                <w:color w:val="000000"/>
                <w:sz w:val="20"/>
                <w:szCs w:val="20"/>
              </w:rPr>
              <w:t>-0.025</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214421" w14:textId="0359B405" w:rsidR="00AA5670" w:rsidRPr="00AA5670" w:rsidRDefault="00AA5670" w:rsidP="00AA5670">
            <w:pPr>
              <w:widowControl w:val="0"/>
              <w:jc w:val="center"/>
              <w:rPr>
                <w:sz w:val="20"/>
                <w:szCs w:val="20"/>
              </w:rPr>
            </w:pPr>
            <w:r w:rsidRPr="00AA5670">
              <w:rPr>
                <w:color w:val="000000"/>
                <w:sz w:val="20"/>
                <w:szCs w:val="20"/>
              </w:rPr>
              <w:t>0.74</w:t>
            </w:r>
          </w:p>
        </w:tc>
        <w:tc>
          <w:tcPr>
            <w:tcW w:w="1710" w:type="dxa"/>
            <w:tcBorders>
              <w:top w:val="single" w:sz="6" w:space="0" w:color="CCCCCC"/>
              <w:left w:val="single" w:sz="6" w:space="0" w:color="CCCCCC"/>
              <w:bottom w:val="single" w:sz="6" w:space="0" w:color="CCCCCC"/>
              <w:right w:val="single" w:sz="6" w:space="0" w:color="CCCCCC"/>
            </w:tcBorders>
            <w:vAlign w:val="bottom"/>
          </w:tcPr>
          <w:p w14:paraId="5C1C3039" w14:textId="1437173E" w:rsidR="00AA5670" w:rsidRPr="00AA5670" w:rsidRDefault="00AA5670" w:rsidP="00AA5670">
            <w:pPr>
              <w:widowControl w:val="0"/>
              <w:jc w:val="center"/>
              <w:rPr>
                <w:sz w:val="20"/>
                <w:szCs w:val="20"/>
              </w:rPr>
            </w:pPr>
            <w:r w:rsidRPr="00AA5670">
              <w:rPr>
                <w:color w:val="000000"/>
                <w:sz w:val="20"/>
                <w:szCs w:val="20"/>
              </w:rPr>
              <w:t>-0.17 to 0.12</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73F7A0F" w14:textId="6C82419E"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93A63A6" w14:textId="77777777" w:rsidR="00AA5670" w:rsidRPr="00D52239" w:rsidRDefault="00AA5670" w:rsidP="00AA5670">
            <w:pPr>
              <w:widowControl w:val="0"/>
              <w:jc w:val="center"/>
              <w:rPr>
                <w:sz w:val="20"/>
                <w:szCs w:val="20"/>
              </w:rPr>
            </w:pPr>
            <w:r w:rsidRPr="00D52239">
              <w:rPr>
                <w:sz w:val="20"/>
                <w:szCs w:val="20"/>
              </w:rPr>
              <w:t>rs11865086</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00D94BE" w14:textId="77777777" w:rsidR="00AA5670" w:rsidRPr="00D52239" w:rsidRDefault="00AA5670" w:rsidP="00AA5670">
            <w:pPr>
              <w:widowControl w:val="0"/>
              <w:jc w:val="center"/>
              <w:rPr>
                <w:sz w:val="20"/>
                <w:szCs w:val="20"/>
              </w:rPr>
            </w:pPr>
            <w:r w:rsidRPr="00D52239">
              <w:rPr>
                <w:sz w:val="20"/>
                <w:szCs w:val="20"/>
              </w:rPr>
              <w:t>0.09</w:t>
            </w:r>
          </w:p>
        </w:tc>
      </w:tr>
      <w:tr w:rsidR="00AA5670" w:rsidRPr="00D52239" w14:paraId="5AFE303B"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DB92F71" w14:textId="77777777" w:rsidR="00AA5670" w:rsidRPr="00D52239" w:rsidRDefault="00AA5670" w:rsidP="00AA5670">
            <w:pPr>
              <w:widowControl w:val="0"/>
              <w:rPr>
                <w:sz w:val="20"/>
                <w:szCs w:val="20"/>
              </w:rPr>
            </w:pPr>
            <w:r w:rsidRPr="00D52239">
              <w:rPr>
                <w:sz w:val="20"/>
                <w:szCs w:val="20"/>
              </w:rPr>
              <w:t>Childhood BMI</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45DBC59" w14:textId="77777777" w:rsidR="00AA5670" w:rsidRPr="00D52239" w:rsidRDefault="00AA5670" w:rsidP="00AA5670">
            <w:pPr>
              <w:widowControl w:val="0"/>
              <w:rPr>
                <w:sz w:val="20"/>
                <w:szCs w:val="20"/>
              </w:rPr>
            </w:pPr>
            <w:r w:rsidRPr="00D52239">
              <w:rPr>
                <w:sz w:val="20"/>
                <w:szCs w:val="20"/>
              </w:rPr>
              <w:t>Spelling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E87EF78" w14:textId="6A47C32E" w:rsidR="00AA5670" w:rsidRPr="00AA5670" w:rsidRDefault="00AA5670" w:rsidP="00AA5670">
            <w:pPr>
              <w:widowControl w:val="0"/>
              <w:jc w:val="center"/>
              <w:rPr>
                <w:sz w:val="20"/>
                <w:szCs w:val="20"/>
              </w:rPr>
            </w:pPr>
            <w:r w:rsidRPr="00AA5670">
              <w:rPr>
                <w:color w:val="000000"/>
                <w:sz w:val="20"/>
                <w:szCs w:val="20"/>
              </w:rPr>
              <w:t>-0.10</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FAC08F" w14:textId="4A526E13" w:rsidR="00AA5670" w:rsidRPr="00AA5670" w:rsidRDefault="00AA5670" w:rsidP="00AA5670">
            <w:pPr>
              <w:widowControl w:val="0"/>
              <w:jc w:val="center"/>
              <w:rPr>
                <w:sz w:val="20"/>
                <w:szCs w:val="20"/>
              </w:rPr>
            </w:pPr>
            <w:r w:rsidRPr="00AA5670">
              <w:rPr>
                <w:color w:val="000000"/>
                <w:sz w:val="20"/>
                <w:szCs w:val="20"/>
              </w:rPr>
              <w:t>0.13</w:t>
            </w:r>
          </w:p>
        </w:tc>
        <w:tc>
          <w:tcPr>
            <w:tcW w:w="1710" w:type="dxa"/>
            <w:tcBorders>
              <w:top w:val="single" w:sz="6" w:space="0" w:color="CCCCCC"/>
              <w:left w:val="single" w:sz="6" w:space="0" w:color="CCCCCC"/>
              <w:bottom w:val="single" w:sz="6" w:space="0" w:color="CCCCCC"/>
              <w:right w:val="single" w:sz="6" w:space="0" w:color="CCCCCC"/>
            </w:tcBorders>
            <w:vAlign w:val="bottom"/>
          </w:tcPr>
          <w:p w14:paraId="2BD55ABE" w14:textId="0D1A687B" w:rsidR="00AA5670" w:rsidRPr="00AA5670" w:rsidRDefault="00AA5670" w:rsidP="00AA5670">
            <w:pPr>
              <w:widowControl w:val="0"/>
              <w:jc w:val="center"/>
              <w:rPr>
                <w:sz w:val="20"/>
                <w:szCs w:val="20"/>
              </w:rPr>
            </w:pPr>
            <w:r w:rsidRPr="00AA5670">
              <w:rPr>
                <w:color w:val="000000"/>
                <w:sz w:val="20"/>
                <w:szCs w:val="20"/>
              </w:rPr>
              <w:t>-0.23 to 0.029</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1BA126F" w14:textId="57492320"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A61CFC4" w14:textId="77777777" w:rsidR="00AA5670" w:rsidRPr="00D52239" w:rsidRDefault="00AA5670" w:rsidP="00AA5670">
            <w:pPr>
              <w:widowControl w:val="0"/>
              <w:jc w:val="center"/>
              <w:rPr>
                <w:sz w:val="20"/>
                <w:szCs w:val="20"/>
              </w:rPr>
            </w:pPr>
            <w:r w:rsidRPr="00D52239">
              <w:rPr>
                <w:sz w:val="20"/>
                <w:szCs w:val="20"/>
              </w:rPr>
              <w:t>rs13107325</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56C68D2" w14:textId="77777777" w:rsidR="00AA5670" w:rsidRPr="00D52239" w:rsidRDefault="00AA5670" w:rsidP="00AA5670">
            <w:pPr>
              <w:widowControl w:val="0"/>
              <w:jc w:val="center"/>
              <w:rPr>
                <w:sz w:val="20"/>
                <w:szCs w:val="20"/>
              </w:rPr>
            </w:pPr>
            <w:r w:rsidRPr="00D52239">
              <w:rPr>
                <w:sz w:val="20"/>
                <w:szCs w:val="20"/>
              </w:rPr>
              <w:t>0.21</w:t>
            </w:r>
          </w:p>
        </w:tc>
      </w:tr>
      <w:tr w:rsidR="00AA5670" w:rsidRPr="00D52239" w14:paraId="5C1D7175"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648D2FA8" w14:textId="77777777" w:rsidR="00AA5670" w:rsidRPr="00D52239" w:rsidRDefault="00AA5670" w:rsidP="00AA5670">
            <w:pPr>
              <w:widowControl w:val="0"/>
              <w:rPr>
                <w:sz w:val="20"/>
                <w:szCs w:val="20"/>
              </w:rPr>
            </w:pPr>
            <w:r w:rsidRPr="00D52239">
              <w:rPr>
                <w:sz w:val="20"/>
                <w:szCs w:val="20"/>
              </w:rPr>
              <w:t>Childhood BMI</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76A3346" w14:textId="77777777" w:rsidR="00AA5670" w:rsidRPr="00D52239" w:rsidRDefault="00AA5670" w:rsidP="00AA5670">
            <w:pPr>
              <w:widowControl w:val="0"/>
              <w:rPr>
                <w:sz w:val="20"/>
                <w:szCs w:val="20"/>
              </w:rPr>
            </w:pPr>
            <w:r w:rsidRPr="00D52239">
              <w:rPr>
                <w:sz w:val="20"/>
                <w:szCs w:val="20"/>
              </w:rPr>
              <w:t>Word Reading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99245BE" w14:textId="77D4B754" w:rsidR="00AA5670" w:rsidRPr="00AA5670" w:rsidRDefault="00AA5670" w:rsidP="00AA5670">
            <w:pPr>
              <w:widowControl w:val="0"/>
              <w:jc w:val="center"/>
              <w:rPr>
                <w:sz w:val="20"/>
                <w:szCs w:val="20"/>
              </w:rPr>
            </w:pPr>
            <w:r w:rsidRPr="00AA5670">
              <w:rPr>
                <w:color w:val="000000"/>
                <w:sz w:val="20"/>
                <w:szCs w:val="20"/>
              </w:rPr>
              <w:t>-0.029</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8A3362" w14:textId="66475AA9" w:rsidR="00AA5670" w:rsidRPr="00AA5670" w:rsidRDefault="00AA5670" w:rsidP="00AA5670">
            <w:pPr>
              <w:widowControl w:val="0"/>
              <w:jc w:val="center"/>
              <w:rPr>
                <w:sz w:val="20"/>
                <w:szCs w:val="20"/>
              </w:rPr>
            </w:pPr>
            <w:r w:rsidRPr="00AA5670">
              <w:rPr>
                <w:color w:val="000000"/>
                <w:sz w:val="20"/>
                <w:szCs w:val="20"/>
              </w:rPr>
              <w:t>0.65</w:t>
            </w:r>
          </w:p>
        </w:tc>
        <w:tc>
          <w:tcPr>
            <w:tcW w:w="1710" w:type="dxa"/>
            <w:tcBorders>
              <w:top w:val="single" w:sz="6" w:space="0" w:color="CCCCCC"/>
              <w:left w:val="single" w:sz="6" w:space="0" w:color="CCCCCC"/>
              <w:bottom w:val="single" w:sz="6" w:space="0" w:color="CCCCCC"/>
              <w:right w:val="single" w:sz="6" w:space="0" w:color="CCCCCC"/>
            </w:tcBorders>
            <w:vAlign w:val="bottom"/>
          </w:tcPr>
          <w:p w14:paraId="1BA5535E" w14:textId="466CD7B3" w:rsidR="00AA5670" w:rsidRPr="00AA5670" w:rsidRDefault="00AA5670" w:rsidP="00AA5670">
            <w:pPr>
              <w:widowControl w:val="0"/>
              <w:jc w:val="center"/>
              <w:rPr>
                <w:sz w:val="20"/>
                <w:szCs w:val="20"/>
              </w:rPr>
            </w:pPr>
            <w:r w:rsidRPr="00AA5670">
              <w:rPr>
                <w:color w:val="000000"/>
                <w:sz w:val="20"/>
                <w:szCs w:val="20"/>
              </w:rPr>
              <w:t>-0.15 to 0.094</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FE21AA2" w14:textId="5FCECD42"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0247F22" w14:textId="77777777" w:rsidR="00AA5670" w:rsidRPr="00D52239" w:rsidRDefault="00AA5670" w:rsidP="00AA5670">
            <w:pPr>
              <w:widowControl w:val="0"/>
              <w:jc w:val="center"/>
              <w:rPr>
                <w:sz w:val="20"/>
                <w:szCs w:val="20"/>
              </w:rPr>
            </w:pPr>
            <w:r w:rsidRPr="00D52239">
              <w:rPr>
                <w:sz w:val="20"/>
                <w:szCs w:val="20"/>
              </w:rPr>
              <w:t>rs62037365</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32E23BA" w14:textId="77777777" w:rsidR="00AA5670" w:rsidRPr="00D52239" w:rsidRDefault="00AA5670" w:rsidP="00AA5670">
            <w:pPr>
              <w:widowControl w:val="0"/>
              <w:jc w:val="center"/>
              <w:rPr>
                <w:sz w:val="20"/>
                <w:szCs w:val="20"/>
              </w:rPr>
            </w:pPr>
            <w:r w:rsidRPr="00D52239">
              <w:rPr>
                <w:sz w:val="20"/>
                <w:szCs w:val="20"/>
              </w:rPr>
              <w:t>0.21</w:t>
            </w:r>
          </w:p>
        </w:tc>
      </w:tr>
      <w:tr w:rsidR="00AA5670" w:rsidRPr="00D52239" w14:paraId="75D7AE29"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0967C01" w14:textId="77777777" w:rsidR="00AA5670" w:rsidRPr="00D52239" w:rsidRDefault="00AA5670" w:rsidP="00AA5670">
            <w:pPr>
              <w:widowControl w:val="0"/>
              <w:rPr>
                <w:sz w:val="20"/>
                <w:szCs w:val="20"/>
              </w:rPr>
            </w:pPr>
            <w:r w:rsidRPr="00D52239">
              <w:rPr>
                <w:sz w:val="20"/>
                <w:szCs w:val="20"/>
              </w:rPr>
              <w:t>Childhood Body Size</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8201EC9" w14:textId="77777777" w:rsidR="00AA5670" w:rsidRPr="00D52239" w:rsidRDefault="00AA5670" w:rsidP="00AA5670">
            <w:pPr>
              <w:widowControl w:val="0"/>
              <w:rPr>
                <w:sz w:val="20"/>
                <w:szCs w:val="20"/>
              </w:rPr>
            </w:pPr>
            <w:r w:rsidRPr="00D52239">
              <w:rPr>
                <w:sz w:val="20"/>
                <w:szCs w:val="20"/>
              </w:rPr>
              <w:t>Nonword Reading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5071950" w14:textId="69E251BE" w:rsidR="00AA5670" w:rsidRPr="00AA5670" w:rsidRDefault="00AA5670" w:rsidP="00AA5670">
            <w:pPr>
              <w:widowControl w:val="0"/>
              <w:jc w:val="center"/>
              <w:rPr>
                <w:sz w:val="20"/>
                <w:szCs w:val="20"/>
              </w:rPr>
            </w:pPr>
            <w:r w:rsidRPr="00AA5670">
              <w:rPr>
                <w:color w:val="000000"/>
                <w:sz w:val="20"/>
                <w:szCs w:val="20"/>
              </w:rPr>
              <w:t>-0.025</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C62E28A" w14:textId="467BC92F" w:rsidR="00AA5670" w:rsidRPr="00AA5670" w:rsidRDefault="00AA5670" w:rsidP="00AA5670">
            <w:pPr>
              <w:widowControl w:val="0"/>
              <w:jc w:val="center"/>
              <w:rPr>
                <w:sz w:val="20"/>
                <w:szCs w:val="20"/>
              </w:rPr>
            </w:pPr>
            <w:r w:rsidRPr="00AA5670">
              <w:rPr>
                <w:color w:val="000000"/>
                <w:sz w:val="20"/>
                <w:szCs w:val="20"/>
              </w:rPr>
              <w:t>0.53</w:t>
            </w:r>
          </w:p>
        </w:tc>
        <w:tc>
          <w:tcPr>
            <w:tcW w:w="1710" w:type="dxa"/>
            <w:tcBorders>
              <w:top w:val="single" w:sz="6" w:space="0" w:color="CCCCCC"/>
              <w:left w:val="single" w:sz="6" w:space="0" w:color="CCCCCC"/>
              <w:bottom w:val="single" w:sz="6" w:space="0" w:color="CCCCCC"/>
              <w:right w:val="single" w:sz="6" w:space="0" w:color="CCCCCC"/>
            </w:tcBorders>
            <w:vAlign w:val="bottom"/>
          </w:tcPr>
          <w:p w14:paraId="6344ADEA" w14:textId="1883D46A" w:rsidR="00AA5670" w:rsidRPr="00AA5670" w:rsidRDefault="00AA5670" w:rsidP="00AA5670">
            <w:pPr>
              <w:widowControl w:val="0"/>
              <w:jc w:val="center"/>
              <w:rPr>
                <w:sz w:val="20"/>
                <w:szCs w:val="20"/>
              </w:rPr>
            </w:pPr>
            <w:r w:rsidRPr="00AA5670">
              <w:rPr>
                <w:color w:val="000000"/>
                <w:sz w:val="20"/>
                <w:szCs w:val="20"/>
              </w:rPr>
              <w:t>-0.10 to 0.054</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8997EC2" w14:textId="5610F2EF"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3A09BE9" w14:textId="77777777" w:rsidR="00AA5670" w:rsidRPr="00D52239" w:rsidRDefault="00AA5670" w:rsidP="00AA5670">
            <w:pPr>
              <w:widowControl w:val="0"/>
              <w:jc w:val="center"/>
              <w:rPr>
                <w:sz w:val="20"/>
                <w:szCs w:val="20"/>
              </w:rPr>
            </w:pPr>
            <w:r w:rsidRPr="00D52239">
              <w:rPr>
                <w:sz w:val="20"/>
                <w:szCs w:val="20"/>
              </w:rPr>
              <w:t>rs6931604</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38A25C4" w14:textId="77777777" w:rsidR="00AA5670" w:rsidRPr="00D52239" w:rsidRDefault="00AA5670" w:rsidP="00AA5670">
            <w:pPr>
              <w:widowControl w:val="0"/>
              <w:jc w:val="center"/>
              <w:rPr>
                <w:sz w:val="20"/>
                <w:szCs w:val="20"/>
              </w:rPr>
            </w:pPr>
            <w:r w:rsidRPr="00D52239">
              <w:rPr>
                <w:sz w:val="20"/>
                <w:szCs w:val="20"/>
              </w:rPr>
              <w:t>0.42</w:t>
            </w:r>
          </w:p>
        </w:tc>
      </w:tr>
      <w:tr w:rsidR="00AA5670" w:rsidRPr="00D52239" w14:paraId="0D6D55A7"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6E41528D" w14:textId="77777777" w:rsidR="00AA5670" w:rsidRPr="00D52239" w:rsidRDefault="00AA5670" w:rsidP="00AA5670">
            <w:pPr>
              <w:widowControl w:val="0"/>
              <w:rPr>
                <w:sz w:val="20"/>
                <w:szCs w:val="20"/>
              </w:rPr>
            </w:pPr>
            <w:r w:rsidRPr="00D52239">
              <w:rPr>
                <w:sz w:val="20"/>
                <w:szCs w:val="20"/>
              </w:rPr>
              <w:t>Childhood Body Size</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B08EE92" w14:textId="77777777" w:rsidR="00AA5670" w:rsidRPr="00D52239" w:rsidRDefault="00AA5670" w:rsidP="00AA5670">
            <w:pPr>
              <w:widowControl w:val="0"/>
              <w:rPr>
                <w:sz w:val="20"/>
                <w:szCs w:val="20"/>
              </w:rPr>
            </w:pPr>
            <w:r w:rsidRPr="00D52239">
              <w:rPr>
                <w:sz w:val="20"/>
                <w:szCs w:val="20"/>
              </w:rPr>
              <w:t>Nonword Repetition</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BB79291" w14:textId="719E4B61" w:rsidR="00AA5670" w:rsidRPr="00AA5670" w:rsidRDefault="00AA5670" w:rsidP="00AA5670">
            <w:pPr>
              <w:widowControl w:val="0"/>
              <w:jc w:val="center"/>
              <w:rPr>
                <w:sz w:val="20"/>
                <w:szCs w:val="20"/>
              </w:rPr>
            </w:pPr>
            <w:r w:rsidRPr="00AA5670">
              <w:rPr>
                <w:color w:val="000000"/>
                <w:sz w:val="20"/>
                <w:szCs w:val="20"/>
              </w:rPr>
              <w:t>-0.067</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C7EA8B4" w14:textId="11DA4BB3" w:rsidR="00AA5670" w:rsidRPr="00AA5670" w:rsidRDefault="00AA5670" w:rsidP="00AA5670">
            <w:pPr>
              <w:widowControl w:val="0"/>
              <w:jc w:val="center"/>
              <w:rPr>
                <w:sz w:val="20"/>
                <w:szCs w:val="20"/>
              </w:rPr>
            </w:pPr>
            <w:r w:rsidRPr="00AA5670">
              <w:rPr>
                <w:color w:val="000000"/>
                <w:sz w:val="20"/>
                <w:szCs w:val="20"/>
              </w:rPr>
              <w:t>0.20</w:t>
            </w:r>
          </w:p>
        </w:tc>
        <w:tc>
          <w:tcPr>
            <w:tcW w:w="1710" w:type="dxa"/>
            <w:tcBorders>
              <w:top w:val="single" w:sz="6" w:space="0" w:color="CCCCCC"/>
              <w:left w:val="single" w:sz="6" w:space="0" w:color="CCCCCC"/>
              <w:bottom w:val="single" w:sz="6" w:space="0" w:color="CCCCCC"/>
              <w:right w:val="single" w:sz="6" w:space="0" w:color="CCCCCC"/>
            </w:tcBorders>
            <w:vAlign w:val="bottom"/>
          </w:tcPr>
          <w:p w14:paraId="571D96D6" w14:textId="7BC73924" w:rsidR="00AA5670" w:rsidRPr="00AA5670" w:rsidRDefault="00AA5670" w:rsidP="00AA5670">
            <w:pPr>
              <w:widowControl w:val="0"/>
              <w:jc w:val="center"/>
              <w:rPr>
                <w:sz w:val="20"/>
                <w:szCs w:val="20"/>
              </w:rPr>
            </w:pPr>
            <w:r w:rsidRPr="00AA5670">
              <w:rPr>
                <w:color w:val="000000"/>
                <w:sz w:val="20"/>
                <w:szCs w:val="20"/>
              </w:rPr>
              <w:t>-0.17 to 0.036</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21AEE0A" w14:textId="323C8741"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E2AB7A5" w14:textId="77777777" w:rsidR="00AA5670" w:rsidRPr="00D52239" w:rsidRDefault="00AA5670" w:rsidP="00AA5670">
            <w:pPr>
              <w:widowControl w:val="0"/>
              <w:jc w:val="center"/>
              <w:rPr>
                <w:sz w:val="20"/>
                <w:szCs w:val="20"/>
              </w:rPr>
            </w:pPr>
            <w:r w:rsidRPr="00D52239">
              <w:rPr>
                <w:sz w:val="20"/>
                <w:szCs w:val="20"/>
              </w:rPr>
              <w:t>rs35926495</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7D40FC2" w14:textId="77777777" w:rsidR="00AA5670" w:rsidRPr="00D52239" w:rsidRDefault="00AA5670" w:rsidP="00AA5670">
            <w:pPr>
              <w:widowControl w:val="0"/>
              <w:jc w:val="center"/>
              <w:rPr>
                <w:sz w:val="20"/>
                <w:szCs w:val="20"/>
              </w:rPr>
            </w:pPr>
            <w:r w:rsidRPr="00D52239">
              <w:rPr>
                <w:sz w:val="20"/>
                <w:szCs w:val="20"/>
              </w:rPr>
              <w:t>0.68</w:t>
            </w:r>
          </w:p>
        </w:tc>
      </w:tr>
      <w:tr w:rsidR="00AA5670" w:rsidRPr="00D52239" w14:paraId="7754FDEF"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67BA8C8" w14:textId="77777777" w:rsidR="00AA5670" w:rsidRPr="00D52239" w:rsidRDefault="00AA5670" w:rsidP="00AA5670">
            <w:pPr>
              <w:widowControl w:val="0"/>
              <w:rPr>
                <w:sz w:val="20"/>
                <w:szCs w:val="20"/>
              </w:rPr>
            </w:pPr>
            <w:r w:rsidRPr="00D52239">
              <w:rPr>
                <w:sz w:val="20"/>
                <w:szCs w:val="20"/>
              </w:rPr>
              <w:t>Childhood Body Size</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106D494" w14:textId="77777777" w:rsidR="00AA5670" w:rsidRPr="00D52239" w:rsidRDefault="00AA5670" w:rsidP="00AA5670">
            <w:pPr>
              <w:widowControl w:val="0"/>
              <w:rPr>
                <w:sz w:val="20"/>
                <w:szCs w:val="20"/>
              </w:rPr>
            </w:pPr>
            <w:r w:rsidRPr="00D52239">
              <w:rPr>
                <w:sz w:val="20"/>
                <w:szCs w:val="20"/>
              </w:rPr>
              <w:t>PhonemeAwareness</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2EFBAEB" w14:textId="75CF5EB6" w:rsidR="00AA5670" w:rsidRPr="00AA5670" w:rsidRDefault="00AA5670" w:rsidP="00AA5670">
            <w:pPr>
              <w:widowControl w:val="0"/>
              <w:jc w:val="center"/>
              <w:rPr>
                <w:sz w:val="20"/>
                <w:szCs w:val="20"/>
              </w:rPr>
            </w:pPr>
            <w:r w:rsidRPr="00AA5670">
              <w:rPr>
                <w:color w:val="000000"/>
                <w:sz w:val="20"/>
                <w:szCs w:val="20"/>
              </w:rPr>
              <w:t>-0.071</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1E28C35" w14:textId="2E1BAE8A" w:rsidR="00AA5670" w:rsidRPr="00AA5670" w:rsidRDefault="00AA5670" w:rsidP="00AA5670">
            <w:pPr>
              <w:widowControl w:val="0"/>
              <w:jc w:val="center"/>
              <w:rPr>
                <w:sz w:val="20"/>
                <w:szCs w:val="20"/>
              </w:rPr>
            </w:pPr>
            <w:r w:rsidRPr="00AA5670">
              <w:rPr>
                <w:color w:val="000000"/>
                <w:sz w:val="20"/>
                <w:szCs w:val="20"/>
              </w:rPr>
              <w:t>0.11</w:t>
            </w:r>
          </w:p>
        </w:tc>
        <w:tc>
          <w:tcPr>
            <w:tcW w:w="1710" w:type="dxa"/>
            <w:tcBorders>
              <w:top w:val="single" w:sz="6" w:space="0" w:color="CCCCCC"/>
              <w:left w:val="single" w:sz="6" w:space="0" w:color="CCCCCC"/>
              <w:bottom w:val="single" w:sz="6" w:space="0" w:color="CCCCCC"/>
              <w:right w:val="single" w:sz="6" w:space="0" w:color="CCCCCC"/>
            </w:tcBorders>
            <w:vAlign w:val="bottom"/>
          </w:tcPr>
          <w:p w14:paraId="11003536" w14:textId="632C0731" w:rsidR="00AA5670" w:rsidRPr="00AA5670" w:rsidRDefault="00AA5670" w:rsidP="00AA5670">
            <w:pPr>
              <w:widowControl w:val="0"/>
              <w:jc w:val="center"/>
              <w:rPr>
                <w:sz w:val="20"/>
                <w:szCs w:val="20"/>
              </w:rPr>
            </w:pPr>
            <w:r w:rsidRPr="00AA5670">
              <w:rPr>
                <w:color w:val="000000"/>
                <w:sz w:val="20"/>
                <w:szCs w:val="20"/>
              </w:rPr>
              <w:t>-0.16 to 0.017</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B29A7FF" w14:textId="07137871"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81EAAD7" w14:textId="77777777" w:rsidR="00AA5670" w:rsidRPr="00D52239" w:rsidRDefault="00AA5670" w:rsidP="00AA5670">
            <w:pPr>
              <w:widowControl w:val="0"/>
              <w:jc w:val="center"/>
              <w:rPr>
                <w:sz w:val="20"/>
                <w:szCs w:val="20"/>
              </w:rPr>
            </w:pPr>
            <w:r w:rsidRPr="00D52239">
              <w:rPr>
                <w:sz w:val="20"/>
                <w:szCs w:val="20"/>
              </w:rPr>
              <w:t>rs12798028</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B8CE5B4" w14:textId="77777777" w:rsidR="00AA5670" w:rsidRPr="00D52239" w:rsidRDefault="00AA5670" w:rsidP="00AA5670">
            <w:pPr>
              <w:widowControl w:val="0"/>
              <w:jc w:val="center"/>
              <w:rPr>
                <w:sz w:val="20"/>
                <w:szCs w:val="20"/>
              </w:rPr>
            </w:pPr>
            <w:r w:rsidRPr="00D52239">
              <w:rPr>
                <w:sz w:val="20"/>
                <w:szCs w:val="20"/>
              </w:rPr>
              <w:t>0.46</w:t>
            </w:r>
          </w:p>
        </w:tc>
      </w:tr>
      <w:tr w:rsidR="00AA5670" w:rsidRPr="00D52239" w14:paraId="42027B82"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29EA7F9" w14:textId="77777777" w:rsidR="00AA5670" w:rsidRPr="00D52239" w:rsidRDefault="00AA5670" w:rsidP="00AA5670">
            <w:pPr>
              <w:widowControl w:val="0"/>
              <w:rPr>
                <w:sz w:val="20"/>
                <w:szCs w:val="20"/>
              </w:rPr>
            </w:pPr>
            <w:r w:rsidRPr="00D52239">
              <w:rPr>
                <w:sz w:val="20"/>
                <w:szCs w:val="20"/>
              </w:rPr>
              <w:t>Childhood Body Size</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6B9EAF88" w14:textId="77777777" w:rsidR="00AA5670" w:rsidRPr="00D52239" w:rsidRDefault="00AA5670" w:rsidP="00AA5670">
            <w:pPr>
              <w:widowControl w:val="0"/>
              <w:rPr>
                <w:sz w:val="20"/>
                <w:szCs w:val="20"/>
              </w:rPr>
            </w:pPr>
            <w:r w:rsidRPr="00D52239">
              <w:rPr>
                <w:sz w:val="20"/>
                <w:szCs w:val="20"/>
              </w:rPr>
              <w:t>Spelling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6F823EC" w14:textId="0A385D56" w:rsidR="00AA5670" w:rsidRPr="00AA5670" w:rsidRDefault="00AA5670" w:rsidP="00AA5670">
            <w:pPr>
              <w:widowControl w:val="0"/>
              <w:jc w:val="center"/>
              <w:rPr>
                <w:sz w:val="20"/>
                <w:szCs w:val="20"/>
              </w:rPr>
            </w:pPr>
            <w:r w:rsidRPr="00AA5670">
              <w:rPr>
                <w:color w:val="000000"/>
                <w:sz w:val="20"/>
                <w:szCs w:val="20"/>
              </w:rPr>
              <w:t>-0.062</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886FD8F" w14:textId="48314A07" w:rsidR="00AA5670" w:rsidRPr="00AA5670" w:rsidRDefault="00AA5670" w:rsidP="00AA5670">
            <w:pPr>
              <w:widowControl w:val="0"/>
              <w:jc w:val="center"/>
              <w:rPr>
                <w:sz w:val="20"/>
                <w:szCs w:val="20"/>
              </w:rPr>
            </w:pPr>
            <w:r w:rsidRPr="00AA5670">
              <w:rPr>
                <w:color w:val="000000"/>
                <w:sz w:val="20"/>
                <w:szCs w:val="20"/>
              </w:rPr>
              <w:t>0.14</w:t>
            </w:r>
          </w:p>
        </w:tc>
        <w:tc>
          <w:tcPr>
            <w:tcW w:w="1710" w:type="dxa"/>
            <w:tcBorders>
              <w:top w:val="single" w:sz="6" w:space="0" w:color="CCCCCC"/>
              <w:left w:val="single" w:sz="6" w:space="0" w:color="CCCCCC"/>
              <w:bottom w:val="single" w:sz="6" w:space="0" w:color="CCCCCC"/>
              <w:right w:val="single" w:sz="6" w:space="0" w:color="CCCCCC"/>
            </w:tcBorders>
            <w:vAlign w:val="bottom"/>
          </w:tcPr>
          <w:p w14:paraId="7ED4ACB6" w14:textId="4A7B486D" w:rsidR="00AA5670" w:rsidRPr="00AA5670" w:rsidRDefault="00AA5670" w:rsidP="00AA5670">
            <w:pPr>
              <w:widowControl w:val="0"/>
              <w:jc w:val="center"/>
              <w:rPr>
                <w:sz w:val="20"/>
                <w:szCs w:val="20"/>
              </w:rPr>
            </w:pPr>
            <w:r w:rsidRPr="00AA5670">
              <w:rPr>
                <w:color w:val="000000"/>
                <w:sz w:val="20"/>
                <w:szCs w:val="20"/>
              </w:rPr>
              <w:t>-0.14 to 0.021</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DBA3535" w14:textId="000299D8"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B981F6C" w14:textId="77777777" w:rsidR="00AA5670" w:rsidRPr="00D52239" w:rsidRDefault="00AA5670" w:rsidP="00AA5670">
            <w:pPr>
              <w:widowControl w:val="0"/>
              <w:jc w:val="center"/>
              <w:rPr>
                <w:sz w:val="20"/>
                <w:szCs w:val="20"/>
              </w:rPr>
            </w:pPr>
            <w:r w:rsidRPr="00D52239">
              <w:rPr>
                <w:sz w:val="20"/>
                <w:szCs w:val="20"/>
              </w:rPr>
              <w:t>rs1199333</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5FA6507" w14:textId="77777777" w:rsidR="00AA5670" w:rsidRPr="00D52239" w:rsidRDefault="00AA5670" w:rsidP="00AA5670">
            <w:pPr>
              <w:widowControl w:val="0"/>
              <w:jc w:val="center"/>
              <w:rPr>
                <w:sz w:val="20"/>
                <w:szCs w:val="20"/>
              </w:rPr>
            </w:pPr>
            <w:r w:rsidRPr="00D52239">
              <w:rPr>
                <w:sz w:val="20"/>
                <w:szCs w:val="20"/>
              </w:rPr>
              <w:t>0.54</w:t>
            </w:r>
          </w:p>
        </w:tc>
      </w:tr>
      <w:tr w:rsidR="00AA5670" w:rsidRPr="00D52239" w14:paraId="2E46E3CC"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4490C61" w14:textId="77777777" w:rsidR="00AA5670" w:rsidRPr="00D52239" w:rsidRDefault="00AA5670" w:rsidP="00AA5670">
            <w:pPr>
              <w:widowControl w:val="0"/>
              <w:rPr>
                <w:sz w:val="20"/>
                <w:szCs w:val="20"/>
              </w:rPr>
            </w:pPr>
            <w:r w:rsidRPr="00D52239">
              <w:rPr>
                <w:sz w:val="20"/>
                <w:szCs w:val="20"/>
              </w:rPr>
              <w:t>Childhood Body Size</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316CE37E" w14:textId="77777777" w:rsidR="00AA5670" w:rsidRPr="00D52239" w:rsidRDefault="00AA5670" w:rsidP="00AA5670">
            <w:pPr>
              <w:widowControl w:val="0"/>
              <w:rPr>
                <w:sz w:val="20"/>
                <w:szCs w:val="20"/>
              </w:rPr>
            </w:pPr>
            <w:r w:rsidRPr="00D52239">
              <w:rPr>
                <w:sz w:val="20"/>
                <w:szCs w:val="20"/>
              </w:rPr>
              <w:t>Word Reading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7B7666B" w14:textId="7EF04903" w:rsidR="00AA5670" w:rsidRPr="00AA5670" w:rsidRDefault="00AA5670" w:rsidP="00AA5670">
            <w:pPr>
              <w:widowControl w:val="0"/>
              <w:jc w:val="center"/>
              <w:rPr>
                <w:sz w:val="20"/>
                <w:szCs w:val="20"/>
              </w:rPr>
            </w:pPr>
            <w:r w:rsidRPr="00AA5670">
              <w:rPr>
                <w:color w:val="000000"/>
                <w:sz w:val="20"/>
                <w:szCs w:val="20"/>
              </w:rPr>
              <w:t>-0.032</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E0FF2D" w14:textId="777291C8" w:rsidR="00AA5670" w:rsidRPr="00AA5670" w:rsidRDefault="00AA5670" w:rsidP="00AA5670">
            <w:pPr>
              <w:widowControl w:val="0"/>
              <w:jc w:val="center"/>
              <w:rPr>
                <w:sz w:val="20"/>
                <w:szCs w:val="20"/>
              </w:rPr>
            </w:pPr>
            <w:r w:rsidRPr="00AA5670">
              <w:rPr>
                <w:color w:val="000000"/>
                <w:sz w:val="20"/>
                <w:szCs w:val="20"/>
              </w:rPr>
              <w:t>0.37</w:t>
            </w:r>
          </w:p>
        </w:tc>
        <w:tc>
          <w:tcPr>
            <w:tcW w:w="1710" w:type="dxa"/>
            <w:tcBorders>
              <w:top w:val="single" w:sz="6" w:space="0" w:color="CCCCCC"/>
              <w:left w:val="single" w:sz="6" w:space="0" w:color="CCCCCC"/>
              <w:bottom w:val="single" w:sz="6" w:space="0" w:color="CCCCCC"/>
              <w:right w:val="single" w:sz="6" w:space="0" w:color="CCCCCC"/>
            </w:tcBorders>
            <w:vAlign w:val="bottom"/>
          </w:tcPr>
          <w:p w14:paraId="719F4573" w14:textId="6508785B" w:rsidR="00AA5670" w:rsidRPr="00AA5670" w:rsidRDefault="00AA5670" w:rsidP="00AA5670">
            <w:pPr>
              <w:widowControl w:val="0"/>
              <w:jc w:val="center"/>
              <w:rPr>
                <w:sz w:val="20"/>
                <w:szCs w:val="20"/>
              </w:rPr>
            </w:pPr>
            <w:r w:rsidRPr="00AA5670">
              <w:rPr>
                <w:color w:val="000000"/>
                <w:sz w:val="20"/>
                <w:szCs w:val="20"/>
              </w:rPr>
              <w:t>-0.10 to 0.038</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FAA0ED5" w14:textId="643F7603" w:rsidR="00AA5670" w:rsidRPr="00E754AB"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A07BEAD" w14:textId="77777777" w:rsidR="00AA5670" w:rsidRPr="00E754AB" w:rsidRDefault="00AA5670" w:rsidP="00AA5670">
            <w:pPr>
              <w:widowControl w:val="0"/>
              <w:jc w:val="center"/>
              <w:rPr>
                <w:sz w:val="20"/>
                <w:szCs w:val="20"/>
              </w:rPr>
            </w:pPr>
            <w:r w:rsidRPr="00E754AB">
              <w:rPr>
                <w:sz w:val="20"/>
                <w:szCs w:val="20"/>
              </w:rPr>
              <w:t>rs7503580</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62AAD4C" w14:textId="77777777" w:rsidR="00AA5670" w:rsidRPr="00E754AB" w:rsidRDefault="00AA5670" w:rsidP="00AA5670">
            <w:pPr>
              <w:widowControl w:val="0"/>
              <w:jc w:val="center"/>
              <w:rPr>
                <w:sz w:val="20"/>
                <w:szCs w:val="20"/>
              </w:rPr>
            </w:pPr>
            <w:r w:rsidRPr="00E754AB">
              <w:rPr>
                <w:sz w:val="20"/>
                <w:szCs w:val="20"/>
              </w:rPr>
              <w:t>0.82</w:t>
            </w:r>
          </w:p>
        </w:tc>
      </w:tr>
      <w:tr w:rsidR="00AA5670" w:rsidRPr="00D52239" w14:paraId="6FF4A77F"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709DE2DF" w14:textId="77777777" w:rsidR="00AA5670" w:rsidRPr="00D52239" w:rsidRDefault="00AA5670" w:rsidP="00AA5670">
            <w:pPr>
              <w:widowControl w:val="0"/>
              <w:rPr>
                <w:sz w:val="20"/>
                <w:szCs w:val="20"/>
              </w:rPr>
            </w:pPr>
            <w:r w:rsidRPr="00D52239">
              <w:rPr>
                <w:sz w:val="20"/>
                <w:szCs w:val="20"/>
              </w:rPr>
              <w:t>Childhood Obesity</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4157613" w14:textId="77777777" w:rsidR="00AA5670" w:rsidRPr="00D52239" w:rsidRDefault="00AA5670" w:rsidP="00AA5670">
            <w:pPr>
              <w:widowControl w:val="0"/>
              <w:rPr>
                <w:sz w:val="20"/>
                <w:szCs w:val="20"/>
              </w:rPr>
            </w:pPr>
            <w:r w:rsidRPr="00D52239">
              <w:rPr>
                <w:sz w:val="20"/>
                <w:szCs w:val="20"/>
              </w:rPr>
              <w:t>Nonword Reading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D017348" w14:textId="03EC79B6" w:rsidR="00AA5670" w:rsidRPr="00AA5670" w:rsidRDefault="00AA5670" w:rsidP="00AA5670">
            <w:pPr>
              <w:widowControl w:val="0"/>
              <w:jc w:val="center"/>
              <w:rPr>
                <w:sz w:val="20"/>
                <w:szCs w:val="20"/>
              </w:rPr>
            </w:pPr>
            <w:r w:rsidRPr="00AA5670">
              <w:rPr>
                <w:color w:val="000000"/>
                <w:sz w:val="20"/>
                <w:szCs w:val="20"/>
              </w:rPr>
              <w:t>-0.18</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BB085E5" w14:textId="5B4B301C" w:rsidR="00AA5670" w:rsidRPr="00AA5670" w:rsidRDefault="00AA5670" w:rsidP="00AA5670">
            <w:pPr>
              <w:widowControl w:val="0"/>
              <w:jc w:val="center"/>
              <w:rPr>
                <w:sz w:val="20"/>
                <w:szCs w:val="20"/>
              </w:rPr>
            </w:pPr>
            <w:r w:rsidRPr="00AA5670">
              <w:rPr>
                <w:color w:val="000000"/>
                <w:sz w:val="20"/>
                <w:szCs w:val="20"/>
              </w:rPr>
              <w:t>0.01</w:t>
            </w:r>
          </w:p>
        </w:tc>
        <w:tc>
          <w:tcPr>
            <w:tcW w:w="1710" w:type="dxa"/>
            <w:tcBorders>
              <w:top w:val="single" w:sz="6" w:space="0" w:color="CCCCCC"/>
              <w:left w:val="single" w:sz="6" w:space="0" w:color="CCCCCC"/>
              <w:bottom w:val="single" w:sz="6" w:space="0" w:color="CCCCCC"/>
              <w:right w:val="single" w:sz="6" w:space="0" w:color="CCCCCC"/>
            </w:tcBorders>
            <w:vAlign w:val="bottom"/>
          </w:tcPr>
          <w:p w14:paraId="3CB5EDA1" w14:textId="7AEC34D3" w:rsidR="00AA5670" w:rsidRPr="00AA5670" w:rsidRDefault="00AA5670" w:rsidP="00AA5670">
            <w:pPr>
              <w:widowControl w:val="0"/>
              <w:jc w:val="center"/>
              <w:rPr>
                <w:sz w:val="20"/>
                <w:szCs w:val="20"/>
              </w:rPr>
            </w:pPr>
            <w:r w:rsidRPr="00AA5670">
              <w:rPr>
                <w:color w:val="000000"/>
                <w:sz w:val="20"/>
                <w:szCs w:val="20"/>
              </w:rPr>
              <w:t>-0.32 to -0.042</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E0D7C07" w14:textId="0183EA08" w:rsidR="00AA5670" w:rsidRPr="00E754AB"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665C1093" w14:textId="77777777" w:rsidR="00AA5670" w:rsidRPr="00E754AB" w:rsidRDefault="00AA5670" w:rsidP="00AA5670">
            <w:pPr>
              <w:widowControl w:val="0"/>
              <w:jc w:val="center"/>
              <w:rPr>
                <w:sz w:val="20"/>
                <w:szCs w:val="20"/>
              </w:rPr>
            </w:pPr>
            <w:r w:rsidRPr="00E754AB">
              <w:rPr>
                <w:sz w:val="20"/>
                <w:szCs w:val="20"/>
              </w:rPr>
              <w:t>rs10182458</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4F4D74D" w14:textId="77777777" w:rsidR="00AA5670" w:rsidRPr="00E754AB" w:rsidRDefault="00AA5670" w:rsidP="00AA5670">
            <w:pPr>
              <w:widowControl w:val="0"/>
              <w:jc w:val="center"/>
              <w:rPr>
                <w:sz w:val="20"/>
                <w:szCs w:val="20"/>
              </w:rPr>
            </w:pPr>
            <w:r w:rsidRPr="00E754AB">
              <w:rPr>
                <w:sz w:val="20"/>
                <w:szCs w:val="20"/>
              </w:rPr>
              <w:t>0.17</w:t>
            </w:r>
          </w:p>
        </w:tc>
      </w:tr>
      <w:tr w:rsidR="00AA5670" w:rsidRPr="00D52239" w14:paraId="7364F6E3"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7CA9D2A" w14:textId="77777777" w:rsidR="00AA5670" w:rsidRPr="00D52239" w:rsidRDefault="00AA5670" w:rsidP="00AA5670">
            <w:pPr>
              <w:widowControl w:val="0"/>
              <w:rPr>
                <w:sz w:val="20"/>
                <w:szCs w:val="20"/>
              </w:rPr>
            </w:pPr>
            <w:r w:rsidRPr="00D52239">
              <w:rPr>
                <w:sz w:val="20"/>
                <w:szCs w:val="20"/>
              </w:rPr>
              <w:t>Childhood Obesity</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2FC08A2" w14:textId="77777777" w:rsidR="00AA5670" w:rsidRPr="00D52239" w:rsidRDefault="00AA5670" w:rsidP="00AA5670">
            <w:pPr>
              <w:widowControl w:val="0"/>
              <w:rPr>
                <w:sz w:val="20"/>
                <w:szCs w:val="20"/>
              </w:rPr>
            </w:pPr>
            <w:r w:rsidRPr="00D52239">
              <w:rPr>
                <w:sz w:val="20"/>
                <w:szCs w:val="20"/>
              </w:rPr>
              <w:t>Nonword Repetition</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8F050EE" w14:textId="4A796B46" w:rsidR="00AA5670" w:rsidRPr="00AA5670" w:rsidRDefault="00AA5670" w:rsidP="00AA5670">
            <w:pPr>
              <w:widowControl w:val="0"/>
              <w:jc w:val="center"/>
              <w:rPr>
                <w:sz w:val="20"/>
                <w:szCs w:val="20"/>
              </w:rPr>
            </w:pPr>
            <w:r w:rsidRPr="00AA5670">
              <w:rPr>
                <w:color w:val="000000"/>
                <w:sz w:val="20"/>
                <w:szCs w:val="20"/>
              </w:rPr>
              <w:t>-0.10</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65D8B76" w14:textId="5A7F75DE" w:rsidR="00AA5670" w:rsidRPr="00AA5670" w:rsidRDefault="00AA5670" w:rsidP="00AA5670">
            <w:pPr>
              <w:widowControl w:val="0"/>
              <w:jc w:val="center"/>
              <w:rPr>
                <w:sz w:val="20"/>
                <w:szCs w:val="20"/>
              </w:rPr>
            </w:pPr>
            <w:r w:rsidRPr="00AA5670">
              <w:rPr>
                <w:color w:val="000000"/>
                <w:sz w:val="20"/>
                <w:szCs w:val="20"/>
              </w:rPr>
              <w:t>0.28</w:t>
            </w:r>
          </w:p>
        </w:tc>
        <w:tc>
          <w:tcPr>
            <w:tcW w:w="1710" w:type="dxa"/>
            <w:tcBorders>
              <w:top w:val="single" w:sz="6" w:space="0" w:color="CCCCCC"/>
              <w:left w:val="single" w:sz="6" w:space="0" w:color="CCCCCC"/>
              <w:bottom w:val="single" w:sz="6" w:space="0" w:color="CCCCCC"/>
              <w:right w:val="single" w:sz="6" w:space="0" w:color="CCCCCC"/>
            </w:tcBorders>
            <w:vAlign w:val="bottom"/>
          </w:tcPr>
          <w:p w14:paraId="06A6A1D0" w14:textId="48FB8B39" w:rsidR="00AA5670" w:rsidRPr="00AA5670" w:rsidRDefault="00AA5670" w:rsidP="00AA5670">
            <w:pPr>
              <w:widowControl w:val="0"/>
              <w:jc w:val="center"/>
              <w:rPr>
                <w:sz w:val="20"/>
                <w:szCs w:val="20"/>
              </w:rPr>
            </w:pPr>
            <w:r w:rsidRPr="00AA5670">
              <w:rPr>
                <w:color w:val="000000"/>
                <w:sz w:val="20"/>
                <w:szCs w:val="20"/>
              </w:rPr>
              <w:t>-0.28 to 0.081</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6DBBEEE7" w14:textId="2CA30FEC" w:rsidR="00AA5670" w:rsidRPr="00E754AB"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DC9073B" w14:textId="77777777" w:rsidR="00AA5670" w:rsidRPr="00E754AB" w:rsidRDefault="00AA5670" w:rsidP="00AA5670">
            <w:pPr>
              <w:widowControl w:val="0"/>
              <w:jc w:val="center"/>
              <w:rPr>
                <w:sz w:val="20"/>
                <w:szCs w:val="20"/>
              </w:rPr>
            </w:pPr>
            <w:r w:rsidRPr="00E754AB">
              <w:rPr>
                <w:sz w:val="20"/>
                <w:szCs w:val="20"/>
              </w:rPr>
              <w:t>rs3735781</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4275142" w14:textId="77777777" w:rsidR="00AA5670" w:rsidRPr="00E754AB" w:rsidRDefault="00AA5670" w:rsidP="00AA5670">
            <w:pPr>
              <w:widowControl w:val="0"/>
              <w:jc w:val="center"/>
              <w:rPr>
                <w:sz w:val="20"/>
                <w:szCs w:val="20"/>
              </w:rPr>
            </w:pPr>
            <w:r w:rsidRPr="00E754AB">
              <w:rPr>
                <w:sz w:val="20"/>
                <w:szCs w:val="20"/>
              </w:rPr>
              <w:t>0.33</w:t>
            </w:r>
          </w:p>
        </w:tc>
      </w:tr>
      <w:tr w:rsidR="00AA5670" w:rsidRPr="00D52239" w14:paraId="104B4FEA"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03605F39" w14:textId="77777777" w:rsidR="00AA5670" w:rsidRPr="00D52239" w:rsidRDefault="00AA5670" w:rsidP="00AA5670">
            <w:pPr>
              <w:widowControl w:val="0"/>
              <w:rPr>
                <w:sz w:val="20"/>
                <w:szCs w:val="20"/>
              </w:rPr>
            </w:pPr>
            <w:r w:rsidRPr="00D52239">
              <w:rPr>
                <w:sz w:val="20"/>
                <w:szCs w:val="20"/>
              </w:rPr>
              <w:t>Childhood Obesity</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331D1D2" w14:textId="77777777" w:rsidR="00AA5670" w:rsidRPr="00D52239" w:rsidRDefault="00AA5670" w:rsidP="00AA5670">
            <w:pPr>
              <w:widowControl w:val="0"/>
              <w:rPr>
                <w:sz w:val="20"/>
                <w:szCs w:val="20"/>
              </w:rPr>
            </w:pPr>
            <w:r w:rsidRPr="00D52239">
              <w:rPr>
                <w:sz w:val="20"/>
                <w:szCs w:val="20"/>
              </w:rPr>
              <w:t>Phoneme Awareness</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EA56C0" w14:textId="59034AD4" w:rsidR="00AA5670" w:rsidRPr="00AA5670" w:rsidRDefault="00AA5670" w:rsidP="00AA5670">
            <w:pPr>
              <w:widowControl w:val="0"/>
              <w:jc w:val="center"/>
              <w:rPr>
                <w:sz w:val="20"/>
                <w:szCs w:val="20"/>
              </w:rPr>
            </w:pPr>
            <w:r w:rsidRPr="00AA5670">
              <w:rPr>
                <w:color w:val="000000"/>
                <w:sz w:val="20"/>
                <w:szCs w:val="20"/>
              </w:rPr>
              <w:t>-0.13</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60EB821" w14:textId="23C5C3F0" w:rsidR="00AA5670" w:rsidRPr="00AA5670" w:rsidRDefault="00AA5670" w:rsidP="00AA5670">
            <w:pPr>
              <w:widowControl w:val="0"/>
              <w:jc w:val="center"/>
              <w:rPr>
                <w:sz w:val="20"/>
                <w:szCs w:val="20"/>
              </w:rPr>
            </w:pPr>
            <w:r w:rsidRPr="00AA5670">
              <w:rPr>
                <w:color w:val="000000"/>
                <w:sz w:val="20"/>
                <w:szCs w:val="20"/>
              </w:rPr>
              <w:t>0.111</w:t>
            </w:r>
          </w:p>
        </w:tc>
        <w:tc>
          <w:tcPr>
            <w:tcW w:w="1710" w:type="dxa"/>
            <w:tcBorders>
              <w:top w:val="single" w:sz="6" w:space="0" w:color="CCCCCC"/>
              <w:left w:val="single" w:sz="6" w:space="0" w:color="CCCCCC"/>
              <w:bottom w:val="single" w:sz="6" w:space="0" w:color="CCCCCC"/>
              <w:right w:val="single" w:sz="6" w:space="0" w:color="CCCCCC"/>
            </w:tcBorders>
            <w:vAlign w:val="bottom"/>
          </w:tcPr>
          <w:p w14:paraId="79644789" w14:textId="4941A8F2" w:rsidR="00AA5670" w:rsidRPr="00AA5670" w:rsidRDefault="00AA5670" w:rsidP="00AA5670">
            <w:pPr>
              <w:widowControl w:val="0"/>
              <w:jc w:val="center"/>
              <w:rPr>
                <w:sz w:val="20"/>
                <w:szCs w:val="20"/>
              </w:rPr>
            </w:pPr>
            <w:r w:rsidRPr="00AA5670">
              <w:rPr>
                <w:color w:val="000000"/>
                <w:sz w:val="20"/>
                <w:szCs w:val="20"/>
              </w:rPr>
              <w:t>-0.28 to 0.029</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DBA7C31" w14:textId="25F9C0C0" w:rsidR="00AA5670" w:rsidRPr="00E754AB"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063B491C" w14:textId="77777777" w:rsidR="00AA5670" w:rsidRPr="00E754AB" w:rsidRDefault="00AA5670" w:rsidP="00AA5670">
            <w:pPr>
              <w:widowControl w:val="0"/>
              <w:jc w:val="center"/>
              <w:rPr>
                <w:sz w:val="20"/>
                <w:szCs w:val="20"/>
              </w:rPr>
            </w:pPr>
            <w:r w:rsidRPr="00E754AB">
              <w:rPr>
                <w:sz w:val="20"/>
                <w:szCs w:val="20"/>
              </w:rPr>
              <w:t>rs74583214</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B705A77" w14:textId="77777777" w:rsidR="00AA5670" w:rsidRPr="00E754AB" w:rsidRDefault="00AA5670" w:rsidP="00AA5670">
            <w:pPr>
              <w:widowControl w:val="0"/>
              <w:jc w:val="center"/>
              <w:rPr>
                <w:sz w:val="20"/>
                <w:szCs w:val="20"/>
              </w:rPr>
            </w:pPr>
            <w:r w:rsidRPr="00E754AB">
              <w:rPr>
                <w:sz w:val="20"/>
                <w:szCs w:val="20"/>
              </w:rPr>
              <w:t>0.10</w:t>
            </w:r>
          </w:p>
        </w:tc>
      </w:tr>
      <w:tr w:rsidR="00AA5670" w:rsidRPr="00D52239" w14:paraId="6B5AF119"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34457ED4" w14:textId="77777777" w:rsidR="00AA5670" w:rsidRPr="00D52239" w:rsidRDefault="00AA5670" w:rsidP="00AA5670">
            <w:pPr>
              <w:widowControl w:val="0"/>
              <w:rPr>
                <w:sz w:val="20"/>
                <w:szCs w:val="20"/>
              </w:rPr>
            </w:pPr>
            <w:r w:rsidRPr="00D52239">
              <w:rPr>
                <w:sz w:val="20"/>
                <w:szCs w:val="20"/>
              </w:rPr>
              <w:t>Childhood Obesity</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691F550B" w14:textId="77777777" w:rsidR="00AA5670" w:rsidRPr="00D52239" w:rsidRDefault="00AA5670" w:rsidP="00AA5670">
            <w:pPr>
              <w:widowControl w:val="0"/>
              <w:rPr>
                <w:sz w:val="20"/>
                <w:szCs w:val="20"/>
              </w:rPr>
            </w:pPr>
            <w:r w:rsidRPr="00D52239">
              <w:rPr>
                <w:sz w:val="20"/>
                <w:szCs w:val="20"/>
              </w:rPr>
              <w:t>Spelling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59AD647" w14:textId="1E5112DA" w:rsidR="00AA5670" w:rsidRPr="00AA5670" w:rsidRDefault="00AA5670" w:rsidP="00AA5670">
            <w:pPr>
              <w:widowControl w:val="0"/>
              <w:jc w:val="center"/>
              <w:rPr>
                <w:sz w:val="20"/>
                <w:szCs w:val="20"/>
              </w:rPr>
            </w:pPr>
            <w:r w:rsidRPr="00AA5670">
              <w:rPr>
                <w:color w:val="000000"/>
                <w:sz w:val="20"/>
                <w:szCs w:val="20"/>
              </w:rPr>
              <w:t>-0.23</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1B1172" w14:textId="78E15406" w:rsidR="00AA5670" w:rsidRPr="00AA5670" w:rsidRDefault="00AA5670" w:rsidP="00AA5670">
            <w:pPr>
              <w:widowControl w:val="0"/>
              <w:jc w:val="center"/>
              <w:rPr>
                <w:sz w:val="20"/>
                <w:szCs w:val="20"/>
              </w:rPr>
            </w:pPr>
            <w:r w:rsidRPr="00AA5670">
              <w:rPr>
                <w:color w:val="000000"/>
                <w:sz w:val="20"/>
                <w:szCs w:val="20"/>
              </w:rPr>
              <w:t>2.0x10</w:t>
            </w:r>
            <w:r w:rsidRPr="00AA5670">
              <w:rPr>
                <w:color w:val="000000"/>
                <w:sz w:val="20"/>
                <w:szCs w:val="20"/>
                <w:vertAlign w:val="superscript"/>
              </w:rPr>
              <w:t>-4</w:t>
            </w:r>
          </w:p>
        </w:tc>
        <w:tc>
          <w:tcPr>
            <w:tcW w:w="1710" w:type="dxa"/>
            <w:tcBorders>
              <w:top w:val="single" w:sz="6" w:space="0" w:color="CCCCCC"/>
              <w:left w:val="single" w:sz="6" w:space="0" w:color="CCCCCC"/>
              <w:bottom w:val="single" w:sz="6" w:space="0" w:color="CCCCCC"/>
              <w:right w:val="single" w:sz="6" w:space="0" w:color="CCCCCC"/>
            </w:tcBorders>
            <w:vAlign w:val="bottom"/>
          </w:tcPr>
          <w:p w14:paraId="22B4766C" w14:textId="3AA6B8E1" w:rsidR="00AA5670" w:rsidRPr="00AA5670" w:rsidRDefault="00AA5670" w:rsidP="00AA5670">
            <w:pPr>
              <w:widowControl w:val="0"/>
              <w:jc w:val="center"/>
              <w:rPr>
                <w:sz w:val="20"/>
                <w:szCs w:val="20"/>
              </w:rPr>
            </w:pPr>
            <w:r w:rsidRPr="00AA5670">
              <w:rPr>
                <w:color w:val="000000"/>
                <w:sz w:val="20"/>
                <w:szCs w:val="20"/>
              </w:rPr>
              <w:t>-0.36 to -0.11</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59793055" w14:textId="5A986055" w:rsidR="00AA5670" w:rsidRPr="00E754AB"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194018B4" w14:textId="77777777" w:rsidR="00AA5670" w:rsidRPr="00E754AB" w:rsidRDefault="00AA5670" w:rsidP="00AA5670">
            <w:pPr>
              <w:widowControl w:val="0"/>
              <w:jc w:val="center"/>
              <w:rPr>
                <w:sz w:val="20"/>
                <w:szCs w:val="20"/>
              </w:rPr>
            </w:pPr>
            <w:r w:rsidRPr="00E754AB">
              <w:rPr>
                <w:sz w:val="20"/>
                <w:szCs w:val="20"/>
              </w:rPr>
              <w:t>rs141458884</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4B00737A" w14:textId="77777777" w:rsidR="00AA5670" w:rsidRPr="00E754AB" w:rsidRDefault="00AA5670" w:rsidP="00AA5670">
            <w:pPr>
              <w:widowControl w:val="0"/>
              <w:jc w:val="center"/>
              <w:rPr>
                <w:sz w:val="20"/>
                <w:szCs w:val="20"/>
              </w:rPr>
            </w:pPr>
            <w:r w:rsidRPr="00E754AB">
              <w:rPr>
                <w:sz w:val="20"/>
                <w:szCs w:val="20"/>
              </w:rPr>
              <w:t>0.32</w:t>
            </w:r>
          </w:p>
        </w:tc>
      </w:tr>
      <w:tr w:rsidR="00AA5670" w:rsidRPr="00D52239" w14:paraId="0CC94D91" w14:textId="77777777" w:rsidTr="00763754">
        <w:tc>
          <w:tcPr>
            <w:tcW w:w="197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14:paraId="1AE04DDC" w14:textId="77777777" w:rsidR="00AA5670" w:rsidRPr="00D52239" w:rsidRDefault="00AA5670" w:rsidP="00AA5670">
            <w:pPr>
              <w:widowControl w:val="0"/>
              <w:rPr>
                <w:sz w:val="20"/>
                <w:szCs w:val="20"/>
              </w:rPr>
            </w:pPr>
            <w:r w:rsidRPr="00D52239">
              <w:rPr>
                <w:sz w:val="20"/>
                <w:szCs w:val="20"/>
              </w:rPr>
              <w:t>Childhood Obesity</w:t>
            </w:r>
          </w:p>
        </w:tc>
        <w:tc>
          <w:tcPr>
            <w:tcW w:w="20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2A17BB7A" w14:textId="77777777" w:rsidR="00AA5670" w:rsidRPr="00D52239" w:rsidRDefault="00AA5670" w:rsidP="00AA5670">
            <w:pPr>
              <w:widowControl w:val="0"/>
              <w:rPr>
                <w:sz w:val="20"/>
                <w:szCs w:val="20"/>
              </w:rPr>
            </w:pPr>
            <w:r w:rsidRPr="00D52239">
              <w:rPr>
                <w:sz w:val="20"/>
                <w:szCs w:val="20"/>
              </w:rPr>
              <w:t>Word Reading</w:t>
            </w:r>
          </w:p>
        </w:tc>
        <w:tc>
          <w:tcPr>
            <w:tcW w:w="81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5E9CF882" w14:textId="4CB74271" w:rsidR="00AA5670" w:rsidRPr="00AA5670" w:rsidRDefault="00AA5670" w:rsidP="00AA5670">
            <w:pPr>
              <w:widowControl w:val="0"/>
              <w:jc w:val="center"/>
              <w:rPr>
                <w:sz w:val="20"/>
                <w:szCs w:val="20"/>
              </w:rPr>
            </w:pPr>
            <w:r w:rsidRPr="00AA5670">
              <w:rPr>
                <w:color w:val="000000"/>
                <w:sz w:val="20"/>
                <w:szCs w:val="20"/>
              </w:rPr>
              <w:t>-0.15</w:t>
            </w:r>
          </w:p>
        </w:tc>
        <w:tc>
          <w:tcPr>
            <w:tcW w:w="99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6F675FB" w14:textId="25C93C73" w:rsidR="00AA5670" w:rsidRPr="00AA5670" w:rsidRDefault="00AA5670" w:rsidP="00AA5670">
            <w:pPr>
              <w:widowControl w:val="0"/>
              <w:jc w:val="center"/>
              <w:rPr>
                <w:sz w:val="20"/>
                <w:szCs w:val="20"/>
              </w:rPr>
            </w:pPr>
            <w:r w:rsidRPr="00AA5670">
              <w:rPr>
                <w:color w:val="000000"/>
                <w:sz w:val="20"/>
                <w:szCs w:val="20"/>
              </w:rPr>
              <w:t>0.0087</w:t>
            </w:r>
          </w:p>
        </w:tc>
        <w:tc>
          <w:tcPr>
            <w:tcW w:w="1710" w:type="dxa"/>
            <w:tcBorders>
              <w:top w:val="single" w:sz="6" w:space="0" w:color="CCCCCC"/>
              <w:left w:val="single" w:sz="6" w:space="0" w:color="CCCCCC"/>
              <w:bottom w:val="single" w:sz="6" w:space="0" w:color="CCCCCC"/>
              <w:right w:val="single" w:sz="6" w:space="0" w:color="CCCCCC"/>
            </w:tcBorders>
            <w:vAlign w:val="bottom"/>
          </w:tcPr>
          <w:p w14:paraId="69E9F3D3" w14:textId="6C14C0B9" w:rsidR="00AA5670" w:rsidRPr="00AA5670" w:rsidRDefault="00AA5670" w:rsidP="00AA5670">
            <w:pPr>
              <w:widowControl w:val="0"/>
              <w:jc w:val="center"/>
              <w:rPr>
                <w:sz w:val="20"/>
                <w:szCs w:val="20"/>
              </w:rPr>
            </w:pPr>
            <w:r w:rsidRPr="00AA5670">
              <w:rPr>
                <w:color w:val="000000"/>
                <w:sz w:val="20"/>
                <w:szCs w:val="20"/>
              </w:rPr>
              <w:t>-0.27 to -0.039</w:t>
            </w:r>
          </w:p>
        </w:tc>
        <w:tc>
          <w:tcPr>
            <w:tcW w:w="278"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8190774" w14:textId="6CEA0C62" w:rsidR="00AA5670" w:rsidRPr="00D52239" w:rsidRDefault="00AA5670" w:rsidP="00AA5670">
            <w:pPr>
              <w:widowControl w:val="0"/>
              <w:rPr>
                <w:sz w:val="20"/>
                <w:szCs w:val="20"/>
              </w:rPr>
            </w:pPr>
          </w:p>
        </w:tc>
        <w:tc>
          <w:tcPr>
            <w:tcW w:w="13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33FF535" w14:textId="77777777" w:rsidR="00AA5670" w:rsidRPr="00D52239" w:rsidRDefault="00AA5670" w:rsidP="00AA5670">
            <w:pPr>
              <w:widowControl w:val="0"/>
              <w:jc w:val="center"/>
              <w:rPr>
                <w:sz w:val="20"/>
                <w:szCs w:val="20"/>
              </w:rPr>
            </w:pPr>
            <w:r w:rsidRPr="00D52239">
              <w:rPr>
                <w:sz w:val="20"/>
                <w:szCs w:val="20"/>
              </w:rPr>
              <w:t>rs62037365</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14:paraId="77AEED0F" w14:textId="77777777" w:rsidR="00AA5670" w:rsidRPr="00D52239" w:rsidRDefault="00AA5670" w:rsidP="00AA5670">
            <w:pPr>
              <w:widowControl w:val="0"/>
              <w:jc w:val="center"/>
              <w:rPr>
                <w:sz w:val="20"/>
                <w:szCs w:val="20"/>
              </w:rPr>
            </w:pPr>
            <w:r w:rsidRPr="00D52239">
              <w:rPr>
                <w:sz w:val="20"/>
                <w:szCs w:val="20"/>
              </w:rPr>
              <w:t>0.42</w:t>
            </w:r>
          </w:p>
        </w:tc>
      </w:tr>
    </w:tbl>
    <w:p w14:paraId="5DC3EE3E" w14:textId="483E4FE9" w:rsidR="00BA49FB" w:rsidRDefault="00BA49FB" w:rsidP="00BA49FB">
      <w:r w:rsidRPr="00D52239">
        <w:t>Abbreviations: confidence interval (CI) inverse-variance weighted (IVW), Mendelian randomisation (MR), single nucleotide polymorphisms (SNP), posterior probability</w:t>
      </w:r>
      <w:r w:rsidR="00F102EF">
        <w:t xml:space="preserve"> of </w:t>
      </w:r>
      <w:r w:rsidR="00F102EF" w:rsidRPr="00F102EF">
        <w:t>both traits are associated and share a single causal variant</w:t>
      </w:r>
      <w:r w:rsidRPr="00D52239">
        <w:t xml:space="preserve"> (PP</w:t>
      </w:r>
      <w:r w:rsidR="00F102EF">
        <w:t>.H4</w:t>
      </w:r>
      <w:r w:rsidRPr="00D52239">
        <w:t>)</w:t>
      </w:r>
    </w:p>
    <w:p w14:paraId="3014D770" w14:textId="62FC2EB9" w:rsidR="00762BC9" w:rsidRDefault="00762BC9" w:rsidP="00BA49FB">
      <w:r w:rsidRPr="00762BC9">
        <w:rPr>
          <w:vertAlign w:val="superscript"/>
        </w:rPr>
        <w:t>a</w:t>
      </w:r>
      <w:r>
        <w:t xml:space="preserve"> P-value obtained from L</w:t>
      </w:r>
      <w:r w:rsidR="0062407A">
        <w:t xml:space="preserve">inkage </w:t>
      </w:r>
      <w:r>
        <w:t>D</w:t>
      </w:r>
      <w:r w:rsidR="0062407A">
        <w:t>isequilibrium</w:t>
      </w:r>
      <w:r w:rsidR="00103B63">
        <w:t xml:space="preserve"> (LD)</w:t>
      </w:r>
      <w:r>
        <w:t xml:space="preserve"> Score regression.</w:t>
      </w:r>
    </w:p>
    <w:p w14:paraId="175981CC" w14:textId="77777777" w:rsidR="00BA49FB" w:rsidRPr="00BA49FB" w:rsidRDefault="00BA49FB" w:rsidP="00BA49FB"/>
    <w:p w14:paraId="3D0E855F" w14:textId="77777777" w:rsidR="00BA49FB" w:rsidRDefault="00BA49FB">
      <w:pPr>
        <w:spacing w:before="240" w:after="240"/>
        <w:sectPr w:rsidR="00BA49FB" w:rsidSect="00EE3B44">
          <w:pgSz w:w="11909" w:h="16834"/>
          <w:pgMar w:top="1440" w:right="1440" w:bottom="1440" w:left="1440" w:header="720" w:footer="720" w:gutter="0"/>
          <w:cols w:space="720"/>
        </w:sectPr>
      </w:pPr>
    </w:p>
    <w:p w14:paraId="2E50BDC3" w14:textId="5B053868" w:rsidR="00E719FC" w:rsidRPr="00D52239" w:rsidRDefault="007C7450">
      <w:pPr>
        <w:spacing w:before="240" w:after="240"/>
      </w:pPr>
      <w:r w:rsidRPr="00D52239">
        <w:t xml:space="preserve">Table </w:t>
      </w:r>
      <w:r w:rsidR="0012397B">
        <w:t>2</w:t>
      </w:r>
      <w:r w:rsidRPr="00D52239">
        <w:t>. Cohort Characteristics for 1,095 children and the subset of 733 children who have both genotyped data for PRS and at least one language development outcome in the GUSTO cohort.</w:t>
      </w:r>
    </w:p>
    <w:tbl>
      <w:tblPr>
        <w:tblStyle w:val="a"/>
        <w:tblW w:w="9105" w:type="dxa"/>
        <w:tblBorders>
          <w:top w:val="nil"/>
          <w:left w:val="nil"/>
          <w:bottom w:val="nil"/>
          <w:right w:val="nil"/>
          <w:insideH w:val="nil"/>
          <w:insideV w:val="nil"/>
        </w:tblBorders>
        <w:tblLayout w:type="fixed"/>
        <w:tblLook w:val="0600" w:firstRow="0" w:lastRow="0" w:firstColumn="0" w:lastColumn="0" w:noHBand="1" w:noVBand="1"/>
      </w:tblPr>
      <w:tblGrid>
        <w:gridCol w:w="3675"/>
        <w:gridCol w:w="1800"/>
        <w:gridCol w:w="1635"/>
        <w:gridCol w:w="1995"/>
      </w:tblGrid>
      <w:tr w:rsidR="00E719FC" w:rsidRPr="00D52239" w14:paraId="2E50BDC8" w14:textId="77777777">
        <w:trPr>
          <w:trHeight w:val="280"/>
        </w:trPr>
        <w:tc>
          <w:tcPr>
            <w:tcW w:w="3675" w:type="dxa"/>
            <w:vMerge w:val="restart"/>
            <w:tcBorders>
              <w:top w:val="single" w:sz="4" w:space="0" w:color="000000"/>
              <w:left w:val="single" w:sz="4" w:space="0" w:color="CCCCCC"/>
              <w:bottom w:val="single" w:sz="4" w:space="0" w:color="000000"/>
              <w:right w:val="single" w:sz="4" w:space="0" w:color="CCCCCC"/>
            </w:tcBorders>
            <w:tcMar>
              <w:top w:w="40" w:type="dxa"/>
              <w:left w:w="40" w:type="dxa"/>
              <w:bottom w:w="40" w:type="dxa"/>
              <w:right w:w="40" w:type="dxa"/>
            </w:tcMar>
            <w:vAlign w:val="bottom"/>
          </w:tcPr>
          <w:p w14:paraId="2E50BDC4" w14:textId="77777777" w:rsidR="00E719FC" w:rsidRPr="00D52239" w:rsidRDefault="00E719FC">
            <w:pPr>
              <w:widowControl w:val="0"/>
              <w:rPr>
                <w:sz w:val="20"/>
                <w:szCs w:val="20"/>
              </w:rPr>
            </w:pPr>
          </w:p>
        </w:tc>
        <w:tc>
          <w:tcPr>
            <w:tcW w:w="1800" w:type="dxa"/>
            <w:tcBorders>
              <w:top w:val="single" w:sz="4" w:space="0" w:color="000000"/>
              <w:left w:val="single" w:sz="4" w:space="0" w:color="CCCCCC"/>
              <w:bottom w:val="single" w:sz="4" w:space="0" w:color="CCCCCC"/>
              <w:right w:val="single" w:sz="4" w:space="0" w:color="CCCCCC"/>
            </w:tcBorders>
            <w:tcMar>
              <w:top w:w="40" w:type="dxa"/>
              <w:left w:w="40" w:type="dxa"/>
              <w:bottom w:w="40" w:type="dxa"/>
              <w:right w:w="40" w:type="dxa"/>
            </w:tcMar>
            <w:vAlign w:val="bottom"/>
          </w:tcPr>
          <w:p w14:paraId="2E50BDC5" w14:textId="61F0196E" w:rsidR="00E719FC" w:rsidRPr="00D52239" w:rsidRDefault="00F2677F">
            <w:pPr>
              <w:widowControl w:val="0"/>
              <w:jc w:val="center"/>
              <w:rPr>
                <w:sz w:val="20"/>
                <w:szCs w:val="20"/>
              </w:rPr>
            </w:pPr>
            <w:r>
              <w:rPr>
                <w:b/>
                <w:sz w:val="20"/>
                <w:szCs w:val="20"/>
              </w:rPr>
              <w:t>GUSTO cohort</w:t>
            </w:r>
          </w:p>
        </w:tc>
        <w:tc>
          <w:tcPr>
            <w:tcW w:w="1635" w:type="dxa"/>
            <w:tcBorders>
              <w:top w:val="single" w:sz="4" w:space="0" w:color="000000"/>
              <w:left w:val="single" w:sz="4" w:space="0" w:color="CCCCCC"/>
              <w:bottom w:val="single" w:sz="4" w:space="0" w:color="CCCCCC"/>
              <w:right w:val="single" w:sz="4" w:space="0" w:color="CCCCCC"/>
            </w:tcBorders>
            <w:tcMar>
              <w:top w:w="40" w:type="dxa"/>
              <w:left w:w="40" w:type="dxa"/>
              <w:bottom w:w="40" w:type="dxa"/>
              <w:right w:w="40" w:type="dxa"/>
            </w:tcMar>
            <w:vAlign w:val="bottom"/>
          </w:tcPr>
          <w:p w14:paraId="2E50BDC6" w14:textId="77777777" w:rsidR="00E719FC" w:rsidRPr="00D52239" w:rsidRDefault="007C7450">
            <w:pPr>
              <w:widowControl w:val="0"/>
              <w:jc w:val="center"/>
              <w:rPr>
                <w:sz w:val="20"/>
                <w:szCs w:val="20"/>
              </w:rPr>
            </w:pPr>
            <w:r w:rsidRPr="00D52239">
              <w:rPr>
                <w:b/>
                <w:sz w:val="20"/>
                <w:szCs w:val="20"/>
              </w:rPr>
              <w:t>Sub-sample</w:t>
            </w:r>
          </w:p>
        </w:tc>
        <w:tc>
          <w:tcPr>
            <w:tcW w:w="1995" w:type="dxa"/>
            <w:vMerge w:val="restart"/>
            <w:tcBorders>
              <w:top w:val="single" w:sz="4" w:space="0" w:color="000000"/>
              <w:left w:val="single" w:sz="4" w:space="0" w:color="CCCCCC"/>
              <w:bottom w:val="single" w:sz="4" w:space="0" w:color="CCCCCC"/>
              <w:right w:val="single" w:sz="4" w:space="0" w:color="CCCCCC"/>
            </w:tcBorders>
            <w:tcMar>
              <w:top w:w="40" w:type="dxa"/>
              <w:left w:w="40" w:type="dxa"/>
              <w:bottom w:w="40" w:type="dxa"/>
              <w:right w:w="40" w:type="dxa"/>
            </w:tcMar>
            <w:vAlign w:val="bottom"/>
          </w:tcPr>
          <w:p w14:paraId="2E50BDC7" w14:textId="77777777" w:rsidR="00E719FC" w:rsidRPr="00D52239" w:rsidRDefault="007C7450">
            <w:pPr>
              <w:widowControl w:val="0"/>
              <w:jc w:val="center"/>
              <w:rPr>
                <w:sz w:val="20"/>
                <w:szCs w:val="20"/>
                <w:vertAlign w:val="superscript"/>
              </w:rPr>
            </w:pPr>
            <w:r w:rsidRPr="00D52239">
              <w:rPr>
                <w:b/>
                <w:sz w:val="20"/>
                <w:szCs w:val="20"/>
              </w:rPr>
              <w:t>P-value</w:t>
            </w:r>
            <w:r w:rsidRPr="00D52239">
              <w:rPr>
                <w:b/>
                <w:sz w:val="20"/>
                <w:szCs w:val="20"/>
                <w:vertAlign w:val="superscript"/>
              </w:rPr>
              <w:t>a</w:t>
            </w:r>
          </w:p>
        </w:tc>
      </w:tr>
      <w:tr w:rsidR="00E719FC" w:rsidRPr="00D52239" w14:paraId="2E50BDCD" w14:textId="77777777">
        <w:trPr>
          <w:trHeight w:val="280"/>
        </w:trPr>
        <w:tc>
          <w:tcPr>
            <w:tcW w:w="3675" w:type="dxa"/>
            <w:vMerge/>
            <w:tcBorders>
              <w:top w:val="single" w:sz="4" w:space="0" w:color="000000"/>
              <w:left w:val="single" w:sz="4" w:space="0" w:color="CCCCCC"/>
              <w:bottom w:val="single" w:sz="4" w:space="0" w:color="000000"/>
              <w:right w:val="single" w:sz="4" w:space="0" w:color="CCCCCC"/>
            </w:tcBorders>
            <w:shd w:val="clear" w:color="auto" w:fill="auto"/>
            <w:tcMar>
              <w:top w:w="100" w:type="dxa"/>
              <w:left w:w="100" w:type="dxa"/>
              <w:bottom w:w="100" w:type="dxa"/>
              <w:right w:w="100" w:type="dxa"/>
            </w:tcMar>
          </w:tcPr>
          <w:p w14:paraId="2E50BDC9" w14:textId="77777777" w:rsidR="00E719FC" w:rsidRPr="00D52239" w:rsidRDefault="00E719FC">
            <w:pPr>
              <w:widowControl w:val="0"/>
              <w:rPr>
                <w:sz w:val="20"/>
                <w:szCs w:val="20"/>
              </w:rPr>
            </w:pPr>
          </w:p>
        </w:tc>
        <w:tc>
          <w:tcPr>
            <w:tcW w:w="1800" w:type="dxa"/>
            <w:tcBorders>
              <w:top w:val="single" w:sz="4" w:space="0" w:color="CCCCCC"/>
              <w:left w:val="single" w:sz="4" w:space="0" w:color="CCCCCC"/>
              <w:bottom w:val="single" w:sz="4" w:space="0" w:color="000000"/>
              <w:right w:val="single" w:sz="4" w:space="0" w:color="CCCCCC"/>
            </w:tcBorders>
            <w:shd w:val="clear" w:color="auto" w:fill="auto"/>
            <w:tcMar>
              <w:top w:w="40" w:type="dxa"/>
              <w:left w:w="40" w:type="dxa"/>
              <w:bottom w:w="40" w:type="dxa"/>
              <w:right w:w="40" w:type="dxa"/>
            </w:tcMar>
            <w:vAlign w:val="bottom"/>
          </w:tcPr>
          <w:p w14:paraId="2E50BDCA" w14:textId="77777777" w:rsidR="00E719FC" w:rsidRPr="00D52239" w:rsidRDefault="007C7450">
            <w:pPr>
              <w:widowControl w:val="0"/>
              <w:jc w:val="center"/>
              <w:rPr>
                <w:sz w:val="20"/>
                <w:szCs w:val="20"/>
              </w:rPr>
            </w:pPr>
            <w:r w:rsidRPr="00D52239">
              <w:rPr>
                <w:b/>
                <w:sz w:val="20"/>
                <w:szCs w:val="20"/>
              </w:rPr>
              <w:t>(N=1,095)</w:t>
            </w:r>
          </w:p>
        </w:tc>
        <w:tc>
          <w:tcPr>
            <w:tcW w:w="1635" w:type="dxa"/>
            <w:tcBorders>
              <w:top w:val="single" w:sz="4" w:space="0" w:color="CCCCCC"/>
              <w:left w:val="single" w:sz="4" w:space="0" w:color="CCCCCC"/>
              <w:bottom w:val="single" w:sz="4" w:space="0" w:color="000000"/>
              <w:right w:val="single" w:sz="4" w:space="0" w:color="CCCCCC"/>
            </w:tcBorders>
            <w:shd w:val="clear" w:color="auto" w:fill="auto"/>
            <w:tcMar>
              <w:top w:w="40" w:type="dxa"/>
              <w:left w:w="40" w:type="dxa"/>
              <w:bottom w:w="40" w:type="dxa"/>
              <w:right w:w="40" w:type="dxa"/>
            </w:tcMar>
            <w:vAlign w:val="bottom"/>
          </w:tcPr>
          <w:p w14:paraId="2E50BDCB" w14:textId="77777777" w:rsidR="00E719FC" w:rsidRPr="00D52239" w:rsidRDefault="007C7450">
            <w:pPr>
              <w:widowControl w:val="0"/>
              <w:jc w:val="center"/>
              <w:rPr>
                <w:sz w:val="20"/>
                <w:szCs w:val="20"/>
              </w:rPr>
            </w:pPr>
            <w:r w:rsidRPr="00D52239">
              <w:rPr>
                <w:b/>
                <w:sz w:val="20"/>
                <w:szCs w:val="20"/>
              </w:rPr>
              <w:t>(N=733)</w:t>
            </w:r>
          </w:p>
        </w:tc>
        <w:tc>
          <w:tcPr>
            <w:tcW w:w="1995" w:type="dxa"/>
            <w:vMerge/>
            <w:tcBorders>
              <w:top w:val="single" w:sz="4" w:space="0" w:color="CCCCCC"/>
              <w:left w:val="single" w:sz="4" w:space="0" w:color="CCCCCC"/>
              <w:bottom w:val="single" w:sz="4" w:space="0" w:color="000000"/>
              <w:right w:val="single" w:sz="4" w:space="0" w:color="CCCCCC"/>
            </w:tcBorders>
            <w:shd w:val="clear" w:color="auto" w:fill="auto"/>
            <w:tcMar>
              <w:top w:w="40" w:type="dxa"/>
              <w:left w:w="40" w:type="dxa"/>
              <w:bottom w:w="40" w:type="dxa"/>
              <w:right w:w="40" w:type="dxa"/>
            </w:tcMar>
            <w:vAlign w:val="bottom"/>
          </w:tcPr>
          <w:p w14:paraId="2E50BDCC" w14:textId="77777777" w:rsidR="00E719FC" w:rsidRPr="00D52239" w:rsidRDefault="00E719FC">
            <w:pPr>
              <w:widowControl w:val="0"/>
              <w:spacing w:line="240" w:lineRule="auto"/>
              <w:rPr>
                <w:sz w:val="20"/>
                <w:szCs w:val="20"/>
              </w:rPr>
            </w:pPr>
          </w:p>
        </w:tc>
      </w:tr>
      <w:tr w:rsidR="00E719FC" w:rsidRPr="00D52239" w14:paraId="2E50BDD2"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CE" w14:textId="77777777" w:rsidR="00E719FC" w:rsidRPr="00D52239" w:rsidRDefault="00E719FC">
            <w:pPr>
              <w:widowControl w:val="0"/>
              <w:rPr>
                <w:sz w:val="20"/>
                <w:szCs w:val="20"/>
              </w:rPr>
            </w:pP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CF" w14:textId="77777777" w:rsidR="00E719FC" w:rsidRPr="00D52239" w:rsidRDefault="007C7450">
            <w:pPr>
              <w:widowControl w:val="0"/>
              <w:jc w:val="center"/>
              <w:rPr>
                <w:sz w:val="20"/>
                <w:szCs w:val="20"/>
              </w:rPr>
            </w:pPr>
            <w:r w:rsidRPr="00D52239">
              <w:rPr>
                <w:rFonts w:eastAsia="Calibri"/>
                <w:b/>
              </w:rPr>
              <w:t>Mean (SD)</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0" w14:textId="77777777" w:rsidR="00E719FC" w:rsidRPr="00D52239" w:rsidRDefault="007C7450">
            <w:pPr>
              <w:widowControl w:val="0"/>
              <w:jc w:val="center"/>
              <w:rPr>
                <w:sz w:val="20"/>
                <w:szCs w:val="20"/>
              </w:rPr>
            </w:pPr>
            <w:r w:rsidRPr="00D52239">
              <w:rPr>
                <w:rFonts w:eastAsia="Calibri"/>
                <w:b/>
              </w:rPr>
              <w:t>Mean (SD)</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1" w14:textId="77777777" w:rsidR="00E719FC" w:rsidRPr="00D52239" w:rsidRDefault="00E719FC">
            <w:pPr>
              <w:widowControl w:val="0"/>
              <w:rPr>
                <w:sz w:val="20"/>
                <w:szCs w:val="20"/>
              </w:rPr>
            </w:pPr>
          </w:p>
        </w:tc>
      </w:tr>
      <w:tr w:rsidR="00E719FC" w:rsidRPr="00D52239" w14:paraId="2E50BDD7"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3" w14:textId="77777777" w:rsidR="00E719FC" w:rsidRPr="00D52239" w:rsidRDefault="007C7450">
            <w:pPr>
              <w:widowControl w:val="0"/>
              <w:rPr>
                <w:sz w:val="20"/>
                <w:szCs w:val="20"/>
              </w:rPr>
            </w:pPr>
            <w:r w:rsidRPr="00D52239">
              <w:rPr>
                <w:b/>
                <w:sz w:val="20"/>
                <w:szCs w:val="20"/>
              </w:rPr>
              <w:t>Maternal pre-pregnancy BMI (kg/m</w:t>
            </w:r>
            <w:r w:rsidRPr="00D52239">
              <w:rPr>
                <w:b/>
                <w:sz w:val="20"/>
                <w:szCs w:val="20"/>
                <w:vertAlign w:val="superscript"/>
              </w:rPr>
              <w:t>2</w:t>
            </w:r>
            <w:r w:rsidRPr="00D52239">
              <w:rPr>
                <w:b/>
                <w:sz w:val="20"/>
                <w:szCs w:val="20"/>
              </w:rPr>
              <w:t>)</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4" w14:textId="77777777" w:rsidR="00E719FC" w:rsidRPr="00D52239" w:rsidRDefault="007C7450">
            <w:pPr>
              <w:widowControl w:val="0"/>
              <w:jc w:val="center"/>
              <w:rPr>
                <w:sz w:val="20"/>
                <w:szCs w:val="20"/>
              </w:rPr>
            </w:pPr>
            <w:r w:rsidRPr="00D52239">
              <w:rPr>
                <w:sz w:val="20"/>
                <w:szCs w:val="20"/>
              </w:rPr>
              <w:t>22.7 (4.42)</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5" w14:textId="77777777" w:rsidR="00E719FC" w:rsidRPr="00D52239" w:rsidRDefault="007C7450">
            <w:pPr>
              <w:widowControl w:val="0"/>
              <w:jc w:val="center"/>
              <w:rPr>
                <w:sz w:val="20"/>
                <w:szCs w:val="20"/>
              </w:rPr>
            </w:pPr>
            <w:r w:rsidRPr="00D52239">
              <w:rPr>
                <w:sz w:val="20"/>
                <w:szCs w:val="20"/>
              </w:rPr>
              <w:t>22.8 (4.35)</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441D9039" w14:textId="35DDDE0B" w:rsidR="00F609F2" w:rsidRPr="00F609F2" w:rsidRDefault="00F609F2" w:rsidP="00F609F2">
            <w:pPr>
              <w:widowControl w:val="0"/>
              <w:jc w:val="center"/>
              <w:rPr>
                <w:sz w:val="20"/>
                <w:szCs w:val="20"/>
                <w:lang w:val="en-SG"/>
              </w:rPr>
            </w:pPr>
            <w:r w:rsidRPr="00F609F2">
              <w:rPr>
                <w:sz w:val="20"/>
                <w:szCs w:val="20"/>
                <w:lang w:val="en-SG"/>
              </w:rPr>
              <w:t>0.71</w:t>
            </w:r>
          </w:p>
          <w:p w14:paraId="2E50BDD6" w14:textId="7892C291" w:rsidR="00E719FC" w:rsidRPr="00D52239" w:rsidRDefault="00E719FC">
            <w:pPr>
              <w:widowControl w:val="0"/>
              <w:jc w:val="center"/>
              <w:rPr>
                <w:sz w:val="20"/>
                <w:szCs w:val="20"/>
              </w:rPr>
            </w:pPr>
          </w:p>
        </w:tc>
      </w:tr>
      <w:tr w:rsidR="00E719FC" w:rsidRPr="00D52239" w14:paraId="2E50BDDC"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8" w14:textId="77777777" w:rsidR="00E719FC" w:rsidRPr="00D52239" w:rsidRDefault="007C7450">
            <w:pPr>
              <w:widowControl w:val="0"/>
              <w:rPr>
                <w:sz w:val="20"/>
                <w:szCs w:val="20"/>
              </w:rPr>
            </w:pPr>
            <w:r w:rsidRPr="00D52239">
              <w:rPr>
                <w:b/>
                <w:sz w:val="20"/>
                <w:szCs w:val="20"/>
              </w:rPr>
              <w:t>Mother's age at delivery (years)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9" w14:textId="77777777" w:rsidR="00E719FC" w:rsidRPr="00D52239" w:rsidRDefault="007C7450">
            <w:pPr>
              <w:widowControl w:val="0"/>
              <w:jc w:val="center"/>
              <w:rPr>
                <w:sz w:val="20"/>
                <w:szCs w:val="20"/>
              </w:rPr>
            </w:pPr>
            <w:r w:rsidRPr="00D52239">
              <w:rPr>
                <w:sz w:val="20"/>
                <w:szCs w:val="20"/>
              </w:rPr>
              <w:t>30.9 (5.13)</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A" w14:textId="77777777" w:rsidR="00E719FC" w:rsidRPr="00D52239" w:rsidRDefault="007C7450">
            <w:pPr>
              <w:widowControl w:val="0"/>
              <w:jc w:val="center"/>
              <w:rPr>
                <w:sz w:val="20"/>
                <w:szCs w:val="20"/>
              </w:rPr>
            </w:pPr>
            <w:r w:rsidRPr="00D52239">
              <w:rPr>
                <w:sz w:val="20"/>
                <w:szCs w:val="20"/>
              </w:rPr>
              <w:t>31.2 (5.02)</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B" w14:textId="62213ECB" w:rsidR="00E719FC" w:rsidRPr="00D52239" w:rsidRDefault="007C7450">
            <w:pPr>
              <w:widowControl w:val="0"/>
              <w:jc w:val="center"/>
              <w:rPr>
                <w:sz w:val="20"/>
                <w:szCs w:val="20"/>
              </w:rPr>
            </w:pPr>
            <w:r w:rsidRPr="00D52239">
              <w:rPr>
                <w:sz w:val="20"/>
                <w:szCs w:val="20"/>
              </w:rPr>
              <w:t>0.</w:t>
            </w:r>
            <w:r w:rsidR="00EE05D6">
              <w:rPr>
                <w:sz w:val="20"/>
                <w:szCs w:val="20"/>
              </w:rPr>
              <w:t>30</w:t>
            </w:r>
          </w:p>
        </w:tc>
      </w:tr>
      <w:tr w:rsidR="00E719FC" w:rsidRPr="00D52239" w14:paraId="2E50BDE1"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D" w14:textId="77777777" w:rsidR="00E719FC" w:rsidRPr="00D52239" w:rsidRDefault="007C7450">
            <w:pPr>
              <w:widowControl w:val="0"/>
              <w:rPr>
                <w:sz w:val="20"/>
                <w:szCs w:val="20"/>
              </w:rPr>
            </w:pPr>
            <w:r w:rsidRPr="00D52239">
              <w:rPr>
                <w:b/>
                <w:sz w:val="20"/>
                <w:szCs w:val="20"/>
              </w:rPr>
              <w:t>Gestational age at birth (weeks)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E" w14:textId="77777777" w:rsidR="00E719FC" w:rsidRPr="00D52239" w:rsidRDefault="007C7450">
            <w:pPr>
              <w:widowControl w:val="0"/>
              <w:jc w:val="center"/>
              <w:rPr>
                <w:sz w:val="20"/>
                <w:szCs w:val="20"/>
              </w:rPr>
            </w:pPr>
            <w:r w:rsidRPr="00D52239">
              <w:rPr>
                <w:sz w:val="20"/>
                <w:szCs w:val="20"/>
              </w:rPr>
              <w:t>38.7 (1.57)</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DF" w14:textId="77777777" w:rsidR="00E719FC" w:rsidRPr="00D52239" w:rsidRDefault="007C7450">
            <w:pPr>
              <w:widowControl w:val="0"/>
              <w:jc w:val="center"/>
              <w:rPr>
                <w:sz w:val="20"/>
                <w:szCs w:val="20"/>
              </w:rPr>
            </w:pPr>
            <w:r w:rsidRPr="00D52239">
              <w:rPr>
                <w:sz w:val="20"/>
                <w:szCs w:val="20"/>
              </w:rPr>
              <w:t>38.9 (1.27)</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0" w14:textId="3072EC2E" w:rsidR="00E719FC" w:rsidRPr="00D52239" w:rsidRDefault="007C7450">
            <w:pPr>
              <w:widowControl w:val="0"/>
              <w:jc w:val="center"/>
              <w:rPr>
                <w:sz w:val="20"/>
                <w:szCs w:val="20"/>
              </w:rPr>
            </w:pPr>
            <w:r w:rsidRPr="00D52239">
              <w:rPr>
                <w:sz w:val="20"/>
                <w:szCs w:val="20"/>
              </w:rPr>
              <w:t>0.</w:t>
            </w:r>
            <w:r w:rsidR="00EE05D6">
              <w:rPr>
                <w:sz w:val="20"/>
                <w:szCs w:val="20"/>
              </w:rPr>
              <w:t>32</w:t>
            </w:r>
          </w:p>
        </w:tc>
      </w:tr>
      <w:tr w:rsidR="00E719FC" w:rsidRPr="00D52239" w14:paraId="2E50BDE6"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2" w14:textId="77777777" w:rsidR="00E719FC" w:rsidRPr="00D52239" w:rsidRDefault="00E719FC">
            <w:pPr>
              <w:widowControl w:val="0"/>
              <w:rPr>
                <w:sz w:val="20"/>
                <w:szCs w:val="20"/>
              </w:rPr>
            </w:pP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3" w14:textId="77777777" w:rsidR="00E719FC" w:rsidRPr="00D52239" w:rsidRDefault="007C7450">
            <w:pPr>
              <w:widowControl w:val="0"/>
              <w:jc w:val="center"/>
              <w:rPr>
                <w:sz w:val="20"/>
                <w:szCs w:val="20"/>
              </w:rPr>
            </w:pPr>
            <w:r w:rsidRPr="00D52239">
              <w:rPr>
                <w:rFonts w:eastAsia="Calibri"/>
                <w:b/>
              </w:rPr>
              <w:t>N (%)</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4" w14:textId="77777777" w:rsidR="00E719FC" w:rsidRPr="00D52239" w:rsidRDefault="007C7450">
            <w:pPr>
              <w:widowControl w:val="0"/>
              <w:jc w:val="center"/>
              <w:rPr>
                <w:sz w:val="20"/>
                <w:szCs w:val="20"/>
              </w:rPr>
            </w:pPr>
            <w:r w:rsidRPr="00D52239">
              <w:rPr>
                <w:rFonts w:eastAsia="Calibri"/>
                <w:b/>
              </w:rPr>
              <w:t>N (%)</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5" w14:textId="77777777" w:rsidR="00E719FC" w:rsidRPr="00D52239" w:rsidRDefault="00E719FC">
            <w:pPr>
              <w:widowControl w:val="0"/>
              <w:rPr>
                <w:sz w:val="20"/>
                <w:szCs w:val="20"/>
              </w:rPr>
            </w:pPr>
          </w:p>
        </w:tc>
      </w:tr>
      <w:tr w:rsidR="00E719FC" w:rsidRPr="00D52239" w14:paraId="2E50BDEB"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7" w14:textId="77777777" w:rsidR="00E719FC" w:rsidRPr="00D52239" w:rsidRDefault="007C7450">
            <w:pPr>
              <w:widowControl w:val="0"/>
              <w:rPr>
                <w:sz w:val="20"/>
                <w:szCs w:val="20"/>
              </w:rPr>
            </w:pPr>
            <w:r w:rsidRPr="00D52239">
              <w:rPr>
                <w:b/>
                <w:sz w:val="20"/>
                <w:szCs w:val="20"/>
              </w:rPr>
              <w:t>Sex</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8" w14:textId="77777777" w:rsidR="00E719FC" w:rsidRPr="00D52239" w:rsidRDefault="00E719FC">
            <w:pPr>
              <w:widowControl w:val="0"/>
              <w:rPr>
                <w:sz w:val="20"/>
                <w:szCs w:val="20"/>
              </w:rPr>
            </w:pP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9" w14:textId="77777777" w:rsidR="00E719FC" w:rsidRPr="00D52239" w:rsidRDefault="00E719FC">
            <w:pPr>
              <w:widowControl w:val="0"/>
              <w:rPr>
                <w:sz w:val="20"/>
                <w:szCs w:val="20"/>
              </w:rPr>
            </w:pP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A" w14:textId="77777777" w:rsidR="00E719FC" w:rsidRPr="00D52239" w:rsidRDefault="00E719FC">
            <w:pPr>
              <w:widowControl w:val="0"/>
              <w:rPr>
                <w:sz w:val="20"/>
                <w:szCs w:val="20"/>
              </w:rPr>
            </w:pPr>
          </w:p>
        </w:tc>
      </w:tr>
      <w:tr w:rsidR="00E719FC" w:rsidRPr="00D52239" w14:paraId="2E50BDF0"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C" w14:textId="77777777" w:rsidR="00E719FC" w:rsidRPr="00D52239" w:rsidRDefault="007C7450">
            <w:pPr>
              <w:widowControl w:val="0"/>
              <w:rPr>
                <w:sz w:val="20"/>
                <w:szCs w:val="20"/>
              </w:rPr>
            </w:pPr>
            <w:r w:rsidRPr="00D52239">
              <w:rPr>
                <w:sz w:val="20"/>
                <w:szCs w:val="20"/>
              </w:rPr>
              <w:t>Boys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D" w14:textId="77777777" w:rsidR="00E719FC" w:rsidRPr="00D52239" w:rsidRDefault="007C7450">
            <w:pPr>
              <w:widowControl w:val="0"/>
              <w:jc w:val="center"/>
              <w:rPr>
                <w:sz w:val="20"/>
                <w:szCs w:val="20"/>
              </w:rPr>
            </w:pPr>
            <w:r w:rsidRPr="00D52239">
              <w:rPr>
                <w:sz w:val="20"/>
                <w:szCs w:val="20"/>
              </w:rPr>
              <w:t>572 (52.2%)</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E" w14:textId="77777777" w:rsidR="00E719FC" w:rsidRPr="00D52239" w:rsidRDefault="007C7450">
            <w:pPr>
              <w:widowControl w:val="0"/>
              <w:jc w:val="center"/>
              <w:rPr>
                <w:sz w:val="20"/>
                <w:szCs w:val="20"/>
              </w:rPr>
            </w:pPr>
            <w:r w:rsidRPr="00D52239">
              <w:rPr>
                <w:sz w:val="20"/>
                <w:szCs w:val="20"/>
              </w:rPr>
              <w:t>371 (50.6%)</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EF" w14:textId="649B46EE" w:rsidR="00E719FC" w:rsidRPr="00D52239" w:rsidRDefault="007C7450">
            <w:pPr>
              <w:widowControl w:val="0"/>
              <w:jc w:val="center"/>
              <w:rPr>
                <w:sz w:val="20"/>
                <w:szCs w:val="20"/>
              </w:rPr>
            </w:pPr>
            <w:r w:rsidRPr="00D52239">
              <w:rPr>
                <w:sz w:val="20"/>
                <w:szCs w:val="20"/>
              </w:rPr>
              <w:t>0.5</w:t>
            </w:r>
            <w:r w:rsidR="00D57C72">
              <w:rPr>
                <w:sz w:val="20"/>
                <w:szCs w:val="20"/>
              </w:rPr>
              <w:t>3</w:t>
            </w:r>
          </w:p>
        </w:tc>
      </w:tr>
      <w:tr w:rsidR="00E719FC" w:rsidRPr="00D52239" w14:paraId="2E50BDF5"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1" w14:textId="77777777" w:rsidR="00E719FC" w:rsidRPr="00D52239" w:rsidRDefault="007C7450">
            <w:pPr>
              <w:widowControl w:val="0"/>
              <w:rPr>
                <w:sz w:val="20"/>
                <w:szCs w:val="20"/>
              </w:rPr>
            </w:pPr>
            <w:r w:rsidRPr="00D52239">
              <w:rPr>
                <w:sz w:val="20"/>
                <w:szCs w:val="20"/>
              </w:rPr>
              <w:t>Girls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2" w14:textId="77777777" w:rsidR="00E719FC" w:rsidRPr="00D52239" w:rsidRDefault="007C7450">
            <w:pPr>
              <w:widowControl w:val="0"/>
              <w:jc w:val="center"/>
              <w:rPr>
                <w:sz w:val="20"/>
                <w:szCs w:val="20"/>
              </w:rPr>
            </w:pPr>
            <w:r w:rsidRPr="00D52239">
              <w:rPr>
                <w:sz w:val="20"/>
                <w:szCs w:val="20"/>
              </w:rPr>
              <w:t>523 (47.8%)</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3" w14:textId="77777777" w:rsidR="00E719FC" w:rsidRPr="00D52239" w:rsidRDefault="007C7450">
            <w:pPr>
              <w:widowControl w:val="0"/>
              <w:jc w:val="center"/>
              <w:rPr>
                <w:sz w:val="20"/>
                <w:szCs w:val="20"/>
              </w:rPr>
            </w:pPr>
            <w:r w:rsidRPr="00D52239">
              <w:rPr>
                <w:sz w:val="20"/>
                <w:szCs w:val="20"/>
              </w:rPr>
              <w:t>362 (49.4%)</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4" w14:textId="77777777" w:rsidR="00E719FC" w:rsidRPr="00D52239" w:rsidRDefault="00E719FC">
            <w:pPr>
              <w:widowControl w:val="0"/>
              <w:rPr>
                <w:sz w:val="20"/>
                <w:szCs w:val="20"/>
              </w:rPr>
            </w:pPr>
          </w:p>
        </w:tc>
      </w:tr>
      <w:tr w:rsidR="00E719FC" w:rsidRPr="00D52239" w14:paraId="2E50BDFA"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6" w14:textId="77777777" w:rsidR="00E719FC" w:rsidRPr="00D52239" w:rsidRDefault="007C7450">
            <w:pPr>
              <w:widowControl w:val="0"/>
              <w:rPr>
                <w:sz w:val="20"/>
                <w:szCs w:val="20"/>
              </w:rPr>
            </w:pPr>
            <w:r w:rsidRPr="00D52239">
              <w:rPr>
                <w:b/>
                <w:sz w:val="20"/>
                <w:szCs w:val="20"/>
              </w:rPr>
              <w:t>Ethnicity</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7" w14:textId="77777777" w:rsidR="00E719FC" w:rsidRPr="00D52239" w:rsidRDefault="00E719FC">
            <w:pPr>
              <w:widowControl w:val="0"/>
              <w:rPr>
                <w:sz w:val="20"/>
                <w:szCs w:val="20"/>
              </w:rPr>
            </w:pP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8" w14:textId="77777777" w:rsidR="00E719FC" w:rsidRPr="00D52239" w:rsidRDefault="00E719FC">
            <w:pPr>
              <w:widowControl w:val="0"/>
              <w:rPr>
                <w:sz w:val="20"/>
                <w:szCs w:val="20"/>
              </w:rPr>
            </w:pP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9" w14:textId="77777777" w:rsidR="00E719FC" w:rsidRPr="00D52239" w:rsidRDefault="00E719FC">
            <w:pPr>
              <w:widowControl w:val="0"/>
              <w:rPr>
                <w:sz w:val="20"/>
                <w:szCs w:val="20"/>
              </w:rPr>
            </w:pPr>
          </w:p>
        </w:tc>
      </w:tr>
      <w:tr w:rsidR="00E719FC" w:rsidRPr="00D52239" w14:paraId="2E50BDFF"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B" w14:textId="77777777" w:rsidR="00E719FC" w:rsidRPr="00D52239" w:rsidRDefault="007C7450">
            <w:pPr>
              <w:widowControl w:val="0"/>
              <w:rPr>
                <w:sz w:val="20"/>
                <w:szCs w:val="20"/>
              </w:rPr>
            </w:pPr>
            <w:r w:rsidRPr="00D52239">
              <w:rPr>
                <w:sz w:val="20"/>
                <w:szCs w:val="20"/>
              </w:rPr>
              <w:t>Chinese</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C" w14:textId="05950CC4" w:rsidR="00E719FC" w:rsidRPr="00D52239" w:rsidRDefault="007C7450">
            <w:pPr>
              <w:widowControl w:val="0"/>
              <w:jc w:val="center"/>
              <w:rPr>
                <w:sz w:val="20"/>
                <w:szCs w:val="20"/>
              </w:rPr>
            </w:pPr>
            <w:r w:rsidRPr="00D52239">
              <w:rPr>
                <w:sz w:val="20"/>
                <w:szCs w:val="20"/>
              </w:rPr>
              <w:t>598 (54.</w:t>
            </w:r>
            <w:r w:rsidR="000E0953">
              <w:rPr>
                <w:sz w:val="20"/>
                <w:szCs w:val="20"/>
              </w:rPr>
              <w:t>7</w:t>
            </w:r>
            <w:r w:rsidRPr="00D52239">
              <w:rPr>
                <w:sz w:val="20"/>
                <w:szCs w:val="20"/>
              </w:rPr>
              <w:t>%)</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D" w14:textId="77777777" w:rsidR="00E719FC" w:rsidRPr="00D52239" w:rsidRDefault="007C7450">
            <w:pPr>
              <w:widowControl w:val="0"/>
              <w:jc w:val="center"/>
              <w:rPr>
                <w:sz w:val="20"/>
                <w:szCs w:val="20"/>
              </w:rPr>
            </w:pPr>
            <w:r w:rsidRPr="00D52239">
              <w:rPr>
                <w:sz w:val="20"/>
                <w:szCs w:val="20"/>
              </w:rPr>
              <w:t>412 (56.2%)</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DFE" w14:textId="33FD130B" w:rsidR="00E719FC" w:rsidRPr="00D52239" w:rsidRDefault="007C7450">
            <w:pPr>
              <w:widowControl w:val="0"/>
              <w:jc w:val="center"/>
              <w:rPr>
                <w:sz w:val="20"/>
                <w:szCs w:val="20"/>
              </w:rPr>
            </w:pPr>
            <w:r w:rsidRPr="00D52239">
              <w:rPr>
                <w:sz w:val="20"/>
                <w:szCs w:val="20"/>
              </w:rPr>
              <w:t>0.71</w:t>
            </w:r>
          </w:p>
        </w:tc>
      </w:tr>
      <w:tr w:rsidR="00E719FC" w:rsidRPr="00D52239" w14:paraId="2E50BE04"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0" w14:textId="77777777" w:rsidR="00E719FC" w:rsidRPr="00D52239" w:rsidRDefault="007C7450">
            <w:pPr>
              <w:widowControl w:val="0"/>
              <w:rPr>
                <w:sz w:val="20"/>
                <w:szCs w:val="20"/>
              </w:rPr>
            </w:pPr>
            <w:r w:rsidRPr="00D52239">
              <w:rPr>
                <w:sz w:val="20"/>
                <w:szCs w:val="20"/>
              </w:rPr>
              <w:t>Indian</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1" w14:textId="77777777" w:rsidR="00E719FC" w:rsidRPr="00D52239" w:rsidRDefault="007C7450">
            <w:pPr>
              <w:widowControl w:val="0"/>
              <w:jc w:val="center"/>
              <w:rPr>
                <w:sz w:val="20"/>
                <w:szCs w:val="20"/>
              </w:rPr>
            </w:pPr>
            <w:r w:rsidRPr="00D52239">
              <w:rPr>
                <w:sz w:val="20"/>
                <w:szCs w:val="20"/>
              </w:rPr>
              <w:t>205 (18.7%)</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2" w14:textId="77777777" w:rsidR="00E719FC" w:rsidRPr="00D52239" w:rsidRDefault="007C7450">
            <w:pPr>
              <w:widowControl w:val="0"/>
              <w:jc w:val="center"/>
              <w:rPr>
                <w:sz w:val="20"/>
                <w:szCs w:val="20"/>
              </w:rPr>
            </w:pPr>
            <w:r w:rsidRPr="00D52239">
              <w:rPr>
                <w:sz w:val="20"/>
                <w:szCs w:val="20"/>
              </w:rPr>
              <w:t>127 (17.3%)</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3" w14:textId="77777777" w:rsidR="00E719FC" w:rsidRPr="00D52239" w:rsidRDefault="00E719FC">
            <w:pPr>
              <w:widowControl w:val="0"/>
              <w:rPr>
                <w:sz w:val="20"/>
                <w:szCs w:val="20"/>
              </w:rPr>
            </w:pPr>
          </w:p>
        </w:tc>
      </w:tr>
      <w:tr w:rsidR="00E719FC" w:rsidRPr="00D52239" w14:paraId="2E50BE09"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5" w14:textId="77777777" w:rsidR="00E719FC" w:rsidRPr="00D52239" w:rsidRDefault="007C7450">
            <w:pPr>
              <w:widowControl w:val="0"/>
              <w:rPr>
                <w:sz w:val="20"/>
                <w:szCs w:val="20"/>
              </w:rPr>
            </w:pPr>
            <w:r w:rsidRPr="00D52239">
              <w:rPr>
                <w:sz w:val="20"/>
                <w:szCs w:val="20"/>
              </w:rPr>
              <w:t>Malay</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6" w14:textId="77777777" w:rsidR="00E719FC" w:rsidRPr="00D52239" w:rsidRDefault="007C7450">
            <w:pPr>
              <w:widowControl w:val="0"/>
              <w:jc w:val="center"/>
              <w:rPr>
                <w:sz w:val="20"/>
                <w:szCs w:val="20"/>
              </w:rPr>
            </w:pPr>
            <w:r w:rsidRPr="00D52239">
              <w:rPr>
                <w:sz w:val="20"/>
                <w:szCs w:val="20"/>
              </w:rPr>
              <w:t>291 (26.6%)</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7" w14:textId="77777777" w:rsidR="00E719FC" w:rsidRPr="00D52239" w:rsidRDefault="007C7450">
            <w:pPr>
              <w:widowControl w:val="0"/>
              <w:jc w:val="center"/>
              <w:rPr>
                <w:sz w:val="20"/>
                <w:szCs w:val="20"/>
              </w:rPr>
            </w:pPr>
            <w:r w:rsidRPr="00D52239">
              <w:rPr>
                <w:sz w:val="20"/>
                <w:szCs w:val="20"/>
              </w:rPr>
              <w:t>194 (26.5%)</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08" w14:textId="77777777" w:rsidR="00E719FC" w:rsidRPr="00D52239" w:rsidRDefault="00E719FC">
            <w:pPr>
              <w:widowControl w:val="0"/>
              <w:rPr>
                <w:sz w:val="20"/>
                <w:szCs w:val="20"/>
              </w:rPr>
            </w:pPr>
          </w:p>
        </w:tc>
      </w:tr>
      <w:tr w:rsidR="00E719FC" w:rsidRPr="00D52239" w14:paraId="2E50BE13" w14:textId="77777777">
        <w:trPr>
          <w:trHeight w:val="145"/>
        </w:trPr>
        <w:tc>
          <w:tcPr>
            <w:tcW w:w="3675" w:type="dxa"/>
            <w:tcBorders>
              <w:top w:val="single" w:sz="4" w:space="0" w:color="CCCCCC"/>
              <w:left w:val="single" w:sz="4" w:space="0" w:color="CCCCCC"/>
              <w:bottom w:val="single" w:sz="4" w:space="0" w:color="CCCCCC"/>
              <w:right w:val="single" w:sz="4" w:space="0" w:color="B7B7B7"/>
            </w:tcBorders>
            <w:shd w:val="clear" w:color="auto" w:fill="auto"/>
            <w:tcMar>
              <w:top w:w="40" w:type="dxa"/>
              <w:left w:w="0" w:type="dxa"/>
              <w:bottom w:w="40" w:type="dxa"/>
              <w:right w:w="0" w:type="dxa"/>
            </w:tcMar>
            <w:vAlign w:val="bottom"/>
          </w:tcPr>
          <w:p w14:paraId="2E50BE0F" w14:textId="77777777" w:rsidR="00E719FC" w:rsidRPr="00D52239" w:rsidRDefault="007C7450">
            <w:pPr>
              <w:widowControl w:val="0"/>
              <w:rPr>
                <w:b/>
                <w:sz w:val="20"/>
                <w:szCs w:val="20"/>
              </w:rPr>
            </w:pPr>
            <w:r w:rsidRPr="00D52239">
              <w:rPr>
                <w:b/>
                <w:sz w:val="20"/>
                <w:szCs w:val="20"/>
              </w:rPr>
              <w:t>Household Monthly Income (S$)</w:t>
            </w:r>
          </w:p>
        </w:tc>
        <w:tc>
          <w:tcPr>
            <w:tcW w:w="1800" w:type="dxa"/>
            <w:tcBorders>
              <w:top w:val="single" w:sz="4" w:space="0" w:color="CCCCCC"/>
              <w:left w:val="single" w:sz="4" w:space="0" w:color="B7B7B7"/>
              <w:bottom w:val="single" w:sz="4" w:space="0" w:color="CCCCCC"/>
              <w:right w:val="single" w:sz="4" w:space="0" w:color="CCCCCC"/>
            </w:tcBorders>
            <w:shd w:val="clear" w:color="auto" w:fill="auto"/>
            <w:tcMar>
              <w:top w:w="40" w:type="dxa"/>
              <w:left w:w="40" w:type="dxa"/>
              <w:bottom w:w="40" w:type="dxa"/>
              <w:right w:w="40" w:type="dxa"/>
            </w:tcMar>
            <w:vAlign w:val="bottom"/>
          </w:tcPr>
          <w:p w14:paraId="2E50BE10" w14:textId="77777777" w:rsidR="00E719FC" w:rsidRPr="00D52239" w:rsidRDefault="00E719FC">
            <w:pPr>
              <w:widowControl w:val="0"/>
              <w:rPr>
                <w:sz w:val="20"/>
                <w:szCs w:val="20"/>
              </w:rPr>
            </w:pP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1" w14:textId="77777777" w:rsidR="00E719FC" w:rsidRPr="00D52239" w:rsidRDefault="00E719FC">
            <w:pPr>
              <w:widowControl w:val="0"/>
              <w:rPr>
                <w:sz w:val="20"/>
                <w:szCs w:val="20"/>
              </w:rPr>
            </w:pP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2" w14:textId="77777777" w:rsidR="00E719FC" w:rsidRPr="00D52239" w:rsidRDefault="00E719FC">
            <w:pPr>
              <w:widowControl w:val="0"/>
              <w:rPr>
                <w:sz w:val="20"/>
                <w:szCs w:val="20"/>
              </w:rPr>
            </w:pPr>
          </w:p>
        </w:tc>
      </w:tr>
      <w:tr w:rsidR="00E719FC" w:rsidRPr="00D52239" w14:paraId="2E50BE18"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4" w14:textId="77777777" w:rsidR="00E719FC" w:rsidRPr="00D52239" w:rsidRDefault="007C7450">
            <w:pPr>
              <w:widowControl w:val="0"/>
              <w:rPr>
                <w:sz w:val="20"/>
                <w:szCs w:val="20"/>
              </w:rPr>
            </w:pPr>
            <w:r w:rsidRPr="00D52239">
              <w:rPr>
                <w:sz w:val="20"/>
                <w:szCs w:val="20"/>
              </w:rPr>
              <w:t>0-1,999</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5" w14:textId="77777777" w:rsidR="00E719FC" w:rsidRPr="00D52239" w:rsidRDefault="007C7450">
            <w:pPr>
              <w:widowControl w:val="0"/>
              <w:jc w:val="center"/>
              <w:rPr>
                <w:sz w:val="20"/>
                <w:szCs w:val="20"/>
              </w:rPr>
            </w:pPr>
            <w:r w:rsidRPr="00D52239">
              <w:rPr>
                <w:sz w:val="20"/>
                <w:szCs w:val="20"/>
              </w:rPr>
              <w:t>163 (15.9%)</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6" w14:textId="77777777" w:rsidR="00E719FC" w:rsidRPr="00D52239" w:rsidRDefault="007C7450">
            <w:pPr>
              <w:widowControl w:val="0"/>
              <w:jc w:val="center"/>
              <w:rPr>
                <w:sz w:val="20"/>
                <w:szCs w:val="20"/>
              </w:rPr>
            </w:pPr>
            <w:r w:rsidRPr="00D52239">
              <w:rPr>
                <w:sz w:val="20"/>
                <w:szCs w:val="20"/>
              </w:rPr>
              <w:t>111 (16.0%)</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7" w14:textId="658453B2" w:rsidR="00E719FC" w:rsidRPr="00D52239" w:rsidRDefault="007C7450">
            <w:pPr>
              <w:widowControl w:val="0"/>
              <w:jc w:val="center"/>
              <w:rPr>
                <w:sz w:val="20"/>
                <w:szCs w:val="20"/>
              </w:rPr>
            </w:pPr>
            <w:r w:rsidRPr="00D52239">
              <w:rPr>
                <w:sz w:val="20"/>
                <w:szCs w:val="20"/>
              </w:rPr>
              <w:t>0.8</w:t>
            </w:r>
            <w:r w:rsidR="003B71DF">
              <w:rPr>
                <w:sz w:val="20"/>
                <w:szCs w:val="20"/>
              </w:rPr>
              <w:t>6</w:t>
            </w:r>
          </w:p>
        </w:tc>
      </w:tr>
      <w:tr w:rsidR="00E719FC" w:rsidRPr="00D52239" w14:paraId="2E50BE1D"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9" w14:textId="77777777" w:rsidR="00E719FC" w:rsidRPr="00D52239" w:rsidRDefault="007C7450">
            <w:pPr>
              <w:widowControl w:val="0"/>
              <w:rPr>
                <w:sz w:val="20"/>
                <w:szCs w:val="20"/>
              </w:rPr>
            </w:pPr>
            <w:r w:rsidRPr="00D52239">
              <w:rPr>
                <w:sz w:val="20"/>
                <w:szCs w:val="20"/>
              </w:rPr>
              <w:t>2,000-3,999</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A" w14:textId="77777777" w:rsidR="00E719FC" w:rsidRPr="00D52239" w:rsidRDefault="007C7450">
            <w:pPr>
              <w:widowControl w:val="0"/>
              <w:jc w:val="center"/>
              <w:rPr>
                <w:sz w:val="20"/>
                <w:szCs w:val="20"/>
              </w:rPr>
            </w:pPr>
            <w:r w:rsidRPr="00D52239">
              <w:rPr>
                <w:sz w:val="20"/>
                <w:szCs w:val="20"/>
              </w:rPr>
              <w:t>324 (31.6%)</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B" w14:textId="77777777" w:rsidR="00E719FC" w:rsidRPr="00D52239" w:rsidRDefault="007C7450">
            <w:pPr>
              <w:widowControl w:val="0"/>
              <w:jc w:val="center"/>
              <w:rPr>
                <w:sz w:val="20"/>
                <w:szCs w:val="20"/>
              </w:rPr>
            </w:pPr>
            <w:r w:rsidRPr="00D52239">
              <w:rPr>
                <w:sz w:val="20"/>
                <w:szCs w:val="20"/>
              </w:rPr>
              <w:t>208 (30.0%)</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C" w14:textId="77777777" w:rsidR="00E719FC" w:rsidRPr="00D52239" w:rsidRDefault="00E719FC">
            <w:pPr>
              <w:widowControl w:val="0"/>
              <w:rPr>
                <w:sz w:val="20"/>
                <w:szCs w:val="20"/>
              </w:rPr>
            </w:pPr>
          </w:p>
        </w:tc>
      </w:tr>
      <w:tr w:rsidR="00E719FC" w:rsidRPr="00D52239" w14:paraId="2E50BE22"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E" w14:textId="77777777" w:rsidR="00E719FC" w:rsidRPr="00D52239" w:rsidRDefault="007C7450">
            <w:pPr>
              <w:widowControl w:val="0"/>
              <w:rPr>
                <w:sz w:val="20"/>
                <w:szCs w:val="20"/>
              </w:rPr>
            </w:pPr>
            <w:r w:rsidRPr="00D52239">
              <w:rPr>
                <w:sz w:val="20"/>
                <w:szCs w:val="20"/>
              </w:rPr>
              <w:t>4,000-5,999</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1F" w14:textId="77777777" w:rsidR="00E719FC" w:rsidRPr="00D52239" w:rsidRDefault="007C7450">
            <w:pPr>
              <w:widowControl w:val="0"/>
              <w:jc w:val="center"/>
              <w:rPr>
                <w:sz w:val="20"/>
                <w:szCs w:val="20"/>
              </w:rPr>
            </w:pPr>
            <w:r w:rsidRPr="00D52239">
              <w:rPr>
                <w:sz w:val="20"/>
                <w:szCs w:val="20"/>
              </w:rPr>
              <w:t>255 (24.9%)</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0" w14:textId="77777777" w:rsidR="00E719FC" w:rsidRPr="00D52239" w:rsidRDefault="007C7450">
            <w:pPr>
              <w:widowControl w:val="0"/>
              <w:jc w:val="center"/>
              <w:rPr>
                <w:sz w:val="20"/>
                <w:szCs w:val="20"/>
              </w:rPr>
            </w:pPr>
            <w:r w:rsidRPr="00D52239">
              <w:rPr>
                <w:sz w:val="20"/>
                <w:szCs w:val="20"/>
              </w:rPr>
              <w:t>172 (24.8%)</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1" w14:textId="77777777" w:rsidR="00E719FC" w:rsidRPr="00D52239" w:rsidRDefault="00E719FC">
            <w:pPr>
              <w:widowControl w:val="0"/>
              <w:rPr>
                <w:sz w:val="20"/>
                <w:szCs w:val="20"/>
              </w:rPr>
            </w:pPr>
          </w:p>
        </w:tc>
      </w:tr>
      <w:tr w:rsidR="00E719FC" w:rsidRPr="00D52239" w14:paraId="2E50BE27"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3" w14:textId="77777777" w:rsidR="00E719FC" w:rsidRPr="00D52239" w:rsidRDefault="007C7450">
            <w:pPr>
              <w:widowControl w:val="0"/>
              <w:rPr>
                <w:sz w:val="20"/>
                <w:szCs w:val="20"/>
              </w:rPr>
            </w:pPr>
            <w:r w:rsidRPr="00D52239">
              <w:rPr>
                <w:rFonts w:eastAsia="Arial Unicode MS"/>
                <w:sz w:val="20"/>
                <w:szCs w:val="20"/>
              </w:rPr>
              <w:t>≥ 6,000</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4" w14:textId="77777777" w:rsidR="00E719FC" w:rsidRPr="00D52239" w:rsidRDefault="007C7450">
            <w:pPr>
              <w:widowControl w:val="0"/>
              <w:jc w:val="center"/>
              <w:rPr>
                <w:sz w:val="20"/>
                <w:szCs w:val="20"/>
              </w:rPr>
            </w:pPr>
            <w:r w:rsidRPr="00D52239">
              <w:rPr>
                <w:sz w:val="20"/>
                <w:szCs w:val="20"/>
              </w:rPr>
              <w:t>282 (27.5%)</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5" w14:textId="77777777" w:rsidR="00E719FC" w:rsidRPr="00D52239" w:rsidRDefault="007C7450">
            <w:pPr>
              <w:widowControl w:val="0"/>
              <w:jc w:val="center"/>
              <w:rPr>
                <w:sz w:val="20"/>
                <w:szCs w:val="20"/>
              </w:rPr>
            </w:pPr>
            <w:r w:rsidRPr="00D52239">
              <w:rPr>
                <w:sz w:val="20"/>
                <w:szCs w:val="20"/>
              </w:rPr>
              <w:t>202 (29.1%)</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6" w14:textId="77777777" w:rsidR="00E719FC" w:rsidRPr="00D52239" w:rsidRDefault="00E719FC">
            <w:pPr>
              <w:widowControl w:val="0"/>
              <w:rPr>
                <w:sz w:val="20"/>
                <w:szCs w:val="20"/>
              </w:rPr>
            </w:pPr>
          </w:p>
        </w:tc>
      </w:tr>
      <w:tr w:rsidR="00E719FC" w:rsidRPr="00D52239" w14:paraId="2E50BE2C" w14:textId="77777777">
        <w:trPr>
          <w:trHeight w:val="145"/>
        </w:trPr>
        <w:tc>
          <w:tcPr>
            <w:tcW w:w="3675" w:type="dxa"/>
            <w:tcBorders>
              <w:top w:val="single" w:sz="4" w:space="0" w:color="CCCCCC"/>
              <w:left w:val="single" w:sz="4" w:space="0" w:color="CCCCCC"/>
              <w:bottom w:val="single" w:sz="4" w:space="0" w:color="CCCCCC"/>
              <w:right w:val="single" w:sz="4" w:space="0" w:color="B7B7B7"/>
            </w:tcBorders>
            <w:shd w:val="clear" w:color="auto" w:fill="auto"/>
            <w:tcMar>
              <w:top w:w="40" w:type="dxa"/>
              <w:left w:w="0" w:type="dxa"/>
              <w:bottom w:w="40" w:type="dxa"/>
              <w:right w:w="0" w:type="dxa"/>
            </w:tcMar>
            <w:vAlign w:val="bottom"/>
          </w:tcPr>
          <w:p w14:paraId="2E50BE28" w14:textId="77777777" w:rsidR="00E719FC" w:rsidRPr="00D52239" w:rsidRDefault="007C7450">
            <w:pPr>
              <w:widowControl w:val="0"/>
              <w:rPr>
                <w:b/>
                <w:sz w:val="20"/>
                <w:szCs w:val="20"/>
              </w:rPr>
            </w:pPr>
            <w:r w:rsidRPr="00D52239">
              <w:rPr>
                <w:b/>
                <w:sz w:val="20"/>
                <w:szCs w:val="20"/>
              </w:rPr>
              <w:t>Mother's Highest Education Level</w:t>
            </w:r>
          </w:p>
        </w:tc>
        <w:tc>
          <w:tcPr>
            <w:tcW w:w="1800" w:type="dxa"/>
            <w:tcBorders>
              <w:top w:val="single" w:sz="4" w:space="0" w:color="CCCCCC"/>
              <w:left w:val="single" w:sz="4" w:space="0" w:color="B7B7B7"/>
              <w:bottom w:val="single" w:sz="4" w:space="0" w:color="CCCCCC"/>
              <w:right w:val="single" w:sz="4" w:space="0" w:color="CCCCCC"/>
            </w:tcBorders>
            <w:shd w:val="clear" w:color="auto" w:fill="auto"/>
            <w:tcMar>
              <w:top w:w="40" w:type="dxa"/>
              <w:left w:w="40" w:type="dxa"/>
              <w:bottom w:w="40" w:type="dxa"/>
              <w:right w:w="40" w:type="dxa"/>
            </w:tcMar>
            <w:vAlign w:val="bottom"/>
          </w:tcPr>
          <w:p w14:paraId="2E50BE29" w14:textId="77777777" w:rsidR="00E719FC" w:rsidRPr="00D52239" w:rsidRDefault="00E719FC">
            <w:pPr>
              <w:widowControl w:val="0"/>
              <w:rPr>
                <w:sz w:val="20"/>
                <w:szCs w:val="20"/>
              </w:rPr>
            </w:pP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A" w14:textId="77777777" w:rsidR="00E719FC" w:rsidRPr="00D52239" w:rsidRDefault="00E719FC">
            <w:pPr>
              <w:widowControl w:val="0"/>
              <w:rPr>
                <w:sz w:val="20"/>
                <w:szCs w:val="20"/>
              </w:rPr>
            </w:pP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B" w14:textId="77777777" w:rsidR="00E719FC" w:rsidRPr="00D52239" w:rsidRDefault="00E719FC">
            <w:pPr>
              <w:widowControl w:val="0"/>
              <w:rPr>
                <w:sz w:val="20"/>
                <w:szCs w:val="20"/>
              </w:rPr>
            </w:pPr>
          </w:p>
        </w:tc>
      </w:tr>
      <w:tr w:rsidR="00E719FC" w:rsidRPr="00D52239" w14:paraId="2E50BE31"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D" w14:textId="77777777" w:rsidR="00E719FC" w:rsidRPr="00D52239" w:rsidRDefault="007C7450">
            <w:pPr>
              <w:widowControl w:val="0"/>
              <w:rPr>
                <w:sz w:val="20"/>
                <w:szCs w:val="20"/>
              </w:rPr>
            </w:pPr>
            <w:r w:rsidRPr="00D52239">
              <w:rPr>
                <w:sz w:val="20"/>
                <w:szCs w:val="20"/>
              </w:rPr>
              <w:t>Mother has a university degree</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E" w14:textId="77777777" w:rsidR="00E719FC" w:rsidRPr="00D52239" w:rsidRDefault="007C7450">
            <w:pPr>
              <w:widowControl w:val="0"/>
              <w:jc w:val="center"/>
              <w:rPr>
                <w:sz w:val="20"/>
                <w:szCs w:val="20"/>
              </w:rPr>
            </w:pPr>
            <w:r w:rsidRPr="00D52239">
              <w:rPr>
                <w:sz w:val="20"/>
                <w:szCs w:val="20"/>
              </w:rPr>
              <w:t>355 (32.8%)</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2F" w14:textId="77777777" w:rsidR="00E719FC" w:rsidRPr="00D52239" w:rsidRDefault="007C7450">
            <w:pPr>
              <w:widowControl w:val="0"/>
              <w:jc w:val="center"/>
              <w:rPr>
                <w:sz w:val="20"/>
                <w:szCs w:val="20"/>
              </w:rPr>
            </w:pPr>
            <w:r w:rsidRPr="00D52239">
              <w:rPr>
                <w:sz w:val="20"/>
                <w:szCs w:val="20"/>
              </w:rPr>
              <w:t>251 (34.5%)</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0" w14:textId="5002BEE3" w:rsidR="00E719FC" w:rsidRPr="00D52239" w:rsidRDefault="007C7450">
            <w:pPr>
              <w:widowControl w:val="0"/>
              <w:jc w:val="center"/>
              <w:rPr>
                <w:sz w:val="20"/>
                <w:szCs w:val="20"/>
              </w:rPr>
            </w:pPr>
            <w:r w:rsidRPr="00D52239">
              <w:rPr>
                <w:sz w:val="20"/>
                <w:szCs w:val="20"/>
              </w:rPr>
              <w:t>0.50</w:t>
            </w:r>
          </w:p>
        </w:tc>
      </w:tr>
      <w:tr w:rsidR="00E719FC" w:rsidRPr="00D52239" w14:paraId="2E50BE36"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2" w14:textId="77777777" w:rsidR="00E719FC" w:rsidRPr="00D52239" w:rsidRDefault="007C7450">
            <w:pPr>
              <w:widowControl w:val="0"/>
              <w:rPr>
                <w:sz w:val="20"/>
                <w:szCs w:val="20"/>
              </w:rPr>
            </w:pPr>
            <w:r w:rsidRPr="00D52239">
              <w:rPr>
                <w:sz w:val="20"/>
                <w:szCs w:val="20"/>
              </w:rPr>
              <w:t>Mother has no university degree</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3" w14:textId="77777777" w:rsidR="00E719FC" w:rsidRPr="00D52239" w:rsidRDefault="007C7450">
            <w:pPr>
              <w:widowControl w:val="0"/>
              <w:jc w:val="center"/>
              <w:rPr>
                <w:sz w:val="20"/>
                <w:szCs w:val="20"/>
              </w:rPr>
            </w:pPr>
            <w:r w:rsidRPr="00D52239">
              <w:rPr>
                <w:sz w:val="20"/>
                <w:szCs w:val="20"/>
              </w:rPr>
              <w:t>726 (67.2%)</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4" w14:textId="77777777" w:rsidR="00E719FC" w:rsidRPr="00D52239" w:rsidRDefault="007C7450">
            <w:pPr>
              <w:widowControl w:val="0"/>
              <w:jc w:val="center"/>
              <w:rPr>
                <w:sz w:val="20"/>
                <w:szCs w:val="20"/>
              </w:rPr>
            </w:pPr>
            <w:r w:rsidRPr="00D52239">
              <w:rPr>
                <w:sz w:val="20"/>
                <w:szCs w:val="20"/>
              </w:rPr>
              <w:t>477 (65.5%)</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5" w14:textId="77777777" w:rsidR="00E719FC" w:rsidRPr="00D52239" w:rsidRDefault="00E719FC">
            <w:pPr>
              <w:widowControl w:val="0"/>
              <w:rPr>
                <w:sz w:val="20"/>
                <w:szCs w:val="20"/>
              </w:rPr>
            </w:pPr>
          </w:p>
        </w:tc>
      </w:tr>
      <w:tr w:rsidR="00E719FC" w:rsidRPr="00D52239" w14:paraId="2E50BE3B"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7" w14:textId="77777777" w:rsidR="00E719FC" w:rsidRPr="00D52239" w:rsidRDefault="007C7450">
            <w:pPr>
              <w:widowControl w:val="0"/>
              <w:rPr>
                <w:sz w:val="20"/>
                <w:szCs w:val="20"/>
              </w:rPr>
            </w:pPr>
            <w:r w:rsidRPr="00D52239">
              <w:rPr>
                <w:b/>
                <w:sz w:val="20"/>
                <w:szCs w:val="20"/>
              </w:rPr>
              <w:t>Parity Status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8" w14:textId="77777777" w:rsidR="00E719FC" w:rsidRPr="00D52239" w:rsidRDefault="00E719FC">
            <w:pPr>
              <w:widowControl w:val="0"/>
              <w:rPr>
                <w:sz w:val="20"/>
                <w:szCs w:val="20"/>
              </w:rPr>
            </w:pP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9" w14:textId="77777777" w:rsidR="00E719FC" w:rsidRPr="00D52239" w:rsidRDefault="00E719FC">
            <w:pPr>
              <w:widowControl w:val="0"/>
              <w:rPr>
                <w:sz w:val="20"/>
                <w:szCs w:val="20"/>
              </w:rPr>
            </w:pP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A" w14:textId="77777777" w:rsidR="00E719FC" w:rsidRPr="00D52239" w:rsidRDefault="00E719FC">
            <w:pPr>
              <w:widowControl w:val="0"/>
              <w:rPr>
                <w:sz w:val="20"/>
                <w:szCs w:val="20"/>
              </w:rPr>
            </w:pPr>
          </w:p>
        </w:tc>
      </w:tr>
      <w:tr w:rsidR="00E719FC" w:rsidRPr="00D52239" w14:paraId="2E50BE40"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C" w14:textId="77777777" w:rsidR="00E719FC" w:rsidRPr="00D52239" w:rsidRDefault="007C7450">
            <w:pPr>
              <w:widowControl w:val="0"/>
              <w:rPr>
                <w:sz w:val="20"/>
                <w:szCs w:val="20"/>
              </w:rPr>
            </w:pPr>
            <w:r w:rsidRPr="00D52239">
              <w:rPr>
                <w:sz w:val="20"/>
                <w:szCs w:val="20"/>
              </w:rPr>
              <w:t>Parous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D" w14:textId="77777777" w:rsidR="00E719FC" w:rsidRPr="00D52239" w:rsidRDefault="007C7450">
            <w:pPr>
              <w:widowControl w:val="0"/>
              <w:jc w:val="center"/>
              <w:rPr>
                <w:sz w:val="20"/>
                <w:szCs w:val="20"/>
              </w:rPr>
            </w:pPr>
            <w:r w:rsidRPr="00D52239">
              <w:rPr>
                <w:sz w:val="20"/>
                <w:szCs w:val="20"/>
              </w:rPr>
              <w:t>627 (57.3%)</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E" w14:textId="77777777" w:rsidR="00E719FC" w:rsidRPr="00D52239" w:rsidRDefault="007C7450">
            <w:pPr>
              <w:widowControl w:val="0"/>
              <w:jc w:val="center"/>
              <w:rPr>
                <w:sz w:val="20"/>
                <w:szCs w:val="20"/>
              </w:rPr>
            </w:pPr>
            <w:r w:rsidRPr="00D52239">
              <w:rPr>
                <w:sz w:val="20"/>
                <w:szCs w:val="20"/>
              </w:rPr>
              <w:t>418 (57.0%)</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3F" w14:textId="4D045052" w:rsidR="00E719FC" w:rsidRPr="00D52239" w:rsidRDefault="007C7450">
            <w:pPr>
              <w:widowControl w:val="0"/>
              <w:jc w:val="center"/>
              <w:rPr>
                <w:sz w:val="20"/>
                <w:szCs w:val="20"/>
              </w:rPr>
            </w:pPr>
            <w:r w:rsidRPr="00D52239">
              <w:rPr>
                <w:sz w:val="20"/>
                <w:szCs w:val="20"/>
              </w:rPr>
              <w:t>0.9</w:t>
            </w:r>
            <w:r w:rsidR="00D57C72">
              <w:rPr>
                <w:sz w:val="20"/>
                <w:szCs w:val="20"/>
              </w:rPr>
              <w:t>6</w:t>
            </w:r>
          </w:p>
        </w:tc>
      </w:tr>
      <w:tr w:rsidR="00E719FC" w:rsidRPr="00D52239" w14:paraId="2E50BE45"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1" w14:textId="77777777" w:rsidR="00E719FC" w:rsidRPr="00D52239" w:rsidRDefault="007C7450">
            <w:pPr>
              <w:widowControl w:val="0"/>
              <w:rPr>
                <w:sz w:val="20"/>
                <w:szCs w:val="20"/>
              </w:rPr>
            </w:pPr>
            <w:r w:rsidRPr="00D52239">
              <w:rPr>
                <w:sz w:val="20"/>
                <w:szCs w:val="20"/>
              </w:rPr>
              <w:t>Nulliparous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2" w14:textId="77777777" w:rsidR="00E719FC" w:rsidRPr="00D52239" w:rsidRDefault="007C7450">
            <w:pPr>
              <w:widowControl w:val="0"/>
              <w:jc w:val="center"/>
              <w:rPr>
                <w:sz w:val="20"/>
                <w:szCs w:val="20"/>
              </w:rPr>
            </w:pPr>
            <w:r w:rsidRPr="00D52239">
              <w:rPr>
                <w:sz w:val="20"/>
                <w:szCs w:val="20"/>
              </w:rPr>
              <w:t>468 (42.7%)</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3" w14:textId="77777777" w:rsidR="00E719FC" w:rsidRPr="00D52239" w:rsidRDefault="007C7450">
            <w:pPr>
              <w:widowControl w:val="0"/>
              <w:jc w:val="center"/>
              <w:rPr>
                <w:sz w:val="20"/>
                <w:szCs w:val="20"/>
              </w:rPr>
            </w:pPr>
            <w:r w:rsidRPr="00D52239">
              <w:rPr>
                <w:sz w:val="20"/>
                <w:szCs w:val="20"/>
              </w:rPr>
              <w:t>315 (43.0%)</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4" w14:textId="77777777" w:rsidR="00E719FC" w:rsidRPr="00D52239" w:rsidRDefault="00E719FC">
            <w:pPr>
              <w:widowControl w:val="0"/>
              <w:rPr>
                <w:sz w:val="20"/>
                <w:szCs w:val="20"/>
              </w:rPr>
            </w:pPr>
          </w:p>
        </w:tc>
      </w:tr>
      <w:tr w:rsidR="00E719FC" w:rsidRPr="00D52239" w14:paraId="2E50BE4A" w14:textId="77777777">
        <w:trPr>
          <w:trHeight w:val="145"/>
        </w:trPr>
        <w:tc>
          <w:tcPr>
            <w:tcW w:w="3675" w:type="dxa"/>
            <w:tcBorders>
              <w:top w:val="single" w:sz="4" w:space="0" w:color="CCCCCC"/>
              <w:left w:val="single" w:sz="4" w:space="0" w:color="CCCCCC"/>
              <w:bottom w:val="single" w:sz="4" w:space="0" w:color="CCCCCC"/>
              <w:right w:val="single" w:sz="4" w:space="0" w:color="B7B7B7"/>
            </w:tcBorders>
            <w:shd w:val="clear" w:color="auto" w:fill="auto"/>
            <w:tcMar>
              <w:top w:w="40" w:type="dxa"/>
              <w:left w:w="0" w:type="dxa"/>
              <w:bottom w:w="40" w:type="dxa"/>
              <w:right w:w="0" w:type="dxa"/>
            </w:tcMar>
            <w:vAlign w:val="bottom"/>
          </w:tcPr>
          <w:p w14:paraId="2E50BE46" w14:textId="77777777" w:rsidR="00E719FC" w:rsidRPr="00D52239" w:rsidRDefault="007C7450">
            <w:pPr>
              <w:widowControl w:val="0"/>
              <w:rPr>
                <w:b/>
                <w:sz w:val="20"/>
                <w:szCs w:val="20"/>
              </w:rPr>
            </w:pPr>
            <w:r w:rsidRPr="00D52239">
              <w:rPr>
                <w:b/>
                <w:sz w:val="20"/>
                <w:szCs w:val="20"/>
              </w:rPr>
              <w:t>Gestational Diabetes Mellitus</w:t>
            </w:r>
          </w:p>
        </w:tc>
        <w:tc>
          <w:tcPr>
            <w:tcW w:w="1800" w:type="dxa"/>
            <w:tcBorders>
              <w:top w:val="single" w:sz="4" w:space="0" w:color="CCCCCC"/>
              <w:left w:val="single" w:sz="4" w:space="0" w:color="B7B7B7"/>
              <w:bottom w:val="single" w:sz="4" w:space="0" w:color="CCCCCC"/>
              <w:right w:val="single" w:sz="4" w:space="0" w:color="CCCCCC"/>
            </w:tcBorders>
            <w:shd w:val="clear" w:color="auto" w:fill="auto"/>
            <w:tcMar>
              <w:top w:w="40" w:type="dxa"/>
              <w:left w:w="40" w:type="dxa"/>
              <w:bottom w:w="40" w:type="dxa"/>
              <w:right w:w="40" w:type="dxa"/>
            </w:tcMar>
            <w:vAlign w:val="bottom"/>
          </w:tcPr>
          <w:p w14:paraId="2E50BE47" w14:textId="77777777" w:rsidR="00E719FC" w:rsidRPr="00D52239" w:rsidRDefault="00E719FC">
            <w:pPr>
              <w:widowControl w:val="0"/>
              <w:rPr>
                <w:sz w:val="20"/>
                <w:szCs w:val="20"/>
              </w:rPr>
            </w:pP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8" w14:textId="77777777" w:rsidR="00E719FC" w:rsidRPr="00D52239" w:rsidRDefault="00E719FC">
            <w:pPr>
              <w:widowControl w:val="0"/>
              <w:rPr>
                <w:sz w:val="20"/>
                <w:szCs w:val="20"/>
              </w:rPr>
            </w:pP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9" w14:textId="77777777" w:rsidR="00E719FC" w:rsidRPr="00D52239" w:rsidRDefault="00E719FC">
            <w:pPr>
              <w:widowControl w:val="0"/>
              <w:rPr>
                <w:sz w:val="20"/>
                <w:szCs w:val="20"/>
              </w:rPr>
            </w:pPr>
          </w:p>
        </w:tc>
      </w:tr>
      <w:tr w:rsidR="00E719FC" w:rsidRPr="00D52239" w14:paraId="2E50BE4F"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B" w14:textId="77777777" w:rsidR="00E719FC" w:rsidRPr="00D52239" w:rsidRDefault="007C7450">
            <w:pPr>
              <w:widowControl w:val="0"/>
              <w:rPr>
                <w:sz w:val="20"/>
                <w:szCs w:val="20"/>
              </w:rPr>
            </w:pPr>
            <w:r w:rsidRPr="00D52239">
              <w:rPr>
                <w:sz w:val="20"/>
                <w:szCs w:val="20"/>
              </w:rPr>
              <w:t>Yes</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C" w14:textId="77777777" w:rsidR="00E719FC" w:rsidRPr="00D52239" w:rsidRDefault="007C7450">
            <w:pPr>
              <w:widowControl w:val="0"/>
              <w:jc w:val="center"/>
              <w:rPr>
                <w:sz w:val="20"/>
                <w:szCs w:val="20"/>
              </w:rPr>
            </w:pPr>
            <w:r w:rsidRPr="00D52239">
              <w:rPr>
                <w:sz w:val="20"/>
                <w:szCs w:val="20"/>
              </w:rPr>
              <w:t>188 (18.0%)</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D" w14:textId="77777777" w:rsidR="00E719FC" w:rsidRPr="00D52239" w:rsidRDefault="007C7450">
            <w:pPr>
              <w:widowControl w:val="0"/>
              <w:jc w:val="center"/>
              <w:rPr>
                <w:sz w:val="20"/>
                <w:szCs w:val="20"/>
              </w:rPr>
            </w:pPr>
            <w:r w:rsidRPr="00D52239">
              <w:rPr>
                <w:sz w:val="20"/>
                <w:szCs w:val="20"/>
              </w:rPr>
              <w:t>120 (17.0%)</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4E" w14:textId="17D57342" w:rsidR="00E719FC" w:rsidRPr="00D52239" w:rsidRDefault="007C7450">
            <w:pPr>
              <w:widowControl w:val="0"/>
              <w:jc w:val="center"/>
              <w:rPr>
                <w:sz w:val="20"/>
                <w:szCs w:val="20"/>
              </w:rPr>
            </w:pPr>
            <w:r w:rsidRPr="00D52239">
              <w:rPr>
                <w:sz w:val="20"/>
                <w:szCs w:val="20"/>
              </w:rPr>
              <w:t>0.6</w:t>
            </w:r>
            <w:r w:rsidR="00D57C72">
              <w:rPr>
                <w:sz w:val="20"/>
                <w:szCs w:val="20"/>
              </w:rPr>
              <w:t>4</w:t>
            </w:r>
          </w:p>
        </w:tc>
      </w:tr>
      <w:tr w:rsidR="00E719FC" w:rsidRPr="00D52239" w14:paraId="2E50BE54" w14:textId="77777777">
        <w:trPr>
          <w:trHeight w:val="145"/>
        </w:trPr>
        <w:tc>
          <w:tcPr>
            <w:tcW w:w="36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50" w14:textId="77777777" w:rsidR="00E719FC" w:rsidRPr="00D52239" w:rsidRDefault="007C7450">
            <w:pPr>
              <w:widowControl w:val="0"/>
              <w:rPr>
                <w:sz w:val="20"/>
                <w:szCs w:val="20"/>
              </w:rPr>
            </w:pPr>
            <w:r w:rsidRPr="00D52239">
              <w:rPr>
                <w:sz w:val="20"/>
                <w:szCs w:val="20"/>
              </w:rPr>
              <w:t>No</w:t>
            </w:r>
          </w:p>
        </w:tc>
        <w:tc>
          <w:tcPr>
            <w:tcW w:w="180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51" w14:textId="77777777" w:rsidR="00E719FC" w:rsidRPr="00D52239" w:rsidRDefault="007C7450">
            <w:pPr>
              <w:widowControl w:val="0"/>
              <w:jc w:val="center"/>
              <w:rPr>
                <w:sz w:val="20"/>
                <w:szCs w:val="20"/>
              </w:rPr>
            </w:pPr>
            <w:r w:rsidRPr="00D52239">
              <w:rPr>
                <w:sz w:val="20"/>
                <w:szCs w:val="20"/>
              </w:rPr>
              <w:t>854 (82.0%)</w:t>
            </w:r>
          </w:p>
        </w:tc>
        <w:tc>
          <w:tcPr>
            <w:tcW w:w="163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52" w14:textId="77777777" w:rsidR="00E719FC" w:rsidRPr="00D52239" w:rsidRDefault="007C7450">
            <w:pPr>
              <w:widowControl w:val="0"/>
              <w:jc w:val="center"/>
              <w:rPr>
                <w:sz w:val="20"/>
                <w:szCs w:val="20"/>
              </w:rPr>
            </w:pPr>
            <w:r w:rsidRPr="00D52239">
              <w:rPr>
                <w:sz w:val="20"/>
                <w:szCs w:val="20"/>
              </w:rPr>
              <w:t>584 (83.0%)</w:t>
            </w:r>
          </w:p>
        </w:tc>
        <w:tc>
          <w:tcPr>
            <w:tcW w:w="19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E50BE53" w14:textId="77777777" w:rsidR="00E719FC" w:rsidRPr="00D52239" w:rsidRDefault="00E719FC">
            <w:pPr>
              <w:widowControl w:val="0"/>
              <w:rPr>
                <w:sz w:val="20"/>
                <w:szCs w:val="20"/>
              </w:rPr>
            </w:pPr>
          </w:p>
        </w:tc>
      </w:tr>
    </w:tbl>
    <w:p w14:paraId="2E50BE55" w14:textId="77777777" w:rsidR="00E719FC" w:rsidRPr="00D52239" w:rsidRDefault="007C7450">
      <w:r w:rsidRPr="00D52239">
        <w:t>Abbreviations: body mass index (BMI); standard deviation (SD)</w:t>
      </w:r>
    </w:p>
    <w:p w14:paraId="2E50BE56" w14:textId="743AFB62" w:rsidR="00E719FC" w:rsidRPr="00D52239" w:rsidRDefault="007C7450" w:rsidP="003D3A79">
      <w:r w:rsidRPr="00D52239">
        <w:rPr>
          <w:vertAlign w:val="superscript"/>
        </w:rPr>
        <w:t>a</w:t>
      </w:r>
      <w:r w:rsidRPr="00D52239">
        <w:t xml:space="preserve"> P-values were from</w:t>
      </w:r>
      <w:r w:rsidR="00D57C72">
        <w:t xml:space="preserve"> </w:t>
      </w:r>
      <w:r w:rsidR="00884E71">
        <w:t>a</w:t>
      </w:r>
      <w:r w:rsidR="00141622">
        <w:t xml:space="preserve"> </w:t>
      </w:r>
      <w:r w:rsidR="003D3A79">
        <w:t xml:space="preserve">Mann-Whitney </w:t>
      </w:r>
      <w:r w:rsidR="003D3A79" w:rsidRPr="003A63D3">
        <w:rPr>
          <w:i/>
          <w:iCs/>
        </w:rPr>
        <w:t>U</w:t>
      </w:r>
      <w:r w:rsidR="003D3A79">
        <w:t xml:space="preserve">-test </w:t>
      </w:r>
      <w:r w:rsidRPr="00D52239">
        <w:t xml:space="preserve">for continuous covariates and from </w:t>
      </w:r>
      <w:r w:rsidR="00884E71">
        <w:t xml:space="preserve">a </w:t>
      </w:r>
      <w:r w:rsidRPr="00D52239">
        <w:t>chi-squared test for categorical covariates</w:t>
      </w:r>
    </w:p>
    <w:p w14:paraId="2E50BE57" w14:textId="77777777" w:rsidR="00E719FC" w:rsidRPr="00D52239" w:rsidRDefault="007C7450">
      <w:r w:rsidRPr="00D52239">
        <w:br w:type="page"/>
      </w:r>
    </w:p>
    <w:p w14:paraId="2E50BE58" w14:textId="7821EAA7" w:rsidR="00E719FC" w:rsidRPr="00D52239" w:rsidRDefault="007C7450">
      <w:r w:rsidRPr="00D52239">
        <w:t xml:space="preserve">Table </w:t>
      </w:r>
      <w:r w:rsidR="0012397B">
        <w:t>3</w:t>
      </w:r>
      <w:r w:rsidRPr="00D52239">
        <w:t>. Associations of child polygenic risk score (PRS) for obesity and language-related skills (the GUSTO cohort)</w:t>
      </w:r>
    </w:p>
    <w:tbl>
      <w:tblPr>
        <w:tblStyle w:val="a0"/>
        <w:tblW w:w="10245" w:type="dxa"/>
        <w:tblInd w:w="-330" w:type="dxa"/>
        <w:tblBorders>
          <w:top w:val="nil"/>
          <w:left w:val="nil"/>
          <w:bottom w:val="nil"/>
          <w:right w:val="nil"/>
          <w:insideH w:val="nil"/>
          <w:insideV w:val="nil"/>
        </w:tblBorders>
        <w:tblLayout w:type="fixed"/>
        <w:tblLook w:val="0600" w:firstRow="0" w:lastRow="0" w:firstColumn="0" w:lastColumn="0" w:noHBand="1" w:noVBand="1"/>
      </w:tblPr>
      <w:tblGrid>
        <w:gridCol w:w="2415"/>
        <w:gridCol w:w="1650"/>
        <w:gridCol w:w="1170"/>
        <w:gridCol w:w="1020"/>
        <w:gridCol w:w="990"/>
        <w:gridCol w:w="1157"/>
        <w:gridCol w:w="1843"/>
      </w:tblGrid>
      <w:tr w:rsidR="00695280" w:rsidRPr="00D52239" w14:paraId="2E50BE60" w14:textId="77777777" w:rsidTr="00E821E8">
        <w:trPr>
          <w:trHeight w:val="33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59" w14:textId="77777777" w:rsidR="00695280" w:rsidRPr="00D52239" w:rsidRDefault="00695280">
            <w:pPr>
              <w:widowControl w:val="0"/>
              <w:jc w:val="center"/>
              <w:rPr>
                <w:sz w:val="20"/>
                <w:szCs w:val="20"/>
              </w:rPr>
            </w:pPr>
            <w:r w:rsidRPr="00D52239">
              <w:rPr>
                <w:rFonts w:eastAsia="Calibri"/>
                <w:b/>
              </w:rPr>
              <w:t>Outcome</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5A" w14:textId="77777777" w:rsidR="00695280" w:rsidRPr="00D52239" w:rsidRDefault="00695280">
            <w:pPr>
              <w:widowControl w:val="0"/>
              <w:jc w:val="center"/>
              <w:rPr>
                <w:sz w:val="20"/>
                <w:szCs w:val="20"/>
              </w:rPr>
            </w:pPr>
            <w:r w:rsidRPr="00D52239">
              <w:rPr>
                <w:rFonts w:eastAsia="Calibri"/>
                <w:b/>
              </w:rPr>
              <w:t>Stratification</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5B" w14:textId="77777777" w:rsidR="00695280" w:rsidRPr="00D52239" w:rsidRDefault="00695280">
            <w:pPr>
              <w:widowControl w:val="0"/>
              <w:jc w:val="center"/>
              <w:rPr>
                <w:sz w:val="20"/>
                <w:szCs w:val="20"/>
              </w:rPr>
            </w:pPr>
            <w:r w:rsidRPr="00D52239">
              <w:rPr>
                <w:rFonts w:eastAsia="Calibri"/>
                <w:b/>
              </w:rPr>
              <w:t>Sample size</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5C" w14:textId="77777777" w:rsidR="00695280" w:rsidRPr="00D52239" w:rsidRDefault="00695280">
            <w:pPr>
              <w:widowControl w:val="0"/>
              <w:jc w:val="center"/>
              <w:rPr>
                <w:sz w:val="20"/>
                <w:szCs w:val="20"/>
              </w:rPr>
            </w:pPr>
            <w:r w:rsidRPr="00D52239">
              <w:rPr>
                <w:rFonts w:eastAsia="Calibri"/>
                <w:b/>
              </w:rPr>
              <w:t>Beta</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5E" w14:textId="3F224EC1" w:rsidR="00695280" w:rsidRPr="00D52239" w:rsidRDefault="00695280">
            <w:pPr>
              <w:widowControl w:val="0"/>
              <w:jc w:val="center"/>
              <w:rPr>
                <w:sz w:val="20"/>
                <w:szCs w:val="20"/>
              </w:rPr>
            </w:pPr>
            <w:r w:rsidRPr="00D52239">
              <w:rPr>
                <w:rFonts w:eastAsia="Calibri"/>
                <w:b/>
              </w:rPr>
              <w:t>P-value</w:t>
            </w:r>
            <w:r w:rsidRPr="007B44B9">
              <w:rPr>
                <w:rFonts w:eastAsia="Calibri"/>
                <w:b/>
                <w:vertAlign w:val="superscript"/>
              </w:rPr>
              <w:t>a</w:t>
            </w:r>
          </w:p>
        </w:tc>
        <w:tc>
          <w:tcPr>
            <w:tcW w:w="1157" w:type="dxa"/>
            <w:tcBorders>
              <w:top w:val="single" w:sz="6" w:space="0" w:color="CCCCCC"/>
              <w:left w:val="single" w:sz="6" w:space="0" w:color="CCCCCC"/>
              <w:bottom w:val="single" w:sz="6" w:space="0" w:color="CCCCCC"/>
              <w:right w:val="single" w:sz="6" w:space="0" w:color="CCCCCC"/>
            </w:tcBorders>
          </w:tcPr>
          <w:p w14:paraId="75BAECB3" w14:textId="662D1030" w:rsidR="00695280" w:rsidRPr="00D52239" w:rsidRDefault="00695280">
            <w:pPr>
              <w:widowControl w:val="0"/>
              <w:jc w:val="center"/>
              <w:rPr>
                <w:rFonts w:eastAsia="Calibri"/>
                <w:b/>
              </w:rPr>
            </w:pPr>
            <w:r>
              <w:rPr>
                <w:rFonts w:eastAsia="Calibri"/>
                <w:b/>
              </w:rPr>
              <w:t>Adjusted P-value</w:t>
            </w:r>
            <w:r w:rsidRPr="00695280">
              <w:rPr>
                <w:rFonts w:eastAsia="Calibri"/>
                <w:b/>
                <w:vertAlign w:val="superscript"/>
              </w:rPr>
              <w:t>a</w:t>
            </w:r>
          </w:p>
        </w:tc>
        <w:tc>
          <w:tcPr>
            <w:tcW w:w="1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5F" w14:textId="00FC9A5F" w:rsidR="00695280" w:rsidRPr="00D52239" w:rsidRDefault="00695280">
            <w:pPr>
              <w:widowControl w:val="0"/>
              <w:jc w:val="center"/>
              <w:rPr>
                <w:sz w:val="20"/>
                <w:szCs w:val="20"/>
              </w:rPr>
            </w:pPr>
            <w:r w:rsidRPr="00D52239">
              <w:rPr>
                <w:rFonts w:eastAsia="Calibri"/>
                <w:b/>
              </w:rPr>
              <w:t>95% CI</w:t>
            </w:r>
          </w:p>
        </w:tc>
      </w:tr>
      <w:tr w:rsidR="005A3FFD" w:rsidRPr="00D52239" w14:paraId="2E50BE68" w14:textId="77777777" w:rsidTr="00E821E8">
        <w:trPr>
          <w:trHeight w:val="33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1" w14:textId="77777777" w:rsidR="005A3FFD" w:rsidRPr="00D52239" w:rsidRDefault="005A3FFD" w:rsidP="005A3FFD">
            <w:pPr>
              <w:widowControl w:val="0"/>
              <w:jc w:val="center"/>
              <w:rPr>
                <w:sz w:val="20"/>
                <w:szCs w:val="20"/>
              </w:rPr>
            </w:pPr>
            <w:r w:rsidRPr="00D52239">
              <w:rPr>
                <w:rFonts w:eastAsia="Calibri"/>
              </w:rPr>
              <w:t>PPVT-4 (YR4)</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2" w14:textId="77777777" w:rsidR="005A3FFD" w:rsidRPr="00D52239" w:rsidRDefault="005A3FFD" w:rsidP="005A3FFD">
            <w:pPr>
              <w:widowControl w:val="0"/>
              <w:jc w:val="center"/>
              <w:rPr>
                <w:sz w:val="20"/>
                <w:szCs w:val="20"/>
              </w:rPr>
            </w:pPr>
            <w:r w:rsidRPr="00D52239">
              <w:rPr>
                <w:rFonts w:eastAsia="Calibri"/>
              </w:rPr>
              <w:t>Overall</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3" w14:textId="77777777" w:rsidR="005A3FFD" w:rsidRPr="00D52239" w:rsidRDefault="005A3FFD" w:rsidP="005A3FFD">
            <w:pPr>
              <w:widowControl w:val="0"/>
              <w:jc w:val="center"/>
              <w:rPr>
                <w:sz w:val="20"/>
                <w:szCs w:val="20"/>
              </w:rPr>
            </w:pPr>
            <w:r w:rsidRPr="00D52239">
              <w:rPr>
                <w:rFonts w:eastAsia="Calibri"/>
              </w:rPr>
              <w:t>448</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4" w14:textId="77777777" w:rsidR="005A3FFD" w:rsidRPr="00D52239" w:rsidRDefault="005A3FFD" w:rsidP="005A3FFD">
            <w:pPr>
              <w:widowControl w:val="0"/>
              <w:jc w:val="center"/>
              <w:rPr>
                <w:sz w:val="20"/>
                <w:szCs w:val="20"/>
              </w:rPr>
            </w:pPr>
            <w:r w:rsidRPr="00D52239">
              <w:rPr>
                <w:rFonts w:eastAsia="Calibri"/>
              </w:rPr>
              <w:t>-0.14</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6" w14:textId="77777777" w:rsidR="005A3FFD" w:rsidRPr="00D52239" w:rsidRDefault="005A3FFD" w:rsidP="005A3FFD">
            <w:pPr>
              <w:widowControl w:val="0"/>
              <w:jc w:val="center"/>
              <w:rPr>
                <w:sz w:val="20"/>
                <w:szCs w:val="20"/>
              </w:rPr>
            </w:pPr>
            <w:r w:rsidRPr="00D52239">
              <w:rPr>
                <w:rFonts w:eastAsia="Calibri"/>
              </w:rPr>
              <w:t>0.028</w:t>
            </w:r>
          </w:p>
        </w:tc>
        <w:tc>
          <w:tcPr>
            <w:tcW w:w="1157" w:type="dxa"/>
            <w:tcBorders>
              <w:top w:val="single" w:sz="6" w:space="0" w:color="CCCCCC"/>
              <w:left w:val="single" w:sz="6" w:space="0" w:color="CCCCCC"/>
              <w:bottom w:val="single" w:sz="6" w:space="0" w:color="CCCCCC"/>
              <w:right w:val="single" w:sz="6" w:space="0" w:color="CCCCCC"/>
            </w:tcBorders>
          </w:tcPr>
          <w:p w14:paraId="5D6E0411" w14:textId="1B369C3E" w:rsidR="005A3FFD" w:rsidRPr="00D52239" w:rsidRDefault="005A3FFD" w:rsidP="005A3FFD">
            <w:pPr>
              <w:widowControl w:val="0"/>
              <w:jc w:val="center"/>
              <w:rPr>
                <w:rFonts w:eastAsia="Calibri"/>
              </w:rPr>
            </w:pPr>
            <w:r w:rsidRPr="00FF04E0">
              <w:t>0.1</w:t>
            </w:r>
            <w:r>
              <w:t>7</w:t>
            </w:r>
          </w:p>
        </w:tc>
        <w:tc>
          <w:tcPr>
            <w:tcW w:w="1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7" w14:textId="1C46A67E" w:rsidR="005A3FFD" w:rsidRPr="00D52239" w:rsidRDefault="005A3FFD" w:rsidP="005A3FFD">
            <w:pPr>
              <w:widowControl w:val="0"/>
              <w:jc w:val="center"/>
              <w:rPr>
                <w:sz w:val="20"/>
                <w:szCs w:val="20"/>
              </w:rPr>
            </w:pPr>
            <w:r w:rsidRPr="00D52239">
              <w:rPr>
                <w:rFonts w:eastAsia="Calibri"/>
              </w:rPr>
              <w:t>-0.26 to -0.01</w:t>
            </w:r>
            <w:r>
              <w:rPr>
                <w:rFonts w:eastAsia="Calibri"/>
              </w:rPr>
              <w:t>5</w:t>
            </w:r>
          </w:p>
        </w:tc>
      </w:tr>
      <w:tr w:rsidR="005A3FFD" w:rsidRPr="00D52239" w14:paraId="2E50BE70" w14:textId="77777777" w:rsidTr="00E821E8">
        <w:trPr>
          <w:trHeight w:val="33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9" w14:textId="77777777" w:rsidR="005A3FFD" w:rsidRPr="00D52239" w:rsidRDefault="005A3FFD" w:rsidP="005A3FFD">
            <w:pPr>
              <w:widowControl w:val="0"/>
              <w:jc w:val="center"/>
              <w:rPr>
                <w:sz w:val="20"/>
                <w:szCs w:val="20"/>
              </w:rPr>
            </w:pPr>
            <w:r w:rsidRPr="00D52239">
              <w:rPr>
                <w:rFonts w:eastAsia="Calibri"/>
              </w:rPr>
              <w:t>PPVT-4 (YR4)</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A" w14:textId="77777777" w:rsidR="005A3FFD" w:rsidRPr="00D52239" w:rsidRDefault="005A3FFD" w:rsidP="005A3FFD">
            <w:pPr>
              <w:widowControl w:val="0"/>
              <w:jc w:val="center"/>
              <w:rPr>
                <w:sz w:val="20"/>
                <w:szCs w:val="20"/>
              </w:rPr>
            </w:pPr>
            <w:r w:rsidRPr="00D52239">
              <w:rPr>
                <w:rFonts w:eastAsia="Calibri"/>
              </w:rPr>
              <w:t>Girls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B" w14:textId="77777777" w:rsidR="005A3FFD" w:rsidRPr="00D52239" w:rsidRDefault="005A3FFD" w:rsidP="005A3FFD">
            <w:pPr>
              <w:widowControl w:val="0"/>
              <w:jc w:val="center"/>
              <w:rPr>
                <w:sz w:val="20"/>
                <w:szCs w:val="20"/>
              </w:rPr>
            </w:pPr>
            <w:r w:rsidRPr="00D52239">
              <w:rPr>
                <w:rFonts w:eastAsia="Calibri"/>
              </w:rPr>
              <w:t>224</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C" w14:textId="77777777" w:rsidR="005A3FFD" w:rsidRPr="00D52239" w:rsidRDefault="005A3FFD" w:rsidP="005A3FFD">
            <w:pPr>
              <w:widowControl w:val="0"/>
              <w:jc w:val="center"/>
              <w:rPr>
                <w:sz w:val="20"/>
                <w:szCs w:val="20"/>
              </w:rPr>
            </w:pPr>
            <w:r w:rsidRPr="00D52239">
              <w:rPr>
                <w:rFonts w:eastAsia="Calibri"/>
              </w:rPr>
              <w:t>-0.08</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E" w14:textId="4412E4AE" w:rsidR="005A3FFD" w:rsidRPr="00D52239" w:rsidRDefault="005A3FFD" w:rsidP="005A3FFD">
            <w:pPr>
              <w:widowControl w:val="0"/>
              <w:jc w:val="center"/>
              <w:rPr>
                <w:sz w:val="20"/>
                <w:szCs w:val="20"/>
              </w:rPr>
            </w:pPr>
            <w:r w:rsidRPr="00D52239">
              <w:rPr>
                <w:rFonts w:eastAsia="Calibri"/>
              </w:rPr>
              <w:t>0.3</w:t>
            </w:r>
            <w:r>
              <w:rPr>
                <w:rFonts w:eastAsia="Calibri"/>
              </w:rPr>
              <w:t>4</w:t>
            </w:r>
          </w:p>
        </w:tc>
        <w:tc>
          <w:tcPr>
            <w:tcW w:w="1157" w:type="dxa"/>
            <w:tcBorders>
              <w:top w:val="single" w:sz="6" w:space="0" w:color="CCCCCC"/>
              <w:left w:val="single" w:sz="6" w:space="0" w:color="CCCCCC"/>
              <w:bottom w:val="single" w:sz="6" w:space="0" w:color="CCCCCC"/>
              <w:right w:val="single" w:sz="6" w:space="0" w:color="CCCCCC"/>
            </w:tcBorders>
          </w:tcPr>
          <w:p w14:paraId="7CAA1191" w14:textId="0549F403" w:rsidR="005A3FFD" w:rsidRPr="00D52239" w:rsidRDefault="005A3FFD" w:rsidP="005A3FFD">
            <w:pPr>
              <w:widowControl w:val="0"/>
              <w:jc w:val="center"/>
              <w:rPr>
                <w:rFonts w:eastAsia="Calibri"/>
              </w:rPr>
            </w:pPr>
            <w:r>
              <w:t>1.0</w:t>
            </w:r>
          </w:p>
        </w:tc>
        <w:tc>
          <w:tcPr>
            <w:tcW w:w="1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6F" w14:textId="752DE4A9" w:rsidR="005A3FFD" w:rsidRPr="00D52239" w:rsidRDefault="005A3FFD" w:rsidP="005A3FFD">
            <w:pPr>
              <w:widowControl w:val="0"/>
              <w:jc w:val="center"/>
              <w:rPr>
                <w:sz w:val="20"/>
                <w:szCs w:val="20"/>
              </w:rPr>
            </w:pPr>
            <w:r w:rsidRPr="00D52239">
              <w:rPr>
                <w:rFonts w:eastAsia="Calibri"/>
              </w:rPr>
              <w:t>-0.24 to 0.08</w:t>
            </w:r>
            <w:r>
              <w:rPr>
                <w:rFonts w:eastAsia="Calibri"/>
              </w:rPr>
              <w:t>2</w:t>
            </w:r>
          </w:p>
        </w:tc>
      </w:tr>
      <w:tr w:rsidR="005A3FFD" w:rsidRPr="00D52239" w14:paraId="2E50BE78" w14:textId="77777777" w:rsidTr="00E821E8">
        <w:trPr>
          <w:trHeight w:val="33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1" w14:textId="77777777" w:rsidR="005A3FFD" w:rsidRPr="00D52239" w:rsidRDefault="005A3FFD" w:rsidP="005A3FFD">
            <w:pPr>
              <w:widowControl w:val="0"/>
              <w:jc w:val="center"/>
              <w:rPr>
                <w:sz w:val="20"/>
                <w:szCs w:val="20"/>
              </w:rPr>
            </w:pPr>
            <w:r w:rsidRPr="00D52239">
              <w:rPr>
                <w:rFonts w:eastAsia="Calibri"/>
              </w:rPr>
              <w:t>PPVT-4 (YR4)</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2" w14:textId="77777777" w:rsidR="005A3FFD" w:rsidRPr="00D52239" w:rsidRDefault="005A3FFD" w:rsidP="005A3FFD">
            <w:pPr>
              <w:widowControl w:val="0"/>
              <w:jc w:val="center"/>
              <w:rPr>
                <w:sz w:val="20"/>
                <w:szCs w:val="20"/>
              </w:rPr>
            </w:pPr>
            <w:r w:rsidRPr="00D52239">
              <w:rPr>
                <w:rFonts w:eastAsia="Calibri"/>
              </w:rPr>
              <w:t>Boys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3" w14:textId="77777777" w:rsidR="005A3FFD" w:rsidRPr="00D52239" w:rsidRDefault="005A3FFD" w:rsidP="005A3FFD">
            <w:pPr>
              <w:widowControl w:val="0"/>
              <w:jc w:val="center"/>
              <w:rPr>
                <w:sz w:val="20"/>
                <w:szCs w:val="20"/>
              </w:rPr>
            </w:pPr>
            <w:r w:rsidRPr="00D52239">
              <w:rPr>
                <w:rFonts w:eastAsia="Calibri"/>
              </w:rPr>
              <w:t>224</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4" w14:textId="77777777" w:rsidR="005A3FFD" w:rsidRPr="00D52239" w:rsidRDefault="005A3FFD" w:rsidP="005A3FFD">
            <w:pPr>
              <w:widowControl w:val="0"/>
              <w:jc w:val="center"/>
              <w:rPr>
                <w:sz w:val="20"/>
                <w:szCs w:val="20"/>
              </w:rPr>
            </w:pPr>
            <w:r w:rsidRPr="00D52239">
              <w:rPr>
                <w:rFonts w:eastAsia="Calibri"/>
              </w:rPr>
              <w:t>-0.22</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6" w14:textId="77777777" w:rsidR="005A3FFD" w:rsidRPr="00D52239" w:rsidRDefault="005A3FFD" w:rsidP="005A3FFD">
            <w:pPr>
              <w:widowControl w:val="0"/>
              <w:jc w:val="center"/>
              <w:rPr>
                <w:sz w:val="20"/>
                <w:szCs w:val="20"/>
              </w:rPr>
            </w:pPr>
            <w:r w:rsidRPr="00D52239">
              <w:rPr>
                <w:rFonts w:eastAsia="Calibri"/>
              </w:rPr>
              <w:t>0.022</w:t>
            </w:r>
          </w:p>
        </w:tc>
        <w:tc>
          <w:tcPr>
            <w:tcW w:w="1157" w:type="dxa"/>
            <w:tcBorders>
              <w:top w:val="single" w:sz="6" w:space="0" w:color="CCCCCC"/>
              <w:left w:val="single" w:sz="6" w:space="0" w:color="CCCCCC"/>
              <w:bottom w:val="single" w:sz="6" w:space="0" w:color="CCCCCC"/>
              <w:right w:val="single" w:sz="6" w:space="0" w:color="CCCCCC"/>
            </w:tcBorders>
          </w:tcPr>
          <w:p w14:paraId="49A89537" w14:textId="0122CD91" w:rsidR="005A3FFD" w:rsidRPr="00D52239" w:rsidRDefault="005A3FFD" w:rsidP="005A3FFD">
            <w:pPr>
              <w:widowControl w:val="0"/>
              <w:jc w:val="center"/>
              <w:rPr>
                <w:rFonts w:eastAsia="Calibri"/>
              </w:rPr>
            </w:pPr>
            <w:r w:rsidRPr="00FF04E0">
              <w:t>0.13</w:t>
            </w:r>
          </w:p>
        </w:tc>
        <w:tc>
          <w:tcPr>
            <w:tcW w:w="1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7" w14:textId="282FB7BD" w:rsidR="005A3FFD" w:rsidRPr="00D52239" w:rsidRDefault="005A3FFD" w:rsidP="005A3FFD">
            <w:pPr>
              <w:widowControl w:val="0"/>
              <w:jc w:val="center"/>
              <w:rPr>
                <w:sz w:val="20"/>
                <w:szCs w:val="20"/>
              </w:rPr>
            </w:pPr>
            <w:r w:rsidRPr="00D52239">
              <w:rPr>
                <w:rFonts w:eastAsia="Calibri"/>
              </w:rPr>
              <w:t>-0.40 to -0.03</w:t>
            </w:r>
            <w:r>
              <w:rPr>
                <w:rFonts w:eastAsia="Calibri"/>
              </w:rPr>
              <w:t>2</w:t>
            </w:r>
          </w:p>
        </w:tc>
      </w:tr>
      <w:tr w:rsidR="005A3FFD" w:rsidRPr="00D52239" w14:paraId="2E50BE80" w14:textId="77777777" w:rsidTr="00E821E8">
        <w:trPr>
          <w:trHeight w:val="33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9" w14:textId="77777777" w:rsidR="005A3FFD" w:rsidRPr="00D52239" w:rsidRDefault="005A3FFD" w:rsidP="005A3FFD">
            <w:pPr>
              <w:widowControl w:val="0"/>
              <w:jc w:val="center"/>
              <w:rPr>
                <w:sz w:val="20"/>
                <w:szCs w:val="20"/>
              </w:rPr>
            </w:pPr>
            <w:r w:rsidRPr="00D52239">
              <w:rPr>
                <w:rFonts w:eastAsia="Calibri"/>
              </w:rPr>
              <w:t>WIAT-III (YR9)</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A" w14:textId="77777777" w:rsidR="005A3FFD" w:rsidRPr="00D52239" w:rsidRDefault="005A3FFD" w:rsidP="005A3FFD">
            <w:pPr>
              <w:widowControl w:val="0"/>
              <w:jc w:val="center"/>
              <w:rPr>
                <w:sz w:val="20"/>
                <w:szCs w:val="20"/>
              </w:rPr>
            </w:pPr>
            <w:r w:rsidRPr="00D52239">
              <w:rPr>
                <w:rFonts w:eastAsia="Calibri"/>
              </w:rPr>
              <w:t>Overall</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B" w14:textId="77777777" w:rsidR="005A3FFD" w:rsidRPr="00D52239" w:rsidRDefault="005A3FFD" w:rsidP="005A3FFD">
            <w:pPr>
              <w:widowControl w:val="0"/>
              <w:jc w:val="center"/>
              <w:rPr>
                <w:sz w:val="20"/>
                <w:szCs w:val="20"/>
              </w:rPr>
            </w:pPr>
            <w:r w:rsidRPr="00D52239">
              <w:rPr>
                <w:rFonts w:eastAsia="Calibri"/>
              </w:rPr>
              <w:t>235</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C" w14:textId="77777777" w:rsidR="005A3FFD" w:rsidRPr="00D52239" w:rsidRDefault="005A3FFD" w:rsidP="005A3FFD">
            <w:pPr>
              <w:widowControl w:val="0"/>
              <w:jc w:val="center"/>
              <w:rPr>
                <w:sz w:val="20"/>
                <w:szCs w:val="20"/>
              </w:rPr>
            </w:pPr>
            <w:r w:rsidRPr="00D52239">
              <w:rPr>
                <w:rFonts w:eastAsia="Calibri"/>
              </w:rPr>
              <w:t>-0.37</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E" w14:textId="0012C7EB" w:rsidR="005A3FFD" w:rsidRPr="00D52239" w:rsidRDefault="005A3FFD" w:rsidP="005A3FFD">
            <w:pPr>
              <w:widowControl w:val="0"/>
              <w:jc w:val="center"/>
              <w:rPr>
                <w:sz w:val="20"/>
                <w:szCs w:val="20"/>
              </w:rPr>
            </w:pPr>
            <w:r w:rsidRPr="00D52239">
              <w:rPr>
                <w:rFonts w:eastAsia="Calibri"/>
              </w:rPr>
              <w:t>6.5</w:t>
            </w:r>
            <w:r>
              <w:rPr>
                <w:rFonts w:eastAsia="Calibri"/>
              </w:rPr>
              <w:t>x10</w:t>
            </w:r>
            <w:r w:rsidRPr="006035D0">
              <w:rPr>
                <w:rFonts w:eastAsia="Calibri"/>
                <w:vertAlign w:val="superscript"/>
              </w:rPr>
              <w:t>-5</w:t>
            </w:r>
          </w:p>
        </w:tc>
        <w:tc>
          <w:tcPr>
            <w:tcW w:w="1157" w:type="dxa"/>
            <w:tcBorders>
              <w:top w:val="single" w:sz="6" w:space="0" w:color="CCCCCC"/>
              <w:left w:val="single" w:sz="6" w:space="0" w:color="CCCCCC"/>
              <w:bottom w:val="single" w:sz="6" w:space="0" w:color="CCCCCC"/>
              <w:right w:val="single" w:sz="6" w:space="0" w:color="CCCCCC"/>
            </w:tcBorders>
          </w:tcPr>
          <w:p w14:paraId="7D1C4829" w14:textId="4603986F" w:rsidR="005A3FFD" w:rsidRPr="00D52239" w:rsidRDefault="005A3FFD" w:rsidP="005A3FFD">
            <w:pPr>
              <w:widowControl w:val="0"/>
              <w:jc w:val="center"/>
              <w:rPr>
                <w:rFonts w:eastAsia="Calibri"/>
              </w:rPr>
            </w:pPr>
            <w:r w:rsidRPr="00FF04E0">
              <w:t>3</w:t>
            </w:r>
            <w:r w:rsidR="00E821E8">
              <w:t>.</w:t>
            </w:r>
            <w:r w:rsidRPr="00FF04E0">
              <w:t>9</w:t>
            </w:r>
            <w:r w:rsidR="00E821E8">
              <w:t>x10</w:t>
            </w:r>
            <w:r w:rsidR="00E821E8" w:rsidRPr="00E821E8">
              <w:rPr>
                <w:vertAlign w:val="superscript"/>
              </w:rPr>
              <w:t>-4</w:t>
            </w:r>
          </w:p>
        </w:tc>
        <w:tc>
          <w:tcPr>
            <w:tcW w:w="1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7F" w14:textId="73180F9F" w:rsidR="005A3FFD" w:rsidRPr="00D52239" w:rsidRDefault="005A3FFD" w:rsidP="005A3FFD">
            <w:pPr>
              <w:widowControl w:val="0"/>
              <w:jc w:val="center"/>
              <w:rPr>
                <w:sz w:val="20"/>
                <w:szCs w:val="20"/>
              </w:rPr>
            </w:pPr>
            <w:r w:rsidRPr="00D52239">
              <w:rPr>
                <w:rFonts w:eastAsia="Calibri"/>
              </w:rPr>
              <w:t>-0.55 to -0.19</w:t>
            </w:r>
          </w:p>
        </w:tc>
      </w:tr>
      <w:tr w:rsidR="005A3FFD" w:rsidRPr="00D52239" w14:paraId="2E50BE88" w14:textId="77777777" w:rsidTr="00E821E8">
        <w:trPr>
          <w:trHeight w:val="42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1" w14:textId="77777777" w:rsidR="005A3FFD" w:rsidRPr="00D52239" w:rsidRDefault="005A3FFD" w:rsidP="005A3FFD">
            <w:pPr>
              <w:widowControl w:val="0"/>
              <w:jc w:val="center"/>
              <w:rPr>
                <w:sz w:val="20"/>
                <w:szCs w:val="20"/>
              </w:rPr>
            </w:pPr>
            <w:r w:rsidRPr="00D52239">
              <w:rPr>
                <w:rFonts w:eastAsia="Calibri"/>
              </w:rPr>
              <w:t>WIAT-III (YR9)</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2" w14:textId="77777777" w:rsidR="005A3FFD" w:rsidRPr="00D52239" w:rsidRDefault="005A3FFD" w:rsidP="005A3FFD">
            <w:pPr>
              <w:widowControl w:val="0"/>
              <w:jc w:val="center"/>
              <w:rPr>
                <w:sz w:val="20"/>
                <w:szCs w:val="20"/>
              </w:rPr>
            </w:pPr>
            <w:r w:rsidRPr="00D52239">
              <w:rPr>
                <w:rFonts w:eastAsia="Calibri"/>
              </w:rPr>
              <w:t>Girls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3" w14:textId="77777777" w:rsidR="005A3FFD" w:rsidRPr="00D52239" w:rsidRDefault="005A3FFD" w:rsidP="005A3FFD">
            <w:pPr>
              <w:widowControl w:val="0"/>
              <w:jc w:val="center"/>
              <w:rPr>
                <w:sz w:val="20"/>
                <w:szCs w:val="20"/>
              </w:rPr>
            </w:pPr>
            <w:r w:rsidRPr="00D52239">
              <w:rPr>
                <w:rFonts w:eastAsia="Calibri"/>
              </w:rPr>
              <w:t>114</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4" w14:textId="77777777" w:rsidR="005A3FFD" w:rsidRPr="00D52239" w:rsidRDefault="005A3FFD" w:rsidP="005A3FFD">
            <w:pPr>
              <w:widowControl w:val="0"/>
              <w:jc w:val="center"/>
              <w:rPr>
                <w:sz w:val="20"/>
                <w:szCs w:val="20"/>
              </w:rPr>
            </w:pPr>
            <w:r w:rsidRPr="00D52239">
              <w:rPr>
                <w:rFonts w:eastAsia="Calibri"/>
              </w:rPr>
              <w:t>-0.27</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6" w14:textId="316D89DF" w:rsidR="005A3FFD" w:rsidRPr="00D52239" w:rsidRDefault="005A3FFD" w:rsidP="005A3FFD">
            <w:pPr>
              <w:widowControl w:val="0"/>
              <w:jc w:val="center"/>
              <w:rPr>
                <w:sz w:val="20"/>
                <w:szCs w:val="20"/>
              </w:rPr>
            </w:pPr>
            <w:r w:rsidRPr="00D52239">
              <w:rPr>
                <w:rFonts w:eastAsia="Calibri"/>
              </w:rPr>
              <w:t>0.05</w:t>
            </w:r>
            <w:r>
              <w:rPr>
                <w:rFonts w:eastAsia="Calibri"/>
              </w:rPr>
              <w:t>0</w:t>
            </w:r>
          </w:p>
        </w:tc>
        <w:tc>
          <w:tcPr>
            <w:tcW w:w="1157" w:type="dxa"/>
            <w:tcBorders>
              <w:top w:val="single" w:sz="6" w:space="0" w:color="CCCCCC"/>
              <w:left w:val="single" w:sz="6" w:space="0" w:color="CCCCCC"/>
              <w:bottom w:val="single" w:sz="6" w:space="0" w:color="CCCCCC"/>
              <w:right w:val="single" w:sz="6" w:space="0" w:color="CCCCCC"/>
            </w:tcBorders>
          </w:tcPr>
          <w:p w14:paraId="02F7CF5A" w14:textId="2F34E92D" w:rsidR="005A3FFD" w:rsidRPr="00D52239" w:rsidRDefault="005A3FFD" w:rsidP="005A3FFD">
            <w:pPr>
              <w:widowControl w:val="0"/>
              <w:jc w:val="center"/>
              <w:rPr>
                <w:rFonts w:eastAsia="Calibri"/>
              </w:rPr>
            </w:pPr>
            <w:r w:rsidRPr="00FF04E0">
              <w:t>0.3</w:t>
            </w:r>
            <w:r>
              <w:t>0</w:t>
            </w:r>
          </w:p>
        </w:tc>
        <w:tc>
          <w:tcPr>
            <w:tcW w:w="1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7" w14:textId="13CEE36F" w:rsidR="005A3FFD" w:rsidRPr="00D52239" w:rsidRDefault="005A3FFD" w:rsidP="005A3FFD">
            <w:pPr>
              <w:widowControl w:val="0"/>
              <w:jc w:val="center"/>
              <w:rPr>
                <w:sz w:val="20"/>
                <w:szCs w:val="20"/>
              </w:rPr>
            </w:pPr>
            <w:r w:rsidRPr="00D52239">
              <w:rPr>
                <w:rFonts w:eastAsia="Calibri"/>
              </w:rPr>
              <w:t>-0.53 to -9.8</w:t>
            </w:r>
            <w:r>
              <w:rPr>
                <w:rFonts w:eastAsia="Calibri"/>
              </w:rPr>
              <w:t xml:space="preserve"> x10</w:t>
            </w:r>
            <w:r w:rsidRPr="006035D0">
              <w:rPr>
                <w:rFonts w:eastAsia="Calibri"/>
                <w:vertAlign w:val="superscript"/>
              </w:rPr>
              <w:t>-5</w:t>
            </w:r>
          </w:p>
        </w:tc>
      </w:tr>
      <w:tr w:rsidR="005A3FFD" w:rsidRPr="00D52239" w14:paraId="2E50BE90" w14:textId="77777777" w:rsidTr="00E821E8">
        <w:trPr>
          <w:trHeight w:val="33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9" w14:textId="77777777" w:rsidR="005A3FFD" w:rsidRPr="00D52239" w:rsidRDefault="005A3FFD" w:rsidP="005A3FFD">
            <w:pPr>
              <w:widowControl w:val="0"/>
              <w:jc w:val="center"/>
              <w:rPr>
                <w:sz w:val="20"/>
                <w:szCs w:val="20"/>
              </w:rPr>
            </w:pPr>
            <w:r w:rsidRPr="00D52239">
              <w:rPr>
                <w:rFonts w:eastAsia="Calibri"/>
              </w:rPr>
              <w:t>WIAT-III (YR9)</w:t>
            </w:r>
          </w:p>
        </w:tc>
        <w:tc>
          <w:tcPr>
            <w:tcW w:w="16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A" w14:textId="77777777" w:rsidR="005A3FFD" w:rsidRPr="00D52239" w:rsidRDefault="005A3FFD" w:rsidP="005A3FFD">
            <w:pPr>
              <w:widowControl w:val="0"/>
              <w:jc w:val="center"/>
              <w:rPr>
                <w:sz w:val="20"/>
                <w:szCs w:val="20"/>
              </w:rPr>
            </w:pPr>
            <w:r w:rsidRPr="00D52239">
              <w:rPr>
                <w:rFonts w:eastAsia="Calibri"/>
              </w:rPr>
              <w:t>Boys</w:t>
            </w:r>
          </w:p>
        </w:tc>
        <w:tc>
          <w:tcPr>
            <w:tcW w:w="11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B" w14:textId="77777777" w:rsidR="005A3FFD" w:rsidRPr="00D52239" w:rsidRDefault="005A3FFD" w:rsidP="005A3FFD">
            <w:pPr>
              <w:widowControl w:val="0"/>
              <w:jc w:val="center"/>
              <w:rPr>
                <w:sz w:val="20"/>
                <w:szCs w:val="20"/>
              </w:rPr>
            </w:pPr>
            <w:r w:rsidRPr="00D52239">
              <w:rPr>
                <w:rFonts w:eastAsia="Calibri"/>
              </w:rPr>
              <w:t>121</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C" w14:textId="77777777" w:rsidR="005A3FFD" w:rsidRPr="00D52239" w:rsidRDefault="005A3FFD" w:rsidP="005A3FFD">
            <w:pPr>
              <w:widowControl w:val="0"/>
              <w:jc w:val="center"/>
              <w:rPr>
                <w:sz w:val="20"/>
                <w:szCs w:val="20"/>
              </w:rPr>
            </w:pPr>
            <w:r w:rsidRPr="00D52239">
              <w:rPr>
                <w:rFonts w:eastAsia="Calibri"/>
              </w:rPr>
              <w:t>-0.56</w:t>
            </w:r>
          </w:p>
        </w:tc>
        <w:tc>
          <w:tcPr>
            <w:tcW w:w="9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E" w14:textId="64E2BF08" w:rsidR="005A3FFD" w:rsidRPr="00D52239" w:rsidRDefault="005A3FFD" w:rsidP="005A3FFD">
            <w:pPr>
              <w:widowControl w:val="0"/>
              <w:jc w:val="center"/>
              <w:rPr>
                <w:sz w:val="20"/>
                <w:szCs w:val="20"/>
              </w:rPr>
            </w:pPr>
            <w:r w:rsidRPr="00D52239">
              <w:rPr>
                <w:rFonts w:eastAsia="Calibri"/>
              </w:rPr>
              <w:t>2.5</w:t>
            </w:r>
            <w:r>
              <w:rPr>
                <w:rFonts w:eastAsia="Calibri"/>
              </w:rPr>
              <w:t xml:space="preserve"> x10</w:t>
            </w:r>
            <w:r w:rsidRPr="006035D0">
              <w:rPr>
                <w:rFonts w:eastAsia="Calibri"/>
                <w:vertAlign w:val="superscript"/>
              </w:rPr>
              <w:t>-5</w:t>
            </w:r>
          </w:p>
        </w:tc>
        <w:tc>
          <w:tcPr>
            <w:tcW w:w="1157" w:type="dxa"/>
            <w:tcBorders>
              <w:top w:val="single" w:sz="6" w:space="0" w:color="CCCCCC"/>
              <w:left w:val="single" w:sz="6" w:space="0" w:color="CCCCCC"/>
              <w:bottom w:val="single" w:sz="6" w:space="0" w:color="CCCCCC"/>
              <w:right w:val="single" w:sz="6" w:space="0" w:color="CCCCCC"/>
            </w:tcBorders>
          </w:tcPr>
          <w:p w14:paraId="5CF80FE7" w14:textId="44FA445D" w:rsidR="005A3FFD" w:rsidRPr="00D52239" w:rsidRDefault="005A3FFD" w:rsidP="005A3FFD">
            <w:pPr>
              <w:widowControl w:val="0"/>
              <w:jc w:val="center"/>
              <w:rPr>
                <w:rFonts w:eastAsia="Calibri"/>
              </w:rPr>
            </w:pPr>
            <w:r w:rsidRPr="00FF04E0">
              <w:t>1</w:t>
            </w:r>
            <w:r w:rsidR="00E821E8">
              <w:t>.</w:t>
            </w:r>
            <w:r w:rsidRPr="00FF04E0">
              <w:t>5</w:t>
            </w:r>
            <w:r w:rsidR="00E821E8">
              <w:t>x10</w:t>
            </w:r>
            <w:r w:rsidR="00E821E8" w:rsidRPr="00E821E8">
              <w:rPr>
                <w:vertAlign w:val="superscript"/>
              </w:rPr>
              <w:t>-4</w:t>
            </w:r>
          </w:p>
        </w:tc>
        <w:tc>
          <w:tcPr>
            <w:tcW w:w="1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2E50BE8F" w14:textId="561E2180" w:rsidR="005A3FFD" w:rsidRPr="00D52239" w:rsidRDefault="005A3FFD" w:rsidP="005A3FFD">
            <w:pPr>
              <w:widowControl w:val="0"/>
              <w:jc w:val="center"/>
              <w:rPr>
                <w:sz w:val="20"/>
                <w:szCs w:val="20"/>
              </w:rPr>
            </w:pPr>
            <w:r w:rsidRPr="00D52239">
              <w:rPr>
                <w:rFonts w:eastAsia="Calibri"/>
              </w:rPr>
              <w:t>-0.81 to -0.31</w:t>
            </w:r>
          </w:p>
        </w:tc>
      </w:tr>
    </w:tbl>
    <w:p w14:paraId="2E50BE91" w14:textId="77777777" w:rsidR="00E719FC" w:rsidRPr="00D52239" w:rsidRDefault="007C7450">
      <w:r w:rsidRPr="00D52239">
        <w:t>Abbreviations: standard error (SE), confidence interval (CI).</w:t>
      </w:r>
    </w:p>
    <w:p w14:paraId="15C1AF0C" w14:textId="39DCB0DD" w:rsidR="00E719FC" w:rsidRDefault="007B44B9">
      <w:r w:rsidRPr="00A23DF2">
        <w:rPr>
          <w:vertAlign w:val="superscript"/>
        </w:rPr>
        <w:t>a</w:t>
      </w:r>
      <w:r>
        <w:t xml:space="preserve"> P-value obtained from linear regression.</w:t>
      </w:r>
      <w:r w:rsidR="00695280">
        <w:t xml:space="preserve"> Adjusted P-value accounted for </w:t>
      </w:r>
      <w:r w:rsidR="00695280" w:rsidRPr="00695280">
        <w:t xml:space="preserve">multiple comparisons of two language scores and three sex groups. </w:t>
      </w:r>
    </w:p>
    <w:p w14:paraId="6D7AD3C0" w14:textId="77777777" w:rsidR="007B44B9" w:rsidRDefault="007B44B9"/>
    <w:p w14:paraId="2E50BE92" w14:textId="77777777" w:rsidR="007B44B9" w:rsidRPr="00D52239" w:rsidRDefault="007B44B9">
      <w:pPr>
        <w:sectPr w:rsidR="007B44B9" w:rsidRPr="00D52239" w:rsidSect="00EE3B44">
          <w:pgSz w:w="11909" w:h="16834"/>
          <w:pgMar w:top="1440" w:right="1440" w:bottom="1440" w:left="1440" w:header="720" w:footer="720" w:gutter="0"/>
          <w:cols w:space="720"/>
        </w:sectPr>
      </w:pPr>
    </w:p>
    <w:p w14:paraId="2E50BF5F" w14:textId="77777777" w:rsidR="00E719FC" w:rsidRPr="00D52239" w:rsidRDefault="007C7450">
      <w:pPr>
        <w:pStyle w:val="Heading1"/>
        <w:pBdr>
          <w:top w:val="nil"/>
          <w:left w:val="nil"/>
          <w:bottom w:val="nil"/>
          <w:right w:val="nil"/>
          <w:between w:val="nil"/>
        </w:pBdr>
      </w:pPr>
      <w:bookmarkStart w:id="21" w:name="_e9ug2iomwlw0" w:colFirst="0" w:colLast="0"/>
      <w:bookmarkEnd w:id="21"/>
      <w:r w:rsidRPr="00D52239">
        <w:t>Figures</w:t>
      </w:r>
    </w:p>
    <w:p w14:paraId="2E50BF60" w14:textId="11F0D648" w:rsidR="00E719FC" w:rsidRPr="00D52239" w:rsidRDefault="0041543D">
      <w:r>
        <w:rPr>
          <w:noProof/>
        </w:rPr>
        <w:drawing>
          <wp:inline distT="0" distB="0" distL="0" distR="0" wp14:anchorId="22140453" wp14:editId="60D515FA">
            <wp:extent cx="4484296" cy="4770782"/>
            <wp:effectExtent l="0" t="0" r="0" b="0"/>
            <wp:docPr id="158349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055" cy="4782229"/>
                    </a:xfrm>
                    <a:prstGeom prst="rect">
                      <a:avLst/>
                    </a:prstGeom>
                    <a:noFill/>
                    <a:ln>
                      <a:noFill/>
                    </a:ln>
                  </pic:spPr>
                </pic:pic>
              </a:graphicData>
            </a:graphic>
          </wp:inline>
        </w:drawing>
      </w:r>
    </w:p>
    <w:p w14:paraId="2E50BF61" w14:textId="77777777" w:rsidR="00E719FC" w:rsidRPr="00D52239" w:rsidRDefault="007C7450">
      <w:r w:rsidRPr="00D52239">
        <w:t xml:space="preserve">Figure 1 Overarching framework for investigating the relationships between obesity-associated genotype to child language development. </w:t>
      </w:r>
    </w:p>
    <w:p w14:paraId="4AA80A85" w14:textId="7B9ED02A" w:rsidR="00065B60" w:rsidRDefault="007C7450">
      <w:pPr>
        <w:rPr>
          <w:sz w:val="18"/>
          <w:szCs w:val="18"/>
        </w:rPr>
      </w:pPr>
      <w:r w:rsidRPr="00D52239">
        <w:rPr>
          <w:sz w:val="18"/>
          <w:szCs w:val="18"/>
        </w:rPr>
        <w:t xml:space="preserve">a) </w:t>
      </w:r>
      <w:r w:rsidR="00065B60">
        <w:rPr>
          <w:sz w:val="18"/>
          <w:szCs w:val="18"/>
        </w:rPr>
        <w:t>Genetic correlation and colocalisation for obesity-related traits and language-related skills</w:t>
      </w:r>
      <w:r w:rsidR="00BA370B">
        <w:rPr>
          <w:sz w:val="18"/>
          <w:szCs w:val="18"/>
        </w:rPr>
        <w:t xml:space="preserve">. </w:t>
      </w:r>
      <w:r w:rsidR="00BA370B" w:rsidRPr="00D52239">
        <w:rPr>
          <w:sz w:val="18"/>
          <w:szCs w:val="18"/>
        </w:rPr>
        <w:t>Childhood obesity-related traits include childhood BMI and childhood obesity from the Early Growth Genetics (EGG) Consortium and self-reported childhood body size from the UK Biobank. Language-related skills include word reading, nonword reading, spelling, phoneme awareness, and nonword repetition.</w:t>
      </w:r>
    </w:p>
    <w:p w14:paraId="2E50BF62" w14:textId="0836346C" w:rsidR="00E719FC" w:rsidRPr="00D52239" w:rsidRDefault="00065B60">
      <w:pPr>
        <w:rPr>
          <w:sz w:val="18"/>
          <w:szCs w:val="18"/>
        </w:rPr>
      </w:pPr>
      <w:r>
        <w:rPr>
          <w:sz w:val="18"/>
          <w:szCs w:val="18"/>
        </w:rPr>
        <w:t xml:space="preserve">b) </w:t>
      </w:r>
      <w:r w:rsidR="007C7450" w:rsidRPr="00D52239">
        <w:rPr>
          <w:sz w:val="18"/>
          <w:szCs w:val="18"/>
        </w:rPr>
        <w:t xml:space="preserve">Construction of polygenic risk score (PRS) for obesity based on genome-wide association studies (GWAS) of body mass index (BMI) in European (EUR) and East Asian (EAS) populations using a trans-ancestry Bayesian polygenic method, PRS-CSx; </w:t>
      </w:r>
    </w:p>
    <w:p w14:paraId="2E50BF63" w14:textId="58EC4CFF" w:rsidR="00E719FC" w:rsidRPr="00D52239" w:rsidRDefault="00065B60">
      <w:pPr>
        <w:rPr>
          <w:sz w:val="18"/>
          <w:szCs w:val="18"/>
        </w:rPr>
      </w:pPr>
      <w:r>
        <w:rPr>
          <w:sz w:val="18"/>
          <w:szCs w:val="18"/>
        </w:rPr>
        <w:t>c</w:t>
      </w:r>
      <w:r w:rsidR="007C7450" w:rsidRPr="00D52239">
        <w:rPr>
          <w:sz w:val="18"/>
          <w:szCs w:val="18"/>
        </w:rPr>
        <w:t>) Longitudinal analysis of the associations of child PRS for obesity and language development assessed by Peabody Picture Vocabulary Test, Fourth Edition (PPVT-4, age 4) and the Wechsler Individual Achievement Test, Third Edition (WIAT-III, age 9)</w:t>
      </w:r>
      <w:r w:rsidR="00473C21">
        <w:rPr>
          <w:sz w:val="18"/>
          <w:szCs w:val="18"/>
        </w:rPr>
        <w:t>,</w:t>
      </w:r>
      <w:r w:rsidR="00B16096">
        <w:rPr>
          <w:sz w:val="18"/>
          <w:szCs w:val="18"/>
        </w:rPr>
        <w:t xml:space="preserve"> and mediation analysis via protein expression.</w:t>
      </w:r>
    </w:p>
    <w:p w14:paraId="50729E39" w14:textId="7BB3574E" w:rsidR="00C14F05" w:rsidRPr="00D52239" w:rsidRDefault="00473C21">
      <w:pPr>
        <w:rPr>
          <w:sz w:val="18"/>
          <w:szCs w:val="18"/>
        </w:rPr>
      </w:pPr>
      <w:r>
        <w:rPr>
          <w:sz w:val="18"/>
          <w:szCs w:val="18"/>
        </w:rPr>
        <w:t>d</w:t>
      </w:r>
      <w:r w:rsidR="00C14F05" w:rsidRPr="00D52239">
        <w:rPr>
          <w:sz w:val="18"/>
          <w:szCs w:val="18"/>
        </w:rPr>
        <w:t>) Cross-sectional analysis of the associations between candidate proteins (age 8) and language-related neuroimaging measures (age 7.5). Candidate proteins were prioritised based on their association with child PRS for obesity (MSR1) and WIAT-III scores (CNTN5, EFNA4, and VWC2). For neuroimaging measures, we focused on fractional anisotropy (FA) of language-related white matter tracts;</w:t>
      </w:r>
    </w:p>
    <w:p w14:paraId="0EF8AB3A" w14:textId="08041F6A" w:rsidR="00E719FC" w:rsidRDefault="00B60251">
      <w:pPr>
        <w:rPr>
          <w:sz w:val="18"/>
          <w:szCs w:val="18"/>
        </w:rPr>
      </w:pPr>
      <w:r>
        <w:rPr>
          <w:sz w:val="18"/>
          <w:szCs w:val="18"/>
        </w:rPr>
        <w:t>e</w:t>
      </w:r>
      <w:r w:rsidR="007C7450" w:rsidRPr="00D52239">
        <w:rPr>
          <w:sz w:val="18"/>
          <w:szCs w:val="18"/>
        </w:rPr>
        <w:t>) Construction of expression-based PRS (ePRS) for the EPH-Ephrin signalling pathway. Autosomal genes on the pathway were obtained from the REACTOME database, and the brain-region-specific genetic associations of gene expression (GEx) were obtained from the Genotype-Tissue Expression (GTEx) project</w:t>
      </w:r>
      <w:r w:rsidR="00BA370B">
        <w:rPr>
          <w:sz w:val="18"/>
          <w:szCs w:val="18"/>
        </w:rPr>
        <w:t xml:space="preserve">. </w:t>
      </w:r>
      <w:r w:rsidR="007C7450" w:rsidRPr="00D52239">
        <w:rPr>
          <w:sz w:val="18"/>
          <w:szCs w:val="18"/>
        </w:rPr>
        <w:t xml:space="preserve">Longitudinal analysis </w:t>
      </w:r>
      <w:r w:rsidR="00BA370B">
        <w:rPr>
          <w:sz w:val="18"/>
          <w:szCs w:val="18"/>
        </w:rPr>
        <w:t xml:space="preserve">was performed for </w:t>
      </w:r>
      <w:r w:rsidR="007C7450" w:rsidRPr="00D52239">
        <w:rPr>
          <w:sz w:val="18"/>
          <w:szCs w:val="18"/>
        </w:rPr>
        <w:t>the associations between ePRS for the EPH-Ephrin signalling pathway and WIAT-III scores (age 9)</w:t>
      </w:r>
      <w:r w:rsidR="00BA370B">
        <w:rPr>
          <w:sz w:val="18"/>
          <w:szCs w:val="18"/>
        </w:rPr>
        <w:t>.</w:t>
      </w:r>
    </w:p>
    <w:p w14:paraId="427BB0BA" w14:textId="77777777" w:rsidR="00473C21" w:rsidRDefault="00473C21">
      <w:pPr>
        <w:rPr>
          <w:sz w:val="18"/>
          <w:szCs w:val="18"/>
        </w:rPr>
      </w:pPr>
    </w:p>
    <w:p w14:paraId="2E50BF6A" w14:textId="77777777" w:rsidR="00473C21" w:rsidRPr="00D52239" w:rsidRDefault="00473C21">
      <w:pPr>
        <w:rPr>
          <w:sz w:val="18"/>
          <w:szCs w:val="18"/>
        </w:rPr>
        <w:sectPr w:rsidR="00473C21" w:rsidRPr="00D52239" w:rsidSect="00F7595D">
          <w:pgSz w:w="11909" w:h="16834"/>
          <w:pgMar w:top="1440" w:right="1440" w:bottom="1440" w:left="1440" w:header="720" w:footer="720" w:gutter="0"/>
          <w:cols w:space="720"/>
          <w:docGrid w:linePitch="299"/>
        </w:sectPr>
      </w:pPr>
    </w:p>
    <w:p w14:paraId="2E50BF6B" w14:textId="081BF3AA" w:rsidR="00E719FC" w:rsidRPr="00D52239" w:rsidRDefault="00391577">
      <w:r>
        <w:rPr>
          <w:noProof/>
        </w:rPr>
        <w:drawing>
          <wp:inline distT="0" distB="0" distL="0" distR="0" wp14:anchorId="06A2871D" wp14:editId="4AFE66E7">
            <wp:extent cx="4675505" cy="5753735"/>
            <wp:effectExtent l="0" t="0" r="0" b="0"/>
            <wp:docPr id="85831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5505" cy="5753735"/>
                    </a:xfrm>
                    <a:prstGeom prst="rect">
                      <a:avLst/>
                    </a:prstGeom>
                    <a:noFill/>
                    <a:ln>
                      <a:noFill/>
                    </a:ln>
                  </pic:spPr>
                </pic:pic>
              </a:graphicData>
            </a:graphic>
          </wp:inline>
        </w:drawing>
      </w:r>
    </w:p>
    <w:p w14:paraId="2E50BF6C" w14:textId="43DB72E8" w:rsidR="00E719FC" w:rsidRDefault="007C7450">
      <w:pPr>
        <w:spacing w:before="240" w:after="240"/>
      </w:pPr>
      <w:r w:rsidRPr="00D52239">
        <w:t>Figure 2. The association of child polygenic risk score (PRS) for obesity with child language scores assessed by PPVT-4 and WIAT-III from multiple linear regression</w:t>
      </w:r>
      <w:r w:rsidR="00C61945">
        <w:t xml:space="preserve"> (PPVT-4: N</w:t>
      </w:r>
      <w:r w:rsidR="00E11DE1" w:rsidRPr="00E11DE1">
        <w:rPr>
          <w:vertAlign w:val="subscript"/>
        </w:rPr>
        <w:t>Overall</w:t>
      </w:r>
      <w:r w:rsidR="00C61945">
        <w:t>=</w:t>
      </w:r>
      <w:r w:rsidR="00E11DE1">
        <w:t>448, N</w:t>
      </w:r>
      <w:r w:rsidR="00E11DE1" w:rsidRPr="00E11DE1">
        <w:rPr>
          <w:vertAlign w:val="subscript"/>
        </w:rPr>
        <w:t>Boys</w:t>
      </w:r>
      <w:r w:rsidR="00E11DE1">
        <w:t>=224, N</w:t>
      </w:r>
      <w:r w:rsidR="00E11DE1" w:rsidRPr="00E11DE1">
        <w:rPr>
          <w:vertAlign w:val="subscript"/>
        </w:rPr>
        <w:t>Girls</w:t>
      </w:r>
      <w:r w:rsidR="00E11DE1">
        <w:t>=224; WIAT-III: N</w:t>
      </w:r>
      <w:r w:rsidR="00E11DE1" w:rsidRPr="00E11DE1">
        <w:rPr>
          <w:vertAlign w:val="subscript"/>
        </w:rPr>
        <w:t>Overall</w:t>
      </w:r>
      <w:r w:rsidR="00E11DE1">
        <w:t>=235, N</w:t>
      </w:r>
      <w:r w:rsidR="00E11DE1" w:rsidRPr="00E11DE1">
        <w:rPr>
          <w:vertAlign w:val="subscript"/>
        </w:rPr>
        <w:t>Boys</w:t>
      </w:r>
      <w:r w:rsidR="00E11DE1">
        <w:t>=121, N</w:t>
      </w:r>
      <w:r w:rsidR="00E11DE1" w:rsidRPr="00E11DE1">
        <w:rPr>
          <w:vertAlign w:val="subscript"/>
        </w:rPr>
        <w:t>Girls</w:t>
      </w:r>
      <w:r w:rsidR="00E11DE1">
        <w:t>=114</w:t>
      </w:r>
      <w:r w:rsidR="00C61945">
        <w:t>)</w:t>
      </w:r>
      <w:r w:rsidRPr="00D52239">
        <w:t xml:space="preserve">. </w:t>
      </w:r>
      <w:r w:rsidR="001F324F">
        <w:t xml:space="preserve">Line segments indicate 95% confidence intervals. </w:t>
      </w:r>
      <w:r w:rsidRPr="00D52239">
        <w:t xml:space="preserve"> (PPVT-4: Peabody Picture Vocabulary Test, Fourth Edition; WIAT-III: Wechsler Individual Achievement Test, Third Edition</w:t>
      </w:r>
      <w:r w:rsidR="00BF70A7">
        <w:t>;</w:t>
      </w:r>
      <w:r w:rsidR="00BF70A7" w:rsidRPr="00BF70A7">
        <w:t xml:space="preserve"> </w:t>
      </w:r>
      <w:r w:rsidR="00BF70A7">
        <w:t xml:space="preserve">P-values </w:t>
      </w:r>
      <w:r w:rsidR="000455B2">
        <w:t>were</w:t>
      </w:r>
      <w:r w:rsidR="00BF70A7">
        <w:t xml:space="preserve"> obtained from </w:t>
      </w:r>
      <w:r w:rsidR="0093606E">
        <w:t>multiple</w:t>
      </w:r>
      <w:r w:rsidR="00BF70A7">
        <w:t xml:space="preserve"> linear regression</w:t>
      </w:r>
      <w:r w:rsidRPr="00D52239">
        <w:t>)</w:t>
      </w:r>
    </w:p>
    <w:p w14:paraId="2E50BF6D" w14:textId="77777777" w:rsidR="00E719FC" w:rsidRPr="00D52239" w:rsidRDefault="007C7450">
      <w:r w:rsidRPr="00D52239">
        <w:br w:type="page"/>
      </w:r>
    </w:p>
    <w:p w14:paraId="2E50BF74" w14:textId="77777777" w:rsidR="00E719FC" w:rsidRPr="00D52239" w:rsidRDefault="007C7450">
      <w:pPr>
        <w:spacing w:before="240" w:after="240"/>
      </w:pPr>
      <w:r w:rsidRPr="00D52239">
        <w:rPr>
          <w:noProof/>
        </w:rPr>
        <w:drawing>
          <wp:inline distT="114300" distB="114300" distL="114300" distR="114300" wp14:anchorId="2E50BF81" wp14:editId="2E50BF82">
            <wp:extent cx="5731200" cy="66167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31200" cy="6616700"/>
                    </a:xfrm>
                    <a:prstGeom prst="rect">
                      <a:avLst/>
                    </a:prstGeom>
                    <a:ln/>
                  </pic:spPr>
                </pic:pic>
              </a:graphicData>
            </a:graphic>
          </wp:inline>
        </w:drawing>
      </w:r>
    </w:p>
    <w:p w14:paraId="2E50BF75" w14:textId="00DD92F9" w:rsidR="00E719FC" w:rsidRPr="00D52239" w:rsidRDefault="007C7450">
      <w:pPr>
        <w:spacing w:before="240" w:after="240"/>
      </w:pPr>
      <w:r w:rsidRPr="00D52239">
        <w:rPr>
          <w:rFonts w:eastAsia="Arial Unicode MS"/>
        </w:rPr>
        <w:t xml:space="preserve">Figure </w:t>
      </w:r>
      <w:r w:rsidR="009377C7">
        <w:rPr>
          <w:rFonts w:eastAsia="Arial Unicode MS"/>
        </w:rPr>
        <w:t>3</w:t>
      </w:r>
      <w:r w:rsidRPr="00D52239">
        <w:rPr>
          <w:rFonts w:eastAsia="Arial Unicode MS"/>
        </w:rPr>
        <w:t>. Clusters of protein-coding genes based on protein-protein interaction. Larger nodes represent coding genes of neurology-related proteins measured in the GUSTO cohort. Smaller nodes represent coding genes of proteins that are associated with the neurology-related proteins based on the STRING database. Each edge represents the interaction between two proteins (only interactions with a STRING combined score ≥0.4 are presented).</w:t>
      </w:r>
      <w:r w:rsidRPr="00D52239">
        <w:br w:type="page"/>
      </w:r>
    </w:p>
    <w:p w14:paraId="2E50BF76" w14:textId="6A5B75DA" w:rsidR="00E719FC" w:rsidRPr="00D52239" w:rsidRDefault="0040052F">
      <w:r>
        <w:rPr>
          <w:noProof/>
        </w:rPr>
        <w:drawing>
          <wp:inline distT="0" distB="0" distL="0" distR="0" wp14:anchorId="67F32C55" wp14:editId="6A5CD5E4">
            <wp:extent cx="5736590" cy="5736590"/>
            <wp:effectExtent l="0" t="0" r="0" b="0"/>
            <wp:docPr id="1736702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6590" cy="5736590"/>
                    </a:xfrm>
                    <a:prstGeom prst="rect">
                      <a:avLst/>
                    </a:prstGeom>
                    <a:noFill/>
                    <a:ln>
                      <a:noFill/>
                    </a:ln>
                  </pic:spPr>
                </pic:pic>
              </a:graphicData>
            </a:graphic>
          </wp:inline>
        </w:drawing>
      </w:r>
    </w:p>
    <w:p w14:paraId="2E50BF77" w14:textId="1DA34D29" w:rsidR="00E719FC" w:rsidRPr="00D52239" w:rsidRDefault="007C7450">
      <w:r w:rsidRPr="00D52239">
        <w:t xml:space="preserve">Figure </w:t>
      </w:r>
      <w:r w:rsidR="009377C7">
        <w:t>4</w:t>
      </w:r>
      <w:r w:rsidRPr="00D52239">
        <w:t>. Cluster-specific forest plot for the associations of neurology-related proteins with WIAT-III language-related composite score</w:t>
      </w:r>
      <w:r w:rsidR="005901C5">
        <w:t xml:space="preserve"> (N=215)</w:t>
      </w:r>
      <w:r w:rsidRPr="00D52239">
        <w:t xml:space="preserve">. The clusters with a posterior inclusion probability (PIP) higher than 0.5 and the protein with the highest conditional PIP within those clusters are highlighted in yellow. The dots and segments indicate the point estimates and 95% confidence intervals from the linear regression model. </w:t>
      </w:r>
    </w:p>
    <w:p w14:paraId="2E50BF7A" w14:textId="0BF5FDB6" w:rsidR="009377C7" w:rsidRDefault="009377C7">
      <w:pPr>
        <w:widowControl w:val="0"/>
        <w:pBdr>
          <w:top w:val="nil"/>
          <w:left w:val="nil"/>
          <w:bottom w:val="nil"/>
          <w:right w:val="nil"/>
          <w:between w:val="nil"/>
        </w:pBdr>
      </w:pPr>
      <w:r>
        <w:br w:type="page"/>
      </w:r>
    </w:p>
    <w:p w14:paraId="2B5EDA3B" w14:textId="2550DD9A" w:rsidR="004E5A24" w:rsidRDefault="00FB0CC1" w:rsidP="004E5A24">
      <w:r>
        <w:rPr>
          <w:noProof/>
        </w:rPr>
        <w:drawing>
          <wp:inline distT="0" distB="0" distL="0" distR="0" wp14:anchorId="7F3764D5" wp14:editId="2A5224CE">
            <wp:extent cx="5724525" cy="3343275"/>
            <wp:effectExtent l="0" t="0" r="9525" b="9525"/>
            <wp:docPr id="77268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343275"/>
                    </a:xfrm>
                    <a:prstGeom prst="rect">
                      <a:avLst/>
                    </a:prstGeom>
                    <a:noFill/>
                    <a:ln>
                      <a:noFill/>
                    </a:ln>
                  </pic:spPr>
                </pic:pic>
              </a:graphicData>
            </a:graphic>
          </wp:inline>
        </w:drawing>
      </w:r>
    </w:p>
    <w:p w14:paraId="70E6DB07" w14:textId="485418B9" w:rsidR="004E5A24" w:rsidRDefault="004E5A24" w:rsidP="004E5A24">
      <w:r w:rsidRPr="00A708C2">
        <w:t xml:space="preserve">Figure </w:t>
      </w:r>
      <w:r w:rsidR="00272736">
        <w:t>5</w:t>
      </w:r>
      <w:r w:rsidRPr="00A708C2">
        <w:t xml:space="preserve">. </w:t>
      </w:r>
      <w:r w:rsidRPr="00D675C7">
        <w:t>Mediation analysis for child PRS for obesity</w:t>
      </w:r>
      <w:r>
        <w:t>,</w:t>
      </w:r>
      <w:r w:rsidRPr="00D675C7">
        <w:t xml:space="preserve"> </w:t>
      </w:r>
      <w:r>
        <w:t>n</w:t>
      </w:r>
      <w:r w:rsidRPr="00D675C7">
        <w:t>eurology-related protein (YR8)</w:t>
      </w:r>
      <w:r>
        <w:t xml:space="preserve">, and </w:t>
      </w:r>
      <w:r w:rsidRPr="00D675C7">
        <w:t>WIAT-III language score (YR9)</w:t>
      </w:r>
      <w:r w:rsidR="0004288B">
        <w:t>. Line segments indicate 95% confidence intervals.</w:t>
      </w:r>
      <w:r>
        <w:t xml:space="preserve"> (N</w:t>
      </w:r>
      <w:r w:rsidRPr="00FE698E">
        <w:rPr>
          <w:vertAlign w:val="subscript"/>
        </w:rPr>
        <w:t>Overall</w:t>
      </w:r>
      <w:r>
        <w:t>=</w:t>
      </w:r>
      <w:r w:rsidR="00A90690">
        <w:t>150</w:t>
      </w:r>
      <w:r>
        <w:t>, N</w:t>
      </w:r>
      <w:r>
        <w:rPr>
          <w:vertAlign w:val="subscript"/>
        </w:rPr>
        <w:t>Boys</w:t>
      </w:r>
      <w:r>
        <w:t>=</w:t>
      </w:r>
      <w:r w:rsidR="002011DF">
        <w:t>77</w:t>
      </w:r>
      <w:r>
        <w:t>, N</w:t>
      </w:r>
      <w:r>
        <w:rPr>
          <w:vertAlign w:val="subscript"/>
        </w:rPr>
        <w:t>Girls</w:t>
      </w:r>
      <w:r>
        <w:t>=</w:t>
      </w:r>
      <w:r w:rsidR="002011DF">
        <w:t>73</w:t>
      </w:r>
      <w:r>
        <w:t>)</w:t>
      </w:r>
    </w:p>
    <w:p w14:paraId="7712E92F" w14:textId="77777777" w:rsidR="00E719FC" w:rsidRPr="00D52239" w:rsidRDefault="00E719FC">
      <w:pPr>
        <w:widowControl w:val="0"/>
        <w:pBdr>
          <w:top w:val="nil"/>
          <w:left w:val="nil"/>
          <w:bottom w:val="nil"/>
          <w:right w:val="nil"/>
          <w:between w:val="nil"/>
        </w:pBdr>
      </w:pPr>
    </w:p>
    <w:sectPr w:rsidR="00E719FC" w:rsidRPr="00D52239">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F10A2" w14:textId="77777777" w:rsidR="002123D6" w:rsidRDefault="002123D6">
      <w:pPr>
        <w:spacing w:line="240" w:lineRule="auto"/>
      </w:pPr>
      <w:r>
        <w:separator/>
      </w:r>
    </w:p>
  </w:endnote>
  <w:endnote w:type="continuationSeparator" w:id="0">
    <w:p w14:paraId="7F28CD58" w14:textId="77777777" w:rsidR="002123D6" w:rsidRDefault="00212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Cardo">
    <w:altName w:val="Calibri"/>
    <w:charset w:val="00"/>
    <w:family w:val="auto"/>
    <w:pitch w:val="default"/>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BF85" w14:textId="14EE9F1F" w:rsidR="00E719FC" w:rsidRDefault="007C7450">
    <w:pPr>
      <w:jc w:val="center"/>
    </w:pPr>
    <w:r>
      <w:fldChar w:fldCharType="begin"/>
    </w:r>
    <w:r>
      <w:instrText>PAGE</w:instrText>
    </w:r>
    <w:r>
      <w:fldChar w:fldCharType="separate"/>
    </w:r>
    <w:r w:rsidR="003524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41142" w14:textId="77777777" w:rsidR="002123D6" w:rsidRDefault="002123D6">
      <w:pPr>
        <w:spacing w:line="240" w:lineRule="auto"/>
      </w:pPr>
      <w:r>
        <w:separator/>
      </w:r>
    </w:p>
  </w:footnote>
  <w:footnote w:type="continuationSeparator" w:id="0">
    <w:p w14:paraId="221712CF" w14:textId="77777777" w:rsidR="002123D6" w:rsidRDefault="002123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A0C0F"/>
    <w:multiLevelType w:val="multilevel"/>
    <w:tmpl w:val="7A0E0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S3NDG0sDQyNDI2MTZQ0lEKTi0uzszPAykwNqoFAEYvacYtAAAA"/>
  </w:docVars>
  <w:rsids>
    <w:rsidRoot w:val="00E719FC"/>
    <w:rsid w:val="000009EB"/>
    <w:rsid w:val="000029BD"/>
    <w:rsid w:val="0000386F"/>
    <w:rsid w:val="0000436C"/>
    <w:rsid w:val="0001236D"/>
    <w:rsid w:val="00013D1C"/>
    <w:rsid w:val="000166A4"/>
    <w:rsid w:val="00017F01"/>
    <w:rsid w:val="00020FFB"/>
    <w:rsid w:val="00024C77"/>
    <w:rsid w:val="000301D2"/>
    <w:rsid w:val="00034560"/>
    <w:rsid w:val="000373A1"/>
    <w:rsid w:val="00041E35"/>
    <w:rsid w:val="0004288B"/>
    <w:rsid w:val="000428F7"/>
    <w:rsid w:val="00043DC7"/>
    <w:rsid w:val="0004455B"/>
    <w:rsid w:val="000450C8"/>
    <w:rsid w:val="000455B2"/>
    <w:rsid w:val="00045E86"/>
    <w:rsid w:val="00046B14"/>
    <w:rsid w:val="00047B85"/>
    <w:rsid w:val="00055E87"/>
    <w:rsid w:val="0005625C"/>
    <w:rsid w:val="000576DD"/>
    <w:rsid w:val="00065B60"/>
    <w:rsid w:val="00074C8D"/>
    <w:rsid w:val="00080437"/>
    <w:rsid w:val="0008095E"/>
    <w:rsid w:val="00082E96"/>
    <w:rsid w:val="000868E1"/>
    <w:rsid w:val="000905F7"/>
    <w:rsid w:val="00094F93"/>
    <w:rsid w:val="000962F9"/>
    <w:rsid w:val="000A243A"/>
    <w:rsid w:val="000A24E2"/>
    <w:rsid w:val="000A2B5A"/>
    <w:rsid w:val="000A3B25"/>
    <w:rsid w:val="000A4E77"/>
    <w:rsid w:val="000A4FC0"/>
    <w:rsid w:val="000B527A"/>
    <w:rsid w:val="000B700F"/>
    <w:rsid w:val="000C73B4"/>
    <w:rsid w:val="000C7E10"/>
    <w:rsid w:val="000D014D"/>
    <w:rsid w:val="000D0D91"/>
    <w:rsid w:val="000D2A84"/>
    <w:rsid w:val="000D472A"/>
    <w:rsid w:val="000E05B0"/>
    <w:rsid w:val="000E0953"/>
    <w:rsid w:val="000E0C8C"/>
    <w:rsid w:val="000E11F4"/>
    <w:rsid w:val="000E12BB"/>
    <w:rsid w:val="000F003D"/>
    <w:rsid w:val="000F1D2F"/>
    <w:rsid w:val="000F1E69"/>
    <w:rsid w:val="000F280D"/>
    <w:rsid w:val="000F766F"/>
    <w:rsid w:val="001012FD"/>
    <w:rsid w:val="00101C52"/>
    <w:rsid w:val="001022F4"/>
    <w:rsid w:val="00103B63"/>
    <w:rsid w:val="00103C85"/>
    <w:rsid w:val="001111B5"/>
    <w:rsid w:val="00116334"/>
    <w:rsid w:val="0012397B"/>
    <w:rsid w:val="00123B3D"/>
    <w:rsid w:val="00124C49"/>
    <w:rsid w:val="00126BCA"/>
    <w:rsid w:val="00131EC0"/>
    <w:rsid w:val="00135796"/>
    <w:rsid w:val="00136B74"/>
    <w:rsid w:val="00140415"/>
    <w:rsid w:val="00141622"/>
    <w:rsid w:val="00141994"/>
    <w:rsid w:val="00142BF0"/>
    <w:rsid w:val="00150780"/>
    <w:rsid w:val="0015081B"/>
    <w:rsid w:val="00153B37"/>
    <w:rsid w:val="00154A3C"/>
    <w:rsid w:val="00157BE4"/>
    <w:rsid w:val="00160209"/>
    <w:rsid w:val="00162F6B"/>
    <w:rsid w:val="001660B9"/>
    <w:rsid w:val="00166369"/>
    <w:rsid w:val="0017050E"/>
    <w:rsid w:val="00170B6F"/>
    <w:rsid w:val="00171C8D"/>
    <w:rsid w:val="0018104D"/>
    <w:rsid w:val="0018356F"/>
    <w:rsid w:val="00190529"/>
    <w:rsid w:val="00191B97"/>
    <w:rsid w:val="00191DE4"/>
    <w:rsid w:val="00192453"/>
    <w:rsid w:val="001927B5"/>
    <w:rsid w:val="00197806"/>
    <w:rsid w:val="001A02B1"/>
    <w:rsid w:val="001A5603"/>
    <w:rsid w:val="001A570C"/>
    <w:rsid w:val="001B1F37"/>
    <w:rsid w:val="001C0749"/>
    <w:rsid w:val="001C1A5E"/>
    <w:rsid w:val="001C66AD"/>
    <w:rsid w:val="001D4740"/>
    <w:rsid w:val="001D53E6"/>
    <w:rsid w:val="001D6334"/>
    <w:rsid w:val="001D6406"/>
    <w:rsid w:val="001D75D4"/>
    <w:rsid w:val="001E1D1D"/>
    <w:rsid w:val="001E59A3"/>
    <w:rsid w:val="001F0AD2"/>
    <w:rsid w:val="001F0C7E"/>
    <w:rsid w:val="001F324F"/>
    <w:rsid w:val="001F511B"/>
    <w:rsid w:val="002011DF"/>
    <w:rsid w:val="00201C67"/>
    <w:rsid w:val="00207AA0"/>
    <w:rsid w:val="00207F9C"/>
    <w:rsid w:val="002114D7"/>
    <w:rsid w:val="002123D6"/>
    <w:rsid w:val="002130E0"/>
    <w:rsid w:val="00220AC9"/>
    <w:rsid w:val="002211AA"/>
    <w:rsid w:val="00223D3B"/>
    <w:rsid w:val="002316F8"/>
    <w:rsid w:val="00234502"/>
    <w:rsid w:val="00234A8B"/>
    <w:rsid w:val="00235899"/>
    <w:rsid w:val="002373E1"/>
    <w:rsid w:val="00241C2F"/>
    <w:rsid w:val="00241D79"/>
    <w:rsid w:val="00250D4F"/>
    <w:rsid w:val="00251402"/>
    <w:rsid w:val="00253A80"/>
    <w:rsid w:val="00256506"/>
    <w:rsid w:val="002566F2"/>
    <w:rsid w:val="002669AB"/>
    <w:rsid w:val="00270F69"/>
    <w:rsid w:val="00272736"/>
    <w:rsid w:val="00272CC2"/>
    <w:rsid w:val="0027427C"/>
    <w:rsid w:val="00275DC1"/>
    <w:rsid w:val="00277EF1"/>
    <w:rsid w:val="00280367"/>
    <w:rsid w:val="00282550"/>
    <w:rsid w:val="00285E23"/>
    <w:rsid w:val="00291DB8"/>
    <w:rsid w:val="00292272"/>
    <w:rsid w:val="002942D0"/>
    <w:rsid w:val="00294E27"/>
    <w:rsid w:val="00297243"/>
    <w:rsid w:val="002B1876"/>
    <w:rsid w:val="002B36FF"/>
    <w:rsid w:val="002C1651"/>
    <w:rsid w:val="002D2D13"/>
    <w:rsid w:val="002D55C3"/>
    <w:rsid w:val="002D71A8"/>
    <w:rsid w:val="002E057F"/>
    <w:rsid w:val="002E1433"/>
    <w:rsid w:val="002E1AD4"/>
    <w:rsid w:val="002E1E9F"/>
    <w:rsid w:val="002E2B44"/>
    <w:rsid w:val="002E2D93"/>
    <w:rsid w:val="002E45C8"/>
    <w:rsid w:val="002E5B8B"/>
    <w:rsid w:val="002E6C87"/>
    <w:rsid w:val="002E713D"/>
    <w:rsid w:val="002E74D0"/>
    <w:rsid w:val="002F2D6A"/>
    <w:rsid w:val="002F5936"/>
    <w:rsid w:val="002F73AF"/>
    <w:rsid w:val="00300297"/>
    <w:rsid w:val="0030087B"/>
    <w:rsid w:val="0030317C"/>
    <w:rsid w:val="0030494A"/>
    <w:rsid w:val="00306D56"/>
    <w:rsid w:val="003167A3"/>
    <w:rsid w:val="0031756C"/>
    <w:rsid w:val="00320A26"/>
    <w:rsid w:val="00321B45"/>
    <w:rsid w:val="003257B1"/>
    <w:rsid w:val="0032676C"/>
    <w:rsid w:val="00327949"/>
    <w:rsid w:val="00335929"/>
    <w:rsid w:val="003366ED"/>
    <w:rsid w:val="00343081"/>
    <w:rsid w:val="00350D20"/>
    <w:rsid w:val="00351DFA"/>
    <w:rsid w:val="00352423"/>
    <w:rsid w:val="00353B08"/>
    <w:rsid w:val="00355DAB"/>
    <w:rsid w:val="00356EE4"/>
    <w:rsid w:val="00356F15"/>
    <w:rsid w:val="00362178"/>
    <w:rsid w:val="003642FE"/>
    <w:rsid w:val="00365DEF"/>
    <w:rsid w:val="0036648E"/>
    <w:rsid w:val="003703C4"/>
    <w:rsid w:val="00370D31"/>
    <w:rsid w:val="00372559"/>
    <w:rsid w:val="0037546C"/>
    <w:rsid w:val="00386489"/>
    <w:rsid w:val="00391577"/>
    <w:rsid w:val="00391F59"/>
    <w:rsid w:val="003927B7"/>
    <w:rsid w:val="00395C17"/>
    <w:rsid w:val="0039649F"/>
    <w:rsid w:val="003A04E1"/>
    <w:rsid w:val="003A0D4D"/>
    <w:rsid w:val="003A160E"/>
    <w:rsid w:val="003A49E8"/>
    <w:rsid w:val="003A541F"/>
    <w:rsid w:val="003A585C"/>
    <w:rsid w:val="003A63D3"/>
    <w:rsid w:val="003A6861"/>
    <w:rsid w:val="003A7445"/>
    <w:rsid w:val="003B0E8E"/>
    <w:rsid w:val="003B3776"/>
    <w:rsid w:val="003B37A7"/>
    <w:rsid w:val="003B71DF"/>
    <w:rsid w:val="003C1FCD"/>
    <w:rsid w:val="003C258F"/>
    <w:rsid w:val="003C3B44"/>
    <w:rsid w:val="003C553A"/>
    <w:rsid w:val="003C574E"/>
    <w:rsid w:val="003C65BF"/>
    <w:rsid w:val="003C707F"/>
    <w:rsid w:val="003D3A79"/>
    <w:rsid w:val="003D79D8"/>
    <w:rsid w:val="003D7C50"/>
    <w:rsid w:val="003E107B"/>
    <w:rsid w:val="003E32CC"/>
    <w:rsid w:val="003E38C2"/>
    <w:rsid w:val="003E6B22"/>
    <w:rsid w:val="003E7AA7"/>
    <w:rsid w:val="003F0BFD"/>
    <w:rsid w:val="003F150C"/>
    <w:rsid w:val="003F3998"/>
    <w:rsid w:val="003F408D"/>
    <w:rsid w:val="003F460D"/>
    <w:rsid w:val="003F4C9C"/>
    <w:rsid w:val="003F6EAD"/>
    <w:rsid w:val="00400167"/>
    <w:rsid w:val="0040052F"/>
    <w:rsid w:val="00400597"/>
    <w:rsid w:val="00407CBF"/>
    <w:rsid w:val="0041543D"/>
    <w:rsid w:val="00416591"/>
    <w:rsid w:val="00421A37"/>
    <w:rsid w:val="00422E4B"/>
    <w:rsid w:val="00423A35"/>
    <w:rsid w:val="00425E23"/>
    <w:rsid w:val="004270D6"/>
    <w:rsid w:val="00430B2A"/>
    <w:rsid w:val="004339BC"/>
    <w:rsid w:val="0043462F"/>
    <w:rsid w:val="00435E9D"/>
    <w:rsid w:val="004401ED"/>
    <w:rsid w:val="00440E75"/>
    <w:rsid w:val="00441EF6"/>
    <w:rsid w:val="00442FA5"/>
    <w:rsid w:val="00443E2F"/>
    <w:rsid w:val="00446851"/>
    <w:rsid w:val="00450FD2"/>
    <w:rsid w:val="00451FB1"/>
    <w:rsid w:val="00455E30"/>
    <w:rsid w:val="00456817"/>
    <w:rsid w:val="00457DD1"/>
    <w:rsid w:val="00461CBD"/>
    <w:rsid w:val="0046272C"/>
    <w:rsid w:val="00467CBC"/>
    <w:rsid w:val="00470DD3"/>
    <w:rsid w:val="00473C21"/>
    <w:rsid w:val="00473D68"/>
    <w:rsid w:val="004748CF"/>
    <w:rsid w:val="004767D4"/>
    <w:rsid w:val="00480F08"/>
    <w:rsid w:val="0048759B"/>
    <w:rsid w:val="004911C8"/>
    <w:rsid w:val="004923ED"/>
    <w:rsid w:val="0049494C"/>
    <w:rsid w:val="004A02BB"/>
    <w:rsid w:val="004A2B19"/>
    <w:rsid w:val="004B118C"/>
    <w:rsid w:val="004B1633"/>
    <w:rsid w:val="004B740E"/>
    <w:rsid w:val="004C07A7"/>
    <w:rsid w:val="004C513C"/>
    <w:rsid w:val="004C6D32"/>
    <w:rsid w:val="004C70B1"/>
    <w:rsid w:val="004C7EA2"/>
    <w:rsid w:val="004D04A2"/>
    <w:rsid w:val="004D0C96"/>
    <w:rsid w:val="004D133F"/>
    <w:rsid w:val="004D2E33"/>
    <w:rsid w:val="004D49AD"/>
    <w:rsid w:val="004D5D9D"/>
    <w:rsid w:val="004D7663"/>
    <w:rsid w:val="004E3FB0"/>
    <w:rsid w:val="004E5A24"/>
    <w:rsid w:val="004E69E1"/>
    <w:rsid w:val="004F0570"/>
    <w:rsid w:val="004F340E"/>
    <w:rsid w:val="004F400B"/>
    <w:rsid w:val="00501548"/>
    <w:rsid w:val="00501AC0"/>
    <w:rsid w:val="00502139"/>
    <w:rsid w:val="0050227A"/>
    <w:rsid w:val="0050535A"/>
    <w:rsid w:val="005058B2"/>
    <w:rsid w:val="00511F6E"/>
    <w:rsid w:val="00514A85"/>
    <w:rsid w:val="0051571D"/>
    <w:rsid w:val="0051606E"/>
    <w:rsid w:val="005200B1"/>
    <w:rsid w:val="00520B1B"/>
    <w:rsid w:val="00521C04"/>
    <w:rsid w:val="0052204D"/>
    <w:rsid w:val="00526053"/>
    <w:rsid w:val="00530005"/>
    <w:rsid w:val="00530A91"/>
    <w:rsid w:val="00531DD2"/>
    <w:rsid w:val="00535BFB"/>
    <w:rsid w:val="00535D24"/>
    <w:rsid w:val="00540CF2"/>
    <w:rsid w:val="0054252B"/>
    <w:rsid w:val="005431F5"/>
    <w:rsid w:val="00544CDF"/>
    <w:rsid w:val="00545B12"/>
    <w:rsid w:val="00546CCF"/>
    <w:rsid w:val="005505E2"/>
    <w:rsid w:val="00552EC8"/>
    <w:rsid w:val="00553B57"/>
    <w:rsid w:val="005634AE"/>
    <w:rsid w:val="00567512"/>
    <w:rsid w:val="0056773E"/>
    <w:rsid w:val="0057341C"/>
    <w:rsid w:val="00577EFA"/>
    <w:rsid w:val="00580714"/>
    <w:rsid w:val="00583AC9"/>
    <w:rsid w:val="005843BC"/>
    <w:rsid w:val="005862AC"/>
    <w:rsid w:val="005870E1"/>
    <w:rsid w:val="005901C5"/>
    <w:rsid w:val="00594264"/>
    <w:rsid w:val="0059575E"/>
    <w:rsid w:val="005A1927"/>
    <w:rsid w:val="005A3FFD"/>
    <w:rsid w:val="005A5839"/>
    <w:rsid w:val="005A7393"/>
    <w:rsid w:val="005A753D"/>
    <w:rsid w:val="005A78AE"/>
    <w:rsid w:val="005B55A9"/>
    <w:rsid w:val="005B62A7"/>
    <w:rsid w:val="005B7275"/>
    <w:rsid w:val="005C038C"/>
    <w:rsid w:val="005C1D6C"/>
    <w:rsid w:val="005C37B7"/>
    <w:rsid w:val="005C3AFD"/>
    <w:rsid w:val="005C5066"/>
    <w:rsid w:val="005C65A0"/>
    <w:rsid w:val="005C6CB8"/>
    <w:rsid w:val="005D1876"/>
    <w:rsid w:val="005D2DFA"/>
    <w:rsid w:val="005D636E"/>
    <w:rsid w:val="005D7DB8"/>
    <w:rsid w:val="005E195F"/>
    <w:rsid w:val="005E24F0"/>
    <w:rsid w:val="005E6562"/>
    <w:rsid w:val="005E7B5F"/>
    <w:rsid w:val="005F2335"/>
    <w:rsid w:val="005F287C"/>
    <w:rsid w:val="005F4AD1"/>
    <w:rsid w:val="005F612A"/>
    <w:rsid w:val="005F7C4C"/>
    <w:rsid w:val="005F7DF4"/>
    <w:rsid w:val="00602C1D"/>
    <w:rsid w:val="006035D0"/>
    <w:rsid w:val="006047AA"/>
    <w:rsid w:val="00606D89"/>
    <w:rsid w:val="00607053"/>
    <w:rsid w:val="006118AB"/>
    <w:rsid w:val="00616656"/>
    <w:rsid w:val="00616957"/>
    <w:rsid w:val="00617D10"/>
    <w:rsid w:val="00620ABF"/>
    <w:rsid w:val="00622D5B"/>
    <w:rsid w:val="0062407A"/>
    <w:rsid w:val="006323F1"/>
    <w:rsid w:val="00645E6D"/>
    <w:rsid w:val="006465F3"/>
    <w:rsid w:val="006515DB"/>
    <w:rsid w:val="00652B8A"/>
    <w:rsid w:val="00653290"/>
    <w:rsid w:val="00657E5F"/>
    <w:rsid w:val="006608FD"/>
    <w:rsid w:val="00662294"/>
    <w:rsid w:val="0066308F"/>
    <w:rsid w:val="00667697"/>
    <w:rsid w:val="00671E04"/>
    <w:rsid w:val="00674A2D"/>
    <w:rsid w:val="006755BF"/>
    <w:rsid w:val="00685EE3"/>
    <w:rsid w:val="00686667"/>
    <w:rsid w:val="0068762C"/>
    <w:rsid w:val="00691E9D"/>
    <w:rsid w:val="00695280"/>
    <w:rsid w:val="00696592"/>
    <w:rsid w:val="00697E84"/>
    <w:rsid w:val="006A1A37"/>
    <w:rsid w:val="006A28DE"/>
    <w:rsid w:val="006A4433"/>
    <w:rsid w:val="006A646F"/>
    <w:rsid w:val="006A7E4A"/>
    <w:rsid w:val="006B2EB7"/>
    <w:rsid w:val="006B32B5"/>
    <w:rsid w:val="006B3459"/>
    <w:rsid w:val="006B45AA"/>
    <w:rsid w:val="006C0D68"/>
    <w:rsid w:val="006C3770"/>
    <w:rsid w:val="006C4798"/>
    <w:rsid w:val="006D4C97"/>
    <w:rsid w:val="006E03B7"/>
    <w:rsid w:val="006E1B67"/>
    <w:rsid w:val="006F09BC"/>
    <w:rsid w:val="006F19B0"/>
    <w:rsid w:val="006F1CC1"/>
    <w:rsid w:val="006F3442"/>
    <w:rsid w:val="006F3676"/>
    <w:rsid w:val="006F3A28"/>
    <w:rsid w:val="006F5665"/>
    <w:rsid w:val="006F6465"/>
    <w:rsid w:val="006F6B8C"/>
    <w:rsid w:val="00700535"/>
    <w:rsid w:val="0070119A"/>
    <w:rsid w:val="0070174B"/>
    <w:rsid w:val="00711A2B"/>
    <w:rsid w:val="00711B3A"/>
    <w:rsid w:val="00715444"/>
    <w:rsid w:val="00717CDA"/>
    <w:rsid w:val="007220CE"/>
    <w:rsid w:val="007344D7"/>
    <w:rsid w:val="00735CA9"/>
    <w:rsid w:val="00735FCE"/>
    <w:rsid w:val="007441AB"/>
    <w:rsid w:val="007445BF"/>
    <w:rsid w:val="00745572"/>
    <w:rsid w:val="007505BA"/>
    <w:rsid w:val="00751EF6"/>
    <w:rsid w:val="00752C61"/>
    <w:rsid w:val="00762BC9"/>
    <w:rsid w:val="007637FE"/>
    <w:rsid w:val="00765E6A"/>
    <w:rsid w:val="00766D2E"/>
    <w:rsid w:val="00771451"/>
    <w:rsid w:val="007730AE"/>
    <w:rsid w:val="00775A6C"/>
    <w:rsid w:val="0078053F"/>
    <w:rsid w:val="00782C70"/>
    <w:rsid w:val="00782CE9"/>
    <w:rsid w:val="0078560E"/>
    <w:rsid w:val="0078561C"/>
    <w:rsid w:val="00786178"/>
    <w:rsid w:val="007877AF"/>
    <w:rsid w:val="00790121"/>
    <w:rsid w:val="00790878"/>
    <w:rsid w:val="007949D8"/>
    <w:rsid w:val="007A0EB0"/>
    <w:rsid w:val="007A1D37"/>
    <w:rsid w:val="007A37D7"/>
    <w:rsid w:val="007A6193"/>
    <w:rsid w:val="007A6B6B"/>
    <w:rsid w:val="007A6E93"/>
    <w:rsid w:val="007B012D"/>
    <w:rsid w:val="007B44B9"/>
    <w:rsid w:val="007C1477"/>
    <w:rsid w:val="007C3C5A"/>
    <w:rsid w:val="007C3D48"/>
    <w:rsid w:val="007C7450"/>
    <w:rsid w:val="007D0322"/>
    <w:rsid w:val="007D2093"/>
    <w:rsid w:val="007D5837"/>
    <w:rsid w:val="007D6103"/>
    <w:rsid w:val="007E0E2A"/>
    <w:rsid w:val="007E4B1D"/>
    <w:rsid w:val="007F1868"/>
    <w:rsid w:val="007F27EA"/>
    <w:rsid w:val="007F2C59"/>
    <w:rsid w:val="007F3272"/>
    <w:rsid w:val="007F3A79"/>
    <w:rsid w:val="007F715D"/>
    <w:rsid w:val="00801832"/>
    <w:rsid w:val="00802328"/>
    <w:rsid w:val="0080439A"/>
    <w:rsid w:val="008101B8"/>
    <w:rsid w:val="00812AC9"/>
    <w:rsid w:val="008152E6"/>
    <w:rsid w:val="008155C8"/>
    <w:rsid w:val="00823680"/>
    <w:rsid w:val="008349E1"/>
    <w:rsid w:val="00840031"/>
    <w:rsid w:val="008413DB"/>
    <w:rsid w:val="00844F53"/>
    <w:rsid w:val="008460E5"/>
    <w:rsid w:val="008463EB"/>
    <w:rsid w:val="00847309"/>
    <w:rsid w:val="008477DF"/>
    <w:rsid w:val="008513FB"/>
    <w:rsid w:val="008549E2"/>
    <w:rsid w:val="00855BA9"/>
    <w:rsid w:val="00857CE5"/>
    <w:rsid w:val="00863BBB"/>
    <w:rsid w:val="0088133C"/>
    <w:rsid w:val="00881609"/>
    <w:rsid w:val="00882F2A"/>
    <w:rsid w:val="00884E71"/>
    <w:rsid w:val="008853C7"/>
    <w:rsid w:val="008856E5"/>
    <w:rsid w:val="00887573"/>
    <w:rsid w:val="00890C99"/>
    <w:rsid w:val="00895A08"/>
    <w:rsid w:val="008A120B"/>
    <w:rsid w:val="008A2E4F"/>
    <w:rsid w:val="008A41DF"/>
    <w:rsid w:val="008A7EBA"/>
    <w:rsid w:val="008B15BD"/>
    <w:rsid w:val="008B531A"/>
    <w:rsid w:val="008B7629"/>
    <w:rsid w:val="008C405A"/>
    <w:rsid w:val="008C47EE"/>
    <w:rsid w:val="008C62C8"/>
    <w:rsid w:val="008D348F"/>
    <w:rsid w:val="008D3A0A"/>
    <w:rsid w:val="008D5181"/>
    <w:rsid w:val="008D54D9"/>
    <w:rsid w:val="008D5BB4"/>
    <w:rsid w:val="008D64B6"/>
    <w:rsid w:val="008D756A"/>
    <w:rsid w:val="008E2DCB"/>
    <w:rsid w:val="008E7F5C"/>
    <w:rsid w:val="008F0DDF"/>
    <w:rsid w:val="008F11B9"/>
    <w:rsid w:val="008F2C84"/>
    <w:rsid w:val="00902A78"/>
    <w:rsid w:val="00903A7D"/>
    <w:rsid w:val="0090462A"/>
    <w:rsid w:val="00904DDE"/>
    <w:rsid w:val="00905A77"/>
    <w:rsid w:val="00907691"/>
    <w:rsid w:val="00907ACA"/>
    <w:rsid w:val="00910C50"/>
    <w:rsid w:val="009154C7"/>
    <w:rsid w:val="00917893"/>
    <w:rsid w:val="00922754"/>
    <w:rsid w:val="0092774B"/>
    <w:rsid w:val="00927E6D"/>
    <w:rsid w:val="00927EFB"/>
    <w:rsid w:val="009303E8"/>
    <w:rsid w:val="00930CAC"/>
    <w:rsid w:val="00930E83"/>
    <w:rsid w:val="00935B95"/>
    <w:rsid w:val="0093606E"/>
    <w:rsid w:val="00937663"/>
    <w:rsid w:val="009377C7"/>
    <w:rsid w:val="009405FB"/>
    <w:rsid w:val="00942793"/>
    <w:rsid w:val="009439CE"/>
    <w:rsid w:val="00944282"/>
    <w:rsid w:val="00947F77"/>
    <w:rsid w:val="009507E4"/>
    <w:rsid w:val="00952D36"/>
    <w:rsid w:val="00953740"/>
    <w:rsid w:val="00954685"/>
    <w:rsid w:val="009562EB"/>
    <w:rsid w:val="0095631B"/>
    <w:rsid w:val="00964C9E"/>
    <w:rsid w:val="009664DD"/>
    <w:rsid w:val="00971154"/>
    <w:rsid w:val="009711E6"/>
    <w:rsid w:val="00972196"/>
    <w:rsid w:val="00973264"/>
    <w:rsid w:val="00976F98"/>
    <w:rsid w:val="00980A7E"/>
    <w:rsid w:val="00981275"/>
    <w:rsid w:val="009847C2"/>
    <w:rsid w:val="0098535B"/>
    <w:rsid w:val="00985C04"/>
    <w:rsid w:val="00991BD3"/>
    <w:rsid w:val="00994686"/>
    <w:rsid w:val="00995465"/>
    <w:rsid w:val="009965B6"/>
    <w:rsid w:val="009A237A"/>
    <w:rsid w:val="009A2FFC"/>
    <w:rsid w:val="009A3454"/>
    <w:rsid w:val="009A3531"/>
    <w:rsid w:val="009A392B"/>
    <w:rsid w:val="009A3F18"/>
    <w:rsid w:val="009A580A"/>
    <w:rsid w:val="009B10E8"/>
    <w:rsid w:val="009B5739"/>
    <w:rsid w:val="009B68B7"/>
    <w:rsid w:val="009B6C57"/>
    <w:rsid w:val="009B7B46"/>
    <w:rsid w:val="009B7C2D"/>
    <w:rsid w:val="009C032C"/>
    <w:rsid w:val="009C1A36"/>
    <w:rsid w:val="009C44BD"/>
    <w:rsid w:val="009C45AE"/>
    <w:rsid w:val="009C5684"/>
    <w:rsid w:val="009C5EA4"/>
    <w:rsid w:val="009C72D3"/>
    <w:rsid w:val="009D151A"/>
    <w:rsid w:val="009D30BF"/>
    <w:rsid w:val="009D5A15"/>
    <w:rsid w:val="009E0014"/>
    <w:rsid w:val="009E1BB7"/>
    <w:rsid w:val="009E4788"/>
    <w:rsid w:val="009E70CB"/>
    <w:rsid w:val="009F3610"/>
    <w:rsid w:val="009F4AEA"/>
    <w:rsid w:val="009F5ADF"/>
    <w:rsid w:val="009F728D"/>
    <w:rsid w:val="00A0029D"/>
    <w:rsid w:val="00A024F7"/>
    <w:rsid w:val="00A033B6"/>
    <w:rsid w:val="00A05E6E"/>
    <w:rsid w:val="00A061D9"/>
    <w:rsid w:val="00A10E77"/>
    <w:rsid w:val="00A11BC3"/>
    <w:rsid w:val="00A1449E"/>
    <w:rsid w:val="00A14B66"/>
    <w:rsid w:val="00A16172"/>
    <w:rsid w:val="00A17301"/>
    <w:rsid w:val="00A17497"/>
    <w:rsid w:val="00A21142"/>
    <w:rsid w:val="00A21E05"/>
    <w:rsid w:val="00A23DF2"/>
    <w:rsid w:val="00A26F63"/>
    <w:rsid w:val="00A323E5"/>
    <w:rsid w:val="00A3266E"/>
    <w:rsid w:val="00A3578D"/>
    <w:rsid w:val="00A37546"/>
    <w:rsid w:val="00A45389"/>
    <w:rsid w:val="00A45B64"/>
    <w:rsid w:val="00A50170"/>
    <w:rsid w:val="00A50C93"/>
    <w:rsid w:val="00A50E36"/>
    <w:rsid w:val="00A511C4"/>
    <w:rsid w:val="00A57E7D"/>
    <w:rsid w:val="00A64875"/>
    <w:rsid w:val="00A67D6A"/>
    <w:rsid w:val="00A67EFF"/>
    <w:rsid w:val="00A76E5D"/>
    <w:rsid w:val="00A81493"/>
    <w:rsid w:val="00A81614"/>
    <w:rsid w:val="00A81C47"/>
    <w:rsid w:val="00A87B31"/>
    <w:rsid w:val="00A90690"/>
    <w:rsid w:val="00A9104F"/>
    <w:rsid w:val="00A931F5"/>
    <w:rsid w:val="00A93B3C"/>
    <w:rsid w:val="00A94510"/>
    <w:rsid w:val="00A94678"/>
    <w:rsid w:val="00A9517D"/>
    <w:rsid w:val="00AA5670"/>
    <w:rsid w:val="00AA7387"/>
    <w:rsid w:val="00AB67FA"/>
    <w:rsid w:val="00AB74DF"/>
    <w:rsid w:val="00AC1ADB"/>
    <w:rsid w:val="00AC2337"/>
    <w:rsid w:val="00AC29C0"/>
    <w:rsid w:val="00AC608D"/>
    <w:rsid w:val="00AC7C6B"/>
    <w:rsid w:val="00AD3F2B"/>
    <w:rsid w:val="00AE27A6"/>
    <w:rsid w:val="00AE2AEB"/>
    <w:rsid w:val="00AE739C"/>
    <w:rsid w:val="00AF06BB"/>
    <w:rsid w:val="00AF2121"/>
    <w:rsid w:val="00AF2918"/>
    <w:rsid w:val="00AF4BC2"/>
    <w:rsid w:val="00AF4F29"/>
    <w:rsid w:val="00AF54FB"/>
    <w:rsid w:val="00AF7DE9"/>
    <w:rsid w:val="00B01C63"/>
    <w:rsid w:val="00B023E9"/>
    <w:rsid w:val="00B06F3A"/>
    <w:rsid w:val="00B114C8"/>
    <w:rsid w:val="00B15F3E"/>
    <w:rsid w:val="00B16096"/>
    <w:rsid w:val="00B21C3C"/>
    <w:rsid w:val="00B23784"/>
    <w:rsid w:val="00B24721"/>
    <w:rsid w:val="00B25D42"/>
    <w:rsid w:val="00B26069"/>
    <w:rsid w:val="00B27982"/>
    <w:rsid w:val="00B35462"/>
    <w:rsid w:val="00B40EE1"/>
    <w:rsid w:val="00B43AB8"/>
    <w:rsid w:val="00B44D53"/>
    <w:rsid w:val="00B53B24"/>
    <w:rsid w:val="00B5597F"/>
    <w:rsid w:val="00B60251"/>
    <w:rsid w:val="00B64763"/>
    <w:rsid w:val="00B673EE"/>
    <w:rsid w:val="00B6778D"/>
    <w:rsid w:val="00B70187"/>
    <w:rsid w:val="00B717D7"/>
    <w:rsid w:val="00B74DF9"/>
    <w:rsid w:val="00B77D15"/>
    <w:rsid w:val="00B8167A"/>
    <w:rsid w:val="00B81BE4"/>
    <w:rsid w:val="00B8510A"/>
    <w:rsid w:val="00B86F1A"/>
    <w:rsid w:val="00B9371F"/>
    <w:rsid w:val="00B96AE4"/>
    <w:rsid w:val="00BA0404"/>
    <w:rsid w:val="00BA370B"/>
    <w:rsid w:val="00BA49FB"/>
    <w:rsid w:val="00BB766A"/>
    <w:rsid w:val="00BC5CCD"/>
    <w:rsid w:val="00BC7CD6"/>
    <w:rsid w:val="00BD32EB"/>
    <w:rsid w:val="00BD4B70"/>
    <w:rsid w:val="00BD6C89"/>
    <w:rsid w:val="00BE08E1"/>
    <w:rsid w:val="00BE4E51"/>
    <w:rsid w:val="00BF0AF4"/>
    <w:rsid w:val="00BF1EFD"/>
    <w:rsid w:val="00BF4CB6"/>
    <w:rsid w:val="00BF5CDD"/>
    <w:rsid w:val="00BF657A"/>
    <w:rsid w:val="00BF6E95"/>
    <w:rsid w:val="00BF70A7"/>
    <w:rsid w:val="00C0168D"/>
    <w:rsid w:val="00C05204"/>
    <w:rsid w:val="00C053E7"/>
    <w:rsid w:val="00C060CA"/>
    <w:rsid w:val="00C06807"/>
    <w:rsid w:val="00C131E6"/>
    <w:rsid w:val="00C14F05"/>
    <w:rsid w:val="00C169FB"/>
    <w:rsid w:val="00C202BF"/>
    <w:rsid w:val="00C20942"/>
    <w:rsid w:val="00C21EAB"/>
    <w:rsid w:val="00C23C33"/>
    <w:rsid w:val="00C303B2"/>
    <w:rsid w:val="00C31AC0"/>
    <w:rsid w:val="00C31D9E"/>
    <w:rsid w:val="00C32481"/>
    <w:rsid w:val="00C32D79"/>
    <w:rsid w:val="00C349DF"/>
    <w:rsid w:val="00C37BBC"/>
    <w:rsid w:val="00C430C1"/>
    <w:rsid w:val="00C43B1D"/>
    <w:rsid w:val="00C4560F"/>
    <w:rsid w:val="00C46CB1"/>
    <w:rsid w:val="00C511C3"/>
    <w:rsid w:val="00C5252C"/>
    <w:rsid w:val="00C54D5D"/>
    <w:rsid w:val="00C60075"/>
    <w:rsid w:val="00C61945"/>
    <w:rsid w:val="00C61956"/>
    <w:rsid w:val="00C62391"/>
    <w:rsid w:val="00C649F5"/>
    <w:rsid w:val="00C65D17"/>
    <w:rsid w:val="00C66579"/>
    <w:rsid w:val="00C674F8"/>
    <w:rsid w:val="00C75A57"/>
    <w:rsid w:val="00C7639E"/>
    <w:rsid w:val="00C80F6C"/>
    <w:rsid w:val="00C85DC2"/>
    <w:rsid w:val="00C91E09"/>
    <w:rsid w:val="00C92E22"/>
    <w:rsid w:val="00C93103"/>
    <w:rsid w:val="00C93AFE"/>
    <w:rsid w:val="00C94937"/>
    <w:rsid w:val="00C94D7C"/>
    <w:rsid w:val="00C9534B"/>
    <w:rsid w:val="00C95AAF"/>
    <w:rsid w:val="00CA3E2E"/>
    <w:rsid w:val="00CA4305"/>
    <w:rsid w:val="00CA46F9"/>
    <w:rsid w:val="00CA59F0"/>
    <w:rsid w:val="00CA6371"/>
    <w:rsid w:val="00CA729A"/>
    <w:rsid w:val="00CA76BB"/>
    <w:rsid w:val="00CB06E0"/>
    <w:rsid w:val="00CB5C18"/>
    <w:rsid w:val="00CB79F8"/>
    <w:rsid w:val="00CC32BD"/>
    <w:rsid w:val="00CC3685"/>
    <w:rsid w:val="00CC4B80"/>
    <w:rsid w:val="00CC7E46"/>
    <w:rsid w:val="00CD396D"/>
    <w:rsid w:val="00CD53CA"/>
    <w:rsid w:val="00CD5A8C"/>
    <w:rsid w:val="00CE16C4"/>
    <w:rsid w:val="00CE253C"/>
    <w:rsid w:val="00CE339B"/>
    <w:rsid w:val="00CE6421"/>
    <w:rsid w:val="00CE7E69"/>
    <w:rsid w:val="00CF16B7"/>
    <w:rsid w:val="00CF45E3"/>
    <w:rsid w:val="00CF7759"/>
    <w:rsid w:val="00D04A8E"/>
    <w:rsid w:val="00D070C3"/>
    <w:rsid w:val="00D110DE"/>
    <w:rsid w:val="00D11E94"/>
    <w:rsid w:val="00D15268"/>
    <w:rsid w:val="00D152F3"/>
    <w:rsid w:val="00D15ACA"/>
    <w:rsid w:val="00D21A66"/>
    <w:rsid w:val="00D25CBA"/>
    <w:rsid w:val="00D31C05"/>
    <w:rsid w:val="00D33A06"/>
    <w:rsid w:val="00D3638E"/>
    <w:rsid w:val="00D36F8D"/>
    <w:rsid w:val="00D3770F"/>
    <w:rsid w:val="00D4200B"/>
    <w:rsid w:val="00D42C7B"/>
    <w:rsid w:val="00D4641A"/>
    <w:rsid w:val="00D47287"/>
    <w:rsid w:val="00D4793F"/>
    <w:rsid w:val="00D47AF9"/>
    <w:rsid w:val="00D47CF5"/>
    <w:rsid w:val="00D47EDC"/>
    <w:rsid w:val="00D47EEB"/>
    <w:rsid w:val="00D512E2"/>
    <w:rsid w:val="00D51FBD"/>
    <w:rsid w:val="00D52239"/>
    <w:rsid w:val="00D54634"/>
    <w:rsid w:val="00D57902"/>
    <w:rsid w:val="00D57C72"/>
    <w:rsid w:val="00D60B11"/>
    <w:rsid w:val="00D81A6D"/>
    <w:rsid w:val="00D846D5"/>
    <w:rsid w:val="00D91A5C"/>
    <w:rsid w:val="00D93D3A"/>
    <w:rsid w:val="00D93EBD"/>
    <w:rsid w:val="00D9502C"/>
    <w:rsid w:val="00D9667A"/>
    <w:rsid w:val="00D97467"/>
    <w:rsid w:val="00DA059B"/>
    <w:rsid w:val="00DA0A20"/>
    <w:rsid w:val="00DA1CDA"/>
    <w:rsid w:val="00DA7AC5"/>
    <w:rsid w:val="00DA7DDA"/>
    <w:rsid w:val="00DB24EB"/>
    <w:rsid w:val="00DB71AA"/>
    <w:rsid w:val="00DB7F0A"/>
    <w:rsid w:val="00DC2F32"/>
    <w:rsid w:val="00DC6415"/>
    <w:rsid w:val="00DC7C96"/>
    <w:rsid w:val="00DC7DEF"/>
    <w:rsid w:val="00DD0C20"/>
    <w:rsid w:val="00DD103F"/>
    <w:rsid w:val="00DD1E7F"/>
    <w:rsid w:val="00DD3934"/>
    <w:rsid w:val="00DD3CE4"/>
    <w:rsid w:val="00DE16A2"/>
    <w:rsid w:val="00DE2936"/>
    <w:rsid w:val="00DF05CA"/>
    <w:rsid w:val="00DF11FB"/>
    <w:rsid w:val="00DF2074"/>
    <w:rsid w:val="00DF3795"/>
    <w:rsid w:val="00DF67AA"/>
    <w:rsid w:val="00E0026A"/>
    <w:rsid w:val="00E005A4"/>
    <w:rsid w:val="00E006C4"/>
    <w:rsid w:val="00E015F7"/>
    <w:rsid w:val="00E03308"/>
    <w:rsid w:val="00E04AF2"/>
    <w:rsid w:val="00E0717A"/>
    <w:rsid w:val="00E07C51"/>
    <w:rsid w:val="00E11DE1"/>
    <w:rsid w:val="00E15D27"/>
    <w:rsid w:val="00E1702C"/>
    <w:rsid w:val="00E20042"/>
    <w:rsid w:val="00E215B0"/>
    <w:rsid w:val="00E22D60"/>
    <w:rsid w:val="00E24BA8"/>
    <w:rsid w:val="00E25EC1"/>
    <w:rsid w:val="00E31279"/>
    <w:rsid w:val="00E345C9"/>
    <w:rsid w:val="00E35BFC"/>
    <w:rsid w:val="00E40854"/>
    <w:rsid w:val="00E44275"/>
    <w:rsid w:val="00E470E9"/>
    <w:rsid w:val="00E51C20"/>
    <w:rsid w:val="00E53E7F"/>
    <w:rsid w:val="00E5482C"/>
    <w:rsid w:val="00E554BA"/>
    <w:rsid w:val="00E56A03"/>
    <w:rsid w:val="00E577D5"/>
    <w:rsid w:val="00E5790A"/>
    <w:rsid w:val="00E61951"/>
    <w:rsid w:val="00E63D82"/>
    <w:rsid w:val="00E645CA"/>
    <w:rsid w:val="00E719FC"/>
    <w:rsid w:val="00E72465"/>
    <w:rsid w:val="00E72903"/>
    <w:rsid w:val="00E73602"/>
    <w:rsid w:val="00E7492B"/>
    <w:rsid w:val="00E74D33"/>
    <w:rsid w:val="00E75037"/>
    <w:rsid w:val="00E75305"/>
    <w:rsid w:val="00E754AB"/>
    <w:rsid w:val="00E821E8"/>
    <w:rsid w:val="00E823CA"/>
    <w:rsid w:val="00E84207"/>
    <w:rsid w:val="00E85558"/>
    <w:rsid w:val="00E86F06"/>
    <w:rsid w:val="00E952D1"/>
    <w:rsid w:val="00E976C4"/>
    <w:rsid w:val="00EA1AC1"/>
    <w:rsid w:val="00EA6153"/>
    <w:rsid w:val="00EA7494"/>
    <w:rsid w:val="00EB1FD6"/>
    <w:rsid w:val="00EB60A0"/>
    <w:rsid w:val="00EB6CA9"/>
    <w:rsid w:val="00EC05D0"/>
    <w:rsid w:val="00EC1A53"/>
    <w:rsid w:val="00EC36BF"/>
    <w:rsid w:val="00EC3C0E"/>
    <w:rsid w:val="00EC6018"/>
    <w:rsid w:val="00EC604C"/>
    <w:rsid w:val="00ED1A6A"/>
    <w:rsid w:val="00ED36B2"/>
    <w:rsid w:val="00ED676D"/>
    <w:rsid w:val="00EE05D6"/>
    <w:rsid w:val="00EE3B44"/>
    <w:rsid w:val="00EE4229"/>
    <w:rsid w:val="00EF524F"/>
    <w:rsid w:val="00F06266"/>
    <w:rsid w:val="00F064EC"/>
    <w:rsid w:val="00F06785"/>
    <w:rsid w:val="00F06B7B"/>
    <w:rsid w:val="00F070B2"/>
    <w:rsid w:val="00F07FC0"/>
    <w:rsid w:val="00F102EF"/>
    <w:rsid w:val="00F119B3"/>
    <w:rsid w:val="00F13812"/>
    <w:rsid w:val="00F14D80"/>
    <w:rsid w:val="00F16378"/>
    <w:rsid w:val="00F23866"/>
    <w:rsid w:val="00F2677F"/>
    <w:rsid w:val="00F27C1F"/>
    <w:rsid w:val="00F32711"/>
    <w:rsid w:val="00F35A12"/>
    <w:rsid w:val="00F41BF3"/>
    <w:rsid w:val="00F42124"/>
    <w:rsid w:val="00F42FB6"/>
    <w:rsid w:val="00F5290E"/>
    <w:rsid w:val="00F545D2"/>
    <w:rsid w:val="00F571E8"/>
    <w:rsid w:val="00F609F2"/>
    <w:rsid w:val="00F64339"/>
    <w:rsid w:val="00F65E08"/>
    <w:rsid w:val="00F72948"/>
    <w:rsid w:val="00F7595D"/>
    <w:rsid w:val="00F75E17"/>
    <w:rsid w:val="00F777C3"/>
    <w:rsid w:val="00F77EDF"/>
    <w:rsid w:val="00F803D9"/>
    <w:rsid w:val="00F838AE"/>
    <w:rsid w:val="00F85B3A"/>
    <w:rsid w:val="00F87A51"/>
    <w:rsid w:val="00F90015"/>
    <w:rsid w:val="00F91D8F"/>
    <w:rsid w:val="00F934FA"/>
    <w:rsid w:val="00F93BA2"/>
    <w:rsid w:val="00F969BE"/>
    <w:rsid w:val="00FA0A5A"/>
    <w:rsid w:val="00FA1F93"/>
    <w:rsid w:val="00FA558D"/>
    <w:rsid w:val="00FA57D9"/>
    <w:rsid w:val="00FA5FA2"/>
    <w:rsid w:val="00FB0CC1"/>
    <w:rsid w:val="00FB1552"/>
    <w:rsid w:val="00FB2044"/>
    <w:rsid w:val="00FB49EC"/>
    <w:rsid w:val="00FB5941"/>
    <w:rsid w:val="00FB7AE5"/>
    <w:rsid w:val="00FB7D7D"/>
    <w:rsid w:val="00FC1284"/>
    <w:rsid w:val="00FC2D8A"/>
    <w:rsid w:val="00FC3040"/>
    <w:rsid w:val="00FC476B"/>
    <w:rsid w:val="00FC52DC"/>
    <w:rsid w:val="00FC6DA3"/>
    <w:rsid w:val="00FC7208"/>
    <w:rsid w:val="00FD7B7A"/>
    <w:rsid w:val="00FE0A0C"/>
    <w:rsid w:val="00FF11FC"/>
    <w:rsid w:val="00FF36C6"/>
    <w:rsid w:val="00FF3F5F"/>
    <w:rsid w:val="00FF449E"/>
    <w:rsid w:val="00FF5D1C"/>
    <w:rsid w:val="00FF660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50BD4D"/>
  <w15:docId w15:val="{50084B9F-D4B3-47F9-94D2-A777466A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ibliography">
    <w:name w:val="Bibliography"/>
    <w:basedOn w:val="Normal"/>
    <w:next w:val="Normal"/>
    <w:uiPriority w:val="37"/>
    <w:unhideWhenUsed/>
    <w:rsid w:val="00352423"/>
    <w:pPr>
      <w:tabs>
        <w:tab w:val="left" w:pos="384"/>
      </w:tabs>
      <w:spacing w:after="240" w:line="240" w:lineRule="auto"/>
      <w:ind w:left="384" w:hanging="384"/>
    </w:pPr>
  </w:style>
  <w:style w:type="paragraph" w:styleId="Header">
    <w:name w:val="header"/>
    <w:basedOn w:val="Normal"/>
    <w:link w:val="HeaderChar"/>
    <w:uiPriority w:val="99"/>
    <w:unhideWhenUsed/>
    <w:rsid w:val="00C06807"/>
    <w:pPr>
      <w:tabs>
        <w:tab w:val="center" w:pos="4513"/>
        <w:tab w:val="right" w:pos="9026"/>
      </w:tabs>
      <w:spacing w:line="240" w:lineRule="auto"/>
    </w:pPr>
  </w:style>
  <w:style w:type="character" w:customStyle="1" w:styleId="HeaderChar">
    <w:name w:val="Header Char"/>
    <w:basedOn w:val="DefaultParagraphFont"/>
    <w:link w:val="Header"/>
    <w:uiPriority w:val="99"/>
    <w:rsid w:val="00C06807"/>
  </w:style>
  <w:style w:type="paragraph" w:styleId="Footer">
    <w:name w:val="footer"/>
    <w:basedOn w:val="Normal"/>
    <w:link w:val="FooterChar"/>
    <w:uiPriority w:val="99"/>
    <w:unhideWhenUsed/>
    <w:rsid w:val="00C06807"/>
    <w:pPr>
      <w:tabs>
        <w:tab w:val="center" w:pos="4513"/>
        <w:tab w:val="right" w:pos="9026"/>
      </w:tabs>
      <w:spacing w:line="240" w:lineRule="auto"/>
    </w:pPr>
  </w:style>
  <w:style w:type="character" w:customStyle="1" w:styleId="FooterChar">
    <w:name w:val="Footer Char"/>
    <w:basedOn w:val="DefaultParagraphFont"/>
    <w:link w:val="Footer"/>
    <w:uiPriority w:val="99"/>
    <w:rsid w:val="00C06807"/>
  </w:style>
  <w:style w:type="paragraph" w:styleId="Revision">
    <w:name w:val="Revision"/>
    <w:hidden/>
    <w:uiPriority w:val="99"/>
    <w:semiHidden/>
    <w:rsid w:val="000B700F"/>
    <w:pPr>
      <w:spacing w:line="240" w:lineRule="auto"/>
    </w:pPr>
  </w:style>
  <w:style w:type="character" w:styleId="CommentReference">
    <w:name w:val="annotation reference"/>
    <w:basedOn w:val="DefaultParagraphFont"/>
    <w:uiPriority w:val="99"/>
    <w:semiHidden/>
    <w:unhideWhenUsed/>
    <w:rsid w:val="006E03B7"/>
    <w:rPr>
      <w:sz w:val="16"/>
      <w:szCs w:val="16"/>
    </w:rPr>
  </w:style>
  <w:style w:type="paragraph" w:styleId="CommentText">
    <w:name w:val="annotation text"/>
    <w:basedOn w:val="Normal"/>
    <w:link w:val="CommentTextChar"/>
    <w:uiPriority w:val="99"/>
    <w:unhideWhenUsed/>
    <w:rsid w:val="006E03B7"/>
    <w:pPr>
      <w:spacing w:line="240" w:lineRule="auto"/>
    </w:pPr>
    <w:rPr>
      <w:sz w:val="20"/>
      <w:szCs w:val="20"/>
    </w:rPr>
  </w:style>
  <w:style w:type="character" w:customStyle="1" w:styleId="CommentTextChar">
    <w:name w:val="Comment Text Char"/>
    <w:basedOn w:val="DefaultParagraphFont"/>
    <w:link w:val="CommentText"/>
    <w:uiPriority w:val="99"/>
    <w:rsid w:val="006E03B7"/>
    <w:rPr>
      <w:sz w:val="20"/>
      <w:szCs w:val="20"/>
    </w:rPr>
  </w:style>
  <w:style w:type="paragraph" w:styleId="CommentSubject">
    <w:name w:val="annotation subject"/>
    <w:basedOn w:val="CommentText"/>
    <w:next w:val="CommentText"/>
    <w:link w:val="CommentSubjectChar"/>
    <w:uiPriority w:val="99"/>
    <w:semiHidden/>
    <w:unhideWhenUsed/>
    <w:rsid w:val="006E03B7"/>
    <w:rPr>
      <w:b/>
      <w:bCs/>
    </w:rPr>
  </w:style>
  <w:style w:type="character" w:customStyle="1" w:styleId="CommentSubjectChar">
    <w:name w:val="Comment Subject Char"/>
    <w:basedOn w:val="CommentTextChar"/>
    <w:link w:val="CommentSubject"/>
    <w:uiPriority w:val="99"/>
    <w:semiHidden/>
    <w:rsid w:val="006E03B7"/>
    <w:rPr>
      <w:b/>
      <w:bCs/>
      <w:sz w:val="20"/>
      <w:szCs w:val="20"/>
    </w:rPr>
  </w:style>
  <w:style w:type="character" w:styleId="Hyperlink">
    <w:name w:val="Hyperlink"/>
    <w:basedOn w:val="DefaultParagraphFont"/>
    <w:uiPriority w:val="99"/>
    <w:unhideWhenUsed/>
    <w:rsid w:val="000F1D2F"/>
    <w:rPr>
      <w:color w:val="0000FF" w:themeColor="hyperlink"/>
      <w:u w:val="single"/>
    </w:rPr>
  </w:style>
  <w:style w:type="character" w:styleId="UnresolvedMention">
    <w:name w:val="Unresolved Mention"/>
    <w:basedOn w:val="DefaultParagraphFont"/>
    <w:uiPriority w:val="99"/>
    <w:semiHidden/>
    <w:unhideWhenUsed/>
    <w:rsid w:val="000F1D2F"/>
    <w:rPr>
      <w:color w:val="605E5C"/>
      <w:shd w:val="clear" w:color="auto" w:fill="E1DFDD"/>
    </w:rPr>
  </w:style>
  <w:style w:type="character" w:styleId="PlaceholderText">
    <w:name w:val="Placeholder Text"/>
    <w:basedOn w:val="DefaultParagraphFont"/>
    <w:uiPriority w:val="99"/>
    <w:semiHidden/>
    <w:rsid w:val="006A443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21241">
      <w:bodyDiv w:val="1"/>
      <w:marLeft w:val="0"/>
      <w:marRight w:val="0"/>
      <w:marTop w:val="0"/>
      <w:marBottom w:val="0"/>
      <w:divBdr>
        <w:top w:val="none" w:sz="0" w:space="0" w:color="auto"/>
        <w:left w:val="none" w:sz="0" w:space="0" w:color="auto"/>
        <w:bottom w:val="none" w:sz="0" w:space="0" w:color="auto"/>
        <w:right w:val="none" w:sz="0" w:space="0" w:color="auto"/>
      </w:divBdr>
    </w:div>
    <w:div w:id="710496875">
      <w:bodyDiv w:val="1"/>
      <w:marLeft w:val="0"/>
      <w:marRight w:val="0"/>
      <w:marTop w:val="0"/>
      <w:marBottom w:val="0"/>
      <w:divBdr>
        <w:top w:val="none" w:sz="0" w:space="0" w:color="auto"/>
        <w:left w:val="none" w:sz="0" w:space="0" w:color="auto"/>
        <w:bottom w:val="none" w:sz="0" w:space="0" w:color="auto"/>
        <w:right w:val="none" w:sz="0" w:space="0" w:color="auto"/>
      </w:divBdr>
    </w:div>
    <w:div w:id="941843096">
      <w:bodyDiv w:val="1"/>
      <w:marLeft w:val="0"/>
      <w:marRight w:val="0"/>
      <w:marTop w:val="0"/>
      <w:marBottom w:val="0"/>
      <w:divBdr>
        <w:top w:val="none" w:sz="0" w:space="0" w:color="auto"/>
        <w:left w:val="none" w:sz="0" w:space="0" w:color="auto"/>
        <w:bottom w:val="none" w:sz="0" w:space="0" w:color="auto"/>
        <w:right w:val="none" w:sz="0" w:space="0" w:color="auto"/>
      </w:divBdr>
    </w:div>
    <w:div w:id="1027607944">
      <w:bodyDiv w:val="1"/>
      <w:marLeft w:val="0"/>
      <w:marRight w:val="0"/>
      <w:marTop w:val="0"/>
      <w:marBottom w:val="0"/>
      <w:divBdr>
        <w:top w:val="none" w:sz="0" w:space="0" w:color="auto"/>
        <w:left w:val="none" w:sz="0" w:space="0" w:color="auto"/>
        <w:bottom w:val="none" w:sz="0" w:space="0" w:color="auto"/>
        <w:right w:val="none" w:sz="0" w:space="0" w:color="auto"/>
      </w:divBdr>
    </w:div>
    <w:div w:id="1703440486">
      <w:bodyDiv w:val="1"/>
      <w:marLeft w:val="0"/>
      <w:marRight w:val="0"/>
      <w:marTop w:val="0"/>
      <w:marBottom w:val="0"/>
      <w:divBdr>
        <w:top w:val="none" w:sz="0" w:space="0" w:color="auto"/>
        <w:left w:val="none" w:sz="0" w:space="0" w:color="auto"/>
        <w:bottom w:val="none" w:sz="0" w:space="0" w:color="auto"/>
        <w:right w:val="none" w:sz="0" w:space="0" w:color="auto"/>
      </w:divBdr>
    </w:div>
    <w:div w:id="1717043991">
      <w:bodyDiv w:val="1"/>
      <w:marLeft w:val="0"/>
      <w:marRight w:val="0"/>
      <w:marTop w:val="0"/>
      <w:marBottom w:val="0"/>
      <w:divBdr>
        <w:top w:val="none" w:sz="0" w:space="0" w:color="auto"/>
        <w:left w:val="none" w:sz="0" w:space="0" w:color="auto"/>
        <w:bottom w:val="none" w:sz="0" w:space="0" w:color="auto"/>
        <w:right w:val="none" w:sz="0" w:space="0" w:color="auto"/>
      </w:divBdr>
    </w:div>
    <w:div w:id="2028671454">
      <w:bodyDiv w:val="1"/>
      <w:marLeft w:val="0"/>
      <w:marRight w:val="0"/>
      <w:marTop w:val="0"/>
      <w:marBottom w:val="0"/>
      <w:divBdr>
        <w:top w:val="none" w:sz="0" w:space="0" w:color="auto"/>
        <w:left w:val="none" w:sz="0" w:space="0" w:color="auto"/>
        <w:bottom w:val="none" w:sz="0" w:space="0" w:color="auto"/>
        <w:right w:val="none" w:sz="0" w:space="0" w:color="auto"/>
      </w:divBdr>
    </w:div>
    <w:div w:id="2091344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gustodatavault.sg/about/request-for-dat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702BF-3E9E-4E3D-B9AB-E59D17419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41594</Words>
  <Characters>237086</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Drake</dc:creator>
  <cp:lastModifiedBy>Karen Drake</cp:lastModifiedBy>
  <cp:revision>2</cp:revision>
  <dcterms:created xsi:type="dcterms:W3CDTF">2025-02-13T12:14:00Z</dcterms:created>
  <dcterms:modified xsi:type="dcterms:W3CDTF">2025-02-13T12:14:00Z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4b49d76397280a4c4b773c1cce4616744b5567715a26ae5bf99df6b50a652355</vt:lpwstr>
  </property>
  <property fmtid="{D5CDD505-2E9C-101B-9397-08002B2CF9AE}" pid="3" name="ZOTERO_PREF_1">
    <vt:lpwstr>{"style":{"styleID":"http://www.zotero.org/styles/vancouver","locale":"en-US","hasBibliography":true,"bibliographyStyleHasBeenSet":true},"prefs":{"fieldType":"Field","automaticJournalAbbreviations":false,"delayCitationUpdates":true,"noteType":0,"dontAskDe</vt:lpwstr>
  </property>
  <property fmtid="{D5CDD505-2E9C-101B-9397-08002B2CF9AE}" pid="4" name="ZOTERO_PREF_2">
    <vt:lpwstr>layCitationUpdates":true},"sessionID":"KsjVSMqE","zoteroVersion":"6.0.36","dataVersion":4}</vt:lpwstr>
  </property>
</Properties>
</file>