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91F08" w14:textId="03CAB1CD" w:rsidR="0096469A" w:rsidRPr="00F54546" w:rsidRDefault="004F194E" w:rsidP="00B72970">
      <w:pPr>
        <w:spacing w:line="276" w:lineRule="auto"/>
        <w:ind w:left="720" w:firstLine="0"/>
        <w:jc w:val="center"/>
        <w:rPr>
          <w:rFonts w:ascii="Times New Roman" w:hAnsi="Times New Roman" w:cs="Times New Roman"/>
          <w:b/>
          <w:sz w:val="32"/>
          <w:szCs w:val="28"/>
          <w:lang w:val="en-GB"/>
        </w:rPr>
      </w:pPr>
      <w:bookmarkStart w:id="0" w:name="_Hlk167866936"/>
      <w:bookmarkStart w:id="1" w:name="_Hlk134617006"/>
      <w:r w:rsidRPr="004F194E">
        <w:rPr>
          <w:rFonts w:ascii="Times New Roman" w:hAnsi="Times New Roman" w:cs="Times New Roman"/>
          <w:b/>
          <w:sz w:val="32"/>
          <w:szCs w:val="28"/>
          <w:lang w:val="en-GB"/>
        </w:rPr>
        <w:t>Evaluating ADHD Medication Trial Representativeness: A Swedish Population-Based Study Comparing Hypothetically Trial-Eligible and Ineligible Individuals</w:t>
      </w:r>
    </w:p>
    <w:p w14:paraId="050DCD2A" w14:textId="77777777" w:rsidR="00804EE6" w:rsidRPr="00F54546" w:rsidRDefault="00804EE6" w:rsidP="00B72970">
      <w:pPr>
        <w:spacing w:line="276" w:lineRule="auto"/>
        <w:ind w:left="720" w:firstLine="0"/>
        <w:jc w:val="center"/>
        <w:rPr>
          <w:rFonts w:ascii="Times New Roman" w:hAnsi="Times New Roman" w:cs="Times New Roman"/>
          <w:b/>
          <w:sz w:val="32"/>
          <w:szCs w:val="28"/>
          <w:lang w:val="en-GB"/>
        </w:rPr>
      </w:pPr>
    </w:p>
    <w:bookmarkEnd w:id="0"/>
    <w:p w14:paraId="1D052E61" w14:textId="5663330E" w:rsidR="00BE668F" w:rsidRPr="00F54546" w:rsidRDefault="00BE668F" w:rsidP="0096469A">
      <w:pPr>
        <w:spacing w:line="276" w:lineRule="auto"/>
        <w:ind w:firstLine="0"/>
        <w:jc w:val="center"/>
        <w:rPr>
          <w:rFonts w:ascii="Times New Roman" w:hAnsi="Times New Roman" w:cs="Times New Roman"/>
          <w:iCs/>
          <w:szCs w:val="28"/>
          <w:vertAlign w:val="superscript"/>
          <w:lang w:val="en-GB"/>
        </w:rPr>
      </w:pPr>
      <w:r w:rsidRPr="00F54546">
        <w:rPr>
          <w:rFonts w:ascii="Times New Roman" w:hAnsi="Times New Roman" w:cs="Times New Roman"/>
          <w:iCs/>
          <w:szCs w:val="28"/>
          <w:lang w:val="en-GB"/>
        </w:rPr>
        <w:t>Miguel Garcia-Argibay, Ph.D.</w:t>
      </w:r>
      <w:r w:rsidRPr="00F54546">
        <w:rPr>
          <w:rFonts w:ascii="Times New Roman" w:hAnsi="Times New Roman" w:cs="Times New Roman"/>
          <w:iCs/>
          <w:szCs w:val="28"/>
          <w:vertAlign w:val="superscript"/>
          <w:lang w:val="en-GB"/>
        </w:rPr>
        <w:t>1</w:t>
      </w:r>
      <w:r w:rsidR="00865298" w:rsidRPr="00F54546">
        <w:rPr>
          <w:rFonts w:ascii="Times New Roman" w:hAnsi="Times New Roman" w:cs="Times New Roman"/>
          <w:iCs/>
          <w:szCs w:val="28"/>
          <w:vertAlign w:val="superscript"/>
          <w:lang w:val="en-GB"/>
        </w:rPr>
        <w:t>-4</w:t>
      </w:r>
      <w:r w:rsidRPr="00F54546">
        <w:rPr>
          <w:rFonts w:ascii="Times New Roman" w:hAnsi="Times New Roman" w:cs="Times New Roman"/>
          <w:iCs/>
          <w:szCs w:val="28"/>
          <w:vertAlign w:val="superscript"/>
          <w:lang w:val="en-GB"/>
        </w:rPr>
        <w:t>*</w:t>
      </w:r>
      <w:r w:rsidRPr="00F54546">
        <w:rPr>
          <w:rFonts w:ascii="Times New Roman" w:hAnsi="Times New Roman" w:cs="Times New Roman"/>
          <w:iCs/>
          <w:szCs w:val="28"/>
          <w:lang w:val="en-GB"/>
        </w:rPr>
        <w:t xml:space="preserve">, </w:t>
      </w:r>
      <w:r w:rsidR="001162FA" w:rsidRPr="00F54546">
        <w:rPr>
          <w:rFonts w:ascii="Times New Roman" w:hAnsi="Times New Roman" w:cs="Times New Roman"/>
          <w:iCs/>
          <w:szCs w:val="28"/>
          <w:lang w:val="en-GB"/>
        </w:rPr>
        <w:t>Zheng Chang, Ph.D.</w:t>
      </w:r>
      <w:r w:rsidR="001162FA" w:rsidRPr="00F54546">
        <w:rPr>
          <w:rFonts w:ascii="Times New Roman" w:hAnsi="Times New Roman" w:cs="Times New Roman"/>
          <w:iCs/>
          <w:szCs w:val="28"/>
          <w:vertAlign w:val="superscript"/>
          <w:lang w:val="en-GB"/>
        </w:rPr>
        <w:t>4</w:t>
      </w:r>
      <w:r w:rsidR="001162FA" w:rsidRPr="00F54546">
        <w:rPr>
          <w:rFonts w:ascii="Times New Roman" w:hAnsi="Times New Roman" w:cs="Times New Roman"/>
          <w:iCs/>
          <w:szCs w:val="28"/>
          <w:lang w:val="en-GB"/>
        </w:rPr>
        <w:t xml:space="preserve">, </w:t>
      </w:r>
      <w:r w:rsidR="0089151D" w:rsidRPr="00F54546">
        <w:rPr>
          <w:rFonts w:ascii="Times New Roman" w:hAnsi="Times New Roman" w:cs="Times New Roman"/>
          <w:iCs/>
          <w:szCs w:val="28"/>
          <w:lang w:val="en-GB"/>
        </w:rPr>
        <w:t>Isabell Brikell, Ph.D.</w:t>
      </w:r>
      <w:r w:rsidR="0089151D" w:rsidRPr="00F54546">
        <w:rPr>
          <w:rFonts w:ascii="Times New Roman" w:hAnsi="Times New Roman" w:cs="Times New Roman"/>
          <w:iCs/>
          <w:szCs w:val="28"/>
          <w:vertAlign w:val="superscript"/>
          <w:lang w:val="en-GB"/>
        </w:rPr>
        <w:t>4</w:t>
      </w:r>
      <w:r w:rsidR="005A68F3" w:rsidRPr="00F54546">
        <w:rPr>
          <w:rFonts w:ascii="Times New Roman" w:hAnsi="Times New Roman" w:cs="Times New Roman"/>
          <w:iCs/>
          <w:szCs w:val="28"/>
          <w:vertAlign w:val="superscript"/>
          <w:lang w:val="en-GB"/>
        </w:rPr>
        <w:t>,</w:t>
      </w:r>
      <w:r w:rsidR="00554AE9" w:rsidRPr="00F54546">
        <w:rPr>
          <w:rFonts w:ascii="Times New Roman" w:hAnsi="Times New Roman" w:cs="Times New Roman"/>
          <w:iCs/>
          <w:szCs w:val="28"/>
          <w:vertAlign w:val="superscript"/>
          <w:lang w:val="en-GB"/>
        </w:rPr>
        <w:t>5</w:t>
      </w:r>
      <w:r w:rsidR="005A68F3" w:rsidRPr="00F54546">
        <w:rPr>
          <w:rFonts w:ascii="Times New Roman" w:hAnsi="Times New Roman" w:cs="Times New Roman"/>
          <w:iCs/>
          <w:szCs w:val="28"/>
          <w:vertAlign w:val="superscript"/>
          <w:lang w:val="en-GB"/>
        </w:rPr>
        <w:t>,</w:t>
      </w:r>
      <w:r w:rsidR="00554AE9" w:rsidRPr="00F54546">
        <w:rPr>
          <w:rFonts w:ascii="Times New Roman" w:hAnsi="Times New Roman" w:cs="Times New Roman"/>
          <w:iCs/>
          <w:szCs w:val="28"/>
          <w:vertAlign w:val="superscript"/>
          <w:lang w:val="en-GB"/>
        </w:rPr>
        <w:t>6</w:t>
      </w:r>
      <w:r w:rsidR="0089151D" w:rsidRPr="00F54546">
        <w:rPr>
          <w:rFonts w:ascii="Times New Roman" w:hAnsi="Times New Roman" w:cs="Times New Roman"/>
          <w:iCs/>
          <w:szCs w:val="28"/>
          <w:lang w:val="en-GB"/>
        </w:rPr>
        <w:t>, Ralf Kuja-Halkola, Ph.D.</w:t>
      </w:r>
      <w:r w:rsidR="0089151D" w:rsidRPr="00F54546">
        <w:rPr>
          <w:rFonts w:ascii="Times New Roman" w:hAnsi="Times New Roman" w:cs="Times New Roman"/>
          <w:iCs/>
          <w:szCs w:val="28"/>
          <w:vertAlign w:val="superscript"/>
          <w:lang w:val="en-GB"/>
        </w:rPr>
        <w:t>4</w:t>
      </w:r>
      <w:r w:rsidR="0089151D" w:rsidRPr="00F54546">
        <w:rPr>
          <w:rFonts w:ascii="Times New Roman" w:hAnsi="Times New Roman" w:cs="Times New Roman"/>
          <w:iCs/>
          <w:szCs w:val="28"/>
          <w:lang w:val="en-GB"/>
        </w:rPr>
        <w:t xml:space="preserve">, </w:t>
      </w:r>
      <w:r w:rsidR="00AC7673">
        <w:rPr>
          <w:rFonts w:ascii="Times New Roman" w:hAnsi="Times New Roman" w:cs="Times New Roman"/>
          <w:iCs/>
          <w:szCs w:val="28"/>
          <w:lang w:val="en-GB"/>
        </w:rPr>
        <w:t xml:space="preserve">Prof. </w:t>
      </w:r>
      <w:r w:rsidR="00053C9C" w:rsidRPr="00F54546">
        <w:rPr>
          <w:rFonts w:ascii="Times New Roman" w:hAnsi="Times New Roman" w:cs="Times New Roman"/>
          <w:iCs/>
          <w:szCs w:val="28"/>
          <w:lang w:val="en-GB"/>
        </w:rPr>
        <w:t xml:space="preserve">Brian </w:t>
      </w:r>
      <w:r w:rsidR="005C16E4">
        <w:rPr>
          <w:rFonts w:ascii="Times New Roman" w:hAnsi="Times New Roman" w:cs="Times New Roman"/>
          <w:iCs/>
          <w:szCs w:val="28"/>
          <w:lang w:val="en-GB"/>
        </w:rPr>
        <w:t xml:space="preserve">M. </w:t>
      </w:r>
      <w:r w:rsidR="00053C9C" w:rsidRPr="00F54546">
        <w:rPr>
          <w:rFonts w:ascii="Times New Roman" w:hAnsi="Times New Roman" w:cs="Times New Roman"/>
          <w:iCs/>
          <w:szCs w:val="28"/>
          <w:lang w:val="en-GB"/>
        </w:rPr>
        <w:t>D’Onofrio, Ph.D.</w:t>
      </w:r>
      <w:r w:rsidR="00053C9C" w:rsidRPr="00F54546">
        <w:rPr>
          <w:rFonts w:ascii="Times New Roman" w:hAnsi="Times New Roman" w:cs="Times New Roman"/>
          <w:iCs/>
          <w:szCs w:val="28"/>
          <w:vertAlign w:val="superscript"/>
          <w:lang w:val="en-GB"/>
        </w:rPr>
        <w:t>4,</w:t>
      </w:r>
      <w:r w:rsidR="00554AE9" w:rsidRPr="00F54546">
        <w:rPr>
          <w:rFonts w:ascii="Times New Roman" w:hAnsi="Times New Roman" w:cs="Times New Roman"/>
          <w:iCs/>
          <w:szCs w:val="28"/>
          <w:vertAlign w:val="superscript"/>
          <w:lang w:val="en-GB"/>
        </w:rPr>
        <w:t>7</w:t>
      </w:r>
      <w:r w:rsidR="00C60BD6" w:rsidRPr="00F54546">
        <w:rPr>
          <w:rFonts w:ascii="Times New Roman" w:hAnsi="Times New Roman" w:cs="Times New Roman"/>
          <w:iCs/>
          <w:szCs w:val="28"/>
          <w:lang w:val="en-GB"/>
        </w:rPr>
        <w:t xml:space="preserve">, </w:t>
      </w:r>
      <w:r w:rsidR="00AC7673" w:rsidRPr="00AC7673">
        <w:rPr>
          <w:rFonts w:ascii="Times New Roman" w:hAnsi="Times New Roman" w:cs="Times New Roman"/>
          <w:iCs/>
          <w:szCs w:val="28"/>
          <w:lang w:val="en-GB"/>
        </w:rPr>
        <w:t>Prof.</w:t>
      </w:r>
      <w:r w:rsidR="00AC7673">
        <w:rPr>
          <w:rFonts w:ascii="Times New Roman" w:hAnsi="Times New Roman" w:cs="Times New Roman"/>
          <w:iCs/>
          <w:szCs w:val="28"/>
          <w:lang w:val="en-GB"/>
        </w:rPr>
        <w:t xml:space="preserve"> </w:t>
      </w:r>
      <w:r w:rsidRPr="00F54546">
        <w:rPr>
          <w:rFonts w:ascii="Times New Roman" w:hAnsi="Times New Roman" w:cs="Times New Roman"/>
          <w:iCs/>
          <w:szCs w:val="28"/>
          <w:lang w:val="en-GB"/>
        </w:rPr>
        <w:t>Paul Lichtenstein, Ph.D.</w:t>
      </w:r>
      <w:r w:rsidR="00865298" w:rsidRPr="00F54546">
        <w:rPr>
          <w:rFonts w:ascii="Times New Roman" w:hAnsi="Times New Roman" w:cs="Times New Roman"/>
          <w:iCs/>
          <w:szCs w:val="28"/>
          <w:vertAlign w:val="superscript"/>
          <w:lang w:val="en-GB"/>
        </w:rPr>
        <w:t>4</w:t>
      </w:r>
      <w:r w:rsidRPr="00F54546">
        <w:rPr>
          <w:rFonts w:ascii="Times New Roman" w:hAnsi="Times New Roman" w:cs="Times New Roman"/>
          <w:iCs/>
          <w:szCs w:val="28"/>
          <w:lang w:val="en-GB"/>
        </w:rPr>
        <w:t xml:space="preserve">, </w:t>
      </w:r>
      <w:r w:rsidR="00AC7673" w:rsidRPr="00AC7673">
        <w:rPr>
          <w:rFonts w:ascii="Times New Roman" w:hAnsi="Times New Roman" w:cs="Times New Roman"/>
          <w:iCs/>
          <w:szCs w:val="28"/>
          <w:lang w:val="en-GB"/>
        </w:rPr>
        <w:t>Prof.</w:t>
      </w:r>
      <w:r w:rsidR="00AC7673">
        <w:rPr>
          <w:rFonts w:ascii="Times New Roman" w:hAnsi="Times New Roman" w:cs="Times New Roman"/>
          <w:iCs/>
          <w:szCs w:val="28"/>
          <w:lang w:val="en-GB"/>
        </w:rPr>
        <w:t xml:space="preserve"> </w:t>
      </w:r>
      <w:r w:rsidR="001C6EA0" w:rsidRPr="00F54546">
        <w:rPr>
          <w:rFonts w:ascii="Times New Roman" w:hAnsi="Times New Roman" w:cs="Times New Roman"/>
          <w:iCs/>
          <w:szCs w:val="28"/>
          <w:lang w:val="en-GB"/>
        </w:rPr>
        <w:t xml:space="preserve">Jeffrey H. Newcorn, </w:t>
      </w:r>
      <w:r w:rsidR="00FC0CD3">
        <w:rPr>
          <w:rFonts w:ascii="Times New Roman" w:hAnsi="Times New Roman" w:cs="Times New Roman"/>
          <w:iCs/>
          <w:szCs w:val="28"/>
          <w:lang w:val="en-GB"/>
        </w:rPr>
        <w:t>M</w:t>
      </w:r>
      <w:r w:rsidR="001C6EA0" w:rsidRPr="00F54546">
        <w:rPr>
          <w:rFonts w:ascii="Times New Roman" w:hAnsi="Times New Roman" w:cs="Times New Roman"/>
          <w:iCs/>
          <w:szCs w:val="28"/>
          <w:lang w:val="en-GB"/>
        </w:rPr>
        <w:t>.D.</w:t>
      </w:r>
      <w:r w:rsidR="00554AE9" w:rsidRPr="00F54546">
        <w:rPr>
          <w:rFonts w:ascii="Times New Roman" w:hAnsi="Times New Roman" w:cs="Times New Roman"/>
          <w:szCs w:val="28"/>
          <w:vertAlign w:val="superscript"/>
          <w:lang w:val="en-GB"/>
        </w:rPr>
        <w:t>8</w:t>
      </w:r>
      <w:r w:rsidR="001C6EA0" w:rsidRPr="00F54546">
        <w:rPr>
          <w:rFonts w:ascii="Times New Roman" w:hAnsi="Times New Roman" w:cs="Times New Roman"/>
          <w:iCs/>
          <w:szCs w:val="28"/>
          <w:lang w:val="en-GB"/>
        </w:rPr>
        <w:t xml:space="preserve">, </w:t>
      </w:r>
      <w:r w:rsidR="00AC7673" w:rsidRPr="00AC7673">
        <w:rPr>
          <w:rFonts w:ascii="Times New Roman" w:hAnsi="Times New Roman" w:cs="Times New Roman"/>
          <w:iCs/>
          <w:szCs w:val="28"/>
          <w:lang w:val="en-GB"/>
        </w:rPr>
        <w:t>Prof.</w:t>
      </w:r>
      <w:r w:rsidR="00AC7673">
        <w:rPr>
          <w:rFonts w:ascii="Times New Roman" w:hAnsi="Times New Roman" w:cs="Times New Roman"/>
          <w:iCs/>
          <w:szCs w:val="28"/>
          <w:lang w:val="en-GB"/>
        </w:rPr>
        <w:t xml:space="preserve"> </w:t>
      </w:r>
      <w:r w:rsidR="001C6EA0" w:rsidRPr="00F54546">
        <w:rPr>
          <w:rFonts w:ascii="Times New Roman" w:hAnsi="Times New Roman" w:cs="Times New Roman"/>
          <w:iCs/>
          <w:szCs w:val="28"/>
          <w:lang w:val="en-GB"/>
        </w:rPr>
        <w:t>Stephen V. Faraone, Ph.D.</w:t>
      </w:r>
      <w:r w:rsidR="00554AE9" w:rsidRPr="00F54546">
        <w:rPr>
          <w:rFonts w:ascii="Times New Roman" w:hAnsi="Times New Roman" w:cs="Times New Roman"/>
          <w:szCs w:val="28"/>
          <w:vertAlign w:val="superscript"/>
          <w:lang w:val="en-GB"/>
        </w:rPr>
        <w:t>9</w:t>
      </w:r>
      <w:r w:rsidR="001C6EA0" w:rsidRPr="00F54546">
        <w:rPr>
          <w:rFonts w:ascii="Times New Roman" w:hAnsi="Times New Roman" w:cs="Times New Roman"/>
          <w:iCs/>
          <w:szCs w:val="28"/>
          <w:lang w:val="en-GB"/>
        </w:rPr>
        <w:t>,</w:t>
      </w:r>
      <w:r w:rsidR="00C60BD6" w:rsidRPr="00F54546">
        <w:rPr>
          <w:rFonts w:ascii="Times New Roman" w:hAnsi="Times New Roman" w:cs="Times New Roman"/>
          <w:iCs/>
          <w:szCs w:val="28"/>
          <w:lang w:val="en-GB"/>
        </w:rPr>
        <w:t xml:space="preserve"> </w:t>
      </w:r>
      <w:r w:rsidR="00AC7673" w:rsidRPr="00AC7673">
        <w:rPr>
          <w:rFonts w:ascii="Times New Roman" w:hAnsi="Times New Roman" w:cs="Times New Roman"/>
          <w:iCs/>
          <w:szCs w:val="28"/>
          <w:lang w:val="en-GB"/>
        </w:rPr>
        <w:t>Prof.</w:t>
      </w:r>
      <w:r w:rsidR="00AC7673">
        <w:rPr>
          <w:rFonts w:ascii="Times New Roman" w:hAnsi="Times New Roman" w:cs="Times New Roman"/>
          <w:iCs/>
          <w:szCs w:val="28"/>
          <w:lang w:val="en-GB"/>
        </w:rPr>
        <w:t xml:space="preserve"> </w:t>
      </w:r>
      <w:r w:rsidR="00D144C1" w:rsidRPr="00F54546">
        <w:rPr>
          <w:rFonts w:ascii="Times New Roman" w:hAnsi="Times New Roman" w:cs="Times New Roman"/>
          <w:iCs/>
          <w:szCs w:val="28"/>
          <w:lang w:val="en-GB"/>
        </w:rPr>
        <w:t>Henrik Larsson, Ph.D.</w:t>
      </w:r>
      <w:r w:rsidR="004B4EDB">
        <w:rPr>
          <w:rFonts w:ascii="Times New Roman" w:hAnsi="Times New Roman" w:cs="Times New Roman"/>
          <w:iCs/>
          <w:szCs w:val="28"/>
          <w:vertAlign w:val="superscript"/>
          <w:lang w:val="en-GB"/>
        </w:rPr>
        <w:t>1,3</w:t>
      </w:r>
      <w:r w:rsidR="00D144C1" w:rsidRPr="00F54546">
        <w:rPr>
          <w:rFonts w:ascii="Times New Roman" w:hAnsi="Times New Roman" w:cs="Times New Roman"/>
          <w:iCs/>
          <w:szCs w:val="28"/>
          <w:vertAlign w:val="superscript"/>
          <w:lang w:val="en-GB"/>
        </w:rPr>
        <w:t>,</w:t>
      </w:r>
      <w:r w:rsidR="001C6EA0" w:rsidRPr="00F54546">
        <w:rPr>
          <w:rFonts w:ascii="Times New Roman" w:hAnsi="Times New Roman" w:cs="Times New Roman"/>
          <w:iCs/>
          <w:szCs w:val="28"/>
          <w:vertAlign w:val="superscript"/>
          <w:lang w:val="en-GB"/>
        </w:rPr>
        <w:t>4, #</w:t>
      </w:r>
      <w:r w:rsidR="00D144C1" w:rsidRPr="00F54546">
        <w:rPr>
          <w:rFonts w:ascii="Times New Roman" w:hAnsi="Times New Roman" w:cs="Times New Roman"/>
          <w:iCs/>
          <w:szCs w:val="28"/>
          <w:lang w:val="en-GB"/>
        </w:rPr>
        <w:t>,</w:t>
      </w:r>
      <w:r w:rsidR="00D144C1" w:rsidRPr="00F54546">
        <w:rPr>
          <w:rFonts w:ascii="Times New Roman" w:hAnsi="Times New Roman" w:cs="Times New Roman"/>
          <w:iCs/>
          <w:szCs w:val="28"/>
          <w:vertAlign w:val="superscript"/>
          <w:lang w:val="en-GB"/>
        </w:rPr>
        <w:t xml:space="preserve"> </w:t>
      </w:r>
      <w:r w:rsidR="00AC7673" w:rsidRPr="00151FFF">
        <w:rPr>
          <w:rFonts w:ascii="Times New Roman" w:hAnsi="Times New Roman" w:cs="Times New Roman"/>
          <w:iCs/>
          <w:szCs w:val="28"/>
          <w:lang w:val="en-GB"/>
        </w:rPr>
        <w:t>Prof.</w:t>
      </w:r>
      <w:r w:rsidR="00AC7673">
        <w:rPr>
          <w:rFonts w:ascii="Times New Roman" w:hAnsi="Times New Roman" w:cs="Times New Roman"/>
          <w:iCs/>
          <w:szCs w:val="28"/>
          <w:lang w:val="en-GB"/>
        </w:rPr>
        <w:t xml:space="preserve"> S</w:t>
      </w:r>
      <w:r w:rsidRPr="00F54546">
        <w:rPr>
          <w:rFonts w:ascii="Times New Roman" w:hAnsi="Times New Roman" w:cs="Times New Roman"/>
          <w:iCs/>
          <w:szCs w:val="28"/>
          <w:lang w:val="en-GB"/>
        </w:rPr>
        <w:t>amuele Cortese, MD, Ph.D.</w:t>
      </w:r>
      <w:r w:rsidR="00A43338" w:rsidRPr="00F54546">
        <w:rPr>
          <w:rFonts w:ascii="Times New Roman" w:hAnsi="Times New Roman" w:cs="Times New Roman"/>
          <w:iCs/>
          <w:szCs w:val="28"/>
          <w:vertAlign w:val="superscript"/>
          <w:lang w:val="en-GB"/>
        </w:rPr>
        <w:t>1,</w:t>
      </w:r>
      <w:r w:rsidR="00865298" w:rsidRPr="00F54546">
        <w:rPr>
          <w:rFonts w:ascii="Times New Roman" w:hAnsi="Times New Roman" w:cs="Times New Roman"/>
          <w:iCs/>
          <w:szCs w:val="28"/>
          <w:vertAlign w:val="superscript"/>
          <w:lang w:val="en-GB"/>
        </w:rPr>
        <w:t>2,</w:t>
      </w:r>
      <w:r w:rsidR="00554AE9" w:rsidRPr="00F54546">
        <w:rPr>
          <w:rFonts w:ascii="Times New Roman" w:hAnsi="Times New Roman" w:cs="Times New Roman"/>
          <w:iCs/>
          <w:szCs w:val="28"/>
          <w:vertAlign w:val="superscript"/>
          <w:lang w:val="en-GB"/>
        </w:rPr>
        <w:t>10</w:t>
      </w:r>
      <w:r w:rsidRPr="00F54546">
        <w:rPr>
          <w:rFonts w:ascii="Times New Roman" w:hAnsi="Times New Roman" w:cs="Times New Roman"/>
          <w:iCs/>
          <w:szCs w:val="28"/>
          <w:vertAlign w:val="superscript"/>
          <w:lang w:val="en-GB"/>
        </w:rPr>
        <w:t>-</w:t>
      </w:r>
      <w:r w:rsidR="00053C9C" w:rsidRPr="00F54546">
        <w:rPr>
          <w:rFonts w:ascii="Times New Roman" w:hAnsi="Times New Roman" w:cs="Times New Roman"/>
          <w:iCs/>
          <w:szCs w:val="28"/>
          <w:vertAlign w:val="superscript"/>
          <w:lang w:val="en-GB"/>
        </w:rPr>
        <w:t>1</w:t>
      </w:r>
      <w:r w:rsidR="00554AE9" w:rsidRPr="00F54546">
        <w:rPr>
          <w:rFonts w:ascii="Times New Roman" w:hAnsi="Times New Roman" w:cs="Times New Roman"/>
          <w:iCs/>
          <w:szCs w:val="28"/>
          <w:vertAlign w:val="superscript"/>
          <w:lang w:val="en-GB"/>
        </w:rPr>
        <w:t>2</w:t>
      </w:r>
      <w:r w:rsidR="001C6EA0" w:rsidRPr="00F54546">
        <w:rPr>
          <w:rFonts w:ascii="Times New Roman" w:hAnsi="Times New Roman" w:cs="Times New Roman"/>
          <w:iCs/>
          <w:szCs w:val="28"/>
          <w:vertAlign w:val="superscript"/>
          <w:lang w:val="en-GB"/>
        </w:rPr>
        <w:t>, #</w:t>
      </w:r>
    </w:p>
    <w:bookmarkEnd w:id="1"/>
    <w:p w14:paraId="52874BAA" w14:textId="365B3C88" w:rsidR="00A51769" w:rsidRPr="00F54546" w:rsidRDefault="00A43338" w:rsidP="00C15488">
      <w:pPr>
        <w:spacing w:after="0" w:line="240" w:lineRule="auto"/>
        <w:ind w:firstLine="0"/>
        <w:rPr>
          <w:rFonts w:ascii="Times New Roman" w:hAnsi="Times New Roman" w:cs="Times New Roman"/>
          <w:lang w:val="en-GB"/>
        </w:rPr>
      </w:pPr>
      <w:r w:rsidRPr="00F54546">
        <w:rPr>
          <w:rFonts w:ascii="Times New Roman" w:hAnsi="Times New Roman" w:cs="Times New Roman"/>
          <w:vertAlign w:val="superscript"/>
          <w:lang w:val="en-GB"/>
        </w:rPr>
        <w:t>1</w:t>
      </w:r>
      <w:r w:rsidR="004146C9">
        <w:rPr>
          <w:rFonts w:ascii="Times New Roman" w:hAnsi="Times New Roman" w:cs="Times New Roman"/>
          <w:lang w:val="en-GB"/>
        </w:rPr>
        <w:t>Developmental EPI (Evidence synthesis, Prediction, Implementation) lab, C</w:t>
      </w:r>
      <w:r w:rsidR="00A51769" w:rsidRPr="00F54546">
        <w:rPr>
          <w:rFonts w:ascii="Times New Roman" w:hAnsi="Times New Roman" w:cs="Times New Roman"/>
          <w:lang w:val="en-GB"/>
        </w:rPr>
        <w:t>entre for Innovation in Mental Health, Faculty of Environmental and Life Sciences, University of Southampton, Southampton, U</w:t>
      </w:r>
      <w:r w:rsidR="00865298" w:rsidRPr="00F54546">
        <w:rPr>
          <w:rFonts w:ascii="Times New Roman" w:hAnsi="Times New Roman" w:cs="Times New Roman"/>
          <w:lang w:val="en-GB"/>
        </w:rPr>
        <w:t>K</w:t>
      </w:r>
    </w:p>
    <w:p w14:paraId="7E4F4544" w14:textId="11534F34" w:rsidR="00865298" w:rsidRPr="00F54546" w:rsidRDefault="00865298" w:rsidP="00C15488">
      <w:pPr>
        <w:spacing w:after="0" w:line="240" w:lineRule="auto"/>
        <w:ind w:firstLine="0"/>
        <w:rPr>
          <w:rFonts w:ascii="Times New Roman" w:hAnsi="Times New Roman" w:cs="Times New Roman"/>
          <w:lang w:val="en-GB"/>
        </w:rPr>
      </w:pPr>
      <w:r w:rsidRPr="00F54546">
        <w:rPr>
          <w:rFonts w:ascii="Times New Roman" w:hAnsi="Times New Roman" w:cs="Times New Roman"/>
          <w:vertAlign w:val="superscript"/>
          <w:lang w:val="en-GB"/>
        </w:rPr>
        <w:t>2</w:t>
      </w:r>
      <w:r w:rsidRPr="00F54546">
        <w:rPr>
          <w:rFonts w:ascii="Times New Roman" w:hAnsi="Times New Roman" w:cs="Times New Roman"/>
          <w:lang w:val="en-GB"/>
        </w:rPr>
        <w:t>Solent NHS Trust, Southampton, UK</w:t>
      </w:r>
    </w:p>
    <w:p w14:paraId="70859F69" w14:textId="07E021A1" w:rsidR="00BE668F" w:rsidRPr="00F54546" w:rsidRDefault="00865298" w:rsidP="00C15488">
      <w:pPr>
        <w:spacing w:after="0" w:line="240" w:lineRule="auto"/>
        <w:ind w:firstLine="0"/>
        <w:rPr>
          <w:rFonts w:ascii="Times New Roman" w:hAnsi="Times New Roman" w:cs="Times New Roman"/>
          <w:lang w:val="en-GB"/>
        </w:rPr>
      </w:pPr>
      <w:r w:rsidRPr="00F54546">
        <w:rPr>
          <w:rFonts w:ascii="Times New Roman" w:hAnsi="Times New Roman" w:cs="Times New Roman"/>
          <w:vertAlign w:val="superscript"/>
          <w:lang w:val="en-GB"/>
        </w:rPr>
        <w:t>3</w:t>
      </w:r>
      <w:r w:rsidR="00BE668F" w:rsidRPr="00F54546">
        <w:rPr>
          <w:rFonts w:ascii="Times New Roman" w:hAnsi="Times New Roman" w:cs="Times New Roman"/>
          <w:lang w:val="en-GB"/>
        </w:rPr>
        <w:t xml:space="preserve">School of Medical Sciences, </w:t>
      </w:r>
      <w:bookmarkStart w:id="2" w:name="_Hlk135830923"/>
      <w:r w:rsidR="00BE668F" w:rsidRPr="00F54546">
        <w:rPr>
          <w:rFonts w:ascii="Times New Roman" w:hAnsi="Times New Roman" w:cs="Times New Roman"/>
          <w:lang w:val="en-GB"/>
        </w:rPr>
        <w:t>Faculty of Medicine and Health</w:t>
      </w:r>
      <w:bookmarkEnd w:id="2"/>
      <w:r w:rsidR="00BE668F" w:rsidRPr="00F54546">
        <w:rPr>
          <w:rFonts w:ascii="Times New Roman" w:hAnsi="Times New Roman" w:cs="Times New Roman"/>
          <w:lang w:val="en-GB"/>
        </w:rPr>
        <w:t>, Örebro University, Örebro, Sweden</w:t>
      </w:r>
    </w:p>
    <w:p w14:paraId="51418531" w14:textId="33109E5D" w:rsidR="00BE668F" w:rsidRPr="00F54546" w:rsidRDefault="00865298" w:rsidP="00C15488">
      <w:pPr>
        <w:spacing w:after="0" w:line="240" w:lineRule="auto"/>
        <w:ind w:firstLine="0"/>
        <w:rPr>
          <w:rFonts w:ascii="Times New Roman" w:hAnsi="Times New Roman" w:cs="Times New Roman"/>
          <w:lang w:val="en-GB"/>
        </w:rPr>
      </w:pPr>
      <w:r w:rsidRPr="00F54546">
        <w:rPr>
          <w:rFonts w:ascii="Times New Roman" w:hAnsi="Times New Roman" w:cs="Times New Roman"/>
          <w:vertAlign w:val="superscript"/>
          <w:lang w:val="en-GB"/>
        </w:rPr>
        <w:t>4</w:t>
      </w:r>
      <w:r w:rsidR="00BE668F" w:rsidRPr="00F54546">
        <w:rPr>
          <w:rFonts w:ascii="Times New Roman" w:hAnsi="Times New Roman" w:cs="Times New Roman"/>
          <w:lang w:val="en-GB"/>
        </w:rPr>
        <w:t>Department of Medical Epidemiology and Biostatistics, Karolinska Institutet, Stockholm, Sweden</w:t>
      </w:r>
    </w:p>
    <w:p w14:paraId="7C63149C" w14:textId="77777777" w:rsidR="00554AE9" w:rsidRPr="00F54546" w:rsidRDefault="00554AE9" w:rsidP="00554AE9">
      <w:pPr>
        <w:spacing w:after="0" w:line="240" w:lineRule="auto"/>
        <w:ind w:firstLine="0"/>
        <w:rPr>
          <w:rFonts w:ascii="Times New Roman" w:eastAsia="Calibri" w:hAnsi="Times New Roman" w:cs="Times New Roman"/>
          <w:lang w:val="en-GB"/>
        </w:rPr>
      </w:pPr>
      <w:r w:rsidRPr="00F54546">
        <w:rPr>
          <w:rFonts w:ascii="Times New Roman" w:eastAsia="Calibri" w:hAnsi="Times New Roman" w:cs="Times New Roman"/>
          <w:vertAlign w:val="superscript"/>
          <w:lang w:val="en-GB"/>
        </w:rPr>
        <w:t>5</w:t>
      </w:r>
      <w:r w:rsidRPr="00F54546">
        <w:rPr>
          <w:rFonts w:ascii="Times New Roman" w:eastAsia="Calibri" w:hAnsi="Times New Roman" w:cs="Times New Roman"/>
          <w:lang w:val="en-GB"/>
        </w:rPr>
        <w:t>Department of Global Public Health and Primary Care, University of Bergen, Bergen, Norway</w:t>
      </w:r>
    </w:p>
    <w:p w14:paraId="20DCED30" w14:textId="5B8295BA" w:rsidR="00554AE9" w:rsidRPr="00F54546" w:rsidRDefault="00554AE9" w:rsidP="00C15488">
      <w:pPr>
        <w:spacing w:after="0" w:line="240" w:lineRule="auto"/>
        <w:ind w:firstLine="0"/>
        <w:rPr>
          <w:rFonts w:ascii="Times New Roman" w:eastAsia="Calibri" w:hAnsi="Times New Roman" w:cs="Times New Roman"/>
          <w:lang w:val="en-GB"/>
        </w:rPr>
      </w:pPr>
      <w:r w:rsidRPr="00F54546">
        <w:rPr>
          <w:rFonts w:ascii="Times New Roman" w:eastAsia="Calibri" w:hAnsi="Times New Roman" w:cs="Times New Roman"/>
          <w:vertAlign w:val="superscript"/>
          <w:lang w:val="en-GB"/>
        </w:rPr>
        <w:t>6</w:t>
      </w:r>
      <w:r w:rsidRPr="00F54546">
        <w:rPr>
          <w:rFonts w:ascii="Times New Roman" w:eastAsia="Calibri" w:hAnsi="Times New Roman" w:cs="Times New Roman"/>
          <w:lang w:val="en-GB"/>
        </w:rPr>
        <w:t>Department of Biomedicine, Aarhus University, Aarhus C, Denmark</w:t>
      </w:r>
    </w:p>
    <w:p w14:paraId="2448DE8B" w14:textId="7EA12BED" w:rsidR="00053C9C" w:rsidRPr="00F54546" w:rsidRDefault="00554AE9" w:rsidP="00C15488">
      <w:pPr>
        <w:spacing w:after="0" w:line="240" w:lineRule="auto"/>
        <w:ind w:firstLine="0"/>
        <w:rPr>
          <w:rFonts w:ascii="Times New Roman" w:eastAsia="Calibri" w:hAnsi="Times New Roman" w:cs="Times New Roman"/>
          <w:lang w:val="en-GB"/>
        </w:rPr>
      </w:pPr>
      <w:r w:rsidRPr="00F54546">
        <w:rPr>
          <w:rFonts w:ascii="Times New Roman" w:eastAsia="Calibri" w:hAnsi="Times New Roman" w:cs="Times New Roman"/>
          <w:vertAlign w:val="superscript"/>
          <w:lang w:val="en-GB"/>
        </w:rPr>
        <w:t>7</w:t>
      </w:r>
      <w:r w:rsidR="00053C9C" w:rsidRPr="00F54546">
        <w:rPr>
          <w:rFonts w:ascii="Times New Roman" w:eastAsia="Calibri" w:hAnsi="Times New Roman" w:cs="Times New Roman"/>
          <w:lang w:val="en-GB"/>
        </w:rPr>
        <w:t>The Department of Psychological and Brain Sciences at Indiana University, Bloomington, IN, USA</w:t>
      </w:r>
    </w:p>
    <w:p w14:paraId="34C621D4" w14:textId="2ED0023F" w:rsidR="001C6EA0" w:rsidRPr="00F54546" w:rsidRDefault="00554AE9" w:rsidP="00C15488">
      <w:pPr>
        <w:spacing w:after="0" w:line="240" w:lineRule="auto"/>
        <w:ind w:firstLine="0"/>
        <w:rPr>
          <w:rFonts w:ascii="Times New Roman" w:hAnsi="Times New Roman" w:cs="Times New Roman"/>
          <w:lang w:val="en-GB"/>
        </w:rPr>
      </w:pPr>
      <w:r w:rsidRPr="00F54546">
        <w:rPr>
          <w:rFonts w:ascii="Times New Roman" w:hAnsi="Times New Roman" w:cs="Times New Roman"/>
          <w:vertAlign w:val="superscript"/>
          <w:lang w:val="en-GB"/>
        </w:rPr>
        <w:t>8</w:t>
      </w:r>
      <w:r w:rsidR="001C6EA0" w:rsidRPr="00F54546">
        <w:rPr>
          <w:rFonts w:ascii="Times New Roman" w:hAnsi="Times New Roman" w:cs="Times New Roman"/>
          <w:lang w:val="en-GB"/>
        </w:rPr>
        <w:t>Departments of Psychiatry and Pediatrics, Icahn School of Medicine at Mount Sinai, New York, NY, USA</w:t>
      </w:r>
    </w:p>
    <w:p w14:paraId="51F5D6E5" w14:textId="7721883F" w:rsidR="001C6EA0" w:rsidRPr="00F54546" w:rsidRDefault="00554AE9" w:rsidP="00C15488">
      <w:pPr>
        <w:spacing w:after="0" w:line="240" w:lineRule="auto"/>
        <w:ind w:firstLine="0"/>
        <w:rPr>
          <w:rFonts w:ascii="Times New Roman" w:hAnsi="Times New Roman" w:cs="Times New Roman"/>
          <w:lang w:val="en-GB"/>
        </w:rPr>
      </w:pPr>
      <w:r w:rsidRPr="00F54546">
        <w:rPr>
          <w:rFonts w:ascii="Times New Roman" w:hAnsi="Times New Roman" w:cs="Times New Roman"/>
          <w:vertAlign w:val="superscript"/>
          <w:lang w:val="en-GB"/>
        </w:rPr>
        <w:t>9</w:t>
      </w:r>
      <w:r w:rsidR="001C6EA0" w:rsidRPr="00F54546">
        <w:rPr>
          <w:rFonts w:ascii="Times New Roman" w:hAnsi="Times New Roman" w:cs="Times New Roman"/>
          <w:lang w:val="en-GB"/>
        </w:rPr>
        <w:t xml:space="preserve">Departments of Psychiatry and of Neuroscience and Physiology, </w:t>
      </w:r>
      <w:r w:rsidR="00C25968">
        <w:rPr>
          <w:rFonts w:ascii="Times New Roman" w:hAnsi="Times New Roman" w:cs="Times New Roman"/>
          <w:lang w:val="en-GB"/>
        </w:rPr>
        <w:t xml:space="preserve">Norton College of Medicine, </w:t>
      </w:r>
      <w:r w:rsidR="001C6EA0" w:rsidRPr="00F54546">
        <w:rPr>
          <w:rFonts w:ascii="Times New Roman" w:hAnsi="Times New Roman" w:cs="Times New Roman"/>
          <w:lang w:val="en-GB"/>
        </w:rPr>
        <w:t>SUNY Upstate Medical University, Syracuse, NY, USA</w:t>
      </w:r>
    </w:p>
    <w:p w14:paraId="29D41A0C" w14:textId="055D7612" w:rsidR="00BE668F" w:rsidRPr="00F54546" w:rsidRDefault="00554AE9" w:rsidP="00C15488">
      <w:pPr>
        <w:spacing w:after="0" w:line="240" w:lineRule="auto"/>
        <w:ind w:firstLine="0"/>
        <w:rPr>
          <w:rFonts w:ascii="Times New Roman" w:hAnsi="Times New Roman" w:cs="Times New Roman"/>
          <w:lang w:val="en-GB"/>
        </w:rPr>
      </w:pPr>
      <w:r w:rsidRPr="00F54546">
        <w:rPr>
          <w:rFonts w:ascii="Times New Roman" w:hAnsi="Times New Roman" w:cs="Times New Roman"/>
          <w:vertAlign w:val="superscript"/>
          <w:lang w:val="en-GB"/>
        </w:rPr>
        <w:t>10</w:t>
      </w:r>
      <w:r w:rsidR="00BE668F" w:rsidRPr="00F54546">
        <w:rPr>
          <w:rFonts w:ascii="Times New Roman" w:hAnsi="Times New Roman" w:cs="Times New Roman"/>
          <w:lang w:val="en-GB"/>
        </w:rPr>
        <w:t>Clinical and Experimental Sciences (CNS and Psychiatry), Faculty of Medicine,</w:t>
      </w:r>
    </w:p>
    <w:p w14:paraId="48F80458" w14:textId="77777777" w:rsidR="00BE668F" w:rsidRPr="00F54546" w:rsidRDefault="00BE668F" w:rsidP="00C15488">
      <w:pPr>
        <w:spacing w:after="0" w:line="240" w:lineRule="auto"/>
        <w:ind w:firstLine="0"/>
        <w:rPr>
          <w:rFonts w:ascii="Times New Roman" w:hAnsi="Times New Roman" w:cs="Times New Roman"/>
          <w:lang w:val="en-GB"/>
        </w:rPr>
      </w:pPr>
      <w:r w:rsidRPr="00F54546">
        <w:rPr>
          <w:rFonts w:ascii="Times New Roman" w:hAnsi="Times New Roman" w:cs="Times New Roman"/>
          <w:lang w:val="en-GB"/>
        </w:rPr>
        <w:t>University of Southampton, Southampton, UK</w:t>
      </w:r>
    </w:p>
    <w:p w14:paraId="30A696E4" w14:textId="1BFFAC85" w:rsidR="00BE668F" w:rsidRPr="00F54546" w:rsidRDefault="00554AE9" w:rsidP="00C15488">
      <w:pPr>
        <w:spacing w:after="0" w:line="240" w:lineRule="auto"/>
        <w:ind w:firstLine="0"/>
        <w:rPr>
          <w:rFonts w:ascii="Times New Roman" w:hAnsi="Times New Roman" w:cs="Times New Roman"/>
          <w:lang w:val="en-GB"/>
        </w:rPr>
      </w:pPr>
      <w:r w:rsidRPr="00F54546">
        <w:rPr>
          <w:rFonts w:ascii="Times New Roman" w:hAnsi="Times New Roman" w:cs="Times New Roman"/>
          <w:vertAlign w:val="superscript"/>
          <w:lang w:val="en-GB"/>
        </w:rPr>
        <w:t>11</w:t>
      </w:r>
      <w:r w:rsidR="00BE668F" w:rsidRPr="00F54546">
        <w:rPr>
          <w:rFonts w:ascii="Times New Roman" w:hAnsi="Times New Roman" w:cs="Times New Roman"/>
          <w:lang w:val="en-GB"/>
        </w:rPr>
        <w:t>Hassenfeld Children’s Hospital at NYU Langone, New York University Child Study Center, New York City, New York, USA</w:t>
      </w:r>
    </w:p>
    <w:p w14:paraId="455E3BC5" w14:textId="3DCC22E2" w:rsidR="00A12B6A" w:rsidRPr="00F54546" w:rsidRDefault="00554AE9" w:rsidP="00C15488">
      <w:pPr>
        <w:spacing w:after="0" w:line="240" w:lineRule="auto"/>
        <w:ind w:firstLine="0"/>
        <w:rPr>
          <w:rFonts w:ascii="Times New Roman" w:eastAsia="Calibri" w:hAnsi="Times New Roman" w:cs="Times New Roman"/>
          <w:lang w:val="en-GB"/>
        </w:rPr>
      </w:pPr>
      <w:r w:rsidRPr="00F54546">
        <w:rPr>
          <w:rFonts w:ascii="Times New Roman" w:eastAsia="Calibri" w:hAnsi="Times New Roman" w:cs="Times New Roman"/>
          <w:vertAlign w:val="superscript"/>
          <w:lang w:val="en-GB"/>
        </w:rPr>
        <w:t>12</w:t>
      </w:r>
      <w:r w:rsidR="00A12B6A" w:rsidRPr="00F54546">
        <w:rPr>
          <w:rFonts w:ascii="Times New Roman" w:eastAsia="Calibri" w:hAnsi="Times New Roman" w:cs="Times New Roman"/>
          <w:lang w:val="en-GB"/>
        </w:rPr>
        <w:t>DiMePRe-J-Department of Precision and Regenerative Medicine-Jonic Area, University of Bari "Aldo Moro", Bari, Italy.</w:t>
      </w:r>
    </w:p>
    <w:p w14:paraId="52884543" w14:textId="77777777" w:rsidR="00145BC5" w:rsidRPr="00F54546" w:rsidRDefault="00145BC5" w:rsidP="00BE668F">
      <w:pPr>
        <w:spacing w:after="0" w:line="276" w:lineRule="auto"/>
        <w:ind w:firstLine="0"/>
        <w:rPr>
          <w:rFonts w:ascii="Times New Roman" w:eastAsia="Calibri" w:hAnsi="Times New Roman" w:cs="Times New Roman"/>
          <w:szCs w:val="28"/>
          <w:lang w:val="en-GB"/>
        </w:rPr>
      </w:pPr>
    </w:p>
    <w:p w14:paraId="71BCB75E" w14:textId="77777777" w:rsidR="004A4FD4" w:rsidRPr="00F54546" w:rsidRDefault="004A4FD4" w:rsidP="00BE668F">
      <w:pPr>
        <w:spacing w:after="0" w:line="276" w:lineRule="auto"/>
        <w:ind w:firstLine="0"/>
        <w:rPr>
          <w:rFonts w:ascii="Times New Roman" w:eastAsia="Calibri" w:hAnsi="Times New Roman" w:cs="Times New Roman"/>
          <w:b/>
          <w:bCs/>
          <w:szCs w:val="28"/>
          <w:lang w:val="en-GB"/>
        </w:rPr>
      </w:pPr>
    </w:p>
    <w:p w14:paraId="455C0FDC" w14:textId="77777777" w:rsidR="000D73BB" w:rsidRPr="00F54546" w:rsidRDefault="000D73BB" w:rsidP="00BE668F">
      <w:pPr>
        <w:spacing w:after="0" w:line="276" w:lineRule="auto"/>
        <w:ind w:firstLine="0"/>
        <w:rPr>
          <w:rFonts w:ascii="Times New Roman" w:eastAsia="Calibri" w:hAnsi="Times New Roman" w:cs="Times New Roman"/>
          <w:b/>
          <w:bCs/>
          <w:szCs w:val="28"/>
          <w:lang w:val="en-GB"/>
        </w:rPr>
      </w:pPr>
    </w:p>
    <w:p w14:paraId="3A514136" w14:textId="2B803D4F" w:rsidR="00145BC5" w:rsidRPr="00F54546" w:rsidRDefault="001C6EA0" w:rsidP="00BE668F">
      <w:pPr>
        <w:spacing w:after="0" w:line="276" w:lineRule="auto"/>
        <w:ind w:firstLine="0"/>
        <w:rPr>
          <w:rFonts w:ascii="Times New Roman" w:eastAsia="Calibri" w:hAnsi="Times New Roman" w:cs="Times New Roman"/>
          <w:b/>
          <w:bCs/>
          <w:szCs w:val="28"/>
          <w:lang w:val="en-GB"/>
        </w:rPr>
      </w:pPr>
      <w:r w:rsidRPr="00F54546">
        <w:rPr>
          <w:rFonts w:ascii="Times New Roman" w:eastAsia="Calibri" w:hAnsi="Times New Roman" w:cs="Times New Roman"/>
          <w:b/>
          <w:bCs/>
          <w:szCs w:val="28"/>
          <w:lang w:val="en-GB"/>
        </w:rPr>
        <w:t># Shared last authorship</w:t>
      </w:r>
    </w:p>
    <w:p w14:paraId="54292616" w14:textId="77777777" w:rsidR="00145BC5" w:rsidRPr="00F54546" w:rsidRDefault="00145BC5" w:rsidP="00BE668F">
      <w:pPr>
        <w:spacing w:after="0" w:line="276" w:lineRule="auto"/>
        <w:ind w:firstLine="0"/>
        <w:rPr>
          <w:rFonts w:ascii="Times New Roman" w:eastAsia="Calibri" w:hAnsi="Times New Roman" w:cs="Times New Roman"/>
          <w:szCs w:val="28"/>
          <w:lang w:val="en-GB"/>
        </w:rPr>
      </w:pPr>
    </w:p>
    <w:p w14:paraId="2865DBB4" w14:textId="77777777" w:rsidR="00145BC5" w:rsidRPr="00F54546" w:rsidRDefault="00145BC5" w:rsidP="00BE668F">
      <w:pPr>
        <w:spacing w:after="0" w:line="276" w:lineRule="auto"/>
        <w:ind w:firstLine="0"/>
        <w:rPr>
          <w:rFonts w:ascii="Times New Roman" w:eastAsia="Calibri" w:hAnsi="Times New Roman" w:cs="Times New Roman"/>
          <w:szCs w:val="28"/>
          <w:lang w:val="en-GB"/>
        </w:rPr>
      </w:pPr>
    </w:p>
    <w:p w14:paraId="2DBB034D" w14:textId="77777777" w:rsidR="00BE668F" w:rsidRPr="00F54546" w:rsidRDefault="00BE668F" w:rsidP="00BE668F">
      <w:pPr>
        <w:spacing w:line="240" w:lineRule="auto"/>
        <w:jc w:val="center"/>
        <w:rPr>
          <w:rFonts w:ascii="Times New Roman" w:hAnsi="Times New Roman" w:cs="Times New Roman"/>
          <w:b/>
          <w:sz w:val="22"/>
          <w:lang w:val="en-GB"/>
        </w:rPr>
      </w:pPr>
    </w:p>
    <w:p w14:paraId="7A7A5E43" w14:textId="77777777" w:rsidR="00BE668F" w:rsidRPr="00F54546" w:rsidRDefault="00BE668F" w:rsidP="00BE668F">
      <w:pPr>
        <w:spacing w:line="240" w:lineRule="auto"/>
        <w:jc w:val="center"/>
        <w:rPr>
          <w:rFonts w:ascii="Times New Roman" w:hAnsi="Times New Roman" w:cs="Times New Roman"/>
          <w:b/>
          <w:sz w:val="22"/>
          <w:vertAlign w:val="superscript"/>
          <w:lang w:val="en-GB"/>
        </w:rPr>
      </w:pPr>
      <w:r w:rsidRPr="00F54546">
        <w:rPr>
          <w:rFonts w:ascii="Times New Roman" w:hAnsi="Times New Roman" w:cs="Times New Roman"/>
          <w:b/>
          <w:sz w:val="22"/>
          <w:lang w:val="en-GB"/>
        </w:rPr>
        <w:t>Author notes</w:t>
      </w:r>
    </w:p>
    <w:p w14:paraId="437F2082" w14:textId="22C21211" w:rsidR="00BE668F" w:rsidRPr="00F54546" w:rsidRDefault="00BE668F" w:rsidP="00BE668F">
      <w:pPr>
        <w:spacing w:line="240" w:lineRule="auto"/>
        <w:ind w:firstLine="0"/>
        <w:rPr>
          <w:rFonts w:ascii="Times New Roman" w:hAnsi="Times New Roman" w:cs="Times New Roman"/>
          <w:iCs/>
          <w:sz w:val="22"/>
          <w:lang w:val="en-GB"/>
        </w:rPr>
      </w:pPr>
      <w:r w:rsidRPr="00F54546">
        <w:rPr>
          <w:rFonts w:ascii="Times New Roman" w:hAnsi="Times New Roman" w:cs="Times New Roman"/>
          <w:sz w:val="22"/>
          <w:lang w:val="en-GB"/>
        </w:rPr>
        <w:t xml:space="preserve">*Correspondence concerning this article should be addressed to Miguel Garcia-Argibay, </w:t>
      </w:r>
      <w:r w:rsidR="002C1CC5" w:rsidRPr="00F54546">
        <w:rPr>
          <w:rFonts w:ascii="Times New Roman" w:hAnsi="Times New Roman" w:cs="Times New Roman"/>
          <w:sz w:val="22"/>
          <w:lang w:val="en-GB"/>
        </w:rPr>
        <w:t xml:space="preserve">School of Psychology, University of Southampton, </w:t>
      </w:r>
      <w:r w:rsidR="00804EE6" w:rsidRPr="00F54546">
        <w:rPr>
          <w:rFonts w:ascii="Times New Roman" w:hAnsi="Times New Roman" w:cs="Times New Roman"/>
          <w:sz w:val="22"/>
          <w:lang w:val="en-GB"/>
        </w:rPr>
        <w:t xml:space="preserve">Highfield Campus, </w:t>
      </w:r>
      <w:r w:rsidR="002C1CC5" w:rsidRPr="00F54546">
        <w:rPr>
          <w:rFonts w:ascii="Times New Roman" w:hAnsi="Times New Roman" w:cs="Times New Roman"/>
          <w:sz w:val="22"/>
          <w:lang w:val="en-GB"/>
        </w:rPr>
        <w:t>Southampton, UK</w:t>
      </w:r>
      <w:r w:rsidRPr="00F54546">
        <w:rPr>
          <w:rFonts w:ascii="Times New Roman" w:hAnsi="Times New Roman" w:cs="Times New Roman"/>
          <w:sz w:val="22"/>
          <w:lang w:val="en-GB"/>
        </w:rPr>
        <w:t xml:space="preserve">. E-mail: </w:t>
      </w:r>
      <w:hyperlink r:id="rId6" w:history="1">
        <w:r w:rsidR="005133F0" w:rsidRPr="00F54546">
          <w:rPr>
            <w:rStyle w:val="Hyperlink"/>
            <w:rFonts w:ascii="Times New Roman" w:hAnsi="Times New Roman" w:cs="Times New Roman"/>
            <w:iCs/>
            <w:sz w:val="22"/>
            <w:lang w:val="en-GB"/>
          </w:rPr>
          <w:t>M.Garcia-Argibay@soton.ac</w:t>
        </w:r>
      </w:hyperlink>
      <w:r w:rsidR="005133F0" w:rsidRPr="00F54546">
        <w:rPr>
          <w:rStyle w:val="Hyperlink"/>
          <w:rFonts w:ascii="Times New Roman" w:hAnsi="Times New Roman" w:cs="Times New Roman"/>
          <w:iCs/>
          <w:sz w:val="22"/>
          <w:lang w:val="en-GB"/>
        </w:rPr>
        <w:t>.uk</w:t>
      </w:r>
    </w:p>
    <w:p w14:paraId="7F0EF1EA" w14:textId="04D486EE" w:rsidR="00BE668F" w:rsidRPr="0018735E" w:rsidRDefault="00BE668F" w:rsidP="00BE668F">
      <w:pPr>
        <w:pStyle w:val="Heading1"/>
        <w:rPr>
          <w:sz w:val="22"/>
          <w:szCs w:val="22"/>
          <w:lang w:val="en-GB"/>
        </w:rPr>
      </w:pPr>
      <w:r w:rsidRPr="00F54546">
        <w:rPr>
          <w:lang w:val="en-GB"/>
        </w:rPr>
        <w:br w:type="page"/>
      </w:r>
      <w:r w:rsidR="00CB0C53" w:rsidRPr="0018735E">
        <w:rPr>
          <w:sz w:val="22"/>
          <w:szCs w:val="22"/>
          <w:lang w:val="en-GB"/>
        </w:rPr>
        <w:lastRenderedPageBreak/>
        <w:t>Summary</w:t>
      </w:r>
    </w:p>
    <w:p w14:paraId="5A987707" w14:textId="77777777" w:rsidR="00335D0A" w:rsidRPr="0018735E" w:rsidRDefault="007433B4" w:rsidP="007433B4">
      <w:pPr>
        <w:pStyle w:val="whitespace-pre-wrap"/>
        <w:rPr>
          <w:sz w:val="22"/>
          <w:szCs w:val="22"/>
          <w:lang w:val="en-GB"/>
        </w:rPr>
      </w:pPr>
      <w:r w:rsidRPr="0018735E">
        <w:rPr>
          <w:b/>
          <w:bCs/>
          <w:sz w:val="22"/>
          <w:szCs w:val="22"/>
          <w:lang w:val="en-GB"/>
        </w:rPr>
        <w:t>Background</w:t>
      </w:r>
    </w:p>
    <w:p w14:paraId="1E9A69CF" w14:textId="0A402A03" w:rsidR="007433B4" w:rsidRPr="0018735E" w:rsidRDefault="007433B4" w:rsidP="007433B4">
      <w:pPr>
        <w:pStyle w:val="whitespace-pre-wrap"/>
        <w:rPr>
          <w:sz w:val="22"/>
          <w:szCs w:val="22"/>
          <w:lang w:val="en-GB"/>
        </w:rPr>
      </w:pPr>
      <w:r w:rsidRPr="0018735E">
        <w:rPr>
          <w:sz w:val="22"/>
          <w:szCs w:val="22"/>
          <w:lang w:val="en-GB"/>
        </w:rPr>
        <w:t>Randomi</w:t>
      </w:r>
      <w:r w:rsidR="007160AF" w:rsidRPr="0018735E">
        <w:rPr>
          <w:sz w:val="22"/>
          <w:szCs w:val="22"/>
          <w:lang w:val="en-GB"/>
        </w:rPr>
        <w:t>s</w:t>
      </w:r>
      <w:r w:rsidRPr="0018735E">
        <w:rPr>
          <w:sz w:val="22"/>
          <w:szCs w:val="22"/>
          <w:lang w:val="en-GB"/>
        </w:rPr>
        <w:t>ed controlled trials (RCTs) evaluating attention-deficit/hyperactivity disorder (ADHD) medications often use strict eligibility criteria, potentially limiting generali</w:t>
      </w:r>
      <w:r w:rsidR="007160AF" w:rsidRPr="0018735E">
        <w:rPr>
          <w:sz w:val="22"/>
          <w:szCs w:val="22"/>
          <w:lang w:val="en-GB"/>
        </w:rPr>
        <w:t>s</w:t>
      </w:r>
      <w:r w:rsidRPr="0018735E">
        <w:rPr>
          <w:sz w:val="22"/>
          <w:szCs w:val="22"/>
          <w:lang w:val="en-GB"/>
        </w:rPr>
        <w:t>abilit</w:t>
      </w:r>
      <w:r w:rsidR="003F4C55" w:rsidRPr="0018735E">
        <w:rPr>
          <w:sz w:val="22"/>
          <w:szCs w:val="22"/>
          <w:lang w:val="en-GB"/>
        </w:rPr>
        <w:t>y to patients in real-world clinical settings.</w:t>
      </w:r>
      <w:r w:rsidRPr="0018735E">
        <w:rPr>
          <w:sz w:val="22"/>
          <w:szCs w:val="22"/>
          <w:lang w:val="en-GB"/>
        </w:rPr>
        <w:t xml:space="preserve"> </w:t>
      </w:r>
      <w:r w:rsidR="00C00AFE" w:rsidRPr="0018735E">
        <w:rPr>
          <w:sz w:val="22"/>
          <w:szCs w:val="22"/>
          <w:lang w:val="en-GB"/>
        </w:rPr>
        <w:t>We</w:t>
      </w:r>
      <w:r w:rsidRPr="0018735E">
        <w:rPr>
          <w:sz w:val="22"/>
          <w:szCs w:val="22"/>
          <w:lang w:val="en-GB"/>
        </w:rPr>
        <w:t xml:space="preserve"> aimed </w:t>
      </w:r>
      <w:r w:rsidR="00F54546" w:rsidRPr="0018735E">
        <w:rPr>
          <w:sz w:val="22"/>
          <w:szCs w:val="22"/>
          <w:lang w:val="en-GB"/>
        </w:rPr>
        <w:t>to</w:t>
      </w:r>
      <w:r w:rsidRPr="0018735E">
        <w:rPr>
          <w:sz w:val="22"/>
          <w:szCs w:val="22"/>
          <w:lang w:val="en-GB"/>
        </w:rPr>
        <w:t xml:space="preserve"> </w:t>
      </w:r>
      <w:r w:rsidR="007160AF" w:rsidRPr="0018735E">
        <w:rPr>
          <w:sz w:val="22"/>
          <w:szCs w:val="22"/>
          <w:lang w:val="en-GB"/>
        </w:rPr>
        <w:t xml:space="preserve">1) </w:t>
      </w:r>
      <w:r w:rsidRPr="0018735E">
        <w:rPr>
          <w:sz w:val="22"/>
          <w:szCs w:val="22"/>
          <w:lang w:val="en-GB"/>
        </w:rPr>
        <w:t xml:space="preserve">determine the proportion of individuals with ADHD </w:t>
      </w:r>
      <w:r w:rsidR="007160AF" w:rsidRPr="0018735E">
        <w:rPr>
          <w:sz w:val="22"/>
          <w:szCs w:val="22"/>
          <w:lang w:val="en-GB"/>
        </w:rPr>
        <w:t xml:space="preserve">who would be </w:t>
      </w:r>
      <w:r w:rsidRPr="0018735E">
        <w:rPr>
          <w:sz w:val="22"/>
          <w:szCs w:val="22"/>
          <w:lang w:val="en-GB"/>
        </w:rPr>
        <w:t>ineligible for medication RCTs and</w:t>
      </w:r>
      <w:r w:rsidR="007160AF" w:rsidRPr="0018735E">
        <w:rPr>
          <w:sz w:val="22"/>
          <w:szCs w:val="22"/>
          <w:lang w:val="en-GB"/>
        </w:rPr>
        <w:t xml:space="preserve"> 2)</w:t>
      </w:r>
      <w:r w:rsidRPr="0018735E">
        <w:rPr>
          <w:sz w:val="22"/>
          <w:szCs w:val="22"/>
          <w:lang w:val="en-GB"/>
        </w:rPr>
        <w:t xml:space="preserve"> evaluate differences in treatment patterns and clinical</w:t>
      </w:r>
      <w:r w:rsidR="00C00AFE" w:rsidRPr="0018735E">
        <w:rPr>
          <w:sz w:val="22"/>
          <w:szCs w:val="22"/>
          <w:lang w:val="en-GB"/>
        </w:rPr>
        <w:t>/function</w:t>
      </w:r>
      <w:r w:rsidR="00197550" w:rsidRPr="0018735E">
        <w:rPr>
          <w:sz w:val="22"/>
          <w:szCs w:val="22"/>
          <w:lang w:val="en-GB"/>
        </w:rPr>
        <w:t xml:space="preserve">al </w:t>
      </w:r>
      <w:r w:rsidRPr="0018735E">
        <w:rPr>
          <w:sz w:val="22"/>
          <w:szCs w:val="22"/>
          <w:lang w:val="en-GB"/>
        </w:rPr>
        <w:t>outcomes between RCT-eligible and ineligible individuals.</w:t>
      </w:r>
    </w:p>
    <w:p w14:paraId="5AB6625E" w14:textId="77777777" w:rsidR="00335D0A" w:rsidRPr="0018735E" w:rsidRDefault="007433B4" w:rsidP="007433B4">
      <w:pPr>
        <w:pStyle w:val="whitespace-pre-wrap"/>
        <w:rPr>
          <w:sz w:val="22"/>
          <w:szCs w:val="22"/>
          <w:lang w:val="en-GB"/>
        </w:rPr>
      </w:pPr>
      <w:r w:rsidRPr="0018735E">
        <w:rPr>
          <w:b/>
          <w:bCs/>
          <w:sz w:val="22"/>
          <w:szCs w:val="22"/>
          <w:lang w:val="en-GB"/>
        </w:rPr>
        <w:t>Methods</w:t>
      </w:r>
    </w:p>
    <w:p w14:paraId="24D9FEF2" w14:textId="02969E96" w:rsidR="007433B4" w:rsidRPr="0085641E" w:rsidRDefault="00330C0C" w:rsidP="007433B4">
      <w:pPr>
        <w:pStyle w:val="whitespace-pre-wrap"/>
        <w:rPr>
          <w:sz w:val="22"/>
          <w:szCs w:val="22"/>
          <w:lang w:val="en-GB"/>
        </w:rPr>
      </w:pPr>
      <w:r>
        <w:rPr>
          <w:sz w:val="22"/>
          <w:szCs w:val="22"/>
          <w:lang w:val="en-GB"/>
        </w:rPr>
        <w:t>We</w:t>
      </w:r>
      <w:r w:rsidR="007433B4" w:rsidRPr="00330C0C">
        <w:rPr>
          <w:sz w:val="22"/>
          <w:szCs w:val="22"/>
          <w:lang w:val="en-GB"/>
        </w:rPr>
        <w:t xml:space="preserve"> used Swedish national registries to identify individuals with ADHD</w:t>
      </w:r>
      <w:r w:rsidR="00A77802" w:rsidRPr="00330C0C">
        <w:rPr>
          <w:sz w:val="22"/>
          <w:szCs w:val="22"/>
          <w:lang w:val="en-GB"/>
        </w:rPr>
        <w:t>,</w:t>
      </w:r>
      <w:r w:rsidR="007433B4" w:rsidRPr="00330C0C">
        <w:rPr>
          <w:sz w:val="22"/>
          <w:szCs w:val="22"/>
          <w:lang w:val="en-GB"/>
        </w:rPr>
        <w:t xml:space="preserve"> aged 4-68</w:t>
      </w:r>
      <w:r w:rsidR="00A77802" w:rsidRPr="00330C0C">
        <w:rPr>
          <w:sz w:val="22"/>
          <w:szCs w:val="22"/>
          <w:lang w:val="en-GB"/>
        </w:rPr>
        <w:t>,</w:t>
      </w:r>
      <w:r w:rsidR="007433B4" w:rsidRPr="00330C0C">
        <w:rPr>
          <w:sz w:val="22"/>
          <w:szCs w:val="22"/>
          <w:lang w:val="en-GB"/>
        </w:rPr>
        <w:t xml:space="preserve"> initiating pharmacological treatment between January 1, 2007, and December 31, 2019, with follow-up through December 31, 2020. </w:t>
      </w:r>
      <w:r w:rsidR="00FC0CD3" w:rsidRPr="00330C0C">
        <w:rPr>
          <w:sz w:val="22"/>
          <w:szCs w:val="22"/>
          <w:lang w:val="en-GB"/>
        </w:rPr>
        <w:t xml:space="preserve">Hypothetical </w:t>
      </w:r>
      <w:r w:rsidR="007433B4" w:rsidRPr="00330C0C">
        <w:rPr>
          <w:sz w:val="22"/>
          <w:szCs w:val="22"/>
          <w:lang w:val="en-GB"/>
        </w:rPr>
        <w:t xml:space="preserve">RCT </w:t>
      </w:r>
      <w:r w:rsidR="00ED6C10" w:rsidRPr="00330C0C">
        <w:rPr>
          <w:sz w:val="22"/>
          <w:szCs w:val="22"/>
          <w:lang w:val="en-GB"/>
        </w:rPr>
        <w:t>in</w:t>
      </w:r>
      <w:r w:rsidR="007433B4" w:rsidRPr="00330C0C">
        <w:rPr>
          <w:sz w:val="22"/>
          <w:szCs w:val="22"/>
          <w:lang w:val="en-GB"/>
        </w:rPr>
        <w:t xml:space="preserve">eligibility was determined using exclusion criteria from the </w:t>
      </w:r>
      <w:r w:rsidR="007160AF" w:rsidRPr="00330C0C">
        <w:rPr>
          <w:sz w:val="22"/>
          <w:szCs w:val="22"/>
          <w:lang w:val="en-GB"/>
        </w:rPr>
        <w:t xml:space="preserve">international </w:t>
      </w:r>
      <w:r w:rsidR="007433B4" w:rsidRPr="00330C0C">
        <w:rPr>
          <w:sz w:val="22"/>
          <w:szCs w:val="22"/>
          <w:lang w:val="en-GB"/>
        </w:rPr>
        <w:t>MED-ADHD dataset</w:t>
      </w:r>
      <w:r w:rsidR="007160AF" w:rsidRPr="00330C0C">
        <w:rPr>
          <w:sz w:val="22"/>
          <w:szCs w:val="22"/>
          <w:lang w:val="en-GB"/>
        </w:rPr>
        <w:t>, including 164 RCTs of ADHD medications</w:t>
      </w:r>
      <w:r w:rsidR="007433B4" w:rsidRPr="00330C0C">
        <w:rPr>
          <w:sz w:val="22"/>
          <w:szCs w:val="22"/>
          <w:lang w:val="en-GB"/>
        </w:rPr>
        <w:t xml:space="preserve">. </w:t>
      </w:r>
      <w:r w:rsidR="003F4C55" w:rsidRPr="00330C0C">
        <w:rPr>
          <w:sz w:val="22"/>
          <w:szCs w:val="22"/>
          <w:lang w:val="en-GB"/>
        </w:rPr>
        <w:t>Cox models evaluated differences in medication switching and discontinuation within 1 year</w:t>
      </w:r>
      <w:r w:rsidR="00C00AFE" w:rsidRPr="00330C0C">
        <w:rPr>
          <w:sz w:val="22"/>
          <w:szCs w:val="22"/>
          <w:lang w:val="en-GB"/>
        </w:rPr>
        <w:t xml:space="preserve"> between eligible and ineligible individuals</w:t>
      </w:r>
      <w:r w:rsidR="003F4C55" w:rsidRPr="00330C0C">
        <w:rPr>
          <w:sz w:val="22"/>
          <w:szCs w:val="22"/>
          <w:lang w:val="en-GB"/>
        </w:rPr>
        <w:t>. Poisson models compared eligible and ineligible individuals on rates of psychiatric hospitalizations, injuries/accidents, and substance misuse within 1 year of initiating ADHD medications.</w:t>
      </w:r>
      <w:r w:rsidR="00C630A1" w:rsidRPr="00330C0C">
        <w:rPr>
          <w:sz w:val="22"/>
          <w:szCs w:val="22"/>
        </w:rPr>
        <w:t xml:space="preserve"> </w:t>
      </w:r>
      <w:bookmarkStart w:id="3" w:name="_Hlk181208502"/>
      <w:r w:rsidR="00C630A1" w:rsidRPr="00330C0C">
        <w:rPr>
          <w:sz w:val="22"/>
          <w:szCs w:val="22"/>
          <w:lang w:val="en-GB"/>
        </w:rPr>
        <w:t xml:space="preserve">People with lived experience were not </w:t>
      </w:r>
      <w:r w:rsidR="00C630A1" w:rsidRPr="0085641E">
        <w:rPr>
          <w:sz w:val="22"/>
          <w:szCs w:val="22"/>
          <w:lang w:val="en-GB"/>
        </w:rPr>
        <w:t>involved in the research and writing process</w:t>
      </w:r>
      <w:r w:rsidR="00DF6D4A" w:rsidRPr="00DF6D4A">
        <w:rPr>
          <w:sz w:val="22"/>
          <w:szCs w:val="22"/>
          <w:lang w:val="en-GB"/>
        </w:rPr>
        <w:t>.</w:t>
      </w:r>
      <w:bookmarkEnd w:id="3"/>
      <w:r w:rsidR="00216C90" w:rsidRPr="0085641E">
        <w:rPr>
          <w:sz w:val="22"/>
          <w:szCs w:val="22"/>
        </w:rPr>
        <w:t xml:space="preserve"> </w:t>
      </w:r>
      <w:bookmarkStart w:id="4" w:name="_Hlk181208829"/>
      <w:r w:rsidR="00216C90" w:rsidRPr="0085641E">
        <w:rPr>
          <w:sz w:val="22"/>
          <w:szCs w:val="22"/>
          <w:lang w:val="en-GB"/>
        </w:rPr>
        <w:t>Ethnicity data were not available.</w:t>
      </w:r>
      <w:bookmarkEnd w:id="4"/>
    </w:p>
    <w:p w14:paraId="4E31F61D" w14:textId="77777777" w:rsidR="00335D0A" w:rsidRPr="0085641E" w:rsidRDefault="007433B4" w:rsidP="007433B4">
      <w:pPr>
        <w:pStyle w:val="whitespace-pre-wrap"/>
        <w:rPr>
          <w:sz w:val="22"/>
          <w:szCs w:val="22"/>
          <w:lang w:val="en-GB"/>
        </w:rPr>
      </w:pPr>
      <w:r w:rsidRPr="0085641E">
        <w:rPr>
          <w:b/>
          <w:bCs/>
          <w:sz w:val="22"/>
          <w:szCs w:val="22"/>
          <w:lang w:val="en-GB"/>
        </w:rPr>
        <w:t>Outcomes</w:t>
      </w:r>
    </w:p>
    <w:p w14:paraId="5A164E19" w14:textId="1CC5BC7B" w:rsidR="007433B4" w:rsidRPr="0085641E" w:rsidRDefault="00A77802" w:rsidP="007433B4">
      <w:pPr>
        <w:pStyle w:val="whitespace-pre-wrap"/>
        <w:rPr>
          <w:sz w:val="22"/>
          <w:szCs w:val="22"/>
          <w:lang w:val="en-GB"/>
        </w:rPr>
      </w:pPr>
      <w:r w:rsidRPr="0085641E">
        <w:rPr>
          <w:sz w:val="22"/>
          <w:szCs w:val="22"/>
          <w:lang w:val="en-GB"/>
        </w:rPr>
        <w:t xml:space="preserve">Out of </w:t>
      </w:r>
      <w:r w:rsidR="003F4C55" w:rsidRPr="0085641E">
        <w:rPr>
          <w:sz w:val="22"/>
          <w:szCs w:val="22"/>
          <w:lang w:val="en-GB"/>
        </w:rPr>
        <w:t xml:space="preserve">189,699 </w:t>
      </w:r>
      <w:r w:rsidRPr="0085641E">
        <w:rPr>
          <w:sz w:val="22"/>
          <w:szCs w:val="22"/>
          <w:lang w:val="en-GB"/>
        </w:rPr>
        <w:t>individuals</w:t>
      </w:r>
      <w:r w:rsidR="00335D0A" w:rsidRPr="0085641E">
        <w:rPr>
          <w:sz w:val="22"/>
          <w:szCs w:val="22"/>
          <w:lang w:val="en-GB"/>
        </w:rPr>
        <w:t xml:space="preserve"> </w:t>
      </w:r>
      <w:r w:rsidR="00FB2D5E" w:rsidRPr="0085641E">
        <w:rPr>
          <w:sz w:val="22"/>
          <w:szCs w:val="22"/>
          <w:lang w:val="en-GB"/>
        </w:rPr>
        <w:t>(112,153 males [59%] and 77,546 [41%] females</w:t>
      </w:r>
      <w:r w:rsidR="00C630A1" w:rsidRPr="0085641E">
        <w:rPr>
          <w:sz w:val="22"/>
          <w:szCs w:val="22"/>
          <w:lang w:val="en-GB"/>
        </w:rPr>
        <w:t xml:space="preserve">; </w:t>
      </w:r>
      <w:bookmarkStart w:id="5" w:name="_Hlk181208363"/>
      <w:r w:rsidR="00C630A1" w:rsidRPr="0085641E">
        <w:rPr>
          <w:sz w:val="22"/>
          <w:szCs w:val="22"/>
          <w:lang w:val="en-GB"/>
        </w:rPr>
        <w:t>mean age=21[range 4-68] years</w:t>
      </w:r>
      <w:r w:rsidR="00FB2D5E" w:rsidRPr="0085641E">
        <w:rPr>
          <w:sz w:val="22"/>
          <w:szCs w:val="22"/>
          <w:lang w:val="en-GB"/>
        </w:rPr>
        <w:t xml:space="preserve">) </w:t>
      </w:r>
      <w:bookmarkEnd w:id="5"/>
      <w:r w:rsidR="003F4C55" w:rsidRPr="0085641E">
        <w:rPr>
          <w:sz w:val="22"/>
          <w:szCs w:val="22"/>
          <w:lang w:val="en-GB"/>
        </w:rPr>
        <w:t>initiating ADHD medication</w:t>
      </w:r>
      <w:r w:rsidRPr="0085641E">
        <w:rPr>
          <w:sz w:val="22"/>
          <w:szCs w:val="22"/>
          <w:lang w:val="en-GB"/>
        </w:rPr>
        <w:t>,</w:t>
      </w:r>
      <w:r w:rsidR="003F4C55" w:rsidRPr="0085641E">
        <w:rPr>
          <w:sz w:val="22"/>
          <w:szCs w:val="22"/>
          <w:lang w:val="en-GB"/>
        </w:rPr>
        <w:t xml:space="preserve"> </w:t>
      </w:r>
      <w:r w:rsidRPr="0085641E">
        <w:rPr>
          <w:sz w:val="22"/>
          <w:szCs w:val="22"/>
          <w:lang w:val="en-GB"/>
        </w:rPr>
        <w:t>53% (</w:t>
      </w:r>
      <w:r w:rsidRPr="0085641E">
        <w:rPr>
          <w:rFonts w:eastAsia="Aptos"/>
          <w:kern w:val="2"/>
          <w:sz w:val="22"/>
          <w:szCs w:val="22"/>
          <w:lang w:val="en-GB"/>
          <w14:ligatures w14:val="standardContextual"/>
        </w:rPr>
        <w:t>74%</w:t>
      </w:r>
      <w:r w:rsidR="0020372A">
        <w:rPr>
          <w:rFonts w:eastAsia="Aptos"/>
          <w:kern w:val="2"/>
          <w:sz w:val="22"/>
          <w:szCs w:val="22"/>
          <w:lang w:val="en-GB"/>
          <w14:ligatures w14:val="standardContextual"/>
        </w:rPr>
        <w:t xml:space="preserve"> of adults</w:t>
      </w:r>
      <w:r w:rsidRPr="0085641E">
        <w:rPr>
          <w:rFonts w:eastAsia="Aptos"/>
          <w:kern w:val="2"/>
          <w:sz w:val="22"/>
          <w:szCs w:val="22"/>
          <w:lang w:val="en-GB"/>
          <w14:ligatures w14:val="standardContextual"/>
        </w:rPr>
        <w:t>, 35%</w:t>
      </w:r>
      <w:r w:rsidR="0020372A">
        <w:rPr>
          <w:rFonts w:eastAsia="Aptos"/>
          <w:kern w:val="2"/>
          <w:sz w:val="22"/>
          <w:szCs w:val="22"/>
          <w:lang w:val="en-GB"/>
          <w14:ligatures w14:val="standardContextual"/>
        </w:rPr>
        <w:t xml:space="preserve"> of adolescents</w:t>
      </w:r>
      <w:r w:rsidR="00F54546" w:rsidRPr="0085641E">
        <w:rPr>
          <w:rFonts w:eastAsia="Aptos"/>
          <w:kern w:val="2"/>
          <w:sz w:val="22"/>
          <w:szCs w:val="22"/>
          <w:lang w:val="en-GB"/>
          <w14:ligatures w14:val="standardContextual"/>
        </w:rPr>
        <w:t>,</w:t>
      </w:r>
      <w:r w:rsidRPr="0085641E">
        <w:rPr>
          <w:rFonts w:eastAsia="Aptos"/>
          <w:kern w:val="2"/>
          <w:sz w:val="22"/>
          <w:szCs w:val="22"/>
          <w:lang w:val="en-GB"/>
          <w14:ligatures w14:val="standardContextual"/>
        </w:rPr>
        <w:t xml:space="preserve"> </w:t>
      </w:r>
      <w:r w:rsidR="00F54546" w:rsidRPr="0085641E">
        <w:rPr>
          <w:rFonts w:eastAsia="Aptos"/>
          <w:kern w:val="2"/>
          <w:sz w:val="22"/>
          <w:szCs w:val="22"/>
          <w:lang w:val="en-GB"/>
          <w14:ligatures w14:val="standardContextual"/>
        </w:rPr>
        <w:t>and</w:t>
      </w:r>
      <w:r w:rsidRPr="0085641E">
        <w:rPr>
          <w:rFonts w:eastAsia="Aptos"/>
          <w:kern w:val="2"/>
          <w:sz w:val="22"/>
          <w:szCs w:val="22"/>
          <w:lang w:val="en-GB"/>
          <w14:ligatures w14:val="standardContextual"/>
        </w:rPr>
        <w:t xml:space="preserve"> 2</w:t>
      </w:r>
      <w:r w:rsidR="00002E03" w:rsidRPr="0085641E">
        <w:rPr>
          <w:rFonts w:eastAsia="Aptos"/>
          <w:kern w:val="2"/>
          <w:sz w:val="22"/>
          <w:szCs w:val="22"/>
          <w:lang w:val="en-GB"/>
          <w14:ligatures w14:val="standardContextual"/>
        </w:rPr>
        <w:t>1</w:t>
      </w:r>
      <w:r w:rsidRPr="0085641E">
        <w:rPr>
          <w:rFonts w:eastAsia="Aptos"/>
          <w:kern w:val="2"/>
          <w:sz w:val="22"/>
          <w:szCs w:val="22"/>
          <w:lang w:val="en-GB"/>
          <w14:ligatures w14:val="standardContextual"/>
        </w:rPr>
        <w:t>% of children)</w:t>
      </w:r>
      <w:r w:rsidRPr="0085641E" w:rsidDel="00A77802">
        <w:rPr>
          <w:sz w:val="22"/>
          <w:szCs w:val="22"/>
          <w:lang w:val="en-GB"/>
        </w:rPr>
        <w:t xml:space="preserve"> </w:t>
      </w:r>
      <w:r w:rsidR="008C1F0E" w:rsidRPr="0085641E">
        <w:rPr>
          <w:sz w:val="22"/>
          <w:szCs w:val="22"/>
          <w:lang w:val="en-GB"/>
        </w:rPr>
        <w:t>would have been</w:t>
      </w:r>
      <w:r w:rsidR="003F4C55" w:rsidRPr="0085641E">
        <w:rPr>
          <w:sz w:val="22"/>
          <w:szCs w:val="22"/>
          <w:lang w:val="en-GB"/>
        </w:rPr>
        <w:t xml:space="preserve"> ineligible for RCT participation. Ineligible individuals had a higher likelihood of treatment switching (HR=1</w:t>
      </w:r>
      <w:r w:rsidR="00C82BFB" w:rsidRPr="0085641E">
        <w:rPr>
          <w:sz w:val="22"/>
          <w:szCs w:val="22"/>
          <w:lang w:val="en-GB"/>
        </w:rPr>
        <w:t>·</w:t>
      </w:r>
      <w:r w:rsidR="003F4C55" w:rsidRPr="0085641E">
        <w:rPr>
          <w:sz w:val="22"/>
          <w:szCs w:val="22"/>
          <w:lang w:val="en-GB"/>
        </w:rPr>
        <w:t>15, 95% CI 1</w:t>
      </w:r>
      <w:r w:rsidR="00C82BFB" w:rsidRPr="0085641E">
        <w:rPr>
          <w:sz w:val="22"/>
          <w:szCs w:val="22"/>
          <w:lang w:val="en-GB"/>
        </w:rPr>
        <w:t>·</w:t>
      </w:r>
      <w:r w:rsidR="003F4C55" w:rsidRPr="0085641E">
        <w:rPr>
          <w:sz w:val="22"/>
          <w:szCs w:val="22"/>
          <w:lang w:val="en-GB"/>
        </w:rPr>
        <w:t>12-1</w:t>
      </w:r>
      <w:r w:rsidR="00C82BFB" w:rsidRPr="0085641E">
        <w:rPr>
          <w:sz w:val="22"/>
          <w:szCs w:val="22"/>
          <w:lang w:val="en-GB"/>
        </w:rPr>
        <w:t>·</w:t>
      </w:r>
      <w:r w:rsidR="003F4C55" w:rsidRPr="0085641E">
        <w:rPr>
          <w:sz w:val="22"/>
          <w:szCs w:val="22"/>
          <w:lang w:val="en-GB"/>
        </w:rPr>
        <w:t xml:space="preserve">17), </w:t>
      </w:r>
      <w:r w:rsidR="00C94B38" w:rsidRPr="0085641E">
        <w:rPr>
          <w:sz w:val="22"/>
          <w:szCs w:val="22"/>
          <w:lang w:val="en-GB"/>
        </w:rPr>
        <w:t>and</w:t>
      </w:r>
      <w:r w:rsidR="003F4C55" w:rsidRPr="0085641E">
        <w:rPr>
          <w:sz w:val="22"/>
          <w:szCs w:val="22"/>
          <w:lang w:val="en-GB"/>
        </w:rPr>
        <w:t xml:space="preserve"> </w:t>
      </w:r>
      <w:r w:rsidR="00C94B38" w:rsidRPr="0085641E">
        <w:rPr>
          <w:sz w:val="22"/>
          <w:szCs w:val="22"/>
          <w:lang w:val="en-GB"/>
        </w:rPr>
        <w:t>a</w:t>
      </w:r>
      <w:r w:rsidR="003F4C55" w:rsidRPr="0085641E">
        <w:rPr>
          <w:sz w:val="22"/>
          <w:szCs w:val="22"/>
          <w:lang w:val="en-GB"/>
        </w:rPr>
        <w:t xml:space="preserve"> </w:t>
      </w:r>
      <w:r w:rsidR="00C94B38" w:rsidRPr="0085641E">
        <w:rPr>
          <w:sz w:val="22"/>
          <w:szCs w:val="22"/>
          <w:lang w:val="en-GB"/>
        </w:rPr>
        <w:t>de</w:t>
      </w:r>
      <w:r w:rsidR="003F4C55" w:rsidRPr="0085641E">
        <w:rPr>
          <w:sz w:val="22"/>
          <w:szCs w:val="22"/>
          <w:lang w:val="en-GB"/>
        </w:rPr>
        <w:t xml:space="preserve">creased </w:t>
      </w:r>
      <w:r w:rsidR="001A5610" w:rsidRPr="0085641E">
        <w:rPr>
          <w:sz w:val="22"/>
          <w:szCs w:val="22"/>
          <w:lang w:val="en-GB"/>
        </w:rPr>
        <w:t xml:space="preserve">likelihood </w:t>
      </w:r>
      <w:r w:rsidR="00C00AFE" w:rsidRPr="0085641E">
        <w:rPr>
          <w:sz w:val="22"/>
          <w:szCs w:val="22"/>
          <w:lang w:val="en-GB"/>
        </w:rPr>
        <w:t xml:space="preserve">of </w:t>
      </w:r>
      <w:r w:rsidR="003F4C55" w:rsidRPr="0085641E">
        <w:rPr>
          <w:sz w:val="22"/>
          <w:szCs w:val="22"/>
          <w:lang w:val="en-GB"/>
        </w:rPr>
        <w:t>medication discontinuation (HR=0</w:t>
      </w:r>
      <w:r w:rsidR="00C82BFB" w:rsidRPr="0085641E">
        <w:rPr>
          <w:sz w:val="22"/>
          <w:szCs w:val="22"/>
          <w:lang w:val="en-GB"/>
        </w:rPr>
        <w:t>·</w:t>
      </w:r>
      <w:r w:rsidR="003F4C55" w:rsidRPr="0085641E">
        <w:rPr>
          <w:sz w:val="22"/>
          <w:szCs w:val="22"/>
          <w:lang w:val="en-GB"/>
        </w:rPr>
        <w:t>9</w:t>
      </w:r>
      <w:r w:rsidR="003F19BC" w:rsidRPr="0085641E">
        <w:rPr>
          <w:sz w:val="22"/>
          <w:szCs w:val="22"/>
          <w:lang w:val="en-GB"/>
        </w:rPr>
        <w:t>6</w:t>
      </w:r>
      <w:r w:rsidR="003F4C55" w:rsidRPr="0085641E">
        <w:rPr>
          <w:sz w:val="22"/>
          <w:szCs w:val="22"/>
          <w:lang w:val="en-GB"/>
        </w:rPr>
        <w:t xml:space="preserve"> </w:t>
      </w:r>
      <w:r w:rsidR="00FE0102" w:rsidRPr="0085641E">
        <w:rPr>
          <w:sz w:val="22"/>
          <w:szCs w:val="22"/>
          <w:lang w:val="en-GB"/>
        </w:rPr>
        <w:t>[</w:t>
      </w:r>
      <w:r w:rsidR="003F4C55" w:rsidRPr="0085641E">
        <w:rPr>
          <w:sz w:val="22"/>
          <w:szCs w:val="22"/>
          <w:lang w:val="en-GB"/>
        </w:rPr>
        <w:t>0</w:t>
      </w:r>
      <w:r w:rsidR="00C82BFB" w:rsidRPr="0085641E">
        <w:rPr>
          <w:sz w:val="22"/>
          <w:szCs w:val="22"/>
          <w:lang w:val="en-GB"/>
        </w:rPr>
        <w:t>·</w:t>
      </w:r>
      <w:r w:rsidR="003F4C55" w:rsidRPr="0085641E">
        <w:rPr>
          <w:sz w:val="22"/>
          <w:szCs w:val="22"/>
          <w:lang w:val="en-GB"/>
        </w:rPr>
        <w:t>94-0</w:t>
      </w:r>
      <w:r w:rsidR="00C82BFB" w:rsidRPr="0085641E">
        <w:rPr>
          <w:sz w:val="22"/>
          <w:szCs w:val="22"/>
          <w:lang w:val="en-GB"/>
        </w:rPr>
        <w:t>·</w:t>
      </w:r>
      <w:r w:rsidR="003F4C55" w:rsidRPr="0085641E">
        <w:rPr>
          <w:sz w:val="22"/>
          <w:szCs w:val="22"/>
          <w:lang w:val="en-GB"/>
        </w:rPr>
        <w:t>98</w:t>
      </w:r>
      <w:r w:rsidR="00FE0102" w:rsidRPr="0085641E">
        <w:rPr>
          <w:sz w:val="22"/>
          <w:szCs w:val="22"/>
          <w:lang w:val="en-GB"/>
        </w:rPr>
        <w:t>]</w:t>
      </w:r>
      <w:r w:rsidR="003F4C55" w:rsidRPr="0085641E">
        <w:rPr>
          <w:sz w:val="22"/>
          <w:szCs w:val="22"/>
          <w:lang w:val="en-GB"/>
        </w:rPr>
        <w:t xml:space="preserve">) compared to eligible individuals. RCT-ineligible individuals had </w:t>
      </w:r>
      <w:r w:rsidRPr="0085641E">
        <w:rPr>
          <w:sz w:val="22"/>
          <w:szCs w:val="22"/>
          <w:lang w:val="en-GB"/>
        </w:rPr>
        <w:t xml:space="preserve">significantly </w:t>
      </w:r>
      <w:r w:rsidR="0049619A" w:rsidRPr="0085641E">
        <w:rPr>
          <w:sz w:val="22"/>
          <w:szCs w:val="22"/>
          <w:lang w:val="en-GB"/>
        </w:rPr>
        <w:t xml:space="preserve">higher </w:t>
      </w:r>
      <w:r w:rsidR="003F4C55" w:rsidRPr="0085641E">
        <w:rPr>
          <w:sz w:val="22"/>
          <w:szCs w:val="22"/>
          <w:lang w:val="en-GB"/>
        </w:rPr>
        <w:t>rates of psychiatric hospitalizations (IRR=3</w:t>
      </w:r>
      <w:r w:rsidR="00C82BFB" w:rsidRPr="0085641E">
        <w:rPr>
          <w:sz w:val="22"/>
          <w:szCs w:val="22"/>
          <w:lang w:val="en-GB"/>
        </w:rPr>
        <w:t>·</w:t>
      </w:r>
      <w:r w:rsidR="003F4C55" w:rsidRPr="0085641E">
        <w:rPr>
          <w:sz w:val="22"/>
          <w:szCs w:val="22"/>
          <w:lang w:val="en-GB"/>
        </w:rPr>
        <w:t>76</w:t>
      </w:r>
      <w:r w:rsidR="00FE0102" w:rsidRPr="0085641E">
        <w:rPr>
          <w:sz w:val="22"/>
          <w:szCs w:val="22"/>
          <w:lang w:val="en-GB"/>
        </w:rPr>
        <w:t xml:space="preserve"> [</w:t>
      </w:r>
      <w:r w:rsidR="003F4C55" w:rsidRPr="0085641E">
        <w:rPr>
          <w:sz w:val="22"/>
          <w:szCs w:val="22"/>
          <w:lang w:val="en-GB"/>
        </w:rPr>
        <w:t>3</w:t>
      </w:r>
      <w:r w:rsidR="00C82BFB" w:rsidRPr="0085641E">
        <w:rPr>
          <w:sz w:val="22"/>
          <w:szCs w:val="22"/>
          <w:lang w:val="en-GB"/>
        </w:rPr>
        <w:t>·</w:t>
      </w:r>
      <w:r w:rsidR="003F4C55" w:rsidRPr="0085641E">
        <w:rPr>
          <w:sz w:val="22"/>
          <w:szCs w:val="22"/>
          <w:lang w:val="en-GB"/>
        </w:rPr>
        <w:t>67-3</w:t>
      </w:r>
      <w:r w:rsidR="00C82BFB" w:rsidRPr="0085641E">
        <w:rPr>
          <w:sz w:val="22"/>
          <w:szCs w:val="22"/>
          <w:lang w:val="en-GB"/>
        </w:rPr>
        <w:t>·</w:t>
      </w:r>
      <w:r w:rsidR="003F4C55" w:rsidRPr="0085641E">
        <w:rPr>
          <w:sz w:val="22"/>
          <w:szCs w:val="22"/>
          <w:lang w:val="en-GB"/>
        </w:rPr>
        <w:t>85</w:t>
      </w:r>
      <w:r w:rsidR="00FE0102" w:rsidRPr="0085641E">
        <w:rPr>
          <w:sz w:val="22"/>
          <w:szCs w:val="22"/>
          <w:lang w:val="en-GB"/>
        </w:rPr>
        <w:t>]</w:t>
      </w:r>
      <w:r w:rsidR="003F4C55" w:rsidRPr="0085641E">
        <w:rPr>
          <w:sz w:val="22"/>
          <w:szCs w:val="22"/>
          <w:lang w:val="en-GB"/>
        </w:rPr>
        <w:t xml:space="preserve">) and </w:t>
      </w:r>
      <w:r w:rsidR="00FE0102" w:rsidRPr="0085641E">
        <w:rPr>
          <w:sz w:val="22"/>
          <w:szCs w:val="22"/>
          <w:lang w:val="en-GB"/>
        </w:rPr>
        <w:t xml:space="preserve">specialist care visits related to </w:t>
      </w:r>
      <w:r w:rsidR="003F4C55" w:rsidRPr="0085641E">
        <w:rPr>
          <w:sz w:val="22"/>
          <w:szCs w:val="22"/>
          <w:lang w:val="en-GB"/>
        </w:rPr>
        <w:t>substance misuse (IRR=3</w:t>
      </w:r>
      <w:r w:rsidR="00C82BFB" w:rsidRPr="0085641E">
        <w:rPr>
          <w:sz w:val="22"/>
          <w:szCs w:val="22"/>
          <w:lang w:val="en-GB"/>
        </w:rPr>
        <w:t>·</w:t>
      </w:r>
      <w:r w:rsidR="003F4C55" w:rsidRPr="0085641E">
        <w:rPr>
          <w:sz w:val="22"/>
          <w:szCs w:val="22"/>
          <w:lang w:val="en-GB"/>
        </w:rPr>
        <w:t xml:space="preserve">42 </w:t>
      </w:r>
      <w:r w:rsidR="00FE0102" w:rsidRPr="0085641E">
        <w:rPr>
          <w:sz w:val="22"/>
          <w:szCs w:val="22"/>
          <w:lang w:val="en-GB"/>
        </w:rPr>
        <w:t>[</w:t>
      </w:r>
      <w:r w:rsidR="003F4C55" w:rsidRPr="0085641E">
        <w:rPr>
          <w:sz w:val="22"/>
          <w:szCs w:val="22"/>
          <w:lang w:val="en-GB"/>
        </w:rPr>
        <w:t>3</w:t>
      </w:r>
      <w:r w:rsidR="00C82BFB" w:rsidRPr="0085641E">
        <w:rPr>
          <w:sz w:val="22"/>
          <w:szCs w:val="22"/>
          <w:lang w:val="en-GB"/>
        </w:rPr>
        <w:t>·</w:t>
      </w:r>
      <w:r w:rsidR="003F4C55" w:rsidRPr="0085641E">
        <w:rPr>
          <w:sz w:val="22"/>
          <w:szCs w:val="22"/>
          <w:lang w:val="en-GB"/>
        </w:rPr>
        <w:t>30-3</w:t>
      </w:r>
      <w:r w:rsidR="00C82BFB" w:rsidRPr="0085641E">
        <w:rPr>
          <w:sz w:val="22"/>
          <w:szCs w:val="22"/>
          <w:lang w:val="en-GB"/>
        </w:rPr>
        <w:t>·</w:t>
      </w:r>
      <w:r w:rsidR="003F4C55" w:rsidRPr="0085641E">
        <w:rPr>
          <w:sz w:val="22"/>
          <w:szCs w:val="22"/>
          <w:lang w:val="en-GB"/>
        </w:rPr>
        <w:t>54</w:t>
      </w:r>
      <w:r w:rsidR="00FE0102" w:rsidRPr="0085641E">
        <w:rPr>
          <w:sz w:val="22"/>
          <w:szCs w:val="22"/>
          <w:lang w:val="en-GB"/>
        </w:rPr>
        <w:t>]</w:t>
      </w:r>
      <w:r w:rsidR="003F4C55" w:rsidRPr="0085641E">
        <w:rPr>
          <w:sz w:val="22"/>
          <w:szCs w:val="22"/>
          <w:lang w:val="en-GB"/>
        </w:rPr>
        <w:t>)</w:t>
      </w:r>
      <w:r w:rsidR="00FE0102" w:rsidRPr="0085641E">
        <w:rPr>
          <w:sz w:val="22"/>
          <w:szCs w:val="22"/>
          <w:lang w:val="en-GB"/>
        </w:rPr>
        <w:t>, depression (IRR=6·00 [5·94-6·06]), and anxiety (IRR=11·63 [11·56-11·69])</w:t>
      </w:r>
      <w:r w:rsidR="003F4C55" w:rsidRPr="0085641E">
        <w:rPr>
          <w:sz w:val="22"/>
          <w:szCs w:val="22"/>
          <w:lang w:val="en-GB"/>
        </w:rPr>
        <w:t>.</w:t>
      </w:r>
    </w:p>
    <w:p w14:paraId="38A2079D" w14:textId="77777777" w:rsidR="00335D0A" w:rsidRPr="0085641E" w:rsidRDefault="007433B4" w:rsidP="007433B4">
      <w:pPr>
        <w:pStyle w:val="whitespace-pre-wrap"/>
        <w:rPr>
          <w:sz w:val="22"/>
          <w:szCs w:val="22"/>
          <w:lang w:val="en-GB"/>
        </w:rPr>
      </w:pPr>
      <w:r w:rsidRPr="0085641E">
        <w:rPr>
          <w:b/>
          <w:bCs/>
          <w:sz w:val="22"/>
          <w:szCs w:val="22"/>
          <w:lang w:val="en-GB"/>
        </w:rPr>
        <w:t>Interpretation</w:t>
      </w:r>
    </w:p>
    <w:p w14:paraId="6BCF6961" w14:textId="59E4DCAB" w:rsidR="007433B4" w:rsidRPr="0085641E" w:rsidRDefault="007433B4" w:rsidP="007433B4">
      <w:pPr>
        <w:pStyle w:val="whitespace-pre-wrap"/>
        <w:rPr>
          <w:sz w:val="22"/>
          <w:szCs w:val="22"/>
          <w:lang w:val="en-GB"/>
        </w:rPr>
      </w:pPr>
      <w:r w:rsidRPr="0085641E">
        <w:rPr>
          <w:sz w:val="22"/>
          <w:szCs w:val="22"/>
          <w:lang w:val="en-GB"/>
        </w:rPr>
        <w:t>Individuals ineligible for ADHD medication trials face higher risks of adverse outcomes</w:t>
      </w:r>
      <w:r w:rsidR="00C00AFE" w:rsidRPr="0085641E">
        <w:rPr>
          <w:sz w:val="22"/>
          <w:szCs w:val="22"/>
          <w:lang w:val="en-GB"/>
        </w:rPr>
        <w:t xml:space="preserve">. </w:t>
      </w:r>
      <w:bookmarkStart w:id="6" w:name="_Hlk181303903"/>
      <w:r w:rsidRPr="0085641E">
        <w:rPr>
          <w:sz w:val="22"/>
          <w:szCs w:val="22"/>
          <w:lang w:val="en-GB"/>
        </w:rPr>
        <w:t xml:space="preserve">This study provides </w:t>
      </w:r>
      <w:r w:rsidR="00C00AFE" w:rsidRPr="0085641E">
        <w:rPr>
          <w:sz w:val="22"/>
          <w:szCs w:val="22"/>
          <w:lang w:val="en-GB"/>
        </w:rPr>
        <w:t xml:space="preserve">the first </w:t>
      </w:r>
      <w:r w:rsidRPr="0085641E">
        <w:rPr>
          <w:sz w:val="22"/>
          <w:szCs w:val="22"/>
          <w:lang w:val="en-GB"/>
        </w:rPr>
        <w:t>empirical evidence for the limited generali</w:t>
      </w:r>
      <w:r w:rsidR="00A77802" w:rsidRPr="0085641E">
        <w:rPr>
          <w:sz w:val="22"/>
          <w:szCs w:val="22"/>
          <w:lang w:val="en-GB"/>
        </w:rPr>
        <w:t>s</w:t>
      </w:r>
      <w:r w:rsidRPr="0085641E">
        <w:rPr>
          <w:sz w:val="22"/>
          <w:szCs w:val="22"/>
          <w:lang w:val="en-GB"/>
        </w:rPr>
        <w:t>ability of ADHD RCTs</w:t>
      </w:r>
      <w:r w:rsidR="00C00AFE" w:rsidRPr="0085641E">
        <w:rPr>
          <w:sz w:val="22"/>
          <w:szCs w:val="22"/>
          <w:lang w:val="en-GB"/>
        </w:rPr>
        <w:t xml:space="preserve"> to real world clinical populations</w:t>
      </w:r>
      <w:r w:rsidR="00BA232D" w:rsidRPr="0085641E">
        <w:rPr>
          <w:sz w:val="22"/>
          <w:szCs w:val="22"/>
          <w:lang w:val="en-GB"/>
        </w:rPr>
        <w:t>, by applying eligibility criteria extracted from a comprehensive dataset of RCTs to a large real-world cohort</w:t>
      </w:r>
      <w:r w:rsidRPr="0085641E">
        <w:rPr>
          <w:sz w:val="22"/>
          <w:szCs w:val="22"/>
          <w:lang w:val="en-GB"/>
        </w:rPr>
        <w:t xml:space="preserve">. </w:t>
      </w:r>
      <w:bookmarkEnd w:id="6"/>
      <w:r w:rsidR="002D74C3" w:rsidRPr="0085641E">
        <w:rPr>
          <w:sz w:val="22"/>
          <w:szCs w:val="22"/>
          <w:lang w:val="en-GB"/>
        </w:rPr>
        <w:t>Triangulating evidence from RCTs and real-world studies</w:t>
      </w:r>
      <w:r w:rsidRPr="0085641E">
        <w:rPr>
          <w:sz w:val="22"/>
          <w:szCs w:val="22"/>
          <w:lang w:val="en-GB"/>
        </w:rPr>
        <w:t xml:space="preserve"> </w:t>
      </w:r>
      <w:r w:rsidR="00C00AFE" w:rsidRPr="0085641E">
        <w:rPr>
          <w:sz w:val="22"/>
          <w:szCs w:val="22"/>
          <w:lang w:val="en-GB"/>
        </w:rPr>
        <w:t>is</w:t>
      </w:r>
      <w:r w:rsidRPr="0085641E">
        <w:rPr>
          <w:sz w:val="22"/>
          <w:szCs w:val="22"/>
          <w:lang w:val="en-GB"/>
        </w:rPr>
        <w:t xml:space="preserve"> crucial </w:t>
      </w:r>
      <w:r w:rsidR="00C00AFE" w:rsidRPr="0085641E">
        <w:rPr>
          <w:sz w:val="22"/>
          <w:szCs w:val="22"/>
          <w:lang w:val="en-GB"/>
        </w:rPr>
        <w:t>to inform</w:t>
      </w:r>
      <w:r w:rsidRPr="0085641E">
        <w:rPr>
          <w:sz w:val="22"/>
          <w:szCs w:val="22"/>
          <w:lang w:val="en-GB"/>
        </w:rPr>
        <w:t xml:space="preserve"> </w:t>
      </w:r>
      <w:r w:rsidR="002D74C3" w:rsidRPr="0085641E">
        <w:rPr>
          <w:sz w:val="22"/>
          <w:szCs w:val="22"/>
          <w:lang w:val="en-GB"/>
        </w:rPr>
        <w:t>r</w:t>
      </w:r>
      <w:r w:rsidR="00C00AFE" w:rsidRPr="0085641E">
        <w:rPr>
          <w:sz w:val="22"/>
          <w:szCs w:val="22"/>
          <w:lang w:val="en-GB"/>
        </w:rPr>
        <w:t>igorous</w:t>
      </w:r>
      <w:r w:rsidR="002D74C3" w:rsidRPr="0085641E">
        <w:rPr>
          <w:sz w:val="22"/>
          <w:szCs w:val="22"/>
          <w:lang w:val="en-GB"/>
        </w:rPr>
        <w:t xml:space="preserve"> </w:t>
      </w:r>
      <w:r w:rsidRPr="0085641E">
        <w:rPr>
          <w:sz w:val="22"/>
          <w:szCs w:val="22"/>
          <w:lang w:val="en-GB"/>
        </w:rPr>
        <w:t>evidence-based treatment guidelines.</w:t>
      </w:r>
    </w:p>
    <w:p w14:paraId="5B58FF66" w14:textId="4144D99C" w:rsidR="00BE668F" w:rsidRPr="0085641E" w:rsidRDefault="00363E5D" w:rsidP="00BE668F">
      <w:pPr>
        <w:spacing w:line="240" w:lineRule="auto"/>
        <w:ind w:firstLine="0"/>
        <w:rPr>
          <w:rFonts w:ascii="Times New Roman" w:hAnsi="Times New Roman" w:cs="Times New Roman"/>
          <w:sz w:val="22"/>
          <w:szCs w:val="22"/>
          <w:lang w:val="en-GB"/>
        </w:rPr>
      </w:pPr>
      <w:r w:rsidRPr="0085641E">
        <w:rPr>
          <w:rFonts w:ascii="Times New Roman" w:hAnsi="Times New Roman" w:cs="Times New Roman"/>
          <w:b/>
          <w:bCs/>
          <w:sz w:val="22"/>
          <w:szCs w:val="22"/>
          <w:lang w:val="en-GB"/>
        </w:rPr>
        <w:t>Funding:</w:t>
      </w:r>
      <w:r w:rsidRPr="0085641E">
        <w:rPr>
          <w:sz w:val="22"/>
          <w:szCs w:val="22"/>
        </w:rPr>
        <w:t xml:space="preserve"> </w:t>
      </w:r>
      <w:r w:rsidR="00ED39A9" w:rsidRPr="0085641E">
        <w:rPr>
          <w:rFonts w:ascii="Times New Roman" w:hAnsi="Times New Roman" w:cs="Times New Roman"/>
          <w:sz w:val="22"/>
          <w:szCs w:val="22"/>
        </w:rPr>
        <w:t>National Institute of Healthcare and Research (NIHR)</w:t>
      </w:r>
      <w:r w:rsidR="00ED39A9" w:rsidRPr="0085641E">
        <w:rPr>
          <w:sz w:val="22"/>
          <w:szCs w:val="22"/>
        </w:rPr>
        <w:t xml:space="preserve">; </w:t>
      </w:r>
      <w:r w:rsidRPr="0085641E">
        <w:rPr>
          <w:rFonts w:ascii="Times New Roman" w:hAnsi="Times New Roman" w:cs="Times New Roman"/>
          <w:sz w:val="22"/>
          <w:szCs w:val="22"/>
        </w:rPr>
        <w:t xml:space="preserve">European Union’s Horizon 2020, </w:t>
      </w:r>
      <w:r w:rsidRPr="0085641E">
        <w:rPr>
          <w:rFonts w:ascii="Times New Roman" w:hAnsi="Times New Roman" w:cs="Times New Roman"/>
          <w:sz w:val="22"/>
          <w:szCs w:val="22"/>
          <w:lang w:val="en-GB"/>
        </w:rPr>
        <w:t>Swedish Research Council</w:t>
      </w:r>
      <w:r w:rsidR="00DD0516">
        <w:rPr>
          <w:rFonts w:ascii="Times New Roman" w:hAnsi="Times New Roman" w:cs="Times New Roman"/>
          <w:sz w:val="22"/>
          <w:szCs w:val="22"/>
          <w:lang w:val="en-GB"/>
        </w:rPr>
        <w:t>.</w:t>
      </w:r>
    </w:p>
    <w:p w14:paraId="004ACB98" w14:textId="06DD9365" w:rsidR="00C120E8" w:rsidRPr="0085641E" w:rsidRDefault="00BE668F" w:rsidP="00BE668F">
      <w:pPr>
        <w:spacing w:line="240" w:lineRule="auto"/>
        <w:ind w:firstLine="0"/>
        <w:rPr>
          <w:rFonts w:ascii="Times New Roman" w:hAnsi="Times New Roman" w:cs="Times New Roman"/>
          <w:sz w:val="22"/>
          <w:szCs w:val="22"/>
          <w:lang w:val="en-GB"/>
        </w:rPr>
      </w:pPr>
      <w:r w:rsidRPr="0085641E">
        <w:rPr>
          <w:rFonts w:ascii="Times New Roman" w:hAnsi="Times New Roman" w:cs="Times New Roman"/>
          <w:b/>
          <w:bCs/>
          <w:sz w:val="22"/>
          <w:szCs w:val="22"/>
          <w:lang w:val="en-GB"/>
        </w:rPr>
        <w:t xml:space="preserve">Word count: </w:t>
      </w:r>
      <w:r w:rsidR="007C758D" w:rsidRPr="0085641E">
        <w:rPr>
          <w:rFonts w:ascii="Times New Roman" w:hAnsi="Times New Roman" w:cs="Times New Roman"/>
          <w:b/>
          <w:bCs/>
          <w:sz w:val="22"/>
          <w:szCs w:val="22"/>
          <w:lang w:val="en-GB"/>
        </w:rPr>
        <w:t>3</w:t>
      </w:r>
      <w:r w:rsidR="007C758D">
        <w:rPr>
          <w:rFonts w:ascii="Times New Roman" w:hAnsi="Times New Roman" w:cs="Times New Roman"/>
          <w:b/>
          <w:bCs/>
          <w:sz w:val="22"/>
          <w:szCs w:val="22"/>
          <w:lang w:val="en-GB"/>
        </w:rPr>
        <w:t>971</w:t>
      </w:r>
    </w:p>
    <w:p w14:paraId="0A6BB76C" w14:textId="33C548DD" w:rsidR="001F4653" w:rsidRPr="00F54546" w:rsidRDefault="001F4653" w:rsidP="001F4653">
      <w:pPr>
        <w:pStyle w:val="Heading1"/>
        <w:rPr>
          <w:lang w:val="en-GB"/>
        </w:rPr>
      </w:pPr>
      <w:r w:rsidRPr="00F54546">
        <w:rPr>
          <w:lang w:val="en-GB"/>
        </w:rPr>
        <w:lastRenderedPageBreak/>
        <w:t>Research in context</w:t>
      </w:r>
    </w:p>
    <w:p w14:paraId="77C66C02" w14:textId="51498DF7" w:rsidR="001F4653" w:rsidRPr="00F54546" w:rsidRDefault="001F4653" w:rsidP="001F4653">
      <w:pPr>
        <w:spacing w:after="0"/>
        <w:ind w:firstLine="0"/>
        <w:rPr>
          <w:rFonts w:ascii="Times New Roman" w:eastAsia="Aptos" w:hAnsi="Times New Roman" w:cs="Times New Roman"/>
          <w:kern w:val="2"/>
          <w:lang w:val="en-GB"/>
          <w14:ligatures w14:val="standardContextual"/>
        </w:rPr>
      </w:pPr>
      <w:r w:rsidRPr="00F54546">
        <w:rPr>
          <w:rFonts w:ascii="Times New Roman" w:eastAsia="Aptos" w:hAnsi="Times New Roman" w:cs="Times New Roman"/>
          <w:b/>
          <w:bCs/>
          <w:kern w:val="2"/>
          <w:lang w:val="en-GB"/>
          <w14:ligatures w14:val="standardContextual"/>
        </w:rPr>
        <w:t>Evidence before this study:</w:t>
      </w:r>
      <w:r w:rsidRPr="00F54546">
        <w:rPr>
          <w:rFonts w:ascii="Times New Roman" w:eastAsia="Aptos" w:hAnsi="Times New Roman" w:cs="Times New Roman"/>
          <w:kern w:val="2"/>
          <w:lang w:val="en-GB"/>
          <w14:ligatures w14:val="standardContextual"/>
        </w:rPr>
        <w:t xml:space="preserve"> We searched PubMed, Web of Science, and PsycINFO for studies published up to April 1</w:t>
      </w:r>
      <w:r w:rsidRPr="00F54546">
        <w:rPr>
          <w:rFonts w:ascii="Times New Roman" w:eastAsia="Aptos" w:hAnsi="Times New Roman" w:cs="Times New Roman"/>
          <w:kern w:val="2"/>
          <w:vertAlign w:val="superscript"/>
          <w:lang w:val="en-GB"/>
          <w14:ligatures w14:val="standardContextual"/>
        </w:rPr>
        <w:t>st</w:t>
      </w:r>
      <w:r w:rsidRPr="00F54546">
        <w:rPr>
          <w:rFonts w:ascii="Times New Roman" w:eastAsia="Aptos" w:hAnsi="Times New Roman" w:cs="Times New Roman"/>
          <w:kern w:val="2"/>
          <w:lang w:val="en-GB"/>
          <w14:ligatures w14:val="standardContextual"/>
        </w:rPr>
        <w:t>, 2024, using the search terms "ADHD" (and equivalents), "clinical trials", "real-world evidence", and "treatment outcomes". We included studies comparing outcomes between RCT-eligible and ineligible ADHD populations. We found only one study, from the Unite</w:t>
      </w:r>
      <w:r w:rsidR="00EB7324">
        <w:rPr>
          <w:rFonts w:ascii="Times New Roman" w:eastAsia="Aptos" w:hAnsi="Times New Roman" w:cs="Times New Roman"/>
          <w:kern w:val="2"/>
          <w:lang w:val="en-GB"/>
          <w14:ligatures w14:val="standardContextual"/>
        </w:rPr>
        <w:t>d</w:t>
      </w:r>
      <w:r w:rsidRPr="00F54546">
        <w:rPr>
          <w:rFonts w:ascii="Times New Roman" w:eastAsia="Aptos" w:hAnsi="Times New Roman" w:cs="Times New Roman"/>
          <w:kern w:val="2"/>
          <w:lang w:val="en-GB"/>
          <w14:ligatures w14:val="standardContextual"/>
        </w:rPr>
        <w:t xml:space="preserve"> S</w:t>
      </w:r>
      <w:r w:rsidR="00EB7324">
        <w:rPr>
          <w:rFonts w:ascii="Times New Roman" w:eastAsia="Aptos" w:hAnsi="Times New Roman" w:cs="Times New Roman"/>
          <w:kern w:val="2"/>
          <w:lang w:val="en-GB"/>
          <w14:ligatures w14:val="standardContextual"/>
        </w:rPr>
        <w:t>t</w:t>
      </w:r>
      <w:r w:rsidRPr="00F54546">
        <w:rPr>
          <w:rFonts w:ascii="Times New Roman" w:eastAsia="Aptos" w:hAnsi="Times New Roman" w:cs="Times New Roman"/>
          <w:kern w:val="2"/>
          <w:lang w:val="en-GB"/>
          <w14:ligatures w14:val="standardContextual"/>
        </w:rPr>
        <w:t xml:space="preserve">ates, based on a single randomized controlled trial (RCT), showing that only about one-third of adults with ADHD presenting for routine clinical care would meet eligibility for participation in the RCT. Therefore, evidence </w:t>
      </w:r>
      <w:r w:rsidR="00197550" w:rsidRPr="00F54546">
        <w:rPr>
          <w:rFonts w:ascii="Times New Roman" w:eastAsia="Aptos" w:hAnsi="Times New Roman" w:cs="Times New Roman"/>
          <w:kern w:val="2"/>
          <w:lang w:val="en-GB"/>
          <w14:ligatures w14:val="standardContextual"/>
        </w:rPr>
        <w:t xml:space="preserve">on the representativeness of RCTs of ADHD medications </w:t>
      </w:r>
      <w:r w:rsidRPr="00F54546">
        <w:rPr>
          <w:rFonts w:ascii="Times New Roman" w:eastAsia="Aptos" w:hAnsi="Times New Roman" w:cs="Times New Roman"/>
          <w:kern w:val="2"/>
          <w:lang w:val="en-GB"/>
          <w14:ligatures w14:val="standardContextual"/>
        </w:rPr>
        <w:t xml:space="preserve">based on </w:t>
      </w:r>
      <w:r w:rsidR="00197550" w:rsidRPr="00F54546">
        <w:rPr>
          <w:rFonts w:ascii="Times New Roman" w:eastAsia="Aptos" w:hAnsi="Times New Roman" w:cs="Times New Roman"/>
          <w:kern w:val="2"/>
          <w:lang w:val="en-GB"/>
          <w14:ligatures w14:val="standardContextual"/>
        </w:rPr>
        <w:t xml:space="preserve">datasets </w:t>
      </w:r>
      <w:r w:rsidR="00197550">
        <w:rPr>
          <w:rFonts w:ascii="Times New Roman" w:eastAsia="Aptos" w:hAnsi="Times New Roman" w:cs="Times New Roman"/>
          <w:kern w:val="2"/>
          <w:lang w:val="en-GB"/>
          <w14:ligatures w14:val="standardContextual"/>
        </w:rPr>
        <w:t xml:space="preserve">of </w:t>
      </w:r>
      <w:r w:rsidRPr="00F54546">
        <w:rPr>
          <w:rFonts w:ascii="Times New Roman" w:eastAsia="Aptos" w:hAnsi="Times New Roman" w:cs="Times New Roman"/>
          <w:kern w:val="2"/>
          <w:lang w:val="en-GB"/>
          <w14:ligatures w14:val="standardContextual"/>
        </w:rPr>
        <w:t>multiple RCTs across the world and across the lifespan is needed. Furthermore, no study comprehensively examined differences in multiple clinical</w:t>
      </w:r>
      <w:r w:rsidR="00197550">
        <w:rPr>
          <w:rFonts w:ascii="Times New Roman" w:eastAsia="Aptos" w:hAnsi="Times New Roman" w:cs="Times New Roman"/>
          <w:kern w:val="2"/>
          <w:lang w:val="en-GB"/>
          <w14:ligatures w14:val="standardContextual"/>
        </w:rPr>
        <w:t>/functional</w:t>
      </w:r>
      <w:r w:rsidRPr="00F54546">
        <w:rPr>
          <w:rFonts w:ascii="Times New Roman" w:eastAsia="Aptos" w:hAnsi="Times New Roman" w:cs="Times New Roman"/>
          <w:kern w:val="2"/>
          <w:lang w:val="en-GB"/>
          <w14:ligatures w14:val="standardContextual"/>
        </w:rPr>
        <w:t xml:space="preserve"> outcomes between RCT-eligible and ineligible populations in a large, real-world cohort.</w:t>
      </w:r>
    </w:p>
    <w:p w14:paraId="122A838A" w14:textId="5F525B5C" w:rsidR="001F4653" w:rsidRPr="00F54546" w:rsidRDefault="001F4653" w:rsidP="001F4653">
      <w:pPr>
        <w:spacing w:after="0"/>
        <w:ind w:firstLine="0"/>
        <w:rPr>
          <w:rFonts w:ascii="Times New Roman" w:eastAsia="Aptos" w:hAnsi="Times New Roman" w:cs="Times New Roman"/>
          <w:kern w:val="2"/>
          <w:lang w:val="en-GB"/>
          <w14:ligatures w14:val="standardContextual"/>
        </w:rPr>
      </w:pPr>
      <w:r w:rsidRPr="00F54546">
        <w:rPr>
          <w:rFonts w:ascii="Times New Roman" w:eastAsia="Aptos" w:hAnsi="Times New Roman" w:cs="Times New Roman"/>
          <w:b/>
          <w:bCs/>
          <w:kern w:val="2"/>
          <w:lang w:val="en-GB"/>
          <w14:ligatures w14:val="standardContextual"/>
        </w:rPr>
        <w:t>Added value of this study:</w:t>
      </w:r>
      <w:r w:rsidRPr="00F54546">
        <w:rPr>
          <w:rFonts w:ascii="Times New Roman" w:eastAsia="Aptos" w:hAnsi="Times New Roman" w:cs="Times New Roman"/>
          <w:kern w:val="2"/>
          <w:lang w:val="en-GB"/>
          <w14:ligatures w14:val="standardContextual"/>
        </w:rPr>
        <w:t xml:space="preserve"> This is the first study to assess </w:t>
      </w:r>
      <w:r w:rsidR="00197550">
        <w:rPr>
          <w:rFonts w:ascii="Times New Roman" w:eastAsia="Aptos" w:hAnsi="Times New Roman" w:cs="Times New Roman"/>
          <w:kern w:val="2"/>
          <w:lang w:val="en-GB"/>
          <w14:ligatures w14:val="standardContextual"/>
        </w:rPr>
        <w:t xml:space="preserve">the </w:t>
      </w:r>
      <w:r w:rsidRPr="00F54546">
        <w:rPr>
          <w:rFonts w:ascii="Times New Roman" w:eastAsia="Aptos" w:hAnsi="Times New Roman" w:cs="Times New Roman"/>
          <w:kern w:val="2"/>
          <w:lang w:val="en-GB"/>
          <w14:ligatures w14:val="standardContextual"/>
        </w:rPr>
        <w:t xml:space="preserve">representatives of RCTs of ADHD medications in a real-world large nationwide cohort (189,699 children, adolescents, and adults in Sweden) based on inclusion/exclusion criteria gathered from a comprehensive international database of 164 RCTs. We found that 53% of individuals in </w:t>
      </w:r>
      <w:r w:rsidR="00FC0CD3">
        <w:rPr>
          <w:rFonts w:ascii="Times New Roman" w:eastAsia="Aptos" w:hAnsi="Times New Roman" w:cs="Times New Roman"/>
          <w:kern w:val="2"/>
          <w:lang w:val="en-GB"/>
          <w14:ligatures w14:val="standardContextual"/>
        </w:rPr>
        <w:t xml:space="preserve">the </w:t>
      </w:r>
      <w:r w:rsidRPr="00F54546">
        <w:rPr>
          <w:rFonts w:ascii="Times New Roman" w:eastAsia="Aptos" w:hAnsi="Times New Roman" w:cs="Times New Roman"/>
          <w:kern w:val="2"/>
          <w:lang w:val="en-GB"/>
          <w14:ligatures w14:val="standardContextual"/>
        </w:rPr>
        <w:t xml:space="preserve">real-world </w:t>
      </w:r>
      <w:r w:rsidR="0049619A">
        <w:rPr>
          <w:rFonts w:ascii="Times New Roman" w:eastAsia="Aptos" w:hAnsi="Times New Roman" w:cs="Times New Roman"/>
          <w:kern w:val="2"/>
          <w:lang w:val="en-GB"/>
          <w14:ligatures w14:val="standardContextual"/>
        </w:rPr>
        <w:t xml:space="preserve">practice </w:t>
      </w:r>
      <w:r w:rsidRPr="00F54546">
        <w:rPr>
          <w:rFonts w:ascii="Times New Roman" w:eastAsia="Aptos" w:hAnsi="Times New Roman" w:cs="Times New Roman"/>
          <w:kern w:val="2"/>
          <w:lang w:val="en-GB"/>
          <w14:ligatures w14:val="standardContextual"/>
        </w:rPr>
        <w:t>(around 7</w:t>
      </w:r>
      <w:r w:rsidR="00A77802" w:rsidRPr="00F54546">
        <w:rPr>
          <w:rFonts w:ascii="Times New Roman" w:eastAsia="Aptos" w:hAnsi="Times New Roman" w:cs="Times New Roman"/>
          <w:kern w:val="2"/>
          <w:lang w:val="en-GB"/>
          <w14:ligatures w14:val="standardContextual"/>
        </w:rPr>
        <w:t>4</w:t>
      </w:r>
      <w:r w:rsidRPr="00F54546">
        <w:rPr>
          <w:rFonts w:ascii="Times New Roman" w:eastAsia="Aptos" w:hAnsi="Times New Roman" w:cs="Times New Roman"/>
          <w:kern w:val="2"/>
          <w:lang w:val="en-GB"/>
          <w14:ligatures w14:val="standardContextual"/>
        </w:rPr>
        <w:t>% of adults</w:t>
      </w:r>
      <w:r w:rsidR="00F54546">
        <w:rPr>
          <w:rFonts w:ascii="Times New Roman" w:eastAsia="Aptos" w:hAnsi="Times New Roman" w:cs="Times New Roman"/>
          <w:kern w:val="2"/>
          <w:lang w:val="en-GB"/>
          <w14:ligatures w14:val="standardContextual"/>
        </w:rPr>
        <w:t>,</w:t>
      </w:r>
      <w:r w:rsidR="00A77802" w:rsidRPr="00F54546">
        <w:rPr>
          <w:rFonts w:ascii="Times New Roman" w:eastAsia="Aptos" w:hAnsi="Times New Roman" w:cs="Times New Roman"/>
          <w:kern w:val="2"/>
          <w:lang w:val="en-GB"/>
          <w14:ligatures w14:val="standardContextual"/>
        </w:rPr>
        <w:t xml:space="preserve"> 35% of adolescents</w:t>
      </w:r>
      <w:r w:rsidR="00F54546">
        <w:rPr>
          <w:rFonts w:ascii="Times New Roman" w:eastAsia="Aptos" w:hAnsi="Times New Roman" w:cs="Times New Roman"/>
          <w:kern w:val="2"/>
          <w:lang w:val="en-GB"/>
          <w14:ligatures w14:val="standardContextual"/>
        </w:rPr>
        <w:t>,</w:t>
      </w:r>
      <w:r w:rsidRPr="00F54546">
        <w:rPr>
          <w:rFonts w:ascii="Times New Roman" w:eastAsia="Aptos" w:hAnsi="Times New Roman" w:cs="Times New Roman"/>
          <w:kern w:val="2"/>
          <w:lang w:val="en-GB"/>
          <w14:ligatures w14:val="standardContextual"/>
        </w:rPr>
        <w:t xml:space="preserve"> and 2</w:t>
      </w:r>
      <w:r w:rsidR="00002E03">
        <w:rPr>
          <w:rFonts w:ascii="Times New Roman" w:eastAsia="Aptos" w:hAnsi="Times New Roman" w:cs="Times New Roman"/>
          <w:kern w:val="2"/>
          <w:lang w:val="en-GB"/>
          <w14:ligatures w14:val="standardContextual"/>
        </w:rPr>
        <w:t>1</w:t>
      </w:r>
      <w:r w:rsidRPr="00F54546">
        <w:rPr>
          <w:rFonts w:ascii="Times New Roman" w:eastAsia="Aptos" w:hAnsi="Times New Roman" w:cs="Times New Roman"/>
          <w:kern w:val="2"/>
          <w:lang w:val="en-GB"/>
          <w14:ligatures w14:val="standardContextual"/>
        </w:rPr>
        <w:t xml:space="preserve"> % of children) would be ineligible in RCTs. Our study also </w:t>
      </w:r>
      <w:r w:rsidR="000721F5" w:rsidRPr="00F54546">
        <w:rPr>
          <w:rFonts w:ascii="Times New Roman" w:eastAsia="Aptos" w:hAnsi="Times New Roman" w:cs="Times New Roman"/>
          <w:kern w:val="2"/>
          <w:lang w:val="en-GB"/>
          <w14:ligatures w14:val="standardContextual"/>
        </w:rPr>
        <w:t>highligh</w:t>
      </w:r>
      <w:r w:rsidR="000721F5">
        <w:rPr>
          <w:rFonts w:ascii="Times New Roman" w:eastAsia="Aptos" w:hAnsi="Times New Roman" w:cs="Times New Roman"/>
          <w:kern w:val="2"/>
          <w:lang w:val="en-GB"/>
          <w14:ligatures w14:val="standardContextual"/>
        </w:rPr>
        <w:t>ts</w:t>
      </w:r>
      <w:r w:rsidRPr="00F54546">
        <w:rPr>
          <w:rFonts w:ascii="Times New Roman" w:eastAsia="Aptos" w:hAnsi="Times New Roman" w:cs="Times New Roman"/>
          <w:kern w:val="2"/>
          <w:lang w:val="en-GB"/>
          <w14:ligatures w14:val="standardContextual"/>
        </w:rPr>
        <w:t xml:space="preserve"> different treatment patterns and less </w:t>
      </w:r>
      <w:r w:rsidR="00F54546" w:rsidRPr="00F54546">
        <w:rPr>
          <w:rFonts w:ascii="Times New Roman" w:eastAsia="Aptos" w:hAnsi="Times New Roman" w:cs="Times New Roman"/>
          <w:kern w:val="2"/>
          <w:lang w:val="en-GB"/>
          <w14:ligatures w14:val="standardContextual"/>
        </w:rPr>
        <w:t>favourable</w:t>
      </w:r>
      <w:r w:rsidRPr="00F54546">
        <w:rPr>
          <w:rFonts w:ascii="Times New Roman" w:eastAsia="Aptos" w:hAnsi="Times New Roman" w:cs="Times New Roman"/>
          <w:kern w:val="2"/>
          <w:lang w:val="en-GB"/>
          <w14:ligatures w14:val="standardContextual"/>
        </w:rPr>
        <w:t xml:space="preserve"> clinical</w:t>
      </w:r>
      <w:r w:rsidR="00197550">
        <w:rPr>
          <w:rFonts w:ascii="Times New Roman" w:eastAsia="Aptos" w:hAnsi="Times New Roman" w:cs="Times New Roman"/>
          <w:kern w:val="2"/>
          <w:lang w:val="en-GB"/>
          <w14:ligatures w14:val="standardContextual"/>
        </w:rPr>
        <w:t>/functional</w:t>
      </w:r>
      <w:r w:rsidRPr="00F54546">
        <w:rPr>
          <w:rFonts w:ascii="Times New Roman" w:eastAsia="Aptos" w:hAnsi="Times New Roman" w:cs="Times New Roman"/>
          <w:kern w:val="2"/>
          <w:lang w:val="en-GB"/>
          <w14:ligatures w14:val="standardContextual"/>
        </w:rPr>
        <w:t xml:space="preserve"> outcomes in ineligible individuals. Overall, our study offers empirical evidence for the limited generalizability of ADHD RCTs to broader</w:t>
      </w:r>
      <w:r w:rsidR="007D5803">
        <w:rPr>
          <w:rFonts w:ascii="Times New Roman" w:eastAsia="Aptos" w:hAnsi="Times New Roman" w:cs="Times New Roman"/>
          <w:kern w:val="2"/>
          <w:lang w:val="en-GB"/>
          <w14:ligatures w14:val="standardContextual"/>
        </w:rPr>
        <w:t xml:space="preserve">, </w:t>
      </w:r>
      <w:r w:rsidR="00197550">
        <w:rPr>
          <w:rFonts w:ascii="Times New Roman" w:eastAsia="Aptos" w:hAnsi="Times New Roman" w:cs="Times New Roman"/>
          <w:kern w:val="2"/>
          <w:lang w:val="en-GB"/>
          <w14:ligatures w14:val="standardContextual"/>
        </w:rPr>
        <w:t xml:space="preserve">real-world </w:t>
      </w:r>
      <w:r w:rsidR="00C13FDA">
        <w:rPr>
          <w:rFonts w:ascii="Times New Roman" w:eastAsia="Aptos" w:hAnsi="Times New Roman" w:cs="Times New Roman"/>
          <w:kern w:val="2"/>
          <w:lang w:val="en-GB"/>
          <w14:ligatures w14:val="standardContextual"/>
        </w:rPr>
        <w:t xml:space="preserve">ADHD </w:t>
      </w:r>
      <w:r w:rsidRPr="00F54546">
        <w:rPr>
          <w:rFonts w:ascii="Times New Roman" w:eastAsia="Aptos" w:hAnsi="Times New Roman" w:cs="Times New Roman"/>
          <w:kern w:val="2"/>
          <w:lang w:val="en-GB"/>
          <w14:ligatures w14:val="standardContextual"/>
        </w:rPr>
        <w:t>population</w:t>
      </w:r>
      <w:r w:rsidR="00197550">
        <w:rPr>
          <w:rFonts w:ascii="Times New Roman" w:eastAsia="Aptos" w:hAnsi="Times New Roman" w:cs="Times New Roman"/>
          <w:kern w:val="2"/>
          <w:lang w:val="en-GB"/>
          <w14:ligatures w14:val="standardContextual"/>
        </w:rPr>
        <w:t>s</w:t>
      </w:r>
      <w:r w:rsidRPr="00F54546">
        <w:rPr>
          <w:rFonts w:ascii="Times New Roman" w:eastAsia="Aptos" w:hAnsi="Times New Roman" w:cs="Times New Roman"/>
          <w:kern w:val="2"/>
          <w:lang w:val="en-GB"/>
          <w14:ligatures w14:val="standardContextual"/>
        </w:rPr>
        <w:t>.</w:t>
      </w:r>
    </w:p>
    <w:p w14:paraId="0404ED86" w14:textId="6E9E53C9" w:rsidR="001F4653" w:rsidRPr="00F54546" w:rsidRDefault="001F4653" w:rsidP="001F4653">
      <w:pPr>
        <w:spacing w:after="0"/>
        <w:ind w:firstLine="0"/>
        <w:rPr>
          <w:rFonts w:ascii="Times New Roman" w:eastAsia="Aptos" w:hAnsi="Times New Roman" w:cs="Times New Roman"/>
          <w:kern w:val="2"/>
          <w:lang w:val="en-GB"/>
          <w14:ligatures w14:val="standardContextual"/>
        </w:rPr>
      </w:pPr>
      <w:r w:rsidRPr="00F54546">
        <w:rPr>
          <w:rFonts w:ascii="Times New Roman" w:eastAsia="Aptos" w:hAnsi="Times New Roman" w:cs="Times New Roman"/>
          <w:b/>
          <w:bCs/>
          <w:kern w:val="2"/>
          <w:lang w:val="en-GB"/>
          <w14:ligatures w14:val="standardContextual"/>
        </w:rPr>
        <w:t>Implications of all the available evidence:</w:t>
      </w:r>
      <w:r w:rsidRPr="00F54546">
        <w:rPr>
          <w:rFonts w:ascii="Times New Roman" w:eastAsia="Aptos" w:hAnsi="Times New Roman" w:cs="Times New Roman"/>
          <w:kern w:val="2"/>
          <w:lang w:val="en-GB"/>
          <w14:ligatures w14:val="standardContextual"/>
        </w:rPr>
        <w:t xml:space="preserve"> Our findings, combined with previous evidence</w:t>
      </w:r>
      <w:r w:rsidR="004A02F7">
        <w:rPr>
          <w:rFonts w:ascii="Times New Roman" w:eastAsia="Aptos" w:hAnsi="Times New Roman" w:cs="Times New Roman"/>
          <w:kern w:val="2"/>
          <w:lang w:val="en-GB"/>
          <w14:ligatures w14:val="standardContextual"/>
        </w:rPr>
        <w:t>,</w:t>
      </w:r>
      <w:r w:rsidRPr="00F54546">
        <w:rPr>
          <w:rFonts w:ascii="Times New Roman" w:eastAsia="Aptos" w:hAnsi="Times New Roman" w:cs="Times New Roman"/>
          <w:kern w:val="2"/>
          <w:lang w:val="en-GB"/>
          <w14:ligatures w14:val="standardContextual"/>
        </w:rPr>
        <w:t xml:space="preserve"> </w:t>
      </w:r>
      <w:bookmarkStart w:id="7" w:name="_Hlk172639899"/>
      <w:r w:rsidR="004A02F7">
        <w:rPr>
          <w:rFonts w:ascii="Times New Roman" w:eastAsia="Aptos" w:hAnsi="Times New Roman" w:cs="Times New Roman"/>
          <w:kern w:val="2"/>
          <w:lang w:val="en-GB"/>
          <w14:ligatures w14:val="standardContextual"/>
        </w:rPr>
        <w:t>highlights</w:t>
      </w:r>
      <w:r w:rsidRPr="00F54546">
        <w:rPr>
          <w:rFonts w:ascii="Times New Roman" w:eastAsia="Aptos" w:hAnsi="Times New Roman" w:cs="Times New Roman"/>
          <w:kern w:val="2"/>
          <w:lang w:val="en-GB"/>
          <w14:ligatures w14:val="standardContextual"/>
        </w:rPr>
        <w:t xml:space="preserve"> the pressing need </w:t>
      </w:r>
      <w:r w:rsidR="002D74C3" w:rsidRPr="00F54546">
        <w:rPr>
          <w:rFonts w:ascii="Times New Roman" w:eastAsia="Aptos" w:hAnsi="Times New Roman" w:cs="Times New Roman"/>
          <w:kern w:val="2"/>
          <w:lang w:val="en-GB"/>
          <w14:ligatures w14:val="standardContextual"/>
        </w:rPr>
        <w:t>to</w:t>
      </w:r>
      <w:r w:rsidRPr="00F54546">
        <w:rPr>
          <w:rFonts w:ascii="Times New Roman" w:eastAsia="Aptos" w:hAnsi="Times New Roman" w:cs="Times New Roman"/>
          <w:kern w:val="2"/>
          <w:lang w:val="en-GB"/>
          <w14:ligatures w14:val="standardContextual"/>
        </w:rPr>
        <w:t xml:space="preserve"> triangulat</w:t>
      </w:r>
      <w:r w:rsidR="002D74C3" w:rsidRPr="00F54546">
        <w:rPr>
          <w:rFonts w:ascii="Times New Roman" w:eastAsia="Aptos" w:hAnsi="Times New Roman" w:cs="Times New Roman"/>
          <w:kern w:val="2"/>
          <w:lang w:val="en-GB"/>
          <w14:ligatures w14:val="standardContextual"/>
        </w:rPr>
        <w:t>e</w:t>
      </w:r>
      <w:r w:rsidRPr="00F54546">
        <w:rPr>
          <w:rFonts w:ascii="Times New Roman" w:eastAsia="Aptos" w:hAnsi="Times New Roman" w:cs="Times New Roman"/>
          <w:kern w:val="2"/>
          <w:lang w:val="en-GB"/>
          <w14:ligatures w14:val="standardContextual"/>
        </w:rPr>
        <w:t xml:space="preserve"> evidence from </w:t>
      </w:r>
      <w:r w:rsidR="002D74C3" w:rsidRPr="00F54546">
        <w:rPr>
          <w:rFonts w:ascii="Times New Roman" w:eastAsia="Aptos" w:hAnsi="Times New Roman" w:cs="Times New Roman"/>
          <w:kern w:val="2"/>
          <w:lang w:val="en-GB"/>
          <w14:ligatures w14:val="standardContextual"/>
        </w:rPr>
        <w:t>standard RCT</w:t>
      </w:r>
      <w:r w:rsidR="00197550">
        <w:rPr>
          <w:rFonts w:ascii="Times New Roman" w:eastAsia="Aptos" w:hAnsi="Times New Roman" w:cs="Times New Roman"/>
          <w:kern w:val="2"/>
          <w:lang w:val="en-GB"/>
          <w14:ligatures w14:val="standardContextual"/>
        </w:rPr>
        <w:t>s</w:t>
      </w:r>
      <w:r w:rsidR="002D74C3" w:rsidRPr="00F54546">
        <w:rPr>
          <w:rFonts w:ascii="Times New Roman" w:eastAsia="Aptos" w:hAnsi="Times New Roman" w:cs="Times New Roman"/>
          <w:kern w:val="2"/>
          <w:lang w:val="en-GB"/>
          <w14:ligatures w14:val="standardContextual"/>
        </w:rPr>
        <w:t xml:space="preserve"> and those</w:t>
      </w:r>
      <w:r w:rsidRPr="00F54546">
        <w:rPr>
          <w:rFonts w:ascii="Times New Roman" w:eastAsia="Aptos" w:hAnsi="Times New Roman" w:cs="Times New Roman"/>
          <w:kern w:val="2"/>
          <w:lang w:val="en-GB"/>
          <w14:ligatures w14:val="standardContextual"/>
        </w:rPr>
        <w:t xml:space="preserve"> specifically targeting typically excluded populations</w:t>
      </w:r>
      <w:r w:rsidR="002D74C3" w:rsidRPr="00F54546">
        <w:rPr>
          <w:rFonts w:ascii="Times New Roman" w:eastAsia="Aptos" w:hAnsi="Times New Roman" w:cs="Times New Roman"/>
          <w:kern w:val="2"/>
          <w:lang w:val="en-GB"/>
          <w14:ligatures w14:val="standardContextual"/>
        </w:rPr>
        <w:t>,</w:t>
      </w:r>
      <w:r w:rsidRPr="00F54546">
        <w:rPr>
          <w:rFonts w:ascii="Times New Roman" w:eastAsia="Aptos" w:hAnsi="Times New Roman" w:cs="Times New Roman"/>
          <w:kern w:val="2"/>
          <w:lang w:val="en-GB"/>
          <w14:ligatures w14:val="standardContextual"/>
        </w:rPr>
        <w:t xml:space="preserve"> and </w:t>
      </w:r>
      <w:r w:rsidR="002D74C3" w:rsidRPr="00F54546">
        <w:rPr>
          <w:rFonts w:ascii="Times New Roman" w:eastAsia="Aptos" w:hAnsi="Times New Roman" w:cs="Times New Roman"/>
          <w:kern w:val="2"/>
          <w:lang w:val="en-GB"/>
          <w14:ligatures w14:val="standardContextual"/>
        </w:rPr>
        <w:t xml:space="preserve">to </w:t>
      </w:r>
      <w:r w:rsidRPr="00F54546">
        <w:rPr>
          <w:rFonts w:ascii="Times New Roman" w:eastAsia="Aptos" w:hAnsi="Times New Roman" w:cs="Times New Roman"/>
          <w:kern w:val="2"/>
          <w:lang w:val="en-GB"/>
          <w14:ligatures w14:val="standardContextual"/>
        </w:rPr>
        <w:t>combin</w:t>
      </w:r>
      <w:r w:rsidR="002D74C3" w:rsidRPr="00F54546">
        <w:rPr>
          <w:rFonts w:ascii="Times New Roman" w:eastAsia="Aptos" w:hAnsi="Times New Roman" w:cs="Times New Roman"/>
          <w:kern w:val="2"/>
          <w:lang w:val="en-GB"/>
          <w14:ligatures w14:val="standardContextual"/>
        </w:rPr>
        <w:t>e</w:t>
      </w:r>
      <w:r w:rsidRPr="00F54546">
        <w:rPr>
          <w:rFonts w:ascii="Times New Roman" w:eastAsia="Aptos" w:hAnsi="Times New Roman" w:cs="Times New Roman"/>
          <w:kern w:val="2"/>
          <w:lang w:val="en-GB"/>
          <w14:ligatures w14:val="standardContextual"/>
        </w:rPr>
        <w:t xml:space="preserve"> data from </w:t>
      </w:r>
      <w:r w:rsidRPr="00F54546">
        <w:rPr>
          <w:rFonts w:ascii="Times New Roman" w:eastAsia="Aptos" w:hAnsi="Times New Roman" w:cs="Times New Roman"/>
          <w:kern w:val="2"/>
          <w:lang w:val="en-GB"/>
          <w14:ligatures w14:val="standardContextual"/>
        </w:rPr>
        <w:lastRenderedPageBreak/>
        <w:t>RCTs with real-world studies</w:t>
      </w:r>
      <w:bookmarkEnd w:id="7"/>
      <w:r w:rsidRPr="00F54546">
        <w:rPr>
          <w:rFonts w:ascii="Times New Roman" w:eastAsia="Aptos" w:hAnsi="Times New Roman" w:cs="Times New Roman"/>
          <w:kern w:val="2"/>
          <w:lang w:val="en-GB"/>
          <w14:ligatures w14:val="standardContextual"/>
        </w:rPr>
        <w:t>. Future guidelines should consider evidence from both RCTs and real-world studies to provide more comprehensive, applicable treatment recommendations for diverse ADHD populations.</w:t>
      </w:r>
    </w:p>
    <w:p w14:paraId="1688BF48" w14:textId="77777777" w:rsidR="00BE668F" w:rsidRPr="00F54546" w:rsidRDefault="00BE668F" w:rsidP="00BE668F">
      <w:pPr>
        <w:spacing w:line="259" w:lineRule="auto"/>
        <w:ind w:firstLine="0"/>
        <w:rPr>
          <w:rFonts w:ascii="Times New Roman" w:hAnsi="Times New Roman" w:cs="Times New Roman"/>
          <w:lang w:val="en-GB"/>
        </w:rPr>
      </w:pPr>
      <w:r w:rsidRPr="00F54546">
        <w:rPr>
          <w:rFonts w:ascii="Times New Roman" w:hAnsi="Times New Roman" w:cs="Times New Roman"/>
          <w:lang w:val="en-GB"/>
        </w:rPr>
        <w:br w:type="page"/>
      </w:r>
    </w:p>
    <w:p w14:paraId="171EF278" w14:textId="77777777" w:rsidR="00BE668F" w:rsidRPr="00F54546" w:rsidRDefault="00BE668F" w:rsidP="00BE668F">
      <w:pPr>
        <w:pStyle w:val="Heading1"/>
        <w:rPr>
          <w:lang w:val="en-GB"/>
        </w:rPr>
      </w:pPr>
      <w:r w:rsidRPr="00F54546">
        <w:rPr>
          <w:lang w:val="en-GB"/>
        </w:rPr>
        <w:lastRenderedPageBreak/>
        <w:t>Introduction</w:t>
      </w:r>
    </w:p>
    <w:p w14:paraId="1E666B4F" w14:textId="39B524DF" w:rsidR="004A674F" w:rsidRPr="00F54546" w:rsidRDefault="001226A7" w:rsidP="001F4653">
      <w:pPr>
        <w:pStyle w:val="NoSpacing"/>
        <w:ind w:firstLine="0"/>
        <w:rPr>
          <w:lang w:val="en-GB"/>
        </w:rPr>
      </w:pPr>
      <w:r w:rsidRPr="00F54546">
        <w:rPr>
          <w:lang w:val="en-GB"/>
        </w:rPr>
        <w:t xml:space="preserve">Pharmacotherapy is an important component of the multimodal treatment of </w:t>
      </w:r>
      <w:r w:rsidR="00A5189E" w:rsidRPr="00F54546">
        <w:rPr>
          <w:lang w:val="en-GB"/>
        </w:rPr>
        <w:t>a</w:t>
      </w:r>
      <w:r w:rsidR="00B14FB5" w:rsidRPr="00F54546">
        <w:rPr>
          <w:lang w:val="en-GB"/>
        </w:rPr>
        <w:t>ttention-deficit/hyperactivity disorder (ADHD)</w:t>
      </w:r>
      <w:r w:rsidRPr="00F54546">
        <w:rPr>
          <w:lang w:val="en-GB"/>
        </w:rPr>
        <w:t>.</w:t>
      </w:r>
      <w:r w:rsidR="003E779F">
        <w:fldChar w:fldCharType="begin"/>
      </w:r>
      <w:r w:rsidR="003E779F">
        <w:instrText xml:space="preserve"> ADDIN ZOTERO_ITEM CSL_CITATION {"citationID":"wZ2MsxHE","properties":{"formattedCitation":"\\super 1\\nosupersub{}","plainCitation":"1","noteIndex":0},"citationItems":[{"id":3677,"uris":["http://zotero.org/users/9282839/items/BSC53BG5","http://zotero.org/users/9282839/items/ZFHS5VKR"],"itemData":{"id":3677,"type":"article-journal","container-title":"New England Journal of Medicine","DOI":"10.1056/NEJMra1917069","ISSN":"0028-4793, 1533-4406","issue":"11","journalAbbreviation":"N Engl J Med","language":"en","note":"number: 11","page":"1050-1056","source":"DOI.org (Crossref)","title":"Pharmacologic Treatment of Attention Deficit–Hyperactivity Disorder","volume":"383","author":[{"family":"Cortese","given":"Samuele"}],"editor":[{"family":"Ropper","given":"Allan H."}],"issued":{"date-parts":[["2020",9,10]]}}}],"schema":"https://github.com/citation-style-language/schema/raw/master/csl-citation.json"} </w:instrText>
      </w:r>
      <w:r w:rsidR="003E779F">
        <w:fldChar w:fldCharType="separate"/>
      </w:r>
      <w:r w:rsidR="00363E5D" w:rsidRPr="00363E5D">
        <w:rPr>
          <w:vertAlign w:val="superscript"/>
        </w:rPr>
        <w:t>1</w:t>
      </w:r>
      <w:r w:rsidR="003E779F">
        <w:fldChar w:fldCharType="end"/>
      </w:r>
      <w:r w:rsidR="00B14FB5" w:rsidRPr="00F54546">
        <w:rPr>
          <w:lang w:val="en-GB"/>
        </w:rPr>
        <w:t xml:space="preserve"> </w:t>
      </w:r>
      <w:r w:rsidRPr="00F54546">
        <w:rPr>
          <w:lang w:val="en-GB"/>
        </w:rPr>
        <w:t xml:space="preserve">Randomized controlled trials (RCTs) are considered the gold standard to </w:t>
      </w:r>
      <w:r w:rsidR="008F0F30" w:rsidRPr="00F54546">
        <w:rPr>
          <w:lang w:val="en-GB"/>
        </w:rPr>
        <w:t xml:space="preserve">evaluate </w:t>
      </w:r>
      <w:r w:rsidRPr="00F54546">
        <w:rPr>
          <w:lang w:val="en-GB"/>
        </w:rPr>
        <w:t>efficacy and tolerability of a treatment. However, t</w:t>
      </w:r>
      <w:r w:rsidR="004A674F" w:rsidRPr="00F54546">
        <w:rPr>
          <w:lang w:val="en-GB"/>
        </w:rPr>
        <w:t>he</w:t>
      </w:r>
      <w:r w:rsidR="00C74897" w:rsidRPr="00F54546">
        <w:rPr>
          <w:lang w:val="en-GB"/>
        </w:rPr>
        <w:t>ir</w:t>
      </w:r>
      <w:r w:rsidR="004A674F" w:rsidRPr="00F54546">
        <w:rPr>
          <w:lang w:val="en-GB"/>
        </w:rPr>
        <w:t xml:space="preserve"> strict inclusion/exclusion criteria </w:t>
      </w:r>
      <w:r w:rsidR="001D2135" w:rsidRPr="00F54546">
        <w:rPr>
          <w:lang w:val="en-GB"/>
        </w:rPr>
        <w:t xml:space="preserve">may limit the generalizability of findings </w:t>
      </w:r>
      <w:r w:rsidR="004A674F" w:rsidRPr="00F54546">
        <w:rPr>
          <w:lang w:val="en-GB"/>
        </w:rPr>
        <w:t>to clinical populations</w:t>
      </w:r>
      <w:r w:rsidR="001E27AC" w:rsidRPr="00F54546">
        <w:rPr>
          <w:lang w:val="en-GB"/>
        </w:rPr>
        <w:t xml:space="preserve"> routinely seen in clinical practice</w:t>
      </w:r>
      <w:r w:rsidR="004A674F" w:rsidRPr="00F54546">
        <w:rPr>
          <w:lang w:val="en-GB"/>
        </w:rPr>
        <w:t xml:space="preserve">. </w:t>
      </w:r>
      <w:bookmarkStart w:id="8" w:name="_Hlk181304055"/>
      <w:r w:rsidR="00D63012" w:rsidRPr="00F54546">
        <w:rPr>
          <w:lang w:val="en-GB"/>
        </w:rPr>
        <w:t xml:space="preserve">Common </w:t>
      </w:r>
      <w:r w:rsidR="004A674F" w:rsidRPr="00F54546">
        <w:rPr>
          <w:lang w:val="en-GB"/>
        </w:rPr>
        <w:t>exclusion</w:t>
      </w:r>
      <w:r w:rsidR="00D63012" w:rsidRPr="00F54546">
        <w:rPr>
          <w:lang w:val="en-GB"/>
        </w:rPr>
        <w:t xml:space="preserve"> </w:t>
      </w:r>
      <w:r w:rsidR="00A335D4">
        <w:rPr>
          <w:lang w:val="en-GB"/>
        </w:rPr>
        <w:t xml:space="preserve">criteria </w:t>
      </w:r>
      <w:r w:rsidR="00D63012" w:rsidRPr="00F54546">
        <w:rPr>
          <w:lang w:val="en-GB"/>
        </w:rPr>
        <w:t>in RCTs</w:t>
      </w:r>
      <w:r w:rsidR="004A674F" w:rsidRPr="00F54546">
        <w:rPr>
          <w:lang w:val="en-GB"/>
        </w:rPr>
        <w:t xml:space="preserve"> </w:t>
      </w:r>
      <w:r w:rsidR="000B642F" w:rsidRPr="00F54546">
        <w:rPr>
          <w:lang w:val="en-GB"/>
        </w:rPr>
        <w:t xml:space="preserve">of ADHD medications </w:t>
      </w:r>
      <w:bookmarkEnd w:id="8"/>
      <w:r w:rsidR="004A674F" w:rsidRPr="00F54546">
        <w:rPr>
          <w:lang w:val="en-GB"/>
        </w:rPr>
        <w:t xml:space="preserve">include </w:t>
      </w:r>
      <w:r w:rsidR="00612601">
        <w:rPr>
          <w:lang w:val="en-GB"/>
        </w:rPr>
        <w:t>the presence of</w:t>
      </w:r>
      <w:r w:rsidR="004A674F" w:rsidRPr="00F54546">
        <w:rPr>
          <w:lang w:val="en-GB"/>
        </w:rPr>
        <w:t xml:space="preserve"> psychiatric</w:t>
      </w:r>
      <w:r w:rsidR="008F49E9">
        <w:rPr>
          <w:lang w:val="en-GB"/>
        </w:rPr>
        <w:t>/neurodevelopmental</w:t>
      </w:r>
      <w:r w:rsidR="004A674F" w:rsidRPr="00F54546">
        <w:rPr>
          <w:lang w:val="en-GB"/>
        </w:rPr>
        <w:t xml:space="preserve"> comorbidities (e.g., major depressive disorder, autism spectrum disorder, psychosis, or intellectual disability) as well as </w:t>
      </w:r>
      <w:r w:rsidR="0092063C" w:rsidRPr="00F54546">
        <w:rPr>
          <w:lang w:val="en-GB"/>
        </w:rPr>
        <w:t>other</w:t>
      </w:r>
      <w:r w:rsidR="004A674F" w:rsidRPr="00F54546">
        <w:rPr>
          <w:lang w:val="en-GB"/>
        </w:rPr>
        <w:t xml:space="preserve"> medical conditions (e.g., cardiovascular disease).</w:t>
      </w:r>
      <w:r w:rsidR="003E779F">
        <w:fldChar w:fldCharType="begin"/>
      </w:r>
      <w:r w:rsidR="003E779F">
        <w:instrText xml:space="preserve"> ADDIN ZOTERO_ITEM CSL_CITATION {"citationID":"Ww0gKCTp","properties":{"formattedCitation":"\\super 2\\nosupersub{}","plainCitation":"2","noteIndex":0},"citationItems":[{"id":5207,"uris":["http://zotero.org/users/9282839/items/UX56IANT"],"itemData":{"id":5207,"type":"article-journal","container-title":"The Lancet Psychiatry","DOI":"10.1016/S2215-0366(18)30269-4","ISSN":"22150366","issue":"9","journalAbbreviation":"The Lancet Psychiatry","language":"en","page":"727-738","source":"DOI.org (Crossref)","title":"Comparative efficacy and tolerability of medications for attention-deficit hyperactivity disorder in children, adolescents, and adults: a systematic review and network meta-analysis","title-short":"Comparative efficacy and tolerability of medications for attention-deficit hyperactivity disorder in children, adolescents, and adults","volume":"5","author":[{"family":"Cortese","given":"Samuele"},{"family":"Adamo","given":"Nicoletta"},{"family":"Del Giovane","given":"Cinzia"},{"family":"Mohr-Jensen","given":"Christina"},{"family":"Hayes","given":"Adrian J"},{"family":"Carucci","given":"Sara"},{"family":"Atkinson","given":"Lauren Z"},{"family":"Tessari","given":"Luca"},{"family":"Banaschewski","given":"Tobias"},{"family":"Coghill","given":"David"},{"family":"Hollis","given":"Chris"},{"family":"Simonoff","given":"Emily"},{"family":"Zuddas","given":"Alessandro"},{"family":"Barbui","given":"Corrado"},{"family":"Purgato","given":"Marianna"},{"family":"Steinhausen","given":"Hans-Christoph"},{"family":"Shokraneh","given":"Farhad"},{"family":"Xia","given":"Jun"},{"family":"Cipriani","given":"Andrea"}],"issued":{"date-parts":[["2018",9]]}}}],"schema":"https://github.com/citation-style-language/schema/raw/master/csl-citation.json"} </w:instrText>
      </w:r>
      <w:r w:rsidR="003E779F">
        <w:fldChar w:fldCharType="separate"/>
      </w:r>
      <w:r w:rsidR="00363E5D" w:rsidRPr="00363E5D">
        <w:rPr>
          <w:vertAlign w:val="superscript"/>
        </w:rPr>
        <w:t>2</w:t>
      </w:r>
      <w:r w:rsidR="003E779F">
        <w:fldChar w:fldCharType="end"/>
      </w:r>
      <w:r w:rsidR="0055135A" w:rsidRPr="00F54546">
        <w:rPr>
          <w:lang w:val="en-GB"/>
        </w:rPr>
        <w:t xml:space="preserve"> </w:t>
      </w:r>
      <w:r w:rsidR="00374682">
        <w:rPr>
          <w:lang w:val="en-GB"/>
        </w:rPr>
        <w:t>These conditions frequently co-occur with ADHD,</w:t>
      </w:r>
      <w:r w:rsidR="00893A3B">
        <w:rPr>
          <w:lang w:val="en-GB"/>
        </w:rPr>
        <w:fldChar w:fldCharType="begin"/>
      </w:r>
      <w:r w:rsidR="003E4044">
        <w:rPr>
          <w:lang w:val="en-GB"/>
        </w:rPr>
        <w:instrText xml:space="preserve"> ADDIN ZOTERO_ITEM CSL_CITATION {"citationID":"6G0O5VMC","properties":{"formattedCitation":"\\super 3\\uc0\\u8211{}7\\nosupersub{}","plainCitation":"3–7","noteIndex":0},"citationItems":[{"id":5200,"uris":["http://zotero.org/users/9282839/items/DGC7QFCD"],"itemData":{"id":5200,"type":"article-journal","container-title":"Biological Psychiatry","DOI":"10.1016/j.biopsych.2023.07.017","ISSN":"00063223","issue":"5","journalAbbreviation":"Biological Psychiatry","language":"en","page":"444-452","source":"DOI.org (Crossref)","title":"Attention-Deficit/Hyperactivity Disorder and Major Depressive Disorder: Evidence From Multiple Genetically Informed Designs","title-short":"Attention-Deficit/Hyperactivity Disorder and Major Depressive Disorder","volume":"95","author":[{"family":"Garcia-Argibay","given":"Miguel"},{"family":"Brikell","given":"Isabell"},{"family":"Thapar","given":"Anita"},{"family":"Lichtenstein","given":"Paul"},{"family":"Lundström","given":"Sebastian"},{"family":"Demontis","given":"Ditte"},{"family":"Larsson","given":"Henrik"}],"issued":{"date-parts":[["2024",3]]}}},{"id":4505,"uris":["http://zotero.org/users/9282839/items/UV34F4ML"],"itemData":{"id":4505,"type":"article-journal","container-title":"Neuroscience &amp; Biobehavioral Reviews","DOI":"10.1016/j.neubiorev.2021.01.022","ISSN":"01497634","journalAbbreviation":"Neuroscience &amp; Biobehavioral Reviews","language":"en","page":"789-818","source":"DOI.org (Crossref)","title":"The World Federation of ADHD International Consensus Statement: 208 Evidence-based conclusions about the disorder","title-short":"The World Federation of ADHD International Consensus Statement","volume":"128","author":[{"family":"Faraone","given":"Stephen V."},{"family":"Banaschewski","given":"Tobias"},{"family":"Coghill","given":"David"},{"family":"Zheng","given":"Yi"},{"family":"Biederman","given":"Joseph"},{"family":"Bellgrove","given":"Mark A."},{"family":"Newcorn","given":"Jeffrey H."},{"family":"Gignac","given":"Martin"},{"family":"Al Saud","given":"Nouf M."},{"family":"Manor","given":"Iris"},{"family":"Rohde","given":"Luis Augusto"},{"family":"Yang","given":"Li"},{"family":"Cortese","given":"Samuele"},{"family":"Almagor","given":"Doron"},{"family":"Stein","given":"Mark A."},{"family":"Albatti","given":"Turki H."},{"family":"Aljoudi","given":"Haya F."},{"family":"Alqahtani","given":"Mohammed M.J."},{"family":"Asherson","given":"Philip"},{"family":"Atwoli","given":"Lukoye"},{"family":"Bölte","given":"Sven"},{"family":"Buitelaar","given":"Jan K."},{"family":"Crunelle","given":"Cleo L."},{"family":"Daley","given":"David"},{"family":"Dalsgaard","given":"Søren"},{"family":"Döpfner","given":"Manfred"},{"family":"Espinet (on behalf of CADDRA)","given":"Stacey"},{"family":"Fitzgerald","given":"Michael"},{"family":"Franke","given":"Barbara"},{"family":"Gerlach","given":"Manfred"},{"family":"Haavik","given":"Jan"},{"family":"Hartman","given":"Catharina A."},{"family":"Hartung","given":"Cynthia M."},{"family":"Hinshaw","given":"Stephen P."},{"family":"Hoekstra","given":"Pieter J."},{"family":"Hollis","given":"Chris"},{"family":"Kollins","given":"Scott H."},{"family":"Sandra Kooij","given":"J.J."},{"family":"Kuntsi","given":"Jonna"},{"family":"Larsson","given":"Henrik"},{"family":"Li","given":"Tingyu"},{"family":"Liu","given":"Jing"},{"family":"Merzon","given":"Eugene"},{"family":"Mattingly","given":"Gregory"},{"family":"Mattos","given":"Paulo"},{"family":"McCarthy","given":"Suzanne"},{"family":"Mikami","given":"Amori Yee"},{"family":"Molina","given":"Brooke S.G."},{"family":"Nigg","given":"Joel T."},{"family":"Purper-Ouakil","given":"Diane"},{"family":"Omigbodun","given":"Olayinka O."},{"family":"Polanczyk","given":"Guilherme V."},{"family":"Pollak","given":"Yehuda"},{"family":"Poulton","given":"Alison S."},{"family":"Rajkumar","given":"Ravi Philip"},{"family":"Reding","given":"Andrew"},{"family":"Reif","given":"Andreas"},{"family":"Rubia","given":"Katya"},{"family":"Rucklidge","given":"Julia"},{"family":"Romanos","given":"Marcel"},{"family":"Ramos-Quiroga","given":"J. Antoni"},{"family":"Schellekens","given":"Arnt"},{"family":"Scheres","given":"Anouk"},{"family":"Schoeman","given":"Renata"},{"family":"Schweitzer","given":"Julie B."},{"family":"Shah","given":"Henal"},{"family":"Solanto","given":"Mary V."},{"family":"Sonuga-Barke","given":"Edmund"},{"family":"Soutullo","given":"César"},{"family":"Steinhausen","given":"Hans-Christoph"},{"family":"Swanson","given":"James M."},{"family":"Thapar","given":"Anita"},{"family":"Tripp","given":"Gail"},{"family":"Glind","given":"Geurt","non-dropping-particle":"van de"},{"family":"Brink","given":"Wim","non-dropping-particle":"van den"},{"family":"Van der Oord","given":"Saskia"},{"family":"Venter","given":"Andre"},{"family":"Vitiello","given":"Benedetto"},{"family":"Walitza","given":"Susanne"},{"family":"Wang","given":"Yufeng"}],"issued":{"date-parts":[["2021",9]]}}},{"id":5178,"uris":["http://zotero.org/users/9282839/items/32L97SK3"],"itemData":{"id":5178,"type":"article-journal","abstract":"Abstract\n            \n              Attention‐deficit/hyperactivity disorder (ADHD) often co‐occurs with other psychiatric and physical diseases. However, available evidence on associations between ADHD and cardiovascular diseases (CVDs) is mixed. To systematically review, quantitatively synthesize, and appraise available evidence on the link between ADHD with CVDs, we searched relevant articles in PubMed, Embase, PsycINFO, and Web of Science from inception to May 1, 2022. Study quality was assessed by using the Newcastle‐Ottawa Scale, and random‐effects model meta‐analyses were performed. A total of 18,391,169 (ADHD:\n              n\n               = 421,224) individuals from 11 studies were included in our systematic review and 8,196,648 (ADHD = 332,619) individuals from five studies were included in the main meta‐analysis of adjusted estimates. Pooled estimates showed that ADHD was significantly associated with an increased risk of CVDs in analyses based on adjusted effect size (odds ratio (OR) = 1.96; 95% confidence interval (CI) = 1.19–2.23,\n              Q\n               = 140.74,\n              P\n              Q\n               &lt; 0.001,\n              I\n              2\n               = 97.2%). When restricted among adults, the heterogeneity declined to null (OR = 1.73; 95% CI = 1.14–2.62,\n              Q\n               = 6.28,\n              P\n              Q\n               = 0.10,\n              I\n              2\n               = 6.28%), suggesting age might be the main source of heterogeneity. In subgroup analyses, we found increased risk of CVDs associated with ADHD across age groups, type of CVDs, and data sources. This systematic review and meta‐analyses indicate that ADHD is associated with increased risk for CVDs, but further studies with various study designs are warranted to advance the understanding of the underlying mechanisms for the observed association between ADHD and CVDs. Additional research is also needed to resolve the role of ADHD medications which remains unclear due to the limited number of primary studies exploring this issue.","container-title":"JCPP Advances","DOI":"10.1002/jcv2.12158","ISSN":"2692-9384, 2692-9384","issue":"3","journalAbbreviation":"JCPP Advances","language":"en","page":"e12158","source":"DOI.org (Crossref)","title":"Attention‐deficit/hyperactivity disorder is associated with increased risk of cardiovascular diseases: A systematic review and meta‐analysis","title-short":"Attention‐deficit/hyperactivity disorder is associated with increased risk of cardiovascular diseases","volume":"3","author":[{"family":"Li","given":"Lin"},{"family":"Yao","given":"Honghui"},{"family":"Zhang","given":"Le"},{"family":"Garcia‐Argibay","given":"Miguel"},{"family":"Du Rietz","given":"Ebba"},{"family":"Brikell","given":"Isabell"},{"family":"Solmi","given":"Marco"},{"family":"Cortese","given":"Samuele"},{"family":"Ramos‐Quiroga","given":"J. Antoni"},{"family":"Ribasés","given":"Marta"},{"family":"Chang","given":"Zheng"},{"family":"Larsson","given":"Henrik"}],"issued":{"date-parts":[["2023",9]]}}},{"id":5049,"uris":["http://zotero.org/users/9282839/items/J7BLMD23"],"itemData":{"id":5049,"type":"article-journal","abstract":"OBJECTIVE: (1) investigate the associations of attention-deficit/hyperactivity disorder (ADHD) with systolic and diastolic blood pressure, resting heart rate, pulse pressure (PP), physical fitness, and BMI; (2) explore whether cardiovascular risk factors and ADHD share genetic and environmental influences; (3) assess if pharmacological treatment for ADHD influences these associations.\nMETHODS: We identified 395,978 individuals born between 1973 and 1991 who had military conscription examinations at a mean age of 18.3 years (SD = 0.57) and their full-siblings within the same cohort (N = 208,060) by linking population-based registers in Sweden.\nRESULTS: Significantly increased risk of ADHD was observed in individuals with low systolic blood pressure (SBP) and PP, low physical fitness, and in those who had overweight or obesity after adjustments (adjusted Odds Ratio [OR] ranging from 1.10 to 1.45). Full siblings of individuals with low SBP, low physical fitness, and obesity were more likely to receive an ADHD diagnosis compared to full siblings without those risk factors (OR ranging from 1.17 to 1.31). Additionally, analyses showed robust associations between ADHD and low SBP, low physical fitness, and obesity, even in ADHD medication-naïve individuals.\nCONCLUSIONS: Individuals with several cardiovascular risk factors are more often diagnosed with ADHD, regardless of psychiatric comorbidity. These association are not explained by ADHD pharmacotherapy, rather, they are in part due to shared familial risk factors.","container-title":"International Journal of Methods in Psychiatric Research","DOI":"10.1002/mpr.1930","ISSN":"1557-0657","issue":"4","journalAbbreviation":"Int J Methods Psychiatr Res","language":"eng","note":"PMID: 35765813\nPMCID: PMC9720218","page":"e1930","source":"PubMed","title":"Cardiovascular risk factors in attention-deficit/hyperactivity disorder: A family design study of Swedish conscripts","title-short":"Cardiovascular risk factors in attention-deficit/hyperactivity disorder","volume":"31","author":[{"family":"Garcia-Argibay","given":"Miguel"},{"family":"Du Rietz","given":"Ebba"},{"family":"Hartman","given":"Catharina A."},{"family":"Lichtenstein","given":"Paul"},{"family":"Chang","given":"Zheng"},{"family":"Fava","given":"Cristiano"},{"family":"Cortese","given":"Samuele"},{"family":"Larsson","given":"Henrik"}],"issued":{"date-parts":[["2022",12]]}}},{"id":4983,"uris":["http://zotero.org/users/9282839/items/5BN8TADS"],"itemData":{"id":4983,"type":"article-journal","container-title":"Neuroscience &amp; Biobehavioral Reviews","DOI":"10.1016/j.neubiorev.2023.105076","ISSN":"01497634","journalAbbreviation":"Neuroscience &amp; Biobehavioral Reviews","language":"en","page":"105076","source":"DOI.org (Crossref)","title":"The association between type 2 diabetes and attention- deficit/hyperactivity disorder: A systematic review, meta-analysis, and population-based sibling study","title-short":"The association between type 2 diabetes and attention- deficit/hyperactivity disorder","volume":"147","author":[{"family":"Garcia-Argibay","given":"Miguel"},{"family":"Li","given":"Lin"},{"family":"Du Rietz","given":"Ebba"},{"family":"Zhang","given":"Le"},{"family":"Yao","given":"Honghui"},{"family":"Jendle","given":"Johan"},{"family":"Ramos-Quiroga","given":"Josep A."},{"family":"Ribasés","given":"Marta"},{"family":"Chang","given":"Zheng"},{"family":"Brikell","given":"Isabell"},{"family":"Cortese","given":"Samuele"},{"family":"Larsson","given":"Henrik"}],"issued":{"date-parts":[["2023",4]]}}}],"schema":"https://github.com/citation-style-language/schema/raw/master/csl-citation.json"} </w:instrText>
      </w:r>
      <w:r w:rsidR="00893A3B">
        <w:rPr>
          <w:lang w:val="en-GB"/>
        </w:rPr>
        <w:fldChar w:fldCharType="separate"/>
      </w:r>
      <w:r w:rsidR="003E4044" w:rsidRPr="003E4044">
        <w:rPr>
          <w:vertAlign w:val="superscript"/>
        </w:rPr>
        <w:t>3–7</w:t>
      </w:r>
      <w:r w:rsidR="00893A3B">
        <w:rPr>
          <w:lang w:val="en-GB"/>
        </w:rPr>
        <w:fldChar w:fldCharType="end"/>
      </w:r>
      <w:r w:rsidR="00374682">
        <w:rPr>
          <w:lang w:val="en-GB"/>
        </w:rPr>
        <w:t xml:space="preserve"> and</w:t>
      </w:r>
      <w:r w:rsidR="008F49E9">
        <w:rPr>
          <w:lang w:val="en-GB"/>
        </w:rPr>
        <w:t>,</w:t>
      </w:r>
      <w:r w:rsidR="00374682">
        <w:rPr>
          <w:lang w:val="en-GB"/>
        </w:rPr>
        <w:t xml:space="preserve"> a</w:t>
      </w:r>
      <w:r w:rsidR="0055135A" w:rsidRPr="00F54546">
        <w:rPr>
          <w:lang w:val="en-GB"/>
        </w:rPr>
        <w:t xml:space="preserve">s a result, a </w:t>
      </w:r>
      <w:r w:rsidR="001E27AC" w:rsidRPr="00F54546">
        <w:rPr>
          <w:lang w:val="en-GB"/>
        </w:rPr>
        <w:t xml:space="preserve">substantial </w:t>
      </w:r>
      <w:r w:rsidR="0055135A" w:rsidRPr="00F54546">
        <w:rPr>
          <w:lang w:val="en-GB"/>
        </w:rPr>
        <w:t xml:space="preserve">percentage of individuals with ADHD would </w:t>
      </w:r>
      <w:r w:rsidR="00500457" w:rsidRPr="00F54546">
        <w:rPr>
          <w:lang w:val="en-GB"/>
        </w:rPr>
        <w:t xml:space="preserve">not </w:t>
      </w:r>
      <w:r w:rsidR="0055135A" w:rsidRPr="00F54546">
        <w:rPr>
          <w:lang w:val="en-GB"/>
        </w:rPr>
        <w:t xml:space="preserve">meet the typical inclusion criteria for these </w:t>
      </w:r>
      <w:r w:rsidR="001E27AC" w:rsidRPr="00F54546">
        <w:rPr>
          <w:lang w:val="en-GB"/>
        </w:rPr>
        <w:t>RCTs</w:t>
      </w:r>
      <w:r w:rsidR="0055135A" w:rsidRPr="00F54546">
        <w:rPr>
          <w:lang w:val="en-GB"/>
        </w:rPr>
        <w:t>.</w:t>
      </w:r>
    </w:p>
    <w:p w14:paraId="5A2F89FE" w14:textId="6DCA3621" w:rsidR="004A674F" w:rsidRPr="00F54546" w:rsidRDefault="0055135A" w:rsidP="001F4653">
      <w:pPr>
        <w:pStyle w:val="NoSpacing"/>
        <w:ind w:firstLine="0"/>
        <w:rPr>
          <w:lang w:val="en-GB"/>
        </w:rPr>
      </w:pPr>
      <w:r w:rsidRPr="00F54546">
        <w:rPr>
          <w:lang w:val="en-GB"/>
        </w:rPr>
        <w:t xml:space="preserve">Indeed, </w:t>
      </w:r>
      <w:r w:rsidR="00066C16" w:rsidRPr="00F54546">
        <w:rPr>
          <w:lang w:val="en-GB"/>
        </w:rPr>
        <w:t xml:space="preserve">findings from the only available study based on one RCT in US adults with ADHD </w:t>
      </w:r>
      <w:r w:rsidR="004A674F" w:rsidRPr="00F54546">
        <w:rPr>
          <w:lang w:val="en-GB"/>
        </w:rPr>
        <w:t>suggest</w:t>
      </w:r>
      <w:r w:rsidR="00F245CC" w:rsidRPr="00F54546">
        <w:rPr>
          <w:lang w:val="en-GB"/>
        </w:rPr>
        <w:t>s</w:t>
      </w:r>
      <w:r w:rsidR="004A674F" w:rsidRPr="00F54546">
        <w:rPr>
          <w:lang w:val="en-GB"/>
        </w:rPr>
        <w:t xml:space="preserve"> </w:t>
      </w:r>
      <w:r w:rsidR="00066C16" w:rsidRPr="00F54546">
        <w:rPr>
          <w:lang w:val="en-GB"/>
        </w:rPr>
        <w:t xml:space="preserve">that </w:t>
      </w:r>
      <w:r w:rsidR="004A674F" w:rsidRPr="00F54546">
        <w:rPr>
          <w:lang w:val="en-GB"/>
        </w:rPr>
        <w:t xml:space="preserve">only about </w:t>
      </w:r>
      <w:r w:rsidR="00AB51E3" w:rsidRPr="00F54546">
        <w:rPr>
          <w:lang w:val="en-GB"/>
        </w:rPr>
        <w:t>31%</w:t>
      </w:r>
      <w:r w:rsidR="004A674F" w:rsidRPr="00F54546">
        <w:rPr>
          <w:lang w:val="en-GB"/>
        </w:rPr>
        <w:t xml:space="preserve"> of individuals with ADHD presenting for routine clinical care would meet eligibility for participation </w:t>
      </w:r>
      <w:r w:rsidR="00822274" w:rsidRPr="00F54546">
        <w:rPr>
          <w:lang w:val="en-GB"/>
        </w:rPr>
        <w:t>the RCT</w:t>
      </w:r>
      <w:r w:rsidR="004A674F" w:rsidRPr="00F54546">
        <w:rPr>
          <w:lang w:val="en-GB"/>
        </w:rPr>
        <w:t>.</w:t>
      </w:r>
      <w:r w:rsidR="003E779F">
        <w:fldChar w:fldCharType="begin"/>
      </w:r>
      <w:r w:rsidR="003E4044">
        <w:instrText xml:space="preserve"> ADDIN ZOTERO_ITEM CSL_CITATION {"citationID":"TtiC0iOJ","properties":{"formattedCitation":"\\super 8\\nosupersub{}","plainCitation":"8","noteIndex":0},"citationItems":[{"id":5202,"uris":["http://zotero.org/users/9282839/items/Y8UWY9UA"],"itemData":{"id":5202,"type":"article-journal","container-title":"The Journal of Clinical Psychiatry","DOI":"10.4088/JCP.09m05344pur","ISSN":"0160-6689","issue":"12","journalAbbreviation":"J. Clin. Psychiatry","page":"1612-1616","source":"DOI.org (Crossref)","title":"Representativeness of Participants in a Clinical Trial for Attention-Deficit/Hyperactivity Disorder?: Comparison With Adults From a Large Observational Study","title-short":"Representativeness of Participants in a Clinical Trial for Attention-Deficit/Hyperactivity Disorder?","volume":"71","author":[{"family":"Surman","given":"Craig B. H."},{"family":"Monuteaux","given":"Michael C."},{"family":"Petty","given":"Carter R."},{"family":"Faraone","given":"Stephen V."},{"family":"Spencer","given":"Thomas J."},{"family":"Chu","given":"Nicole F."},{"family":"Biederman","given":"Joseph"}],"issued":{"date-parts":[["2010",12,15]]}}}],"schema":"https://github.com/citation-style-language/schema/raw/master/csl-citation.json"} </w:instrText>
      </w:r>
      <w:r w:rsidR="003E779F">
        <w:fldChar w:fldCharType="separate"/>
      </w:r>
      <w:r w:rsidR="003E4044" w:rsidRPr="003E4044">
        <w:rPr>
          <w:vertAlign w:val="superscript"/>
        </w:rPr>
        <w:t>8</w:t>
      </w:r>
      <w:r w:rsidR="003E779F">
        <w:fldChar w:fldCharType="end"/>
      </w:r>
      <w:r w:rsidR="004A674F" w:rsidRPr="00F54546">
        <w:rPr>
          <w:lang w:val="en-GB"/>
        </w:rPr>
        <w:t xml:space="preserve"> </w:t>
      </w:r>
      <w:r w:rsidR="001E27AC" w:rsidRPr="00F54546">
        <w:rPr>
          <w:lang w:val="en-GB"/>
        </w:rPr>
        <w:t>However, these findings are based on one RCT</w:t>
      </w:r>
      <w:r w:rsidR="00612601">
        <w:rPr>
          <w:lang w:val="en-GB"/>
        </w:rPr>
        <w:t xml:space="preserve"> </w:t>
      </w:r>
      <w:r w:rsidR="008F49E9">
        <w:rPr>
          <w:lang w:val="en-GB"/>
        </w:rPr>
        <w:t>in a specific country and refer to</w:t>
      </w:r>
      <w:r w:rsidR="001E27AC" w:rsidRPr="00F54546">
        <w:rPr>
          <w:lang w:val="en-GB"/>
        </w:rPr>
        <w:t xml:space="preserve"> adults</w:t>
      </w:r>
      <w:r w:rsidR="008F49E9">
        <w:rPr>
          <w:lang w:val="en-GB"/>
        </w:rPr>
        <w:t xml:space="preserve"> only</w:t>
      </w:r>
      <w:r w:rsidR="001E27AC" w:rsidRPr="00F54546">
        <w:rPr>
          <w:lang w:val="en-GB"/>
        </w:rPr>
        <w:t xml:space="preserve">. </w:t>
      </w:r>
      <w:r w:rsidR="008F49E9">
        <w:rPr>
          <w:lang w:val="en-GB"/>
        </w:rPr>
        <w:t>Importantly</w:t>
      </w:r>
      <w:r w:rsidR="004A674F" w:rsidRPr="00F54546">
        <w:rPr>
          <w:lang w:val="en-GB"/>
        </w:rPr>
        <w:t xml:space="preserve">, </w:t>
      </w:r>
      <w:r w:rsidR="00066C16" w:rsidRPr="00F54546">
        <w:rPr>
          <w:lang w:val="en-GB"/>
        </w:rPr>
        <w:t>it remains unclear</w:t>
      </w:r>
      <w:r w:rsidR="004A674F" w:rsidRPr="00F54546">
        <w:rPr>
          <w:lang w:val="en-GB"/>
        </w:rPr>
        <w:t xml:space="preserve"> how excluded real-world ADHD groups differ in their </w:t>
      </w:r>
      <w:r w:rsidR="006A66E4" w:rsidRPr="00F54546">
        <w:rPr>
          <w:lang w:val="en-GB"/>
        </w:rPr>
        <w:t xml:space="preserve">treatment pattern </w:t>
      </w:r>
      <w:r w:rsidR="004A674F" w:rsidRPr="00F54546">
        <w:rPr>
          <w:lang w:val="en-GB"/>
        </w:rPr>
        <w:t xml:space="preserve">and outcomes compared to the relatively homogeneous RCT samples. </w:t>
      </w:r>
      <w:r w:rsidR="005C27DE" w:rsidRPr="00F54546">
        <w:rPr>
          <w:lang w:val="en-GB"/>
        </w:rPr>
        <w:t>Therefore, i</w:t>
      </w:r>
      <w:r w:rsidR="00F245CC" w:rsidRPr="00F54546">
        <w:rPr>
          <w:lang w:val="en-GB"/>
        </w:rPr>
        <w:t xml:space="preserve">t is crucial to </w:t>
      </w:r>
      <w:r w:rsidR="000B642F" w:rsidRPr="00F54546">
        <w:rPr>
          <w:lang w:val="en-GB"/>
        </w:rPr>
        <w:t xml:space="preserve">gain additional insight, based on multiple datasets of RCTs across </w:t>
      </w:r>
      <w:r w:rsidR="00054866" w:rsidRPr="00F54546">
        <w:rPr>
          <w:lang w:val="en-GB"/>
        </w:rPr>
        <w:t xml:space="preserve">the world and across </w:t>
      </w:r>
      <w:r w:rsidR="000B642F" w:rsidRPr="00F54546">
        <w:rPr>
          <w:lang w:val="en-GB"/>
        </w:rPr>
        <w:t>the lifespan, on the representativeness of RCTs of ADHD medications</w:t>
      </w:r>
      <w:r w:rsidR="008F49E9">
        <w:rPr>
          <w:lang w:val="en-GB"/>
        </w:rPr>
        <w:t>,</w:t>
      </w:r>
      <w:r w:rsidR="00F245CC" w:rsidRPr="00F54546">
        <w:rPr>
          <w:lang w:val="en-GB"/>
        </w:rPr>
        <w:t xml:space="preserve"> and to identify potential differences in treatment</w:t>
      </w:r>
      <w:r w:rsidR="00915953" w:rsidRPr="00F54546">
        <w:rPr>
          <w:lang w:val="en-GB"/>
        </w:rPr>
        <w:t xml:space="preserve"> patterns and </w:t>
      </w:r>
      <w:r w:rsidR="008F49E9">
        <w:rPr>
          <w:lang w:val="en-GB"/>
        </w:rPr>
        <w:t>clinical/functional outcomes</w:t>
      </w:r>
      <w:r w:rsidR="00915953" w:rsidRPr="00F54546">
        <w:rPr>
          <w:lang w:val="en-GB"/>
        </w:rPr>
        <w:t xml:space="preserve"> </w:t>
      </w:r>
      <w:r w:rsidR="00F245CC" w:rsidRPr="00F54546">
        <w:rPr>
          <w:lang w:val="en-GB"/>
        </w:rPr>
        <w:t>between individuals who would be eligible for RCTs and those who would not.</w:t>
      </w:r>
    </w:p>
    <w:p w14:paraId="01C2140E" w14:textId="27A58B53" w:rsidR="00056D47" w:rsidRPr="00F54546" w:rsidRDefault="004A674F" w:rsidP="00E22774">
      <w:pPr>
        <w:pStyle w:val="NoSpacing"/>
        <w:ind w:firstLine="0"/>
        <w:rPr>
          <w:lang w:val="en-GB"/>
        </w:rPr>
      </w:pPr>
      <w:r w:rsidRPr="00F54546">
        <w:rPr>
          <w:lang w:val="en-GB"/>
        </w:rPr>
        <w:t xml:space="preserve">The </w:t>
      </w:r>
      <w:r w:rsidR="0010487A" w:rsidRPr="00F54546">
        <w:rPr>
          <w:lang w:val="en-GB"/>
        </w:rPr>
        <w:t>aims</w:t>
      </w:r>
      <w:r w:rsidRPr="00F54546">
        <w:rPr>
          <w:lang w:val="en-GB"/>
        </w:rPr>
        <w:t xml:space="preserve"> of this study w</w:t>
      </w:r>
      <w:r w:rsidR="0010487A" w:rsidRPr="00F54546">
        <w:rPr>
          <w:lang w:val="en-GB"/>
        </w:rPr>
        <w:t>ere</w:t>
      </w:r>
      <w:r w:rsidRPr="00F54546">
        <w:rPr>
          <w:lang w:val="en-GB"/>
        </w:rPr>
        <w:t xml:space="preserve"> to</w:t>
      </w:r>
      <w:r w:rsidR="001E27AC" w:rsidRPr="00F54546">
        <w:rPr>
          <w:lang w:val="en-GB"/>
        </w:rPr>
        <w:t>:</w:t>
      </w:r>
      <w:r w:rsidRPr="00F54546">
        <w:rPr>
          <w:lang w:val="en-GB"/>
        </w:rPr>
        <w:t xml:space="preserve"> 1) quantify </w:t>
      </w:r>
      <w:r w:rsidR="00BF1445" w:rsidRPr="00F54546">
        <w:rPr>
          <w:lang w:val="en-GB"/>
        </w:rPr>
        <w:t>the</w:t>
      </w:r>
      <w:r w:rsidRPr="00F54546">
        <w:rPr>
          <w:lang w:val="en-GB"/>
        </w:rPr>
        <w:t xml:space="preserve"> percentage of individuals with ADHD</w:t>
      </w:r>
      <w:r w:rsidR="003F2E8D" w:rsidRPr="00F54546">
        <w:rPr>
          <w:lang w:val="en-GB"/>
        </w:rPr>
        <w:t xml:space="preserve"> initiating ADHD medications</w:t>
      </w:r>
      <w:r w:rsidR="00BF1445" w:rsidRPr="00F54546">
        <w:rPr>
          <w:lang w:val="en-GB"/>
        </w:rPr>
        <w:t xml:space="preserve"> </w:t>
      </w:r>
      <w:r w:rsidR="008F49E9">
        <w:rPr>
          <w:lang w:val="en-GB"/>
        </w:rPr>
        <w:t xml:space="preserve">in </w:t>
      </w:r>
      <w:r w:rsidR="00DC1D1C">
        <w:rPr>
          <w:lang w:val="en-GB"/>
        </w:rPr>
        <w:t xml:space="preserve">the </w:t>
      </w:r>
      <w:r w:rsidR="008F49E9">
        <w:rPr>
          <w:lang w:val="en-GB"/>
        </w:rPr>
        <w:t xml:space="preserve">real world </w:t>
      </w:r>
      <w:r w:rsidR="00BF1445" w:rsidRPr="00F54546">
        <w:rPr>
          <w:lang w:val="en-GB"/>
        </w:rPr>
        <w:t>who</w:t>
      </w:r>
      <w:r w:rsidRPr="00F54546">
        <w:rPr>
          <w:lang w:val="en-GB"/>
        </w:rPr>
        <w:t xml:space="preserve"> </w:t>
      </w:r>
      <w:r w:rsidR="00FC0846">
        <w:rPr>
          <w:lang w:val="en-GB"/>
        </w:rPr>
        <w:t>would be</w:t>
      </w:r>
      <w:r w:rsidRPr="00F54546">
        <w:rPr>
          <w:lang w:val="en-GB"/>
        </w:rPr>
        <w:t xml:space="preserve"> ineligible for RCT ADHD </w:t>
      </w:r>
      <w:r w:rsidR="008F49E9">
        <w:rPr>
          <w:lang w:val="en-GB"/>
        </w:rPr>
        <w:lastRenderedPageBreak/>
        <w:t>medication</w:t>
      </w:r>
      <w:r w:rsidR="008F49E9" w:rsidRPr="00F54546">
        <w:rPr>
          <w:lang w:val="en-GB"/>
        </w:rPr>
        <w:t xml:space="preserve"> </w:t>
      </w:r>
      <w:r w:rsidRPr="00F54546">
        <w:rPr>
          <w:lang w:val="en-GB"/>
        </w:rPr>
        <w:t>efficacy trials</w:t>
      </w:r>
      <w:r w:rsidR="00020A2D" w:rsidRPr="00F54546">
        <w:rPr>
          <w:lang w:val="en-GB"/>
        </w:rPr>
        <w:t xml:space="preserve">, </w:t>
      </w:r>
      <w:r w:rsidR="0010487A" w:rsidRPr="00F54546">
        <w:rPr>
          <w:lang w:val="en-GB"/>
        </w:rPr>
        <w:t>2</w:t>
      </w:r>
      <w:r w:rsidRPr="00F54546">
        <w:rPr>
          <w:lang w:val="en-GB"/>
        </w:rPr>
        <w:t xml:space="preserve">) </w:t>
      </w:r>
      <w:r w:rsidR="008912E7" w:rsidRPr="00F54546">
        <w:rPr>
          <w:lang w:val="en-GB"/>
        </w:rPr>
        <w:t xml:space="preserve">evaluate differences in </w:t>
      </w:r>
      <w:r w:rsidR="003F2E8D" w:rsidRPr="00F54546">
        <w:rPr>
          <w:lang w:val="en-GB"/>
        </w:rPr>
        <w:t xml:space="preserve">medication </w:t>
      </w:r>
      <w:r w:rsidR="008912E7" w:rsidRPr="00F54546">
        <w:rPr>
          <w:lang w:val="en-GB"/>
        </w:rPr>
        <w:t>switching</w:t>
      </w:r>
      <w:r w:rsidR="003F2E8D" w:rsidRPr="00F54546">
        <w:rPr>
          <w:lang w:val="en-GB"/>
        </w:rPr>
        <w:t xml:space="preserve"> </w:t>
      </w:r>
      <w:r w:rsidR="008912E7" w:rsidRPr="00F54546">
        <w:rPr>
          <w:lang w:val="en-GB"/>
        </w:rPr>
        <w:t xml:space="preserve">and </w:t>
      </w:r>
      <w:r w:rsidR="003F2E8D" w:rsidRPr="00F54546">
        <w:rPr>
          <w:lang w:val="en-GB"/>
        </w:rPr>
        <w:t xml:space="preserve">medication </w:t>
      </w:r>
      <w:r w:rsidR="008912E7" w:rsidRPr="00F54546">
        <w:rPr>
          <w:lang w:val="en-GB"/>
        </w:rPr>
        <w:t xml:space="preserve">discontinuation </w:t>
      </w:r>
      <w:r w:rsidR="000C0022" w:rsidRPr="00F54546">
        <w:rPr>
          <w:lang w:val="en-GB"/>
        </w:rPr>
        <w:t xml:space="preserve">within one year </w:t>
      </w:r>
      <w:r w:rsidR="008912E7" w:rsidRPr="00F54546">
        <w:rPr>
          <w:lang w:val="en-GB"/>
        </w:rPr>
        <w:t xml:space="preserve">between eligible and ineligible groups, and </w:t>
      </w:r>
      <w:bookmarkStart w:id="9" w:name="_Hlk181699145"/>
      <w:r w:rsidR="0010487A" w:rsidRPr="00F54546">
        <w:rPr>
          <w:lang w:val="en-GB"/>
        </w:rPr>
        <w:t>3</w:t>
      </w:r>
      <w:r w:rsidR="008912E7" w:rsidRPr="00F54546">
        <w:rPr>
          <w:lang w:val="en-GB"/>
        </w:rPr>
        <w:t xml:space="preserve">) </w:t>
      </w:r>
      <w:r w:rsidRPr="00F54546">
        <w:rPr>
          <w:lang w:val="en-GB"/>
        </w:rPr>
        <w:t>explore whether</w:t>
      </w:r>
      <w:r w:rsidR="0010487A" w:rsidRPr="00F54546">
        <w:rPr>
          <w:lang w:val="en-GB"/>
        </w:rPr>
        <w:t xml:space="preserve"> important</w:t>
      </w:r>
      <w:r w:rsidRPr="00F54546">
        <w:rPr>
          <w:lang w:val="en-GB"/>
        </w:rPr>
        <w:t xml:space="preserve"> clinical</w:t>
      </w:r>
      <w:r w:rsidR="008F49E9">
        <w:rPr>
          <w:lang w:val="en-GB"/>
        </w:rPr>
        <w:t>/functional</w:t>
      </w:r>
      <w:r w:rsidRPr="00F54546">
        <w:rPr>
          <w:lang w:val="en-GB"/>
        </w:rPr>
        <w:t xml:space="preserve"> outcomes</w:t>
      </w:r>
      <w:r w:rsidR="00BF1445" w:rsidRPr="00F54546">
        <w:rPr>
          <w:lang w:val="en-GB"/>
        </w:rPr>
        <w:t>, such as</w:t>
      </w:r>
      <w:r w:rsidR="003E2956" w:rsidRPr="00F54546">
        <w:rPr>
          <w:lang w:val="en-GB"/>
        </w:rPr>
        <w:t xml:space="preserve"> </w:t>
      </w:r>
      <w:r w:rsidR="00366674" w:rsidRPr="00F54546">
        <w:rPr>
          <w:lang w:val="en-GB"/>
        </w:rPr>
        <w:t xml:space="preserve">inpatient </w:t>
      </w:r>
      <w:r w:rsidR="003E2956" w:rsidRPr="00F54546">
        <w:rPr>
          <w:lang w:val="en-GB"/>
        </w:rPr>
        <w:t xml:space="preserve">psychiatric hospitalizations, injuries/accidents, </w:t>
      </w:r>
      <w:r w:rsidR="00CD42EB">
        <w:rPr>
          <w:lang w:val="en-GB"/>
        </w:rPr>
        <w:t xml:space="preserve">the number of specialist care visits related to </w:t>
      </w:r>
      <w:r w:rsidR="003E2956" w:rsidRPr="00F54546">
        <w:rPr>
          <w:lang w:val="en-GB"/>
        </w:rPr>
        <w:t>substance use disorder</w:t>
      </w:r>
      <w:r w:rsidR="00BF1445" w:rsidRPr="00F54546">
        <w:rPr>
          <w:lang w:val="en-GB"/>
        </w:rPr>
        <w:t>,</w:t>
      </w:r>
      <w:r w:rsidR="00CD42EB">
        <w:rPr>
          <w:lang w:val="en-GB"/>
        </w:rPr>
        <w:t xml:space="preserve"> depression, and anxiety,</w:t>
      </w:r>
      <w:r w:rsidRPr="00F54546">
        <w:rPr>
          <w:lang w:val="en-GB"/>
        </w:rPr>
        <w:t xml:space="preserve"> differ between eligible and ineligible </w:t>
      </w:r>
      <w:r w:rsidR="0010487A" w:rsidRPr="00F54546">
        <w:rPr>
          <w:lang w:val="en-GB"/>
        </w:rPr>
        <w:t>individuals</w:t>
      </w:r>
      <w:r w:rsidRPr="00F54546">
        <w:rPr>
          <w:lang w:val="en-GB"/>
        </w:rPr>
        <w:t xml:space="preserve"> over a 12-month observation period.</w:t>
      </w:r>
      <w:r w:rsidR="00E22774" w:rsidRPr="00E22774">
        <w:t xml:space="preserve"> </w:t>
      </w:r>
      <w:bookmarkStart w:id="10" w:name="_Hlk181623263"/>
      <w:bookmarkEnd w:id="9"/>
      <w:r w:rsidR="00E22774" w:rsidRPr="00E22774">
        <w:rPr>
          <w:lang w:val="en-GB"/>
        </w:rPr>
        <w:t>We hypothesi</w:t>
      </w:r>
      <w:r w:rsidR="00E22774">
        <w:rPr>
          <w:lang w:val="en-GB"/>
        </w:rPr>
        <w:t>s</w:t>
      </w:r>
      <w:r w:rsidR="00E22774" w:rsidRPr="00E22774">
        <w:rPr>
          <w:lang w:val="en-GB"/>
        </w:rPr>
        <w:t xml:space="preserve">ed that compared to </w:t>
      </w:r>
      <w:r w:rsidR="00330C0C">
        <w:rPr>
          <w:lang w:val="en-GB"/>
        </w:rPr>
        <w:t xml:space="preserve">hypothetically </w:t>
      </w:r>
      <w:r w:rsidR="00E22774" w:rsidRPr="00E22774">
        <w:rPr>
          <w:lang w:val="en-GB"/>
        </w:rPr>
        <w:t>RCT-eligible individuals, those ineligible for RCTs would show</w:t>
      </w:r>
      <w:r w:rsidR="00E22774">
        <w:rPr>
          <w:lang w:val="en-GB"/>
        </w:rPr>
        <w:t xml:space="preserve">: 1) </w:t>
      </w:r>
      <w:r w:rsidR="00E22774" w:rsidRPr="00E22774">
        <w:rPr>
          <w:lang w:val="en-GB"/>
        </w:rPr>
        <w:t>Higher rates of medication discontinuation and switching, reflecting greater clinical complexity and potentially poorer treatment response</w:t>
      </w:r>
      <w:r w:rsidR="00E22774">
        <w:rPr>
          <w:lang w:val="en-GB"/>
        </w:rPr>
        <w:t>, 2) h</w:t>
      </w:r>
      <w:r w:rsidR="00E22774" w:rsidRPr="00E22774">
        <w:rPr>
          <w:lang w:val="en-GB"/>
        </w:rPr>
        <w:t xml:space="preserve">igher rates of adverse </w:t>
      </w:r>
      <w:r w:rsidR="005B6191" w:rsidRPr="00F54546">
        <w:rPr>
          <w:lang w:val="en-GB"/>
        </w:rPr>
        <w:t>clinical</w:t>
      </w:r>
      <w:r w:rsidR="005B6191">
        <w:rPr>
          <w:lang w:val="en-GB"/>
        </w:rPr>
        <w:t>/functional</w:t>
      </w:r>
      <w:r w:rsidR="005B6191" w:rsidRPr="00F54546">
        <w:rPr>
          <w:lang w:val="en-GB"/>
        </w:rPr>
        <w:t xml:space="preserve"> outcomes</w:t>
      </w:r>
      <w:r w:rsidR="00E22774" w:rsidRPr="00E22774">
        <w:rPr>
          <w:lang w:val="en-GB"/>
        </w:rPr>
        <w:t xml:space="preserve">, </w:t>
      </w:r>
      <w:r w:rsidR="00330C0C">
        <w:rPr>
          <w:lang w:val="en-GB"/>
        </w:rPr>
        <w:t>likely indicating</w:t>
      </w:r>
      <w:r w:rsidR="00E22774" w:rsidRPr="00E22774">
        <w:rPr>
          <w:lang w:val="en-GB"/>
        </w:rPr>
        <w:t xml:space="preserve"> greater underlying clinical severity and comorbidity burden</w:t>
      </w:r>
      <w:r w:rsidR="00E22774">
        <w:rPr>
          <w:lang w:val="en-GB"/>
        </w:rPr>
        <w:t>.</w:t>
      </w:r>
    </w:p>
    <w:bookmarkEnd w:id="10"/>
    <w:p w14:paraId="0D8815A9" w14:textId="77777777" w:rsidR="00056D47" w:rsidRPr="00F54546" w:rsidRDefault="00056D47" w:rsidP="00056D47">
      <w:pPr>
        <w:pStyle w:val="Heading1"/>
        <w:rPr>
          <w:lang w:val="en-GB"/>
        </w:rPr>
      </w:pPr>
      <w:r w:rsidRPr="00F54546">
        <w:rPr>
          <w:lang w:val="en-GB"/>
        </w:rPr>
        <w:t>Methods</w:t>
      </w:r>
    </w:p>
    <w:p w14:paraId="7D540F4B" w14:textId="77777777" w:rsidR="004A674F" w:rsidRPr="00F54546" w:rsidRDefault="004A674F" w:rsidP="0033691E">
      <w:pPr>
        <w:pStyle w:val="Heading2"/>
        <w:ind w:left="0" w:firstLine="0"/>
        <w:rPr>
          <w:lang w:val="en-GB"/>
        </w:rPr>
      </w:pPr>
      <w:r w:rsidRPr="00F54546">
        <w:rPr>
          <w:lang w:val="en-GB"/>
        </w:rPr>
        <w:t>Study population</w:t>
      </w:r>
    </w:p>
    <w:p w14:paraId="1CDBA057" w14:textId="6D239B03" w:rsidR="004A674F" w:rsidRPr="00F54546" w:rsidRDefault="004A674F" w:rsidP="0033691E">
      <w:pPr>
        <w:pStyle w:val="NoSpacing"/>
        <w:ind w:firstLine="0"/>
        <w:rPr>
          <w:lang w:val="en-GB"/>
        </w:rPr>
      </w:pPr>
      <w:r w:rsidRPr="00F54546">
        <w:rPr>
          <w:lang w:val="en-GB"/>
        </w:rPr>
        <w:t>This cohort study used data from multiple Swedish national registers including the National Patient Register, Prescribed Drug Register</w:t>
      </w:r>
      <w:r w:rsidR="00350FD2" w:rsidRPr="00F54546">
        <w:rPr>
          <w:lang w:val="en-GB"/>
        </w:rPr>
        <w:t xml:space="preserve"> (initiated in July 2005)</w:t>
      </w:r>
      <w:r w:rsidRPr="00F54546">
        <w:rPr>
          <w:lang w:val="en-GB"/>
        </w:rPr>
        <w:t xml:space="preserve">, and </w:t>
      </w:r>
      <w:r w:rsidR="00092173" w:rsidRPr="00F54546">
        <w:rPr>
          <w:lang w:val="en-GB"/>
        </w:rPr>
        <w:t xml:space="preserve">the </w:t>
      </w:r>
      <w:r w:rsidRPr="00F54546">
        <w:rPr>
          <w:lang w:val="en-GB"/>
        </w:rPr>
        <w:t>Cause of Death Register. These registers contain data on all specialized inpatient and outpatient care</w:t>
      </w:r>
      <w:r w:rsidR="006A6359">
        <w:rPr>
          <w:lang w:val="en-GB"/>
        </w:rPr>
        <w:t xml:space="preserve"> </w:t>
      </w:r>
      <w:r w:rsidR="00A9568A">
        <w:rPr>
          <w:lang w:val="en-GB"/>
        </w:rPr>
        <w:t xml:space="preserve">centres </w:t>
      </w:r>
      <w:r w:rsidR="006A6359">
        <w:rPr>
          <w:lang w:val="en-GB"/>
        </w:rPr>
        <w:t xml:space="preserve">with diagnoses recorded according to the </w:t>
      </w:r>
      <w:r w:rsidR="006A6359" w:rsidRPr="00F54546">
        <w:rPr>
          <w:lang w:val="en-GB"/>
        </w:rPr>
        <w:t>International Classification of Diseases (ICD) system</w:t>
      </w:r>
      <w:r w:rsidR="006A6359">
        <w:rPr>
          <w:lang w:val="en-GB"/>
        </w:rPr>
        <w:t>,</w:t>
      </w:r>
      <w:r w:rsidRPr="00F54546">
        <w:rPr>
          <w:lang w:val="en-GB"/>
        </w:rPr>
        <w:t xml:space="preserve"> as well as pharmacy-dispensed medications </w:t>
      </w:r>
      <w:r w:rsidR="00505D75" w:rsidRPr="00F54546">
        <w:rPr>
          <w:lang w:val="en-GB"/>
        </w:rPr>
        <w:t>based on the Anatomical Therapeutic Chemical (ATC) classification</w:t>
      </w:r>
      <w:r w:rsidR="006A6359">
        <w:rPr>
          <w:lang w:val="en-GB"/>
        </w:rPr>
        <w:t>,</w:t>
      </w:r>
      <w:r w:rsidR="00505D75" w:rsidRPr="00F54546">
        <w:rPr>
          <w:lang w:val="en-GB"/>
        </w:rPr>
        <w:t xml:space="preserve"> </w:t>
      </w:r>
      <w:r w:rsidRPr="00F54546">
        <w:rPr>
          <w:lang w:val="en-GB"/>
        </w:rPr>
        <w:t>for the total population living in Sweden.</w:t>
      </w:r>
    </w:p>
    <w:p w14:paraId="0DE6164F" w14:textId="5C9990E1" w:rsidR="00307635" w:rsidRPr="00F54546" w:rsidRDefault="004A674F" w:rsidP="00216C90">
      <w:pPr>
        <w:pStyle w:val="NoSpacing"/>
        <w:ind w:firstLine="0"/>
        <w:rPr>
          <w:lang w:val="en-GB"/>
        </w:rPr>
      </w:pPr>
      <w:bookmarkStart w:id="11" w:name="_Hlk181212929"/>
      <w:r w:rsidRPr="00F54546">
        <w:rPr>
          <w:lang w:val="en-GB"/>
        </w:rPr>
        <w:t>We identified all individuals with a</w:t>
      </w:r>
      <w:r w:rsidR="00A00861">
        <w:rPr>
          <w:lang w:val="en-GB"/>
        </w:rPr>
        <w:t xml:space="preserve"> </w:t>
      </w:r>
      <w:r w:rsidR="00A00861" w:rsidRPr="00F54546">
        <w:rPr>
          <w:lang w:val="en-GB"/>
        </w:rPr>
        <w:t>registered</w:t>
      </w:r>
      <w:r w:rsidRPr="00F54546">
        <w:rPr>
          <w:lang w:val="en-GB"/>
        </w:rPr>
        <w:t xml:space="preserve"> ICD-10 diagnosis code for ADHD (F90) between January 1, 2007 to December 31, 2019 </w:t>
      </w:r>
      <w:bookmarkEnd w:id="11"/>
      <w:r w:rsidRPr="00F54546">
        <w:rPr>
          <w:lang w:val="en-GB"/>
        </w:rPr>
        <w:t xml:space="preserve">who were at least </w:t>
      </w:r>
      <w:r w:rsidR="001949E3" w:rsidRPr="00F54546">
        <w:rPr>
          <w:lang w:val="en-GB"/>
        </w:rPr>
        <w:t>4</w:t>
      </w:r>
      <w:r w:rsidRPr="00F54546">
        <w:rPr>
          <w:lang w:val="en-GB"/>
        </w:rPr>
        <w:t xml:space="preserve"> years old</w:t>
      </w:r>
      <w:r w:rsidR="00956F93" w:rsidRPr="00F54546">
        <w:rPr>
          <w:lang w:val="en-GB"/>
        </w:rPr>
        <w:t xml:space="preserve"> at the age of diagnosis</w:t>
      </w:r>
      <w:r w:rsidRPr="00F54546">
        <w:rPr>
          <w:lang w:val="en-GB"/>
        </w:rPr>
        <w:t xml:space="preserve">. To focus on </w:t>
      </w:r>
      <w:r w:rsidR="00407DC9" w:rsidRPr="00F54546">
        <w:rPr>
          <w:lang w:val="en-GB"/>
        </w:rPr>
        <w:t>individuals</w:t>
      </w:r>
      <w:r w:rsidRPr="00F54546">
        <w:rPr>
          <w:lang w:val="en-GB"/>
        </w:rPr>
        <w:t xml:space="preserve"> receiving pharmacotherapy, the cohort was </w:t>
      </w:r>
      <w:r w:rsidRPr="00F54546">
        <w:rPr>
          <w:lang w:val="en-GB"/>
        </w:rPr>
        <w:lastRenderedPageBreak/>
        <w:t xml:space="preserve">restricted to those with at least one dispensed prescription for an ADHD medication during this </w:t>
      </w:r>
      <w:r w:rsidR="001949E3" w:rsidRPr="00F54546">
        <w:rPr>
          <w:lang w:val="en-GB"/>
        </w:rPr>
        <w:t>period</w:t>
      </w:r>
      <w:r w:rsidRPr="00F54546">
        <w:rPr>
          <w:lang w:val="en-GB"/>
        </w:rPr>
        <w:t xml:space="preserve">. </w:t>
      </w:r>
      <w:r w:rsidR="00407DC9" w:rsidRPr="00F54546">
        <w:rPr>
          <w:lang w:val="en-GB"/>
        </w:rPr>
        <w:t>This restriction ensure</w:t>
      </w:r>
      <w:r w:rsidR="00612601">
        <w:rPr>
          <w:lang w:val="en-GB"/>
        </w:rPr>
        <w:t>d</w:t>
      </w:r>
      <w:r w:rsidR="00407DC9" w:rsidRPr="00F54546">
        <w:rPr>
          <w:lang w:val="en-GB"/>
        </w:rPr>
        <w:t xml:space="preserve"> that our study population consist</w:t>
      </w:r>
      <w:r w:rsidR="00612601">
        <w:rPr>
          <w:lang w:val="en-GB"/>
        </w:rPr>
        <w:t>ed</w:t>
      </w:r>
      <w:r w:rsidR="00407DC9" w:rsidRPr="00F54546">
        <w:rPr>
          <w:lang w:val="en-GB"/>
        </w:rPr>
        <w:t xml:space="preserve"> of individuals with a confirmed ADHD diagnosis who </w:t>
      </w:r>
      <w:r w:rsidR="00612601">
        <w:rPr>
          <w:lang w:val="en-GB"/>
        </w:rPr>
        <w:t>were</w:t>
      </w:r>
      <w:r w:rsidR="00407DC9" w:rsidRPr="00F54546">
        <w:rPr>
          <w:lang w:val="en-GB"/>
        </w:rPr>
        <w:t xml:space="preserve"> receiving </w:t>
      </w:r>
      <w:r w:rsidR="002550BD" w:rsidRPr="00F54546">
        <w:rPr>
          <w:lang w:val="en-GB"/>
        </w:rPr>
        <w:t>pharmacological</w:t>
      </w:r>
      <w:r w:rsidR="00857F28" w:rsidRPr="00F54546">
        <w:rPr>
          <w:lang w:val="en-GB"/>
        </w:rPr>
        <w:t xml:space="preserve"> </w:t>
      </w:r>
      <w:r w:rsidR="00407DC9" w:rsidRPr="00F54546">
        <w:rPr>
          <w:lang w:val="en-GB"/>
        </w:rPr>
        <w:t xml:space="preserve">treatment for this condition, thereby excluding patients who may </w:t>
      </w:r>
      <w:r w:rsidR="00612601">
        <w:rPr>
          <w:lang w:val="en-GB"/>
        </w:rPr>
        <w:t>have been</w:t>
      </w:r>
      <w:r w:rsidR="00407DC9" w:rsidRPr="00F54546">
        <w:rPr>
          <w:lang w:val="en-GB"/>
        </w:rPr>
        <w:t xml:space="preserve"> treated </w:t>
      </w:r>
      <w:r w:rsidR="00EA33E2" w:rsidRPr="00F54546">
        <w:rPr>
          <w:lang w:val="en-GB"/>
        </w:rPr>
        <w:t xml:space="preserve">off-label </w:t>
      </w:r>
      <w:r w:rsidR="00407DC9" w:rsidRPr="00F54546">
        <w:rPr>
          <w:lang w:val="en-GB"/>
        </w:rPr>
        <w:t>with ADHD medications for other conditions.</w:t>
      </w:r>
      <w:r w:rsidR="003E779F">
        <w:fldChar w:fldCharType="begin"/>
      </w:r>
      <w:r w:rsidR="003E4044">
        <w:instrText xml:space="preserve"> ADDIN ZOTERO_ITEM CSL_CITATION {"citationID":"scPWGwdZ","properties":{"formattedCitation":"\\super 9\\nosupersub{}","plainCitation":"9","noteIndex":0},"citationItems":[{"id":5257,"uris":["http://zotero.org/users/9282839/items/8NY9Y9M3"],"itemData":{"id":5257,"type":"article-journal","container-title":"Clinical Epidemiology","DOI":"10.2147/CLEP.S178638","ISSN":"1179-1349","journalAbbreviation":"CLEP","language":"en","license":"http://creativecommons.org/licenses/by-nc/3.0/","page":"1657-1665","source":"DOI.org (Crossref)","title":"Overuse of methylphenidate: an analysis of Swedish pharmacy dispensing data","title-short":"Overuse of methylphenidate","volume":"Volume 10","author":[{"family":"Bjerkeli","given":"Pernilla J"},{"family":"Perez Vicente","given":"Raquel"},{"family":"Mulinari","given":"Shai"},{"family":"Johnell","given":"Kristina"},{"family":"Merlo","given":"Juan"}],"issued":{"date-parts":[["2018",11]]}}}],"schema":"https://github.com/citation-style-language/schema/raw/master/csl-citation.json"} </w:instrText>
      </w:r>
      <w:r w:rsidR="003E779F">
        <w:fldChar w:fldCharType="separate"/>
      </w:r>
      <w:r w:rsidR="003E4044" w:rsidRPr="003E4044">
        <w:rPr>
          <w:vertAlign w:val="superscript"/>
        </w:rPr>
        <w:t>9</w:t>
      </w:r>
      <w:r w:rsidR="003E779F">
        <w:fldChar w:fldCharType="end"/>
      </w:r>
      <w:r w:rsidR="00407DC9" w:rsidRPr="00F54546">
        <w:rPr>
          <w:lang w:val="en-GB"/>
        </w:rPr>
        <w:t xml:space="preserve"> </w:t>
      </w:r>
      <w:r w:rsidRPr="00F54546">
        <w:rPr>
          <w:lang w:val="en-GB"/>
        </w:rPr>
        <w:t xml:space="preserve">We included all medications for ADHD approved in Sweden within the specified timeframe. This </w:t>
      </w:r>
      <w:r w:rsidR="001949E3" w:rsidRPr="00F54546">
        <w:rPr>
          <w:lang w:val="en-GB"/>
        </w:rPr>
        <w:t>included</w:t>
      </w:r>
      <w:r w:rsidRPr="00F54546">
        <w:rPr>
          <w:lang w:val="en-GB"/>
        </w:rPr>
        <w:t xml:space="preserve"> stimulants </w:t>
      </w:r>
      <w:r w:rsidR="00AA69D3" w:rsidRPr="00F54546">
        <w:rPr>
          <w:lang w:val="en-GB"/>
        </w:rPr>
        <w:t>(</w:t>
      </w:r>
      <w:r w:rsidRPr="00F54546">
        <w:rPr>
          <w:lang w:val="en-GB"/>
        </w:rPr>
        <w:t xml:space="preserve">methylphenidate </w:t>
      </w:r>
      <w:r w:rsidR="001949E3" w:rsidRPr="00F54546">
        <w:rPr>
          <w:lang w:val="en-GB"/>
        </w:rPr>
        <w:t>[</w:t>
      </w:r>
      <w:r w:rsidRPr="00F54546">
        <w:rPr>
          <w:lang w:val="en-GB"/>
        </w:rPr>
        <w:t>N06BA04</w:t>
      </w:r>
      <w:r w:rsidR="001949E3" w:rsidRPr="00F54546">
        <w:rPr>
          <w:lang w:val="en-GB"/>
        </w:rPr>
        <w:t>]</w:t>
      </w:r>
      <w:r w:rsidRPr="00F54546">
        <w:rPr>
          <w:lang w:val="en-GB"/>
        </w:rPr>
        <w:t>, amphetamine</w:t>
      </w:r>
      <w:r w:rsidR="001949E3" w:rsidRPr="00F54546">
        <w:rPr>
          <w:lang w:val="en-GB"/>
        </w:rPr>
        <w:t xml:space="preserve"> [</w:t>
      </w:r>
      <w:r w:rsidRPr="00F54546">
        <w:rPr>
          <w:lang w:val="en-GB"/>
        </w:rPr>
        <w:t>N06BA01</w:t>
      </w:r>
      <w:r w:rsidR="001949E3" w:rsidRPr="00F54546">
        <w:rPr>
          <w:lang w:val="en-GB"/>
        </w:rPr>
        <w:t>]</w:t>
      </w:r>
      <w:r w:rsidRPr="00F54546">
        <w:rPr>
          <w:lang w:val="en-GB"/>
        </w:rPr>
        <w:t xml:space="preserve">, dexamphetamine </w:t>
      </w:r>
      <w:r w:rsidR="001949E3" w:rsidRPr="00F54546">
        <w:rPr>
          <w:lang w:val="en-GB"/>
        </w:rPr>
        <w:t>[</w:t>
      </w:r>
      <w:r w:rsidRPr="00F54546">
        <w:rPr>
          <w:lang w:val="en-GB"/>
        </w:rPr>
        <w:t>N06BA02</w:t>
      </w:r>
      <w:r w:rsidR="001949E3" w:rsidRPr="00F54546">
        <w:rPr>
          <w:lang w:val="en-GB"/>
        </w:rPr>
        <w:t>]</w:t>
      </w:r>
      <w:r w:rsidRPr="00F54546">
        <w:rPr>
          <w:lang w:val="en-GB"/>
        </w:rPr>
        <w:t xml:space="preserve">, and lisdexamfetamine </w:t>
      </w:r>
      <w:r w:rsidR="001949E3" w:rsidRPr="00F54546">
        <w:rPr>
          <w:lang w:val="en-GB"/>
        </w:rPr>
        <w:t>[</w:t>
      </w:r>
      <w:r w:rsidRPr="00F54546">
        <w:rPr>
          <w:lang w:val="en-GB"/>
        </w:rPr>
        <w:t>N06BA12</w:t>
      </w:r>
      <w:r w:rsidR="001949E3" w:rsidRPr="00F54546">
        <w:rPr>
          <w:lang w:val="en-GB"/>
        </w:rPr>
        <w:t>]</w:t>
      </w:r>
      <w:r w:rsidR="00AA69D3" w:rsidRPr="00F54546">
        <w:rPr>
          <w:lang w:val="en-GB"/>
        </w:rPr>
        <w:t>)</w:t>
      </w:r>
      <w:r w:rsidRPr="00F54546">
        <w:rPr>
          <w:lang w:val="en-GB"/>
        </w:rPr>
        <w:t xml:space="preserve">, </w:t>
      </w:r>
      <w:r w:rsidR="003F2E8D" w:rsidRPr="00F54546">
        <w:rPr>
          <w:lang w:val="en-GB"/>
        </w:rPr>
        <w:t>and</w:t>
      </w:r>
      <w:r w:rsidRPr="00F54546">
        <w:rPr>
          <w:lang w:val="en-GB"/>
        </w:rPr>
        <w:t xml:space="preserve"> nonstimulant</w:t>
      </w:r>
      <w:r w:rsidR="003F2E8D" w:rsidRPr="00F54546">
        <w:rPr>
          <w:lang w:val="en-GB"/>
        </w:rPr>
        <w:t>s</w:t>
      </w:r>
      <w:r w:rsidRPr="00F54546">
        <w:rPr>
          <w:lang w:val="en-GB"/>
        </w:rPr>
        <w:t xml:space="preserve"> </w:t>
      </w:r>
      <w:r w:rsidR="00AA69D3" w:rsidRPr="00F54546">
        <w:rPr>
          <w:lang w:val="en-GB"/>
        </w:rPr>
        <w:t>(</w:t>
      </w:r>
      <w:r w:rsidRPr="00F54546">
        <w:rPr>
          <w:lang w:val="en-GB"/>
        </w:rPr>
        <w:t xml:space="preserve">atomoxetine </w:t>
      </w:r>
      <w:r w:rsidR="001949E3" w:rsidRPr="00F54546">
        <w:rPr>
          <w:lang w:val="en-GB"/>
        </w:rPr>
        <w:t>[</w:t>
      </w:r>
      <w:r w:rsidRPr="00F54546">
        <w:rPr>
          <w:lang w:val="en-GB"/>
        </w:rPr>
        <w:t>N06BA09</w:t>
      </w:r>
      <w:r w:rsidR="001949E3" w:rsidRPr="00F54546">
        <w:rPr>
          <w:lang w:val="en-GB"/>
        </w:rPr>
        <w:t>]</w:t>
      </w:r>
      <w:r w:rsidRPr="00F54546">
        <w:rPr>
          <w:lang w:val="en-GB"/>
        </w:rPr>
        <w:t xml:space="preserve"> and guanfacine </w:t>
      </w:r>
      <w:r w:rsidR="001949E3" w:rsidRPr="00F54546">
        <w:rPr>
          <w:lang w:val="en-GB"/>
        </w:rPr>
        <w:t>[</w:t>
      </w:r>
      <w:r w:rsidRPr="00F54546">
        <w:rPr>
          <w:lang w:val="en-GB"/>
        </w:rPr>
        <w:t>C02AC02</w:t>
      </w:r>
      <w:r w:rsidR="001949E3" w:rsidRPr="00F54546">
        <w:rPr>
          <w:lang w:val="en-GB"/>
        </w:rPr>
        <w:t>]</w:t>
      </w:r>
      <w:r w:rsidR="00AA69D3" w:rsidRPr="00F54546">
        <w:rPr>
          <w:lang w:val="en-GB"/>
        </w:rPr>
        <w:t>)</w:t>
      </w:r>
      <w:r w:rsidRPr="00F54546">
        <w:rPr>
          <w:lang w:val="en-GB"/>
        </w:rPr>
        <w:t xml:space="preserve">. January 1, 2007 was chosen as the start date to allow </w:t>
      </w:r>
      <w:r w:rsidR="00C12235" w:rsidRPr="00F54546">
        <w:rPr>
          <w:lang w:val="en-GB"/>
        </w:rPr>
        <w:t xml:space="preserve">a washout period of </w:t>
      </w:r>
      <w:r w:rsidRPr="00F54546">
        <w:rPr>
          <w:lang w:val="en-GB"/>
        </w:rPr>
        <w:t xml:space="preserve">at least 18 months prior to the first ADHD </w:t>
      </w:r>
      <w:r w:rsidR="00FC0846">
        <w:rPr>
          <w:lang w:val="en-GB"/>
        </w:rPr>
        <w:t>medication</w:t>
      </w:r>
      <w:r w:rsidRPr="00F54546">
        <w:rPr>
          <w:lang w:val="en-GB"/>
        </w:rPr>
        <w:t xml:space="preserve"> dispensation date to determine ADHD medication status,</w:t>
      </w:r>
      <w:r w:rsidR="003E779F">
        <w:fldChar w:fldCharType="begin"/>
      </w:r>
      <w:r w:rsidR="003E4044">
        <w:instrText xml:space="preserve"> ADDIN ZOTERO_ITEM CSL_CITATION {"citationID":"H71xKrcV","properties":{"formattedCitation":"\\super 10\\nosupersub{}","plainCitation":"10","noteIndex":0},"citationItems":[{"id":5221,"uris":["http://zotero.org/users/9282839/items/RBHVEME4"],"itemData":{"id":5221,"type":"article-journal","container-title":"JAMA Network Open","DOI":"10.1001/jamanetworkopen.2021.30795","ISSN":"2574-3805","issue":"10","journalAbbreviation":"JAMA Netw Open","language":"en","page":"e2130795","source":"DOI.org (Crossref)","title":"Assessment of Stimulant Use and Cardiovascular Event Risks Among Older Adults","volume":"4","author":[{"family":"Tadrous","given":"Mina"},{"family":"Shakeri","given":"Ahmad"},{"family":"Chu","given":"Cherry"},{"family":"Watt","given":"Jennifer"},{"family":"Mamdani","given":"Muhammad M."},{"family":"Juurlink","given":"David N."},{"family":"Gomes","given":"Tara"}],"issued":{"date-parts":[["2021",10,25]]}}}],"schema":"https://github.com/citation-style-language/schema/raw/master/csl-citation.json"} </w:instrText>
      </w:r>
      <w:r w:rsidR="003E779F">
        <w:fldChar w:fldCharType="separate"/>
      </w:r>
      <w:r w:rsidR="003E4044" w:rsidRPr="003E4044">
        <w:rPr>
          <w:vertAlign w:val="superscript"/>
        </w:rPr>
        <w:t>10</w:t>
      </w:r>
      <w:r w:rsidR="003E779F">
        <w:fldChar w:fldCharType="end"/>
      </w:r>
      <w:r w:rsidRPr="00F54546">
        <w:rPr>
          <w:lang w:val="en-GB"/>
        </w:rPr>
        <w:t xml:space="preserve"> which was defined as no ADHD drug dispensations in the </w:t>
      </w:r>
      <w:r w:rsidR="008916B6" w:rsidRPr="00F54546">
        <w:rPr>
          <w:lang w:val="en-GB"/>
        </w:rPr>
        <w:t>18 months</w:t>
      </w:r>
      <w:r w:rsidRPr="00F54546">
        <w:rPr>
          <w:lang w:val="en-GB"/>
        </w:rPr>
        <w:t xml:space="preserve"> prior to treatment initiation.</w:t>
      </w:r>
      <w:r w:rsidR="00C630A1" w:rsidRPr="00C630A1">
        <w:t xml:space="preserve"> </w:t>
      </w:r>
      <w:r w:rsidR="00216C90">
        <w:t xml:space="preserve">Informed consent is waived for register-based studies in Sweden. </w:t>
      </w:r>
      <w:r w:rsidR="00AC56C6" w:rsidRPr="00C630A1">
        <w:rPr>
          <w:lang w:val="en-GB"/>
        </w:rPr>
        <w:t xml:space="preserve">People with lived experience were not </w:t>
      </w:r>
      <w:r w:rsidR="00AC56C6" w:rsidRPr="00461A70">
        <w:t>involved in the research and writing process</w:t>
      </w:r>
      <w:r w:rsidR="00AC56C6" w:rsidRPr="00C630A1">
        <w:rPr>
          <w:lang w:val="en-GB"/>
        </w:rPr>
        <w:t>.</w:t>
      </w:r>
      <w:r w:rsidR="00AC56C6">
        <w:rPr>
          <w:lang w:val="en-GB"/>
        </w:rPr>
        <w:t xml:space="preserve"> </w:t>
      </w:r>
      <w:r w:rsidR="00AC7673" w:rsidRPr="00AC7673">
        <w:rPr>
          <w:lang w:val="en-GB"/>
        </w:rPr>
        <w:t>This study was approved by the Karolinska Institute Ethical Review Board (Dnr 2020-06540; Dnr 2022-06204-02).</w:t>
      </w:r>
    </w:p>
    <w:p w14:paraId="77410FAC" w14:textId="77777777" w:rsidR="004A674F" w:rsidRPr="00F54546" w:rsidRDefault="004A674F" w:rsidP="00A6294A">
      <w:pPr>
        <w:pStyle w:val="Heading2"/>
        <w:rPr>
          <w:lang w:val="en-GB"/>
        </w:rPr>
      </w:pPr>
      <w:r w:rsidRPr="00F54546">
        <w:rPr>
          <w:lang w:val="en-GB"/>
        </w:rPr>
        <w:t>Exposure and outcomes</w:t>
      </w:r>
    </w:p>
    <w:p w14:paraId="295D1329" w14:textId="5DB66EB1" w:rsidR="000266E5" w:rsidRPr="00F54546" w:rsidRDefault="004A674F" w:rsidP="0033691E">
      <w:pPr>
        <w:pStyle w:val="NoSpacing"/>
        <w:ind w:firstLine="0"/>
        <w:rPr>
          <w:lang w:val="en-GB"/>
        </w:rPr>
      </w:pPr>
      <w:r w:rsidRPr="00F54546">
        <w:rPr>
          <w:lang w:val="en-GB"/>
        </w:rPr>
        <w:t xml:space="preserve">Exposure </w:t>
      </w:r>
      <w:r w:rsidR="006671FA" w:rsidRPr="00F54546">
        <w:rPr>
          <w:lang w:val="en-GB"/>
        </w:rPr>
        <w:t>was</w:t>
      </w:r>
      <w:r w:rsidRPr="00F54546">
        <w:rPr>
          <w:lang w:val="en-GB"/>
        </w:rPr>
        <w:t xml:space="preserve"> RCT eligibility versus ineligibility, which was determined by systematically </w:t>
      </w:r>
      <w:r w:rsidR="002B6D29" w:rsidRPr="00F54546">
        <w:rPr>
          <w:lang w:val="en-GB"/>
        </w:rPr>
        <w:t xml:space="preserve">assessing whether individuals </w:t>
      </w:r>
      <w:r w:rsidR="0033691E" w:rsidRPr="00F54546">
        <w:rPr>
          <w:lang w:val="en-GB"/>
        </w:rPr>
        <w:t>within</w:t>
      </w:r>
      <w:r w:rsidR="002B6D29" w:rsidRPr="00F54546">
        <w:rPr>
          <w:lang w:val="en-GB"/>
        </w:rPr>
        <w:t xml:space="preserve"> the Swedish registers would meet common inclusion/exclusion criteria from </w:t>
      </w:r>
      <w:r w:rsidRPr="00F54546">
        <w:rPr>
          <w:lang w:val="en-GB"/>
        </w:rPr>
        <w:t xml:space="preserve">RCT </w:t>
      </w:r>
      <w:r w:rsidR="006553F3" w:rsidRPr="00F54546">
        <w:rPr>
          <w:lang w:val="en-GB"/>
        </w:rPr>
        <w:t>gathered from the</w:t>
      </w:r>
      <w:r w:rsidR="00461840" w:rsidRPr="00F54546">
        <w:rPr>
          <w:lang w:val="en-GB"/>
        </w:rPr>
        <w:t xml:space="preserve"> freely accessible MED-ADHD dataset</w:t>
      </w:r>
      <w:r w:rsidR="006553F3" w:rsidRPr="00F54546">
        <w:rPr>
          <w:lang w:val="en-GB"/>
        </w:rPr>
        <w:t>. This dataset</w:t>
      </w:r>
      <w:r w:rsidR="001A2C51">
        <w:rPr>
          <w:lang w:val="en-GB"/>
        </w:rPr>
        <w:t xml:space="preserve"> of</w:t>
      </w:r>
      <w:r w:rsidR="006553F3" w:rsidRPr="00F54546">
        <w:rPr>
          <w:lang w:val="en-GB"/>
        </w:rPr>
        <w:t xml:space="preserve"> double-blind RCTs of ADHD medications was </w:t>
      </w:r>
      <w:r w:rsidR="00461840" w:rsidRPr="00F54546">
        <w:rPr>
          <w:lang w:val="en-GB"/>
        </w:rPr>
        <w:t>initially created</w:t>
      </w:r>
      <w:r w:rsidR="006553F3" w:rsidRPr="00F54546">
        <w:rPr>
          <w:lang w:val="en-GB"/>
        </w:rPr>
        <w:t xml:space="preserve"> by the</w:t>
      </w:r>
      <w:r w:rsidR="00461840" w:rsidRPr="00F54546">
        <w:rPr>
          <w:lang w:val="en-GB"/>
        </w:rPr>
        <w:t xml:space="preserve"> </w:t>
      </w:r>
      <w:r w:rsidR="006553F3" w:rsidRPr="00F54546">
        <w:rPr>
          <w:lang w:val="en-GB"/>
        </w:rPr>
        <w:t xml:space="preserve">European ADHD Guidelines Group (EAGG) </w:t>
      </w:r>
      <w:r w:rsidR="00461840" w:rsidRPr="00F54546">
        <w:rPr>
          <w:lang w:val="en-GB"/>
        </w:rPr>
        <w:t xml:space="preserve">to carry out </w:t>
      </w:r>
      <w:r w:rsidR="006553F3" w:rsidRPr="00F54546">
        <w:rPr>
          <w:lang w:val="en-GB"/>
        </w:rPr>
        <w:t xml:space="preserve">the </w:t>
      </w:r>
      <w:r w:rsidR="00461840" w:rsidRPr="00F54546">
        <w:rPr>
          <w:lang w:val="en-GB"/>
        </w:rPr>
        <w:t>systematic review and network meta-analysis by Cortese et al. (2018)</w:t>
      </w:r>
      <w:r w:rsidR="006553F3" w:rsidRPr="00F54546">
        <w:rPr>
          <w:lang w:val="en-GB"/>
        </w:rPr>
        <w:t>.</w:t>
      </w:r>
      <w:r w:rsidR="003E779F">
        <w:fldChar w:fldCharType="begin"/>
      </w:r>
      <w:r w:rsidR="003E779F">
        <w:instrText xml:space="preserve"> ADDIN ZOTERO_ITEM CSL_CITATION {"citationID":"zNE3F9YY","properties":{"formattedCitation":"\\super 2\\nosupersub{}","plainCitation":"2","noteIndex":0},"citationItems":[{"id":5207,"uris":["http://zotero.org/users/9282839/items/UX56IANT"],"itemData":{"id":5207,"type":"article-journal","container-title":"The Lancet Psychiatry","DOI":"10.1016/S2215-0366(18)30269-4","ISSN":"22150366","issue":"9","journalAbbreviation":"The Lancet Psychiatry","language":"en","page":"727-738","source":"DOI.org (Crossref)","title":"Comparative efficacy and tolerability of medications for attention-deficit hyperactivity disorder in children, adolescents, and adults: a systematic review and network meta-analysis","title-short":"Comparative efficacy and tolerability of medications for attention-deficit hyperactivity disorder in children, adolescents, and adults","volume":"5","author":[{"family":"Cortese","given":"Samuele"},{"family":"Adamo","given":"Nicoletta"},{"family":"Del Giovane","given":"Cinzia"},{"family":"Mohr-Jensen","given":"Christina"},{"family":"Hayes","given":"Adrian J"},{"family":"Carucci","given":"Sara"},{"family":"Atkinson","given":"Lauren Z"},{"family":"Tessari","given":"Luca"},{"family":"Banaschewski","given":"Tobias"},{"family":"Coghill","given":"David"},{"family":"Hollis","given":"Chris"},{"family":"Simonoff","given":"Emily"},{"family":"Zuddas","given":"Alessandro"},{"family":"Barbui","given":"Corrado"},{"family":"Purgato","given":"Marianna"},{"family":"Steinhausen","given":"Hans-Christoph"},{"family":"Shokraneh","given":"Farhad"},{"family":"Xia","given":"Jun"},{"family":"Cipriani","given":"Andrea"}],"issued":{"date-parts":[["2018",9]]}}}],"schema":"https://github.com/citation-style-language/schema/raw/master/csl-citation.json"} </w:instrText>
      </w:r>
      <w:r w:rsidR="003E779F">
        <w:fldChar w:fldCharType="separate"/>
      </w:r>
      <w:r w:rsidR="00363E5D" w:rsidRPr="00363E5D">
        <w:rPr>
          <w:vertAlign w:val="superscript"/>
        </w:rPr>
        <w:t>2</w:t>
      </w:r>
      <w:r w:rsidR="003E779F">
        <w:fldChar w:fldCharType="end"/>
      </w:r>
      <w:r w:rsidR="00461840" w:rsidRPr="00F54546">
        <w:rPr>
          <w:lang w:val="en-GB"/>
        </w:rPr>
        <w:t xml:space="preserve"> </w:t>
      </w:r>
      <w:r w:rsidR="006553F3" w:rsidRPr="00F54546">
        <w:rPr>
          <w:lang w:val="en-GB"/>
        </w:rPr>
        <w:t>We used data from RCTs included in the most recent update of MED-ADHD (January 22</w:t>
      </w:r>
      <w:r w:rsidR="006553F3" w:rsidRPr="00F54546">
        <w:rPr>
          <w:vertAlign w:val="superscript"/>
          <w:lang w:val="en-GB"/>
        </w:rPr>
        <w:t>nd</w:t>
      </w:r>
      <w:r w:rsidR="006553F3" w:rsidRPr="00F54546">
        <w:rPr>
          <w:lang w:val="en-GB"/>
        </w:rPr>
        <w:t xml:space="preserve">, 2024), </w:t>
      </w:r>
      <w:r w:rsidR="00A9568A">
        <w:rPr>
          <w:lang w:val="en-GB"/>
        </w:rPr>
        <w:t>encompassing</w:t>
      </w:r>
      <w:r w:rsidR="006553F3" w:rsidRPr="00F54546">
        <w:rPr>
          <w:lang w:val="en-GB"/>
        </w:rPr>
        <w:t xml:space="preserve"> 164 eligible RCT. </w:t>
      </w:r>
      <w:r w:rsidR="00461840" w:rsidRPr="00F54546">
        <w:rPr>
          <w:lang w:val="en-GB"/>
        </w:rPr>
        <w:t xml:space="preserve">A detailed list of </w:t>
      </w:r>
      <w:r w:rsidR="0033691E" w:rsidRPr="00F54546">
        <w:rPr>
          <w:lang w:val="en-GB"/>
        </w:rPr>
        <w:t xml:space="preserve">participants’ </w:t>
      </w:r>
      <w:r w:rsidR="00461840" w:rsidRPr="00F54546">
        <w:rPr>
          <w:lang w:val="en-GB"/>
        </w:rPr>
        <w:t xml:space="preserve">exclusion criteria </w:t>
      </w:r>
      <w:r w:rsidR="00EA33E2" w:rsidRPr="00F54546">
        <w:rPr>
          <w:lang w:val="en-GB"/>
        </w:rPr>
        <w:t xml:space="preserve">for </w:t>
      </w:r>
      <w:r w:rsidR="00EA33E2" w:rsidRPr="00F54546">
        <w:rPr>
          <w:lang w:val="en-GB"/>
        </w:rPr>
        <w:lastRenderedPageBreak/>
        <w:t xml:space="preserve">each RCT </w:t>
      </w:r>
      <w:r w:rsidR="006553F3" w:rsidRPr="00F54546">
        <w:rPr>
          <w:lang w:val="en-GB"/>
        </w:rPr>
        <w:t xml:space="preserve">in ADHD-MED </w:t>
      </w:r>
      <w:r w:rsidR="00461A70">
        <w:rPr>
          <w:lang w:val="en-GB"/>
        </w:rPr>
        <w:t xml:space="preserve">and additional information </w:t>
      </w:r>
      <w:r w:rsidR="00461840" w:rsidRPr="00F54546">
        <w:rPr>
          <w:lang w:val="en-GB"/>
        </w:rPr>
        <w:t xml:space="preserve">is reported in the </w:t>
      </w:r>
      <w:r w:rsidR="003C1B12">
        <w:rPr>
          <w:lang w:val="en-GB"/>
        </w:rPr>
        <w:t>appendix</w:t>
      </w:r>
      <w:r w:rsidR="00670227" w:rsidRPr="00F54546">
        <w:rPr>
          <w:lang w:val="en-GB"/>
        </w:rPr>
        <w:t xml:space="preserve"> (</w:t>
      </w:r>
      <w:r w:rsidR="003C1B12">
        <w:rPr>
          <w:lang w:val="en-GB"/>
        </w:rPr>
        <w:t>pp2-3</w:t>
      </w:r>
      <w:r w:rsidR="0055388F">
        <w:rPr>
          <w:lang w:val="en-GB"/>
        </w:rPr>
        <w:t>4</w:t>
      </w:r>
      <w:r w:rsidR="00670227" w:rsidRPr="00F54546">
        <w:rPr>
          <w:lang w:val="en-GB"/>
        </w:rPr>
        <w:t>)</w:t>
      </w:r>
      <w:r w:rsidR="00461840" w:rsidRPr="00F54546">
        <w:rPr>
          <w:lang w:val="en-GB"/>
        </w:rPr>
        <w:t>.</w:t>
      </w:r>
    </w:p>
    <w:p w14:paraId="16032A41" w14:textId="491F0A61" w:rsidR="004A674F" w:rsidRPr="00F54546" w:rsidRDefault="00A86C13" w:rsidP="0033691E">
      <w:pPr>
        <w:pStyle w:val="NoSpacing"/>
        <w:ind w:firstLine="0"/>
        <w:rPr>
          <w:lang w:val="en-GB"/>
        </w:rPr>
      </w:pPr>
      <w:r w:rsidRPr="00F54546">
        <w:rPr>
          <w:lang w:val="en-GB"/>
        </w:rPr>
        <w:t xml:space="preserve">After </w:t>
      </w:r>
      <w:r w:rsidR="00F54546" w:rsidRPr="00F54546">
        <w:rPr>
          <w:lang w:val="en-GB"/>
        </w:rPr>
        <w:t>analysing</w:t>
      </w:r>
      <w:r w:rsidR="00207443" w:rsidRPr="00F54546">
        <w:rPr>
          <w:lang w:val="en-GB"/>
        </w:rPr>
        <w:t xml:space="preserve"> each of th</w:t>
      </w:r>
      <w:r w:rsidRPr="00F54546">
        <w:rPr>
          <w:lang w:val="en-GB"/>
        </w:rPr>
        <w:t>e</w:t>
      </w:r>
      <w:r w:rsidR="000266E5" w:rsidRPr="00F54546">
        <w:rPr>
          <w:lang w:val="en-GB"/>
        </w:rPr>
        <w:t xml:space="preserve"> 164 re</w:t>
      </w:r>
      <w:r w:rsidR="00E56011" w:rsidRPr="00F54546">
        <w:rPr>
          <w:lang w:val="en-GB"/>
        </w:rPr>
        <w:t>tri</w:t>
      </w:r>
      <w:r w:rsidRPr="00F54546">
        <w:rPr>
          <w:lang w:val="en-GB"/>
        </w:rPr>
        <w:t>e</w:t>
      </w:r>
      <w:r w:rsidR="00E56011" w:rsidRPr="00F54546">
        <w:rPr>
          <w:lang w:val="en-GB"/>
        </w:rPr>
        <w:t>ved</w:t>
      </w:r>
      <w:r w:rsidR="000266E5" w:rsidRPr="00F54546">
        <w:rPr>
          <w:lang w:val="en-GB"/>
        </w:rPr>
        <w:t xml:space="preserve"> RCTs, the most common exclusion criteria</w:t>
      </w:r>
      <w:r w:rsidR="00612601">
        <w:rPr>
          <w:lang w:val="en-GB"/>
        </w:rPr>
        <w:t xml:space="preserve"> were</w:t>
      </w:r>
      <w:r w:rsidR="000266E5" w:rsidRPr="00F54546">
        <w:rPr>
          <w:lang w:val="en-GB"/>
        </w:rPr>
        <w:t xml:space="preserve"> history of antidepressants (73% of </w:t>
      </w:r>
      <w:r w:rsidRPr="00F54546">
        <w:rPr>
          <w:lang w:val="en-GB"/>
        </w:rPr>
        <w:t>RCTs</w:t>
      </w:r>
      <w:r w:rsidR="000266E5" w:rsidRPr="00F54546">
        <w:rPr>
          <w:lang w:val="en-GB"/>
        </w:rPr>
        <w:t>), psychosis (65</w:t>
      </w:r>
      <w:r w:rsidR="00C82BFB" w:rsidRPr="00F54546">
        <w:rPr>
          <w:lang w:val="en-GB"/>
        </w:rPr>
        <w:t>·</w:t>
      </w:r>
      <w:r w:rsidR="000266E5" w:rsidRPr="00F54546">
        <w:rPr>
          <w:lang w:val="en-GB"/>
        </w:rPr>
        <w:t>4%), bipolar disorder (48</w:t>
      </w:r>
      <w:r w:rsidR="00C82BFB" w:rsidRPr="00F54546">
        <w:rPr>
          <w:lang w:val="en-GB"/>
        </w:rPr>
        <w:t>·</w:t>
      </w:r>
      <w:r w:rsidR="000266E5" w:rsidRPr="00F54546">
        <w:rPr>
          <w:lang w:val="en-GB"/>
        </w:rPr>
        <w:t>5%), history of substance use disorder (39%), cardiovascular disease (38%), learning disability</w:t>
      </w:r>
      <w:r w:rsidR="0083617B" w:rsidRPr="00F54546">
        <w:rPr>
          <w:lang w:val="en-GB"/>
        </w:rPr>
        <w:t xml:space="preserve"> or </w:t>
      </w:r>
      <w:r w:rsidR="000266E5" w:rsidRPr="00F54546">
        <w:rPr>
          <w:lang w:val="en-GB"/>
        </w:rPr>
        <w:t>low IQ (36%)</w:t>
      </w:r>
      <w:r w:rsidRPr="00F54546">
        <w:rPr>
          <w:lang w:val="en-GB"/>
        </w:rPr>
        <w:t xml:space="preserve">, </w:t>
      </w:r>
      <w:r w:rsidR="000266E5" w:rsidRPr="00F54546">
        <w:rPr>
          <w:lang w:val="en-GB"/>
        </w:rPr>
        <w:t xml:space="preserve">anxiety </w:t>
      </w:r>
      <w:r w:rsidR="001949E3" w:rsidRPr="00F54546">
        <w:rPr>
          <w:lang w:val="en-GB"/>
        </w:rPr>
        <w:t xml:space="preserve">disorder </w:t>
      </w:r>
      <w:r w:rsidR="000266E5" w:rsidRPr="00F54546">
        <w:rPr>
          <w:lang w:val="en-GB"/>
        </w:rPr>
        <w:t xml:space="preserve">(35%), </w:t>
      </w:r>
      <w:r w:rsidRPr="00F54546">
        <w:rPr>
          <w:lang w:val="en-GB"/>
        </w:rPr>
        <w:t xml:space="preserve">and </w:t>
      </w:r>
      <w:r w:rsidR="000266E5" w:rsidRPr="00F54546">
        <w:rPr>
          <w:lang w:val="en-GB"/>
        </w:rPr>
        <w:t>autism spectrum disorder (</w:t>
      </w:r>
      <w:r w:rsidR="000F3197" w:rsidRPr="00F54546">
        <w:rPr>
          <w:lang w:val="en-GB"/>
        </w:rPr>
        <w:t xml:space="preserve">ASD; </w:t>
      </w:r>
      <w:r w:rsidR="000266E5" w:rsidRPr="00F54546">
        <w:rPr>
          <w:lang w:val="en-GB"/>
        </w:rPr>
        <w:t xml:space="preserve">35%; </w:t>
      </w:r>
      <w:r w:rsidR="000C0022" w:rsidRPr="00F54546">
        <w:rPr>
          <w:lang w:val="en-GB"/>
        </w:rPr>
        <w:t xml:space="preserve">see </w:t>
      </w:r>
      <w:r w:rsidR="000266E5" w:rsidRPr="00F54546">
        <w:rPr>
          <w:lang w:val="en-GB"/>
        </w:rPr>
        <w:t xml:space="preserve">Table </w:t>
      </w:r>
      <w:r w:rsidR="00FD101A">
        <w:rPr>
          <w:lang w:val="en-GB"/>
        </w:rPr>
        <w:t>1</w:t>
      </w:r>
      <w:r w:rsidR="00FD101A" w:rsidRPr="00F54546">
        <w:rPr>
          <w:lang w:val="en-GB"/>
        </w:rPr>
        <w:t xml:space="preserve"> </w:t>
      </w:r>
      <w:r w:rsidR="000C0022" w:rsidRPr="00F54546">
        <w:rPr>
          <w:lang w:val="en-GB"/>
        </w:rPr>
        <w:t>for the top 15</w:t>
      </w:r>
      <w:r w:rsidR="00A9568A">
        <w:rPr>
          <w:lang w:val="en-GB"/>
        </w:rPr>
        <w:t xml:space="preserve"> most common exclusion criteria</w:t>
      </w:r>
      <w:r w:rsidR="000266E5" w:rsidRPr="00F54546">
        <w:rPr>
          <w:lang w:val="en-GB"/>
        </w:rPr>
        <w:t xml:space="preserve">). </w:t>
      </w:r>
      <w:r w:rsidR="001814D8" w:rsidRPr="001814D8">
        <w:rPr>
          <w:lang w:val="en-GB"/>
        </w:rPr>
        <w:t>Exclusion</w:t>
      </w:r>
      <w:r w:rsidR="0083617B" w:rsidRPr="001814D8">
        <w:rPr>
          <w:lang w:val="en-GB"/>
        </w:rPr>
        <w:t xml:space="preserve"> criteria for our study were defined based on </w:t>
      </w:r>
      <w:r w:rsidR="00662F20" w:rsidRPr="001814D8">
        <w:rPr>
          <w:lang w:val="en-GB"/>
        </w:rPr>
        <w:t>criteria</w:t>
      </w:r>
      <w:r w:rsidR="0083617B" w:rsidRPr="001814D8">
        <w:rPr>
          <w:lang w:val="en-GB"/>
        </w:rPr>
        <w:t xml:space="preserve"> present in at least 30% of the RCTs and were assessed within one year prior to the initiation of ADHD treatment to reflect current clinical status. This threshold was selected to reflect commonly applied criteria in </w:t>
      </w:r>
      <w:r w:rsidRPr="001814D8">
        <w:rPr>
          <w:lang w:val="en-GB"/>
        </w:rPr>
        <w:t>RCTs</w:t>
      </w:r>
      <w:r w:rsidR="0083617B" w:rsidRPr="001814D8">
        <w:rPr>
          <w:lang w:val="en-GB"/>
        </w:rPr>
        <w:t xml:space="preserve">, as it represents a frequency where </w:t>
      </w:r>
      <w:r w:rsidRPr="001814D8">
        <w:rPr>
          <w:lang w:val="en-GB"/>
        </w:rPr>
        <w:t xml:space="preserve">a certain </w:t>
      </w:r>
      <w:r w:rsidR="0083617B" w:rsidRPr="001814D8">
        <w:rPr>
          <w:lang w:val="en-GB"/>
        </w:rPr>
        <w:t xml:space="preserve">condition is excluded in </w:t>
      </w:r>
      <w:r w:rsidR="00662F20" w:rsidRPr="001814D8">
        <w:rPr>
          <w:lang w:val="en-GB"/>
        </w:rPr>
        <w:t>at least</w:t>
      </w:r>
      <w:r w:rsidR="0083617B" w:rsidRPr="001814D8">
        <w:rPr>
          <w:lang w:val="en-GB"/>
        </w:rPr>
        <w:t xml:space="preserve"> one out of every three </w:t>
      </w:r>
      <w:r w:rsidR="00662F20" w:rsidRPr="001814D8">
        <w:rPr>
          <w:lang w:val="en-GB"/>
        </w:rPr>
        <w:t>RCTs</w:t>
      </w:r>
      <w:r w:rsidR="0083617B" w:rsidRPr="001814D8">
        <w:rPr>
          <w:lang w:val="en-GB"/>
        </w:rPr>
        <w:t>. This approach balances the need to capture prevalent exclusion criteria while maintaining a reasonable scope for our real-world effectiveness study.</w:t>
      </w:r>
      <w:r w:rsidR="001D2C16" w:rsidRPr="00F54546">
        <w:rPr>
          <w:lang w:val="en-GB"/>
        </w:rPr>
        <w:t xml:space="preserve"> </w:t>
      </w:r>
      <w:r w:rsidR="004A674F" w:rsidRPr="00F54546">
        <w:rPr>
          <w:lang w:val="en-GB"/>
        </w:rPr>
        <w:t xml:space="preserve">By mirroring these commonly applied criteria using register diagnoses, we aimed to create cohort groups representing typical ADHD RCT eligible and ineligible samples for comparison of real-world outcomes. </w:t>
      </w:r>
      <w:r w:rsidR="00D643A5" w:rsidRPr="00F54546">
        <w:rPr>
          <w:lang w:val="en-GB"/>
        </w:rPr>
        <w:t>Additional</w:t>
      </w:r>
      <w:r w:rsidR="004A4FD4" w:rsidRPr="00F54546">
        <w:rPr>
          <w:lang w:val="en-GB"/>
        </w:rPr>
        <w:t xml:space="preserve"> less frequent</w:t>
      </w:r>
      <w:r w:rsidR="00D643A5" w:rsidRPr="00F54546">
        <w:rPr>
          <w:lang w:val="en-GB"/>
        </w:rPr>
        <w:t xml:space="preserve"> </w:t>
      </w:r>
      <w:r w:rsidRPr="00F54546">
        <w:rPr>
          <w:lang w:val="en-GB"/>
        </w:rPr>
        <w:t>RCT inclusion/</w:t>
      </w:r>
      <w:r w:rsidR="00D643A5" w:rsidRPr="00F54546">
        <w:rPr>
          <w:lang w:val="en-GB"/>
        </w:rPr>
        <w:t>criteria like baseline symptom severity thresholds could not be extracted from the registers due to unavailability</w:t>
      </w:r>
      <w:r w:rsidR="00517A40">
        <w:rPr>
          <w:lang w:val="en-GB"/>
        </w:rPr>
        <w:t xml:space="preserve"> of such measures</w:t>
      </w:r>
      <w:r w:rsidR="00D643A5" w:rsidRPr="00F54546">
        <w:rPr>
          <w:lang w:val="en-GB"/>
        </w:rPr>
        <w:t>.</w:t>
      </w:r>
      <w:r w:rsidR="008442D7" w:rsidRPr="00F54546">
        <w:rPr>
          <w:lang w:val="en-GB"/>
        </w:rPr>
        <w:t xml:space="preserve"> </w:t>
      </w:r>
      <w:r w:rsidR="003C1B12">
        <w:rPr>
          <w:lang w:val="en-GB"/>
        </w:rPr>
        <w:t>Appendix (p3</w:t>
      </w:r>
      <w:r w:rsidR="0055388F">
        <w:rPr>
          <w:lang w:val="en-GB"/>
        </w:rPr>
        <w:t>5</w:t>
      </w:r>
      <w:r w:rsidR="003C1B12">
        <w:rPr>
          <w:lang w:val="en-GB"/>
        </w:rPr>
        <w:t>)</w:t>
      </w:r>
      <w:r w:rsidR="008442D7" w:rsidRPr="001814D8">
        <w:rPr>
          <w:lang w:val="en-GB"/>
        </w:rPr>
        <w:t xml:space="preserve"> shows the ICD-10 codes used to define eligibility status</w:t>
      </w:r>
      <w:r w:rsidR="00217F1B">
        <w:rPr>
          <w:lang w:val="en-GB"/>
        </w:rPr>
        <w:t xml:space="preserve"> in the cohort study</w:t>
      </w:r>
      <w:r w:rsidR="008442D7" w:rsidRPr="001814D8">
        <w:rPr>
          <w:lang w:val="en-GB"/>
        </w:rPr>
        <w:t>.</w:t>
      </w:r>
    </w:p>
    <w:p w14:paraId="21BCD4B8" w14:textId="743E9ED8" w:rsidR="0041239C" w:rsidRPr="00F54546" w:rsidRDefault="004A674F" w:rsidP="0033691E">
      <w:pPr>
        <w:pStyle w:val="NoSpacing"/>
        <w:ind w:firstLine="0"/>
        <w:rPr>
          <w:lang w:val="en-GB"/>
        </w:rPr>
      </w:pPr>
      <w:r w:rsidRPr="00F54546">
        <w:rPr>
          <w:lang w:val="en-GB"/>
        </w:rPr>
        <w:t xml:space="preserve">Primary outcomes </w:t>
      </w:r>
      <w:r w:rsidR="00217F1B">
        <w:rPr>
          <w:lang w:val="en-GB"/>
        </w:rPr>
        <w:t xml:space="preserve">for the present study </w:t>
      </w:r>
      <w:r w:rsidRPr="00F54546">
        <w:rPr>
          <w:lang w:val="en-GB"/>
        </w:rPr>
        <w:t>included treatment switching</w:t>
      </w:r>
      <w:r w:rsidR="00C22758" w:rsidRPr="00F54546">
        <w:rPr>
          <w:lang w:val="en-GB"/>
        </w:rPr>
        <w:t>,</w:t>
      </w:r>
      <w:r w:rsidRPr="00F54546">
        <w:rPr>
          <w:lang w:val="en-GB"/>
        </w:rPr>
        <w:t xml:space="preserve"> defined as change of </w:t>
      </w:r>
      <w:r w:rsidR="005940FB" w:rsidRPr="00F54546">
        <w:rPr>
          <w:lang w:val="en-GB"/>
        </w:rPr>
        <w:t xml:space="preserve">any </w:t>
      </w:r>
      <w:r w:rsidRPr="00F54546">
        <w:rPr>
          <w:lang w:val="en-GB"/>
        </w:rPr>
        <w:t xml:space="preserve">ADHD medication within 12 months </w:t>
      </w:r>
      <w:r w:rsidR="0099559D" w:rsidRPr="00F54546">
        <w:rPr>
          <w:lang w:val="en-GB"/>
        </w:rPr>
        <w:t>after the start of pharmacological treatment</w:t>
      </w:r>
      <w:r w:rsidRPr="00F54546">
        <w:rPr>
          <w:lang w:val="en-GB"/>
        </w:rPr>
        <w:t>, and treatment discontinuation</w:t>
      </w:r>
      <w:r w:rsidR="00217F1B">
        <w:rPr>
          <w:lang w:val="en-GB"/>
        </w:rPr>
        <w:t>,</w:t>
      </w:r>
      <w:r w:rsidR="0099559D" w:rsidRPr="00F54546">
        <w:rPr>
          <w:lang w:val="en-GB"/>
        </w:rPr>
        <w:t xml:space="preserve"> </w:t>
      </w:r>
      <w:r w:rsidRPr="00F54546">
        <w:rPr>
          <w:lang w:val="en-GB"/>
        </w:rPr>
        <w:t xml:space="preserve">defined </w:t>
      </w:r>
      <w:r w:rsidR="00D817DB" w:rsidRPr="00F54546">
        <w:rPr>
          <w:lang w:val="en-GB"/>
        </w:rPr>
        <w:t xml:space="preserve">as </w:t>
      </w:r>
      <w:r w:rsidR="00426DDE" w:rsidRPr="00F54546">
        <w:rPr>
          <w:lang w:val="en-GB"/>
        </w:rPr>
        <w:t xml:space="preserve">a gap of </w:t>
      </w:r>
      <w:r w:rsidR="0086632E" w:rsidRPr="00F54546">
        <w:rPr>
          <w:lang w:val="en-GB"/>
        </w:rPr>
        <w:t>180</w:t>
      </w:r>
      <w:r w:rsidRPr="00F54546">
        <w:rPr>
          <w:lang w:val="en-GB"/>
        </w:rPr>
        <w:t xml:space="preserve"> days</w:t>
      </w:r>
      <w:r w:rsidR="00426DDE" w:rsidRPr="00F54546">
        <w:rPr>
          <w:lang w:val="en-GB"/>
        </w:rPr>
        <w:t xml:space="preserve"> or more</w:t>
      </w:r>
      <w:r w:rsidRPr="00F54546">
        <w:rPr>
          <w:lang w:val="en-GB"/>
        </w:rPr>
        <w:t xml:space="preserve"> </w:t>
      </w:r>
      <w:r w:rsidR="00426DDE" w:rsidRPr="00F54546">
        <w:rPr>
          <w:lang w:val="en-GB"/>
        </w:rPr>
        <w:t>between two dispensations</w:t>
      </w:r>
      <w:r w:rsidRPr="00F54546">
        <w:rPr>
          <w:lang w:val="en-GB"/>
        </w:rPr>
        <w:t xml:space="preserve"> </w:t>
      </w:r>
      <w:r w:rsidR="0099559D" w:rsidRPr="00F54546">
        <w:rPr>
          <w:lang w:val="en-GB"/>
        </w:rPr>
        <w:t>within 12 months after treatment initiation</w:t>
      </w:r>
      <w:r w:rsidR="00A0091C">
        <w:rPr>
          <w:lang w:val="en-GB"/>
        </w:rPr>
        <w:t>.</w:t>
      </w:r>
      <w:r w:rsidR="003E779F" w:rsidRPr="00143300">
        <w:fldChar w:fldCharType="begin"/>
      </w:r>
      <w:r w:rsidR="003E4044">
        <w:instrText xml:space="preserve"> ADDIN ZOTERO_ITEM CSL_CITATION {"citationID":"XnLSvvhZ","properties":{"formattedCitation":"\\super 11\\nosupersub{}","plainCitation":"11","noteIndex":0},"citationItems":[{"id":5249,"uris":["http://zotero.org/users/9282839/items/2JSU37KM"],"itemData":{"id":5249,"type":"article-journal","container-title":"The Lancet Psychiatry","DOI":"10.1016/S2215-0366(23)00332-2","ISSN":"22150366","issue":"1","journalAbbreviation":"The Lancet Psychiatry","language":"en","page":"16-26","source":"DOI.org (Crossref)","title":"ADHD medication discontinuation and persistence across the lifespan: a retrospective observational study using population-based databases","title-short":"ADHD medication discontinuation and persistence across the lifespan","volume":"11","author":[{"family":"Brikell","given":"Isabell"},{"family":"Yao","given":"Honghui"},{"family":"Li","given":"Lin"},{"family":"Astrup","given":"Aske"},{"family":"Gao","given":"Le"},{"family":"Gillies","given":"Malcolm B"},{"family":"Xie","given":"Tian"},{"family":"Zhang-James","given":"Yanli"},{"family":"Dalsgaard","given":"Søren"},{"family":"Engeland","given":"Anders"},{"family":"Faraone","given":"Stephen V"},{"family":"Haavik","given":"Jan"},{"family":"Hartman","given":"Catharina"},{"family":"Ip","given":"Patrick"},{"family":"Jakobsdóttir Smári","given":"Unnur"},{"family":"Larsson","given":"Henrik"},{"family":"Man","given":"Kenneth Kc"},{"family":"De Oliveira Costa","given":"Juliana"},{"family":"Pearson","given":"Sallie-Anne"},{"family":"Hostrup Nielsen","given":"Nina Pil"},{"family":"Snieder","given":"Harold"},{"family":"Wimberley","given":"Theresa"},{"family":"Wong","given":"Ian Ck"},{"family":"Zhang","given":"Le"},{"family":"Zoega","given":"Helga"},{"family":"Klungsøyr","given":"Kari"},{"family":"Chang","given":"Zheng"}],"issued":{"date-parts":[["2024",1]]}}}],"schema":"https://github.com/citation-style-language/schema/raw/master/csl-citation.json"} </w:instrText>
      </w:r>
      <w:r w:rsidR="003E779F" w:rsidRPr="00143300">
        <w:fldChar w:fldCharType="separate"/>
      </w:r>
      <w:r w:rsidR="003E4044" w:rsidRPr="003E4044">
        <w:rPr>
          <w:vertAlign w:val="superscript"/>
        </w:rPr>
        <w:t>11</w:t>
      </w:r>
      <w:r w:rsidR="003E779F" w:rsidRPr="00143300">
        <w:fldChar w:fldCharType="end"/>
      </w:r>
      <w:r w:rsidR="0041239C" w:rsidRPr="00C94B38">
        <w:rPr>
          <w:lang w:val="en-GB"/>
        </w:rPr>
        <w:t xml:space="preserve"> </w:t>
      </w:r>
      <w:r w:rsidR="006C3BC6" w:rsidRPr="00C94B38">
        <w:rPr>
          <w:lang w:val="en-GB"/>
        </w:rPr>
        <w:t>W</w:t>
      </w:r>
      <w:r w:rsidR="0041239C" w:rsidRPr="00C94B38">
        <w:rPr>
          <w:lang w:val="en-GB"/>
        </w:rPr>
        <w:t>e estimated the discontinuation date as the midpoint between the prescription date and the expected end of the medication supply</w:t>
      </w:r>
      <w:r w:rsidR="00FB370C" w:rsidRPr="00C94B38">
        <w:rPr>
          <w:lang w:val="en-GB"/>
        </w:rPr>
        <w:t xml:space="preserve"> (</w:t>
      </w:r>
      <w:r w:rsidR="00136E97" w:rsidRPr="00C94B38">
        <w:rPr>
          <w:lang w:val="en-GB"/>
        </w:rPr>
        <w:t xml:space="preserve">using the </w:t>
      </w:r>
      <w:r w:rsidR="00FB370C" w:rsidRPr="00C94B38">
        <w:rPr>
          <w:lang w:val="en-GB"/>
        </w:rPr>
        <w:t xml:space="preserve">defined daily doses per </w:t>
      </w:r>
      <w:r w:rsidR="00136E97" w:rsidRPr="00C94B38">
        <w:rPr>
          <w:lang w:val="en-GB"/>
        </w:rPr>
        <w:t xml:space="preserve">dispensed </w:t>
      </w:r>
      <w:r w:rsidR="00FB370C" w:rsidRPr="00C94B38">
        <w:rPr>
          <w:lang w:val="en-GB"/>
        </w:rPr>
        <w:t>package</w:t>
      </w:r>
      <w:r w:rsidR="00136E97" w:rsidRPr="00C94B38">
        <w:rPr>
          <w:lang w:val="en-GB"/>
        </w:rPr>
        <w:t>s)</w:t>
      </w:r>
      <w:r w:rsidR="0041239C" w:rsidRPr="00C94B38">
        <w:rPr>
          <w:lang w:val="en-GB"/>
        </w:rPr>
        <w:t xml:space="preserve">. By </w:t>
      </w:r>
      <w:r w:rsidR="0041239C" w:rsidRPr="00C94B38">
        <w:rPr>
          <w:lang w:val="en-GB"/>
        </w:rPr>
        <w:lastRenderedPageBreak/>
        <w:t>choosing the midpoint, we minimize</w:t>
      </w:r>
      <w:r w:rsidR="00612601" w:rsidRPr="00C94B38">
        <w:rPr>
          <w:lang w:val="en-GB"/>
        </w:rPr>
        <w:t>d</w:t>
      </w:r>
      <w:r w:rsidR="0041239C" w:rsidRPr="00C94B38">
        <w:rPr>
          <w:lang w:val="en-GB"/>
        </w:rPr>
        <w:t xml:space="preserve"> the maximum error in our estimation, assuming discontinuation times are uniformly distributed within the interval. This </w:t>
      </w:r>
      <w:r w:rsidR="003A24E4" w:rsidRPr="00C94B38">
        <w:rPr>
          <w:lang w:val="en-GB"/>
        </w:rPr>
        <w:t>approach</w:t>
      </w:r>
      <w:r w:rsidR="0041239C" w:rsidRPr="00C94B38">
        <w:rPr>
          <w:lang w:val="en-GB"/>
        </w:rPr>
        <w:t xml:space="preserve"> reduces potential overestimation of treatment duration, providing a more conservative estimate of time-to-discontinuation.</w:t>
      </w:r>
    </w:p>
    <w:p w14:paraId="1278C154" w14:textId="46DDF6B1" w:rsidR="004A674F" w:rsidRDefault="004A674F" w:rsidP="0033691E">
      <w:pPr>
        <w:pStyle w:val="NoSpacing"/>
        <w:ind w:firstLine="0"/>
        <w:rPr>
          <w:lang w:val="en-GB"/>
        </w:rPr>
      </w:pPr>
      <w:r w:rsidRPr="00F54546">
        <w:rPr>
          <w:lang w:val="en-GB"/>
        </w:rPr>
        <w:t xml:space="preserve">Secondary outcomes included the number </w:t>
      </w:r>
      <w:r w:rsidR="00662F20" w:rsidRPr="00F54546">
        <w:rPr>
          <w:lang w:val="en-GB"/>
        </w:rPr>
        <w:t>of</w:t>
      </w:r>
      <w:r w:rsidRPr="00F54546">
        <w:rPr>
          <w:lang w:val="en-GB"/>
        </w:rPr>
        <w:t xml:space="preserve"> 1) inpatient psychiatric hospitalization (ICD-10 codes F00-F99), 2) emergency department visits or hospitalizations related to </w:t>
      </w:r>
      <w:r w:rsidR="007147F9" w:rsidRPr="00F54546">
        <w:rPr>
          <w:lang w:val="en-GB"/>
        </w:rPr>
        <w:t xml:space="preserve">accidental </w:t>
      </w:r>
      <w:r w:rsidRPr="00F54546">
        <w:rPr>
          <w:lang w:val="en-GB"/>
        </w:rPr>
        <w:t>injuries/accidents (ICD-10 codes S00-T78, V00-X59</w:t>
      </w:r>
      <w:r w:rsidR="00230997">
        <w:rPr>
          <w:lang w:val="en-GB"/>
        </w:rPr>
        <w:t>; appendix p35</w:t>
      </w:r>
      <w:r w:rsidRPr="00F54546">
        <w:rPr>
          <w:lang w:val="en-GB"/>
        </w:rPr>
        <w:t xml:space="preserve">), </w:t>
      </w:r>
      <w:r w:rsidR="009C7515" w:rsidRPr="00F54546">
        <w:rPr>
          <w:lang w:val="en-GB"/>
        </w:rPr>
        <w:t xml:space="preserve">and </w:t>
      </w:r>
      <w:r w:rsidRPr="00F54546">
        <w:rPr>
          <w:lang w:val="en-GB"/>
        </w:rPr>
        <w:t>3</w:t>
      </w:r>
      <w:r w:rsidRPr="00CA664E">
        <w:rPr>
          <w:lang w:val="en-GB"/>
        </w:rPr>
        <w:t>)</w:t>
      </w:r>
      <w:r w:rsidR="009C7515" w:rsidRPr="00CA664E">
        <w:rPr>
          <w:lang w:val="en-GB"/>
        </w:rPr>
        <w:t xml:space="preserve"> </w:t>
      </w:r>
      <w:r w:rsidR="0099559D" w:rsidRPr="00CA664E">
        <w:rPr>
          <w:lang w:val="en-GB"/>
        </w:rPr>
        <w:t>specialist care</w:t>
      </w:r>
      <w:r w:rsidRPr="00CA664E">
        <w:rPr>
          <w:lang w:val="en-GB"/>
        </w:rPr>
        <w:t xml:space="preserve"> encounters</w:t>
      </w:r>
      <w:r w:rsidRPr="00F54546">
        <w:rPr>
          <w:lang w:val="en-GB"/>
        </w:rPr>
        <w:t xml:space="preserve"> with an alcohol/drug-related diagnosis (F10-F16, F18-F19)</w:t>
      </w:r>
      <w:r w:rsidR="0001780A">
        <w:rPr>
          <w:lang w:val="en-GB"/>
        </w:rPr>
        <w:t>, depression (F32-34), and anxiety (F40-F42)</w:t>
      </w:r>
      <w:r w:rsidRPr="00F54546">
        <w:rPr>
          <w:lang w:val="en-GB"/>
        </w:rPr>
        <w:t xml:space="preserve"> All secondary outcomes were </w:t>
      </w:r>
      <w:r w:rsidR="003A24E4" w:rsidRPr="00F54546">
        <w:rPr>
          <w:lang w:val="en-GB"/>
        </w:rPr>
        <w:t xml:space="preserve">assessed at </w:t>
      </w:r>
      <w:r w:rsidRPr="00F54546">
        <w:rPr>
          <w:lang w:val="en-GB"/>
        </w:rPr>
        <w:t>12 months</w:t>
      </w:r>
      <w:r w:rsidR="00F27DBB" w:rsidRPr="00F54546">
        <w:rPr>
          <w:lang w:val="en-GB"/>
        </w:rPr>
        <w:t xml:space="preserve"> </w:t>
      </w:r>
      <w:r w:rsidR="003A24E4" w:rsidRPr="00F54546">
        <w:rPr>
          <w:lang w:val="en-GB"/>
        </w:rPr>
        <w:t xml:space="preserve">from </w:t>
      </w:r>
      <w:r w:rsidRPr="00F54546">
        <w:rPr>
          <w:lang w:val="en-GB"/>
        </w:rPr>
        <w:t>treatment initiation.</w:t>
      </w:r>
    </w:p>
    <w:p w14:paraId="69354A25" w14:textId="56E1D938" w:rsidR="00157C93" w:rsidRPr="00313835" w:rsidRDefault="00313835" w:rsidP="0033691E">
      <w:pPr>
        <w:pStyle w:val="NoSpacing"/>
        <w:ind w:firstLine="0"/>
        <w:rPr>
          <w:lang w:val="en-GB"/>
        </w:rPr>
      </w:pPr>
      <w:bookmarkStart w:id="12" w:name="_Hlk181624408"/>
      <w:bookmarkStart w:id="13" w:name="_Hlk181289013"/>
      <w:r w:rsidRPr="00313835">
        <w:rPr>
          <w:lang w:val="en-GB"/>
        </w:rPr>
        <w:t xml:space="preserve">These secondary outcomes were selected </w:t>
      </w:r>
      <w:r>
        <w:rPr>
          <w:lang w:val="en-GB"/>
        </w:rPr>
        <w:t>based on</w:t>
      </w:r>
      <w:r w:rsidRPr="00313835">
        <w:rPr>
          <w:lang w:val="en-GB"/>
        </w:rPr>
        <w:t xml:space="preserve"> established clinical relevance in ADHD and supporting evidence. Psychiatric hospitalizations served as a broad measure of severe psychiatric episodes requiring intensive care, reflecting overall psychiatric burden</w:t>
      </w:r>
      <w:r w:rsidR="00157C93" w:rsidRPr="00157C93">
        <w:rPr>
          <w:lang w:val="en-GB"/>
        </w:rPr>
        <w:t xml:space="preserve">. </w:t>
      </w:r>
      <w:r w:rsidRPr="00313835">
        <w:t>Injuries and accidents, consistently linked to ADHD and shown to be reduced by medication,</w:t>
      </w:r>
      <w:r w:rsidR="00330C0C">
        <w:fldChar w:fldCharType="begin"/>
      </w:r>
      <w:r w:rsidR="00330C0C">
        <w:instrText xml:space="preserve"> ADDIN ZOTERO_ITEM CSL_CITATION {"citationID":"cibtfFPh","properties":{"formattedCitation":"\\super 12\\nosupersub{}","plainCitation":"12","noteIndex":0},"citationItems":[{"id":5399,"uris":["http://zotero.org/users/9282839/items/636PR5AP"],"itemData":{"id":5399,"type":"article-journal","abstract":"Attention-deficit/hyperactivity disorder (ADHD) medication is one of the most commonly prescribed medication classes in child and adolescent psychiatry, and its use is increasing rapidly in adult psychiatry. However, major questions and concerns remain regarding the benefits and risks of ADHD medication, especially in real-world settings. We conducted a qualitative systematic review of studies that investigated the effects of ADHD medication on behavioral and neuropsychiatric outcomes using linked prescription databases from the last 10 years and identified 40 studies from Europe, North America, and Asia. Among them, 18 used within-individual designs to account for confounding by indication. These studies suggested short-term beneficial effects of ADHD medication on several behavioral or neuropsychiatric outcomes (i.e., injuries, motor vehicle accidents, education, substance use disorder), with estimates suggesting relative risk reduction of 9% to 58% for these outcomes. The within-individual studies found no evidence of increased risks for suicidality and seizures. Replication studies are needed for several other important outcomes (i.e., criminality, depression, mania, psychosis). The available evidence from pharmacoepidemiology studies on long-term effects of ADHD medication was less clear. We discuss time-varying confounding and other limitations that should be considered when interpreting results from pharmacoepidemiology studies. Furthermore, we highlight several knowledge gaps to be addressed in future research and implications for research on mechanisms of outcomes of ADHD medications.","container-title":"Biological Psychiatry","DOI":"10.1016/j.biopsych.2019.04.009","ISSN":"1873-2402","issue":"5","journalAbbreviation":"Biol Psychiatry","language":"eng","note":"PMID: 31155139\nPMCID: PMC6697582","page":"335-343","source":"PubMed","title":"Risks and Benefits of Attention-Deficit/Hyperactivity Disorder Medication on Behavioral and Neuropsychiatric Outcomes: A Qualitative Review of Pharmacoepidemiology Studies Using Linked Prescription Databases","title-short":"Risks and Benefits of Attention-Deficit/Hyperactivity Disorder Medication on Behavioral and Neuropsychiatric Outcomes","volume":"86","author":[{"family":"Chang","given":"Zheng"},{"family":"Ghirardi","given":"Laura"},{"family":"Quinn","given":"Patrick D."},{"family":"Asherson","given":"Philip"},{"family":"D'Onofrio","given":"Brian M."},{"family":"Larsson","given":"Henrik"}],"issued":{"date-parts":[["2019",9,1]]}}}],"schema":"https://github.com/citation-style-language/schema/raw/master/csl-citation.json"} </w:instrText>
      </w:r>
      <w:r w:rsidR="00330C0C">
        <w:fldChar w:fldCharType="separate"/>
      </w:r>
      <w:r w:rsidR="00330C0C" w:rsidRPr="00330C0C">
        <w:rPr>
          <w:vertAlign w:val="superscript"/>
        </w:rPr>
        <w:t>12</w:t>
      </w:r>
      <w:r w:rsidR="00330C0C">
        <w:fldChar w:fldCharType="end"/>
      </w:r>
      <w:r w:rsidRPr="00313835">
        <w:t xml:space="preserve"> provided an objective measure of functional impairment. Specialist visits for substance use disorders, depression, and anxiety were chosen due to their high comorbidity with ADHD, frequent exclusion from RCTs, and </w:t>
      </w:r>
      <w:r w:rsidR="00330C0C">
        <w:t>current</w:t>
      </w:r>
      <w:r w:rsidRPr="00313835">
        <w:t xml:space="preserve"> clinical uncertainty regarding treatment approaches.</w:t>
      </w:r>
      <w:r w:rsidR="00330C0C">
        <w:fldChar w:fldCharType="begin"/>
      </w:r>
      <w:r w:rsidR="00330C0C">
        <w:instrText xml:space="preserve"> ADDIN ZOTERO_ITEM CSL_CITATION {"citationID":"OwS0LY0H","properties":{"formattedCitation":"\\super 13\\nosupersub{}","plainCitation":"13","noteIndex":0},"citationItems":[{"id":5256,"uris":["http://zotero.org/users/9282839/items/VFGYA9BH"],"itemData":{"id":5256,"type":"article-journal","container-title":"Nature Reviews Disease Primers","DOI":"10.1038/s41572-024-00495-0","ISSN":"2056-676X","issue":"1","journalAbbreviation":"Nat Rev Dis Primers","language":"en","page":"11","source":"DOI.org (Crossref)","title":"Attention-deficit/hyperactivity disorder","volume":"10","author":[{"family":"Faraone","given":"Stephen V."},{"family":"Bellgrove","given":"Mark A."},{"family":"Brikell","given":"Isabell"},{"family":"Cortese","given":"Samuele"},{"family":"Hartman","given":"Catharina A."},{"family":"Hollis","given":"Chris"},{"family":"Newcorn","given":"Jeffrey H."},{"family":"Philipsen","given":"Alexandra"},{"family":"Polanczyk","given":"Guilherme V."},{"family":"Rubia","given":"Katya"},{"family":"Sibley","given":"Margaret H."},{"family":"Buitelaar","given":"Jan K."}],"issued":{"date-parts":[["2024",2,22]]}}}],"schema":"https://github.com/citation-style-language/schema/raw/master/csl-citation.json"} </w:instrText>
      </w:r>
      <w:r w:rsidR="00330C0C">
        <w:fldChar w:fldCharType="separate"/>
      </w:r>
      <w:r w:rsidR="00330C0C" w:rsidRPr="00330C0C">
        <w:rPr>
          <w:vertAlign w:val="superscript"/>
        </w:rPr>
        <w:t>13</w:t>
      </w:r>
      <w:r w:rsidR="00330C0C">
        <w:fldChar w:fldCharType="end"/>
      </w:r>
      <w:r w:rsidRPr="00313835">
        <w:t xml:space="preserve"> These outcomes allow investigation of treatment response in patient populations typically underrepresented in clinical trials.</w:t>
      </w:r>
    </w:p>
    <w:bookmarkEnd w:id="12"/>
    <w:bookmarkEnd w:id="13"/>
    <w:p w14:paraId="3D9D7275" w14:textId="77777777" w:rsidR="004A674F" w:rsidRPr="00F54546" w:rsidRDefault="004A674F" w:rsidP="00A6294A">
      <w:pPr>
        <w:pStyle w:val="Heading2"/>
        <w:rPr>
          <w:lang w:val="en-GB"/>
        </w:rPr>
      </w:pPr>
      <w:r w:rsidRPr="00F54546">
        <w:rPr>
          <w:lang w:val="en-GB"/>
        </w:rPr>
        <w:t>Statistical analysis</w:t>
      </w:r>
    </w:p>
    <w:p w14:paraId="5C3CBC28" w14:textId="318D542A" w:rsidR="004A674F" w:rsidRPr="00F54546" w:rsidRDefault="004A674F" w:rsidP="00662F20">
      <w:pPr>
        <w:pStyle w:val="NoSpacing"/>
        <w:ind w:firstLine="0"/>
        <w:rPr>
          <w:lang w:val="en-GB"/>
        </w:rPr>
      </w:pPr>
      <w:r w:rsidRPr="00F54546">
        <w:rPr>
          <w:lang w:val="en-GB"/>
        </w:rPr>
        <w:t xml:space="preserve">The percentage of ADHD patients meeting RCT eligibility criteria was calculated, and </w:t>
      </w:r>
      <w:r w:rsidR="00F400E5" w:rsidRPr="00F54546">
        <w:rPr>
          <w:lang w:val="en-GB"/>
        </w:rPr>
        <w:t>socioeconomic</w:t>
      </w:r>
      <w:r w:rsidRPr="00F54546">
        <w:rPr>
          <w:lang w:val="en-GB"/>
        </w:rPr>
        <w:t xml:space="preserve"> characteristics were summarized for both groups</w:t>
      </w:r>
      <w:r w:rsidR="007C089F" w:rsidRPr="00F54546">
        <w:rPr>
          <w:lang w:val="en-GB"/>
        </w:rPr>
        <w:t xml:space="preserve"> and stratified by age at </w:t>
      </w:r>
      <w:r w:rsidR="0034752B">
        <w:rPr>
          <w:lang w:val="en-GB"/>
        </w:rPr>
        <w:t>treatment initiation</w:t>
      </w:r>
      <w:r w:rsidR="007C089F" w:rsidRPr="00F54546">
        <w:rPr>
          <w:lang w:val="en-GB"/>
        </w:rPr>
        <w:t xml:space="preserve"> </w:t>
      </w:r>
      <w:r w:rsidR="007C089F" w:rsidRPr="00CA664E">
        <w:rPr>
          <w:lang w:val="en-GB"/>
        </w:rPr>
        <w:t>(</w:t>
      </w:r>
      <w:bookmarkStart w:id="14" w:name="_Hlk181210921"/>
      <w:r w:rsidR="007C089F" w:rsidRPr="00CA664E">
        <w:rPr>
          <w:lang w:val="en-GB"/>
        </w:rPr>
        <w:t>children</w:t>
      </w:r>
      <w:r w:rsidR="00603075" w:rsidRPr="00CA664E">
        <w:rPr>
          <w:lang w:val="en-GB"/>
        </w:rPr>
        <w:t xml:space="preserve"> </w:t>
      </w:r>
      <w:r w:rsidR="005B0C08" w:rsidRPr="00CA664E">
        <w:rPr>
          <w:lang w:val="en-GB"/>
        </w:rPr>
        <w:t>[&lt;13]</w:t>
      </w:r>
      <w:r w:rsidR="007C089F" w:rsidRPr="00CA664E">
        <w:rPr>
          <w:lang w:val="en-GB"/>
        </w:rPr>
        <w:t>, adolescents</w:t>
      </w:r>
      <w:r w:rsidR="00603075" w:rsidRPr="00CA664E">
        <w:rPr>
          <w:lang w:val="en-GB"/>
        </w:rPr>
        <w:t xml:space="preserve"> </w:t>
      </w:r>
      <w:r w:rsidR="005B0C08" w:rsidRPr="00CA664E">
        <w:rPr>
          <w:lang w:val="en-GB"/>
        </w:rPr>
        <w:t>[</w:t>
      </w:r>
      <w:r w:rsidR="00EB7324" w:rsidRPr="00CA664E">
        <w:rPr>
          <w:lang w:val="en-GB"/>
        </w:rPr>
        <w:t>1</w:t>
      </w:r>
      <w:r w:rsidR="00EB7324">
        <w:rPr>
          <w:lang w:val="en-GB"/>
        </w:rPr>
        <w:t>3</w:t>
      </w:r>
      <w:r w:rsidR="005B0C08" w:rsidRPr="00CA664E">
        <w:rPr>
          <w:lang w:val="en-GB"/>
        </w:rPr>
        <w:t>-17]</w:t>
      </w:r>
      <w:r w:rsidR="007C089F" w:rsidRPr="00CA664E">
        <w:rPr>
          <w:lang w:val="en-GB"/>
        </w:rPr>
        <w:t>, and adults [&gt;17 years])</w:t>
      </w:r>
      <w:r w:rsidRPr="00CA664E">
        <w:rPr>
          <w:lang w:val="en-GB"/>
        </w:rPr>
        <w:t>.</w:t>
      </w:r>
      <w:r w:rsidRPr="00F54546">
        <w:rPr>
          <w:lang w:val="en-GB"/>
        </w:rPr>
        <w:t xml:space="preserve"> </w:t>
      </w:r>
      <w:bookmarkEnd w:id="14"/>
      <w:r w:rsidRPr="00F54546">
        <w:rPr>
          <w:lang w:val="en-GB"/>
        </w:rPr>
        <w:t xml:space="preserve">For </w:t>
      </w:r>
      <w:r w:rsidRPr="00F54546">
        <w:rPr>
          <w:lang w:val="en-GB"/>
        </w:rPr>
        <w:lastRenderedPageBreak/>
        <w:t>the primary outcomes, Cox regression analyses evaluated differences in time to treatment switching and early discontinuation between eligible and ineligible groups</w:t>
      </w:r>
      <w:r w:rsidR="00201B54">
        <w:rPr>
          <w:lang w:val="en-GB"/>
        </w:rPr>
        <w:t xml:space="preserve"> </w:t>
      </w:r>
      <w:bookmarkStart w:id="15" w:name="_Hlk182223829"/>
      <w:r w:rsidR="00201B54">
        <w:rPr>
          <w:lang w:val="en-GB"/>
        </w:rPr>
        <w:t>Estimates were</w:t>
      </w:r>
      <w:r w:rsidRPr="00F54546">
        <w:rPr>
          <w:lang w:val="en-GB"/>
        </w:rPr>
        <w:t xml:space="preserve"> adjust</w:t>
      </w:r>
      <w:r w:rsidR="00201B54">
        <w:rPr>
          <w:lang w:val="en-GB"/>
        </w:rPr>
        <w:t>ed</w:t>
      </w:r>
      <w:r w:rsidRPr="00F54546">
        <w:rPr>
          <w:lang w:val="en-GB"/>
        </w:rPr>
        <w:t xml:space="preserve"> for </w:t>
      </w:r>
      <w:r w:rsidR="00426DDE" w:rsidRPr="00F54546">
        <w:rPr>
          <w:lang w:val="en-GB"/>
        </w:rPr>
        <w:t xml:space="preserve">potential </w:t>
      </w:r>
      <w:bookmarkStart w:id="16" w:name="_Hlk181703312"/>
      <w:r w:rsidR="00426DDE" w:rsidRPr="00F54546">
        <w:rPr>
          <w:lang w:val="en-GB"/>
        </w:rPr>
        <w:t xml:space="preserve">confounders including </w:t>
      </w:r>
      <w:r w:rsidR="00892E8A" w:rsidRPr="00F54546">
        <w:rPr>
          <w:lang w:val="en-GB"/>
        </w:rPr>
        <w:t>sex</w:t>
      </w:r>
      <w:r w:rsidR="0033496F">
        <w:rPr>
          <w:lang w:val="en-GB"/>
        </w:rPr>
        <w:t>, age</w:t>
      </w:r>
      <w:r w:rsidR="00B62A38">
        <w:rPr>
          <w:lang w:val="en-GB"/>
        </w:rPr>
        <w:t xml:space="preserve"> in years</w:t>
      </w:r>
      <w:r w:rsidR="00DD4D89">
        <w:rPr>
          <w:lang w:val="en-GB"/>
        </w:rPr>
        <w:t xml:space="preserve"> (continuous)</w:t>
      </w:r>
      <w:r w:rsidR="0033496F">
        <w:rPr>
          <w:lang w:val="en-GB"/>
        </w:rPr>
        <w:t>,</w:t>
      </w:r>
      <w:r w:rsidR="00F27DBB" w:rsidRPr="00F54546">
        <w:rPr>
          <w:lang w:val="en-GB"/>
        </w:rPr>
        <w:t xml:space="preserve"> </w:t>
      </w:r>
      <w:bookmarkEnd w:id="16"/>
      <w:r w:rsidR="00501DB1" w:rsidRPr="00F54546">
        <w:rPr>
          <w:lang w:val="en-GB"/>
        </w:rPr>
        <w:t xml:space="preserve">and </w:t>
      </w:r>
      <w:r w:rsidR="00F27DBB" w:rsidRPr="00F54546">
        <w:rPr>
          <w:lang w:val="en-GB"/>
        </w:rPr>
        <w:t>calendar</w:t>
      </w:r>
      <w:r w:rsidR="002D50EB" w:rsidRPr="00F54546">
        <w:rPr>
          <w:lang w:val="en-GB"/>
        </w:rPr>
        <w:t xml:space="preserve"> </w:t>
      </w:r>
      <w:r w:rsidR="002034C4" w:rsidRPr="00F54546">
        <w:rPr>
          <w:lang w:val="en-GB"/>
        </w:rPr>
        <w:t>year</w:t>
      </w:r>
      <w:bookmarkStart w:id="17" w:name="_Hlk181900324"/>
      <w:r w:rsidR="006338A8">
        <w:rPr>
          <w:lang w:val="en-GB"/>
        </w:rPr>
        <w:t xml:space="preserve"> based on their potential influence </w:t>
      </w:r>
      <w:r w:rsidR="008C1FED">
        <w:rPr>
          <w:lang w:val="en-GB"/>
        </w:rPr>
        <w:t xml:space="preserve">on </w:t>
      </w:r>
      <w:r w:rsidR="006338A8">
        <w:rPr>
          <w:lang w:val="en-GB"/>
        </w:rPr>
        <w:t>both eligibility status and treatment outcomes</w:t>
      </w:r>
      <w:r w:rsidRPr="00F54546">
        <w:rPr>
          <w:lang w:val="en-GB"/>
        </w:rPr>
        <w:t xml:space="preserve">. </w:t>
      </w:r>
      <w:bookmarkEnd w:id="15"/>
      <w:bookmarkEnd w:id="17"/>
      <w:r w:rsidRPr="00F54546">
        <w:rPr>
          <w:lang w:val="en-GB"/>
        </w:rPr>
        <w:t>For the main analyses</w:t>
      </w:r>
      <w:r w:rsidR="00A76034" w:rsidRPr="00F54546">
        <w:rPr>
          <w:lang w:val="en-GB"/>
        </w:rPr>
        <w:t xml:space="preserve"> (i.e., treatment switching and early discontinuation)</w:t>
      </w:r>
      <w:r w:rsidRPr="00F54546">
        <w:rPr>
          <w:lang w:val="en-GB"/>
        </w:rPr>
        <w:t xml:space="preserve"> </w:t>
      </w:r>
      <w:bookmarkStart w:id="18" w:name="_Hlk162248812"/>
      <w:r w:rsidRPr="00F54546">
        <w:rPr>
          <w:lang w:val="en-GB"/>
        </w:rPr>
        <w:t xml:space="preserve">follow-up started from the first </w:t>
      </w:r>
      <w:r w:rsidR="00A76034" w:rsidRPr="00F54546">
        <w:rPr>
          <w:lang w:val="en-GB"/>
        </w:rPr>
        <w:t xml:space="preserve">ADHD medication </w:t>
      </w:r>
      <w:r w:rsidRPr="00F54546">
        <w:rPr>
          <w:lang w:val="en-GB"/>
        </w:rPr>
        <w:t xml:space="preserve">dispensation. </w:t>
      </w:r>
      <w:bookmarkStart w:id="19" w:name="_Hlk181212139"/>
      <w:r w:rsidRPr="00F54546">
        <w:rPr>
          <w:lang w:val="en-GB"/>
        </w:rPr>
        <w:t>The end of follow-up was determined as whichever happen</w:t>
      </w:r>
      <w:r w:rsidR="00930CB0">
        <w:rPr>
          <w:lang w:val="en-GB"/>
        </w:rPr>
        <w:t>ed</w:t>
      </w:r>
      <w:r w:rsidRPr="00F54546">
        <w:rPr>
          <w:lang w:val="en-GB"/>
        </w:rPr>
        <w:t xml:space="preserve"> first: treatment switching or early discontinuation</w:t>
      </w:r>
      <w:r w:rsidR="0099559D" w:rsidRPr="00F54546">
        <w:rPr>
          <w:lang w:val="en-GB"/>
        </w:rPr>
        <w:t xml:space="preserve"> (depending on the outcome)</w:t>
      </w:r>
      <w:r w:rsidRPr="00F54546">
        <w:rPr>
          <w:lang w:val="en-GB"/>
        </w:rPr>
        <w:t xml:space="preserve">, death, migration, </w:t>
      </w:r>
      <w:r w:rsidR="00D633E9" w:rsidRPr="00F54546">
        <w:rPr>
          <w:lang w:val="en-GB"/>
        </w:rPr>
        <w:t xml:space="preserve">one year from the start of ADHD treatment, </w:t>
      </w:r>
      <w:r w:rsidRPr="00F54546">
        <w:rPr>
          <w:lang w:val="en-GB"/>
        </w:rPr>
        <w:t>or end of the study</w:t>
      </w:r>
      <w:r w:rsidR="00CA30B6">
        <w:rPr>
          <w:lang w:val="en-GB"/>
        </w:rPr>
        <w:t xml:space="preserve"> period</w:t>
      </w:r>
      <w:r w:rsidRPr="00F54546">
        <w:rPr>
          <w:lang w:val="en-GB"/>
        </w:rPr>
        <w:t xml:space="preserve"> (December 31, 2020</w:t>
      </w:r>
      <w:r w:rsidRPr="00CA664E">
        <w:rPr>
          <w:lang w:val="en-GB"/>
        </w:rPr>
        <w:t>).</w:t>
      </w:r>
      <w:bookmarkEnd w:id="19"/>
      <w:r w:rsidRPr="00CA664E">
        <w:rPr>
          <w:lang w:val="en-GB"/>
        </w:rPr>
        <w:t xml:space="preserve"> </w:t>
      </w:r>
      <w:bookmarkEnd w:id="18"/>
      <w:r w:rsidR="00501DB1" w:rsidRPr="00CA664E">
        <w:rPr>
          <w:lang w:val="en-GB"/>
        </w:rPr>
        <w:t>Analyses were stratified by age</w:t>
      </w:r>
      <w:r w:rsidR="00C0713C" w:rsidRPr="00CA664E">
        <w:rPr>
          <w:lang w:val="en-GB"/>
        </w:rPr>
        <w:t xml:space="preserve"> </w:t>
      </w:r>
      <w:r w:rsidR="00CA30B6" w:rsidRPr="00CA664E">
        <w:rPr>
          <w:lang w:val="en-GB"/>
        </w:rPr>
        <w:t>groups</w:t>
      </w:r>
      <w:r w:rsidR="00501DB1" w:rsidRPr="00CA664E">
        <w:rPr>
          <w:lang w:val="en-GB"/>
        </w:rPr>
        <w:t>.</w:t>
      </w:r>
      <w:r w:rsidR="00501DB1" w:rsidRPr="00F54546">
        <w:rPr>
          <w:lang w:val="en-GB"/>
        </w:rPr>
        <w:t xml:space="preserve"> </w:t>
      </w:r>
      <w:r w:rsidRPr="00F54546">
        <w:rPr>
          <w:lang w:val="en-GB"/>
        </w:rPr>
        <w:t>Individuals were excluded from the study if they emigrated or died before the start of follow-up.</w:t>
      </w:r>
    </w:p>
    <w:p w14:paraId="210B3994" w14:textId="138CA246" w:rsidR="004A674F" w:rsidRPr="00F54546" w:rsidRDefault="000B3667" w:rsidP="000A0FC8">
      <w:pPr>
        <w:pStyle w:val="NoSpacing"/>
        <w:ind w:firstLine="0"/>
        <w:rPr>
          <w:lang w:val="en-GB"/>
        </w:rPr>
      </w:pPr>
      <w:r w:rsidRPr="00F54546">
        <w:rPr>
          <w:lang w:val="en-GB"/>
        </w:rPr>
        <w:t>I</w:t>
      </w:r>
      <w:r w:rsidR="004A674F" w:rsidRPr="00F54546">
        <w:rPr>
          <w:lang w:val="en-GB"/>
        </w:rPr>
        <w:t xml:space="preserve">ncidence rate ratios (IRR) with 95% </w:t>
      </w:r>
      <w:r w:rsidRPr="00F54546">
        <w:rPr>
          <w:lang w:val="en-GB"/>
        </w:rPr>
        <w:t>confidence intervals (</w:t>
      </w:r>
      <w:r w:rsidR="004A674F" w:rsidRPr="00F54546">
        <w:rPr>
          <w:lang w:val="en-GB"/>
        </w:rPr>
        <w:t>C</w:t>
      </w:r>
      <w:r w:rsidR="0017052F" w:rsidRPr="00F54546">
        <w:rPr>
          <w:lang w:val="en-GB"/>
        </w:rPr>
        <w:t>I</w:t>
      </w:r>
      <w:r w:rsidR="004A674F" w:rsidRPr="00F54546">
        <w:rPr>
          <w:lang w:val="en-GB"/>
        </w:rPr>
        <w:t>s</w:t>
      </w:r>
      <w:r w:rsidRPr="00F54546">
        <w:rPr>
          <w:lang w:val="en-GB"/>
        </w:rPr>
        <w:t>)</w:t>
      </w:r>
      <w:r w:rsidR="004A674F" w:rsidRPr="00F54546">
        <w:rPr>
          <w:lang w:val="en-GB"/>
        </w:rPr>
        <w:t xml:space="preserve"> were calculated using </w:t>
      </w:r>
      <w:r w:rsidR="00892E8A" w:rsidRPr="00F54546">
        <w:rPr>
          <w:lang w:val="en-GB"/>
        </w:rPr>
        <w:t>quasi-Poisson</w:t>
      </w:r>
      <w:r w:rsidR="003E779F">
        <w:fldChar w:fldCharType="begin"/>
      </w:r>
      <w:r w:rsidR="00330C0C">
        <w:instrText xml:space="preserve"> ADDIN ZOTERO_ITEM CSL_CITATION {"citationID":"MbHGF3lg","properties":{"formattedCitation":"\\super 14\\nosupersub{}","plainCitation":"14","noteIndex":0},"citationItems":[{"id":5254,"uris":["http://zotero.org/users/9282839/items/RAYZQIPC"],"itemData":{"id":5254,"type":"article-journal","container-title":"Ecology","DOI":"10.1890/07-0043.1","ISSN":"0012-9658","issue":"11","journalAbbreviation":"Ecology","language":"en","license":"http://doi.wiley.com/10.1002/tdm_license_1.1","page":"2766-2772","source":"DOI.org (Crossref)","title":"Quasi-Poisson vs. negative binomial regression: how should we model overdispersed count data?","title-short":"QUASI-POISSON VS. NEGATIVE BINOMIAL REGRESSION","volume":"88","author":[{"family":"Ver Hoef","given":"Jay M."},{"family":"Boveng","given":"Peter L."}],"issued":{"date-parts":[["2007",11]]}}}],"schema":"https://github.com/citation-style-language/schema/raw/master/csl-citation.json"} </w:instrText>
      </w:r>
      <w:r w:rsidR="003E779F">
        <w:fldChar w:fldCharType="separate"/>
      </w:r>
      <w:r w:rsidR="00330C0C" w:rsidRPr="00330C0C">
        <w:rPr>
          <w:vertAlign w:val="superscript"/>
        </w:rPr>
        <w:t>14</w:t>
      </w:r>
      <w:r w:rsidR="003E779F">
        <w:fldChar w:fldCharType="end"/>
      </w:r>
      <w:r w:rsidR="004A674F" w:rsidRPr="00F54546">
        <w:rPr>
          <w:lang w:val="en-GB"/>
        </w:rPr>
        <w:t xml:space="preserve"> regression models comparing the </w:t>
      </w:r>
      <w:r w:rsidR="00C007FD" w:rsidRPr="00F54546">
        <w:rPr>
          <w:lang w:val="en-GB"/>
        </w:rPr>
        <w:t>rates</w:t>
      </w:r>
      <w:r w:rsidR="004A674F" w:rsidRPr="00F54546">
        <w:rPr>
          <w:lang w:val="en-GB"/>
        </w:rPr>
        <w:t xml:space="preserve"> of </w:t>
      </w:r>
      <w:bookmarkStart w:id="20" w:name="_Hlk165981946"/>
      <w:r w:rsidR="004A674F" w:rsidRPr="00F54546">
        <w:rPr>
          <w:lang w:val="en-GB"/>
        </w:rPr>
        <w:t>psychiatric</w:t>
      </w:r>
      <w:bookmarkEnd w:id="20"/>
      <w:r w:rsidR="004A674F" w:rsidRPr="00F54546">
        <w:rPr>
          <w:lang w:val="en-GB"/>
        </w:rPr>
        <w:t xml:space="preserve"> hospitalizations, injuries/accidents, and </w:t>
      </w:r>
      <w:r w:rsidR="005B6191" w:rsidRPr="005B6191">
        <w:rPr>
          <w:lang w:val="en-GB"/>
        </w:rPr>
        <w:t xml:space="preserve">specialty care visits </w:t>
      </w:r>
      <w:r w:rsidR="005B6191">
        <w:rPr>
          <w:lang w:val="en-GB"/>
        </w:rPr>
        <w:t xml:space="preserve">related to </w:t>
      </w:r>
      <w:r w:rsidR="004A674F" w:rsidRPr="00F54546">
        <w:rPr>
          <w:lang w:val="en-GB"/>
        </w:rPr>
        <w:t>substance misuse</w:t>
      </w:r>
      <w:r w:rsidR="005B6191">
        <w:rPr>
          <w:lang w:val="en-GB"/>
        </w:rPr>
        <w:t>, depression, and anxiety</w:t>
      </w:r>
      <w:r w:rsidR="004A674F" w:rsidRPr="00F54546">
        <w:rPr>
          <w:lang w:val="en-GB"/>
        </w:rPr>
        <w:t xml:space="preserve"> in the 12 months after starting ADHD medications between eligible and ineligible </w:t>
      </w:r>
      <w:r w:rsidR="00C25654" w:rsidRPr="00F54546">
        <w:rPr>
          <w:lang w:val="en-GB"/>
        </w:rPr>
        <w:t>groups</w:t>
      </w:r>
      <w:r w:rsidR="004A674F" w:rsidRPr="00F54546">
        <w:rPr>
          <w:lang w:val="en-GB"/>
        </w:rPr>
        <w:t xml:space="preserve">. </w:t>
      </w:r>
      <w:r w:rsidR="00A637D1" w:rsidRPr="00F54546">
        <w:rPr>
          <w:lang w:val="en-GB"/>
        </w:rPr>
        <w:t>T</w:t>
      </w:r>
      <w:r w:rsidR="004A674F" w:rsidRPr="00F54546">
        <w:rPr>
          <w:lang w:val="en-GB"/>
        </w:rPr>
        <w:t xml:space="preserve">he start of follow-up was defined </w:t>
      </w:r>
      <w:r w:rsidR="004C43DC">
        <w:rPr>
          <w:lang w:val="en-GB"/>
        </w:rPr>
        <w:t xml:space="preserve">the same way as in the main analyses </w:t>
      </w:r>
      <w:r w:rsidR="003434C7" w:rsidRPr="00F54546">
        <w:rPr>
          <w:lang w:val="en-GB"/>
        </w:rPr>
        <w:t xml:space="preserve">and differences in individual follow-up durations were accounted for by including the log of person-time as an offset. </w:t>
      </w:r>
      <w:r w:rsidR="00F90CD1" w:rsidRPr="00F54546">
        <w:rPr>
          <w:lang w:val="en-GB"/>
        </w:rPr>
        <w:t xml:space="preserve">Quasi-Poisson regression was chosen to address violations of the equidispersion assumption, as it </w:t>
      </w:r>
      <w:r w:rsidR="00F90CD1" w:rsidRPr="00C0713C">
        <w:rPr>
          <w:lang w:val="en-GB"/>
        </w:rPr>
        <w:t xml:space="preserve">provides </w:t>
      </w:r>
      <w:r w:rsidR="00195021" w:rsidRPr="00C0713C">
        <w:rPr>
          <w:lang w:val="en-GB"/>
        </w:rPr>
        <w:t>adjusted standard errors</w:t>
      </w:r>
      <w:r w:rsidR="00F90CD1" w:rsidRPr="00F54546">
        <w:rPr>
          <w:lang w:val="en-GB"/>
        </w:rPr>
        <w:t xml:space="preserve"> when the variance exceeds the mean.</w:t>
      </w:r>
      <w:r w:rsidR="004F6EC5">
        <w:fldChar w:fldCharType="begin"/>
      </w:r>
      <w:r w:rsidR="00330C0C">
        <w:instrText xml:space="preserve"> ADDIN ZOTERO_ITEM CSL_CITATION {"citationID":"mLGgv8hs","properties":{"formattedCitation":"\\super 14\\nosupersub{}","plainCitation":"14","noteIndex":0},"citationItems":[{"id":5254,"uris":["http://zotero.org/users/9282839/items/RAYZQIPC"],"itemData":{"id":5254,"type":"article-journal","container-title":"Ecology","DOI":"10.1890/07-0043.1","ISSN":"0012-9658","issue":"11","journalAbbreviation":"Ecology","language":"en","license":"http://doi.wiley.com/10.1002/tdm_license_1.1","page":"2766-2772","source":"DOI.org (Crossref)","title":"Quasi-Poisson vs. negative binomial regression: how should we model overdispersed count data?","title-short":"QUASI-POISSON VS. NEGATIVE BINOMIAL REGRESSION","volume":"88","author":[{"family":"Ver Hoef","given":"Jay M."},{"family":"Boveng","given":"Peter L."}],"issued":{"date-parts":[["2007",11]]}}}],"schema":"https://github.com/citation-style-language/schema/raw/master/csl-citation.json"} </w:instrText>
      </w:r>
      <w:r w:rsidR="004F6EC5">
        <w:fldChar w:fldCharType="separate"/>
      </w:r>
      <w:r w:rsidR="00330C0C" w:rsidRPr="00330C0C">
        <w:rPr>
          <w:vertAlign w:val="superscript"/>
        </w:rPr>
        <w:t>14</w:t>
      </w:r>
      <w:r w:rsidR="004F6EC5">
        <w:fldChar w:fldCharType="end"/>
      </w:r>
      <w:r w:rsidR="00F90CD1" w:rsidRPr="00F54546">
        <w:rPr>
          <w:lang w:val="en-GB"/>
        </w:rPr>
        <w:t xml:space="preserve"> </w:t>
      </w:r>
      <w:r w:rsidR="00AF0261" w:rsidRPr="00F54546">
        <w:rPr>
          <w:lang w:val="en-GB"/>
        </w:rPr>
        <w:t>Models were adjusted for sex</w:t>
      </w:r>
      <w:r w:rsidR="00501DB1" w:rsidRPr="00F54546">
        <w:rPr>
          <w:lang w:val="en-GB"/>
        </w:rPr>
        <w:t xml:space="preserve"> and </w:t>
      </w:r>
      <w:r w:rsidR="00C0713C">
        <w:rPr>
          <w:lang w:val="en-GB"/>
        </w:rPr>
        <w:t xml:space="preserve">calendar </w:t>
      </w:r>
      <w:r w:rsidR="00AF0261" w:rsidRPr="00F54546">
        <w:rPr>
          <w:lang w:val="en-GB"/>
        </w:rPr>
        <w:t>year</w:t>
      </w:r>
      <w:r w:rsidR="00C0713C">
        <w:rPr>
          <w:lang w:val="en-GB"/>
        </w:rPr>
        <w:t xml:space="preserve"> and stratified by age group</w:t>
      </w:r>
      <w:r w:rsidR="00AF0261" w:rsidRPr="00F54546">
        <w:rPr>
          <w:lang w:val="en-GB"/>
        </w:rPr>
        <w:t xml:space="preserve">. </w:t>
      </w:r>
      <w:bookmarkStart w:id="21" w:name="_Hlk181295830"/>
      <w:r w:rsidR="002A43BB" w:rsidRPr="002A43BB">
        <w:rPr>
          <w:lang w:val="en-GB"/>
        </w:rPr>
        <w:t xml:space="preserve">Cluster-robust standard errors were used to account </w:t>
      </w:r>
      <w:r w:rsidR="002A43BB">
        <w:rPr>
          <w:lang w:val="en-GB"/>
        </w:rPr>
        <w:t>the non-independence of observations</w:t>
      </w:r>
      <w:r w:rsidR="002A43BB" w:rsidRPr="002A43BB">
        <w:rPr>
          <w:lang w:val="en-GB"/>
        </w:rPr>
        <w:t xml:space="preserve"> within families.</w:t>
      </w:r>
      <w:r w:rsidR="002A43BB">
        <w:rPr>
          <w:lang w:val="en-GB"/>
        </w:rPr>
        <w:t xml:space="preserve"> </w:t>
      </w:r>
      <w:bookmarkEnd w:id="21"/>
      <w:r w:rsidR="00A257AD" w:rsidRPr="00F54546">
        <w:rPr>
          <w:lang w:val="en-GB"/>
        </w:rPr>
        <w:t>Data management and statistical analyses were performed using SAS 9.4 and R version 4.3.2.</w:t>
      </w:r>
      <w:r w:rsidR="004F6EC5">
        <w:fldChar w:fldCharType="begin"/>
      </w:r>
      <w:r w:rsidR="00330C0C">
        <w:instrText xml:space="preserve"> ADDIN ZOTERO_ITEM CSL_CITATION {"citationID":"EqyPmbQb","properties":{"formattedCitation":"\\super 15\\nosupersub{}","plainCitation":"15","noteIndex":0},"citationItems":[{"id":5209,"uris":["http://zotero.org/users/9282839/items/XWMKG944"],"itemData":{"id":5209,"type":"software","event-place":"Vienna, Austria","publisher":"R Foundation for Statistical Computing","publisher-place":"Vienna, Austria","title":"R: A Language and Environment for Statistical Computing","URL":"https://www.R-project.org/","author":[{"literal":"R Core Team"}],"issued":{"date-parts":[["2023"]]}}}],"schema":"https://github.com/citation-style-language/schema/raw/master/csl-citation.json"} </w:instrText>
      </w:r>
      <w:r w:rsidR="004F6EC5">
        <w:fldChar w:fldCharType="separate"/>
      </w:r>
      <w:r w:rsidR="00330C0C" w:rsidRPr="00330C0C">
        <w:rPr>
          <w:vertAlign w:val="superscript"/>
        </w:rPr>
        <w:t>15</w:t>
      </w:r>
      <w:r w:rsidR="004F6EC5">
        <w:fldChar w:fldCharType="end"/>
      </w:r>
      <w:r w:rsidR="000A0FC8" w:rsidRPr="000A0FC8">
        <w:t xml:space="preserve"> </w:t>
      </w:r>
      <w:r w:rsidR="000A0FC8">
        <w:t>The Strengthening the Reporting of Observational studies in Epidemiology</w:t>
      </w:r>
      <w:r w:rsidR="00A72EE6">
        <w:t xml:space="preserve"> </w:t>
      </w:r>
      <w:r w:rsidR="000A0FC8">
        <w:t>(STROBE) reporting guidelines were followed (appendix pp</w:t>
      </w:r>
      <w:r w:rsidR="007D66D6">
        <w:t>37</w:t>
      </w:r>
      <w:r w:rsidR="000A0FC8">
        <w:t>-4</w:t>
      </w:r>
      <w:r w:rsidR="007D66D6">
        <w:t>2</w:t>
      </w:r>
      <w:r w:rsidR="000A0FC8">
        <w:t>).</w:t>
      </w:r>
    </w:p>
    <w:p w14:paraId="61F7C590" w14:textId="1E43223A" w:rsidR="00956F93" w:rsidRPr="00F54546" w:rsidRDefault="00956F93" w:rsidP="00956F93">
      <w:pPr>
        <w:pStyle w:val="Heading2"/>
        <w:rPr>
          <w:lang w:val="en-GB"/>
        </w:rPr>
      </w:pPr>
      <w:r w:rsidRPr="00F54546">
        <w:rPr>
          <w:lang w:val="en-GB"/>
        </w:rPr>
        <w:lastRenderedPageBreak/>
        <w:t>Sensitivity analyses</w:t>
      </w:r>
    </w:p>
    <w:p w14:paraId="0771257A" w14:textId="64F31E35" w:rsidR="00922274" w:rsidRPr="00F54546" w:rsidRDefault="00956F93" w:rsidP="00DC1D1C">
      <w:pPr>
        <w:pStyle w:val="NoSpacing"/>
        <w:spacing w:after="0"/>
        <w:ind w:firstLine="0"/>
        <w:rPr>
          <w:lang w:val="en-GB"/>
        </w:rPr>
      </w:pPr>
      <w:r w:rsidRPr="00C0713C">
        <w:rPr>
          <w:lang w:val="en-GB"/>
        </w:rPr>
        <w:t xml:space="preserve">To assess the robustness of our findings, we conducted a series of sensitivity analyses. First, </w:t>
      </w:r>
      <w:r w:rsidR="006E4FBC" w:rsidRPr="00C0713C">
        <w:rPr>
          <w:lang w:val="en-GB"/>
        </w:rPr>
        <w:t>we applied a more stringent definition of treatment discontinuity, using a gap of 90 days in medication supply instead of the 180 days used in the main analysis. This approach allowed us to evaluate how different definitions of treatment adherence might impact our results.</w:t>
      </w:r>
      <w:r w:rsidR="006E4FBC" w:rsidRPr="00F54546">
        <w:rPr>
          <w:lang w:val="en-GB"/>
        </w:rPr>
        <w:t xml:space="preserve"> </w:t>
      </w:r>
      <w:r w:rsidRPr="00B4473B">
        <w:rPr>
          <w:lang w:val="en-GB"/>
        </w:rPr>
        <w:t xml:space="preserve">Second, we excluded </w:t>
      </w:r>
      <w:r w:rsidR="000C0FF7" w:rsidRPr="00B4473B">
        <w:rPr>
          <w:lang w:val="en-GB"/>
        </w:rPr>
        <w:t xml:space="preserve">single-prescription discontinuers </w:t>
      </w:r>
      <w:r w:rsidR="006E4FBC" w:rsidRPr="00B4473B">
        <w:rPr>
          <w:lang w:val="en-GB"/>
        </w:rPr>
        <w:t>(n=6,279)</w:t>
      </w:r>
      <w:r w:rsidRPr="00B4473B">
        <w:rPr>
          <w:lang w:val="en-GB"/>
        </w:rPr>
        <w:t>.</w:t>
      </w:r>
      <w:r w:rsidR="00896B2F" w:rsidRPr="00B4473B">
        <w:rPr>
          <w:lang w:val="en-GB"/>
        </w:rPr>
        <w:t xml:space="preserve"> </w:t>
      </w:r>
      <w:r w:rsidR="006E4FBC" w:rsidRPr="00B4473B">
        <w:rPr>
          <w:lang w:val="en-GB"/>
        </w:rPr>
        <w:t xml:space="preserve">This exclusion </w:t>
      </w:r>
      <w:r w:rsidR="00217F1B">
        <w:rPr>
          <w:lang w:val="en-GB"/>
        </w:rPr>
        <w:t xml:space="preserve">allowed </w:t>
      </w:r>
      <w:r w:rsidR="006E4FBC" w:rsidRPr="00B4473B">
        <w:rPr>
          <w:lang w:val="en-GB"/>
        </w:rPr>
        <w:t xml:space="preserve">us </w:t>
      </w:r>
      <w:r w:rsidR="00217F1B">
        <w:rPr>
          <w:lang w:val="en-GB"/>
        </w:rPr>
        <w:t xml:space="preserve">to </w:t>
      </w:r>
      <w:r w:rsidR="006E4FBC" w:rsidRPr="00B4473B">
        <w:rPr>
          <w:lang w:val="en-GB"/>
        </w:rPr>
        <w:t>focus on individuals who engaged with the treatment beyond the initial prescription, potentially providing a more accurate representation of treatment effects in committed users.</w:t>
      </w:r>
    </w:p>
    <w:p w14:paraId="6B1E690A" w14:textId="75903D2B" w:rsidR="006119A2" w:rsidRPr="00F54546" w:rsidRDefault="00896B2F" w:rsidP="00EB1996">
      <w:pPr>
        <w:pStyle w:val="NoSpacing"/>
        <w:spacing w:after="0"/>
        <w:ind w:firstLine="0"/>
        <w:rPr>
          <w:lang w:val="en-GB"/>
        </w:rPr>
      </w:pPr>
      <w:bookmarkStart w:id="22" w:name="_Hlk181224924"/>
      <w:r w:rsidRPr="001143BC">
        <w:rPr>
          <w:lang w:val="en-GB"/>
        </w:rPr>
        <w:t>Lastly</w:t>
      </w:r>
      <w:r w:rsidR="00A30506">
        <w:rPr>
          <w:lang w:val="en-GB"/>
        </w:rPr>
        <w:t>, t</w:t>
      </w:r>
      <w:r w:rsidR="00A30506" w:rsidRPr="00A30506">
        <w:rPr>
          <w:lang w:val="en-GB"/>
        </w:rPr>
        <w:t xml:space="preserve">o account for variations in outcome counts potentially influenced by baseline severity, we adjusted for individual latent severity factor scores </w:t>
      </w:r>
      <w:r w:rsidR="00A30506">
        <w:rPr>
          <w:lang w:val="en-GB"/>
        </w:rPr>
        <w:t>measured</w:t>
      </w:r>
      <w:r w:rsidR="00A30506" w:rsidRPr="00A30506">
        <w:rPr>
          <w:lang w:val="en-GB"/>
        </w:rPr>
        <w:t xml:space="preserve"> one year prior to ADHD treatment initiation. These latent scores, serving as a proxy for severity, were estimated using three indicators: psychiatric hospitalizations, injuries/accidents, and substance misuse. To accommodate the high prevalence of zero counts, these indicators were model</w:t>
      </w:r>
      <w:r w:rsidR="00A30506">
        <w:rPr>
          <w:lang w:val="en-GB"/>
        </w:rPr>
        <w:t>l</w:t>
      </w:r>
      <w:r w:rsidR="00A30506" w:rsidRPr="00A30506">
        <w:rPr>
          <w:lang w:val="en-GB"/>
        </w:rPr>
        <w:t>ed using</w:t>
      </w:r>
      <w:r w:rsidR="00A30506">
        <w:rPr>
          <w:lang w:val="en-GB"/>
        </w:rPr>
        <w:t xml:space="preserve"> </w:t>
      </w:r>
      <w:r w:rsidR="00EB1996" w:rsidRPr="00EB1996">
        <w:rPr>
          <w:lang w:val="en-GB"/>
        </w:rPr>
        <w:t xml:space="preserve">zero-inflated </w:t>
      </w:r>
      <w:r w:rsidR="003C1B12">
        <w:rPr>
          <w:lang w:val="en-GB"/>
        </w:rPr>
        <w:t xml:space="preserve">Poisson and </w:t>
      </w:r>
      <w:r w:rsidR="00A30506">
        <w:rPr>
          <w:lang w:val="en-GB"/>
        </w:rPr>
        <w:t xml:space="preserve">zero-inflated </w:t>
      </w:r>
      <w:r w:rsidR="00EB1996" w:rsidRPr="00EB1996">
        <w:rPr>
          <w:lang w:val="en-GB"/>
        </w:rPr>
        <w:t xml:space="preserve">negative binomial </w:t>
      </w:r>
      <w:r w:rsidR="00EB1996">
        <w:rPr>
          <w:lang w:val="en-GB"/>
        </w:rPr>
        <w:t>model</w:t>
      </w:r>
      <w:r w:rsidR="003C1B12">
        <w:rPr>
          <w:lang w:val="en-GB"/>
        </w:rPr>
        <w:t>s</w:t>
      </w:r>
      <w:r w:rsidR="00A30506">
        <w:rPr>
          <w:lang w:val="en-GB"/>
        </w:rPr>
        <w:t>,</w:t>
      </w:r>
      <w:r w:rsidR="003C1B12">
        <w:rPr>
          <w:lang w:val="en-GB"/>
        </w:rPr>
        <w:t xml:space="preserve"> </w:t>
      </w:r>
      <w:r w:rsidR="00A30506">
        <w:rPr>
          <w:lang w:val="en-GB"/>
        </w:rPr>
        <w:t>selecting</w:t>
      </w:r>
      <w:r w:rsidR="003C1B12">
        <w:rPr>
          <w:lang w:val="en-GB"/>
        </w:rPr>
        <w:t xml:space="preserve"> the best-fitting model based on Bayesian Information Criterion (</w:t>
      </w:r>
      <w:r w:rsidR="003C1B12" w:rsidRPr="00006770">
        <w:rPr>
          <w:lang w:val="en-GB"/>
        </w:rPr>
        <w:t>appendix p</w:t>
      </w:r>
      <w:r w:rsidR="003C1B12">
        <w:rPr>
          <w:lang w:val="en-GB"/>
        </w:rPr>
        <w:t>3</w:t>
      </w:r>
      <w:r w:rsidR="00E84774">
        <w:rPr>
          <w:lang w:val="en-GB"/>
        </w:rPr>
        <w:t>6</w:t>
      </w:r>
      <w:r w:rsidR="003C1B12">
        <w:rPr>
          <w:lang w:val="en-GB"/>
        </w:rPr>
        <w:t>)</w:t>
      </w:r>
      <w:r w:rsidR="00EB1996" w:rsidRPr="00EB1996">
        <w:rPr>
          <w:lang w:val="en-GB"/>
        </w:rPr>
        <w:t>. The resulting individual factor scores, representing each person's estimated severity level, were then included as a covariate in sensitivity analyses to adjust for baseline severity differences between RCT-eligible and ineligible groups</w:t>
      </w:r>
      <w:bookmarkEnd w:id="22"/>
      <w:r w:rsidR="00EB1996">
        <w:rPr>
          <w:lang w:val="en-GB"/>
        </w:rPr>
        <w:t>.</w:t>
      </w:r>
      <w:r w:rsidR="00A30506">
        <w:rPr>
          <w:lang w:val="en-GB"/>
        </w:rPr>
        <w:t xml:space="preserve"> </w:t>
      </w:r>
      <w:r w:rsidR="008474D6" w:rsidRPr="001143BC">
        <w:rPr>
          <w:lang w:val="en-GB"/>
        </w:rPr>
        <w:t>Factor scores were estimated using Mplus 8.3.</w:t>
      </w:r>
      <w:r w:rsidR="004F6EC5">
        <w:rPr>
          <w:highlight w:val="yellow"/>
        </w:rPr>
        <w:fldChar w:fldCharType="begin"/>
      </w:r>
      <w:r w:rsidR="00330C0C">
        <w:rPr>
          <w:highlight w:val="yellow"/>
        </w:rPr>
        <w:instrText xml:space="preserve"> ADDIN ZOTERO_ITEM CSL_CITATION {"citationID":"1eLIMUEt","properties":{"formattedCitation":"\\super 16\\nosupersub{}","plainCitation":"16","noteIndex":0},"citationItems":[{"id":3629,"uris":["http://zotero.org/users/9282839/items/7JQ52DX3"],"itemData":{"id":3629,"type":"book","event-place":"Los Angeles, CA","publisher":"Muthén &amp; Muthén","publisher-place":"Los Angeles, CA","title":"Mplus User's Guide. Eigth Edition","author":[{"family":"Muthén","given":"L. K."},{"family":"Muthén","given":"B. O."}],"issued":{"date-parts":[["1998"]],"season":"2011"}}}],"schema":"https://github.com/citation-style-language/schema/raw/master/csl-citation.json"} </w:instrText>
      </w:r>
      <w:r w:rsidR="004F6EC5">
        <w:rPr>
          <w:highlight w:val="yellow"/>
        </w:rPr>
        <w:fldChar w:fldCharType="separate"/>
      </w:r>
      <w:r w:rsidR="00330C0C" w:rsidRPr="00330C0C">
        <w:rPr>
          <w:vertAlign w:val="superscript"/>
        </w:rPr>
        <w:t>16</w:t>
      </w:r>
      <w:r w:rsidR="004F6EC5">
        <w:rPr>
          <w:highlight w:val="yellow"/>
        </w:rPr>
        <w:fldChar w:fldCharType="end"/>
      </w:r>
      <w:r w:rsidR="00922274" w:rsidRPr="00F54546">
        <w:rPr>
          <w:lang w:val="en-GB"/>
        </w:rPr>
        <w:t xml:space="preserve"> </w:t>
      </w:r>
      <w:r w:rsidR="006119A2" w:rsidRPr="00F54546">
        <w:rPr>
          <w:rFonts w:eastAsia="Times New Roman"/>
          <w:b/>
          <w:lang w:val="en-GB"/>
        </w:rPr>
        <w:br w:type="page"/>
      </w:r>
    </w:p>
    <w:p w14:paraId="42F7E548" w14:textId="13381F88" w:rsidR="00056D47" w:rsidRPr="00F54546" w:rsidRDefault="00056D47" w:rsidP="00056D47">
      <w:pPr>
        <w:keepNext/>
        <w:keepLines/>
        <w:spacing w:before="480" w:after="240"/>
        <w:ind w:left="-11" w:firstLine="0"/>
        <w:outlineLvl w:val="0"/>
        <w:rPr>
          <w:rFonts w:ascii="Times New Roman" w:eastAsia="Times New Roman" w:hAnsi="Times New Roman" w:cs="Times New Roman"/>
          <w:b/>
          <w:lang w:val="en-GB"/>
        </w:rPr>
      </w:pPr>
      <w:r w:rsidRPr="00F54546">
        <w:rPr>
          <w:rFonts w:ascii="Times New Roman" w:eastAsia="Times New Roman" w:hAnsi="Times New Roman" w:cs="Times New Roman"/>
          <w:b/>
          <w:lang w:val="en-GB"/>
        </w:rPr>
        <w:lastRenderedPageBreak/>
        <w:t>Results</w:t>
      </w:r>
    </w:p>
    <w:p w14:paraId="4BC19E5D" w14:textId="51B46BFA" w:rsidR="00BD44B3" w:rsidRPr="00F54546" w:rsidRDefault="006C7C1C" w:rsidP="00216C90">
      <w:pPr>
        <w:pStyle w:val="NoSpacing"/>
        <w:ind w:firstLine="0"/>
        <w:rPr>
          <w:lang w:val="en-GB"/>
        </w:rPr>
      </w:pPr>
      <w:r w:rsidRPr="00F54546">
        <w:rPr>
          <w:lang w:val="en-GB"/>
        </w:rPr>
        <w:t>The study cohort included 189,699 individuals</w:t>
      </w:r>
      <w:r w:rsidR="00651410" w:rsidRPr="00F54546">
        <w:rPr>
          <w:lang w:val="en-GB"/>
        </w:rPr>
        <w:t xml:space="preserve"> (59% men)</w:t>
      </w:r>
      <w:r w:rsidRPr="00F54546">
        <w:rPr>
          <w:lang w:val="en-GB"/>
        </w:rPr>
        <w:t xml:space="preserve"> </w:t>
      </w:r>
      <w:r w:rsidR="00A454B2" w:rsidRPr="00F54546">
        <w:rPr>
          <w:lang w:val="en-GB"/>
        </w:rPr>
        <w:t xml:space="preserve">with an ADHD diagnosis and </w:t>
      </w:r>
      <w:r w:rsidRPr="00F54546">
        <w:rPr>
          <w:lang w:val="en-GB"/>
        </w:rPr>
        <w:t>initiating pharmacological treatment for ADHD with a mean age of 21</w:t>
      </w:r>
      <w:r w:rsidR="00C82BFB" w:rsidRPr="00F54546">
        <w:rPr>
          <w:lang w:val="en-GB"/>
        </w:rPr>
        <w:t>·</w:t>
      </w:r>
      <w:r w:rsidRPr="00F54546">
        <w:rPr>
          <w:lang w:val="en-GB"/>
        </w:rPr>
        <w:t>52 years (SD=12</w:t>
      </w:r>
      <w:r w:rsidR="00C82BFB" w:rsidRPr="00F54546">
        <w:rPr>
          <w:lang w:val="en-GB"/>
        </w:rPr>
        <w:t>·</w:t>
      </w:r>
      <w:r w:rsidRPr="00F54546">
        <w:rPr>
          <w:lang w:val="en-GB"/>
        </w:rPr>
        <w:t>83) at the start of treatment. Among those</w:t>
      </w:r>
      <w:r w:rsidR="00940820" w:rsidRPr="00F54546">
        <w:rPr>
          <w:lang w:val="en-GB"/>
        </w:rPr>
        <w:t>,</w:t>
      </w:r>
      <w:r w:rsidRPr="00F54546">
        <w:rPr>
          <w:lang w:val="en-GB"/>
        </w:rPr>
        <w:t xml:space="preserve"> 99,778 (53%) were classified as ineligible based on common </w:t>
      </w:r>
      <w:r w:rsidR="00E02BF6" w:rsidRPr="00F54546">
        <w:rPr>
          <w:lang w:val="en-GB"/>
        </w:rPr>
        <w:t xml:space="preserve">RCT </w:t>
      </w:r>
      <w:r w:rsidRPr="00F54546">
        <w:rPr>
          <w:lang w:val="en-GB"/>
        </w:rPr>
        <w:t>exclusion criteria</w:t>
      </w:r>
      <w:r w:rsidR="00C97DFF" w:rsidRPr="00F54546">
        <w:rPr>
          <w:lang w:val="en-GB"/>
        </w:rPr>
        <w:t xml:space="preserve"> (i.e., having at least one</w:t>
      </w:r>
      <w:r w:rsidR="003440FC">
        <w:rPr>
          <w:lang w:val="en-GB"/>
        </w:rPr>
        <w:t>; Figure 1</w:t>
      </w:r>
      <w:r w:rsidR="00C97DFF" w:rsidRPr="00F54546">
        <w:rPr>
          <w:lang w:val="en-GB"/>
        </w:rPr>
        <w:t>)</w:t>
      </w:r>
      <w:r w:rsidRPr="00F54546">
        <w:rPr>
          <w:lang w:val="en-GB"/>
        </w:rPr>
        <w:t>.</w:t>
      </w:r>
      <w:r w:rsidR="00BD44B3" w:rsidRPr="00F54546">
        <w:rPr>
          <w:lang w:val="en-GB"/>
        </w:rPr>
        <w:t xml:space="preserve"> </w:t>
      </w:r>
      <w:r w:rsidR="00D42897" w:rsidRPr="00C0713C">
        <w:rPr>
          <w:lang w:val="en-GB"/>
        </w:rPr>
        <w:t>When stratifying by age,</w:t>
      </w:r>
      <w:r w:rsidR="00C54378" w:rsidRPr="00C0713C">
        <w:rPr>
          <w:lang w:val="en-GB"/>
        </w:rPr>
        <w:t xml:space="preserve"> </w:t>
      </w:r>
      <w:r w:rsidR="00D42897" w:rsidRPr="00C0713C">
        <w:rPr>
          <w:lang w:val="en-GB"/>
        </w:rPr>
        <w:t xml:space="preserve">ineligibility percentages were highest for adults (74%), and </w:t>
      </w:r>
      <w:r w:rsidR="00C54378" w:rsidRPr="00C0713C">
        <w:rPr>
          <w:lang w:val="en-GB"/>
        </w:rPr>
        <w:t>substantially</w:t>
      </w:r>
      <w:r w:rsidR="00D42897" w:rsidRPr="00C0713C">
        <w:rPr>
          <w:lang w:val="en-GB"/>
        </w:rPr>
        <w:t xml:space="preserve"> lower for children (2</w:t>
      </w:r>
      <w:r w:rsidR="00002E03" w:rsidRPr="00C0713C">
        <w:rPr>
          <w:lang w:val="en-GB"/>
        </w:rPr>
        <w:t>1</w:t>
      </w:r>
      <w:r w:rsidR="00D42897" w:rsidRPr="00C0713C">
        <w:rPr>
          <w:lang w:val="en-GB"/>
        </w:rPr>
        <w:t>%) and adolescents (35%).</w:t>
      </w:r>
      <w:r w:rsidR="00216C90" w:rsidRPr="00216C90">
        <w:t xml:space="preserve"> </w:t>
      </w:r>
      <w:bookmarkStart w:id="23" w:name="_Hlk181209002"/>
      <w:r w:rsidR="00216C90" w:rsidRPr="00216C90">
        <w:rPr>
          <w:lang w:val="en-GB"/>
        </w:rPr>
        <w:t>Ethnicity data</w:t>
      </w:r>
      <w:r w:rsidR="00216C90">
        <w:rPr>
          <w:lang w:val="en-GB"/>
        </w:rPr>
        <w:t xml:space="preserve"> </w:t>
      </w:r>
      <w:r w:rsidR="00216C90" w:rsidRPr="00216C90">
        <w:rPr>
          <w:lang w:val="en-GB"/>
        </w:rPr>
        <w:t>were not available.</w:t>
      </w:r>
      <w:bookmarkEnd w:id="23"/>
    </w:p>
    <w:p w14:paraId="7C623263" w14:textId="2C396720" w:rsidR="004A674F" w:rsidRPr="00F54546" w:rsidRDefault="00D42897" w:rsidP="00662F20">
      <w:pPr>
        <w:pStyle w:val="NoSpacing"/>
        <w:ind w:firstLine="0"/>
        <w:rPr>
          <w:lang w:val="en-GB"/>
        </w:rPr>
      </w:pPr>
      <w:bookmarkStart w:id="24" w:name="_Hlk181225137"/>
      <w:r w:rsidRPr="00F54546">
        <w:rPr>
          <w:lang w:val="en-GB"/>
        </w:rPr>
        <w:t>RCT-ineligible i</w:t>
      </w:r>
      <w:r w:rsidR="00874BC5" w:rsidRPr="00F54546">
        <w:rPr>
          <w:lang w:val="en-GB"/>
        </w:rPr>
        <w:t xml:space="preserve">ndividuals </w:t>
      </w:r>
      <w:r w:rsidR="00232736" w:rsidRPr="00F70C6E">
        <w:rPr>
          <w:lang w:val="en-GB"/>
        </w:rPr>
        <w:t>had</w:t>
      </w:r>
      <w:r w:rsidR="002B6123" w:rsidRPr="00F70C6E">
        <w:rPr>
          <w:lang w:val="en-GB"/>
        </w:rPr>
        <w:t xml:space="preserve"> a prior history of</w:t>
      </w:r>
      <w:r w:rsidR="002B6123" w:rsidRPr="00F54546">
        <w:rPr>
          <w:lang w:val="en-GB"/>
        </w:rPr>
        <w:t xml:space="preserve"> antidepressants (68%), anxiety disorders (47%), </w:t>
      </w:r>
      <w:r w:rsidR="00B06874" w:rsidRPr="00F54546">
        <w:rPr>
          <w:lang w:val="en-GB"/>
        </w:rPr>
        <w:t xml:space="preserve">substance use disorder (27%), </w:t>
      </w:r>
      <w:bookmarkEnd w:id="24"/>
      <w:r w:rsidR="002B6123" w:rsidRPr="00F54546">
        <w:rPr>
          <w:lang w:val="en-GB"/>
        </w:rPr>
        <w:t xml:space="preserve">and </w:t>
      </w:r>
      <w:r w:rsidR="000F3197" w:rsidRPr="00F54546">
        <w:rPr>
          <w:lang w:val="en-GB"/>
        </w:rPr>
        <w:t>ASD</w:t>
      </w:r>
      <w:r w:rsidR="002B6123" w:rsidRPr="00F54546">
        <w:rPr>
          <w:lang w:val="en-GB"/>
        </w:rPr>
        <w:t xml:space="preserve"> (21</w:t>
      </w:r>
      <w:r w:rsidR="002B6123" w:rsidRPr="00F70C6E">
        <w:rPr>
          <w:lang w:val="en-GB"/>
        </w:rPr>
        <w:t>%)</w:t>
      </w:r>
      <w:r w:rsidR="004A71E1" w:rsidRPr="00F70C6E">
        <w:rPr>
          <w:lang w:val="en-GB"/>
        </w:rPr>
        <w:t xml:space="preserve"> within one year </w:t>
      </w:r>
      <w:r w:rsidR="00F70C6E" w:rsidRPr="00F70C6E">
        <w:rPr>
          <w:lang w:val="en-GB"/>
        </w:rPr>
        <w:t>before</w:t>
      </w:r>
      <w:r w:rsidR="004A71E1" w:rsidRPr="00F70C6E">
        <w:rPr>
          <w:lang w:val="en-GB"/>
        </w:rPr>
        <w:t xml:space="preserve"> the start of ADHD pharmacological treatment</w:t>
      </w:r>
      <w:r w:rsidR="00EC69CB" w:rsidRPr="00D74189">
        <w:rPr>
          <w:lang w:val="en-GB"/>
        </w:rPr>
        <w:t>.</w:t>
      </w:r>
      <w:r w:rsidR="00130A98" w:rsidRPr="00F54546">
        <w:rPr>
          <w:lang w:val="en-GB"/>
        </w:rPr>
        <w:t xml:space="preserve"> </w:t>
      </w:r>
      <w:r w:rsidR="00965114" w:rsidRPr="00F54546">
        <w:rPr>
          <w:lang w:val="en-GB"/>
        </w:rPr>
        <w:t xml:space="preserve">Table </w:t>
      </w:r>
      <w:r w:rsidR="00FD101A">
        <w:rPr>
          <w:lang w:val="en-GB"/>
        </w:rPr>
        <w:t>2</w:t>
      </w:r>
      <w:r w:rsidR="00FD101A" w:rsidRPr="00F54546">
        <w:rPr>
          <w:lang w:val="en-GB"/>
        </w:rPr>
        <w:t xml:space="preserve"> </w:t>
      </w:r>
      <w:r w:rsidR="00130A98" w:rsidRPr="00F54546">
        <w:rPr>
          <w:lang w:val="en-GB"/>
        </w:rPr>
        <w:t>shows all exclusion criteria used to define the eligible and ineligible groups</w:t>
      </w:r>
      <w:r w:rsidR="000E507F" w:rsidRPr="00F54546">
        <w:rPr>
          <w:lang w:val="en-GB"/>
        </w:rPr>
        <w:t xml:space="preserve"> and summary statistics stratified by age</w:t>
      </w:r>
      <w:r w:rsidR="00130A98" w:rsidRPr="00F54546">
        <w:rPr>
          <w:lang w:val="en-GB"/>
        </w:rPr>
        <w:t>.</w:t>
      </w:r>
      <w:r w:rsidR="00404811">
        <w:t xml:space="preserve"> </w:t>
      </w:r>
    </w:p>
    <w:p w14:paraId="5BC9F07E" w14:textId="3135FC3C" w:rsidR="00B03D7E" w:rsidRPr="00F54546" w:rsidRDefault="002B373E" w:rsidP="00662F20">
      <w:pPr>
        <w:pStyle w:val="NoSpacing"/>
        <w:ind w:firstLine="0"/>
        <w:rPr>
          <w:lang w:val="en-GB"/>
        </w:rPr>
      </w:pPr>
      <w:r w:rsidRPr="00F54546">
        <w:rPr>
          <w:lang w:val="en-GB"/>
        </w:rPr>
        <w:t>I</w:t>
      </w:r>
      <w:r w:rsidR="004C5B57" w:rsidRPr="00F54546">
        <w:rPr>
          <w:lang w:val="en-GB"/>
        </w:rPr>
        <w:t>neligible individuals had a higher risk of treatment switching (HR</w:t>
      </w:r>
      <w:r w:rsidR="00F643C1" w:rsidRPr="00F54546">
        <w:rPr>
          <w:lang w:val="en-GB"/>
        </w:rPr>
        <w:t>=</w:t>
      </w:r>
      <w:r w:rsidR="004C5B57" w:rsidRPr="00F54546">
        <w:rPr>
          <w:lang w:val="en-GB"/>
        </w:rPr>
        <w:t>1</w:t>
      </w:r>
      <w:r w:rsidR="00C82BFB" w:rsidRPr="00F54546">
        <w:rPr>
          <w:lang w:val="en-GB"/>
        </w:rPr>
        <w:t>·</w:t>
      </w:r>
      <w:r w:rsidR="005509F2" w:rsidRPr="00F54546">
        <w:rPr>
          <w:lang w:val="en-GB"/>
        </w:rPr>
        <w:t>1</w:t>
      </w:r>
      <w:r w:rsidR="00BD44B3" w:rsidRPr="00F54546">
        <w:rPr>
          <w:lang w:val="en-GB"/>
        </w:rPr>
        <w:t>4</w:t>
      </w:r>
      <w:r w:rsidR="004C5B57" w:rsidRPr="00F54546">
        <w:rPr>
          <w:lang w:val="en-GB"/>
        </w:rPr>
        <w:t>, 95% CI 1</w:t>
      </w:r>
      <w:r w:rsidR="00C82BFB" w:rsidRPr="00F54546">
        <w:rPr>
          <w:lang w:val="en-GB"/>
        </w:rPr>
        <w:t>·</w:t>
      </w:r>
      <w:r w:rsidR="005509F2" w:rsidRPr="00F54546">
        <w:rPr>
          <w:lang w:val="en-GB"/>
        </w:rPr>
        <w:t>1</w:t>
      </w:r>
      <w:r w:rsidR="00DC4045" w:rsidRPr="00F54546">
        <w:rPr>
          <w:lang w:val="en-GB"/>
        </w:rPr>
        <w:t>2</w:t>
      </w:r>
      <w:r w:rsidR="004C5B57" w:rsidRPr="00F54546">
        <w:rPr>
          <w:lang w:val="en-GB"/>
        </w:rPr>
        <w:t>-1</w:t>
      </w:r>
      <w:r w:rsidR="00C82BFB" w:rsidRPr="00F54546">
        <w:rPr>
          <w:lang w:val="en-GB"/>
        </w:rPr>
        <w:t>·</w:t>
      </w:r>
      <w:r w:rsidR="005509F2" w:rsidRPr="00F54546">
        <w:rPr>
          <w:lang w:val="en-GB"/>
        </w:rPr>
        <w:t>1</w:t>
      </w:r>
      <w:r w:rsidR="00BD44B3" w:rsidRPr="00F54546">
        <w:rPr>
          <w:lang w:val="en-GB"/>
        </w:rPr>
        <w:t>6</w:t>
      </w:r>
      <w:r w:rsidR="005509F2" w:rsidRPr="00F54546">
        <w:rPr>
          <w:lang w:val="en-GB"/>
        </w:rPr>
        <w:t>)</w:t>
      </w:r>
      <w:r w:rsidR="004C5B57" w:rsidRPr="00F54546">
        <w:rPr>
          <w:lang w:val="en-GB"/>
        </w:rPr>
        <w:t xml:space="preserve"> and </w:t>
      </w:r>
      <w:r w:rsidR="000A05B4" w:rsidRPr="00F54546">
        <w:rPr>
          <w:lang w:val="en-GB"/>
        </w:rPr>
        <w:t>a slight</w:t>
      </w:r>
      <w:r w:rsidR="00930CB0">
        <w:rPr>
          <w:lang w:val="en-GB"/>
        </w:rPr>
        <w:t>ly</w:t>
      </w:r>
      <w:r w:rsidR="000A05B4" w:rsidRPr="00F54546">
        <w:rPr>
          <w:lang w:val="en-GB"/>
        </w:rPr>
        <w:t xml:space="preserve"> </w:t>
      </w:r>
      <w:r w:rsidR="00BD44B3" w:rsidRPr="00F54546">
        <w:rPr>
          <w:lang w:val="en-GB"/>
        </w:rPr>
        <w:t>decreased</w:t>
      </w:r>
      <w:r w:rsidR="000A05B4" w:rsidRPr="00F54546">
        <w:rPr>
          <w:lang w:val="en-GB"/>
        </w:rPr>
        <w:t xml:space="preserve"> risk of </w:t>
      </w:r>
      <w:r w:rsidR="004C5B57" w:rsidRPr="00F54546">
        <w:rPr>
          <w:lang w:val="en-GB"/>
        </w:rPr>
        <w:t>medication discontinuation (HR</w:t>
      </w:r>
      <w:r w:rsidR="00F643C1" w:rsidRPr="00F54546">
        <w:rPr>
          <w:lang w:val="en-GB"/>
        </w:rPr>
        <w:t>=</w:t>
      </w:r>
      <w:r w:rsidR="00BD44B3" w:rsidRPr="00F54546">
        <w:rPr>
          <w:lang w:val="en-GB"/>
        </w:rPr>
        <w:t>0</w:t>
      </w:r>
      <w:r w:rsidR="00C82BFB" w:rsidRPr="00F54546">
        <w:rPr>
          <w:lang w:val="en-GB"/>
        </w:rPr>
        <w:t>·</w:t>
      </w:r>
      <w:r w:rsidR="00BD44B3" w:rsidRPr="00F54546">
        <w:rPr>
          <w:lang w:val="en-GB"/>
        </w:rPr>
        <w:t>96</w:t>
      </w:r>
      <w:r w:rsidR="00CA0EA4" w:rsidRPr="00F54546">
        <w:rPr>
          <w:lang w:val="en-GB"/>
        </w:rPr>
        <w:t>,</w:t>
      </w:r>
      <w:r w:rsidR="004C5B57" w:rsidRPr="00F54546">
        <w:rPr>
          <w:lang w:val="en-GB"/>
        </w:rPr>
        <w:t xml:space="preserve"> 95% CI </w:t>
      </w:r>
      <w:r w:rsidR="000A05B4" w:rsidRPr="00F54546">
        <w:rPr>
          <w:lang w:val="en-GB"/>
        </w:rPr>
        <w:t>0</w:t>
      </w:r>
      <w:r w:rsidR="00C82BFB" w:rsidRPr="00F54546">
        <w:rPr>
          <w:lang w:val="en-GB"/>
        </w:rPr>
        <w:t>·</w:t>
      </w:r>
      <w:r w:rsidR="000A05B4" w:rsidRPr="00F54546">
        <w:rPr>
          <w:lang w:val="en-GB"/>
        </w:rPr>
        <w:t>9</w:t>
      </w:r>
      <w:r w:rsidR="00BD44B3" w:rsidRPr="00F54546">
        <w:rPr>
          <w:lang w:val="en-GB"/>
        </w:rPr>
        <w:t>4</w:t>
      </w:r>
      <w:r w:rsidR="004C5B57" w:rsidRPr="00F54546">
        <w:rPr>
          <w:lang w:val="en-GB"/>
        </w:rPr>
        <w:t>-</w:t>
      </w:r>
      <w:r w:rsidR="00BD44B3" w:rsidRPr="00F54546">
        <w:rPr>
          <w:lang w:val="en-GB"/>
        </w:rPr>
        <w:t>0</w:t>
      </w:r>
      <w:r w:rsidR="00C82BFB" w:rsidRPr="00F54546">
        <w:rPr>
          <w:lang w:val="en-GB"/>
        </w:rPr>
        <w:t>·</w:t>
      </w:r>
      <w:r w:rsidR="00BD44B3" w:rsidRPr="00F54546">
        <w:rPr>
          <w:lang w:val="en-GB"/>
        </w:rPr>
        <w:t>98</w:t>
      </w:r>
      <w:r w:rsidR="004C5B57" w:rsidRPr="00F54546">
        <w:rPr>
          <w:lang w:val="en-GB"/>
        </w:rPr>
        <w:t>) compared to eligible individuals.</w:t>
      </w:r>
      <w:r w:rsidR="00352A35" w:rsidRPr="00F54546">
        <w:rPr>
          <w:lang w:val="en-GB"/>
        </w:rPr>
        <w:t xml:space="preserve"> </w:t>
      </w:r>
      <w:r w:rsidR="00115FB3" w:rsidRPr="00805553">
        <w:rPr>
          <w:lang w:val="en-GB"/>
        </w:rPr>
        <w:t xml:space="preserve">Stratified analyses indicated similar risks </w:t>
      </w:r>
      <w:r w:rsidR="00C46A41" w:rsidRPr="00805553">
        <w:rPr>
          <w:lang w:val="en-GB"/>
        </w:rPr>
        <w:t>across</w:t>
      </w:r>
      <w:r w:rsidR="00115FB3" w:rsidRPr="00805553">
        <w:rPr>
          <w:lang w:val="en-GB"/>
        </w:rPr>
        <w:t xml:space="preserve"> different age</w:t>
      </w:r>
      <w:r w:rsidR="00C46A41" w:rsidRPr="00805553">
        <w:rPr>
          <w:lang w:val="en-GB"/>
        </w:rPr>
        <w:t xml:space="preserve"> groups</w:t>
      </w:r>
      <w:r w:rsidR="00115FB3" w:rsidRPr="00805553">
        <w:rPr>
          <w:lang w:val="en-GB"/>
        </w:rPr>
        <w:t xml:space="preserve">, except for children </w:t>
      </w:r>
      <w:r w:rsidR="00C46A41" w:rsidRPr="00805553">
        <w:rPr>
          <w:lang w:val="en-GB"/>
        </w:rPr>
        <w:t>who</w:t>
      </w:r>
      <w:r w:rsidR="00115FB3" w:rsidRPr="00805553">
        <w:rPr>
          <w:lang w:val="en-GB"/>
        </w:rPr>
        <w:t xml:space="preserve"> </w:t>
      </w:r>
      <w:r w:rsidR="00C46A41" w:rsidRPr="00805553">
        <w:rPr>
          <w:lang w:val="en-GB"/>
        </w:rPr>
        <w:t>exhibited</w:t>
      </w:r>
      <w:r w:rsidR="00115FB3" w:rsidRPr="00805553">
        <w:rPr>
          <w:lang w:val="en-GB"/>
        </w:rPr>
        <w:t xml:space="preserve"> a higher risk for treatment discontinuity (HR=1</w:t>
      </w:r>
      <w:r w:rsidR="00C82BFB" w:rsidRPr="00805553">
        <w:rPr>
          <w:lang w:val="en-GB"/>
        </w:rPr>
        <w:t>·</w:t>
      </w:r>
      <w:r w:rsidR="00115FB3" w:rsidRPr="00805553">
        <w:rPr>
          <w:lang w:val="en-GB"/>
        </w:rPr>
        <w:t>17 [1</w:t>
      </w:r>
      <w:r w:rsidR="00C82BFB" w:rsidRPr="00805553">
        <w:rPr>
          <w:lang w:val="en-GB"/>
        </w:rPr>
        <w:t>·</w:t>
      </w:r>
      <w:r w:rsidR="00115FB3" w:rsidRPr="00805553">
        <w:rPr>
          <w:lang w:val="en-GB"/>
        </w:rPr>
        <w:t>12-1</w:t>
      </w:r>
      <w:r w:rsidR="00C82BFB" w:rsidRPr="00805553">
        <w:rPr>
          <w:lang w:val="en-GB"/>
        </w:rPr>
        <w:t>·</w:t>
      </w:r>
      <w:r w:rsidR="00115FB3" w:rsidRPr="00805553">
        <w:rPr>
          <w:lang w:val="en-GB"/>
        </w:rPr>
        <w:t>22]</w:t>
      </w:r>
      <w:r w:rsidR="00C46A41" w:rsidRPr="00805553">
        <w:rPr>
          <w:lang w:val="en-GB"/>
        </w:rPr>
        <w:t xml:space="preserve">; see Table </w:t>
      </w:r>
      <w:r w:rsidR="00FD101A">
        <w:rPr>
          <w:lang w:val="en-GB"/>
        </w:rPr>
        <w:t>3</w:t>
      </w:r>
      <w:r w:rsidR="00115FB3" w:rsidRPr="00805553">
        <w:rPr>
          <w:lang w:val="en-GB"/>
        </w:rPr>
        <w:t>)</w:t>
      </w:r>
      <w:r w:rsidR="00805553">
        <w:rPr>
          <w:lang w:val="en-GB"/>
        </w:rPr>
        <w:t>.</w:t>
      </w:r>
    </w:p>
    <w:p w14:paraId="03850DD6" w14:textId="30F4A6D4" w:rsidR="00CD2C11" w:rsidRDefault="00376644" w:rsidP="00662F20">
      <w:pPr>
        <w:pStyle w:val="NoSpacing"/>
        <w:ind w:firstLine="0"/>
        <w:rPr>
          <w:lang w:val="en-GB"/>
        </w:rPr>
      </w:pPr>
      <w:r w:rsidRPr="00F54546">
        <w:rPr>
          <w:lang w:val="en-GB"/>
        </w:rPr>
        <w:t>W</w:t>
      </w:r>
      <w:r w:rsidR="007D6C58" w:rsidRPr="00F54546">
        <w:rPr>
          <w:lang w:val="en-GB"/>
        </w:rPr>
        <w:t>ithin</w:t>
      </w:r>
      <w:r w:rsidRPr="00F54546">
        <w:rPr>
          <w:lang w:val="en-GB"/>
        </w:rPr>
        <w:t xml:space="preserve"> 12 months </w:t>
      </w:r>
      <w:r w:rsidR="007D6C58" w:rsidRPr="00F54546">
        <w:rPr>
          <w:lang w:val="en-GB"/>
        </w:rPr>
        <w:t xml:space="preserve">of </w:t>
      </w:r>
      <w:r w:rsidRPr="00F54546">
        <w:rPr>
          <w:lang w:val="en-GB"/>
        </w:rPr>
        <w:t xml:space="preserve">treatment initiation, there was a significant </w:t>
      </w:r>
      <w:r w:rsidR="00791753" w:rsidRPr="00F54546">
        <w:rPr>
          <w:lang w:val="en-GB"/>
        </w:rPr>
        <w:t xml:space="preserve">increased count of events for all outcomes for the ineligible group. </w:t>
      </w:r>
      <w:r w:rsidR="00F70C6E">
        <w:rPr>
          <w:lang w:val="en-GB"/>
        </w:rPr>
        <w:t>C</w:t>
      </w:r>
      <w:r w:rsidR="002F303F" w:rsidRPr="00F54546">
        <w:rPr>
          <w:lang w:val="en-GB"/>
        </w:rPr>
        <w:t>ompared to the eligible group</w:t>
      </w:r>
      <w:r w:rsidR="002F303F">
        <w:rPr>
          <w:lang w:val="en-GB"/>
        </w:rPr>
        <w:t>,</w:t>
      </w:r>
      <w:r w:rsidR="002F303F" w:rsidRPr="00F54546">
        <w:rPr>
          <w:lang w:val="en-GB"/>
        </w:rPr>
        <w:t xml:space="preserve"> </w:t>
      </w:r>
      <w:r w:rsidR="002F303F">
        <w:rPr>
          <w:lang w:val="en-GB"/>
        </w:rPr>
        <w:t>i</w:t>
      </w:r>
      <w:r w:rsidR="00CC01A9" w:rsidRPr="00F54546">
        <w:rPr>
          <w:lang w:val="en-GB"/>
        </w:rPr>
        <w:t xml:space="preserve">neligible </w:t>
      </w:r>
      <w:r w:rsidR="00F32DA8" w:rsidRPr="00F54546">
        <w:rPr>
          <w:lang w:val="en-GB"/>
        </w:rPr>
        <w:t xml:space="preserve">individuals </w:t>
      </w:r>
      <w:r w:rsidR="00791753" w:rsidRPr="00F54546">
        <w:rPr>
          <w:lang w:val="en-GB"/>
        </w:rPr>
        <w:t xml:space="preserve">had almost ten times the rate of having any psychiatric inpatient hospitalization within one year after treatment initiation </w:t>
      </w:r>
      <w:r w:rsidRPr="00F54546">
        <w:rPr>
          <w:lang w:val="en-GB"/>
        </w:rPr>
        <w:t>(IRR=</w:t>
      </w:r>
      <w:r w:rsidR="00791753" w:rsidRPr="00F54546">
        <w:rPr>
          <w:lang w:val="en-GB"/>
        </w:rPr>
        <w:t>9</w:t>
      </w:r>
      <w:r w:rsidR="00C82BFB" w:rsidRPr="00F54546">
        <w:rPr>
          <w:lang w:val="en-GB"/>
        </w:rPr>
        <w:t>·</w:t>
      </w:r>
      <w:r w:rsidR="00C54ED0" w:rsidRPr="00F54546">
        <w:rPr>
          <w:lang w:val="en-GB"/>
        </w:rPr>
        <w:t>68</w:t>
      </w:r>
      <w:r w:rsidR="00791753" w:rsidRPr="00F54546">
        <w:rPr>
          <w:lang w:val="en-GB"/>
        </w:rPr>
        <w:t xml:space="preserve"> [9</w:t>
      </w:r>
      <w:r w:rsidR="00C82BFB" w:rsidRPr="00F54546">
        <w:rPr>
          <w:lang w:val="en-GB"/>
        </w:rPr>
        <w:t>·</w:t>
      </w:r>
      <w:r w:rsidR="00C54ED0" w:rsidRPr="00F54546">
        <w:rPr>
          <w:lang w:val="en-GB"/>
        </w:rPr>
        <w:t>57-</w:t>
      </w:r>
      <w:r w:rsidR="00791753" w:rsidRPr="00F54546">
        <w:rPr>
          <w:lang w:val="en-GB"/>
        </w:rPr>
        <w:t>9</w:t>
      </w:r>
      <w:r w:rsidR="00C82BFB" w:rsidRPr="00F54546">
        <w:rPr>
          <w:lang w:val="en-GB"/>
        </w:rPr>
        <w:t>·</w:t>
      </w:r>
      <w:r w:rsidR="00C54ED0" w:rsidRPr="00F54546">
        <w:rPr>
          <w:lang w:val="en-GB"/>
        </w:rPr>
        <w:t>7</w:t>
      </w:r>
      <w:r w:rsidR="00791753" w:rsidRPr="00F54546">
        <w:rPr>
          <w:lang w:val="en-GB"/>
        </w:rPr>
        <w:t>8]</w:t>
      </w:r>
      <w:r w:rsidRPr="00F54546">
        <w:rPr>
          <w:lang w:val="en-GB"/>
        </w:rPr>
        <w:t>)</w:t>
      </w:r>
      <w:r w:rsidR="00A81D67">
        <w:rPr>
          <w:lang w:val="en-GB"/>
        </w:rPr>
        <w:t>,</w:t>
      </w:r>
      <w:r w:rsidR="00791753" w:rsidRPr="00F54546">
        <w:rPr>
          <w:lang w:val="en-GB"/>
        </w:rPr>
        <w:t>14 times higher rate of having a hospital visit related to substance misuse (IRR=14</w:t>
      </w:r>
      <w:r w:rsidR="00C82BFB" w:rsidRPr="00F54546">
        <w:rPr>
          <w:lang w:val="en-GB"/>
        </w:rPr>
        <w:t>·</w:t>
      </w:r>
      <w:r w:rsidR="00A26848" w:rsidRPr="00F54546">
        <w:rPr>
          <w:lang w:val="en-GB"/>
        </w:rPr>
        <w:t>7</w:t>
      </w:r>
      <w:r w:rsidR="00C54ED0" w:rsidRPr="00F54546">
        <w:rPr>
          <w:lang w:val="en-GB"/>
        </w:rPr>
        <w:t>8</w:t>
      </w:r>
      <w:r w:rsidR="00791753" w:rsidRPr="00F54546">
        <w:rPr>
          <w:lang w:val="en-GB"/>
        </w:rPr>
        <w:t xml:space="preserve"> [</w:t>
      </w:r>
      <w:r w:rsidR="00C54ED0" w:rsidRPr="00F54546">
        <w:rPr>
          <w:lang w:val="en-GB"/>
        </w:rPr>
        <w:t>14</w:t>
      </w:r>
      <w:r w:rsidR="00C82BFB" w:rsidRPr="00F54546">
        <w:rPr>
          <w:lang w:val="en-GB"/>
        </w:rPr>
        <w:t>·</w:t>
      </w:r>
      <w:r w:rsidR="00C54ED0" w:rsidRPr="00F54546">
        <w:rPr>
          <w:lang w:val="en-GB"/>
        </w:rPr>
        <w:t>64-14</w:t>
      </w:r>
      <w:r w:rsidR="00C82BFB" w:rsidRPr="00F54546">
        <w:rPr>
          <w:lang w:val="en-GB"/>
        </w:rPr>
        <w:t>·</w:t>
      </w:r>
      <w:r w:rsidR="00C54ED0" w:rsidRPr="00F54546">
        <w:rPr>
          <w:lang w:val="en-GB"/>
        </w:rPr>
        <w:t>9</w:t>
      </w:r>
      <w:r w:rsidR="00791753" w:rsidRPr="00F54546">
        <w:rPr>
          <w:lang w:val="en-GB"/>
        </w:rPr>
        <w:t>])</w:t>
      </w:r>
      <w:r w:rsidR="00A81D67">
        <w:rPr>
          <w:lang w:val="en-GB"/>
        </w:rPr>
        <w:t xml:space="preserve">, </w:t>
      </w:r>
      <w:r w:rsidR="00A81D67" w:rsidRPr="00A81D67">
        <w:rPr>
          <w:lang w:val="en-GB"/>
        </w:rPr>
        <w:t xml:space="preserve">a sixfold increase in depression-related specialist care visits </w:t>
      </w:r>
      <w:r w:rsidR="00A81D67">
        <w:rPr>
          <w:lang w:val="en-GB"/>
        </w:rPr>
        <w:t>(</w:t>
      </w:r>
      <w:r w:rsidR="00A81D67" w:rsidRPr="00F54546">
        <w:rPr>
          <w:lang w:val="en-GB"/>
        </w:rPr>
        <w:t>IRR=</w:t>
      </w:r>
      <w:r w:rsidR="00A81D67">
        <w:rPr>
          <w:lang w:val="en-GB"/>
        </w:rPr>
        <w:t>6</w:t>
      </w:r>
      <w:r w:rsidR="00A81D67" w:rsidRPr="00F54546">
        <w:rPr>
          <w:lang w:val="en-GB"/>
        </w:rPr>
        <w:t>·</w:t>
      </w:r>
      <w:r w:rsidR="00A81D67">
        <w:rPr>
          <w:lang w:val="en-GB"/>
        </w:rPr>
        <w:t>00</w:t>
      </w:r>
      <w:r w:rsidR="00A81D67" w:rsidRPr="00F54546">
        <w:rPr>
          <w:lang w:val="en-GB"/>
        </w:rPr>
        <w:t xml:space="preserve"> [</w:t>
      </w:r>
      <w:r w:rsidR="00A81D67">
        <w:rPr>
          <w:lang w:val="en-GB"/>
        </w:rPr>
        <w:t>5</w:t>
      </w:r>
      <w:r w:rsidR="00A81D67" w:rsidRPr="00F54546">
        <w:rPr>
          <w:lang w:val="en-GB"/>
        </w:rPr>
        <w:t>·</w:t>
      </w:r>
      <w:r w:rsidR="00A81D67">
        <w:rPr>
          <w:lang w:val="en-GB"/>
        </w:rPr>
        <w:t>94</w:t>
      </w:r>
      <w:r w:rsidR="00A81D67" w:rsidRPr="00F54546">
        <w:rPr>
          <w:lang w:val="en-GB"/>
        </w:rPr>
        <w:t>-</w:t>
      </w:r>
      <w:r w:rsidR="00A81D67">
        <w:rPr>
          <w:lang w:val="en-GB"/>
        </w:rPr>
        <w:t>6</w:t>
      </w:r>
      <w:r w:rsidR="00A81D67" w:rsidRPr="00F54546">
        <w:rPr>
          <w:lang w:val="en-GB"/>
        </w:rPr>
        <w:t>·</w:t>
      </w:r>
      <w:r w:rsidR="00A81D67">
        <w:rPr>
          <w:lang w:val="en-GB"/>
        </w:rPr>
        <w:t>06</w:t>
      </w:r>
      <w:r w:rsidR="00A81D67" w:rsidRPr="00F54546">
        <w:rPr>
          <w:lang w:val="en-GB"/>
        </w:rPr>
        <w:t>]</w:t>
      </w:r>
      <w:r w:rsidR="00A81D67">
        <w:rPr>
          <w:lang w:val="en-GB"/>
        </w:rPr>
        <w:t xml:space="preserve">), and </w:t>
      </w:r>
      <w:r w:rsidR="00A81D67" w:rsidRPr="00A81D67">
        <w:rPr>
          <w:lang w:val="en-GB"/>
        </w:rPr>
        <w:t xml:space="preserve">an elevenfold increase in anxiety-related specialist visits </w:t>
      </w:r>
      <w:r w:rsidR="00A81D67">
        <w:rPr>
          <w:lang w:val="en-GB"/>
        </w:rPr>
        <w:t>(</w:t>
      </w:r>
      <w:r w:rsidR="00A81D67" w:rsidRPr="00F54546">
        <w:rPr>
          <w:lang w:val="en-GB"/>
        </w:rPr>
        <w:t>IRR=</w:t>
      </w:r>
      <w:r w:rsidR="00A81D67">
        <w:rPr>
          <w:lang w:val="en-GB"/>
        </w:rPr>
        <w:t>11</w:t>
      </w:r>
      <w:r w:rsidR="00A81D67" w:rsidRPr="00F54546">
        <w:rPr>
          <w:lang w:val="en-GB"/>
        </w:rPr>
        <w:t>·6</w:t>
      </w:r>
      <w:r w:rsidR="00A81D67">
        <w:rPr>
          <w:lang w:val="en-GB"/>
        </w:rPr>
        <w:t>3</w:t>
      </w:r>
      <w:r w:rsidR="00A81D67" w:rsidRPr="00F54546">
        <w:rPr>
          <w:lang w:val="en-GB"/>
        </w:rPr>
        <w:t xml:space="preserve"> </w:t>
      </w:r>
      <w:r w:rsidR="00A81D67" w:rsidRPr="00F54546">
        <w:rPr>
          <w:lang w:val="en-GB"/>
        </w:rPr>
        <w:lastRenderedPageBreak/>
        <w:t>[</w:t>
      </w:r>
      <w:r w:rsidR="00A81D67">
        <w:rPr>
          <w:lang w:val="en-GB"/>
        </w:rPr>
        <w:t>11</w:t>
      </w:r>
      <w:r w:rsidR="00A81D67" w:rsidRPr="00F54546">
        <w:rPr>
          <w:lang w:val="en-GB"/>
        </w:rPr>
        <w:t>·5</w:t>
      </w:r>
      <w:r w:rsidR="00A81D67">
        <w:rPr>
          <w:lang w:val="en-GB"/>
        </w:rPr>
        <w:t>6</w:t>
      </w:r>
      <w:r w:rsidR="00A81D67" w:rsidRPr="00F54546">
        <w:rPr>
          <w:lang w:val="en-GB"/>
        </w:rPr>
        <w:t>-</w:t>
      </w:r>
      <w:r w:rsidR="00A81D67">
        <w:rPr>
          <w:lang w:val="en-GB"/>
        </w:rPr>
        <w:t>11</w:t>
      </w:r>
      <w:r w:rsidR="00A81D67" w:rsidRPr="00F54546">
        <w:rPr>
          <w:lang w:val="en-GB"/>
        </w:rPr>
        <w:t>·</w:t>
      </w:r>
      <w:r w:rsidR="00A81D67">
        <w:rPr>
          <w:lang w:val="en-GB"/>
        </w:rPr>
        <w:t>69</w:t>
      </w:r>
      <w:r w:rsidR="00A81D67" w:rsidRPr="00F54546">
        <w:rPr>
          <w:lang w:val="en-GB"/>
        </w:rPr>
        <w:t>]</w:t>
      </w:r>
      <w:r w:rsidR="00A81D67">
        <w:rPr>
          <w:lang w:val="en-GB"/>
        </w:rPr>
        <w:t>)</w:t>
      </w:r>
      <w:r w:rsidRPr="00F54546">
        <w:rPr>
          <w:lang w:val="en-GB"/>
        </w:rPr>
        <w:t xml:space="preserve">. </w:t>
      </w:r>
      <w:r w:rsidR="00791753" w:rsidRPr="00F54546">
        <w:rPr>
          <w:lang w:val="en-GB"/>
        </w:rPr>
        <w:t>When examining differences in the rate of injuries/accidents, the ineligible group showed a 31% increased rate compared to the eligible group (IRR=1</w:t>
      </w:r>
      <w:r w:rsidR="00C82BFB" w:rsidRPr="00F54546">
        <w:rPr>
          <w:lang w:val="en-GB"/>
        </w:rPr>
        <w:t>·</w:t>
      </w:r>
      <w:r w:rsidR="00791753" w:rsidRPr="00F54546">
        <w:rPr>
          <w:lang w:val="en-GB"/>
        </w:rPr>
        <w:t>31 [1</w:t>
      </w:r>
      <w:r w:rsidR="00C82BFB" w:rsidRPr="00F54546">
        <w:rPr>
          <w:lang w:val="en-GB"/>
        </w:rPr>
        <w:t>·</w:t>
      </w:r>
      <w:r w:rsidR="00791753" w:rsidRPr="00F54546">
        <w:rPr>
          <w:lang w:val="en-GB"/>
        </w:rPr>
        <w:t>27</w:t>
      </w:r>
      <w:r w:rsidR="002A5CAE" w:rsidRPr="00F54546">
        <w:rPr>
          <w:lang w:val="en-GB"/>
        </w:rPr>
        <w:t>-</w:t>
      </w:r>
      <w:r w:rsidR="00791753" w:rsidRPr="00F54546">
        <w:rPr>
          <w:lang w:val="en-GB"/>
        </w:rPr>
        <w:t>1</w:t>
      </w:r>
      <w:r w:rsidR="00C82BFB" w:rsidRPr="00F54546">
        <w:rPr>
          <w:lang w:val="en-GB"/>
        </w:rPr>
        <w:t>·</w:t>
      </w:r>
      <w:r w:rsidR="00791753" w:rsidRPr="00F54546">
        <w:rPr>
          <w:lang w:val="en-GB"/>
        </w:rPr>
        <w:t>35]</w:t>
      </w:r>
      <w:r w:rsidR="00912727" w:rsidRPr="00F54546">
        <w:rPr>
          <w:lang w:val="en-GB"/>
        </w:rPr>
        <w:t>)</w:t>
      </w:r>
      <w:r w:rsidR="00123822" w:rsidRPr="00F54546">
        <w:rPr>
          <w:lang w:val="en-GB"/>
        </w:rPr>
        <w:t>.</w:t>
      </w:r>
      <w:r w:rsidR="00115FB3" w:rsidRPr="00F54546">
        <w:rPr>
          <w:lang w:val="en-GB"/>
        </w:rPr>
        <w:t xml:space="preserve"> </w:t>
      </w:r>
      <w:r w:rsidR="00115FB3" w:rsidRPr="006B5F90">
        <w:rPr>
          <w:lang w:val="en-GB"/>
        </w:rPr>
        <w:t>Age-stratified analyses showed that ineligible adolescents had the highest risk of psychiatric inpatient hospitalization (IRR=11</w:t>
      </w:r>
      <w:r w:rsidR="00C82BFB" w:rsidRPr="006B5F90">
        <w:rPr>
          <w:lang w:val="en-GB"/>
        </w:rPr>
        <w:t>·</w:t>
      </w:r>
      <w:r w:rsidR="00115FB3" w:rsidRPr="006B5F90">
        <w:rPr>
          <w:lang w:val="en-GB"/>
        </w:rPr>
        <w:t>63 [10</w:t>
      </w:r>
      <w:r w:rsidR="00C82BFB" w:rsidRPr="006B5F90">
        <w:rPr>
          <w:lang w:val="en-GB"/>
        </w:rPr>
        <w:t>·</w:t>
      </w:r>
      <w:r w:rsidR="00115FB3" w:rsidRPr="006B5F90">
        <w:rPr>
          <w:lang w:val="en-GB"/>
        </w:rPr>
        <w:t>88-12</w:t>
      </w:r>
      <w:r w:rsidR="00C82BFB" w:rsidRPr="006B5F90">
        <w:rPr>
          <w:lang w:val="en-GB"/>
        </w:rPr>
        <w:t>·</w:t>
      </w:r>
      <w:r w:rsidR="00115FB3" w:rsidRPr="006B5F90">
        <w:rPr>
          <w:lang w:val="en-GB"/>
        </w:rPr>
        <w:t>39]</w:t>
      </w:r>
      <w:r w:rsidR="00FD101A">
        <w:rPr>
          <w:lang w:val="en-GB"/>
        </w:rPr>
        <w:t>; Table 4</w:t>
      </w:r>
      <w:r w:rsidR="00115FB3" w:rsidRPr="006B5F90">
        <w:rPr>
          <w:lang w:val="en-GB"/>
        </w:rPr>
        <w:t>)</w:t>
      </w:r>
      <w:r w:rsidR="00BD6BA2" w:rsidRPr="006B5F90">
        <w:rPr>
          <w:lang w:val="en-GB"/>
        </w:rPr>
        <w:t>.</w:t>
      </w:r>
    </w:p>
    <w:p w14:paraId="39ED4102" w14:textId="34B0EF41" w:rsidR="004A674F" w:rsidRPr="00F54546" w:rsidRDefault="004019A8" w:rsidP="00662F20">
      <w:pPr>
        <w:pStyle w:val="NoSpacing"/>
        <w:ind w:firstLine="0"/>
        <w:rPr>
          <w:lang w:val="en-GB"/>
        </w:rPr>
      </w:pPr>
      <w:r w:rsidRPr="006B5F90">
        <w:rPr>
          <w:lang w:val="en-GB"/>
        </w:rPr>
        <w:t>Sensitivity analyses for treatment switching and discontinuation yielded consistent results across age groups</w:t>
      </w:r>
      <w:r w:rsidR="00BD6BA2" w:rsidRPr="006B5F90">
        <w:rPr>
          <w:lang w:val="en-GB"/>
        </w:rPr>
        <w:t>.</w:t>
      </w:r>
      <w:r w:rsidR="00CD2C11" w:rsidRPr="00CD2C11">
        <w:rPr>
          <w:lang w:val="en-GB"/>
        </w:rPr>
        <w:t xml:space="preserve"> </w:t>
      </w:r>
      <w:r w:rsidR="00CD2C11">
        <w:rPr>
          <w:lang w:val="en-GB"/>
        </w:rPr>
        <w:t>A</w:t>
      </w:r>
      <w:r w:rsidR="00CD2C11" w:rsidRPr="006B5F90">
        <w:rPr>
          <w:lang w:val="en-GB"/>
        </w:rPr>
        <w:t xml:space="preserve">fter adjusting for baseline severity scores, we observed a substantial decrease in IRRs with </w:t>
      </w:r>
      <w:r w:rsidR="002F303F">
        <w:rPr>
          <w:lang w:val="en-GB"/>
        </w:rPr>
        <w:t xml:space="preserve">results </w:t>
      </w:r>
      <w:r w:rsidR="00CD2C11" w:rsidRPr="006B5F90">
        <w:rPr>
          <w:lang w:val="en-GB"/>
        </w:rPr>
        <w:t>consistent</w:t>
      </w:r>
      <w:r w:rsidR="002F303F">
        <w:rPr>
          <w:lang w:val="en-GB"/>
        </w:rPr>
        <w:t xml:space="preserve"> with those </w:t>
      </w:r>
      <w:r w:rsidR="0000275C">
        <w:rPr>
          <w:lang w:val="en-GB"/>
        </w:rPr>
        <w:t>in</w:t>
      </w:r>
      <w:r w:rsidR="002F303F">
        <w:rPr>
          <w:lang w:val="en-GB"/>
        </w:rPr>
        <w:t xml:space="preserve"> the primary analysis</w:t>
      </w:r>
      <w:r w:rsidR="00CD2C11" w:rsidRPr="006B5F90">
        <w:rPr>
          <w:lang w:val="en-GB"/>
        </w:rPr>
        <w:t>, except for injuries/accidents for children or adolescents, where estimates showed no increased rates</w:t>
      </w:r>
      <w:r w:rsidR="00CD2C11">
        <w:rPr>
          <w:lang w:val="en-GB"/>
        </w:rPr>
        <w:t xml:space="preserve"> (Table</w:t>
      </w:r>
      <w:r w:rsidR="00FD101A">
        <w:rPr>
          <w:lang w:val="en-GB"/>
        </w:rPr>
        <w:t>s</w:t>
      </w:r>
      <w:r w:rsidR="00CD2C11">
        <w:rPr>
          <w:lang w:val="en-GB"/>
        </w:rPr>
        <w:t xml:space="preserve"> </w:t>
      </w:r>
      <w:r w:rsidR="00FD101A">
        <w:rPr>
          <w:lang w:val="en-GB"/>
        </w:rPr>
        <w:t>3 and 4</w:t>
      </w:r>
      <w:r w:rsidR="00CD2C11">
        <w:rPr>
          <w:lang w:val="en-GB"/>
        </w:rPr>
        <w:t>)</w:t>
      </w:r>
      <w:r w:rsidR="00CD2C11" w:rsidRPr="006B5F90">
        <w:rPr>
          <w:lang w:val="en-GB"/>
        </w:rPr>
        <w:t>.</w:t>
      </w:r>
    </w:p>
    <w:p w14:paraId="6A3BBA76" w14:textId="77777777" w:rsidR="00056D47" w:rsidRPr="00F54546" w:rsidRDefault="00056D47" w:rsidP="00056D47">
      <w:pPr>
        <w:keepNext/>
        <w:keepLines/>
        <w:spacing w:before="480" w:after="240"/>
        <w:ind w:left="-11" w:firstLine="0"/>
        <w:outlineLvl w:val="0"/>
        <w:rPr>
          <w:rFonts w:ascii="Times New Roman" w:eastAsia="Times New Roman" w:hAnsi="Times New Roman" w:cs="Times New Roman"/>
          <w:b/>
          <w:lang w:val="en-GB"/>
        </w:rPr>
      </w:pPr>
      <w:r w:rsidRPr="00F54546">
        <w:rPr>
          <w:rFonts w:ascii="Times New Roman" w:eastAsia="Times New Roman" w:hAnsi="Times New Roman" w:cs="Times New Roman"/>
          <w:b/>
          <w:lang w:val="en-GB"/>
        </w:rPr>
        <w:t>Discussion</w:t>
      </w:r>
    </w:p>
    <w:p w14:paraId="229A2C20" w14:textId="5688DD97" w:rsidR="001F33DD" w:rsidRDefault="00F166A5" w:rsidP="008C5406">
      <w:pPr>
        <w:pStyle w:val="NoSpacing"/>
        <w:ind w:firstLine="0"/>
        <w:rPr>
          <w:lang w:val="en-GB"/>
        </w:rPr>
      </w:pPr>
      <w:r w:rsidRPr="00F54546">
        <w:rPr>
          <w:lang w:val="en-GB"/>
        </w:rPr>
        <w:t>We found</w:t>
      </w:r>
      <w:r w:rsidR="00DE36E0" w:rsidRPr="00F54546">
        <w:rPr>
          <w:lang w:val="en-GB"/>
        </w:rPr>
        <w:t xml:space="preserve"> that a </w:t>
      </w:r>
      <w:r w:rsidR="00285C7B" w:rsidRPr="00F54546">
        <w:rPr>
          <w:lang w:val="en-GB"/>
        </w:rPr>
        <w:t>substantial</w:t>
      </w:r>
      <w:r w:rsidR="00DE36E0" w:rsidRPr="00F54546">
        <w:rPr>
          <w:lang w:val="en-GB"/>
        </w:rPr>
        <w:t xml:space="preserve"> proportion of </w:t>
      </w:r>
      <w:r w:rsidR="00BE6F7E">
        <w:rPr>
          <w:lang w:val="en-GB"/>
        </w:rPr>
        <w:t xml:space="preserve">children (21%), </w:t>
      </w:r>
      <w:r w:rsidR="00381C6A" w:rsidRPr="00F54546">
        <w:rPr>
          <w:lang w:val="en-GB"/>
        </w:rPr>
        <w:t>adolescents (35%) and</w:t>
      </w:r>
      <w:r w:rsidR="004347BC" w:rsidRPr="00F54546">
        <w:rPr>
          <w:lang w:val="en-GB"/>
        </w:rPr>
        <w:t xml:space="preserve"> even more </w:t>
      </w:r>
      <w:r w:rsidR="00185952" w:rsidRPr="00F54546">
        <w:rPr>
          <w:lang w:val="en-GB"/>
        </w:rPr>
        <w:t>adults</w:t>
      </w:r>
      <w:r w:rsidR="00113392" w:rsidRPr="00F54546">
        <w:rPr>
          <w:lang w:val="en-GB"/>
        </w:rPr>
        <w:t xml:space="preserve"> (74%)</w:t>
      </w:r>
      <w:r w:rsidR="00DE36E0" w:rsidRPr="00F54546">
        <w:rPr>
          <w:lang w:val="en-GB"/>
        </w:rPr>
        <w:t xml:space="preserve"> with ADHD would be deemed ineligible for typical RCTs based on common exclusion criteria.</w:t>
      </w:r>
      <w:r w:rsidR="00AB51E3" w:rsidRPr="00F54546">
        <w:rPr>
          <w:lang w:val="en-GB"/>
        </w:rPr>
        <w:t xml:space="preserve"> </w:t>
      </w:r>
      <w:r w:rsidR="004C37AD" w:rsidRPr="00F54546">
        <w:rPr>
          <w:lang w:val="en-GB"/>
        </w:rPr>
        <w:t>While our study provides</w:t>
      </w:r>
      <w:r w:rsidR="00F54546">
        <w:rPr>
          <w:lang w:val="en-GB"/>
        </w:rPr>
        <w:t>,</w:t>
      </w:r>
      <w:r w:rsidR="004C37AD" w:rsidRPr="00F54546">
        <w:rPr>
          <w:lang w:val="en-GB"/>
        </w:rPr>
        <w:t xml:space="preserve"> for the first time</w:t>
      </w:r>
      <w:r w:rsidR="00F54546">
        <w:rPr>
          <w:lang w:val="en-GB"/>
        </w:rPr>
        <w:t>,</w:t>
      </w:r>
      <w:r w:rsidR="004C37AD" w:rsidRPr="00F54546">
        <w:rPr>
          <w:lang w:val="en-GB"/>
        </w:rPr>
        <w:t xml:space="preserve"> data on children, t</w:t>
      </w:r>
      <w:r w:rsidR="009B116C" w:rsidRPr="00F54546">
        <w:rPr>
          <w:lang w:val="en-GB"/>
        </w:rPr>
        <w:t xml:space="preserve">he percentage of ineligible </w:t>
      </w:r>
      <w:r w:rsidR="004C37AD" w:rsidRPr="00F54546">
        <w:rPr>
          <w:lang w:val="en-GB"/>
        </w:rPr>
        <w:t xml:space="preserve">adults </w:t>
      </w:r>
      <w:r w:rsidR="004C4563" w:rsidRPr="00F54546">
        <w:rPr>
          <w:lang w:val="en-GB"/>
        </w:rPr>
        <w:t xml:space="preserve">aligns </w:t>
      </w:r>
      <w:r w:rsidRPr="00F54546">
        <w:rPr>
          <w:lang w:val="en-GB"/>
        </w:rPr>
        <w:t>with</w:t>
      </w:r>
      <w:r w:rsidR="00AB51E3" w:rsidRPr="00F54546">
        <w:rPr>
          <w:lang w:val="en-GB"/>
        </w:rPr>
        <w:t xml:space="preserve"> those </w:t>
      </w:r>
      <w:r w:rsidR="00113392" w:rsidRPr="00F54546">
        <w:rPr>
          <w:lang w:val="en-GB"/>
        </w:rPr>
        <w:t xml:space="preserve">previously </w:t>
      </w:r>
      <w:r w:rsidR="00AB51E3" w:rsidRPr="00F54546">
        <w:rPr>
          <w:lang w:val="en-GB"/>
        </w:rPr>
        <w:t xml:space="preserve">reported </w:t>
      </w:r>
      <w:r w:rsidR="00724D05" w:rsidRPr="00F54546">
        <w:rPr>
          <w:lang w:val="en-GB"/>
        </w:rPr>
        <w:t xml:space="preserve">in one single RCT </w:t>
      </w:r>
      <w:r w:rsidR="00AB51E3" w:rsidRPr="00F54546">
        <w:rPr>
          <w:lang w:val="en-GB"/>
        </w:rPr>
        <w:t>by Surman et al</w:t>
      </w:r>
      <w:r w:rsidR="000200BB" w:rsidRPr="00F54546">
        <w:rPr>
          <w:lang w:val="en-GB"/>
        </w:rPr>
        <w:t>.</w:t>
      </w:r>
      <w:r w:rsidR="000037C9">
        <w:t>,</w:t>
      </w:r>
      <w:r w:rsidR="000037C9" w:rsidRPr="00897EEA">
        <w:fldChar w:fldCharType="begin"/>
      </w:r>
      <w:r w:rsidR="003E4044">
        <w:instrText xml:space="preserve"> ADDIN ZOTERO_ITEM CSL_CITATION {"citationID":"DJJOKkGz","properties":{"formattedCitation":"\\super 8\\nosupersub{}","plainCitation":"8","noteIndex":0},"citationItems":[{"id":5202,"uris":["http://zotero.org/users/9282839/items/Y8UWY9UA"],"itemData":{"id":5202,"type":"article-journal","container-title":"The Journal of Clinical Psychiatry","DOI":"10.4088/JCP.09m05344pur","ISSN":"0160-6689","issue":"12","journalAbbreviation":"J. Clin. Psychiatry","page":"1612-1616","source":"DOI.org (Crossref)","title":"Representativeness of Participants in a Clinical Trial for Attention-Deficit/Hyperactivity Disorder?: Comparison With Adults From a Large Observational Study","title-short":"Representativeness of Participants in a Clinical Trial for Attention-Deficit/Hyperactivity Disorder?","volume":"71","author":[{"family":"Surman","given":"Craig B. H."},{"family":"Monuteaux","given":"Michael C."},{"family":"Petty","given":"Carter R."},{"family":"Faraone","given":"Stephen V."},{"family":"Spencer","given":"Thomas J."},{"family":"Chu","given":"Nicole F."},{"family":"Biederman","given":"Joseph"}],"issued":{"date-parts":[["2010",12,15]]}}}],"schema":"https://github.com/citation-style-language/schema/raw/master/csl-citation.json"} </w:instrText>
      </w:r>
      <w:r w:rsidR="000037C9" w:rsidRPr="00897EEA">
        <w:fldChar w:fldCharType="separate"/>
      </w:r>
      <w:r w:rsidR="003E4044" w:rsidRPr="003E4044">
        <w:rPr>
          <w:vertAlign w:val="superscript"/>
        </w:rPr>
        <w:t>8</w:t>
      </w:r>
      <w:r w:rsidR="000037C9" w:rsidRPr="00897EEA">
        <w:fldChar w:fldCharType="end"/>
      </w:r>
      <w:r w:rsidR="00AB51E3" w:rsidRPr="00F54546">
        <w:rPr>
          <w:lang w:val="en-GB"/>
        </w:rPr>
        <w:t xml:space="preserve"> </w:t>
      </w:r>
      <w:r w:rsidR="00724D05" w:rsidRPr="00F54546">
        <w:rPr>
          <w:lang w:val="en-GB"/>
        </w:rPr>
        <w:t>reporting that</w:t>
      </w:r>
      <w:r w:rsidR="00AB51E3" w:rsidRPr="00F54546">
        <w:rPr>
          <w:lang w:val="en-GB"/>
        </w:rPr>
        <w:t xml:space="preserve"> 61% of adults with ADHD in a community sample would be excluded due to stringent eligibility criteria. </w:t>
      </w:r>
      <w:r w:rsidR="00724D05" w:rsidRPr="00F54546">
        <w:rPr>
          <w:lang w:val="en-GB"/>
        </w:rPr>
        <w:t>O</w:t>
      </w:r>
      <w:r w:rsidR="004C37AD" w:rsidRPr="00F54546">
        <w:rPr>
          <w:lang w:val="en-GB"/>
        </w:rPr>
        <w:t xml:space="preserve">verall, </w:t>
      </w:r>
      <w:r w:rsidR="00724D05" w:rsidRPr="00F54546">
        <w:rPr>
          <w:lang w:val="en-GB"/>
        </w:rPr>
        <w:t xml:space="preserve">current </w:t>
      </w:r>
      <w:r w:rsidR="004C37AD" w:rsidRPr="00F54546">
        <w:rPr>
          <w:lang w:val="en-GB"/>
        </w:rPr>
        <w:t>evidence</w:t>
      </w:r>
      <w:r w:rsidR="00AB51E3" w:rsidRPr="00F54546">
        <w:rPr>
          <w:lang w:val="en-GB"/>
        </w:rPr>
        <w:t xml:space="preserve"> highlight</w:t>
      </w:r>
      <w:r w:rsidR="004C37AD" w:rsidRPr="00F54546">
        <w:rPr>
          <w:lang w:val="en-GB"/>
        </w:rPr>
        <w:t>s</w:t>
      </w:r>
      <w:r w:rsidR="00AB51E3" w:rsidRPr="00F54546">
        <w:rPr>
          <w:lang w:val="en-GB"/>
        </w:rPr>
        <w:t xml:space="preserve"> a significant gap between the populations included in RCTs and those encountered in real-world clinical settings</w:t>
      </w:r>
      <w:r w:rsidR="00C77DBF">
        <w:rPr>
          <w:lang w:val="en-GB"/>
        </w:rPr>
        <w:t>, particularly among adults</w:t>
      </w:r>
      <w:r w:rsidR="000E4881" w:rsidRPr="00F54546">
        <w:rPr>
          <w:lang w:val="en-GB"/>
        </w:rPr>
        <w:t>.</w:t>
      </w:r>
    </w:p>
    <w:p w14:paraId="47E48312" w14:textId="2844D46C" w:rsidR="00AB51E3" w:rsidRPr="00F54546" w:rsidRDefault="00724D05" w:rsidP="008C5406">
      <w:pPr>
        <w:pStyle w:val="NoSpacing"/>
        <w:ind w:firstLine="0"/>
        <w:rPr>
          <w:lang w:val="en-GB"/>
        </w:rPr>
      </w:pPr>
      <w:r w:rsidRPr="00F54546">
        <w:rPr>
          <w:lang w:val="en-GB"/>
        </w:rPr>
        <w:t>Notably, t</w:t>
      </w:r>
      <w:r w:rsidR="000E4881" w:rsidRPr="00F54546">
        <w:rPr>
          <w:lang w:val="en-GB"/>
        </w:rPr>
        <w:t xml:space="preserve">his gap has also been observed in other </w:t>
      </w:r>
      <w:r w:rsidR="004C37AD" w:rsidRPr="00F54546">
        <w:rPr>
          <w:lang w:val="en-GB"/>
        </w:rPr>
        <w:t xml:space="preserve">psychiatric </w:t>
      </w:r>
      <w:r w:rsidR="000E4881" w:rsidRPr="00F54546">
        <w:rPr>
          <w:lang w:val="en-GB"/>
        </w:rPr>
        <w:t>disorders. R</w:t>
      </w:r>
      <w:r w:rsidR="00040C47" w:rsidRPr="00F54546">
        <w:rPr>
          <w:lang w:val="en-GB"/>
        </w:rPr>
        <w:t xml:space="preserve">esearch on RCTs </w:t>
      </w:r>
      <w:r w:rsidRPr="00F54546">
        <w:rPr>
          <w:lang w:val="en-GB"/>
        </w:rPr>
        <w:t>o</w:t>
      </w:r>
      <w:r w:rsidR="00930CB0">
        <w:rPr>
          <w:lang w:val="en-GB"/>
        </w:rPr>
        <w:t>f</w:t>
      </w:r>
      <w:r w:rsidRPr="00F54546">
        <w:rPr>
          <w:lang w:val="en-GB"/>
        </w:rPr>
        <w:t xml:space="preserve"> medications for schizophrenia </w:t>
      </w:r>
      <w:r w:rsidR="00040C47" w:rsidRPr="00F54546">
        <w:rPr>
          <w:lang w:val="en-GB"/>
        </w:rPr>
        <w:t>highlights the significant disparity between the broader patient population and those who qualify for trials, primarily due to exclusion criteria that eliminate many individuals with comorbid conditions and more severe manifestations of the disorder.</w:t>
      </w:r>
      <w:r w:rsidR="000037C9" w:rsidRPr="00897EEA">
        <w:fldChar w:fldCharType="begin"/>
      </w:r>
      <w:r w:rsidR="00330C0C">
        <w:instrText xml:space="preserve"> ADDIN ZOTERO_ITEM CSL_CITATION {"citationID":"Q6JJzYJy","properties":{"formattedCitation":"\\super 17\\nosupersub{}","plainCitation":"17","noteIndex":0},"citationItems":[{"id":5252,"uris":["http://zotero.org/users/9282839/items/7DFHSA84"],"itemData":{"id":5252,"type":"article-journal","container-title":"JAMA Psychiatry","DOI":"10.1001/jamapsychiatry.2021.3990","ISSN":"2168-622X","issue":"3","journalAbbreviation":"JAMA Psychiatry","language":"en","page":"210","source":"DOI.org (Crossref)","title":"Representation and Outcomes of Individuals With Schizophrenia Seen in Everyday Practice Who Are Ineligible for Randomized Clinical Trials","volume":"79","author":[{"family":"Taipale","given":"Heidi"},{"family":"Schneider-Thoma","given":"Johannes"},{"family":"Pinzón-Espinosa","given":"Justo"},{"family":"Radua","given":"Joaquim"},{"family":"Efthimiou","given":"Orestis"},{"family":"Vinkers","given":"Christiaan H."},{"family":"Mittendorfer-Rutz","given":"Ellenor"},{"family":"Cardoner","given":"Narcís"},{"family":"Pintor","given":"Luis"},{"family":"Tanskanen","given":"Antti"},{"family":"Tomlinson","given":"Anneka"},{"family":"Fusar-Poli","given":"Paolo"},{"family":"Cipriani","given":"Andrea"},{"family":"Vieta","given":"Eduard"},{"family":"Leucht","given":"Stefan"},{"family":"Tiihonen","given":"Jari"},{"family":"Luykx","given":"Jurjen J."}],"issued":{"date-parts":[["2022",3,1]]}}}],"schema":"https://github.com/citation-style-language/schema/raw/master/csl-citation.json"} </w:instrText>
      </w:r>
      <w:r w:rsidR="000037C9" w:rsidRPr="00897EEA">
        <w:fldChar w:fldCharType="separate"/>
      </w:r>
      <w:r w:rsidR="00330C0C" w:rsidRPr="00330C0C">
        <w:rPr>
          <w:vertAlign w:val="superscript"/>
        </w:rPr>
        <w:t>17</w:t>
      </w:r>
      <w:r w:rsidR="000037C9" w:rsidRPr="00897EEA">
        <w:fldChar w:fldCharType="end"/>
      </w:r>
      <w:r w:rsidR="00040C47" w:rsidRPr="00F54546">
        <w:rPr>
          <w:lang w:val="en-GB"/>
        </w:rPr>
        <w:t xml:space="preserve"> </w:t>
      </w:r>
      <w:r w:rsidR="00B54F74" w:rsidRPr="00C0713C">
        <w:rPr>
          <w:lang w:val="en-GB"/>
        </w:rPr>
        <w:t xml:space="preserve">This discrepancy is starkly illustrated by the fact that, </w:t>
      </w:r>
      <w:r w:rsidR="00B54F74" w:rsidRPr="00C0713C">
        <w:rPr>
          <w:lang w:val="en-GB"/>
        </w:rPr>
        <w:lastRenderedPageBreak/>
        <w:t>within th</w:t>
      </w:r>
      <w:r w:rsidR="002F303F">
        <w:rPr>
          <w:lang w:val="en-GB"/>
        </w:rPr>
        <w:t>at</w:t>
      </w:r>
      <w:r w:rsidR="00B54F74" w:rsidRPr="00C0713C">
        <w:rPr>
          <w:lang w:val="en-GB"/>
        </w:rPr>
        <w:t xml:space="preserve"> study, 79% of individuals with schizophrenia spectrum disorders would </w:t>
      </w:r>
      <w:r w:rsidR="00F54546" w:rsidRPr="00C0713C">
        <w:rPr>
          <w:lang w:val="en-GB"/>
        </w:rPr>
        <w:t xml:space="preserve">be </w:t>
      </w:r>
      <w:r w:rsidR="00B54F74" w:rsidRPr="00C0713C">
        <w:rPr>
          <w:lang w:val="en-GB"/>
        </w:rPr>
        <w:t>deemed ineligible for RCT.</w:t>
      </w:r>
    </w:p>
    <w:p w14:paraId="47F7D702" w14:textId="1DF7AC44" w:rsidR="000B645F" w:rsidRPr="00F54546" w:rsidRDefault="00207443" w:rsidP="008C5406">
      <w:pPr>
        <w:pStyle w:val="NoSpacing"/>
        <w:ind w:firstLine="0"/>
        <w:rPr>
          <w:lang w:val="en-GB"/>
        </w:rPr>
      </w:pPr>
      <w:r w:rsidRPr="00F54546">
        <w:rPr>
          <w:lang w:val="en-GB"/>
        </w:rPr>
        <w:t>We also found</w:t>
      </w:r>
      <w:r w:rsidR="004B2AF4" w:rsidRPr="00F54546">
        <w:rPr>
          <w:lang w:val="en-GB"/>
        </w:rPr>
        <w:t xml:space="preserve"> that RCT-ineligible individuals had a </w:t>
      </w:r>
      <w:r w:rsidR="00724D05" w:rsidRPr="00F54546">
        <w:rPr>
          <w:lang w:val="en-GB"/>
        </w:rPr>
        <w:t xml:space="preserve">significantly </w:t>
      </w:r>
      <w:r w:rsidR="004B2AF4" w:rsidRPr="00F54546">
        <w:rPr>
          <w:lang w:val="en-GB"/>
        </w:rPr>
        <w:t xml:space="preserve">higher risk of treatment switching </w:t>
      </w:r>
      <w:r w:rsidR="00724D05" w:rsidRPr="00F54546">
        <w:rPr>
          <w:lang w:val="en-GB"/>
        </w:rPr>
        <w:t>with a</w:t>
      </w:r>
      <w:r w:rsidR="004B2AF4" w:rsidRPr="00F54546">
        <w:rPr>
          <w:lang w:val="en-GB"/>
        </w:rPr>
        <w:t xml:space="preserve"> slightly </w:t>
      </w:r>
      <w:r w:rsidR="0078771C" w:rsidRPr="00F54546">
        <w:rPr>
          <w:lang w:val="en-GB"/>
        </w:rPr>
        <w:t>decreased</w:t>
      </w:r>
      <w:r w:rsidR="004B2AF4" w:rsidRPr="00F54546">
        <w:rPr>
          <w:lang w:val="en-GB"/>
        </w:rPr>
        <w:t xml:space="preserve"> risk of early medication discontinuation compared to eligible individuals</w:t>
      </w:r>
      <w:r w:rsidR="0078771C" w:rsidRPr="00C0713C">
        <w:rPr>
          <w:lang w:val="en-GB"/>
        </w:rPr>
        <w:t xml:space="preserve">, except </w:t>
      </w:r>
      <w:r w:rsidR="00724D05" w:rsidRPr="00C0713C">
        <w:rPr>
          <w:lang w:val="en-GB"/>
        </w:rPr>
        <w:t>in</w:t>
      </w:r>
      <w:r w:rsidR="0078771C" w:rsidRPr="00C0713C">
        <w:rPr>
          <w:lang w:val="en-GB"/>
        </w:rPr>
        <w:t xml:space="preserve"> children</w:t>
      </w:r>
      <w:r w:rsidR="00724D05" w:rsidRPr="00C0713C">
        <w:rPr>
          <w:lang w:val="en-GB"/>
        </w:rPr>
        <w:t>,</w:t>
      </w:r>
      <w:r w:rsidR="0078771C" w:rsidRPr="00C0713C">
        <w:rPr>
          <w:lang w:val="en-GB"/>
        </w:rPr>
        <w:t xml:space="preserve"> who showed an increased risk for treatment discontinuation</w:t>
      </w:r>
      <w:r w:rsidR="004B2AF4" w:rsidRPr="00F54546">
        <w:rPr>
          <w:lang w:val="en-GB"/>
        </w:rPr>
        <w:t xml:space="preserve">. </w:t>
      </w:r>
      <w:r w:rsidRPr="00F54546">
        <w:rPr>
          <w:lang w:val="en-GB"/>
        </w:rPr>
        <w:t xml:space="preserve">The increased risk of treatment switching among ineligible individuals might suggest </w:t>
      </w:r>
      <w:r w:rsidRPr="00C0713C">
        <w:rPr>
          <w:lang w:val="en-GB"/>
        </w:rPr>
        <w:t>a more complex clinical profile, requiring multiple adjustments</w:t>
      </w:r>
      <w:r w:rsidR="00EF1C3D" w:rsidRPr="00C0713C">
        <w:rPr>
          <w:lang w:val="en-GB"/>
        </w:rPr>
        <w:t xml:space="preserve"> of medication type</w:t>
      </w:r>
      <w:r w:rsidRPr="00C0713C">
        <w:rPr>
          <w:lang w:val="en-GB"/>
        </w:rPr>
        <w:t xml:space="preserve"> to achieve optimal outcomes. However, interpreting these patterns requires </w:t>
      </w:r>
      <w:r w:rsidR="00DB485D">
        <w:rPr>
          <w:lang w:val="en-GB"/>
        </w:rPr>
        <w:t>caution</w:t>
      </w:r>
      <w:r w:rsidRPr="00C0713C">
        <w:rPr>
          <w:lang w:val="en-GB"/>
        </w:rPr>
        <w:t xml:space="preserve">. While switching might indicate greater symptom severity or inadequate initial response, it could also reflect deliberate strategies for complex cases. For example, individuals with comorbid anxiety might start with a non-stimulant before transitioning to a </w:t>
      </w:r>
      <w:r w:rsidR="00F54546" w:rsidRPr="00C0713C">
        <w:rPr>
          <w:lang w:val="en-GB"/>
        </w:rPr>
        <w:t>stimulant,</w:t>
      </w:r>
      <w:r w:rsidRPr="00C0713C">
        <w:rPr>
          <w:lang w:val="en-GB"/>
        </w:rPr>
        <w:t xml:space="preserve"> if necessary,</w:t>
      </w:r>
      <w:r w:rsidR="000037C9">
        <w:rPr>
          <w:highlight w:val="yellow"/>
        </w:rPr>
        <w:fldChar w:fldCharType="begin"/>
      </w:r>
      <w:r w:rsidR="00330C0C">
        <w:rPr>
          <w:highlight w:val="yellow"/>
        </w:rPr>
        <w:instrText xml:space="preserve"> ADDIN ZOTERO_ITEM CSL_CITATION {"citationID":"jruFq4lb","properties":{"formattedCitation":"\\super 13\\nosupersub{}","plainCitation":"13","noteIndex":0},"citationItems":[{"id":5256,"uris":["http://zotero.org/users/9282839/items/VFGYA9BH"],"itemData":{"id":5256,"type":"article-journal","container-title":"Nature Reviews Disease Primers","DOI":"10.1038/s41572-024-00495-0","ISSN":"2056-676X","issue":"1","journalAbbreviation":"Nat Rev Dis Primers","language":"en","page":"11","source":"DOI.org (Crossref)","title":"Attention-deficit/hyperactivity disorder","volume":"10","author":[{"family":"Faraone","given":"Stephen V."},{"family":"Bellgrove","given":"Mark A."},{"family":"Brikell","given":"Isabell"},{"family":"Cortese","given":"Samuele"},{"family":"Hartman","given":"Catharina A."},{"family":"Hollis","given":"Chris"},{"family":"Newcorn","given":"Jeffrey H."},{"family":"Philipsen","given":"Alexandra"},{"family":"Polanczyk","given":"Guilherme V."},{"family":"Rubia","given":"Katya"},{"family":"Sibley","given":"Margaret H."},{"family":"Buitelaar","given":"Jan K."}],"issued":{"date-parts":[["2024",2,22]]}}}],"schema":"https://github.com/citation-style-language/schema/raw/master/csl-citation.json"} </w:instrText>
      </w:r>
      <w:r w:rsidR="000037C9">
        <w:rPr>
          <w:highlight w:val="yellow"/>
        </w:rPr>
        <w:fldChar w:fldCharType="separate"/>
      </w:r>
      <w:r w:rsidR="00330C0C" w:rsidRPr="00330C0C">
        <w:rPr>
          <w:vertAlign w:val="superscript"/>
        </w:rPr>
        <w:t>13</w:t>
      </w:r>
      <w:r w:rsidR="000037C9">
        <w:rPr>
          <w:highlight w:val="yellow"/>
        </w:rPr>
        <w:fldChar w:fldCharType="end"/>
      </w:r>
      <w:r w:rsidRPr="00C0713C">
        <w:rPr>
          <w:lang w:val="en-GB"/>
        </w:rPr>
        <w:t xml:space="preserve"> representing a planned, stepwise approach rather than treatment failure. </w:t>
      </w:r>
      <w:bookmarkStart w:id="25" w:name="_Hlk181271148"/>
      <w:r w:rsidRPr="00C0713C">
        <w:rPr>
          <w:lang w:val="en-GB"/>
        </w:rPr>
        <w:t xml:space="preserve">Further, the higher switching rate coupled with a decreased risk of treatment discontinuation among RCT-ineligible individuals might suggest that switching facilitates finding more effective medications, potentially mitigating discontinuation risk. This highlights a possible adaptive aspect of clinical care for complex cases. </w:t>
      </w:r>
      <w:bookmarkEnd w:id="25"/>
      <w:r w:rsidRPr="00C0713C">
        <w:rPr>
          <w:lang w:val="en-GB"/>
        </w:rPr>
        <w:t>This complexity indicates the challenges in translating RCT findings to real-world practice and emphasizes the need for long-term studies of treatment trajectories in diverse ADHD populations.</w:t>
      </w:r>
    </w:p>
    <w:p w14:paraId="47B0343C" w14:textId="2FCF3D3E" w:rsidR="000B645F" w:rsidRPr="00F54546" w:rsidRDefault="000B645F" w:rsidP="008C5406">
      <w:pPr>
        <w:pStyle w:val="NoSpacing"/>
        <w:ind w:firstLine="0"/>
        <w:rPr>
          <w:lang w:val="en-GB"/>
        </w:rPr>
      </w:pPr>
      <w:r w:rsidRPr="00F54546">
        <w:rPr>
          <w:lang w:val="en-GB"/>
        </w:rPr>
        <w:t>The increased risk for treatment discontinuation among children may be attributed to several factors. Firstly, there are heightened concerns about medication side effects</w:t>
      </w:r>
      <w:r w:rsidR="000B6D57">
        <w:rPr>
          <w:lang w:val="en-GB"/>
        </w:rPr>
        <w:fldChar w:fldCharType="begin"/>
      </w:r>
      <w:r w:rsidR="00330C0C">
        <w:rPr>
          <w:lang w:val="en-GB"/>
        </w:rPr>
        <w:instrText xml:space="preserve"> ADDIN ZOTERO_ITEM CSL_CITATION {"citationID":"YShc0zXe","properties":{"formattedCitation":"\\super 18\\nosupersub{}","plainCitation":"18","noteIndex":0},"citationItems":[{"id":5245,"uris":["http://zotero.org/users/9282839/items/BJ4Q7BZG"],"itemData":{"id":5245,"type":"article-journal","abstract":"Importance\n              There are concerns about the safety of medications for treatment of attention-deficit/hyperactivity disorder (ADHD), with mixed evidence on possible cardiovascular risk.\n            \n            \n              Objective\n              To assess whether short-term methylphenidate use is associated with risk of cardiovascular events.\n            \n            \n              Design, Setting, and Participants\n              This retrospective, population-based cohort study was based on national Swedish registry data. Participants were individuals with ADHD aged 12 to 60 years with dispensed prescriptions of methylphenidate between January 1, 2007, and June 30, 2012. Each person receiving methylphenidate (n = 26 710) was matched on birth date, sex, and county to up to 10 nonusers without ADHD (n = 225 672). Statistical analyses were performed from September 13, 2022, to May 16, 2023.\n            \n            \n              Main Outcomes and Measures\n              Rates of cardiovascular events, including ischemic heart disease, venous thromboembolism, heart failure, or tachyarrhythmias, 1 year before methylphenidate treatment and 6 months after treatment initiation were compared between individuals receiving methylphenidate and matched controls using a bayesian within-individual design. Analyses were stratified by history of cardiovascular events.\n            \n            \n              Results\n              The cohort included 252 382 individuals (15 442 [57.8% men]; median age, 20 (IQR, 15-31) years). The overall incidence of cardiovascular events was 1.51 per 10 000 person-weeks (95% highest density interval [HDI], 1.35-1.69) for individuals receiving methylphenidate and 0.77 (95% HDI, 0.73-0.82) for the matched controls. Individuals treated with methylphenidate had an 87% posterior probability of having a higher rate of cardiovascular events after treatment initiation (incidence rate ratio [IRR], 1.41; 95% HDI, 1.09-1.88) compared with matched controls (IRR, 1.18; 95% HDI, 1.02-1.37). The posterior probabilities were 70% for at least a 10% increased risk of cardiovascular events in individuals receiving methylphenidate vs 49% in matched controls. No difference was found in this risk between individuals with and without a history of cardiovascular disease (IRR, 1.11; 95% HDI, 0.58-2.13).\n            \n            \n              Conclusions and Relevance\n              In this cohort study, individuals receiving methylphenidate had a small increased cardiovascular risk vs matched controls in the 6 months after treatment initiation. However, there was little evidence for an increased risk of 20% or higher and for differences in risk increase between people with and without a history of cardiovascular disease. Therefore, before treatment initiation, careful consideration of the risk-benefit trade-off of methylphenidate would be useful, regardless of cardiovascular history.","container-title":"JAMA Network Open","DOI":"10.1001/jamanetworkopen.2024.1349","ISSN":"2574-3805","issue":"3","journalAbbreviation":"JAMA Netw Open","language":"en","page":"e241349","source":"DOI.org (Crossref)","title":"Methylphenidate and Short-Term Cardiovascular Risk","volume":"7","author":[{"family":"Garcia-Argibay","given":"Miguel"},{"family":"Bürkner","given":"Paul-Christian"},{"family":"Lichtenstein","given":"Paul"},{"family":"Zhang","given":"Le"},{"family":"D’Onofrio","given":"Brian M."},{"family":"Andell","given":"Pontus"},{"family":"Chang","given":"Zheng"},{"family":"Cortese","given":"Samuele"},{"family":"Larsson","given":"Henrik"}],"issued":{"date-parts":[["2024",3,6]]}}}],"schema":"https://github.com/citation-style-language/schema/raw/master/csl-citation.json"} </w:instrText>
      </w:r>
      <w:r w:rsidR="000B6D57">
        <w:rPr>
          <w:lang w:val="en-GB"/>
        </w:rPr>
        <w:fldChar w:fldCharType="separate"/>
      </w:r>
      <w:r w:rsidR="00330C0C" w:rsidRPr="00330C0C">
        <w:rPr>
          <w:vertAlign w:val="superscript"/>
        </w:rPr>
        <w:t>18</w:t>
      </w:r>
      <w:r w:rsidR="000B6D57">
        <w:rPr>
          <w:lang w:val="en-GB"/>
        </w:rPr>
        <w:fldChar w:fldCharType="end"/>
      </w:r>
      <w:r w:rsidRPr="00F54546">
        <w:rPr>
          <w:lang w:val="en-GB"/>
        </w:rPr>
        <w:t xml:space="preserve"> in </w:t>
      </w:r>
      <w:r w:rsidR="00F54546" w:rsidRPr="00F54546">
        <w:rPr>
          <w:lang w:val="en-GB"/>
        </w:rPr>
        <w:t>paediatric</w:t>
      </w:r>
      <w:r w:rsidRPr="00F54546">
        <w:rPr>
          <w:lang w:val="en-GB"/>
        </w:rPr>
        <w:t xml:space="preserve"> populations, which could make clinicians and parents more cautious about treatment. This caution might lead to a lower threshold for discontinuing medication when side effects occur or when the initial response is suboptimal. Additionally, the process of treatment switching, which could potentially </w:t>
      </w:r>
      <w:r w:rsidR="002F303F">
        <w:rPr>
          <w:lang w:val="en-GB"/>
        </w:rPr>
        <w:t xml:space="preserve">lead to </w:t>
      </w:r>
      <w:r w:rsidRPr="00F54546">
        <w:rPr>
          <w:lang w:val="en-GB"/>
        </w:rPr>
        <w:t>find</w:t>
      </w:r>
      <w:r w:rsidR="0060740C">
        <w:rPr>
          <w:lang w:val="en-GB"/>
        </w:rPr>
        <w:t>ing</w:t>
      </w:r>
      <w:r w:rsidRPr="00F54546">
        <w:rPr>
          <w:lang w:val="en-GB"/>
        </w:rPr>
        <w:t xml:space="preserve"> a more suitable </w:t>
      </w:r>
      <w:r w:rsidRPr="00F54546">
        <w:rPr>
          <w:lang w:val="en-GB"/>
        </w:rPr>
        <w:lastRenderedPageBreak/>
        <w:t xml:space="preserve">medication, may be approached more conservatively in children due to these same concerns. This conservative approach to switching could result in fewer opportunities to find an effective medication before discontinuation is considered. Furthermore, children's developing physiology and potential difficulties in articulating treatment effects may complicate the process of finding the right medication and dosage, potentially leading to premature discontinuation if optimal results are not quickly achieved. </w:t>
      </w:r>
      <w:r w:rsidR="00DD17D0" w:rsidRPr="00DD17D0">
        <w:rPr>
          <w:lang w:val="en-GB"/>
        </w:rPr>
        <w:t xml:space="preserve">Moreover, the treatment patterns we observed, particularly in children, should be considered within the broader context of multimodal ADHD management. Non-pharmacological interventions </w:t>
      </w:r>
      <w:r w:rsidR="00DD17D0">
        <w:rPr>
          <w:lang w:val="en-GB"/>
        </w:rPr>
        <w:t xml:space="preserve">(e.g., </w:t>
      </w:r>
      <w:r w:rsidR="00DD17D0" w:rsidRPr="00DD17D0">
        <w:rPr>
          <w:lang w:val="en-GB"/>
        </w:rPr>
        <w:t>behavioural therapy, parent training, and school-based accommodations</w:t>
      </w:r>
      <w:r w:rsidR="00DD17D0">
        <w:rPr>
          <w:lang w:val="en-GB"/>
        </w:rPr>
        <w:t>)</w:t>
      </w:r>
      <w:r w:rsidR="00DD17D0" w:rsidRPr="00DD17D0">
        <w:rPr>
          <w:lang w:val="en-GB"/>
        </w:rPr>
        <w:t xml:space="preserve"> often play a crucial role alongside medication management. The increased risk of medication discontinuation among RCT-ineligible children might reflect shifts toward these non-pharmacological approaches, rather than treatment abandonment. For instance, families might opt to prioritize behavioural interventions if medication response </w:t>
      </w:r>
      <w:r w:rsidR="00902B1A">
        <w:rPr>
          <w:lang w:val="en-GB"/>
        </w:rPr>
        <w:t>is</w:t>
      </w:r>
      <w:r w:rsidR="00DD17D0" w:rsidRPr="00DD17D0">
        <w:rPr>
          <w:lang w:val="en-GB"/>
        </w:rPr>
        <w:t xml:space="preserve"> suboptimal or side effects are problematic. The interplay between pharmacological and non-pharmacological treatments could influence both switching and discontinuation patterns, particularly in complex cases where behavioural interventions might provide additional support during medication adjustments or serve as alternative strategies. </w:t>
      </w:r>
      <w:r w:rsidRPr="00F54546">
        <w:rPr>
          <w:lang w:val="en-GB"/>
        </w:rPr>
        <w:t>Lastly, the involvement of parents or guardians in treatment decisions for children adds another layer of complexity, as their perceptions and concerns can significantly influence treatment continuation or discontinuation.</w:t>
      </w:r>
    </w:p>
    <w:p w14:paraId="55F15F26" w14:textId="02D75B19" w:rsidR="00207443" w:rsidRPr="00F54546" w:rsidRDefault="00207443" w:rsidP="00530C60">
      <w:pPr>
        <w:pStyle w:val="NoSpacing"/>
        <w:ind w:firstLine="0"/>
        <w:rPr>
          <w:lang w:val="en-GB"/>
        </w:rPr>
      </w:pPr>
      <w:bookmarkStart w:id="26" w:name="_Hlk181699070"/>
      <w:r w:rsidRPr="00F54546">
        <w:rPr>
          <w:lang w:val="en-GB"/>
        </w:rPr>
        <w:t>Importantly</w:t>
      </w:r>
      <w:r w:rsidR="004B2AF4" w:rsidRPr="00F54546">
        <w:rPr>
          <w:lang w:val="en-GB"/>
        </w:rPr>
        <w:t xml:space="preserve">, </w:t>
      </w:r>
      <w:r w:rsidRPr="00F54546">
        <w:rPr>
          <w:lang w:val="en-GB"/>
        </w:rPr>
        <w:t xml:space="preserve">we also found that </w:t>
      </w:r>
      <w:r w:rsidR="004B2AF4" w:rsidRPr="00F54546">
        <w:rPr>
          <w:lang w:val="en-GB"/>
        </w:rPr>
        <w:t>the ineligible group had nearly ten times the rate of psychiatric inpatient hospitalizations</w:t>
      </w:r>
      <w:r w:rsidR="00384053">
        <w:rPr>
          <w:lang w:val="en-GB"/>
        </w:rPr>
        <w:t xml:space="preserve"> within one-year post-treatment initiation, </w:t>
      </w:r>
      <w:r w:rsidR="00384053" w:rsidRPr="00384053">
        <w:rPr>
          <w:lang w:val="en-GB"/>
        </w:rPr>
        <w:t>along with markedly higher rates of specialty care visits: 14 times higher for substance misuse, six times higher for depression, and 11 times higher for anxiety.</w:t>
      </w:r>
      <w:r w:rsidR="004B2AF4" w:rsidRPr="00F54546">
        <w:rPr>
          <w:lang w:val="en-GB"/>
        </w:rPr>
        <w:t xml:space="preserve"> </w:t>
      </w:r>
      <w:r w:rsidR="00AC56C6" w:rsidRPr="00532D24">
        <w:rPr>
          <w:lang w:val="en-GB"/>
        </w:rPr>
        <w:t xml:space="preserve">While the direction of these findings is not unexpected given the RCTs exclusion criteria, one </w:t>
      </w:r>
      <w:r w:rsidR="00AC56C6" w:rsidRPr="00532D24">
        <w:rPr>
          <w:lang w:val="en-GB"/>
        </w:rPr>
        <w:lastRenderedPageBreak/>
        <w:t xml:space="preserve">strength of our study is to quantify the magnitude of these differences, which can inform public health policies. </w:t>
      </w:r>
      <w:bookmarkEnd w:id="26"/>
      <w:r w:rsidR="00CF4C00" w:rsidRPr="00F54546">
        <w:rPr>
          <w:lang w:val="en-GB"/>
        </w:rPr>
        <w:t>The difference in rates of injuries and accidents was comparatively smaller, albeit still noteworthy</w:t>
      </w:r>
      <w:r w:rsidR="00724D05" w:rsidRPr="00F54546">
        <w:rPr>
          <w:lang w:val="en-GB"/>
        </w:rPr>
        <w:t>, with the</w:t>
      </w:r>
      <w:r w:rsidR="004B2AF4" w:rsidRPr="00F54546">
        <w:rPr>
          <w:lang w:val="en-GB"/>
        </w:rPr>
        <w:t xml:space="preserve"> ineligible group exhibit</w:t>
      </w:r>
      <w:r w:rsidR="00724D05" w:rsidRPr="00F54546">
        <w:rPr>
          <w:lang w:val="en-GB"/>
        </w:rPr>
        <w:t>ing</w:t>
      </w:r>
      <w:r w:rsidR="004B2AF4" w:rsidRPr="00F54546">
        <w:rPr>
          <w:lang w:val="en-GB"/>
        </w:rPr>
        <w:t xml:space="preserve"> a 31% higher rate of injuries/accidents</w:t>
      </w:r>
      <w:r w:rsidR="00F72914" w:rsidRPr="00F54546">
        <w:rPr>
          <w:lang w:val="en-GB"/>
        </w:rPr>
        <w:t>.</w:t>
      </w:r>
      <w:r w:rsidR="00F166A5" w:rsidRPr="00F54546">
        <w:rPr>
          <w:lang w:val="en-GB"/>
        </w:rPr>
        <w:t xml:space="preserve"> </w:t>
      </w:r>
      <w:r w:rsidR="004C37AD" w:rsidRPr="00F54546">
        <w:rPr>
          <w:lang w:val="en-GB"/>
        </w:rPr>
        <w:t xml:space="preserve">These findings </w:t>
      </w:r>
      <w:r w:rsidR="00CF77BB">
        <w:rPr>
          <w:lang w:val="en-GB"/>
        </w:rPr>
        <w:t xml:space="preserve">may be </w:t>
      </w:r>
      <w:r w:rsidR="004C37AD" w:rsidRPr="00F54546">
        <w:rPr>
          <w:lang w:val="en-GB"/>
        </w:rPr>
        <w:t xml:space="preserve">accounted </w:t>
      </w:r>
      <w:r w:rsidR="00CF77BB">
        <w:rPr>
          <w:lang w:val="en-GB"/>
        </w:rPr>
        <w:t>for, at least partially, by</w:t>
      </w:r>
      <w:r w:rsidR="00D570F3">
        <w:rPr>
          <w:lang w:val="en-GB"/>
        </w:rPr>
        <w:t xml:space="preserve"> </w:t>
      </w:r>
      <w:r w:rsidR="004C37AD" w:rsidRPr="00F54546">
        <w:rPr>
          <w:lang w:val="en-GB"/>
        </w:rPr>
        <w:t xml:space="preserve">the fact that </w:t>
      </w:r>
      <w:r w:rsidR="00F166A5" w:rsidRPr="00F54546">
        <w:rPr>
          <w:lang w:val="en-GB"/>
        </w:rPr>
        <w:t xml:space="preserve">psychiatric comorbidity </w:t>
      </w:r>
      <w:r w:rsidR="00FE52C5">
        <w:rPr>
          <w:lang w:val="en-GB"/>
        </w:rPr>
        <w:t>–</w:t>
      </w:r>
      <w:r w:rsidR="00724D05" w:rsidRPr="00F54546">
        <w:rPr>
          <w:lang w:val="en-GB"/>
        </w:rPr>
        <w:t>a common reason of exclusion from RCTs</w:t>
      </w:r>
      <w:r w:rsidR="00FE52C5">
        <w:rPr>
          <w:lang w:val="en-GB"/>
        </w:rPr>
        <w:t>–</w:t>
      </w:r>
      <w:r w:rsidR="00724D05" w:rsidRPr="00F54546">
        <w:rPr>
          <w:lang w:val="en-GB"/>
        </w:rPr>
        <w:t xml:space="preserve"> </w:t>
      </w:r>
      <w:r w:rsidR="00F166A5" w:rsidRPr="00F54546">
        <w:rPr>
          <w:lang w:val="en-GB"/>
        </w:rPr>
        <w:t>predicts worse outcomes in ADHD.</w:t>
      </w:r>
      <w:r w:rsidR="000037C9">
        <w:fldChar w:fldCharType="begin"/>
      </w:r>
      <w:r w:rsidR="00330C0C">
        <w:instrText xml:space="preserve"> ADDIN ZOTERO_ITEM CSL_CITATION {"citationID":"9Cv1HtcW","properties":{"formattedCitation":"\\super 19\\nosupersub{}","plainCitation":"19","noteIndex":0},"citationItems":[{"id":5262,"uris":["http://zotero.org/users/9282839/items/GDDLQ23N"],"itemData":{"id":5262,"type":"article-journal","abstract":"Objective: Investigate the prevalence and impact of psychiatric comorbidities in community-based samples of schoolchildren with/without ADHD. Method: Teachers and parents screened children in South Carolina (SC; n = 4,604) and Oklahoma (OK; n = 12,626) for ADHD. Parents of high-screen and selected low-screen children received diagnostic interviews (SC: n = 479; OK: n = 577). Results: Psychiatric disorders were increased among children with ADHD and were associated with low academic performance. Conduct disorder/oppositional defiant disorder (CD/ODD) were associated with grade retention (ODD/CD + ADHD: odds ratio [OR] = 3.0; confidence interval [CI] = [1.5, 5.9]; ODD/CD without ADHD: OR = 4.0; CI = [1.7, 9.7]). School discipline/police involvement was associated with ADHD alone (OR = 3.2; CI = [1.5, 6.8]), ADHD + CD/ODD (OR = 14.1, CI = [7.3, 27.1]), ADHD + anxiety/depression (OR = 4.8, CI = [1.6, 14.8]), and CD/ODD alone (OR = 2.8, CI = [1.2, 6.4]). Children with ADHD + anxiety/depression had tenfold risk for poor academic performance (OR = 10.8; CI = [2.4, 49.1]) compared to children with ADHD alone. This should be interpreted with caution due to the wide confidence interval. Conclusion: Most children with ADHD have psychiatric comorbidities, which worsens functional outcomes. The pattern of outcomes varies by type of comorbidity.","container-title":"Journal of Attention Disorders","DOI":"10.1177/1087054715613437","ISSN":"1087-0547, 1557-1246","issue":"9","journalAbbreviation":"J Atten Disord","language":"en","page":"1345-1354","source":"DOI.org (Crossref)","title":"ADHD and Psychiatric Comorbidity: Functional Outcomes in a School-Based Sample of Children","title-short":"ADHD and Psychiatric Comorbidity","volume":"24","author":[{"family":"Cuffe","given":"Steven P."},{"family":"Visser","given":"Susanna N."},{"family":"Holbrook","given":"Joseph R."},{"family":"Danielson","given":"Melissa L."},{"family":"Geryk","given":"Lorie L."},{"family":"Wolraich","given":"Mark L."},{"family":"McKeown","given":"Robert E."}],"issued":{"date-parts":[["2020",7]]}}}],"schema":"https://github.com/citation-style-language/schema/raw/master/csl-citation.json"} </w:instrText>
      </w:r>
      <w:r w:rsidR="000037C9">
        <w:fldChar w:fldCharType="separate"/>
      </w:r>
      <w:r w:rsidR="00330C0C" w:rsidRPr="00330C0C">
        <w:rPr>
          <w:vertAlign w:val="superscript"/>
        </w:rPr>
        <w:t>19</w:t>
      </w:r>
      <w:r w:rsidR="000037C9">
        <w:fldChar w:fldCharType="end"/>
      </w:r>
      <w:r w:rsidR="00530C60">
        <w:t xml:space="preserve"> </w:t>
      </w:r>
      <w:r w:rsidR="00F72914" w:rsidRPr="00F54546">
        <w:rPr>
          <w:lang w:val="en-GB"/>
        </w:rPr>
        <w:t>The markedly higher rates of psychiatric hospitalizations</w:t>
      </w:r>
      <w:r w:rsidR="00F27AA3" w:rsidRPr="00F54546">
        <w:rPr>
          <w:lang w:val="en-GB"/>
        </w:rPr>
        <w:t xml:space="preserve"> and</w:t>
      </w:r>
      <w:r w:rsidR="00F72914" w:rsidRPr="00F54546">
        <w:rPr>
          <w:lang w:val="en-GB"/>
        </w:rPr>
        <w:t xml:space="preserve"> substance misuse events in the ineligible group</w:t>
      </w:r>
      <w:r w:rsidR="00FE52C5">
        <w:rPr>
          <w:lang w:val="en-GB"/>
        </w:rPr>
        <w:t>,</w:t>
      </w:r>
      <w:r w:rsidR="00FE52C5" w:rsidRPr="00FE52C5">
        <w:rPr>
          <w:lang w:val="en-GB"/>
        </w:rPr>
        <w:t xml:space="preserve"> </w:t>
      </w:r>
      <w:r w:rsidR="00FE52C5">
        <w:rPr>
          <w:lang w:val="en-GB"/>
        </w:rPr>
        <w:t>even after adjusting for baseline severity,</w:t>
      </w:r>
      <w:r w:rsidR="00F72914" w:rsidRPr="00F54546">
        <w:rPr>
          <w:lang w:val="en-GB"/>
        </w:rPr>
        <w:t xml:space="preserve"> </w:t>
      </w:r>
      <w:r w:rsidR="00F27AA3" w:rsidRPr="00F54546">
        <w:rPr>
          <w:lang w:val="en-GB"/>
        </w:rPr>
        <w:t>emphasize</w:t>
      </w:r>
      <w:r w:rsidR="00F72914" w:rsidRPr="00F54546">
        <w:rPr>
          <w:lang w:val="en-GB"/>
        </w:rPr>
        <w:t xml:space="preserve"> the clinical and public health implications of the findings. These adverse outcomes may </w:t>
      </w:r>
      <w:r w:rsidR="00A76748" w:rsidRPr="00F54546">
        <w:rPr>
          <w:lang w:val="en-GB"/>
        </w:rPr>
        <w:t xml:space="preserve">also </w:t>
      </w:r>
      <w:r w:rsidR="00F72914" w:rsidRPr="00F54546">
        <w:rPr>
          <w:lang w:val="en-GB"/>
        </w:rPr>
        <w:t>be indicative of more severe or complex ADHD symptomatology, comorbid psychiatric conditions, or other psychosocial factors that are often excluded from RCTs but prevalent in real-world clinical settings.</w:t>
      </w:r>
    </w:p>
    <w:p w14:paraId="296700E0" w14:textId="652A7DD6" w:rsidR="00F15803" w:rsidRPr="00F15803" w:rsidRDefault="00207443" w:rsidP="008C5406">
      <w:pPr>
        <w:pStyle w:val="NoSpacing"/>
        <w:ind w:firstLine="0"/>
        <w:rPr>
          <w:highlight w:val="yellow"/>
          <w:lang w:val="en-GB"/>
        </w:rPr>
      </w:pPr>
      <w:bookmarkStart w:id="27" w:name="_Hlk181270030"/>
      <w:r w:rsidRPr="00F54546">
        <w:rPr>
          <w:lang w:val="en-GB"/>
        </w:rPr>
        <w:t xml:space="preserve">Overall, </w:t>
      </w:r>
      <w:r w:rsidR="009B07FE">
        <w:rPr>
          <w:lang w:val="en-GB"/>
        </w:rPr>
        <w:t xml:space="preserve">in line with </w:t>
      </w:r>
      <w:r w:rsidR="00DF6D4A">
        <w:rPr>
          <w:lang w:val="en-GB"/>
        </w:rPr>
        <w:t>previous</w:t>
      </w:r>
      <w:r w:rsidR="009B07FE">
        <w:rPr>
          <w:lang w:val="en-GB"/>
        </w:rPr>
        <w:t xml:space="preserve"> evidence, </w:t>
      </w:r>
      <w:r w:rsidRPr="00F54546">
        <w:rPr>
          <w:lang w:val="en-GB"/>
        </w:rPr>
        <w:t>our</w:t>
      </w:r>
      <w:r w:rsidR="00F72914" w:rsidRPr="00F54546">
        <w:rPr>
          <w:lang w:val="en-GB"/>
        </w:rPr>
        <w:t xml:space="preserve"> results highlight </w:t>
      </w:r>
      <w:r w:rsidR="008D603A" w:rsidRPr="008D603A">
        <w:rPr>
          <w:lang w:val="en-GB"/>
        </w:rPr>
        <w:t>important gaps between evidence-based recommendations</w:t>
      </w:r>
      <w:r w:rsidR="00BB3AF2">
        <w:rPr>
          <w:lang w:val="en-GB"/>
        </w:rPr>
        <w:t>/guidelines</w:t>
      </w:r>
      <w:r w:rsidR="008D603A" w:rsidRPr="008D603A">
        <w:rPr>
          <w:lang w:val="en-GB"/>
        </w:rPr>
        <w:t xml:space="preserve"> and clinical reality,</w:t>
      </w:r>
      <w:r w:rsidR="009B07FE">
        <w:rPr>
          <w:lang w:val="en-GB"/>
        </w:rPr>
        <w:fldChar w:fldCharType="begin"/>
      </w:r>
      <w:r w:rsidR="00330C0C">
        <w:rPr>
          <w:lang w:val="en-GB"/>
        </w:rPr>
        <w:instrText xml:space="preserve"> ADDIN ZOTERO_ITEM CSL_CITATION {"citationID":"mHl6TTj5","properties":{"formattedCitation":"\\super 20\\nosupersub{}","plainCitation":"20","noteIndex":0},"citationItems":[{"id":5391,"uris":["http://zotero.org/users/9282839/items/HYJYF2PG"],"itemData":{"id":5391,"type":"article-journal","container-title":"Journal of Child and Adolescent Psychopharmacology","DOI":"10.1089/cap.2022.0095","ISSN":"1044-5463, 1557-8992","issue":"5","journalAbbreviation":"Journal of Child and Adolescent Psychopharmacology","language":"en","license":"https://www.liebertpub.com/nv/resources-tools/text-and-data-mining-policy/121/","page":"183-189","source":"DOI.org (Crossref)","title":"Adherence to Clinical Guidelines for Dose Finding and Monitoring Methylphenidate Use: A Medical Record Audit in Child and Adolescent Mental Health Care and Pediatric Settings","title-short":"Adherence to Clinical Guidelines for Dose Finding and Monitoring Methylphenidate Use","volume":"33","author":[{"family":"Rosenau","given":"Paul T."},{"family":"Dietrich","given":"Andrea"},{"family":"Matthijssen","given":"Anne-Flore M."},{"family":"Kleine-Deters","given":"Renee"},{"family":"Van De Loo-Neus","given":"Gigi H.H."},{"family":"Buitelaar","given":"Jan K."},{"family":"Van Den Hoofdakker","given":"Barbara J."},{"family":"Hoekstra","given":"Pieter J."}],"issued":{"date-parts":[["2023",6,1]]}}}],"schema":"https://github.com/citation-style-language/schema/raw/master/csl-citation.json"} </w:instrText>
      </w:r>
      <w:r w:rsidR="009B07FE">
        <w:rPr>
          <w:lang w:val="en-GB"/>
        </w:rPr>
        <w:fldChar w:fldCharType="separate"/>
      </w:r>
      <w:r w:rsidR="00330C0C" w:rsidRPr="00330C0C">
        <w:rPr>
          <w:vertAlign w:val="superscript"/>
        </w:rPr>
        <w:t>20</w:t>
      </w:r>
      <w:r w:rsidR="009B07FE">
        <w:rPr>
          <w:lang w:val="en-GB"/>
        </w:rPr>
        <w:fldChar w:fldCharType="end"/>
      </w:r>
      <w:r w:rsidR="008D603A" w:rsidRPr="008D603A">
        <w:rPr>
          <w:lang w:val="en-GB"/>
        </w:rPr>
        <w:t xml:space="preserve"> </w:t>
      </w:r>
      <w:r w:rsidR="008D603A">
        <w:rPr>
          <w:lang w:val="en-GB"/>
        </w:rPr>
        <w:t xml:space="preserve">particularly regarding </w:t>
      </w:r>
      <w:r w:rsidR="00F72914" w:rsidRPr="00F54546">
        <w:rPr>
          <w:lang w:val="en-GB"/>
        </w:rPr>
        <w:t>the limitations of relying solely on RCT evidence to inform clinical decision-making</w:t>
      </w:r>
      <w:r w:rsidR="009A2E34" w:rsidRPr="00F54546">
        <w:rPr>
          <w:lang w:val="en-GB"/>
        </w:rPr>
        <w:t xml:space="preserve"> and guidelines/policies</w:t>
      </w:r>
      <w:r w:rsidR="00D2235A" w:rsidRPr="00F54546">
        <w:rPr>
          <w:lang w:val="en-GB"/>
        </w:rPr>
        <w:t>.</w:t>
      </w:r>
      <w:r w:rsidR="008D603A">
        <w:rPr>
          <w:lang w:val="en-GB"/>
        </w:rPr>
        <w:t xml:space="preserve"> T</w:t>
      </w:r>
      <w:r w:rsidR="00963386" w:rsidRPr="000F2D82">
        <w:rPr>
          <w:lang w:val="en-GB"/>
        </w:rPr>
        <w:t xml:space="preserve">his reliance on RCT evidence may be </w:t>
      </w:r>
      <w:r w:rsidR="002F303F" w:rsidRPr="000F2D82">
        <w:rPr>
          <w:lang w:val="en-GB"/>
        </w:rPr>
        <w:t>less problematic</w:t>
      </w:r>
      <w:r w:rsidR="00963386" w:rsidRPr="000F2D82">
        <w:rPr>
          <w:lang w:val="en-GB"/>
        </w:rPr>
        <w:t xml:space="preserve"> in paediatric populations, given the much lower number of ineligible individuals in younger age groups. However, for adult ADHD populations, where ineligibility rates are higher, the limitations of RCT-based evidence become more pronounced</w:t>
      </w:r>
      <w:bookmarkStart w:id="28" w:name="_Hlk181372349"/>
      <w:r w:rsidR="008D603A">
        <w:rPr>
          <w:lang w:val="en-GB"/>
        </w:rPr>
        <w:t>,</w:t>
      </w:r>
      <w:r w:rsidR="008D603A" w:rsidRPr="008D603A">
        <w:t xml:space="preserve"> </w:t>
      </w:r>
      <w:r w:rsidR="008D603A" w:rsidRPr="008D603A">
        <w:rPr>
          <w:lang w:val="en-GB"/>
        </w:rPr>
        <w:t xml:space="preserve">creating </w:t>
      </w:r>
      <w:r w:rsidR="00F15803" w:rsidRPr="00F15803">
        <w:rPr>
          <w:lang w:val="en-GB"/>
        </w:rPr>
        <w:t xml:space="preserve">a significant paradox: </w:t>
      </w:r>
      <w:r w:rsidR="006B78D1">
        <w:rPr>
          <w:lang w:val="en-GB"/>
        </w:rPr>
        <w:t>those</w:t>
      </w:r>
      <w:r w:rsidR="00F15803" w:rsidRPr="00F15803">
        <w:rPr>
          <w:lang w:val="en-GB"/>
        </w:rPr>
        <w:t xml:space="preserve"> patients who might benefit most from evidence-based guidance are the least represented in </w:t>
      </w:r>
      <w:r w:rsidR="006B78D1">
        <w:rPr>
          <w:lang w:val="en-GB"/>
        </w:rPr>
        <w:t>clinical trials</w:t>
      </w:r>
      <w:bookmarkEnd w:id="28"/>
      <w:r w:rsidR="00CA075F" w:rsidRPr="00CA075F">
        <w:t xml:space="preserve"> </w:t>
      </w:r>
      <w:r w:rsidR="00CA075F" w:rsidRPr="00CA075F">
        <w:rPr>
          <w:lang w:val="en-GB"/>
        </w:rPr>
        <w:t>that are meant to inform guidance</w:t>
      </w:r>
      <w:r w:rsidR="008D603A" w:rsidRPr="008D603A">
        <w:rPr>
          <w:lang w:val="en-GB"/>
        </w:rPr>
        <w:t>.</w:t>
      </w:r>
      <w:r w:rsidR="002F303F">
        <w:rPr>
          <w:lang w:val="en-GB"/>
        </w:rPr>
        <w:t xml:space="preserve"> </w:t>
      </w:r>
      <w:bookmarkEnd w:id="27"/>
      <w:r w:rsidR="002F303F">
        <w:rPr>
          <w:lang w:val="en-GB"/>
        </w:rPr>
        <w:t>I</w:t>
      </w:r>
      <w:r w:rsidR="00D2235A" w:rsidRPr="006260E6">
        <w:rPr>
          <w:lang w:val="en-GB"/>
        </w:rPr>
        <w:t xml:space="preserve">ndividuals meeting RCT eligibility criteria typically exhibit a less complicated course of ADHD, potentially reflecting, in part, a more </w:t>
      </w:r>
      <w:r w:rsidR="00F54546" w:rsidRPr="006260E6">
        <w:rPr>
          <w:lang w:val="en-GB"/>
        </w:rPr>
        <w:t>favourable</w:t>
      </w:r>
      <w:r w:rsidR="00D2235A" w:rsidRPr="006260E6">
        <w:rPr>
          <w:lang w:val="en-GB"/>
        </w:rPr>
        <w:t xml:space="preserve"> response to medication. This </w:t>
      </w:r>
      <w:r w:rsidR="00D2235A" w:rsidRPr="006260E6">
        <w:rPr>
          <w:i/>
          <w:iCs/>
          <w:lang w:val="en-GB"/>
        </w:rPr>
        <w:t>'selection effect</w:t>
      </w:r>
      <w:r w:rsidR="00D2235A" w:rsidRPr="006260E6">
        <w:rPr>
          <w:lang w:val="en-GB"/>
        </w:rPr>
        <w:t xml:space="preserve">' in RCTs may result in a </w:t>
      </w:r>
      <w:r w:rsidR="006260E6" w:rsidRPr="006260E6">
        <w:rPr>
          <w:lang w:val="en-GB"/>
        </w:rPr>
        <w:t>mis</w:t>
      </w:r>
      <w:r w:rsidR="00D2235A" w:rsidRPr="006260E6">
        <w:rPr>
          <w:lang w:val="en-GB"/>
        </w:rPr>
        <w:t xml:space="preserve">estimation of treatment efficacy and adverse outcomes when findings are extrapolated to the broader ADHD population. </w:t>
      </w:r>
      <w:r w:rsidR="00764F71" w:rsidRPr="00F54546">
        <w:rPr>
          <w:lang w:val="en-GB"/>
        </w:rPr>
        <w:t>For instance, drug interactions</w:t>
      </w:r>
      <w:r w:rsidR="00C70D05">
        <w:rPr>
          <w:lang w:val="en-GB"/>
        </w:rPr>
        <w:t xml:space="preserve"> and</w:t>
      </w:r>
      <w:r w:rsidR="00764F71" w:rsidRPr="00F54546">
        <w:rPr>
          <w:lang w:val="en-GB"/>
        </w:rPr>
        <w:t xml:space="preserve"> adverse events</w:t>
      </w:r>
      <w:r w:rsidR="00C70D05">
        <w:rPr>
          <w:lang w:val="en-GB"/>
        </w:rPr>
        <w:t xml:space="preserve"> </w:t>
      </w:r>
      <w:r w:rsidR="00764F71" w:rsidRPr="00F54546">
        <w:rPr>
          <w:lang w:val="en-GB"/>
        </w:rPr>
        <w:t xml:space="preserve">may be more likely in excluded groups, </w:t>
      </w:r>
      <w:r w:rsidR="00764F71" w:rsidRPr="00F54546">
        <w:rPr>
          <w:lang w:val="en-GB"/>
        </w:rPr>
        <w:lastRenderedPageBreak/>
        <w:t>especially those with medical multimorbidity</w:t>
      </w:r>
      <w:r w:rsidR="00764F71" w:rsidRPr="006260E6">
        <w:rPr>
          <w:lang w:val="en-GB"/>
        </w:rPr>
        <w:t>.</w:t>
      </w:r>
      <w:r w:rsidR="000037C9" w:rsidRPr="00F15803">
        <w:fldChar w:fldCharType="begin"/>
      </w:r>
      <w:r w:rsidR="00330C0C">
        <w:rPr>
          <w:highlight w:val="yellow"/>
        </w:rPr>
        <w:instrText xml:space="preserve"> ADDIN ZOTERO_ITEM CSL_CITATION {"citationID":"bVzr07P1","properties":{"formattedCitation":"\\super 21\\nosupersub{}","plainCitation":"21","noteIndex":0},"citationItems":[{"id":5264,"uris":["http://zotero.org/users/9282839/items/YCHIWB4W"],"itemData":{"id":5264,"type":"article-journal","container-title":"BMJ","DOI":"10.1136/bmj.h5145","ISSN":"1756-1833","language":"en","page":"h5145","source":"DOI.org (Crossref)","title":"Guideline recommended treatments in complex patients with multimorbidity","author":[{"family":"Muth","given":"Christiane"},{"family":"Glasziou","given":"Paul P"}],"issued":{"date-parts":[["2015",10,2]]}}}],"schema":"https://github.com/citation-style-language/schema/raw/master/csl-citation.json"} </w:instrText>
      </w:r>
      <w:r w:rsidR="000037C9" w:rsidRPr="00F15803">
        <w:fldChar w:fldCharType="separate"/>
      </w:r>
      <w:r w:rsidR="00330C0C" w:rsidRPr="00330C0C">
        <w:rPr>
          <w:vertAlign w:val="superscript"/>
        </w:rPr>
        <w:t>21</w:t>
      </w:r>
      <w:r w:rsidR="000037C9" w:rsidRPr="00F15803">
        <w:fldChar w:fldCharType="end"/>
      </w:r>
      <w:r w:rsidR="00F15803">
        <w:t xml:space="preserve"> </w:t>
      </w:r>
      <w:r w:rsidR="00F51FB2" w:rsidRPr="00F51FB2">
        <w:rPr>
          <w:lang w:val="en-GB"/>
        </w:rPr>
        <w:t>Clinicians thus face the challenging task of not only determining when RCT findings from relatively straightforward cases can be meaningfully extrapolated, but also recognizing when the clinical complexity demands fundamentally different treatment approaches.</w:t>
      </w:r>
    </w:p>
    <w:p w14:paraId="2C77A365" w14:textId="7322F0A2" w:rsidR="00D817DB" w:rsidRPr="00040FD3" w:rsidRDefault="00D21981" w:rsidP="008C5406">
      <w:pPr>
        <w:pStyle w:val="NoSpacing"/>
        <w:ind w:firstLine="0"/>
        <w:rPr>
          <w:lang w:val="en-GB"/>
        </w:rPr>
      </w:pPr>
      <w:r w:rsidRPr="00040FD3">
        <w:rPr>
          <w:lang w:val="en-GB"/>
        </w:rPr>
        <w:t>These considerations suggest</w:t>
      </w:r>
      <w:r w:rsidR="00AE39EB" w:rsidRPr="00040FD3">
        <w:rPr>
          <w:lang w:val="en-GB"/>
        </w:rPr>
        <w:t xml:space="preserve"> a need for a more comprehensive approach to clinical research in ADHD. </w:t>
      </w:r>
      <w:r w:rsidRPr="00040FD3">
        <w:rPr>
          <w:lang w:val="en-GB"/>
        </w:rPr>
        <w:t xml:space="preserve">Although the </w:t>
      </w:r>
      <w:r w:rsidR="00AE39EB" w:rsidRPr="00040FD3">
        <w:rPr>
          <w:lang w:val="en-GB"/>
        </w:rPr>
        <w:t xml:space="preserve">narrow entry criteria in traditional RCTs </w:t>
      </w:r>
      <w:r w:rsidRPr="00040FD3">
        <w:rPr>
          <w:lang w:val="en-GB"/>
        </w:rPr>
        <w:t>provide a cost-effective approach for establishing a medications efficacy and safety that is useful for regulatory authorities</w:t>
      </w:r>
      <w:r w:rsidR="00AE39EB" w:rsidRPr="00040FD3">
        <w:rPr>
          <w:lang w:val="en-GB"/>
        </w:rPr>
        <w:t xml:space="preserve">, </w:t>
      </w:r>
      <w:r w:rsidR="00096896" w:rsidRPr="00040FD3">
        <w:rPr>
          <w:lang w:val="en-GB"/>
        </w:rPr>
        <w:t xml:space="preserve">they </w:t>
      </w:r>
      <w:r w:rsidR="00AE39EB" w:rsidRPr="00040FD3">
        <w:rPr>
          <w:lang w:val="en-GB"/>
        </w:rPr>
        <w:t xml:space="preserve">limit generalizability to real-world, heterogeneous populations. </w:t>
      </w:r>
      <w:r w:rsidRPr="00040FD3">
        <w:rPr>
          <w:lang w:val="en-GB"/>
        </w:rPr>
        <w:t>T</w:t>
      </w:r>
      <w:r w:rsidR="004C37AD" w:rsidRPr="00040FD3">
        <w:rPr>
          <w:lang w:val="en-GB"/>
        </w:rPr>
        <w:t>o address this, a</w:t>
      </w:r>
      <w:r w:rsidR="00AE39EB" w:rsidRPr="00040FD3">
        <w:rPr>
          <w:lang w:val="en-GB"/>
        </w:rPr>
        <w:t xml:space="preserve"> balanced research strategy is needed</w:t>
      </w:r>
      <w:r w:rsidR="00040FD3" w:rsidRPr="00040FD3">
        <w:rPr>
          <w:lang w:val="en-GB"/>
        </w:rPr>
        <w:t xml:space="preserve"> </w:t>
      </w:r>
      <w:r w:rsidR="00AC56C6" w:rsidRPr="00AC56C6">
        <w:rPr>
          <w:lang w:val="en-GB"/>
        </w:rPr>
        <w:t>considering how the results from traditional RCTs, pragmatic trials with broader inclusion criteria, real-world observational studies, and targeted trials in typically excluded populations complement each other. The triangulation of these data would provide clinicians with a more complete understanding of medication effectiveness across diverse patient groups and clinical contexts.</w:t>
      </w:r>
      <w:r w:rsidR="00A559F2">
        <w:rPr>
          <w:lang w:val="en-GB"/>
        </w:rPr>
        <w:t xml:space="preserve"> Further, c</w:t>
      </w:r>
      <w:r w:rsidR="00A559F2" w:rsidRPr="00A559F2">
        <w:rPr>
          <w:lang w:val="en-GB"/>
        </w:rPr>
        <w:t xml:space="preserve">onsistent reporting of </w:t>
      </w:r>
      <w:r w:rsidR="002243F5" w:rsidRPr="002243F5">
        <w:rPr>
          <w:lang w:val="en-GB"/>
        </w:rPr>
        <w:t>study participant selection process in future ADHD trials (i.e., participant flow)</w:t>
      </w:r>
      <w:r w:rsidR="002243F5">
        <w:rPr>
          <w:lang w:val="en-GB"/>
        </w:rPr>
        <w:t xml:space="preserve"> </w:t>
      </w:r>
      <w:r w:rsidR="00A559F2" w:rsidRPr="00A559F2">
        <w:rPr>
          <w:lang w:val="en-GB"/>
        </w:rPr>
        <w:t>would enable better assessment of trial generalizability and facilitate more direct comparisons with real-world populations.</w:t>
      </w:r>
    </w:p>
    <w:p w14:paraId="361165DD" w14:textId="462AEAAD" w:rsidR="00023634" w:rsidRPr="00F54546" w:rsidRDefault="00A43F0D" w:rsidP="008C5406">
      <w:pPr>
        <w:pStyle w:val="NoSpacing"/>
        <w:ind w:firstLine="0"/>
        <w:rPr>
          <w:lang w:val="en-GB"/>
        </w:rPr>
      </w:pPr>
      <w:r w:rsidRPr="00F416C4">
        <w:rPr>
          <w:lang w:val="en-GB"/>
        </w:rPr>
        <w:t>Implementing a comprehensive research strategy faces challenges from multiple fronts: r</w:t>
      </w:r>
      <w:r w:rsidR="00AE39EB" w:rsidRPr="00F416C4">
        <w:rPr>
          <w:lang w:val="en-GB"/>
        </w:rPr>
        <w:t xml:space="preserve">egulatory bodies </w:t>
      </w:r>
      <w:r w:rsidR="00F54546" w:rsidRPr="00F416C4">
        <w:rPr>
          <w:lang w:val="en-GB"/>
        </w:rPr>
        <w:t>favour</w:t>
      </w:r>
      <w:r w:rsidRPr="00F416C4">
        <w:rPr>
          <w:lang w:val="en-GB"/>
        </w:rPr>
        <w:t>ing</w:t>
      </w:r>
      <w:r w:rsidR="00AE39EB" w:rsidRPr="00F416C4">
        <w:rPr>
          <w:lang w:val="en-GB"/>
        </w:rPr>
        <w:t xml:space="preserve"> narrowly defined trials, funding agencies</w:t>
      </w:r>
      <w:r w:rsidRPr="00F416C4">
        <w:rPr>
          <w:lang w:val="en-GB"/>
        </w:rPr>
        <w:t>’</w:t>
      </w:r>
      <w:r w:rsidR="00AE39EB" w:rsidRPr="00F416C4">
        <w:rPr>
          <w:lang w:val="en-GB"/>
        </w:rPr>
        <w:t xml:space="preserve"> reluctan</w:t>
      </w:r>
      <w:r w:rsidRPr="00F416C4">
        <w:rPr>
          <w:lang w:val="en-GB"/>
        </w:rPr>
        <w:t>ce</w:t>
      </w:r>
      <w:r w:rsidR="00AE39EB" w:rsidRPr="00F416C4">
        <w:rPr>
          <w:lang w:val="en-GB"/>
        </w:rPr>
        <w:t xml:space="preserve"> to support studies on existing drugs in broader populations</w:t>
      </w:r>
      <w:r w:rsidRPr="00F416C4">
        <w:rPr>
          <w:lang w:val="en-GB"/>
        </w:rPr>
        <w:t xml:space="preserve">, </w:t>
      </w:r>
      <w:r w:rsidR="00EC1067" w:rsidRPr="00F416C4">
        <w:rPr>
          <w:lang w:val="en-GB"/>
        </w:rPr>
        <w:t xml:space="preserve">and </w:t>
      </w:r>
      <w:r w:rsidRPr="00F416C4">
        <w:rPr>
          <w:lang w:val="en-GB"/>
        </w:rPr>
        <w:t xml:space="preserve">pharmaceutical companies' focus on subjects less likely to exhibit safety concerns that could jeopardize regulatory approval. </w:t>
      </w:r>
      <w:r w:rsidR="006A5A4F" w:rsidRPr="00F416C4">
        <w:rPr>
          <w:lang w:val="en-GB"/>
        </w:rPr>
        <w:t xml:space="preserve">This creates a gap between efficacy studies that assess treatments under ideal conditions, and effectiveness studies that evaluate real-world outcomes. While efficacy studies are crucial for establishing a treatment's potential, effectiveness studies provide insights into practical impact across diverse populations, including those with comorbidities often excluded from RCTs. Addressing this </w:t>
      </w:r>
      <w:r w:rsidR="00EC1067" w:rsidRPr="00F416C4">
        <w:rPr>
          <w:lang w:val="en-GB"/>
        </w:rPr>
        <w:t xml:space="preserve">tension </w:t>
      </w:r>
      <w:r w:rsidR="006A5A4F" w:rsidRPr="00F416C4">
        <w:rPr>
          <w:lang w:val="en-GB"/>
        </w:rPr>
        <w:t xml:space="preserve">requires a shift in </w:t>
      </w:r>
      <w:r w:rsidR="006A5A4F" w:rsidRPr="00F416C4">
        <w:rPr>
          <w:lang w:val="en-GB"/>
        </w:rPr>
        <w:lastRenderedPageBreak/>
        <w:t>research priorities and funding allocation to support both types of studies, leading to more inclusive clinical guidelines and personalized treatment strategies that better serve the broader ADHD population.</w:t>
      </w:r>
    </w:p>
    <w:p w14:paraId="35F36CD7" w14:textId="5BD6DCD2" w:rsidR="008F4890" w:rsidRPr="00F54546" w:rsidRDefault="00023634" w:rsidP="008C5406">
      <w:pPr>
        <w:pStyle w:val="NoSpacing"/>
        <w:ind w:firstLine="0"/>
        <w:rPr>
          <w:lang w:val="en-GB"/>
        </w:rPr>
      </w:pPr>
      <w:r w:rsidRPr="00F54546">
        <w:rPr>
          <w:lang w:val="en-GB"/>
        </w:rPr>
        <w:t xml:space="preserve">Emerging methodologies offer promising solutions to bridge this gap. Recent research has focused on developing frameworks for integrating </w:t>
      </w:r>
      <w:r w:rsidR="000D66AB" w:rsidRPr="00F54546">
        <w:rPr>
          <w:lang w:val="en-GB"/>
        </w:rPr>
        <w:t xml:space="preserve">aggregate or </w:t>
      </w:r>
      <w:r w:rsidRPr="00F54546">
        <w:rPr>
          <w:lang w:val="en-GB"/>
        </w:rPr>
        <w:t>individual patient data</w:t>
      </w:r>
      <w:r w:rsidR="000037C9">
        <w:fldChar w:fldCharType="begin"/>
      </w:r>
      <w:r w:rsidR="00330C0C">
        <w:instrText xml:space="preserve"> ADDIN ZOTERO_ITEM CSL_CITATION {"citationID":"hluGVlgs","properties":{"formattedCitation":"\\super 22\\nosupersub{}","plainCitation":"22","noteIndex":0},"citationItems":[{"id":5259,"uris":["http://zotero.org/users/9282839/items/R62RJ683"],"itemData":{"id":5259,"type":"article-journal","container-title":"The Lancet Psychiatry","DOI":"10.1016/S2215-0366(23)00366-8","ISSN":"22150366","issue":"2","journalAbbreviation":"The Lancet Psychiatry","language":"en","page":"102-111","source":"DOI.org (Crossref)","title":"Efficacy and effectiveness of antipsychotics in schizophrenia: network meta-analyses combining evidence from randomised controlled trials and real-world data","title-short":"Efficacy and effectiveness of antipsychotics in schizophrenia","volume":"11","author":[{"family":"Efthimiou","given":"Orestis"},{"family":"Taipale","given":"Heidi"},{"family":"Radua","given":"Joaquim"},{"family":"Schneider-Thoma","given":"Johannes"},{"family":"Pinzón-Espinosa","given":"Justo"},{"family":"Ortuño","given":"Maria"},{"family":"Vinkers","given":"Christiaan H"},{"family":"Mittendorfer-Rutz","given":"Ellenor"},{"family":"Cardoner","given":"Narcís"},{"family":"Tanskanen","given":"Antti"},{"family":"Fusar-Poli","given":"Paolo"},{"family":"Cipriani","given":"Andrea"},{"family":"Vieta","given":"Eduard"},{"family":"Leucht","given":"Stefan"},{"family":"Tiihonen","given":"Jari"},{"family":"Luykx","given":"Jurjen J"}],"issued":{"date-parts":[["2024",2]]}}}],"schema":"https://github.com/citation-style-language/schema/raw/master/csl-citation.json"} </w:instrText>
      </w:r>
      <w:r w:rsidR="000037C9">
        <w:fldChar w:fldCharType="separate"/>
      </w:r>
      <w:r w:rsidR="00330C0C" w:rsidRPr="00330C0C">
        <w:rPr>
          <w:vertAlign w:val="superscript"/>
        </w:rPr>
        <w:t>22</w:t>
      </w:r>
      <w:r w:rsidR="000037C9">
        <w:fldChar w:fldCharType="end"/>
      </w:r>
      <w:r w:rsidRPr="00F54546">
        <w:rPr>
          <w:lang w:val="en-GB"/>
        </w:rPr>
        <w:t xml:space="preserve"> from both randomized and </w:t>
      </w:r>
      <w:r w:rsidR="005940FB" w:rsidRPr="00F54546">
        <w:rPr>
          <w:lang w:val="en-GB"/>
        </w:rPr>
        <w:t>observational</w:t>
      </w:r>
      <w:r w:rsidRPr="00F54546">
        <w:rPr>
          <w:lang w:val="en-GB"/>
        </w:rPr>
        <w:t xml:space="preserve"> studies to build more generalizable prediction models</w:t>
      </w:r>
      <w:r w:rsidR="008F4890" w:rsidRPr="00F54546">
        <w:rPr>
          <w:lang w:val="en-GB"/>
        </w:rPr>
        <w:t>.</w:t>
      </w:r>
      <w:r w:rsidR="00CB0B42" w:rsidRPr="00897EEA">
        <w:fldChar w:fldCharType="begin"/>
      </w:r>
      <w:r w:rsidR="00330C0C">
        <w:instrText xml:space="preserve"> ADDIN ZOTERO_ITEM CSL_CITATION {"citationID":"XyLF4zdP","properties":{"formattedCitation":"\\super 23\\nosupersub{}","plainCitation":"23","noteIndex":0},"citationItems":[{"id":5250,"uris":["http://zotero.org/users/9282839/items/UPNWV4ZF"],"itemData":{"id":5250,"type":"article-journal","abstract":"Meta-analysis of randomized controlled trials is generally considered the most reliable source of estimates of relative treatment effects. However, in the last few years, there has been interest in using non-randomized studies to complement evidence from randomized controlled trials. Several meta-analytical models have been proposed to this end. Such models mainly focussed on estimating the average relative effects of interventions. In real-life clinical practice, when deciding on how to treat a patient, it might be of great interest to have personalized predictions of absolute outcomes under several available treatment options. This paper describes a general framework for developing models that combine individual patient data from randomized controlled trials and non-randomized study when aiming to predict outcomes for a set of competing medical interventions applied in real-world clinical settings. We also discuss methods for measuring the models’ performance to identify the optimal model to use in each setting. We focus on the case of continuous outcomes and illustrate our methods using a data set from rheumatoid arthritis, comprising patient-level data from three randomized controlled trials and two registries from Switzerland and Britain.","container-title":"Statistical Methods in Medical Research","DOI":"10.1177/09622802221090759","ISSN":"0962-2802, 1477-0334","issue":"7","journalAbbreviation":"Stat Methods Med Res","language":"en","page":"1355-1373","source":"DOI.org (Crossref)","title":"Combining individual patient data from randomized and non-randomized studies to predict real-world effectiveness of interventions","volume":"31","author":[{"family":"Seo","given":"Michael"},{"family":"Debray","given":"Thomas Pa"},{"family":"Ruffieux","given":"Yann"},{"family":"Gsteiger","given":"Sandro"},{"family":"Bujkiewicz","given":"Sylwia"},{"family":"Finckh","given":"Axel"},{"family":"Egger","given":"Matthias"},{"family":"Efthimiou","given":"Orestis"}],"issued":{"date-parts":[["2022",7]]}}}],"schema":"https://github.com/citation-style-language/schema/raw/master/csl-citation.json"} </w:instrText>
      </w:r>
      <w:r w:rsidR="00CB0B42" w:rsidRPr="00897EEA">
        <w:fldChar w:fldCharType="separate"/>
      </w:r>
      <w:r w:rsidR="00330C0C" w:rsidRPr="00330C0C">
        <w:rPr>
          <w:vertAlign w:val="superscript"/>
        </w:rPr>
        <w:t>23</w:t>
      </w:r>
      <w:r w:rsidR="00CB0B42" w:rsidRPr="00897EEA">
        <w:fldChar w:fldCharType="end"/>
      </w:r>
      <w:r w:rsidR="00604436" w:rsidRPr="00F54546">
        <w:rPr>
          <w:lang w:val="en-GB"/>
        </w:rPr>
        <w:t xml:space="preserve"> </w:t>
      </w:r>
      <w:r w:rsidRPr="00F54546">
        <w:rPr>
          <w:lang w:val="en-GB"/>
        </w:rPr>
        <w:t xml:space="preserve">These approaches utilize </w:t>
      </w:r>
      <w:r w:rsidR="0083055D" w:rsidRPr="00F54546">
        <w:rPr>
          <w:lang w:val="en-GB"/>
        </w:rPr>
        <w:t xml:space="preserve">two-stage </w:t>
      </w:r>
      <w:r w:rsidRPr="00F54546">
        <w:rPr>
          <w:lang w:val="en-GB"/>
        </w:rPr>
        <w:t>network meta-analysis techniques and incorporate methods to account for differences in study design and potential biases</w:t>
      </w:r>
      <w:r w:rsidR="008F4890" w:rsidRPr="00F54546">
        <w:rPr>
          <w:lang w:val="en-GB"/>
        </w:rPr>
        <w:t>.</w:t>
      </w:r>
      <w:r w:rsidR="00CB0B42" w:rsidRPr="00897EEA">
        <w:fldChar w:fldCharType="begin"/>
      </w:r>
      <w:r w:rsidR="00330C0C">
        <w:instrText xml:space="preserve"> ADDIN ZOTERO_ITEM CSL_CITATION {"citationID":"aFRTKAUM","properties":{"formattedCitation":"\\super 23\\nosupersub{}","plainCitation":"23","noteIndex":0},"citationItems":[{"id":5250,"uris":["http://zotero.org/users/9282839/items/UPNWV4ZF"],"itemData":{"id":5250,"type":"article-journal","abstract":"Meta-analysis of randomized controlled trials is generally considered the most reliable source of estimates of relative treatment effects. However, in the last few years, there has been interest in using non-randomized studies to complement evidence from randomized controlled trials. Several meta-analytical models have been proposed to this end. Such models mainly focussed on estimating the average relative effects of interventions. In real-life clinical practice, when deciding on how to treat a patient, it might be of great interest to have personalized predictions of absolute outcomes under several available treatment options. This paper describes a general framework for developing models that combine individual patient data from randomized controlled trials and non-randomized study when aiming to predict outcomes for a set of competing medical interventions applied in real-world clinical settings. We also discuss methods for measuring the models’ performance to identify the optimal model to use in each setting. We focus on the case of continuous outcomes and illustrate our methods using a data set from rheumatoid arthritis, comprising patient-level data from three randomized controlled trials and two registries from Switzerland and Britain.","container-title":"Statistical Methods in Medical Research","DOI":"10.1177/09622802221090759","ISSN":"0962-2802, 1477-0334","issue":"7","journalAbbreviation":"Stat Methods Med Res","language":"en","page":"1355-1373","source":"DOI.org (Crossref)","title":"Combining individual patient data from randomized and non-randomized studies to predict real-world effectiveness of interventions","volume":"31","author":[{"family":"Seo","given":"Michael"},{"family":"Debray","given":"Thomas Pa"},{"family":"Ruffieux","given":"Yann"},{"family":"Gsteiger","given":"Sandro"},{"family":"Bujkiewicz","given":"Sylwia"},{"family":"Finckh","given":"Axel"},{"family":"Egger","given":"Matthias"},{"family":"Efthimiou","given":"Orestis"}],"issued":{"date-parts":[["2022",7]]}}}],"schema":"https://github.com/citation-style-language/schema/raw/master/csl-citation.json"} </w:instrText>
      </w:r>
      <w:r w:rsidR="00CB0B42" w:rsidRPr="00897EEA">
        <w:fldChar w:fldCharType="separate"/>
      </w:r>
      <w:r w:rsidR="00330C0C" w:rsidRPr="00330C0C">
        <w:rPr>
          <w:vertAlign w:val="superscript"/>
        </w:rPr>
        <w:t>23</w:t>
      </w:r>
      <w:r w:rsidR="00CB0B42" w:rsidRPr="00897EEA">
        <w:fldChar w:fldCharType="end"/>
      </w:r>
      <w:r w:rsidR="008F4890" w:rsidRPr="00F54546">
        <w:rPr>
          <w:lang w:val="en-GB"/>
        </w:rPr>
        <w:t xml:space="preserve"> This integration method helps to address the limitations of RCTs, such as their stringent inclusion criteria, by incorporating the broader and more diverse patient populations seen in </w:t>
      </w:r>
      <w:r w:rsidR="00052E23" w:rsidRPr="00F54546">
        <w:rPr>
          <w:lang w:val="en-GB"/>
        </w:rPr>
        <w:t>observational</w:t>
      </w:r>
      <w:r w:rsidR="008F4890" w:rsidRPr="00F54546">
        <w:rPr>
          <w:lang w:val="en-GB"/>
        </w:rPr>
        <w:t xml:space="preserve"> studies.</w:t>
      </w:r>
    </w:p>
    <w:p w14:paraId="4597D890" w14:textId="278B5855" w:rsidR="00056D47" w:rsidRPr="00F54546" w:rsidRDefault="00056D47" w:rsidP="00A6294A">
      <w:pPr>
        <w:pStyle w:val="Heading2"/>
        <w:rPr>
          <w:lang w:val="en-GB"/>
        </w:rPr>
      </w:pPr>
      <w:r w:rsidRPr="00F54546">
        <w:rPr>
          <w:lang w:val="en-GB"/>
        </w:rPr>
        <w:t>Limitations</w:t>
      </w:r>
    </w:p>
    <w:p w14:paraId="008768E2" w14:textId="1E766633" w:rsidR="007B4DD4" w:rsidRDefault="00DE36E0" w:rsidP="00D817DB">
      <w:pPr>
        <w:pStyle w:val="NoSpacing"/>
        <w:ind w:firstLine="0"/>
        <w:rPr>
          <w:lang w:val="en-GB"/>
        </w:rPr>
      </w:pPr>
      <w:r w:rsidRPr="00F54546">
        <w:rPr>
          <w:lang w:val="en-GB"/>
        </w:rPr>
        <w:t xml:space="preserve">While this study provides valuable insights into the real-world treatment outcomes and clinical events among RCT-ineligible individuals with ADHD, </w:t>
      </w:r>
      <w:r w:rsidR="0043463D" w:rsidRPr="00F54546">
        <w:rPr>
          <w:lang w:val="en-GB"/>
        </w:rPr>
        <w:t>some</w:t>
      </w:r>
      <w:r w:rsidRPr="00F54546">
        <w:rPr>
          <w:lang w:val="en-GB"/>
        </w:rPr>
        <w:t xml:space="preserve"> limitations should be acknowledged. </w:t>
      </w:r>
      <w:r w:rsidR="00D71CEB" w:rsidRPr="00F54546">
        <w:rPr>
          <w:lang w:val="en-GB"/>
        </w:rPr>
        <w:t>The register-based design meant we lacked detailed clinical data on ADHD severity and functioning</w:t>
      </w:r>
      <w:r w:rsidR="007B4DD4" w:rsidRPr="007B4DD4">
        <w:rPr>
          <w:lang w:val="en-GB"/>
        </w:rPr>
        <w:t xml:space="preserve"> that are typically captured in RCTs (e.g., standardized ADHD rating scales, quality of life measures, academic/occupational performance)</w:t>
      </w:r>
      <w:r w:rsidR="00D71CEB" w:rsidRPr="00F54546">
        <w:rPr>
          <w:lang w:val="en-GB"/>
        </w:rPr>
        <w:t>.</w:t>
      </w:r>
      <w:r w:rsidR="007B4DD4" w:rsidRPr="007B4DD4">
        <w:rPr>
          <w:lang w:val="en-GB"/>
        </w:rPr>
        <w:t xml:space="preserve"> While our outcomes represent important real-world events that impact patient well-being and healthcare utilization, we acknowledge they differ from traditional RCT </w:t>
      </w:r>
      <w:r w:rsidR="00902B1A">
        <w:rPr>
          <w:lang w:val="en-GB"/>
        </w:rPr>
        <w:t>outcomes</w:t>
      </w:r>
      <w:r w:rsidR="007B4DD4" w:rsidRPr="007B4DD4">
        <w:rPr>
          <w:lang w:val="en-GB"/>
        </w:rPr>
        <w:t>. However, our chosen outcomes complement RCT findings by capturing severe events that are often too rare to be meaningfully assessed in trials, yet are crucial for clinical decision-making</w:t>
      </w:r>
      <w:r w:rsidR="007B4DD4">
        <w:rPr>
          <w:lang w:val="en-GB"/>
        </w:rPr>
        <w:t xml:space="preserve">. </w:t>
      </w:r>
      <w:r w:rsidR="00AC56C6" w:rsidRPr="00AC56C6">
        <w:rPr>
          <w:lang w:val="en-GB"/>
        </w:rPr>
        <w:t>Future research could address this limitation</w:t>
      </w:r>
      <w:r w:rsidR="00A34FC8">
        <w:rPr>
          <w:lang w:val="en-GB"/>
        </w:rPr>
        <w:t xml:space="preserve"> by 1)</w:t>
      </w:r>
      <w:r w:rsidR="00AC56C6" w:rsidRPr="00AC56C6">
        <w:rPr>
          <w:lang w:val="en-GB"/>
        </w:rPr>
        <w:t xml:space="preserve"> linking registry data with clinical records to capture standardized symptom assessments and developing validated proxy measures for ADHD severity that can be derived from </w:t>
      </w:r>
      <w:r w:rsidR="00AC56C6" w:rsidRPr="00AC56C6">
        <w:rPr>
          <w:lang w:val="en-GB"/>
        </w:rPr>
        <w:lastRenderedPageBreak/>
        <w:t>registry data, and</w:t>
      </w:r>
      <w:r w:rsidR="00A34FC8">
        <w:rPr>
          <w:lang w:val="en-GB"/>
        </w:rPr>
        <w:t xml:space="preserve"> 2)</w:t>
      </w:r>
      <w:r w:rsidR="00AC56C6" w:rsidRPr="00AC56C6">
        <w:rPr>
          <w:lang w:val="en-GB"/>
        </w:rPr>
        <w:t xml:space="preserve"> conducting pragmatic trials with broad eligibility criteria and outcomes other than the traditional ones.</w:t>
      </w:r>
    </w:p>
    <w:p w14:paraId="5088C383" w14:textId="3DB1DA24" w:rsidR="00D71CEB" w:rsidRPr="00F54546" w:rsidRDefault="00D71CEB" w:rsidP="00D817DB">
      <w:pPr>
        <w:pStyle w:val="NoSpacing"/>
        <w:ind w:firstLine="0"/>
        <w:rPr>
          <w:lang w:val="en-GB"/>
        </w:rPr>
      </w:pPr>
      <w:r w:rsidRPr="00F54546">
        <w:rPr>
          <w:lang w:val="en-GB"/>
        </w:rPr>
        <w:t xml:space="preserve">We applied </w:t>
      </w:r>
      <w:r w:rsidR="003D4153" w:rsidRPr="00F54546">
        <w:rPr>
          <w:lang w:val="en-GB"/>
        </w:rPr>
        <w:t>common</w:t>
      </w:r>
      <w:r w:rsidRPr="00F54546">
        <w:rPr>
          <w:lang w:val="en-GB"/>
        </w:rPr>
        <w:t xml:space="preserve"> but not universal RCT exclusion criteria</w:t>
      </w:r>
      <w:r w:rsidR="002E6D6F" w:rsidRPr="00F54546">
        <w:rPr>
          <w:lang w:val="en-GB"/>
        </w:rPr>
        <w:t>;</w:t>
      </w:r>
      <w:r w:rsidRPr="00F54546">
        <w:rPr>
          <w:lang w:val="en-GB"/>
        </w:rPr>
        <w:t xml:space="preserve"> some trials may be more inclusive. </w:t>
      </w:r>
      <w:r w:rsidR="00383CA3" w:rsidRPr="005D6D3B">
        <w:rPr>
          <w:lang w:val="en-GB"/>
        </w:rPr>
        <w:t>An</w:t>
      </w:r>
      <w:r w:rsidR="002E6D6F" w:rsidRPr="005D6D3B">
        <w:rPr>
          <w:lang w:val="en-GB"/>
        </w:rPr>
        <w:t>other</w:t>
      </w:r>
      <w:r w:rsidR="00383CA3" w:rsidRPr="005D6D3B">
        <w:rPr>
          <w:lang w:val="en-GB"/>
        </w:rPr>
        <w:t xml:space="preserve"> limitation was the challenge in operationalizing certain exclusion criteria within registry data. For instance, distinguishing between 'current' and historical diagnoses—a distinction often crucial in clinical trials to assess potential interference with the study—was not feasible with our data. </w:t>
      </w:r>
      <w:r w:rsidR="002E6D6F" w:rsidRPr="005D6D3B">
        <w:rPr>
          <w:lang w:val="en-GB"/>
        </w:rPr>
        <w:t>However, t</w:t>
      </w:r>
      <w:r w:rsidR="0056169F" w:rsidRPr="005D6D3B">
        <w:rPr>
          <w:lang w:val="en-GB"/>
        </w:rPr>
        <w:t xml:space="preserve">o address this </w:t>
      </w:r>
      <w:r w:rsidR="002E6D6F" w:rsidRPr="005D6D3B">
        <w:rPr>
          <w:lang w:val="en-GB"/>
        </w:rPr>
        <w:t>issue</w:t>
      </w:r>
      <w:r w:rsidR="0056169F" w:rsidRPr="005D6D3B">
        <w:rPr>
          <w:lang w:val="en-GB"/>
        </w:rPr>
        <w:t xml:space="preserve">, we defined 'current' diagnoses as those recorded within one year prior to the initiation of ADHD treatment. While this approach provides a standardized timeframe, it </w:t>
      </w:r>
      <w:r w:rsidR="00D21981" w:rsidRPr="005D6D3B">
        <w:rPr>
          <w:lang w:val="en-GB"/>
        </w:rPr>
        <w:t xml:space="preserve">does not </w:t>
      </w:r>
      <w:r w:rsidR="002E6D6F" w:rsidRPr="005D6D3B">
        <w:rPr>
          <w:lang w:val="en-GB"/>
        </w:rPr>
        <w:t>fully</w:t>
      </w:r>
      <w:r w:rsidR="0056169F" w:rsidRPr="005D6D3B">
        <w:rPr>
          <w:lang w:val="en-GB"/>
        </w:rPr>
        <w:t xml:space="preserve"> capture </w:t>
      </w:r>
      <w:r w:rsidR="00D21981" w:rsidRPr="005D6D3B">
        <w:rPr>
          <w:lang w:val="en-GB"/>
        </w:rPr>
        <w:t>how comorbidity criteria are applied when enrolling patients in an RCT</w:t>
      </w:r>
      <w:r w:rsidR="0056169F" w:rsidRPr="005D6D3B">
        <w:rPr>
          <w:lang w:val="en-GB"/>
        </w:rPr>
        <w:t>.</w:t>
      </w:r>
      <w:r w:rsidR="0056169F" w:rsidRPr="00F54546">
        <w:rPr>
          <w:lang w:val="en-GB"/>
        </w:rPr>
        <w:t xml:space="preserve"> </w:t>
      </w:r>
      <w:r w:rsidRPr="00F54546">
        <w:rPr>
          <w:lang w:val="en-GB"/>
        </w:rPr>
        <w:t>The generalizability of findings to countries with different health systems and access should be investigated</w:t>
      </w:r>
      <w:r w:rsidR="004D64DC">
        <w:rPr>
          <w:lang w:val="en-GB"/>
        </w:rPr>
        <w:t xml:space="preserve"> as Sweden has a universal, publicly funded health care system and among the highest rates of ADHD medication prescribing globally</w:t>
      </w:r>
      <w:r w:rsidR="0054365C">
        <w:rPr>
          <w:lang w:val="en-GB"/>
        </w:rPr>
        <w:t>.</w:t>
      </w:r>
      <w:r w:rsidR="0054365C">
        <w:rPr>
          <w:lang w:val="en-GB"/>
        </w:rPr>
        <w:fldChar w:fldCharType="begin"/>
      </w:r>
      <w:r w:rsidR="00330C0C">
        <w:rPr>
          <w:lang w:val="en-GB"/>
        </w:rPr>
        <w:instrText xml:space="preserve"> ADDIN ZOTERO_ITEM CSL_CITATION {"citationID":"3mPddQOd","properties":{"formattedCitation":"\\super 24\\nosupersub{}","plainCitation":"24","noteIndex":0},"citationItems":[{"id":5153,"uris":["http://zotero.org/users/9282839/items/ZRIJRDSE"],"itemData":{"id":5153,"type":"article-journal","container-title":"eClinicalMedicine","DOI":"10.1016/j.eclinm.2022.101780","ISSN":"25895370","journalAbbreviation":"eClinicalMedicine","language":"en","page":"101780","source":"DOI.org (Crossref)","title":"Attention-deficit/hyperactivity disorder medication consumption in 64 countries and regions from 2015 to 2019: a longitudinal study","title-short":"Attention-deficit/hyperactivity disorder medication consumption in 64 countries and regions from 2015 to 2019","volume":"58","author":[{"family":"Chan","given":"Adrienne Y.L."},{"family":"Ma","given":"Tian-Tian"},{"family":"Lau","given":"Wallis C.Y."},{"family":"Ip","given":"Patrick"},{"family":"Coghill","given":"David"},{"family":"Gao","given":"Le"},{"family":"Jani","given":"Yogini H."},{"family":"Hsia","given":"Yingfen"},{"family":"Wei","given":"Li"},{"family":"Taxis","given":"Katja"},{"family":"Simonoff","given":"Emily"},{"family":"Taylor","given":"David"},{"family":"Lum","given":"Terry Y."},{"family":"Man","given":"Kenneth K.C."},{"family":"Wong","given":"Ian C.K."}],"issued":{"date-parts":[["2023",4]]}}}],"schema":"https://github.com/citation-style-language/schema/raw/master/csl-citation.json"} </w:instrText>
      </w:r>
      <w:r w:rsidR="0054365C">
        <w:rPr>
          <w:lang w:val="en-GB"/>
        </w:rPr>
        <w:fldChar w:fldCharType="separate"/>
      </w:r>
      <w:r w:rsidR="00330C0C" w:rsidRPr="00330C0C">
        <w:rPr>
          <w:vertAlign w:val="superscript"/>
        </w:rPr>
        <w:t>24</w:t>
      </w:r>
      <w:r w:rsidR="0054365C">
        <w:rPr>
          <w:lang w:val="en-GB"/>
        </w:rPr>
        <w:fldChar w:fldCharType="end"/>
      </w:r>
      <w:r w:rsidRPr="00F54546">
        <w:rPr>
          <w:lang w:val="en-GB"/>
        </w:rPr>
        <w:t xml:space="preserve"> </w:t>
      </w:r>
      <w:r w:rsidR="00383CA3" w:rsidRPr="00AC38B1">
        <w:rPr>
          <w:lang w:val="en-GB"/>
        </w:rPr>
        <w:t xml:space="preserve">Additionally, the pharmacological options for ADHD treatment in Sweden represent a subset of those available in countries like the United States, potentially limiting the generalizability of our findings. </w:t>
      </w:r>
      <w:r w:rsidR="002E6D6F" w:rsidRPr="00AC38B1">
        <w:rPr>
          <w:lang w:val="en-GB"/>
        </w:rPr>
        <w:t>For instance, viloxazine, which was approved for ADHD by the FDA in 2021,</w:t>
      </w:r>
      <w:r w:rsidR="00F6208B" w:rsidRPr="00D817DB">
        <w:rPr>
          <w:highlight w:val="yellow"/>
        </w:rPr>
        <w:fldChar w:fldCharType="begin"/>
      </w:r>
      <w:r w:rsidR="00330C0C">
        <w:rPr>
          <w:highlight w:val="yellow"/>
        </w:rPr>
        <w:instrText xml:space="preserve"> ADDIN ZOTERO_ITEM CSL_CITATION {"citationID":"WbjPV7Mg","properties":{"formattedCitation":"\\super 25\\nosupersub{}","plainCitation":"25","noteIndex":0},"citationItems":[{"id":5260,"uris":["http://zotero.org/users/9282839/items/58R3H3GG"],"itemData":{"id":5260,"type":"article-journal","container-title":"Expert Review of Neurotherapeutics","DOI":"10.1080/14737175.2024.2327533","ISSN":"1473-7175, 1744-8360","issue":"5","journalAbbreviation":"Expert Review of Neurotherapeutics","language":"en","page":"443-455","source":"DOI.org (Crossref)","title":"Viloxazine extended-release capsules as an emerging treatment for attention-deficit/hyperactivity disorder in children and adolescents","volume":"24","author":[{"family":"Maletic","given":"Vladimir"},{"family":"Mattingly","given":"Gregory W."},{"family":"Earnest","given":"Jami"}],"issued":{"date-parts":[["2024",5,3]]}}}],"schema":"https://github.com/citation-style-language/schema/raw/master/csl-citation.json"} </w:instrText>
      </w:r>
      <w:r w:rsidR="00F6208B" w:rsidRPr="00D817DB">
        <w:rPr>
          <w:highlight w:val="yellow"/>
        </w:rPr>
        <w:fldChar w:fldCharType="separate"/>
      </w:r>
      <w:r w:rsidR="00330C0C" w:rsidRPr="00330C0C">
        <w:rPr>
          <w:vertAlign w:val="superscript"/>
        </w:rPr>
        <w:t>25</w:t>
      </w:r>
      <w:r w:rsidR="00F6208B" w:rsidRPr="00D817DB">
        <w:rPr>
          <w:highlight w:val="yellow"/>
        </w:rPr>
        <w:fldChar w:fldCharType="end"/>
      </w:r>
      <w:r w:rsidR="002E6D6F" w:rsidRPr="00790333">
        <w:rPr>
          <w:lang w:val="en-GB"/>
        </w:rPr>
        <w:t xml:space="preserve"> is not available in Sweden.</w:t>
      </w:r>
      <w:r w:rsidR="002E6D6F" w:rsidRPr="00F54546">
        <w:rPr>
          <w:lang w:val="en-GB"/>
        </w:rPr>
        <w:t xml:space="preserve"> </w:t>
      </w:r>
      <w:r w:rsidR="003D4153" w:rsidRPr="00F54546">
        <w:rPr>
          <w:lang w:val="en-GB"/>
        </w:rPr>
        <w:t>Regardless</w:t>
      </w:r>
      <w:r w:rsidRPr="00F54546">
        <w:rPr>
          <w:lang w:val="en-GB"/>
        </w:rPr>
        <w:t xml:space="preserve">, a key strength of utilizing nationwide registries was assessing outcomes among excluded </w:t>
      </w:r>
      <w:r w:rsidR="009A2E34" w:rsidRPr="00F54546">
        <w:rPr>
          <w:lang w:val="en-GB"/>
        </w:rPr>
        <w:t>individuals</w:t>
      </w:r>
      <w:r w:rsidRPr="00F54546">
        <w:rPr>
          <w:lang w:val="en-GB"/>
        </w:rPr>
        <w:t xml:space="preserve"> who are often missing from clinic-based studies. Additional longitudinal research is warranted to confirm results and provide insights into longer-term clinical trajectories of excluded ADHD subgroups over time in relation to medication treatment.</w:t>
      </w:r>
    </w:p>
    <w:p w14:paraId="79657A2A" w14:textId="77777777" w:rsidR="00056D47" w:rsidRPr="00F54546" w:rsidRDefault="00056D47" w:rsidP="00A6294A">
      <w:pPr>
        <w:pStyle w:val="Heading2"/>
        <w:rPr>
          <w:lang w:val="en-GB"/>
        </w:rPr>
      </w:pPr>
      <w:r w:rsidRPr="00F54546">
        <w:rPr>
          <w:lang w:val="en-GB"/>
        </w:rPr>
        <w:t>Conclusions</w:t>
      </w:r>
    </w:p>
    <w:p w14:paraId="463DF5C9" w14:textId="1543407C" w:rsidR="004019A8" w:rsidRPr="00F54546" w:rsidRDefault="002E6D6F" w:rsidP="00D817DB">
      <w:pPr>
        <w:pStyle w:val="NoSpacing"/>
        <w:ind w:firstLine="0"/>
        <w:rPr>
          <w:lang w:val="en-GB"/>
        </w:rPr>
      </w:pPr>
      <w:r w:rsidRPr="00F54546">
        <w:rPr>
          <w:lang w:val="en-GB"/>
        </w:rPr>
        <w:t>O</w:t>
      </w:r>
      <w:r w:rsidR="004D0978" w:rsidRPr="00F54546">
        <w:rPr>
          <w:lang w:val="en-GB"/>
        </w:rPr>
        <w:t>ur study demonstrate</w:t>
      </w:r>
      <w:r w:rsidR="00CC255A" w:rsidRPr="00F54546">
        <w:rPr>
          <w:lang w:val="en-GB"/>
        </w:rPr>
        <w:t>d</w:t>
      </w:r>
      <w:r w:rsidR="004D0978" w:rsidRPr="00F54546">
        <w:rPr>
          <w:lang w:val="en-GB"/>
        </w:rPr>
        <w:t xml:space="preserve"> that a significant portion of individuals with ADHD</w:t>
      </w:r>
      <w:r w:rsidR="00724D05" w:rsidRPr="00F54546">
        <w:rPr>
          <w:lang w:val="en-GB"/>
        </w:rPr>
        <w:t xml:space="preserve">, in particular adults, </w:t>
      </w:r>
      <w:r w:rsidR="004D0978" w:rsidRPr="00F54546">
        <w:rPr>
          <w:lang w:val="en-GB"/>
        </w:rPr>
        <w:t xml:space="preserve">are ineligible for standard RCTs, and these individuals experience </w:t>
      </w:r>
      <w:r w:rsidR="004D0978" w:rsidRPr="00F54546">
        <w:rPr>
          <w:lang w:val="en-GB"/>
        </w:rPr>
        <w:lastRenderedPageBreak/>
        <w:t xml:space="preserve">higher rates of adverse clinical outcomes compared to their eligible counterparts. </w:t>
      </w:r>
      <w:r w:rsidR="005E064B" w:rsidRPr="00F54546">
        <w:rPr>
          <w:lang w:val="en-GB"/>
        </w:rPr>
        <w:t>The findings emphasize</w:t>
      </w:r>
      <w:r w:rsidR="00724D05" w:rsidRPr="00F54546">
        <w:rPr>
          <w:lang w:val="en-GB"/>
        </w:rPr>
        <w:t xml:space="preserve"> </w:t>
      </w:r>
      <w:r w:rsidR="005E064B" w:rsidRPr="00F54546">
        <w:rPr>
          <w:lang w:val="en-GB"/>
        </w:rPr>
        <w:t xml:space="preserve">the need for complementary evidence from </w:t>
      </w:r>
      <w:r w:rsidR="00D83DAA" w:rsidRPr="00F54546">
        <w:rPr>
          <w:lang w:val="en-GB"/>
        </w:rPr>
        <w:t xml:space="preserve">pragmatic trials and </w:t>
      </w:r>
      <w:r w:rsidR="005E064B" w:rsidRPr="00F54546">
        <w:rPr>
          <w:lang w:val="en-GB"/>
        </w:rPr>
        <w:t xml:space="preserve">observational studies to inform treatment decision-making and public health </w:t>
      </w:r>
      <w:r w:rsidR="00D83DAA" w:rsidRPr="00F54546">
        <w:rPr>
          <w:lang w:val="en-GB"/>
        </w:rPr>
        <w:t>policies</w:t>
      </w:r>
      <w:r w:rsidR="005E064B" w:rsidRPr="00F54546">
        <w:rPr>
          <w:lang w:val="en-GB"/>
        </w:rPr>
        <w:t xml:space="preserve"> for individuals with ADHD.</w:t>
      </w:r>
    </w:p>
    <w:p w14:paraId="0265544A" w14:textId="77777777" w:rsidR="004019A8" w:rsidRPr="00F54546" w:rsidRDefault="004019A8">
      <w:pPr>
        <w:spacing w:line="259" w:lineRule="auto"/>
        <w:ind w:firstLine="0"/>
        <w:rPr>
          <w:rFonts w:ascii="Times New Roman" w:hAnsi="Times New Roman" w:cs="Times New Roman"/>
          <w:lang w:val="en-GB"/>
        </w:rPr>
      </w:pPr>
      <w:r w:rsidRPr="00F54546">
        <w:rPr>
          <w:lang w:val="en-GB"/>
        </w:rPr>
        <w:br w:type="page"/>
      </w:r>
    </w:p>
    <w:p w14:paraId="566F9FEE" w14:textId="1B527678" w:rsidR="00216C90" w:rsidRDefault="00216C90" w:rsidP="00056D47">
      <w:pPr>
        <w:pStyle w:val="Heading1"/>
        <w:rPr>
          <w:lang w:val="en-GB"/>
        </w:rPr>
      </w:pPr>
      <w:r>
        <w:rPr>
          <w:lang w:val="en-GB"/>
        </w:rPr>
        <w:lastRenderedPageBreak/>
        <w:t>Author Contribution</w:t>
      </w:r>
    </w:p>
    <w:p w14:paraId="0A63A697" w14:textId="77777777" w:rsidR="00821796" w:rsidRPr="00821796" w:rsidRDefault="00821796" w:rsidP="00821796">
      <w:pPr>
        <w:pStyle w:val="NoSpacing"/>
        <w:spacing w:line="240" w:lineRule="auto"/>
        <w:ind w:firstLine="0"/>
        <w:rPr>
          <w:lang w:val="en-GB"/>
        </w:rPr>
      </w:pPr>
      <w:r w:rsidRPr="00821796">
        <w:rPr>
          <w:lang w:val="en-GB"/>
        </w:rPr>
        <w:t>MGA, SC, SVF, JHN designed the study</w:t>
      </w:r>
    </w:p>
    <w:p w14:paraId="2BFAAC60" w14:textId="77777777" w:rsidR="00821796" w:rsidRPr="00821796" w:rsidRDefault="00821796" w:rsidP="00821796">
      <w:pPr>
        <w:pStyle w:val="NoSpacing"/>
        <w:spacing w:line="240" w:lineRule="auto"/>
        <w:ind w:firstLine="0"/>
        <w:rPr>
          <w:lang w:val="en-GB"/>
        </w:rPr>
      </w:pPr>
      <w:r w:rsidRPr="00821796">
        <w:rPr>
          <w:lang w:val="en-GB"/>
        </w:rPr>
        <w:t xml:space="preserve">MGA planned and performed all statistical analyses. </w:t>
      </w:r>
    </w:p>
    <w:p w14:paraId="4AB39739" w14:textId="77777777" w:rsidR="00821796" w:rsidRPr="00821796" w:rsidRDefault="00821796" w:rsidP="00821796">
      <w:pPr>
        <w:pStyle w:val="NoSpacing"/>
        <w:spacing w:line="240" w:lineRule="auto"/>
        <w:ind w:firstLine="0"/>
        <w:rPr>
          <w:lang w:val="en-GB"/>
        </w:rPr>
      </w:pPr>
      <w:r w:rsidRPr="00821796">
        <w:rPr>
          <w:lang w:val="en-GB"/>
        </w:rPr>
        <w:t>MGA and SC wrote the initial draft of the manuscript</w:t>
      </w:r>
    </w:p>
    <w:p w14:paraId="66BD2FF5" w14:textId="77777777" w:rsidR="00821796" w:rsidRPr="00821796" w:rsidRDefault="00821796" w:rsidP="00821796">
      <w:pPr>
        <w:pStyle w:val="NoSpacing"/>
        <w:spacing w:line="240" w:lineRule="auto"/>
        <w:ind w:firstLine="0"/>
        <w:rPr>
          <w:lang w:val="en-GB"/>
        </w:rPr>
      </w:pPr>
      <w:r w:rsidRPr="00821796">
        <w:rPr>
          <w:lang w:val="en-GB"/>
        </w:rPr>
        <w:t>HL, PL, RK-H, BD’O, IB, and ZC contributed to data acquisition</w:t>
      </w:r>
    </w:p>
    <w:p w14:paraId="02E5CA6F" w14:textId="1464D629" w:rsidR="00821796" w:rsidRPr="00821796" w:rsidRDefault="00821796" w:rsidP="00821796">
      <w:pPr>
        <w:pStyle w:val="NoSpacing"/>
        <w:spacing w:line="240" w:lineRule="auto"/>
        <w:ind w:firstLine="0"/>
        <w:rPr>
          <w:lang w:val="en-GB"/>
        </w:rPr>
      </w:pPr>
      <w:r w:rsidRPr="00821796">
        <w:rPr>
          <w:lang w:val="en-GB"/>
        </w:rPr>
        <w:t>SC and HL</w:t>
      </w:r>
      <w:r w:rsidR="00200C01">
        <w:rPr>
          <w:lang w:val="en-GB"/>
        </w:rPr>
        <w:t xml:space="preserve"> provided</w:t>
      </w:r>
      <w:r w:rsidRPr="00821796">
        <w:rPr>
          <w:lang w:val="en-GB"/>
        </w:rPr>
        <w:t xml:space="preserve"> supervision</w:t>
      </w:r>
      <w:r w:rsidR="00200C01">
        <w:rPr>
          <w:lang w:val="en-GB"/>
        </w:rPr>
        <w:t xml:space="preserve"> and contributed to funding acquisition</w:t>
      </w:r>
    </w:p>
    <w:p w14:paraId="4493C48A" w14:textId="6ED032A4" w:rsidR="00821796" w:rsidRPr="00821796" w:rsidRDefault="00821796" w:rsidP="00821796">
      <w:pPr>
        <w:pStyle w:val="NoSpacing"/>
        <w:spacing w:line="240" w:lineRule="auto"/>
        <w:ind w:firstLine="0"/>
        <w:rPr>
          <w:lang w:val="en-GB"/>
        </w:rPr>
      </w:pPr>
      <w:r w:rsidRPr="00821796">
        <w:rPr>
          <w:lang w:val="en-GB"/>
        </w:rPr>
        <w:t xml:space="preserve">All authors </w:t>
      </w:r>
      <w:r w:rsidR="00200C01">
        <w:rPr>
          <w:lang w:val="en-GB"/>
        </w:rPr>
        <w:t xml:space="preserve">contributed to the interpretation of the results, </w:t>
      </w:r>
      <w:r w:rsidRPr="00821796">
        <w:rPr>
          <w:lang w:val="en-GB"/>
        </w:rPr>
        <w:t>review</w:t>
      </w:r>
      <w:r w:rsidR="00200C01">
        <w:rPr>
          <w:lang w:val="en-GB"/>
        </w:rPr>
        <w:t>ing</w:t>
      </w:r>
      <w:r w:rsidRPr="00821796">
        <w:rPr>
          <w:lang w:val="en-GB"/>
        </w:rPr>
        <w:t xml:space="preserve"> </w:t>
      </w:r>
      <w:r w:rsidR="00200C01">
        <w:rPr>
          <w:lang w:val="en-GB"/>
        </w:rPr>
        <w:t>and</w:t>
      </w:r>
      <w:r w:rsidRPr="00821796">
        <w:rPr>
          <w:lang w:val="en-GB"/>
        </w:rPr>
        <w:t xml:space="preserve"> editing</w:t>
      </w:r>
      <w:r w:rsidR="00200C01">
        <w:rPr>
          <w:lang w:val="en-GB"/>
        </w:rPr>
        <w:t xml:space="preserve"> of the manuscript.</w:t>
      </w:r>
    </w:p>
    <w:p w14:paraId="6661B482" w14:textId="42A73DAE" w:rsidR="00821796" w:rsidRDefault="00821796" w:rsidP="00821796">
      <w:pPr>
        <w:pStyle w:val="NoSpacing"/>
        <w:spacing w:line="240" w:lineRule="auto"/>
        <w:ind w:firstLine="0"/>
        <w:rPr>
          <w:lang w:val="en-GB"/>
        </w:rPr>
      </w:pPr>
      <w:r w:rsidRPr="00821796">
        <w:rPr>
          <w:lang w:val="en-GB"/>
        </w:rPr>
        <w:t xml:space="preserve">MGA, HL, PL, RK-H, IB, </w:t>
      </w:r>
      <w:r w:rsidR="00461E4F">
        <w:rPr>
          <w:lang w:val="en-GB"/>
        </w:rPr>
        <w:t xml:space="preserve">and </w:t>
      </w:r>
      <w:r w:rsidRPr="00821796">
        <w:rPr>
          <w:lang w:val="en-GB"/>
        </w:rPr>
        <w:t>ZC had full access to all the data in the study and accept responsibility to submit the article for publication</w:t>
      </w:r>
    </w:p>
    <w:p w14:paraId="0B07F82B" w14:textId="3F3B6302" w:rsidR="00056D47" w:rsidRPr="00F54546" w:rsidRDefault="00AC7673" w:rsidP="00056D47">
      <w:pPr>
        <w:pStyle w:val="Heading1"/>
        <w:rPr>
          <w:lang w:val="en-GB"/>
        </w:rPr>
      </w:pPr>
      <w:r w:rsidRPr="00AC7673">
        <w:rPr>
          <w:lang w:val="en-GB"/>
        </w:rPr>
        <w:t>Acknowledgments</w:t>
      </w:r>
    </w:p>
    <w:p w14:paraId="21990A64" w14:textId="3290BE88" w:rsidR="00F416C4" w:rsidRDefault="00F416C4" w:rsidP="00056D47">
      <w:pPr>
        <w:ind w:firstLine="0"/>
        <w:rPr>
          <w:rFonts w:ascii="Times New Roman" w:hAnsi="Times New Roman" w:cs="Times New Roman"/>
          <w:lang w:val="en-GB"/>
        </w:rPr>
      </w:pPr>
      <w:bookmarkStart w:id="29" w:name="_Hlk175646146"/>
      <w:r w:rsidRPr="00F416C4">
        <w:rPr>
          <w:rFonts w:ascii="Times New Roman" w:hAnsi="Times New Roman" w:cs="Times New Roman"/>
          <w:lang w:val="en-GB"/>
        </w:rPr>
        <w:t>Samuele Cortese, NIHR Research Professor (</w:t>
      </w:r>
      <w:bookmarkStart w:id="30" w:name="_Hlk175646449"/>
      <w:r w:rsidRPr="00F416C4">
        <w:rPr>
          <w:rFonts w:ascii="Times New Roman" w:hAnsi="Times New Roman" w:cs="Times New Roman"/>
          <w:lang w:val="en-GB"/>
        </w:rPr>
        <w:t>NIHR303122</w:t>
      </w:r>
      <w:bookmarkEnd w:id="30"/>
      <w:r w:rsidRPr="00F416C4">
        <w:rPr>
          <w:rFonts w:ascii="Times New Roman" w:hAnsi="Times New Roman" w:cs="Times New Roman"/>
          <w:lang w:val="en-GB"/>
        </w:rPr>
        <w:t xml:space="preserve">) is funded by the NIHR for this research project. The views expressed in this publication are those of the author(s) and not necessarily those of the NIHR, NHS or the UK Department of Health and Social Care. Samuele Cortese is also supported by NIHR grants </w:t>
      </w:r>
      <w:bookmarkStart w:id="31" w:name="_Hlk175646461"/>
      <w:r w:rsidRPr="00F416C4">
        <w:rPr>
          <w:rFonts w:ascii="Times New Roman" w:hAnsi="Times New Roman" w:cs="Times New Roman"/>
          <w:lang w:val="en-GB"/>
        </w:rPr>
        <w:t>NIHR203684, NIHR203035, NIHR130077, NIHR128472, RP-PG-0618-20003 and by grant 101095568-HORIZONHLTH</w:t>
      </w:r>
      <w:bookmarkEnd w:id="29"/>
      <w:r w:rsidRPr="00F416C4">
        <w:rPr>
          <w:rFonts w:ascii="Times New Roman" w:hAnsi="Times New Roman" w:cs="Times New Roman"/>
          <w:lang w:val="en-GB"/>
        </w:rPr>
        <w:t>- 2022-DISEASE-07-03 from the European Research Executive Agency.</w:t>
      </w:r>
    </w:p>
    <w:bookmarkEnd w:id="31"/>
    <w:p w14:paraId="4BC83CB9" w14:textId="1D0CC38F" w:rsidR="00056D47" w:rsidRPr="00F54546" w:rsidRDefault="00CC0455" w:rsidP="00056D47">
      <w:pPr>
        <w:ind w:firstLine="0"/>
        <w:rPr>
          <w:rFonts w:ascii="Times New Roman" w:hAnsi="Times New Roman" w:cs="Times New Roman"/>
          <w:lang w:val="en-GB"/>
        </w:rPr>
      </w:pPr>
      <w:r w:rsidRPr="00CC0455">
        <w:rPr>
          <w:rFonts w:ascii="Times New Roman" w:hAnsi="Times New Roman" w:cs="Times New Roman"/>
          <w:lang w:val="en-GB"/>
        </w:rPr>
        <w:t>Henrik Larsson acknowledge financial support from the European Union’s Horizon 2020 research and innovation programme under grant agreement No 965381 and the Swedish Research Council (2022-01119).</w:t>
      </w:r>
      <w:r w:rsidR="00056D47" w:rsidRPr="00F54546">
        <w:rPr>
          <w:rFonts w:ascii="Times New Roman" w:hAnsi="Times New Roman" w:cs="Times New Roman"/>
          <w:lang w:val="en-GB"/>
        </w:rPr>
        <w:t xml:space="preserve"> This report reflects only the author’s view, and the European Union is not responsible for any use that may be made of the information it contains.</w:t>
      </w:r>
    </w:p>
    <w:p w14:paraId="5BCE5A66" w14:textId="77777777" w:rsidR="00056D47" w:rsidRPr="00F54546" w:rsidRDefault="00056D47" w:rsidP="00056D47">
      <w:pPr>
        <w:pStyle w:val="Heading1"/>
        <w:rPr>
          <w:lang w:val="en-GB"/>
        </w:rPr>
      </w:pPr>
      <w:r w:rsidRPr="00F54546">
        <w:rPr>
          <w:lang w:val="en-GB"/>
        </w:rPr>
        <w:lastRenderedPageBreak/>
        <w:t>Role of the Funding source</w:t>
      </w:r>
    </w:p>
    <w:p w14:paraId="166EE90D" w14:textId="77777777" w:rsidR="00056D47" w:rsidRPr="00F54546" w:rsidRDefault="00056D47" w:rsidP="00056D47">
      <w:pPr>
        <w:ind w:firstLine="0"/>
        <w:rPr>
          <w:rFonts w:ascii="Times New Roman" w:hAnsi="Times New Roman" w:cs="Times New Roman"/>
          <w:lang w:val="en-GB"/>
        </w:rPr>
      </w:pPr>
      <w:r w:rsidRPr="00F54546">
        <w:rPr>
          <w:rFonts w:ascii="Times New Roman" w:hAnsi="Times New Roman" w:cs="Times New Roman"/>
          <w:lang w:val="en-GB"/>
        </w:rPr>
        <w:t>The funders had no role in the design and conduct of the study; collection, management, analysis, and interpretation of the data; preparation, review, or approval of the manuscript; and decision to submit the manuscript for publication.</w:t>
      </w:r>
    </w:p>
    <w:p w14:paraId="37EF6413" w14:textId="64520B35" w:rsidR="00056D47" w:rsidRPr="00F54546" w:rsidRDefault="00AC7673" w:rsidP="00056D47">
      <w:pPr>
        <w:pStyle w:val="Heading1"/>
        <w:rPr>
          <w:lang w:val="en-GB"/>
        </w:rPr>
      </w:pPr>
      <w:r>
        <w:rPr>
          <w:lang w:val="en-GB"/>
        </w:rPr>
        <w:t>Declaration of interests</w:t>
      </w:r>
    </w:p>
    <w:p w14:paraId="75DF0A43" w14:textId="3BEF2232" w:rsidR="00056D47" w:rsidRPr="00F54546" w:rsidRDefault="00056D47" w:rsidP="00056D47">
      <w:pPr>
        <w:ind w:firstLine="0"/>
        <w:rPr>
          <w:rFonts w:ascii="Times New Roman" w:hAnsi="Times New Roman" w:cs="Times New Roman"/>
          <w:lang w:val="en-GB"/>
        </w:rPr>
      </w:pPr>
      <w:r w:rsidRPr="00F54546">
        <w:rPr>
          <w:rFonts w:ascii="Times New Roman" w:hAnsi="Times New Roman" w:cs="Times New Roman"/>
          <w:lang w:val="en-GB"/>
        </w:rPr>
        <w:t>Henrik Larsson reported receiving grants from Shire/Takeda Pharmaceuticals during the conduct of the study; personal fees from and serving as a speaker for Shire/Takeda Pharmaceuticals and Evolan Pharma AB outside the submitted work; and sponsorship for a conference on attention-deficit/hyperactivity disorder from Shire Pharmaceuticals outside the submitted work.</w:t>
      </w:r>
      <w:r w:rsidR="00352AB0" w:rsidRPr="00352AB0">
        <w:t xml:space="preserve"> </w:t>
      </w:r>
      <w:r w:rsidR="00352AB0" w:rsidRPr="00352AB0">
        <w:rPr>
          <w:rFonts w:ascii="Times New Roman" w:hAnsi="Times New Roman" w:cs="Times New Roman"/>
          <w:lang w:val="en-GB"/>
        </w:rPr>
        <w:t>Prof. Cortese has declared reimbursement for travel and accommodation expenses from the Association for Child and Adolescent Central Health (ACAMH) in relation to lectures delivered for ACAMH, the Canadian ADHD Resource</w:t>
      </w:r>
      <w:r w:rsidR="00352AB0">
        <w:rPr>
          <w:rFonts w:ascii="Times New Roman" w:hAnsi="Times New Roman" w:cs="Times New Roman"/>
          <w:lang w:val="en-GB"/>
        </w:rPr>
        <w:t xml:space="preserve"> </w:t>
      </w:r>
      <w:r w:rsidR="00352AB0" w:rsidRPr="00352AB0">
        <w:rPr>
          <w:rFonts w:ascii="Times New Roman" w:hAnsi="Times New Roman" w:cs="Times New Roman"/>
          <w:lang w:val="en-GB"/>
        </w:rPr>
        <w:t>Alliance, the British Association of Psychopharmacology, and from Healthcare Convention for educational activity on ADHD, and has received honoraria from Medice.</w:t>
      </w:r>
      <w:r w:rsidR="00352AB0">
        <w:rPr>
          <w:rFonts w:ascii="Times New Roman" w:hAnsi="Times New Roman" w:cs="Times New Roman"/>
          <w:lang w:val="en-GB"/>
        </w:rPr>
        <w:t xml:space="preserve"> </w:t>
      </w:r>
      <w:r w:rsidRPr="00F54546">
        <w:rPr>
          <w:rFonts w:ascii="Times New Roman" w:hAnsi="Times New Roman" w:cs="Times New Roman"/>
          <w:lang w:val="en-GB"/>
        </w:rPr>
        <w:t>The remaining authors declare having no conflict of interest.</w:t>
      </w:r>
    </w:p>
    <w:p w14:paraId="46E290F2" w14:textId="77777777" w:rsidR="00056D47" w:rsidRPr="00F54546" w:rsidRDefault="00056D47" w:rsidP="00056D47">
      <w:pPr>
        <w:pStyle w:val="Heading1"/>
        <w:rPr>
          <w:lang w:val="en-GB"/>
        </w:rPr>
      </w:pPr>
      <w:r w:rsidRPr="00F54546">
        <w:rPr>
          <w:lang w:val="en-GB"/>
        </w:rPr>
        <w:t>Transparency declaration</w:t>
      </w:r>
    </w:p>
    <w:p w14:paraId="7CDF6522" w14:textId="77777777" w:rsidR="00056D47" w:rsidRPr="00F54546" w:rsidRDefault="00056D47" w:rsidP="00056D47">
      <w:pPr>
        <w:ind w:firstLine="0"/>
        <w:rPr>
          <w:rFonts w:ascii="Times New Roman" w:hAnsi="Times New Roman" w:cs="Times New Roman"/>
          <w:lang w:val="en-GB"/>
        </w:rPr>
      </w:pPr>
      <w:r w:rsidRPr="00F54546">
        <w:rPr>
          <w:rFonts w:ascii="Times New Roman" w:hAnsi="Times New Roman" w:cs="Times New Roman"/>
          <w:lang w:val="en-GB"/>
        </w:rPr>
        <w:t>The lead author affirms that this manuscript is an honest, accurate, and transparent account of the study being reported; that no important aspects of the study have been omitted; and that any discrepancies from the study as planned (and, if relevant, registered) have been explained.</w:t>
      </w:r>
    </w:p>
    <w:p w14:paraId="4410BBBE" w14:textId="7E7A0C30" w:rsidR="00056D47" w:rsidRPr="00F54546" w:rsidRDefault="00056D47" w:rsidP="003663B1">
      <w:pPr>
        <w:pStyle w:val="Heading1"/>
        <w:rPr>
          <w:lang w:val="en-GB"/>
        </w:rPr>
      </w:pPr>
      <w:r w:rsidRPr="00F54546">
        <w:rPr>
          <w:rStyle w:val="Heading1Char"/>
          <w:b/>
          <w:lang w:val="en-GB"/>
        </w:rPr>
        <w:lastRenderedPageBreak/>
        <w:t>Data sharing</w:t>
      </w:r>
    </w:p>
    <w:p w14:paraId="50FF2E4E" w14:textId="744B8900" w:rsidR="00BE6F7E" w:rsidRDefault="00056D47" w:rsidP="00056D47">
      <w:pPr>
        <w:ind w:firstLine="0"/>
        <w:rPr>
          <w:rFonts w:ascii="Times New Roman" w:hAnsi="Times New Roman" w:cs="Times New Roman"/>
          <w:lang w:val="en-GB"/>
        </w:rPr>
      </w:pPr>
      <w:r w:rsidRPr="00F54546">
        <w:rPr>
          <w:rFonts w:ascii="Times New Roman" w:hAnsi="Times New Roman" w:cs="Times New Roman"/>
          <w:lang w:val="en-GB"/>
        </w:rPr>
        <w:t>The Public Access to Information and Secrecy Act in Sweden prohibits us from making individual level data publicly available. Researchers who are interested in replicating our work can apply for individual level data at Statistics Sweden: www.scb.se/en/services/guidance-for-researchers-and-universities/.</w:t>
      </w:r>
    </w:p>
    <w:p w14:paraId="10D3BF49" w14:textId="77777777" w:rsidR="00BE6F7E" w:rsidRDefault="00BE6F7E">
      <w:pPr>
        <w:spacing w:line="259" w:lineRule="auto"/>
        <w:ind w:firstLine="0"/>
        <w:rPr>
          <w:rFonts w:ascii="Times New Roman" w:hAnsi="Times New Roman" w:cs="Times New Roman"/>
          <w:lang w:val="en-GB"/>
        </w:rPr>
      </w:pPr>
      <w:r>
        <w:rPr>
          <w:rFonts w:ascii="Times New Roman" w:hAnsi="Times New Roman" w:cs="Times New Roman"/>
          <w:lang w:val="en-GB"/>
        </w:rPr>
        <w:br w:type="page"/>
      </w:r>
    </w:p>
    <w:p w14:paraId="145D6BD2" w14:textId="77777777" w:rsidR="00056D47" w:rsidRPr="00F54546" w:rsidRDefault="00056D47" w:rsidP="00056D47">
      <w:pPr>
        <w:pStyle w:val="Heading1"/>
        <w:rPr>
          <w:lang w:val="en-GB"/>
        </w:rPr>
      </w:pPr>
      <w:r w:rsidRPr="00F54546">
        <w:rPr>
          <w:lang w:val="en-GB"/>
        </w:rPr>
        <w:lastRenderedPageBreak/>
        <w:t>References</w:t>
      </w:r>
    </w:p>
    <w:p w14:paraId="42210A8E" w14:textId="77777777" w:rsidR="00330C0C" w:rsidRPr="00330C0C" w:rsidRDefault="00B4082A" w:rsidP="00330C0C">
      <w:pPr>
        <w:pStyle w:val="Bibliography"/>
        <w:rPr>
          <w:rFonts w:ascii="Times New Roman" w:hAnsi="Times New Roman" w:cs="Times New Roman"/>
        </w:rPr>
      </w:pPr>
      <w:r>
        <w:rPr>
          <w:lang w:val="en-GB"/>
        </w:rPr>
        <w:fldChar w:fldCharType="begin"/>
      </w:r>
      <w:r w:rsidR="00A91AE7">
        <w:rPr>
          <w:lang w:val="en-GB"/>
        </w:rPr>
        <w:instrText xml:space="preserve"> ADDIN ZOTERO_BIBL {"uncited":[],"omitted":[],"custom":[]} CSL_BIBLIOGRAPHY </w:instrText>
      </w:r>
      <w:r>
        <w:rPr>
          <w:lang w:val="en-GB"/>
        </w:rPr>
        <w:fldChar w:fldCharType="separate"/>
      </w:r>
      <w:r w:rsidR="00330C0C" w:rsidRPr="00330C0C">
        <w:rPr>
          <w:rFonts w:ascii="Times New Roman" w:hAnsi="Times New Roman" w:cs="Times New Roman"/>
        </w:rPr>
        <w:t>1</w:t>
      </w:r>
      <w:r w:rsidR="00330C0C" w:rsidRPr="00330C0C">
        <w:rPr>
          <w:rFonts w:ascii="Times New Roman" w:hAnsi="Times New Roman" w:cs="Times New Roman"/>
        </w:rPr>
        <w:tab/>
        <w:t xml:space="preserve">Cortese S. Pharmacologic Treatment of Attention Deficit–Hyperactivity Disorder. </w:t>
      </w:r>
      <w:r w:rsidR="00330C0C" w:rsidRPr="00330C0C">
        <w:rPr>
          <w:rFonts w:ascii="Times New Roman" w:hAnsi="Times New Roman" w:cs="Times New Roman"/>
          <w:i/>
          <w:iCs/>
        </w:rPr>
        <w:t>N Engl J Med</w:t>
      </w:r>
      <w:r w:rsidR="00330C0C" w:rsidRPr="00330C0C">
        <w:rPr>
          <w:rFonts w:ascii="Times New Roman" w:hAnsi="Times New Roman" w:cs="Times New Roman"/>
        </w:rPr>
        <w:t xml:space="preserve"> 2020; </w:t>
      </w:r>
      <w:r w:rsidR="00330C0C" w:rsidRPr="00330C0C">
        <w:rPr>
          <w:rFonts w:ascii="Times New Roman" w:hAnsi="Times New Roman" w:cs="Times New Roman"/>
          <w:b/>
          <w:bCs/>
        </w:rPr>
        <w:t>383</w:t>
      </w:r>
      <w:r w:rsidR="00330C0C" w:rsidRPr="00330C0C">
        <w:rPr>
          <w:rFonts w:ascii="Times New Roman" w:hAnsi="Times New Roman" w:cs="Times New Roman"/>
        </w:rPr>
        <w:t>: 1050–6.</w:t>
      </w:r>
    </w:p>
    <w:p w14:paraId="089EBF62"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2</w:t>
      </w:r>
      <w:r w:rsidRPr="00330C0C">
        <w:rPr>
          <w:rFonts w:ascii="Times New Roman" w:hAnsi="Times New Roman" w:cs="Times New Roman"/>
        </w:rPr>
        <w:tab/>
        <w:t xml:space="preserve">Cortese S, Adamo N, Del Giovane C, </w:t>
      </w:r>
      <w:r w:rsidRPr="00330C0C">
        <w:rPr>
          <w:rFonts w:ascii="Times New Roman" w:hAnsi="Times New Roman" w:cs="Times New Roman"/>
          <w:i/>
          <w:iCs/>
        </w:rPr>
        <w:t>et al.</w:t>
      </w:r>
      <w:r w:rsidRPr="00330C0C">
        <w:rPr>
          <w:rFonts w:ascii="Times New Roman" w:hAnsi="Times New Roman" w:cs="Times New Roman"/>
        </w:rPr>
        <w:t xml:space="preserve"> Comparative efficacy and tolerability of medications for attention-deficit hyperactivity disorder in children, adolescents, and adults: a systematic review and network meta-analysis. </w:t>
      </w:r>
      <w:r w:rsidRPr="00330C0C">
        <w:rPr>
          <w:rFonts w:ascii="Times New Roman" w:hAnsi="Times New Roman" w:cs="Times New Roman"/>
          <w:i/>
          <w:iCs/>
        </w:rPr>
        <w:t>Lancet Psychiatry</w:t>
      </w:r>
      <w:r w:rsidRPr="00330C0C">
        <w:rPr>
          <w:rFonts w:ascii="Times New Roman" w:hAnsi="Times New Roman" w:cs="Times New Roman"/>
        </w:rPr>
        <w:t xml:space="preserve"> 2018; </w:t>
      </w:r>
      <w:r w:rsidRPr="00330C0C">
        <w:rPr>
          <w:rFonts w:ascii="Times New Roman" w:hAnsi="Times New Roman" w:cs="Times New Roman"/>
          <w:b/>
          <w:bCs/>
        </w:rPr>
        <w:t>5</w:t>
      </w:r>
      <w:r w:rsidRPr="00330C0C">
        <w:rPr>
          <w:rFonts w:ascii="Times New Roman" w:hAnsi="Times New Roman" w:cs="Times New Roman"/>
        </w:rPr>
        <w:t>: 727–38.</w:t>
      </w:r>
    </w:p>
    <w:p w14:paraId="4D20C541"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3</w:t>
      </w:r>
      <w:r w:rsidRPr="00330C0C">
        <w:rPr>
          <w:rFonts w:ascii="Times New Roman" w:hAnsi="Times New Roman" w:cs="Times New Roman"/>
        </w:rPr>
        <w:tab/>
        <w:t xml:space="preserve">Garcia-Argibay M, Brikell I, Thapar A, </w:t>
      </w:r>
      <w:r w:rsidRPr="00330C0C">
        <w:rPr>
          <w:rFonts w:ascii="Times New Roman" w:hAnsi="Times New Roman" w:cs="Times New Roman"/>
          <w:i/>
          <w:iCs/>
        </w:rPr>
        <w:t>et al.</w:t>
      </w:r>
      <w:r w:rsidRPr="00330C0C">
        <w:rPr>
          <w:rFonts w:ascii="Times New Roman" w:hAnsi="Times New Roman" w:cs="Times New Roman"/>
        </w:rPr>
        <w:t xml:space="preserve"> Attention-Deficit/Hyperactivity Disorder and Major Depressive Disorder: Evidence From Multiple Genetically Informed Designs. </w:t>
      </w:r>
      <w:r w:rsidRPr="00330C0C">
        <w:rPr>
          <w:rFonts w:ascii="Times New Roman" w:hAnsi="Times New Roman" w:cs="Times New Roman"/>
          <w:i/>
          <w:iCs/>
        </w:rPr>
        <w:t>Biol Psychiatry</w:t>
      </w:r>
      <w:r w:rsidRPr="00330C0C">
        <w:rPr>
          <w:rFonts w:ascii="Times New Roman" w:hAnsi="Times New Roman" w:cs="Times New Roman"/>
        </w:rPr>
        <w:t xml:space="preserve"> 2024; </w:t>
      </w:r>
      <w:r w:rsidRPr="00330C0C">
        <w:rPr>
          <w:rFonts w:ascii="Times New Roman" w:hAnsi="Times New Roman" w:cs="Times New Roman"/>
          <w:b/>
          <w:bCs/>
        </w:rPr>
        <w:t>95</w:t>
      </w:r>
      <w:r w:rsidRPr="00330C0C">
        <w:rPr>
          <w:rFonts w:ascii="Times New Roman" w:hAnsi="Times New Roman" w:cs="Times New Roman"/>
        </w:rPr>
        <w:t>: 444–52.</w:t>
      </w:r>
    </w:p>
    <w:p w14:paraId="7D3C205B"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4</w:t>
      </w:r>
      <w:r w:rsidRPr="00330C0C">
        <w:rPr>
          <w:rFonts w:ascii="Times New Roman" w:hAnsi="Times New Roman" w:cs="Times New Roman"/>
        </w:rPr>
        <w:tab/>
        <w:t xml:space="preserve">Faraone SV, Banaschewski T, Coghill D, </w:t>
      </w:r>
      <w:r w:rsidRPr="00330C0C">
        <w:rPr>
          <w:rFonts w:ascii="Times New Roman" w:hAnsi="Times New Roman" w:cs="Times New Roman"/>
          <w:i/>
          <w:iCs/>
        </w:rPr>
        <w:t>et al.</w:t>
      </w:r>
      <w:r w:rsidRPr="00330C0C">
        <w:rPr>
          <w:rFonts w:ascii="Times New Roman" w:hAnsi="Times New Roman" w:cs="Times New Roman"/>
        </w:rPr>
        <w:t xml:space="preserve"> The World Federation of ADHD International Consensus Statement: 208 Evidence-based conclusions about the disorder. </w:t>
      </w:r>
      <w:r w:rsidRPr="00330C0C">
        <w:rPr>
          <w:rFonts w:ascii="Times New Roman" w:hAnsi="Times New Roman" w:cs="Times New Roman"/>
          <w:i/>
          <w:iCs/>
        </w:rPr>
        <w:t>Neurosci Biobehav Rev</w:t>
      </w:r>
      <w:r w:rsidRPr="00330C0C">
        <w:rPr>
          <w:rFonts w:ascii="Times New Roman" w:hAnsi="Times New Roman" w:cs="Times New Roman"/>
        </w:rPr>
        <w:t xml:space="preserve"> 2021; </w:t>
      </w:r>
      <w:r w:rsidRPr="00330C0C">
        <w:rPr>
          <w:rFonts w:ascii="Times New Roman" w:hAnsi="Times New Roman" w:cs="Times New Roman"/>
          <w:b/>
          <w:bCs/>
        </w:rPr>
        <w:t>128</w:t>
      </w:r>
      <w:r w:rsidRPr="00330C0C">
        <w:rPr>
          <w:rFonts w:ascii="Times New Roman" w:hAnsi="Times New Roman" w:cs="Times New Roman"/>
        </w:rPr>
        <w:t>: 789–818.</w:t>
      </w:r>
    </w:p>
    <w:p w14:paraId="06B249C9"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5</w:t>
      </w:r>
      <w:r w:rsidRPr="00330C0C">
        <w:rPr>
          <w:rFonts w:ascii="Times New Roman" w:hAnsi="Times New Roman" w:cs="Times New Roman"/>
        </w:rPr>
        <w:tab/>
        <w:t xml:space="preserve">Li L, Yao H, Zhang L, </w:t>
      </w:r>
      <w:r w:rsidRPr="00330C0C">
        <w:rPr>
          <w:rFonts w:ascii="Times New Roman" w:hAnsi="Times New Roman" w:cs="Times New Roman"/>
          <w:i/>
          <w:iCs/>
        </w:rPr>
        <w:t>et al.</w:t>
      </w:r>
      <w:r w:rsidRPr="00330C0C">
        <w:rPr>
          <w:rFonts w:ascii="Times New Roman" w:hAnsi="Times New Roman" w:cs="Times New Roman"/>
        </w:rPr>
        <w:t xml:space="preserve"> Attention‐deficit/hyperactivity disorder is associated with increased risk of cardiovascular diseases: A systematic review and meta‐analysis. </w:t>
      </w:r>
      <w:r w:rsidRPr="00330C0C">
        <w:rPr>
          <w:rFonts w:ascii="Times New Roman" w:hAnsi="Times New Roman" w:cs="Times New Roman"/>
          <w:i/>
          <w:iCs/>
        </w:rPr>
        <w:t>JCPP Adv</w:t>
      </w:r>
      <w:r w:rsidRPr="00330C0C">
        <w:rPr>
          <w:rFonts w:ascii="Times New Roman" w:hAnsi="Times New Roman" w:cs="Times New Roman"/>
        </w:rPr>
        <w:t xml:space="preserve"> 2023; </w:t>
      </w:r>
      <w:r w:rsidRPr="00330C0C">
        <w:rPr>
          <w:rFonts w:ascii="Times New Roman" w:hAnsi="Times New Roman" w:cs="Times New Roman"/>
          <w:b/>
          <w:bCs/>
        </w:rPr>
        <w:t>3</w:t>
      </w:r>
      <w:r w:rsidRPr="00330C0C">
        <w:rPr>
          <w:rFonts w:ascii="Times New Roman" w:hAnsi="Times New Roman" w:cs="Times New Roman"/>
        </w:rPr>
        <w:t>: e12158.</w:t>
      </w:r>
    </w:p>
    <w:p w14:paraId="00C547EA"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6</w:t>
      </w:r>
      <w:r w:rsidRPr="00330C0C">
        <w:rPr>
          <w:rFonts w:ascii="Times New Roman" w:hAnsi="Times New Roman" w:cs="Times New Roman"/>
        </w:rPr>
        <w:tab/>
        <w:t xml:space="preserve">Garcia-Argibay M, Du Rietz E, Hartman CA, </w:t>
      </w:r>
      <w:r w:rsidRPr="00330C0C">
        <w:rPr>
          <w:rFonts w:ascii="Times New Roman" w:hAnsi="Times New Roman" w:cs="Times New Roman"/>
          <w:i/>
          <w:iCs/>
        </w:rPr>
        <w:t>et al.</w:t>
      </w:r>
      <w:r w:rsidRPr="00330C0C">
        <w:rPr>
          <w:rFonts w:ascii="Times New Roman" w:hAnsi="Times New Roman" w:cs="Times New Roman"/>
        </w:rPr>
        <w:t xml:space="preserve"> Cardiovascular risk factors in attention-deficit/hyperactivity disorder: A family design study of Swedish conscripts. </w:t>
      </w:r>
      <w:r w:rsidRPr="00330C0C">
        <w:rPr>
          <w:rFonts w:ascii="Times New Roman" w:hAnsi="Times New Roman" w:cs="Times New Roman"/>
          <w:i/>
          <w:iCs/>
        </w:rPr>
        <w:t>Int J Methods Psychiatr Res</w:t>
      </w:r>
      <w:r w:rsidRPr="00330C0C">
        <w:rPr>
          <w:rFonts w:ascii="Times New Roman" w:hAnsi="Times New Roman" w:cs="Times New Roman"/>
        </w:rPr>
        <w:t xml:space="preserve"> 2022; </w:t>
      </w:r>
      <w:r w:rsidRPr="00330C0C">
        <w:rPr>
          <w:rFonts w:ascii="Times New Roman" w:hAnsi="Times New Roman" w:cs="Times New Roman"/>
          <w:b/>
          <w:bCs/>
        </w:rPr>
        <w:t>31</w:t>
      </w:r>
      <w:r w:rsidRPr="00330C0C">
        <w:rPr>
          <w:rFonts w:ascii="Times New Roman" w:hAnsi="Times New Roman" w:cs="Times New Roman"/>
        </w:rPr>
        <w:t>: e1930.</w:t>
      </w:r>
    </w:p>
    <w:p w14:paraId="2B648FB6"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7</w:t>
      </w:r>
      <w:r w:rsidRPr="00330C0C">
        <w:rPr>
          <w:rFonts w:ascii="Times New Roman" w:hAnsi="Times New Roman" w:cs="Times New Roman"/>
        </w:rPr>
        <w:tab/>
        <w:t xml:space="preserve">Garcia-Argibay M, Li L, Du Rietz E, </w:t>
      </w:r>
      <w:r w:rsidRPr="00330C0C">
        <w:rPr>
          <w:rFonts w:ascii="Times New Roman" w:hAnsi="Times New Roman" w:cs="Times New Roman"/>
          <w:i/>
          <w:iCs/>
        </w:rPr>
        <w:t>et al.</w:t>
      </w:r>
      <w:r w:rsidRPr="00330C0C">
        <w:rPr>
          <w:rFonts w:ascii="Times New Roman" w:hAnsi="Times New Roman" w:cs="Times New Roman"/>
        </w:rPr>
        <w:t xml:space="preserve"> The association between type 2 diabetes and attention- deficit/hyperactivity disorder: A systematic review, meta-analysis, and population-based sibling study. </w:t>
      </w:r>
      <w:r w:rsidRPr="00330C0C">
        <w:rPr>
          <w:rFonts w:ascii="Times New Roman" w:hAnsi="Times New Roman" w:cs="Times New Roman"/>
          <w:i/>
          <w:iCs/>
        </w:rPr>
        <w:t>Neurosci Biobehav Rev</w:t>
      </w:r>
      <w:r w:rsidRPr="00330C0C">
        <w:rPr>
          <w:rFonts w:ascii="Times New Roman" w:hAnsi="Times New Roman" w:cs="Times New Roman"/>
        </w:rPr>
        <w:t xml:space="preserve"> 2023; </w:t>
      </w:r>
      <w:r w:rsidRPr="00330C0C">
        <w:rPr>
          <w:rFonts w:ascii="Times New Roman" w:hAnsi="Times New Roman" w:cs="Times New Roman"/>
          <w:b/>
          <w:bCs/>
        </w:rPr>
        <w:t>147</w:t>
      </w:r>
      <w:r w:rsidRPr="00330C0C">
        <w:rPr>
          <w:rFonts w:ascii="Times New Roman" w:hAnsi="Times New Roman" w:cs="Times New Roman"/>
        </w:rPr>
        <w:t>: 105076.</w:t>
      </w:r>
    </w:p>
    <w:p w14:paraId="4BE9F955"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8</w:t>
      </w:r>
      <w:r w:rsidRPr="00330C0C">
        <w:rPr>
          <w:rFonts w:ascii="Times New Roman" w:hAnsi="Times New Roman" w:cs="Times New Roman"/>
        </w:rPr>
        <w:tab/>
        <w:t xml:space="preserve">Surman CBH, Monuteaux MC, Petty CR, </w:t>
      </w:r>
      <w:r w:rsidRPr="00330C0C">
        <w:rPr>
          <w:rFonts w:ascii="Times New Roman" w:hAnsi="Times New Roman" w:cs="Times New Roman"/>
          <w:i/>
          <w:iCs/>
        </w:rPr>
        <w:t>et al.</w:t>
      </w:r>
      <w:r w:rsidRPr="00330C0C">
        <w:rPr>
          <w:rFonts w:ascii="Times New Roman" w:hAnsi="Times New Roman" w:cs="Times New Roman"/>
        </w:rPr>
        <w:t xml:space="preserve"> Representativeness of Participants in a Clinical Trial for Attention-Deficit/Hyperactivity Disorder?: Comparison With Adults From a Large Observational Study. </w:t>
      </w:r>
      <w:r w:rsidRPr="00330C0C">
        <w:rPr>
          <w:rFonts w:ascii="Times New Roman" w:hAnsi="Times New Roman" w:cs="Times New Roman"/>
          <w:i/>
          <w:iCs/>
        </w:rPr>
        <w:t>J Clin Psychiatry</w:t>
      </w:r>
      <w:r w:rsidRPr="00330C0C">
        <w:rPr>
          <w:rFonts w:ascii="Times New Roman" w:hAnsi="Times New Roman" w:cs="Times New Roman"/>
        </w:rPr>
        <w:t xml:space="preserve"> 2010; </w:t>
      </w:r>
      <w:r w:rsidRPr="00330C0C">
        <w:rPr>
          <w:rFonts w:ascii="Times New Roman" w:hAnsi="Times New Roman" w:cs="Times New Roman"/>
          <w:b/>
          <w:bCs/>
        </w:rPr>
        <w:t>71</w:t>
      </w:r>
      <w:r w:rsidRPr="00330C0C">
        <w:rPr>
          <w:rFonts w:ascii="Times New Roman" w:hAnsi="Times New Roman" w:cs="Times New Roman"/>
        </w:rPr>
        <w:t>: 1612–6.</w:t>
      </w:r>
    </w:p>
    <w:p w14:paraId="6A0F0A68"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9</w:t>
      </w:r>
      <w:r w:rsidRPr="00330C0C">
        <w:rPr>
          <w:rFonts w:ascii="Times New Roman" w:hAnsi="Times New Roman" w:cs="Times New Roman"/>
        </w:rPr>
        <w:tab/>
        <w:t xml:space="preserve">Bjerkeli PJ, Perez Vicente R, Mulinari S, Johnell K, Merlo J. Overuse of methylphenidate: an analysis of Swedish pharmacy dispensing data. </w:t>
      </w:r>
      <w:r w:rsidRPr="00330C0C">
        <w:rPr>
          <w:rFonts w:ascii="Times New Roman" w:hAnsi="Times New Roman" w:cs="Times New Roman"/>
          <w:i/>
          <w:iCs/>
        </w:rPr>
        <w:t>Clin Epidemiol</w:t>
      </w:r>
      <w:r w:rsidRPr="00330C0C">
        <w:rPr>
          <w:rFonts w:ascii="Times New Roman" w:hAnsi="Times New Roman" w:cs="Times New Roman"/>
        </w:rPr>
        <w:t xml:space="preserve"> 2018; </w:t>
      </w:r>
      <w:r w:rsidRPr="00330C0C">
        <w:rPr>
          <w:rFonts w:ascii="Times New Roman" w:hAnsi="Times New Roman" w:cs="Times New Roman"/>
          <w:b/>
          <w:bCs/>
        </w:rPr>
        <w:t>Volume 10</w:t>
      </w:r>
      <w:r w:rsidRPr="00330C0C">
        <w:rPr>
          <w:rFonts w:ascii="Times New Roman" w:hAnsi="Times New Roman" w:cs="Times New Roman"/>
        </w:rPr>
        <w:t>: 1657–65.</w:t>
      </w:r>
    </w:p>
    <w:p w14:paraId="5E0F15BD"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10</w:t>
      </w:r>
      <w:r w:rsidRPr="00330C0C">
        <w:rPr>
          <w:rFonts w:ascii="Times New Roman" w:hAnsi="Times New Roman" w:cs="Times New Roman"/>
        </w:rPr>
        <w:tab/>
        <w:t xml:space="preserve">Tadrous M, Shakeri A, Chu C, </w:t>
      </w:r>
      <w:r w:rsidRPr="00330C0C">
        <w:rPr>
          <w:rFonts w:ascii="Times New Roman" w:hAnsi="Times New Roman" w:cs="Times New Roman"/>
          <w:i/>
          <w:iCs/>
        </w:rPr>
        <w:t>et al.</w:t>
      </w:r>
      <w:r w:rsidRPr="00330C0C">
        <w:rPr>
          <w:rFonts w:ascii="Times New Roman" w:hAnsi="Times New Roman" w:cs="Times New Roman"/>
        </w:rPr>
        <w:t xml:space="preserve"> Assessment of Stimulant Use and Cardiovascular Event Risks Among Older Adults. </w:t>
      </w:r>
      <w:r w:rsidRPr="00330C0C">
        <w:rPr>
          <w:rFonts w:ascii="Times New Roman" w:hAnsi="Times New Roman" w:cs="Times New Roman"/>
          <w:i/>
          <w:iCs/>
        </w:rPr>
        <w:t>JAMA Netw Open</w:t>
      </w:r>
      <w:r w:rsidRPr="00330C0C">
        <w:rPr>
          <w:rFonts w:ascii="Times New Roman" w:hAnsi="Times New Roman" w:cs="Times New Roman"/>
        </w:rPr>
        <w:t xml:space="preserve"> 2021; </w:t>
      </w:r>
      <w:r w:rsidRPr="00330C0C">
        <w:rPr>
          <w:rFonts w:ascii="Times New Roman" w:hAnsi="Times New Roman" w:cs="Times New Roman"/>
          <w:b/>
          <w:bCs/>
        </w:rPr>
        <w:t>4</w:t>
      </w:r>
      <w:r w:rsidRPr="00330C0C">
        <w:rPr>
          <w:rFonts w:ascii="Times New Roman" w:hAnsi="Times New Roman" w:cs="Times New Roman"/>
        </w:rPr>
        <w:t>: e2130795.</w:t>
      </w:r>
    </w:p>
    <w:p w14:paraId="03C1EB53"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11</w:t>
      </w:r>
      <w:r w:rsidRPr="00330C0C">
        <w:rPr>
          <w:rFonts w:ascii="Times New Roman" w:hAnsi="Times New Roman" w:cs="Times New Roman"/>
        </w:rPr>
        <w:tab/>
        <w:t xml:space="preserve">Brikell I, Yao H, Li L, </w:t>
      </w:r>
      <w:r w:rsidRPr="00330C0C">
        <w:rPr>
          <w:rFonts w:ascii="Times New Roman" w:hAnsi="Times New Roman" w:cs="Times New Roman"/>
          <w:i/>
          <w:iCs/>
        </w:rPr>
        <w:t>et al.</w:t>
      </w:r>
      <w:r w:rsidRPr="00330C0C">
        <w:rPr>
          <w:rFonts w:ascii="Times New Roman" w:hAnsi="Times New Roman" w:cs="Times New Roman"/>
        </w:rPr>
        <w:t xml:space="preserve"> ADHD medication discontinuation and persistence across the lifespan: a retrospective observational study using population-based databases. </w:t>
      </w:r>
      <w:r w:rsidRPr="00330C0C">
        <w:rPr>
          <w:rFonts w:ascii="Times New Roman" w:hAnsi="Times New Roman" w:cs="Times New Roman"/>
          <w:i/>
          <w:iCs/>
        </w:rPr>
        <w:t>Lancet Psychiatry</w:t>
      </w:r>
      <w:r w:rsidRPr="00330C0C">
        <w:rPr>
          <w:rFonts w:ascii="Times New Roman" w:hAnsi="Times New Roman" w:cs="Times New Roman"/>
        </w:rPr>
        <w:t xml:space="preserve"> 2024; </w:t>
      </w:r>
      <w:r w:rsidRPr="00330C0C">
        <w:rPr>
          <w:rFonts w:ascii="Times New Roman" w:hAnsi="Times New Roman" w:cs="Times New Roman"/>
          <w:b/>
          <w:bCs/>
        </w:rPr>
        <w:t>11</w:t>
      </w:r>
      <w:r w:rsidRPr="00330C0C">
        <w:rPr>
          <w:rFonts w:ascii="Times New Roman" w:hAnsi="Times New Roman" w:cs="Times New Roman"/>
        </w:rPr>
        <w:t>: 16–26.</w:t>
      </w:r>
    </w:p>
    <w:p w14:paraId="416D85B3"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12</w:t>
      </w:r>
      <w:r w:rsidRPr="00330C0C">
        <w:rPr>
          <w:rFonts w:ascii="Times New Roman" w:hAnsi="Times New Roman" w:cs="Times New Roman"/>
        </w:rPr>
        <w:tab/>
        <w:t xml:space="preserve">Chang Z, Ghirardi L, Quinn PD, Asherson P, D’Onofrio BM, Larsson H. Risks and Benefits of Attention-Deficit/Hyperactivity Disorder Medication on Behavioral and Neuropsychiatric Outcomes: A Qualitative Review of Pharmacoepidemiology Studies Using Linked Prescription Databases. </w:t>
      </w:r>
      <w:r w:rsidRPr="00330C0C">
        <w:rPr>
          <w:rFonts w:ascii="Times New Roman" w:hAnsi="Times New Roman" w:cs="Times New Roman"/>
          <w:i/>
          <w:iCs/>
        </w:rPr>
        <w:t>Biol Psychiatry</w:t>
      </w:r>
      <w:r w:rsidRPr="00330C0C">
        <w:rPr>
          <w:rFonts w:ascii="Times New Roman" w:hAnsi="Times New Roman" w:cs="Times New Roman"/>
        </w:rPr>
        <w:t xml:space="preserve"> 2019; </w:t>
      </w:r>
      <w:r w:rsidRPr="00330C0C">
        <w:rPr>
          <w:rFonts w:ascii="Times New Roman" w:hAnsi="Times New Roman" w:cs="Times New Roman"/>
          <w:b/>
          <w:bCs/>
        </w:rPr>
        <w:t>86</w:t>
      </w:r>
      <w:r w:rsidRPr="00330C0C">
        <w:rPr>
          <w:rFonts w:ascii="Times New Roman" w:hAnsi="Times New Roman" w:cs="Times New Roman"/>
        </w:rPr>
        <w:t>: 335–43.</w:t>
      </w:r>
    </w:p>
    <w:p w14:paraId="21AF06DC"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lastRenderedPageBreak/>
        <w:t>13</w:t>
      </w:r>
      <w:r w:rsidRPr="00330C0C">
        <w:rPr>
          <w:rFonts w:ascii="Times New Roman" w:hAnsi="Times New Roman" w:cs="Times New Roman"/>
        </w:rPr>
        <w:tab/>
        <w:t xml:space="preserve">Faraone SV, Bellgrove MA, Brikell I, </w:t>
      </w:r>
      <w:r w:rsidRPr="00330C0C">
        <w:rPr>
          <w:rFonts w:ascii="Times New Roman" w:hAnsi="Times New Roman" w:cs="Times New Roman"/>
          <w:i/>
          <w:iCs/>
        </w:rPr>
        <w:t>et al.</w:t>
      </w:r>
      <w:r w:rsidRPr="00330C0C">
        <w:rPr>
          <w:rFonts w:ascii="Times New Roman" w:hAnsi="Times New Roman" w:cs="Times New Roman"/>
        </w:rPr>
        <w:t xml:space="preserve"> Attention-deficit/hyperactivity disorder. </w:t>
      </w:r>
      <w:r w:rsidRPr="00330C0C">
        <w:rPr>
          <w:rFonts w:ascii="Times New Roman" w:hAnsi="Times New Roman" w:cs="Times New Roman"/>
          <w:i/>
          <w:iCs/>
        </w:rPr>
        <w:t>Nat Rev Dis Primer</w:t>
      </w:r>
      <w:r w:rsidRPr="00330C0C">
        <w:rPr>
          <w:rFonts w:ascii="Times New Roman" w:hAnsi="Times New Roman" w:cs="Times New Roman"/>
        </w:rPr>
        <w:t xml:space="preserve"> 2024; </w:t>
      </w:r>
      <w:r w:rsidRPr="00330C0C">
        <w:rPr>
          <w:rFonts w:ascii="Times New Roman" w:hAnsi="Times New Roman" w:cs="Times New Roman"/>
          <w:b/>
          <w:bCs/>
        </w:rPr>
        <w:t>10</w:t>
      </w:r>
      <w:r w:rsidRPr="00330C0C">
        <w:rPr>
          <w:rFonts w:ascii="Times New Roman" w:hAnsi="Times New Roman" w:cs="Times New Roman"/>
        </w:rPr>
        <w:t>: 11.</w:t>
      </w:r>
    </w:p>
    <w:p w14:paraId="52A6EFCD"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14</w:t>
      </w:r>
      <w:r w:rsidRPr="00330C0C">
        <w:rPr>
          <w:rFonts w:ascii="Times New Roman" w:hAnsi="Times New Roman" w:cs="Times New Roman"/>
        </w:rPr>
        <w:tab/>
        <w:t xml:space="preserve">Ver Hoef JM, Boveng PL. Quasi-Poisson vs. negative binomial regression: how should we model overdispersed count data? </w:t>
      </w:r>
      <w:r w:rsidRPr="00330C0C">
        <w:rPr>
          <w:rFonts w:ascii="Times New Roman" w:hAnsi="Times New Roman" w:cs="Times New Roman"/>
          <w:i/>
          <w:iCs/>
        </w:rPr>
        <w:t>Ecology</w:t>
      </w:r>
      <w:r w:rsidRPr="00330C0C">
        <w:rPr>
          <w:rFonts w:ascii="Times New Roman" w:hAnsi="Times New Roman" w:cs="Times New Roman"/>
        </w:rPr>
        <w:t xml:space="preserve"> 2007; </w:t>
      </w:r>
      <w:r w:rsidRPr="00330C0C">
        <w:rPr>
          <w:rFonts w:ascii="Times New Roman" w:hAnsi="Times New Roman" w:cs="Times New Roman"/>
          <w:b/>
          <w:bCs/>
        </w:rPr>
        <w:t>88</w:t>
      </w:r>
      <w:r w:rsidRPr="00330C0C">
        <w:rPr>
          <w:rFonts w:ascii="Times New Roman" w:hAnsi="Times New Roman" w:cs="Times New Roman"/>
        </w:rPr>
        <w:t>: 2766–72.</w:t>
      </w:r>
    </w:p>
    <w:p w14:paraId="694A690E"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15</w:t>
      </w:r>
      <w:r w:rsidRPr="00330C0C">
        <w:rPr>
          <w:rFonts w:ascii="Times New Roman" w:hAnsi="Times New Roman" w:cs="Times New Roman"/>
        </w:rPr>
        <w:tab/>
        <w:t>R Core Team. R: A Language and Environment for Statistical Computing. 2023. https://www.R-project.org/.</w:t>
      </w:r>
    </w:p>
    <w:p w14:paraId="66AD3944"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16</w:t>
      </w:r>
      <w:r w:rsidRPr="00330C0C">
        <w:rPr>
          <w:rFonts w:ascii="Times New Roman" w:hAnsi="Times New Roman" w:cs="Times New Roman"/>
        </w:rPr>
        <w:tab/>
        <w:t>Muthén LK, Muthén BO. Mplus User’s Guide. Eigth Edition. Los Angeles, CA: Muthén &amp; Muthén, 1998.</w:t>
      </w:r>
    </w:p>
    <w:p w14:paraId="1E7AD739"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17</w:t>
      </w:r>
      <w:r w:rsidRPr="00330C0C">
        <w:rPr>
          <w:rFonts w:ascii="Times New Roman" w:hAnsi="Times New Roman" w:cs="Times New Roman"/>
        </w:rPr>
        <w:tab/>
        <w:t xml:space="preserve">Taipale H, Schneider-Thoma J, Pinzón-Espinosa J, </w:t>
      </w:r>
      <w:r w:rsidRPr="00330C0C">
        <w:rPr>
          <w:rFonts w:ascii="Times New Roman" w:hAnsi="Times New Roman" w:cs="Times New Roman"/>
          <w:i/>
          <w:iCs/>
        </w:rPr>
        <w:t>et al.</w:t>
      </w:r>
      <w:r w:rsidRPr="00330C0C">
        <w:rPr>
          <w:rFonts w:ascii="Times New Roman" w:hAnsi="Times New Roman" w:cs="Times New Roman"/>
        </w:rPr>
        <w:t xml:space="preserve"> Representation and Outcomes of Individuals With Schizophrenia Seen in Everyday Practice Who Are Ineligible for Randomized Clinical Trials. </w:t>
      </w:r>
      <w:r w:rsidRPr="00330C0C">
        <w:rPr>
          <w:rFonts w:ascii="Times New Roman" w:hAnsi="Times New Roman" w:cs="Times New Roman"/>
          <w:i/>
          <w:iCs/>
        </w:rPr>
        <w:t>JAMA Psychiatry</w:t>
      </w:r>
      <w:r w:rsidRPr="00330C0C">
        <w:rPr>
          <w:rFonts w:ascii="Times New Roman" w:hAnsi="Times New Roman" w:cs="Times New Roman"/>
        </w:rPr>
        <w:t xml:space="preserve"> 2022; </w:t>
      </w:r>
      <w:r w:rsidRPr="00330C0C">
        <w:rPr>
          <w:rFonts w:ascii="Times New Roman" w:hAnsi="Times New Roman" w:cs="Times New Roman"/>
          <w:b/>
          <w:bCs/>
        </w:rPr>
        <w:t>79</w:t>
      </w:r>
      <w:r w:rsidRPr="00330C0C">
        <w:rPr>
          <w:rFonts w:ascii="Times New Roman" w:hAnsi="Times New Roman" w:cs="Times New Roman"/>
        </w:rPr>
        <w:t>: 210.</w:t>
      </w:r>
    </w:p>
    <w:p w14:paraId="699F604C"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18</w:t>
      </w:r>
      <w:r w:rsidRPr="00330C0C">
        <w:rPr>
          <w:rFonts w:ascii="Times New Roman" w:hAnsi="Times New Roman" w:cs="Times New Roman"/>
        </w:rPr>
        <w:tab/>
        <w:t xml:space="preserve">Garcia-Argibay M, Bürkner P-C, Lichtenstein P, </w:t>
      </w:r>
      <w:r w:rsidRPr="00330C0C">
        <w:rPr>
          <w:rFonts w:ascii="Times New Roman" w:hAnsi="Times New Roman" w:cs="Times New Roman"/>
          <w:i/>
          <w:iCs/>
        </w:rPr>
        <w:t>et al.</w:t>
      </w:r>
      <w:r w:rsidRPr="00330C0C">
        <w:rPr>
          <w:rFonts w:ascii="Times New Roman" w:hAnsi="Times New Roman" w:cs="Times New Roman"/>
        </w:rPr>
        <w:t xml:space="preserve"> Methylphenidate and Short-Term Cardiovascular Risk. </w:t>
      </w:r>
      <w:r w:rsidRPr="00330C0C">
        <w:rPr>
          <w:rFonts w:ascii="Times New Roman" w:hAnsi="Times New Roman" w:cs="Times New Roman"/>
          <w:i/>
          <w:iCs/>
        </w:rPr>
        <w:t>JAMA Netw Open</w:t>
      </w:r>
      <w:r w:rsidRPr="00330C0C">
        <w:rPr>
          <w:rFonts w:ascii="Times New Roman" w:hAnsi="Times New Roman" w:cs="Times New Roman"/>
        </w:rPr>
        <w:t xml:space="preserve"> 2024; </w:t>
      </w:r>
      <w:r w:rsidRPr="00330C0C">
        <w:rPr>
          <w:rFonts w:ascii="Times New Roman" w:hAnsi="Times New Roman" w:cs="Times New Roman"/>
          <w:b/>
          <w:bCs/>
        </w:rPr>
        <w:t>7</w:t>
      </w:r>
      <w:r w:rsidRPr="00330C0C">
        <w:rPr>
          <w:rFonts w:ascii="Times New Roman" w:hAnsi="Times New Roman" w:cs="Times New Roman"/>
        </w:rPr>
        <w:t>: e241349.</w:t>
      </w:r>
    </w:p>
    <w:p w14:paraId="223E4576"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19</w:t>
      </w:r>
      <w:r w:rsidRPr="00330C0C">
        <w:rPr>
          <w:rFonts w:ascii="Times New Roman" w:hAnsi="Times New Roman" w:cs="Times New Roman"/>
        </w:rPr>
        <w:tab/>
        <w:t xml:space="preserve">Cuffe SP, Visser SN, Holbrook JR, </w:t>
      </w:r>
      <w:r w:rsidRPr="00330C0C">
        <w:rPr>
          <w:rFonts w:ascii="Times New Roman" w:hAnsi="Times New Roman" w:cs="Times New Roman"/>
          <w:i/>
          <w:iCs/>
        </w:rPr>
        <w:t>et al.</w:t>
      </w:r>
      <w:r w:rsidRPr="00330C0C">
        <w:rPr>
          <w:rFonts w:ascii="Times New Roman" w:hAnsi="Times New Roman" w:cs="Times New Roman"/>
        </w:rPr>
        <w:t xml:space="preserve"> ADHD and Psychiatric Comorbidity: Functional Outcomes in a School-Based Sample of Children. </w:t>
      </w:r>
      <w:r w:rsidRPr="00330C0C">
        <w:rPr>
          <w:rFonts w:ascii="Times New Roman" w:hAnsi="Times New Roman" w:cs="Times New Roman"/>
          <w:i/>
          <w:iCs/>
        </w:rPr>
        <w:t>J Atten Disord</w:t>
      </w:r>
      <w:r w:rsidRPr="00330C0C">
        <w:rPr>
          <w:rFonts w:ascii="Times New Roman" w:hAnsi="Times New Roman" w:cs="Times New Roman"/>
        </w:rPr>
        <w:t xml:space="preserve"> 2020; </w:t>
      </w:r>
      <w:r w:rsidRPr="00330C0C">
        <w:rPr>
          <w:rFonts w:ascii="Times New Roman" w:hAnsi="Times New Roman" w:cs="Times New Roman"/>
          <w:b/>
          <w:bCs/>
        </w:rPr>
        <w:t>24</w:t>
      </w:r>
      <w:r w:rsidRPr="00330C0C">
        <w:rPr>
          <w:rFonts w:ascii="Times New Roman" w:hAnsi="Times New Roman" w:cs="Times New Roman"/>
        </w:rPr>
        <w:t>: 1345–54.</w:t>
      </w:r>
    </w:p>
    <w:p w14:paraId="49FB9164"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20</w:t>
      </w:r>
      <w:r w:rsidRPr="00330C0C">
        <w:rPr>
          <w:rFonts w:ascii="Times New Roman" w:hAnsi="Times New Roman" w:cs="Times New Roman"/>
        </w:rPr>
        <w:tab/>
        <w:t xml:space="preserve">Rosenau PT, Dietrich A, Matthijssen A-FM, </w:t>
      </w:r>
      <w:r w:rsidRPr="00330C0C">
        <w:rPr>
          <w:rFonts w:ascii="Times New Roman" w:hAnsi="Times New Roman" w:cs="Times New Roman"/>
          <w:i/>
          <w:iCs/>
        </w:rPr>
        <w:t>et al.</w:t>
      </w:r>
      <w:r w:rsidRPr="00330C0C">
        <w:rPr>
          <w:rFonts w:ascii="Times New Roman" w:hAnsi="Times New Roman" w:cs="Times New Roman"/>
        </w:rPr>
        <w:t xml:space="preserve"> Adherence to Clinical Guidelines for Dose Finding and Monitoring Methylphenidate Use: A Medical Record Audit in Child and Adolescent Mental Health Care and Pediatric Settings. </w:t>
      </w:r>
      <w:r w:rsidRPr="00330C0C">
        <w:rPr>
          <w:rFonts w:ascii="Times New Roman" w:hAnsi="Times New Roman" w:cs="Times New Roman"/>
          <w:i/>
          <w:iCs/>
        </w:rPr>
        <w:t>J Child Adolesc Psychopharmacol</w:t>
      </w:r>
      <w:r w:rsidRPr="00330C0C">
        <w:rPr>
          <w:rFonts w:ascii="Times New Roman" w:hAnsi="Times New Roman" w:cs="Times New Roman"/>
        </w:rPr>
        <w:t xml:space="preserve"> 2023; </w:t>
      </w:r>
      <w:r w:rsidRPr="00330C0C">
        <w:rPr>
          <w:rFonts w:ascii="Times New Roman" w:hAnsi="Times New Roman" w:cs="Times New Roman"/>
          <w:b/>
          <w:bCs/>
        </w:rPr>
        <w:t>33</w:t>
      </w:r>
      <w:r w:rsidRPr="00330C0C">
        <w:rPr>
          <w:rFonts w:ascii="Times New Roman" w:hAnsi="Times New Roman" w:cs="Times New Roman"/>
        </w:rPr>
        <w:t>: 183–9.</w:t>
      </w:r>
    </w:p>
    <w:p w14:paraId="530574C8"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21</w:t>
      </w:r>
      <w:r w:rsidRPr="00330C0C">
        <w:rPr>
          <w:rFonts w:ascii="Times New Roman" w:hAnsi="Times New Roman" w:cs="Times New Roman"/>
        </w:rPr>
        <w:tab/>
        <w:t xml:space="preserve">Muth C, Glasziou PP. Guideline recommended treatments in complex patients with multimorbidity. </w:t>
      </w:r>
      <w:r w:rsidRPr="00330C0C">
        <w:rPr>
          <w:rFonts w:ascii="Times New Roman" w:hAnsi="Times New Roman" w:cs="Times New Roman"/>
          <w:i/>
          <w:iCs/>
        </w:rPr>
        <w:t>BMJ</w:t>
      </w:r>
      <w:r w:rsidRPr="00330C0C">
        <w:rPr>
          <w:rFonts w:ascii="Times New Roman" w:hAnsi="Times New Roman" w:cs="Times New Roman"/>
        </w:rPr>
        <w:t xml:space="preserve"> 2015; : h5145.</w:t>
      </w:r>
    </w:p>
    <w:p w14:paraId="135DF320"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22</w:t>
      </w:r>
      <w:r w:rsidRPr="00330C0C">
        <w:rPr>
          <w:rFonts w:ascii="Times New Roman" w:hAnsi="Times New Roman" w:cs="Times New Roman"/>
        </w:rPr>
        <w:tab/>
        <w:t xml:space="preserve">Efthimiou O, Taipale H, Radua J, </w:t>
      </w:r>
      <w:r w:rsidRPr="00330C0C">
        <w:rPr>
          <w:rFonts w:ascii="Times New Roman" w:hAnsi="Times New Roman" w:cs="Times New Roman"/>
          <w:i/>
          <w:iCs/>
        </w:rPr>
        <w:t>et al.</w:t>
      </w:r>
      <w:r w:rsidRPr="00330C0C">
        <w:rPr>
          <w:rFonts w:ascii="Times New Roman" w:hAnsi="Times New Roman" w:cs="Times New Roman"/>
        </w:rPr>
        <w:t xml:space="preserve"> Efficacy and effectiveness of antipsychotics in schizophrenia: network meta-analyses combining evidence from randomised controlled trials and real-world data. </w:t>
      </w:r>
      <w:r w:rsidRPr="00330C0C">
        <w:rPr>
          <w:rFonts w:ascii="Times New Roman" w:hAnsi="Times New Roman" w:cs="Times New Roman"/>
          <w:i/>
          <w:iCs/>
        </w:rPr>
        <w:t>Lancet Psychiatry</w:t>
      </w:r>
      <w:r w:rsidRPr="00330C0C">
        <w:rPr>
          <w:rFonts w:ascii="Times New Roman" w:hAnsi="Times New Roman" w:cs="Times New Roman"/>
        </w:rPr>
        <w:t xml:space="preserve"> 2024; </w:t>
      </w:r>
      <w:r w:rsidRPr="00330C0C">
        <w:rPr>
          <w:rFonts w:ascii="Times New Roman" w:hAnsi="Times New Roman" w:cs="Times New Roman"/>
          <w:b/>
          <w:bCs/>
        </w:rPr>
        <w:t>11</w:t>
      </w:r>
      <w:r w:rsidRPr="00330C0C">
        <w:rPr>
          <w:rFonts w:ascii="Times New Roman" w:hAnsi="Times New Roman" w:cs="Times New Roman"/>
        </w:rPr>
        <w:t>: 102–11.</w:t>
      </w:r>
    </w:p>
    <w:p w14:paraId="1644DDA2"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23</w:t>
      </w:r>
      <w:r w:rsidRPr="00330C0C">
        <w:rPr>
          <w:rFonts w:ascii="Times New Roman" w:hAnsi="Times New Roman" w:cs="Times New Roman"/>
        </w:rPr>
        <w:tab/>
        <w:t xml:space="preserve">Seo M, Debray TP, Ruffieux Y, </w:t>
      </w:r>
      <w:r w:rsidRPr="00330C0C">
        <w:rPr>
          <w:rFonts w:ascii="Times New Roman" w:hAnsi="Times New Roman" w:cs="Times New Roman"/>
          <w:i/>
          <w:iCs/>
        </w:rPr>
        <w:t>et al.</w:t>
      </w:r>
      <w:r w:rsidRPr="00330C0C">
        <w:rPr>
          <w:rFonts w:ascii="Times New Roman" w:hAnsi="Times New Roman" w:cs="Times New Roman"/>
        </w:rPr>
        <w:t xml:space="preserve"> Combining individual patient data from randomized and non-randomized studies to predict real-world effectiveness of interventions. </w:t>
      </w:r>
      <w:r w:rsidRPr="00330C0C">
        <w:rPr>
          <w:rFonts w:ascii="Times New Roman" w:hAnsi="Times New Roman" w:cs="Times New Roman"/>
          <w:i/>
          <w:iCs/>
        </w:rPr>
        <w:t>Stat Methods Med Res</w:t>
      </w:r>
      <w:r w:rsidRPr="00330C0C">
        <w:rPr>
          <w:rFonts w:ascii="Times New Roman" w:hAnsi="Times New Roman" w:cs="Times New Roman"/>
        </w:rPr>
        <w:t xml:space="preserve"> 2022; </w:t>
      </w:r>
      <w:r w:rsidRPr="00330C0C">
        <w:rPr>
          <w:rFonts w:ascii="Times New Roman" w:hAnsi="Times New Roman" w:cs="Times New Roman"/>
          <w:b/>
          <w:bCs/>
        </w:rPr>
        <w:t>31</w:t>
      </w:r>
      <w:r w:rsidRPr="00330C0C">
        <w:rPr>
          <w:rFonts w:ascii="Times New Roman" w:hAnsi="Times New Roman" w:cs="Times New Roman"/>
        </w:rPr>
        <w:t>: 1355–73.</w:t>
      </w:r>
    </w:p>
    <w:p w14:paraId="6AF73C82"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24</w:t>
      </w:r>
      <w:r w:rsidRPr="00330C0C">
        <w:rPr>
          <w:rFonts w:ascii="Times New Roman" w:hAnsi="Times New Roman" w:cs="Times New Roman"/>
        </w:rPr>
        <w:tab/>
        <w:t xml:space="preserve">Chan AYL, Ma T-T, Lau WCY, </w:t>
      </w:r>
      <w:r w:rsidRPr="00330C0C">
        <w:rPr>
          <w:rFonts w:ascii="Times New Roman" w:hAnsi="Times New Roman" w:cs="Times New Roman"/>
          <w:i/>
          <w:iCs/>
        </w:rPr>
        <w:t>et al.</w:t>
      </w:r>
      <w:r w:rsidRPr="00330C0C">
        <w:rPr>
          <w:rFonts w:ascii="Times New Roman" w:hAnsi="Times New Roman" w:cs="Times New Roman"/>
        </w:rPr>
        <w:t xml:space="preserve"> Attention-deficit/hyperactivity disorder medication consumption in 64 countries and regions from 2015 to 2019: a longitudinal study. </w:t>
      </w:r>
      <w:r w:rsidRPr="00330C0C">
        <w:rPr>
          <w:rFonts w:ascii="Times New Roman" w:hAnsi="Times New Roman" w:cs="Times New Roman"/>
          <w:i/>
          <w:iCs/>
        </w:rPr>
        <w:t>eClinicalMedicine</w:t>
      </w:r>
      <w:r w:rsidRPr="00330C0C">
        <w:rPr>
          <w:rFonts w:ascii="Times New Roman" w:hAnsi="Times New Roman" w:cs="Times New Roman"/>
        </w:rPr>
        <w:t xml:space="preserve"> 2023; </w:t>
      </w:r>
      <w:r w:rsidRPr="00330C0C">
        <w:rPr>
          <w:rFonts w:ascii="Times New Roman" w:hAnsi="Times New Roman" w:cs="Times New Roman"/>
          <w:b/>
          <w:bCs/>
        </w:rPr>
        <w:t>58</w:t>
      </w:r>
      <w:r w:rsidRPr="00330C0C">
        <w:rPr>
          <w:rFonts w:ascii="Times New Roman" w:hAnsi="Times New Roman" w:cs="Times New Roman"/>
        </w:rPr>
        <w:t>: 101780.</w:t>
      </w:r>
    </w:p>
    <w:p w14:paraId="29D92AF5" w14:textId="77777777" w:rsidR="00330C0C" w:rsidRPr="00330C0C" w:rsidRDefault="00330C0C" w:rsidP="00330C0C">
      <w:pPr>
        <w:pStyle w:val="Bibliography"/>
        <w:rPr>
          <w:rFonts w:ascii="Times New Roman" w:hAnsi="Times New Roman" w:cs="Times New Roman"/>
        </w:rPr>
      </w:pPr>
      <w:r w:rsidRPr="00330C0C">
        <w:rPr>
          <w:rFonts w:ascii="Times New Roman" w:hAnsi="Times New Roman" w:cs="Times New Roman"/>
        </w:rPr>
        <w:t>25</w:t>
      </w:r>
      <w:r w:rsidRPr="00330C0C">
        <w:rPr>
          <w:rFonts w:ascii="Times New Roman" w:hAnsi="Times New Roman" w:cs="Times New Roman"/>
        </w:rPr>
        <w:tab/>
        <w:t xml:space="preserve">Maletic V, Mattingly GW, Earnest J. Viloxazine extended-release capsules as an emerging treatment for attention-deficit/hyperactivity disorder in children and adolescents. </w:t>
      </w:r>
      <w:r w:rsidRPr="00330C0C">
        <w:rPr>
          <w:rFonts w:ascii="Times New Roman" w:hAnsi="Times New Roman" w:cs="Times New Roman"/>
          <w:i/>
          <w:iCs/>
        </w:rPr>
        <w:t>Expert Rev Neurother</w:t>
      </w:r>
      <w:r w:rsidRPr="00330C0C">
        <w:rPr>
          <w:rFonts w:ascii="Times New Roman" w:hAnsi="Times New Roman" w:cs="Times New Roman"/>
        </w:rPr>
        <w:t xml:space="preserve"> 2024; </w:t>
      </w:r>
      <w:r w:rsidRPr="00330C0C">
        <w:rPr>
          <w:rFonts w:ascii="Times New Roman" w:hAnsi="Times New Roman" w:cs="Times New Roman"/>
          <w:b/>
          <w:bCs/>
        </w:rPr>
        <w:t>24</w:t>
      </w:r>
      <w:r w:rsidRPr="00330C0C">
        <w:rPr>
          <w:rFonts w:ascii="Times New Roman" w:hAnsi="Times New Roman" w:cs="Times New Roman"/>
        </w:rPr>
        <w:t>: 443–55.</w:t>
      </w:r>
    </w:p>
    <w:p w14:paraId="48650A3D" w14:textId="5BB989A9" w:rsidR="000C0022" w:rsidRPr="00686316" w:rsidRDefault="00B4082A" w:rsidP="00686316">
      <w:pPr>
        <w:pStyle w:val="Bibliography"/>
        <w:ind w:left="0" w:firstLine="0"/>
        <w:rPr>
          <w:rFonts w:ascii="Times New Roman" w:hAnsi="Times New Roman" w:cs="Times New Roman"/>
          <w:lang w:val="en-GB"/>
        </w:rPr>
      </w:pPr>
      <w:r>
        <w:rPr>
          <w:rFonts w:ascii="Times New Roman" w:hAnsi="Times New Roman" w:cs="Times New Roman"/>
          <w:lang w:val="en-GB"/>
        </w:rPr>
        <w:fldChar w:fldCharType="end"/>
      </w:r>
      <w:r w:rsidR="000C0022" w:rsidRPr="00F54546">
        <w:rPr>
          <w:lang w:val="en-GB"/>
        </w:rPr>
        <w:br w:type="page"/>
      </w:r>
    </w:p>
    <w:p w14:paraId="130E047D" w14:textId="27577D59" w:rsidR="004A6379" w:rsidRPr="00F54546" w:rsidRDefault="004A6379" w:rsidP="00E75053">
      <w:pPr>
        <w:pStyle w:val="NoSpacing"/>
        <w:spacing w:line="240" w:lineRule="auto"/>
        <w:ind w:left="-284" w:firstLine="0"/>
        <w:rPr>
          <w:lang w:val="en-GB"/>
        </w:rPr>
      </w:pPr>
    </w:p>
    <w:p w14:paraId="24D9C346" w14:textId="20F3D26A" w:rsidR="00F714F3" w:rsidRPr="00686316" w:rsidRDefault="00F714F3" w:rsidP="00686316">
      <w:pPr>
        <w:pStyle w:val="Heading1"/>
        <w:rPr>
          <w:lang w:val="en-GB"/>
        </w:rPr>
      </w:pPr>
      <w:r w:rsidRPr="00F54546">
        <w:rPr>
          <w:lang w:val="en-GB"/>
        </w:rPr>
        <w:t>Tables</w:t>
      </w:r>
    </w:p>
    <w:p w14:paraId="6785ABE1" w14:textId="66733845" w:rsidR="00F72086" w:rsidRPr="009635D5" w:rsidRDefault="00F72086" w:rsidP="006B2DD1">
      <w:pPr>
        <w:pStyle w:val="Subtitle"/>
        <w:tabs>
          <w:tab w:val="clear" w:pos="264"/>
        </w:tabs>
        <w:ind w:left="0" w:firstLine="20"/>
        <w:rPr>
          <w:lang w:val="en-GB"/>
        </w:rPr>
      </w:pPr>
      <w:bookmarkStart w:id="32" w:name="_Toc181359857"/>
      <w:bookmarkStart w:id="33" w:name="_Hlk181279706"/>
      <w:bookmarkStart w:id="34" w:name="_Hlk167866960"/>
      <w:r w:rsidRPr="00FE53FD">
        <w:rPr>
          <w:b/>
          <w:bCs/>
          <w:lang w:val="en-GB"/>
        </w:rPr>
        <w:t>Table 1</w:t>
      </w:r>
      <w:r w:rsidRPr="009635D5">
        <w:rPr>
          <w:lang w:val="en-GB"/>
        </w:rPr>
        <w:t xml:space="preserve">. Most common 15 reasons for exclusion </w:t>
      </w:r>
      <w:r>
        <w:rPr>
          <w:lang w:val="en-GB"/>
        </w:rPr>
        <w:t xml:space="preserve">in </w:t>
      </w:r>
      <w:r w:rsidRPr="009635D5">
        <w:rPr>
          <w:lang w:val="en-GB"/>
        </w:rPr>
        <w:t>randomi</w:t>
      </w:r>
      <w:r w:rsidR="00AC56C6">
        <w:rPr>
          <w:lang w:val="en-GB"/>
        </w:rPr>
        <w:t>s</w:t>
      </w:r>
      <w:r w:rsidRPr="009635D5">
        <w:rPr>
          <w:lang w:val="en-GB"/>
        </w:rPr>
        <w:t>ed controlled trials</w:t>
      </w:r>
      <w:bookmarkEnd w:id="32"/>
      <w:r w:rsidR="00AC56C6">
        <w:rPr>
          <w:lang w:val="en-GB"/>
        </w:rPr>
        <w:t xml:space="preserve"> (RCTs)</w:t>
      </w:r>
      <w:r w:rsidR="00A34FC8" w:rsidRPr="00A34FC8">
        <w:t xml:space="preserve"> </w:t>
      </w:r>
      <w:r w:rsidR="00A34FC8" w:rsidRPr="00A34FC8">
        <w:rPr>
          <w:lang w:val="en-GB"/>
        </w:rPr>
        <w:t>of ADHD medications.</w:t>
      </w:r>
    </w:p>
    <w:tbl>
      <w:tblPr>
        <w:tblW w:w="8505" w:type="dxa"/>
        <w:jc w:val="center"/>
        <w:tblLook w:val="04A0" w:firstRow="1" w:lastRow="0" w:firstColumn="1" w:lastColumn="0" w:noHBand="0" w:noVBand="1"/>
      </w:tblPr>
      <w:tblGrid>
        <w:gridCol w:w="4820"/>
        <w:gridCol w:w="3685"/>
      </w:tblGrid>
      <w:tr w:rsidR="00F72086" w:rsidRPr="009635D5" w14:paraId="4E2C7BF0" w14:textId="77777777" w:rsidTr="00FE53FD">
        <w:trPr>
          <w:trHeight w:val="290"/>
          <w:jc w:val="center"/>
        </w:trPr>
        <w:tc>
          <w:tcPr>
            <w:tcW w:w="4820" w:type="dxa"/>
            <w:tcBorders>
              <w:top w:val="single" w:sz="4" w:space="0" w:color="auto"/>
              <w:left w:val="nil"/>
              <w:bottom w:val="single" w:sz="4" w:space="0" w:color="auto"/>
              <w:right w:val="nil"/>
            </w:tcBorders>
            <w:shd w:val="clear" w:color="auto" w:fill="auto"/>
            <w:noWrap/>
            <w:vAlign w:val="bottom"/>
            <w:hideMark/>
          </w:tcPr>
          <w:bookmarkEnd w:id="33"/>
          <w:p w14:paraId="0E1FD4FF" w14:textId="77777777" w:rsidR="00F72086" w:rsidRPr="009635D5" w:rsidRDefault="00F72086" w:rsidP="00AA3D33">
            <w:pPr>
              <w:spacing w:after="0" w:line="360" w:lineRule="auto"/>
              <w:ind w:firstLine="0"/>
              <w:rPr>
                <w:rFonts w:ascii="Times New Roman" w:eastAsia="Times New Roman" w:hAnsi="Times New Roman" w:cs="Times New Roman"/>
                <w:b/>
                <w:bCs/>
                <w:color w:val="000000"/>
                <w:sz w:val="22"/>
                <w:szCs w:val="22"/>
                <w:lang w:val="en-GB"/>
              </w:rPr>
            </w:pPr>
            <w:r w:rsidRPr="009635D5">
              <w:rPr>
                <w:rFonts w:ascii="Times New Roman" w:eastAsia="Times New Roman" w:hAnsi="Times New Roman" w:cs="Times New Roman"/>
                <w:b/>
                <w:bCs/>
                <w:color w:val="000000"/>
                <w:sz w:val="22"/>
                <w:szCs w:val="22"/>
                <w:lang w:val="en-GB"/>
              </w:rPr>
              <w:t>Condition</w:t>
            </w:r>
          </w:p>
        </w:tc>
        <w:tc>
          <w:tcPr>
            <w:tcW w:w="3685" w:type="dxa"/>
            <w:tcBorders>
              <w:top w:val="single" w:sz="4" w:space="0" w:color="auto"/>
              <w:left w:val="nil"/>
              <w:bottom w:val="single" w:sz="4" w:space="0" w:color="auto"/>
              <w:right w:val="nil"/>
            </w:tcBorders>
            <w:shd w:val="clear" w:color="auto" w:fill="auto"/>
            <w:noWrap/>
            <w:vAlign w:val="bottom"/>
            <w:hideMark/>
          </w:tcPr>
          <w:p w14:paraId="763AF095" w14:textId="7A5C8291" w:rsidR="00F72086" w:rsidRPr="009635D5" w:rsidRDefault="00F72086" w:rsidP="00AA3D33">
            <w:pPr>
              <w:spacing w:after="0" w:line="360" w:lineRule="auto"/>
              <w:ind w:firstLine="0"/>
              <w:jc w:val="center"/>
              <w:rPr>
                <w:rFonts w:ascii="Times New Roman" w:eastAsia="Times New Roman" w:hAnsi="Times New Roman" w:cs="Times New Roman"/>
                <w:b/>
                <w:bCs/>
                <w:color w:val="000000"/>
                <w:sz w:val="22"/>
                <w:szCs w:val="22"/>
                <w:lang w:val="en-GB"/>
              </w:rPr>
            </w:pPr>
            <w:r w:rsidRPr="009635D5">
              <w:rPr>
                <w:rFonts w:ascii="Times New Roman" w:eastAsia="Times New Roman" w:hAnsi="Times New Roman" w:cs="Times New Roman"/>
                <w:b/>
                <w:bCs/>
                <w:color w:val="000000"/>
                <w:sz w:val="22"/>
                <w:szCs w:val="22"/>
                <w:lang w:val="en-GB"/>
              </w:rPr>
              <w:t>Percentage</w:t>
            </w:r>
            <w:r w:rsidR="00AC56C6">
              <w:rPr>
                <w:rFonts w:ascii="Times New Roman" w:eastAsia="Times New Roman" w:hAnsi="Times New Roman" w:cs="Times New Roman"/>
                <w:b/>
                <w:bCs/>
                <w:color w:val="000000"/>
                <w:sz w:val="22"/>
                <w:szCs w:val="22"/>
                <w:lang w:val="en-GB"/>
              </w:rPr>
              <w:t xml:space="preserve"> of RCTs</w:t>
            </w:r>
          </w:p>
        </w:tc>
      </w:tr>
      <w:tr w:rsidR="00F72086" w:rsidRPr="009635D5" w14:paraId="2F608C71"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1B9B911D"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Antidepressants</w:t>
            </w:r>
          </w:p>
        </w:tc>
        <w:tc>
          <w:tcPr>
            <w:tcW w:w="3685" w:type="dxa"/>
            <w:tcBorders>
              <w:top w:val="nil"/>
              <w:left w:val="nil"/>
              <w:bottom w:val="nil"/>
              <w:right w:val="nil"/>
            </w:tcBorders>
            <w:shd w:val="clear" w:color="auto" w:fill="auto"/>
            <w:noWrap/>
            <w:vAlign w:val="bottom"/>
            <w:hideMark/>
          </w:tcPr>
          <w:p w14:paraId="3A1AC0BB"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73.8</w:t>
            </w:r>
          </w:p>
        </w:tc>
      </w:tr>
      <w:tr w:rsidR="00F72086" w:rsidRPr="009635D5" w14:paraId="652C3627"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25F8A1F8"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Psychosis</w:t>
            </w:r>
          </w:p>
        </w:tc>
        <w:tc>
          <w:tcPr>
            <w:tcW w:w="3685" w:type="dxa"/>
            <w:tcBorders>
              <w:top w:val="nil"/>
              <w:left w:val="nil"/>
              <w:bottom w:val="nil"/>
              <w:right w:val="nil"/>
            </w:tcBorders>
            <w:shd w:val="clear" w:color="auto" w:fill="auto"/>
            <w:noWrap/>
            <w:vAlign w:val="bottom"/>
            <w:hideMark/>
          </w:tcPr>
          <w:p w14:paraId="4E6A758B"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65.4</w:t>
            </w:r>
          </w:p>
        </w:tc>
      </w:tr>
      <w:tr w:rsidR="00F72086" w:rsidRPr="009635D5" w14:paraId="0D07DABC"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6C265C25"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Bipolar disorder</w:t>
            </w:r>
          </w:p>
        </w:tc>
        <w:tc>
          <w:tcPr>
            <w:tcW w:w="3685" w:type="dxa"/>
            <w:tcBorders>
              <w:top w:val="nil"/>
              <w:left w:val="nil"/>
              <w:bottom w:val="nil"/>
              <w:right w:val="nil"/>
            </w:tcBorders>
            <w:shd w:val="clear" w:color="auto" w:fill="auto"/>
            <w:noWrap/>
            <w:vAlign w:val="bottom"/>
            <w:hideMark/>
          </w:tcPr>
          <w:p w14:paraId="16A9D973"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48.5</w:t>
            </w:r>
          </w:p>
        </w:tc>
      </w:tr>
      <w:tr w:rsidR="00F72086" w:rsidRPr="009635D5" w14:paraId="53A7D5B3"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015F1C7E"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Substance use disorder</w:t>
            </w:r>
          </w:p>
        </w:tc>
        <w:tc>
          <w:tcPr>
            <w:tcW w:w="3685" w:type="dxa"/>
            <w:tcBorders>
              <w:top w:val="nil"/>
              <w:left w:val="nil"/>
              <w:bottom w:val="nil"/>
              <w:right w:val="nil"/>
            </w:tcBorders>
            <w:shd w:val="clear" w:color="auto" w:fill="auto"/>
            <w:noWrap/>
            <w:vAlign w:val="bottom"/>
            <w:hideMark/>
          </w:tcPr>
          <w:p w14:paraId="38D4B81C"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39.2</w:t>
            </w:r>
          </w:p>
        </w:tc>
      </w:tr>
      <w:tr w:rsidR="00F72086" w:rsidRPr="009635D5" w14:paraId="27357A34"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68BE1CED"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Cardiovascular disease</w:t>
            </w:r>
          </w:p>
        </w:tc>
        <w:tc>
          <w:tcPr>
            <w:tcW w:w="3685" w:type="dxa"/>
            <w:tcBorders>
              <w:top w:val="nil"/>
              <w:left w:val="nil"/>
              <w:bottom w:val="nil"/>
              <w:right w:val="nil"/>
            </w:tcBorders>
            <w:shd w:val="clear" w:color="auto" w:fill="auto"/>
            <w:noWrap/>
            <w:vAlign w:val="bottom"/>
            <w:hideMark/>
          </w:tcPr>
          <w:p w14:paraId="60689553"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37.7</w:t>
            </w:r>
          </w:p>
        </w:tc>
      </w:tr>
      <w:tr w:rsidR="00F72086" w:rsidRPr="009635D5" w14:paraId="0AAC5BBA"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499DE9B1"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IQ and learning disabilities</w:t>
            </w:r>
          </w:p>
        </w:tc>
        <w:tc>
          <w:tcPr>
            <w:tcW w:w="3685" w:type="dxa"/>
            <w:tcBorders>
              <w:top w:val="nil"/>
              <w:left w:val="nil"/>
              <w:bottom w:val="nil"/>
              <w:right w:val="nil"/>
            </w:tcBorders>
            <w:shd w:val="clear" w:color="auto" w:fill="auto"/>
            <w:noWrap/>
            <w:vAlign w:val="bottom"/>
            <w:hideMark/>
          </w:tcPr>
          <w:p w14:paraId="4A1B0C1C"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36.2</w:t>
            </w:r>
          </w:p>
        </w:tc>
      </w:tr>
      <w:tr w:rsidR="00F72086" w:rsidRPr="009635D5" w14:paraId="7E633A67"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1147A1F9"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Anxiety disorder</w:t>
            </w:r>
          </w:p>
        </w:tc>
        <w:tc>
          <w:tcPr>
            <w:tcW w:w="3685" w:type="dxa"/>
            <w:tcBorders>
              <w:top w:val="nil"/>
              <w:left w:val="nil"/>
              <w:bottom w:val="nil"/>
              <w:right w:val="nil"/>
            </w:tcBorders>
            <w:shd w:val="clear" w:color="auto" w:fill="auto"/>
            <w:noWrap/>
            <w:vAlign w:val="bottom"/>
            <w:hideMark/>
          </w:tcPr>
          <w:p w14:paraId="041D982A"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35.4</w:t>
            </w:r>
          </w:p>
        </w:tc>
      </w:tr>
      <w:tr w:rsidR="00F72086" w:rsidRPr="009635D5" w14:paraId="5F726714"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3FC475A2"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Autism Spectrum Disorder</w:t>
            </w:r>
          </w:p>
        </w:tc>
        <w:tc>
          <w:tcPr>
            <w:tcW w:w="3685" w:type="dxa"/>
            <w:tcBorders>
              <w:top w:val="nil"/>
              <w:left w:val="nil"/>
              <w:bottom w:val="nil"/>
              <w:right w:val="nil"/>
            </w:tcBorders>
            <w:shd w:val="clear" w:color="auto" w:fill="auto"/>
            <w:noWrap/>
            <w:vAlign w:val="bottom"/>
            <w:hideMark/>
          </w:tcPr>
          <w:p w14:paraId="6EE19733"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35.4</w:t>
            </w:r>
          </w:p>
        </w:tc>
      </w:tr>
      <w:tr w:rsidR="00F72086" w:rsidRPr="009635D5" w14:paraId="51CE9353"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42E9454E"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Pregnancy and related</w:t>
            </w:r>
          </w:p>
        </w:tc>
        <w:tc>
          <w:tcPr>
            <w:tcW w:w="3685" w:type="dxa"/>
            <w:tcBorders>
              <w:top w:val="nil"/>
              <w:left w:val="nil"/>
              <w:bottom w:val="nil"/>
              <w:right w:val="nil"/>
            </w:tcBorders>
            <w:shd w:val="clear" w:color="auto" w:fill="auto"/>
            <w:noWrap/>
            <w:vAlign w:val="bottom"/>
            <w:hideMark/>
          </w:tcPr>
          <w:p w14:paraId="0A148F6A"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32.3</w:t>
            </w:r>
          </w:p>
        </w:tc>
      </w:tr>
      <w:tr w:rsidR="00F72086" w:rsidRPr="009635D5" w14:paraId="49120494"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7CF6AB5E"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History of seizures</w:t>
            </w:r>
          </w:p>
        </w:tc>
        <w:tc>
          <w:tcPr>
            <w:tcW w:w="3685" w:type="dxa"/>
            <w:tcBorders>
              <w:top w:val="nil"/>
              <w:left w:val="nil"/>
              <w:bottom w:val="nil"/>
              <w:right w:val="nil"/>
            </w:tcBorders>
            <w:shd w:val="clear" w:color="auto" w:fill="auto"/>
            <w:noWrap/>
            <w:vAlign w:val="bottom"/>
            <w:hideMark/>
          </w:tcPr>
          <w:p w14:paraId="1E193BA6"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30.0</w:t>
            </w:r>
          </w:p>
        </w:tc>
      </w:tr>
      <w:tr w:rsidR="00F72086" w:rsidRPr="009635D5" w14:paraId="4FB30E5F"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53468139"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Psychotropic medications</w:t>
            </w:r>
          </w:p>
        </w:tc>
        <w:tc>
          <w:tcPr>
            <w:tcW w:w="3685" w:type="dxa"/>
            <w:tcBorders>
              <w:top w:val="nil"/>
              <w:left w:val="nil"/>
              <w:bottom w:val="nil"/>
              <w:right w:val="nil"/>
            </w:tcBorders>
            <w:shd w:val="clear" w:color="auto" w:fill="auto"/>
            <w:noWrap/>
            <w:vAlign w:val="bottom"/>
            <w:hideMark/>
          </w:tcPr>
          <w:p w14:paraId="52D85148"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26.9</w:t>
            </w:r>
          </w:p>
        </w:tc>
      </w:tr>
      <w:tr w:rsidR="00F72086" w:rsidRPr="009635D5" w14:paraId="4CB1D17C"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233B3CD6"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Tourette syndrome</w:t>
            </w:r>
          </w:p>
        </w:tc>
        <w:tc>
          <w:tcPr>
            <w:tcW w:w="3685" w:type="dxa"/>
            <w:tcBorders>
              <w:top w:val="nil"/>
              <w:left w:val="nil"/>
              <w:bottom w:val="nil"/>
              <w:right w:val="nil"/>
            </w:tcBorders>
            <w:shd w:val="clear" w:color="auto" w:fill="auto"/>
            <w:noWrap/>
            <w:vAlign w:val="bottom"/>
            <w:hideMark/>
          </w:tcPr>
          <w:p w14:paraId="3299ADEB"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26.2</w:t>
            </w:r>
          </w:p>
        </w:tc>
      </w:tr>
      <w:tr w:rsidR="00F72086" w:rsidRPr="009635D5" w14:paraId="26C39BBE" w14:textId="77777777" w:rsidTr="00FE53FD">
        <w:trPr>
          <w:trHeight w:val="290"/>
          <w:jc w:val="center"/>
        </w:trPr>
        <w:tc>
          <w:tcPr>
            <w:tcW w:w="4820" w:type="dxa"/>
            <w:tcBorders>
              <w:top w:val="nil"/>
              <w:left w:val="nil"/>
              <w:bottom w:val="nil"/>
              <w:right w:val="nil"/>
            </w:tcBorders>
            <w:shd w:val="clear" w:color="auto" w:fill="auto"/>
            <w:noWrap/>
            <w:vAlign w:val="bottom"/>
            <w:hideMark/>
          </w:tcPr>
          <w:p w14:paraId="5CBE55F7"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Alcohol use disorder</w:t>
            </w:r>
          </w:p>
        </w:tc>
        <w:tc>
          <w:tcPr>
            <w:tcW w:w="3685" w:type="dxa"/>
            <w:tcBorders>
              <w:top w:val="nil"/>
              <w:left w:val="nil"/>
              <w:bottom w:val="nil"/>
              <w:right w:val="nil"/>
            </w:tcBorders>
            <w:shd w:val="clear" w:color="auto" w:fill="auto"/>
            <w:noWrap/>
            <w:vAlign w:val="bottom"/>
            <w:hideMark/>
          </w:tcPr>
          <w:p w14:paraId="0CF4CF5B"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24.6</w:t>
            </w:r>
          </w:p>
        </w:tc>
      </w:tr>
      <w:tr w:rsidR="00F72086" w:rsidRPr="009635D5" w14:paraId="44CD148C" w14:textId="77777777" w:rsidTr="00FE53FD">
        <w:trPr>
          <w:trHeight w:val="290"/>
          <w:jc w:val="center"/>
        </w:trPr>
        <w:tc>
          <w:tcPr>
            <w:tcW w:w="4820" w:type="dxa"/>
            <w:tcBorders>
              <w:top w:val="nil"/>
              <w:left w:val="nil"/>
              <w:right w:val="nil"/>
            </w:tcBorders>
            <w:shd w:val="clear" w:color="auto" w:fill="auto"/>
            <w:noWrap/>
            <w:vAlign w:val="bottom"/>
            <w:hideMark/>
          </w:tcPr>
          <w:p w14:paraId="393A9F04"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Depression</w:t>
            </w:r>
          </w:p>
        </w:tc>
        <w:tc>
          <w:tcPr>
            <w:tcW w:w="3685" w:type="dxa"/>
            <w:tcBorders>
              <w:top w:val="nil"/>
              <w:left w:val="nil"/>
              <w:right w:val="nil"/>
            </w:tcBorders>
            <w:shd w:val="clear" w:color="auto" w:fill="auto"/>
            <w:noWrap/>
            <w:vAlign w:val="bottom"/>
            <w:hideMark/>
          </w:tcPr>
          <w:p w14:paraId="18F331E0"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24.6</w:t>
            </w:r>
          </w:p>
        </w:tc>
      </w:tr>
      <w:tr w:rsidR="00F72086" w:rsidRPr="009635D5" w14:paraId="498A2C28" w14:textId="77777777" w:rsidTr="00FE53FD">
        <w:trPr>
          <w:trHeight w:val="290"/>
          <w:jc w:val="center"/>
        </w:trPr>
        <w:tc>
          <w:tcPr>
            <w:tcW w:w="4820" w:type="dxa"/>
            <w:tcBorders>
              <w:top w:val="nil"/>
              <w:left w:val="nil"/>
              <w:bottom w:val="single" w:sz="4" w:space="0" w:color="auto"/>
              <w:right w:val="nil"/>
            </w:tcBorders>
            <w:shd w:val="clear" w:color="auto" w:fill="auto"/>
            <w:noWrap/>
            <w:vAlign w:val="bottom"/>
            <w:hideMark/>
          </w:tcPr>
          <w:p w14:paraId="0A9A2537" w14:textId="77777777" w:rsidR="00F72086" w:rsidRPr="009635D5" w:rsidRDefault="00F72086" w:rsidP="00AA3D33">
            <w:pPr>
              <w:spacing w:after="0" w:line="360" w:lineRule="auto"/>
              <w:ind w:firstLine="0"/>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Suicidality</w:t>
            </w:r>
          </w:p>
        </w:tc>
        <w:tc>
          <w:tcPr>
            <w:tcW w:w="3685" w:type="dxa"/>
            <w:tcBorders>
              <w:top w:val="nil"/>
              <w:left w:val="nil"/>
              <w:bottom w:val="single" w:sz="4" w:space="0" w:color="auto"/>
              <w:right w:val="nil"/>
            </w:tcBorders>
            <w:shd w:val="clear" w:color="auto" w:fill="auto"/>
            <w:noWrap/>
            <w:vAlign w:val="bottom"/>
            <w:hideMark/>
          </w:tcPr>
          <w:p w14:paraId="5692671A" w14:textId="77777777" w:rsidR="00F72086" w:rsidRPr="009635D5" w:rsidRDefault="00F72086" w:rsidP="00AA3D33">
            <w:pPr>
              <w:spacing w:after="0" w:line="360" w:lineRule="auto"/>
              <w:ind w:firstLine="0"/>
              <w:jc w:val="center"/>
              <w:rPr>
                <w:rFonts w:ascii="Times New Roman" w:eastAsia="Times New Roman" w:hAnsi="Times New Roman" w:cs="Times New Roman"/>
                <w:color w:val="000000"/>
                <w:sz w:val="22"/>
                <w:szCs w:val="22"/>
                <w:lang w:val="en-GB"/>
              </w:rPr>
            </w:pPr>
            <w:r w:rsidRPr="009635D5">
              <w:rPr>
                <w:rFonts w:ascii="Times New Roman" w:eastAsia="Times New Roman" w:hAnsi="Times New Roman" w:cs="Times New Roman"/>
                <w:color w:val="000000"/>
                <w:sz w:val="22"/>
                <w:szCs w:val="22"/>
                <w:lang w:val="en-GB"/>
              </w:rPr>
              <w:t>24.6</w:t>
            </w:r>
          </w:p>
        </w:tc>
      </w:tr>
    </w:tbl>
    <w:p w14:paraId="78C3D016" w14:textId="21FDF5D1" w:rsidR="00A34FC8" w:rsidRDefault="00A34FC8" w:rsidP="00F72086">
      <w:pPr>
        <w:pStyle w:val="NoSpacing"/>
        <w:spacing w:line="240" w:lineRule="auto"/>
        <w:ind w:firstLine="0"/>
        <w:rPr>
          <w:sz w:val="22"/>
          <w:szCs w:val="22"/>
          <w:lang w:val="en-GB"/>
        </w:rPr>
      </w:pPr>
      <w:r w:rsidRPr="00A34FC8">
        <w:rPr>
          <w:sz w:val="22"/>
          <w:szCs w:val="22"/>
          <w:lang w:val="en-GB"/>
        </w:rPr>
        <w:t xml:space="preserve">These reasons for exclusions were based on the included 164 randomised controlled trials </w:t>
      </w:r>
      <w:r w:rsidR="009E231C">
        <w:rPr>
          <w:sz w:val="22"/>
          <w:szCs w:val="22"/>
          <w:lang w:val="en-GB"/>
        </w:rPr>
        <w:t xml:space="preserve">reported </w:t>
      </w:r>
      <w:r w:rsidRPr="00A34FC8">
        <w:rPr>
          <w:sz w:val="22"/>
          <w:szCs w:val="22"/>
          <w:lang w:val="en-GB"/>
        </w:rPr>
        <w:t>in Appendix Table 1</w:t>
      </w:r>
      <w:r w:rsidR="009E231C">
        <w:rPr>
          <w:sz w:val="22"/>
          <w:szCs w:val="22"/>
          <w:lang w:val="en-GB"/>
        </w:rPr>
        <w:t xml:space="preserve"> and used as a reference in our study</w:t>
      </w:r>
      <w:r w:rsidRPr="00A34FC8">
        <w:rPr>
          <w:sz w:val="22"/>
          <w:szCs w:val="22"/>
          <w:lang w:val="en-GB"/>
        </w:rPr>
        <w:t>.</w:t>
      </w:r>
    </w:p>
    <w:p w14:paraId="52DEFC75" w14:textId="714B81EA" w:rsidR="00F72086" w:rsidRDefault="00F72086" w:rsidP="00F72086">
      <w:pPr>
        <w:pStyle w:val="NoSpacing"/>
        <w:spacing w:line="240" w:lineRule="auto"/>
        <w:ind w:firstLine="0"/>
        <w:rPr>
          <w:sz w:val="22"/>
          <w:szCs w:val="22"/>
          <w:lang w:val="en-GB"/>
        </w:rPr>
      </w:pPr>
      <w:r w:rsidRPr="009635D5">
        <w:rPr>
          <w:sz w:val="22"/>
          <w:szCs w:val="22"/>
          <w:lang w:val="en-GB"/>
        </w:rPr>
        <w:t>IQ = Intelligence quotient</w:t>
      </w:r>
    </w:p>
    <w:p w14:paraId="533A5923" w14:textId="6D0EB013" w:rsidR="00F72086" w:rsidRDefault="00F72086">
      <w:pPr>
        <w:spacing w:line="259" w:lineRule="auto"/>
        <w:ind w:firstLine="0"/>
        <w:rPr>
          <w:rFonts w:ascii="Times New Roman" w:hAnsi="Times New Roman" w:cs="Times New Roman"/>
          <w:b/>
          <w:bCs/>
          <w:lang w:val="en-GB"/>
        </w:rPr>
      </w:pPr>
      <w:r>
        <w:rPr>
          <w:b/>
          <w:bCs/>
          <w:lang w:val="en-GB"/>
        </w:rPr>
        <w:br w:type="page"/>
      </w:r>
    </w:p>
    <w:p w14:paraId="34D73A4F" w14:textId="77777777" w:rsidR="00F72086" w:rsidRDefault="00F72086" w:rsidP="00117148">
      <w:pPr>
        <w:pStyle w:val="NoSpacing"/>
        <w:spacing w:line="240" w:lineRule="auto"/>
        <w:ind w:firstLine="0"/>
        <w:rPr>
          <w:b/>
          <w:bCs/>
          <w:lang w:val="en-GB"/>
        </w:rPr>
        <w:sectPr w:rsidR="00F72086" w:rsidSect="00F72086">
          <w:pgSz w:w="11906" w:h="16838"/>
          <w:pgMar w:top="1418" w:right="1701" w:bottom="1418" w:left="1701" w:header="709" w:footer="709" w:gutter="0"/>
          <w:cols w:space="708"/>
          <w:docGrid w:linePitch="360"/>
        </w:sectPr>
      </w:pPr>
    </w:p>
    <w:p w14:paraId="33BC6B08" w14:textId="0A839B4B" w:rsidR="00F714F3" w:rsidRPr="00F54546" w:rsidRDefault="00F714F3" w:rsidP="00117148">
      <w:pPr>
        <w:pStyle w:val="NoSpacing"/>
        <w:spacing w:line="240" w:lineRule="auto"/>
        <w:ind w:firstLine="0"/>
        <w:rPr>
          <w:lang w:val="en-GB"/>
        </w:rPr>
      </w:pPr>
      <w:r w:rsidRPr="00F54546">
        <w:rPr>
          <w:b/>
          <w:bCs/>
          <w:lang w:val="en-GB"/>
        </w:rPr>
        <w:lastRenderedPageBreak/>
        <w:t xml:space="preserve">Table </w:t>
      </w:r>
      <w:r w:rsidR="00F72086">
        <w:rPr>
          <w:b/>
          <w:bCs/>
          <w:lang w:val="en-GB"/>
        </w:rPr>
        <w:t>2</w:t>
      </w:r>
      <w:r w:rsidRPr="00F54546">
        <w:rPr>
          <w:b/>
          <w:bCs/>
          <w:lang w:val="en-GB"/>
        </w:rPr>
        <w:t>.</w:t>
      </w:r>
      <w:r w:rsidR="00FB2DB3" w:rsidRPr="00F54546">
        <w:rPr>
          <w:b/>
          <w:bCs/>
          <w:lang w:val="en-GB"/>
        </w:rPr>
        <w:t xml:space="preserve"> </w:t>
      </w:r>
      <w:r w:rsidR="00FB2DB3" w:rsidRPr="00F54546">
        <w:rPr>
          <w:lang w:val="en-GB"/>
        </w:rPr>
        <w:t xml:space="preserve">Descriptive statistics of the study cohort stratified by </w:t>
      </w:r>
      <w:r w:rsidR="005175B7" w:rsidRPr="00F54546">
        <w:rPr>
          <w:lang w:val="en-GB"/>
        </w:rPr>
        <w:t>age and eligibility status.</w:t>
      </w:r>
    </w:p>
    <w:tbl>
      <w:tblPr>
        <w:tblW w:w="15593" w:type="dxa"/>
        <w:tblInd w:w="-709" w:type="dxa"/>
        <w:tblLook w:val="04A0" w:firstRow="1" w:lastRow="0" w:firstColumn="1" w:lastColumn="0" w:noHBand="0" w:noVBand="1"/>
      </w:tblPr>
      <w:tblGrid>
        <w:gridCol w:w="2552"/>
        <w:gridCol w:w="1418"/>
        <w:gridCol w:w="1453"/>
        <w:gridCol w:w="1665"/>
        <w:gridCol w:w="1701"/>
        <w:gridCol w:w="1985"/>
        <w:gridCol w:w="1984"/>
        <w:gridCol w:w="1418"/>
        <w:gridCol w:w="1417"/>
      </w:tblGrid>
      <w:tr w:rsidR="00117148" w:rsidRPr="00F54546" w14:paraId="4AD2166E" w14:textId="77777777" w:rsidTr="00203D2C">
        <w:trPr>
          <w:trHeight w:val="300"/>
        </w:trPr>
        <w:tc>
          <w:tcPr>
            <w:tcW w:w="2552" w:type="dxa"/>
            <w:tcBorders>
              <w:top w:val="single" w:sz="4" w:space="0" w:color="auto"/>
              <w:left w:val="nil"/>
              <w:right w:val="nil"/>
            </w:tcBorders>
            <w:shd w:val="clear" w:color="auto" w:fill="auto"/>
            <w:noWrap/>
            <w:vAlign w:val="bottom"/>
            <w:hideMark/>
          </w:tcPr>
          <w:bookmarkEnd w:id="34"/>
          <w:p w14:paraId="3135AEEF" w14:textId="77777777" w:rsidR="00ED3A43" w:rsidRPr="00F54546" w:rsidRDefault="00ED3A43" w:rsidP="00117148">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 </w:t>
            </w:r>
          </w:p>
        </w:tc>
        <w:tc>
          <w:tcPr>
            <w:tcW w:w="2871" w:type="dxa"/>
            <w:gridSpan w:val="2"/>
            <w:tcBorders>
              <w:top w:val="single" w:sz="4" w:space="0" w:color="auto"/>
              <w:left w:val="nil"/>
              <w:bottom w:val="single" w:sz="4" w:space="0" w:color="auto"/>
              <w:right w:val="nil"/>
            </w:tcBorders>
            <w:shd w:val="clear" w:color="auto" w:fill="auto"/>
            <w:noWrap/>
            <w:vAlign w:val="bottom"/>
            <w:hideMark/>
          </w:tcPr>
          <w:p w14:paraId="7384C5B0" w14:textId="77777777" w:rsidR="00ED3A43" w:rsidRPr="00F54546" w:rsidRDefault="00ED3A43" w:rsidP="00117148">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Overall</w:t>
            </w:r>
          </w:p>
        </w:tc>
        <w:tc>
          <w:tcPr>
            <w:tcW w:w="3366" w:type="dxa"/>
            <w:gridSpan w:val="2"/>
            <w:tcBorders>
              <w:top w:val="single" w:sz="4" w:space="0" w:color="auto"/>
              <w:left w:val="nil"/>
              <w:bottom w:val="single" w:sz="4" w:space="0" w:color="auto"/>
              <w:right w:val="nil"/>
            </w:tcBorders>
            <w:shd w:val="clear" w:color="auto" w:fill="auto"/>
            <w:noWrap/>
            <w:vAlign w:val="bottom"/>
            <w:hideMark/>
          </w:tcPr>
          <w:p w14:paraId="47A0D9FD" w14:textId="77777777" w:rsidR="00ED3A43" w:rsidRPr="00F54546" w:rsidRDefault="00ED3A43" w:rsidP="00117148">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Children</w:t>
            </w:r>
          </w:p>
        </w:tc>
        <w:tc>
          <w:tcPr>
            <w:tcW w:w="3969" w:type="dxa"/>
            <w:gridSpan w:val="2"/>
            <w:tcBorders>
              <w:top w:val="single" w:sz="4" w:space="0" w:color="auto"/>
              <w:left w:val="nil"/>
              <w:bottom w:val="single" w:sz="4" w:space="0" w:color="auto"/>
              <w:right w:val="nil"/>
            </w:tcBorders>
            <w:shd w:val="clear" w:color="auto" w:fill="auto"/>
            <w:noWrap/>
            <w:vAlign w:val="bottom"/>
            <w:hideMark/>
          </w:tcPr>
          <w:p w14:paraId="00D78BDE" w14:textId="77777777" w:rsidR="00ED3A43" w:rsidRPr="00F54546" w:rsidRDefault="00ED3A43" w:rsidP="00117148">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Adolescents</w:t>
            </w:r>
          </w:p>
        </w:tc>
        <w:tc>
          <w:tcPr>
            <w:tcW w:w="2835" w:type="dxa"/>
            <w:gridSpan w:val="2"/>
            <w:tcBorders>
              <w:top w:val="single" w:sz="4" w:space="0" w:color="auto"/>
              <w:left w:val="nil"/>
              <w:bottom w:val="single" w:sz="4" w:space="0" w:color="auto"/>
              <w:right w:val="nil"/>
            </w:tcBorders>
            <w:shd w:val="clear" w:color="auto" w:fill="auto"/>
            <w:noWrap/>
            <w:vAlign w:val="bottom"/>
            <w:hideMark/>
          </w:tcPr>
          <w:p w14:paraId="681D65AA" w14:textId="77777777" w:rsidR="00ED3A43" w:rsidRPr="00F54546" w:rsidRDefault="00ED3A43" w:rsidP="00117148">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Adults</w:t>
            </w:r>
          </w:p>
        </w:tc>
      </w:tr>
      <w:tr w:rsidR="00117148" w:rsidRPr="00F54546" w14:paraId="37585FC5" w14:textId="77777777" w:rsidTr="00203D2C">
        <w:trPr>
          <w:trHeight w:val="300"/>
        </w:trPr>
        <w:tc>
          <w:tcPr>
            <w:tcW w:w="2552" w:type="dxa"/>
            <w:tcBorders>
              <w:left w:val="nil"/>
              <w:bottom w:val="single" w:sz="4" w:space="0" w:color="auto"/>
              <w:right w:val="nil"/>
            </w:tcBorders>
            <w:shd w:val="clear" w:color="auto" w:fill="auto"/>
            <w:noWrap/>
            <w:vAlign w:val="bottom"/>
            <w:hideMark/>
          </w:tcPr>
          <w:p w14:paraId="720F6049" w14:textId="77777777" w:rsidR="00ED3A43" w:rsidRPr="00F54546" w:rsidRDefault="00ED3A43" w:rsidP="00117148">
            <w:pPr>
              <w:spacing w:after="0" w:line="240" w:lineRule="auto"/>
              <w:ind w:firstLine="0"/>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Variable</w:t>
            </w:r>
          </w:p>
        </w:tc>
        <w:tc>
          <w:tcPr>
            <w:tcW w:w="1418" w:type="dxa"/>
            <w:tcBorders>
              <w:top w:val="single" w:sz="4" w:space="0" w:color="auto"/>
              <w:left w:val="nil"/>
              <w:bottom w:val="single" w:sz="4" w:space="0" w:color="auto"/>
              <w:right w:val="nil"/>
            </w:tcBorders>
            <w:shd w:val="clear" w:color="auto" w:fill="auto"/>
            <w:noWrap/>
            <w:vAlign w:val="bottom"/>
            <w:hideMark/>
          </w:tcPr>
          <w:p w14:paraId="7003F041" w14:textId="77777777" w:rsidR="004B6ABC" w:rsidRPr="00F54546" w:rsidRDefault="00ED3A43"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Eligible</w:t>
            </w:r>
          </w:p>
          <w:p w14:paraId="52EDBDC4" w14:textId="0555B8B7" w:rsidR="00ED3A43" w:rsidRPr="00F54546" w:rsidRDefault="004B6ABC"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w:t>
            </w:r>
            <w:r w:rsidR="00ED3A43" w:rsidRPr="00F54546">
              <w:rPr>
                <w:rFonts w:ascii="Times New Roman" w:eastAsia="Times New Roman" w:hAnsi="Times New Roman" w:cs="Times New Roman"/>
                <w:b/>
                <w:bCs/>
                <w:color w:val="000000"/>
                <w:sz w:val="20"/>
                <w:szCs w:val="20"/>
                <w:lang w:val="en-GB"/>
              </w:rPr>
              <w:t>N = 89,921</w:t>
            </w:r>
            <w:r w:rsidRPr="00F54546">
              <w:rPr>
                <w:rFonts w:ascii="Times New Roman" w:eastAsia="Times New Roman" w:hAnsi="Times New Roman" w:cs="Times New Roman"/>
                <w:b/>
                <w:bCs/>
                <w:color w:val="000000"/>
                <w:sz w:val="20"/>
                <w:szCs w:val="20"/>
                <w:lang w:val="en-GB"/>
              </w:rPr>
              <w:t>)</w:t>
            </w:r>
          </w:p>
        </w:tc>
        <w:tc>
          <w:tcPr>
            <w:tcW w:w="1453" w:type="dxa"/>
            <w:tcBorders>
              <w:top w:val="single" w:sz="4" w:space="0" w:color="auto"/>
              <w:left w:val="nil"/>
              <w:bottom w:val="single" w:sz="4" w:space="0" w:color="auto"/>
              <w:right w:val="nil"/>
            </w:tcBorders>
            <w:shd w:val="clear" w:color="auto" w:fill="auto"/>
            <w:noWrap/>
            <w:vAlign w:val="bottom"/>
            <w:hideMark/>
          </w:tcPr>
          <w:p w14:paraId="39BD9250" w14:textId="77777777" w:rsidR="004B6ABC" w:rsidRPr="00F54546" w:rsidRDefault="00ED3A43"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Ineligible</w:t>
            </w:r>
          </w:p>
          <w:p w14:paraId="0595DBC1" w14:textId="38A2E5B3" w:rsidR="00ED3A43" w:rsidRPr="00F54546" w:rsidRDefault="004B6ABC"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w:t>
            </w:r>
            <w:r w:rsidR="00ED3A43" w:rsidRPr="00F54546">
              <w:rPr>
                <w:rFonts w:ascii="Times New Roman" w:eastAsia="Times New Roman" w:hAnsi="Times New Roman" w:cs="Times New Roman"/>
                <w:b/>
                <w:bCs/>
                <w:color w:val="000000"/>
                <w:sz w:val="20"/>
                <w:szCs w:val="20"/>
                <w:lang w:val="en-GB"/>
              </w:rPr>
              <w:t>N = 99,778</w:t>
            </w:r>
            <w:r w:rsidRPr="00F54546">
              <w:rPr>
                <w:rFonts w:ascii="Times New Roman" w:eastAsia="Times New Roman" w:hAnsi="Times New Roman" w:cs="Times New Roman"/>
                <w:b/>
                <w:bCs/>
                <w:color w:val="000000"/>
                <w:sz w:val="20"/>
                <w:szCs w:val="20"/>
                <w:lang w:val="en-GB"/>
              </w:rPr>
              <w:t>)</w:t>
            </w:r>
          </w:p>
        </w:tc>
        <w:tc>
          <w:tcPr>
            <w:tcW w:w="1665" w:type="dxa"/>
            <w:tcBorders>
              <w:top w:val="single" w:sz="4" w:space="0" w:color="auto"/>
              <w:left w:val="nil"/>
              <w:bottom w:val="single" w:sz="4" w:space="0" w:color="auto"/>
              <w:right w:val="nil"/>
            </w:tcBorders>
            <w:shd w:val="clear" w:color="auto" w:fill="auto"/>
            <w:noWrap/>
            <w:vAlign w:val="bottom"/>
            <w:hideMark/>
          </w:tcPr>
          <w:p w14:paraId="06E288E0" w14:textId="77777777" w:rsidR="004B6ABC" w:rsidRPr="00F54546" w:rsidRDefault="00ED3A43"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Eligible</w:t>
            </w:r>
          </w:p>
          <w:p w14:paraId="611C1C88" w14:textId="3AC590C3" w:rsidR="00ED3A43" w:rsidRPr="00F54546" w:rsidRDefault="004B6ABC"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w:t>
            </w:r>
            <w:r w:rsidR="00ED3A43" w:rsidRPr="00F54546">
              <w:rPr>
                <w:rFonts w:ascii="Times New Roman" w:eastAsia="Times New Roman" w:hAnsi="Times New Roman" w:cs="Times New Roman"/>
                <w:b/>
                <w:bCs/>
                <w:color w:val="000000"/>
                <w:sz w:val="20"/>
                <w:szCs w:val="20"/>
                <w:lang w:val="en-GB"/>
              </w:rPr>
              <w:t>N=40,352</w:t>
            </w:r>
            <w:r w:rsidRPr="00F54546">
              <w:rPr>
                <w:rFonts w:ascii="Times New Roman" w:eastAsia="Times New Roman" w:hAnsi="Times New Roman" w:cs="Times New Roman"/>
                <w:b/>
                <w:bCs/>
                <w:color w:val="000000"/>
                <w:sz w:val="20"/>
                <w:szCs w:val="20"/>
                <w:lang w:val="en-GB"/>
              </w:rPr>
              <w:t>)</w:t>
            </w:r>
          </w:p>
        </w:tc>
        <w:tc>
          <w:tcPr>
            <w:tcW w:w="1701" w:type="dxa"/>
            <w:tcBorders>
              <w:top w:val="single" w:sz="4" w:space="0" w:color="auto"/>
              <w:left w:val="nil"/>
              <w:bottom w:val="single" w:sz="4" w:space="0" w:color="auto"/>
              <w:right w:val="nil"/>
            </w:tcBorders>
            <w:shd w:val="clear" w:color="auto" w:fill="auto"/>
            <w:noWrap/>
            <w:vAlign w:val="bottom"/>
            <w:hideMark/>
          </w:tcPr>
          <w:p w14:paraId="4C803282" w14:textId="77777777" w:rsidR="004B6ABC" w:rsidRPr="00F54546" w:rsidRDefault="00ED3A43"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Ineligible</w:t>
            </w:r>
          </w:p>
          <w:p w14:paraId="0E7F67B3" w14:textId="6D1E807D" w:rsidR="00ED3A43" w:rsidRPr="00F54546" w:rsidRDefault="004B6ABC"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w:t>
            </w:r>
            <w:r w:rsidR="00ED3A43" w:rsidRPr="00F54546">
              <w:rPr>
                <w:rFonts w:ascii="Times New Roman" w:eastAsia="Times New Roman" w:hAnsi="Times New Roman" w:cs="Times New Roman"/>
                <w:b/>
                <w:bCs/>
                <w:color w:val="000000"/>
                <w:sz w:val="20"/>
                <w:szCs w:val="20"/>
                <w:lang w:val="en-GB"/>
              </w:rPr>
              <w:t>N = 10,643</w:t>
            </w:r>
            <w:r w:rsidRPr="00F54546">
              <w:rPr>
                <w:rFonts w:ascii="Times New Roman" w:eastAsia="Times New Roman" w:hAnsi="Times New Roman" w:cs="Times New Roman"/>
                <w:b/>
                <w:bCs/>
                <w:color w:val="000000"/>
                <w:sz w:val="20"/>
                <w:szCs w:val="20"/>
                <w:lang w:val="en-GB"/>
              </w:rPr>
              <w:t>)</w:t>
            </w:r>
          </w:p>
        </w:tc>
        <w:tc>
          <w:tcPr>
            <w:tcW w:w="1985" w:type="dxa"/>
            <w:tcBorders>
              <w:top w:val="single" w:sz="4" w:space="0" w:color="auto"/>
              <w:left w:val="nil"/>
              <w:bottom w:val="single" w:sz="4" w:space="0" w:color="auto"/>
              <w:right w:val="nil"/>
            </w:tcBorders>
            <w:shd w:val="clear" w:color="auto" w:fill="auto"/>
            <w:noWrap/>
            <w:vAlign w:val="bottom"/>
            <w:hideMark/>
          </w:tcPr>
          <w:p w14:paraId="10BAD2A9" w14:textId="77777777" w:rsidR="004B6ABC" w:rsidRPr="00F54546" w:rsidRDefault="00ED3A43"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Eligible</w:t>
            </w:r>
          </w:p>
          <w:p w14:paraId="48B9ECC8" w14:textId="540B5B35" w:rsidR="00ED3A43" w:rsidRPr="00F54546" w:rsidRDefault="004B6ABC"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w:t>
            </w:r>
            <w:r w:rsidR="00ED3A43" w:rsidRPr="00F54546">
              <w:rPr>
                <w:rFonts w:ascii="Times New Roman" w:eastAsia="Times New Roman" w:hAnsi="Times New Roman" w:cs="Times New Roman"/>
                <w:b/>
                <w:bCs/>
                <w:color w:val="000000"/>
                <w:sz w:val="20"/>
                <w:szCs w:val="20"/>
                <w:lang w:val="en-GB"/>
              </w:rPr>
              <w:t>N = 23,023</w:t>
            </w:r>
            <w:r w:rsidRPr="00F54546">
              <w:rPr>
                <w:rFonts w:ascii="Times New Roman" w:eastAsia="Times New Roman" w:hAnsi="Times New Roman" w:cs="Times New Roman"/>
                <w:b/>
                <w:bCs/>
                <w:color w:val="000000"/>
                <w:sz w:val="20"/>
                <w:szCs w:val="20"/>
                <w:lang w:val="en-GB"/>
              </w:rPr>
              <w:t>)</w:t>
            </w:r>
          </w:p>
        </w:tc>
        <w:tc>
          <w:tcPr>
            <w:tcW w:w="1984" w:type="dxa"/>
            <w:tcBorders>
              <w:top w:val="single" w:sz="4" w:space="0" w:color="auto"/>
              <w:left w:val="nil"/>
              <w:bottom w:val="single" w:sz="4" w:space="0" w:color="auto"/>
              <w:right w:val="nil"/>
            </w:tcBorders>
            <w:shd w:val="clear" w:color="auto" w:fill="auto"/>
            <w:noWrap/>
            <w:vAlign w:val="bottom"/>
            <w:hideMark/>
          </w:tcPr>
          <w:p w14:paraId="487FF950" w14:textId="77777777" w:rsidR="004B6ABC" w:rsidRPr="00F54546" w:rsidRDefault="00ED3A43"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Ineligible</w:t>
            </w:r>
          </w:p>
          <w:p w14:paraId="1FBD9BAF" w14:textId="708C3F50" w:rsidR="00ED3A43" w:rsidRPr="00F54546" w:rsidRDefault="004B6ABC"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w:t>
            </w:r>
            <w:r w:rsidR="00ED3A43" w:rsidRPr="00F54546">
              <w:rPr>
                <w:rFonts w:ascii="Times New Roman" w:eastAsia="Times New Roman" w:hAnsi="Times New Roman" w:cs="Times New Roman"/>
                <w:b/>
                <w:bCs/>
                <w:color w:val="000000"/>
                <w:sz w:val="20"/>
                <w:szCs w:val="20"/>
                <w:lang w:val="en-GB"/>
              </w:rPr>
              <w:t>N = 12,658</w:t>
            </w:r>
            <w:r w:rsidRPr="00F54546">
              <w:rPr>
                <w:rFonts w:ascii="Times New Roman" w:eastAsia="Times New Roman" w:hAnsi="Times New Roman" w:cs="Times New Roman"/>
                <w:b/>
                <w:bCs/>
                <w:color w:val="000000"/>
                <w:sz w:val="20"/>
                <w:szCs w:val="20"/>
                <w:lang w:val="en-GB"/>
              </w:rPr>
              <w:t>)</w:t>
            </w:r>
          </w:p>
        </w:tc>
        <w:tc>
          <w:tcPr>
            <w:tcW w:w="1418" w:type="dxa"/>
            <w:tcBorders>
              <w:top w:val="single" w:sz="4" w:space="0" w:color="auto"/>
              <w:left w:val="nil"/>
              <w:bottom w:val="single" w:sz="4" w:space="0" w:color="auto"/>
              <w:right w:val="nil"/>
            </w:tcBorders>
            <w:shd w:val="clear" w:color="auto" w:fill="auto"/>
            <w:noWrap/>
            <w:vAlign w:val="bottom"/>
            <w:hideMark/>
          </w:tcPr>
          <w:p w14:paraId="21E1BB17" w14:textId="77777777" w:rsidR="004B6ABC" w:rsidRPr="00F54546" w:rsidRDefault="00ED3A43"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Eligible</w:t>
            </w:r>
          </w:p>
          <w:p w14:paraId="480A590C" w14:textId="37F6E814" w:rsidR="00ED3A43" w:rsidRPr="00F54546" w:rsidRDefault="004B6ABC"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w:t>
            </w:r>
            <w:r w:rsidR="00ED3A43" w:rsidRPr="00F54546">
              <w:rPr>
                <w:rFonts w:ascii="Times New Roman" w:eastAsia="Times New Roman" w:hAnsi="Times New Roman" w:cs="Times New Roman"/>
                <w:b/>
                <w:bCs/>
                <w:color w:val="000000"/>
                <w:sz w:val="20"/>
                <w:szCs w:val="20"/>
                <w:lang w:val="en-GB"/>
              </w:rPr>
              <w:t>N =26,546</w:t>
            </w:r>
            <w:r w:rsidRPr="00F54546">
              <w:rPr>
                <w:rFonts w:ascii="Times New Roman" w:eastAsia="Times New Roman" w:hAnsi="Times New Roman" w:cs="Times New Roman"/>
                <w:b/>
                <w:bCs/>
                <w:color w:val="000000"/>
                <w:sz w:val="20"/>
                <w:szCs w:val="20"/>
                <w:lang w:val="en-GB"/>
              </w:rPr>
              <w:t>)</w:t>
            </w:r>
          </w:p>
        </w:tc>
        <w:tc>
          <w:tcPr>
            <w:tcW w:w="1417" w:type="dxa"/>
            <w:tcBorders>
              <w:top w:val="single" w:sz="4" w:space="0" w:color="auto"/>
              <w:left w:val="nil"/>
              <w:bottom w:val="single" w:sz="4" w:space="0" w:color="auto"/>
              <w:right w:val="nil"/>
            </w:tcBorders>
            <w:shd w:val="clear" w:color="auto" w:fill="auto"/>
            <w:noWrap/>
            <w:vAlign w:val="bottom"/>
            <w:hideMark/>
          </w:tcPr>
          <w:p w14:paraId="74B36A75" w14:textId="77777777" w:rsidR="004B6ABC" w:rsidRPr="00F54546" w:rsidRDefault="00ED3A43"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Ineligible</w:t>
            </w:r>
          </w:p>
          <w:p w14:paraId="5006FE58" w14:textId="004CADBC" w:rsidR="00ED3A43" w:rsidRPr="00F54546" w:rsidRDefault="004B6ABC" w:rsidP="00203D2C">
            <w:pPr>
              <w:spacing w:after="0" w:line="240" w:lineRule="auto"/>
              <w:ind w:firstLine="0"/>
              <w:jc w:val="center"/>
              <w:rPr>
                <w:rFonts w:ascii="Times New Roman" w:eastAsia="Times New Roman" w:hAnsi="Times New Roman" w:cs="Times New Roman"/>
                <w:b/>
                <w:bCs/>
                <w:color w:val="000000"/>
                <w:sz w:val="20"/>
                <w:szCs w:val="20"/>
                <w:lang w:val="en-GB"/>
              </w:rPr>
            </w:pPr>
            <w:r w:rsidRPr="00F54546">
              <w:rPr>
                <w:rFonts w:ascii="Times New Roman" w:eastAsia="Times New Roman" w:hAnsi="Times New Roman" w:cs="Times New Roman"/>
                <w:b/>
                <w:bCs/>
                <w:color w:val="000000"/>
                <w:sz w:val="20"/>
                <w:szCs w:val="20"/>
                <w:lang w:val="en-GB"/>
              </w:rPr>
              <w:t>(</w:t>
            </w:r>
            <w:r w:rsidR="00ED3A43" w:rsidRPr="00F54546">
              <w:rPr>
                <w:rFonts w:ascii="Times New Roman" w:eastAsia="Times New Roman" w:hAnsi="Times New Roman" w:cs="Times New Roman"/>
                <w:b/>
                <w:bCs/>
                <w:color w:val="000000"/>
                <w:sz w:val="20"/>
                <w:szCs w:val="20"/>
                <w:lang w:val="en-GB"/>
              </w:rPr>
              <w:t>N = 76,477</w:t>
            </w:r>
            <w:r w:rsidRPr="00F54546">
              <w:rPr>
                <w:rFonts w:ascii="Times New Roman" w:eastAsia="Times New Roman" w:hAnsi="Times New Roman" w:cs="Times New Roman"/>
                <w:b/>
                <w:bCs/>
                <w:color w:val="000000"/>
                <w:sz w:val="20"/>
                <w:szCs w:val="20"/>
                <w:lang w:val="en-GB"/>
              </w:rPr>
              <w:t>)</w:t>
            </w:r>
          </w:p>
        </w:tc>
      </w:tr>
      <w:tr w:rsidR="00117148" w:rsidRPr="00F54546" w14:paraId="63D73273" w14:textId="77777777" w:rsidTr="00203D2C">
        <w:trPr>
          <w:trHeight w:val="300"/>
        </w:trPr>
        <w:tc>
          <w:tcPr>
            <w:tcW w:w="2552" w:type="dxa"/>
            <w:tcBorders>
              <w:top w:val="nil"/>
              <w:left w:val="nil"/>
              <w:bottom w:val="nil"/>
              <w:right w:val="nil"/>
            </w:tcBorders>
            <w:shd w:val="clear" w:color="auto" w:fill="auto"/>
            <w:noWrap/>
            <w:vAlign w:val="bottom"/>
            <w:hideMark/>
          </w:tcPr>
          <w:p w14:paraId="545ECE53" w14:textId="7D131880" w:rsidR="00ED3A43" w:rsidRPr="00F54546" w:rsidRDefault="00ED3A43" w:rsidP="00117148">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Sex</w:t>
            </w:r>
          </w:p>
        </w:tc>
        <w:tc>
          <w:tcPr>
            <w:tcW w:w="1418" w:type="dxa"/>
            <w:tcBorders>
              <w:top w:val="nil"/>
              <w:left w:val="nil"/>
              <w:bottom w:val="nil"/>
              <w:right w:val="nil"/>
            </w:tcBorders>
            <w:shd w:val="clear" w:color="auto" w:fill="auto"/>
            <w:noWrap/>
            <w:vAlign w:val="bottom"/>
            <w:hideMark/>
          </w:tcPr>
          <w:p w14:paraId="541E241D"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453" w:type="dxa"/>
            <w:tcBorders>
              <w:top w:val="nil"/>
              <w:left w:val="nil"/>
              <w:bottom w:val="nil"/>
              <w:right w:val="nil"/>
            </w:tcBorders>
            <w:shd w:val="clear" w:color="auto" w:fill="auto"/>
            <w:noWrap/>
            <w:vAlign w:val="bottom"/>
            <w:hideMark/>
          </w:tcPr>
          <w:p w14:paraId="235C3DD6" w14:textId="77777777" w:rsidR="00ED3A43" w:rsidRPr="00F54546" w:rsidRDefault="00ED3A43" w:rsidP="00203D2C">
            <w:pPr>
              <w:spacing w:after="0" w:line="240" w:lineRule="auto"/>
              <w:ind w:firstLine="0"/>
              <w:jc w:val="right"/>
              <w:rPr>
                <w:rFonts w:ascii="Times New Roman" w:eastAsia="Times New Roman" w:hAnsi="Times New Roman" w:cs="Times New Roman"/>
                <w:sz w:val="20"/>
                <w:szCs w:val="20"/>
                <w:lang w:val="en-GB"/>
              </w:rPr>
            </w:pPr>
          </w:p>
        </w:tc>
        <w:tc>
          <w:tcPr>
            <w:tcW w:w="1665" w:type="dxa"/>
            <w:tcBorders>
              <w:top w:val="nil"/>
              <w:left w:val="nil"/>
              <w:bottom w:val="nil"/>
              <w:right w:val="nil"/>
            </w:tcBorders>
            <w:shd w:val="clear" w:color="auto" w:fill="auto"/>
            <w:noWrap/>
            <w:vAlign w:val="bottom"/>
            <w:hideMark/>
          </w:tcPr>
          <w:p w14:paraId="24BCF14B" w14:textId="77777777" w:rsidR="00ED3A43" w:rsidRPr="00F54546" w:rsidRDefault="00ED3A43" w:rsidP="00203D2C">
            <w:pPr>
              <w:spacing w:after="0" w:line="240" w:lineRule="auto"/>
              <w:ind w:firstLine="0"/>
              <w:jc w:val="right"/>
              <w:rPr>
                <w:rFonts w:ascii="Times New Roman" w:eastAsia="Times New Roman" w:hAnsi="Times New Roman" w:cs="Times New Roman"/>
                <w:sz w:val="20"/>
                <w:szCs w:val="20"/>
                <w:lang w:val="en-GB"/>
              </w:rPr>
            </w:pPr>
          </w:p>
        </w:tc>
        <w:tc>
          <w:tcPr>
            <w:tcW w:w="1701" w:type="dxa"/>
            <w:tcBorders>
              <w:top w:val="nil"/>
              <w:left w:val="nil"/>
              <w:bottom w:val="nil"/>
              <w:right w:val="nil"/>
            </w:tcBorders>
            <w:shd w:val="clear" w:color="auto" w:fill="auto"/>
            <w:noWrap/>
            <w:vAlign w:val="bottom"/>
            <w:hideMark/>
          </w:tcPr>
          <w:p w14:paraId="7F8186B6" w14:textId="77777777" w:rsidR="00ED3A43" w:rsidRPr="00F54546" w:rsidRDefault="00ED3A43" w:rsidP="00203D2C">
            <w:pPr>
              <w:spacing w:after="0" w:line="240" w:lineRule="auto"/>
              <w:ind w:firstLine="0"/>
              <w:jc w:val="right"/>
              <w:rPr>
                <w:rFonts w:ascii="Times New Roman" w:eastAsia="Times New Roman" w:hAnsi="Times New Roman" w:cs="Times New Roman"/>
                <w:sz w:val="20"/>
                <w:szCs w:val="20"/>
                <w:lang w:val="en-GB"/>
              </w:rPr>
            </w:pPr>
          </w:p>
        </w:tc>
        <w:tc>
          <w:tcPr>
            <w:tcW w:w="1985" w:type="dxa"/>
            <w:tcBorders>
              <w:top w:val="nil"/>
              <w:left w:val="nil"/>
              <w:bottom w:val="nil"/>
              <w:right w:val="nil"/>
            </w:tcBorders>
            <w:shd w:val="clear" w:color="auto" w:fill="auto"/>
            <w:noWrap/>
            <w:vAlign w:val="bottom"/>
            <w:hideMark/>
          </w:tcPr>
          <w:p w14:paraId="2719E45D" w14:textId="77777777" w:rsidR="00ED3A43" w:rsidRPr="00F54546" w:rsidRDefault="00ED3A43" w:rsidP="00203D2C">
            <w:pPr>
              <w:spacing w:after="0" w:line="240" w:lineRule="auto"/>
              <w:ind w:firstLine="0"/>
              <w:jc w:val="right"/>
              <w:rPr>
                <w:rFonts w:ascii="Times New Roman" w:eastAsia="Times New Roman" w:hAnsi="Times New Roman" w:cs="Times New Roman"/>
                <w:sz w:val="20"/>
                <w:szCs w:val="20"/>
                <w:lang w:val="en-GB"/>
              </w:rPr>
            </w:pPr>
          </w:p>
        </w:tc>
        <w:tc>
          <w:tcPr>
            <w:tcW w:w="1984" w:type="dxa"/>
            <w:tcBorders>
              <w:top w:val="nil"/>
              <w:left w:val="nil"/>
              <w:bottom w:val="nil"/>
              <w:right w:val="nil"/>
            </w:tcBorders>
            <w:shd w:val="clear" w:color="auto" w:fill="auto"/>
            <w:noWrap/>
            <w:vAlign w:val="bottom"/>
            <w:hideMark/>
          </w:tcPr>
          <w:p w14:paraId="275A7B29" w14:textId="77777777" w:rsidR="00ED3A43" w:rsidRPr="00F54546" w:rsidRDefault="00ED3A43" w:rsidP="00203D2C">
            <w:pPr>
              <w:spacing w:after="0" w:line="240" w:lineRule="auto"/>
              <w:ind w:firstLine="0"/>
              <w:jc w:val="right"/>
              <w:rPr>
                <w:rFonts w:ascii="Times New Roman" w:eastAsia="Times New Roman" w:hAnsi="Times New Roman" w:cs="Times New Roman"/>
                <w:sz w:val="20"/>
                <w:szCs w:val="20"/>
                <w:lang w:val="en-GB"/>
              </w:rPr>
            </w:pPr>
          </w:p>
        </w:tc>
        <w:tc>
          <w:tcPr>
            <w:tcW w:w="1418" w:type="dxa"/>
            <w:tcBorders>
              <w:top w:val="nil"/>
              <w:left w:val="nil"/>
              <w:bottom w:val="nil"/>
              <w:right w:val="nil"/>
            </w:tcBorders>
            <w:shd w:val="clear" w:color="auto" w:fill="auto"/>
            <w:noWrap/>
            <w:vAlign w:val="bottom"/>
            <w:hideMark/>
          </w:tcPr>
          <w:p w14:paraId="55339049" w14:textId="77777777" w:rsidR="00ED3A43" w:rsidRPr="00F54546" w:rsidRDefault="00ED3A43" w:rsidP="00203D2C">
            <w:pPr>
              <w:spacing w:after="0" w:line="240" w:lineRule="auto"/>
              <w:ind w:firstLine="0"/>
              <w:jc w:val="right"/>
              <w:rPr>
                <w:rFonts w:ascii="Times New Roman" w:eastAsia="Times New Roman" w:hAnsi="Times New Roman" w:cs="Times New Roman"/>
                <w:sz w:val="20"/>
                <w:szCs w:val="20"/>
                <w:lang w:val="en-GB"/>
              </w:rPr>
            </w:pPr>
          </w:p>
        </w:tc>
        <w:tc>
          <w:tcPr>
            <w:tcW w:w="1417" w:type="dxa"/>
            <w:tcBorders>
              <w:top w:val="nil"/>
              <w:left w:val="nil"/>
              <w:bottom w:val="nil"/>
              <w:right w:val="nil"/>
            </w:tcBorders>
            <w:shd w:val="clear" w:color="auto" w:fill="auto"/>
            <w:noWrap/>
            <w:vAlign w:val="bottom"/>
            <w:hideMark/>
          </w:tcPr>
          <w:p w14:paraId="363329CB" w14:textId="77777777" w:rsidR="00ED3A43" w:rsidRPr="00F54546" w:rsidRDefault="00ED3A43" w:rsidP="00203D2C">
            <w:pPr>
              <w:spacing w:after="0" w:line="240" w:lineRule="auto"/>
              <w:ind w:firstLine="0"/>
              <w:jc w:val="right"/>
              <w:rPr>
                <w:rFonts w:ascii="Times New Roman" w:eastAsia="Times New Roman" w:hAnsi="Times New Roman" w:cs="Times New Roman"/>
                <w:sz w:val="20"/>
                <w:szCs w:val="20"/>
                <w:lang w:val="en-GB"/>
              </w:rPr>
            </w:pPr>
          </w:p>
        </w:tc>
      </w:tr>
      <w:tr w:rsidR="00117148" w:rsidRPr="00F54546" w14:paraId="7711E247" w14:textId="77777777" w:rsidTr="00203D2C">
        <w:trPr>
          <w:trHeight w:val="300"/>
        </w:trPr>
        <w:tc>
          <w:tcPr>
            <w:tcW w:w="2552" w:type="dxa"/>
            <w:tcBorders>
              <w:top w:val="nil"/>
              <w:left w:val="nil"/>
              <w:bottom w:val="nil"/>
              <w:right w:val="nil"/>
            </w:tcBorders>
            <w:shd w:val="clear" w:color="auto" w:fill="auto"/>
            <w:noWrap/>
            <w:vAlign w:val="bottom"/>
            <w:hideMark/>
          </w:tcPr>
          <w:p w14:paraId="51B76096" w14:textId="77777777" w:rsidR="00ED3A43" w:rsidRPr="00F54546" w:rsidRDefault="00ED3A43" w:rsidP="00117148">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    Male</w:t>
            </w:r>
          </w:p>
        </w:tc>
        <w:tc>
          <w:tcPr>
            <w:tcW w:w="1418" w:type="dxa"/>
            <w:tcBorders>
              <w:top w:val="nil"/>
              <w:left w:val="nil"/>
              <w:bottom w:val="nil"/>
              <w:right w:val="nil"/>
            </w:tcBorders>
            <w:shd w:val="clear" w:color="auto" w:fill="auto"/>
            <w:noWrap/>
            <w:vAlign w:val="bottom"/>
            <w:hideMark/>
          </w:tcPr>
          <w:p w14:paraId="0301292C"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61,610 (69%)</w:t>
            </w:r>
          </w:p>
        </w:tc>
        <w:tc>
          <w:tcPr>
            <w:tcW w:w="1453" w:type="dxa"/>
            <w:tcBorders>
              <w:top w:val="nil"/>
              <w:left w:val="nil"/>
              <w:bottom w:val="nil"/>
              <w:right w:val="nil"/>
            </w:tcBorders>
            <w:shd w:val="clear" w:color="auto" w:fill="auto"/>
            <w:noWrap/>
            <w:vAlign w:val="bottom"/>
            <w:hideMark/>
          </w:tcPr>
          <w:p w14:paraId="5E9525D2"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50,543 (51%)</w:t>
            </w:r>
          </w:p>
        </w:tc>
        <w:tc>
          <w:tcPr>
            <w:tcW w:w="1665" w:type="dxa"/>
            <w:tcBorders>
              <w:top w:val="nil"/>
              <w:left w:val="nil"/>
              <w:bottom w:val="nil"/>
              <w:right w:val="nil"/>
            </w:tcBorders>
            <w:shd w:val="clear" w:color="auto" w:fill="auto"/>
            <w:noWrap/>
            <w:vAlign w:val="bottom"/>
            <w:hideMark/>
          </w:tcPr>
          <w:p w14:paraId="1AD8C2E9"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30,735 (76%)</w:t>
            </w:r>
          </w:p>
        </w:tc>
        <w:tc>
          <w:tcPr>
            <w:tcW w:w="1701" w:type="dxa"/>
            <w:tcBorders>
              <w:top w:val="nil"/>
              <w:left w:val="nil"/>
              <w:bottom w:val="nil"/>
              <w:right w:val="nil"/>
            </w:tcBorders>
            <w:shd w:val="clear" w:color="auto" w:fill="auto"/>
            <w:noWrap/>
            <w:vAlign w:val="bottom"/>
            <w:hideMark/>
          </w:tcPr>
          <w:p w14:paraId="08BA120E"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8,012 (75%)</w:t>
            </w:r>
          </w:p>
        </w:tc>
        <w:tc>
          <w:tcPr>
            <w:tcW w:w="1985" w:type="dxa"/>
            <w:tcBorders>
              <w:top w:val="nil"/>
              <w:left w:val="nil"/>
              <w:bottom w:val="nil"/>
              <w:right w:val="nil"/>
            </w:tcBorders>
            <w:shd w:val="clear" w:color="auto" w:fill="auto"/>
            <w:noWrap/>
            <w:vAlign w:val="bottom"/>
            <w:hideMark/>
          </w:tcPr>
          <w:p w14:paraId="65535968"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14,255 (62%)</w:t>
            </w:r>
          </w:p>
        </w:tc>
        <w:tc>
          <w:tcPr>
            <w:tcW w:w="1984" w:type="dxa"/>
            <w:tcBorders>
              <w:top w:val="nil"/>
              <w:left w:val="nil"/>
              <w:bottom w:val="nil"/>
              <w:right w:val="nil"/>
            </w:tcBorders>
            <w:shd w:val="clear" w:color="auto" w:fill="auto"/>
            <w:noWrap/>
            <w:vAlign w:val="bottom"/>
            <w:hideMark/>
          </w:tcPr>
          <w:p w14:paraId="4999DF12"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5,551 (44%)</w:t>
            </w:r>
          </w:p>
        </w:tc>
        <w:tc>
          <w:tcPr>
            <w:tcW w:w="1418" w:type="dxa"/>
            <w:tcBorders>
              <w:top w:val="nil"/>
              <w:left w:val="nil"/>
              <w:bottom w:val="nil"/>
              <w:right w:val="nil"/>
            </w:tcBorders>
            <w:shd w:val="clear" w:color="auto" w:fill="auto"/>
            <w:noWrap/>
            <w:vAlign w:val="bottom"/>
            <w:hideMark/>
          </w:tcPr>
          <w:p w14:paraId="2F0F8BC8"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16,620 (63%)</w:t>
            </w:r>
          </w:p>
        </w:tc>
        <w:tc>
          <w:tcPr>
            <w:tcW w:w="1417" w:type="dxa"/>
            <w:tcBorders>
              <w:top w:val="nil"/>
              <w:left w:val="nil"/>
              <w:bottom w:val="nil"/>
              <w:right w:val="nil"/>
            </w:tcBorders>
            <w:shd w:val="clear" w:color="auto" w:fill="auto"/>
            <w:noWrap/>
            <w:vAlign w:val="bottom"/>
            <w:hideMark/>
          </w:tcPr>
          <w:p w14:paraId="0272541F"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36,980 (48%)</w:t>
            </w:r>
          </w:p>
        </w:tc>
      </w:tr>
      <w:tr w:rsidR="00117148" w:rsidRPr="00F54546" w14:paraId="77526F8A" w14:textId="77777777" w:rsidTr="00203D2C">
        <w:trPr>
          <w:trHeight w:val="300"/>
        </w:trPr>
        <w:tc>
          <w:tcPr>
            <w:tcW w:w="2552" w:type="dxa"/>
            <w:tcBorders>
              <w:top w:val="nil"/>
              <w:left w:val="nil"/>
              <w:bottom w:val="nil"/>
              <w:right w:val="nil"/>
            </w:tcBorders>
            <w:shd w:val="clear" w:color="auto" w:fill="auto"/>
            <w:noWrap/>
            <w:vAlign w:val="bottom"/>
            <w:hideMark/>
          </w:tcPr>
          <w:p w14:paraId="0422C6C5" w14:textId="77777777" w:rsidR="00ED3A43" w:rsidRPr="00F54546" w:rsidRDefault="00ED3A43" w:rsidP="00117148">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    Female</w:t>
            </w:r>
          </w:p>
        </w:tc>
        <w:tc>
          <w:tcPr>
            <w:tcW w:w="1418" w:type="dxa"/>
            <w:tcBorders>
              <w:top w:val="nil"/>
              <w:left w:val="nil"/>
              <w:bottom w:val="nil"/>
              <w:right w:val="nil"/>
            </w:tcBorders>
            <w:shd w:val="clear" w:color="auto" w:fill="auto"/>
            <w:noWrap/>
            <w:vAlign w:val="bottom"/>
            <w:hideMark/>
          </w:tcPr>
          <w:p w14:paraId="45301941"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28,311 (31%)</w:t>
            </w:r>
          </w:p>
        </w:tc>
        <w:tc>
          <w:tcPr>
            <w:tcW w:w="1453" w:type="dxa"/>
            <w:tcBorders>
              <w:top w:val="nil"/>
              <w:left w:val="nil"/>
              <w:bottom w:val="nil"/>
              <w:right w:val="nil"/>
            </w:tcBorders>
            <w:shd w:val="clear" w:color="auto" w:fill="auto"/>
            <w:noWrap/>
            <w:vAlign w:val="bottom"/>
            <w:hideMark/>
          </w:tcPr>
          <w:p w14:paraId="6145BA76"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49,235 (49%)</w:t>
            </w:r>
          </w:p>
        </w:tc>
        <w:tc>
          <w:tcPr>
            <w:tcW w:w="1665" w:type="dxa"/>
            <w:tcBorders>
              <w:top w:val="nil"/>
              <w:left w:val="nil"/>
              <w:bottom w:val="nil"/>
              <w:right w:val="nil"/>
            </w:tcBorders>
            <w:shd w:val="clear" w:color="auto" w:fill="auto"/>
            <w:noWrap/>
            <w:vAlign w:val="bottom"/>
            <w:hideMark/>
          </w:tcPr>
          <w:p w14:paraId="4B0F37A1"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9,617 (24%)</w:t>
            </w:r>
          </w:p>
        </w:tc>
        <w:tc>
          <w:tcPr>
            <w:tcW w:w="1701" w:type="dxa"/>
            <w:tcBorders>
              <w:top w:val="nil"/>
              <w:left w:val="nil"/>
              <w:bottom w:val="nil"/>
              <w:right w:val="nil"/>
            </w:tcBorders>
            <w:shd w:val="clear" w:color="auto" w:fill="auto"/>
            <w:noWrap/>
            <w:vAlign w:val="bottom"/>
            <w:hideMark/>
          </w:tcPr>
          <w:p w14:paraId="21D5F182"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2,631 (25%)</w:t>
            </w:r>
          </w:p>
        </w:tc>
        <w:tc>
          <w:tcPr>
            <w:tcW w:w="1985" w:type="dxa"/>
            <w:tcBorders>
              <w:top w:val="nil"/>
              <w:left w:val="nil"/>
              <w:bottom w:val="nil"/>
              <w:right w:val="nil"/>
            </w:tcBorders>
            <w:shd w:val="clear" w:color="auto" w:fill="auto"/>
            <w:noWrap/>
            <w:vAlign w:val="bottom"/>
            <w:hideMark/>
          </w:tcPr>
          <w:p w14:paraId="279ECFC9"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8,768 (38%)</w:t>
            </w:r>
          </w:p>
        </w:tc>
        <w:tc>
          <w:tcPr>
            <w:tcW w:w="1984" w:type="dxa"/>
            <w:tcBorders>
              <w:top w:val="nil"/>
              <w:left w:val="nil"/>
              <w:bottom w:val="nil"/>
              <w:right w:val="nil"/>
            </w:tcBorders>
            <w:shd w:val="clear" w:color="auto" w:fill="auto"/>
            <w:noWrap/>
            <w:vAlign w:val="bottom"/>
            <w:hideMark/>
          </w:tcPr>
          <w:p w14:paraId="12961768"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7,107 (56%)</w:t>
            </w:r>
          </w:p>
        </w:tc>
        <w:tc>
          <w:tcPr>
            <w:tcW w:w="1418" w:type="dxa"/>
            <w:tcBorders>
              <w:top w:val="nil"/>
              <w:left w:val="nil"/>
              <w:bottom w:val="nil"/>
              <w:right w:val="nil"/>
            </w:tcBorders>
            <w:shd w:val="clear" w:color="auto" w:fill="auto"/>
            <w:noWrap/>
            <w:vAlign w:val="bottom"/>
            <w:hideMark/>
          </w:tcPr>
          <w:p w14:paraId="230CABE7"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9,926 (37%)</w:t>
            </w:r>
          </w:p>
        </w:tc>
        <w:tc>
          <w:tcPr>
            <w:tcW w:w="1417" w:type="dxa"/>
            <w:tcBorders>
              <w:top w:val="nil"/>
              <w:left w:val="nil"/>
              <w:bottom w:val="nil"/>
              <w:right w:val="nil"/>
            </w:tcBorders>
            <w:shd w:val="clear" w:color="auto" w:fill="auto"/>
            <w:noWrap/>
            <w:vAlign w:val="bottom"/>
            <w:hideMark/>
          </w:tcPr>
          <w:p w14:paraId="382B7C75"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39,497 (52%)</w:t>
            </w:r>
          </w:p>
        </w:tc>
      </w:tr>
      <w:tr w:rsidR="00117148" w:rsidRPr="00F54546" w14:paraId="78EC4467" w14:textId="77777777" w:rsidTr="00203D2C">
        <w:trPr>
          <w:trHeight w:val="300"/>
        </w:trPr>
        <w:tc>
          <w:tcPr>
            <w:tcW w:w="2552" w:type="dxa"/>
            <w:tcBorders>
              <w:top w:val="nil"/>
              <w:left w:val="nil"/>
              <w:bottom w:val="nil"/>
              <w:right w:val="nil"/>
            </w:tcBorders>
            <w:shd w:val="clear" w:color="auto" w:fill="auto"/>
            <w:noWrap/>
            <w:vAlign w:val="bottom"/>
            <w:hideMark/>
          </w:tcPr>
          <w:p w14:paraId="308DF593" w14:textId="77777777" w:rsidR="00ED3A43" w:rsidRPr="00F54546" w:rsidRDefault="00ED3A43" w:rsidP="00117148">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Age at treatment, years (IQR)</w:t>
            </w:r>
          </w:p>
        </w:tc>
        <w:tc>
          <w:tcPr>
            <w:tcW w:w="1418" w:type="dxa"/>
            <w:tcBorders>
              <w:top w:val="nil"/>
              <w:left w:val="nil"/>
              <w:bottom w:val="nil"/>
              <w:right w:val="nil"/>
            </w:tcBorders>
            <w:shd w:val="clear" w:color="auto" w:fill="auto"/>
            <w:noWrap/>
            <w:vAlign w:val="bottom"/>
            <w:hideMark/>
          </w:tcPr>
          <w:p w14:paraId="5112C65E"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13 (10, 16)</w:t>
            </w:r>
          </w:p>
        </w:tc>
        <w:tc>
          <w:tcPr>
            <w:tcW w:w="1453" w:type="dxa"/>
            <w:tcBorders>
              <w:top w:val="nil"/>
              <w:left w:val="nil"/>
              <w:bottom w:val="nil"/>
              <w:right w:val="nil"/>
            </w:tcBorders>
            <w:shd w:val="clear" w:color="auto" w:fill="auto"/>
            <w:noWrap/>
            <w:vAlign w:val="bottom"/>
            <w:hideMark/>
          </w:tcPr>
          <w:p w14:paraId="5850E64E"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26 (17, 37)</w:t>
            </w:r>
          </w:p>
        </w:tc>
        <w:tc>
          <w:tcPr>
            <w:tcW w:w="1665" w:type="dxa"/>
            <w:tcBorders>
              <w:top w:val="nil"/>
              <w:left w:val="nil"/>
              <w:bottom w:val="nil"/>
              <w:right w:val="nil"/>
            </w:tcBorders>
            <w:shd w:val="clear" w:color="auto" w:fill="auto"/>
            <w:noWrap/>
            <w:vAlign w:val="bottom"/>
            <w:hideMark/>
          </w:tcPr>
          <w:p w14:paraId="32A0163A" w14:textId="72B8ECB2"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9</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32 (7</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91, 10</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61)</w:t>
            </w:r>
          </w:p>
        </w:tc>
        <w:tc>
          <w:tcPr>
            <w:tcW w:w="1701" w:type="dxa"/>
            <w:tcBorders>
              <w:top w:val="nil"/>
              <w:left w:val="nil"/>
              <w:bottom w:val="nil"/>
              <w:right w:val="nil"/>
            </w:tcBorders>
            <w:shd w:val="clear" w:color="auto" w:fill="auto"/>
            <w:noWrap/>
            <w:vAlign w:val="bottom"/>
            <w:hideMark/>
          </w:tcPr>
          <w:p w14:paraId="42818B62" w14:textId="615804FC"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9</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20 (7</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53, 10</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62)</w:t>
            </w:r>
          </w:p>
        </w:tc>
        <w:tc>
          <w:tcPr>
            <w:tcW w:w="1985" w:type="dxa"/>
            <w:tcBorders>
              <w:top w:val="nil"/>
              <w:left w:val="nil"/>
              <w:bottom w:val="nil"/>
              <w:right w:val="nil"/>
            </w:tcBorders>
            <w:shd w:val="clear" w:color="auto" w:fill="auto"/>
            <w:noWrap/>
            <w:vAlign w:val="bottom"/>
            <w:hideMark/>
          </w:tcPr>
          <w:p w14:paraId="7ECD000C" w14:textId="0E8B7232"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14</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86 (13</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97, 15</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75)</w:t>
            </w:r>
          </w:p>
        </w:tc>
        <w:tc>
          <w:tcPr>
            <w:tcW w:w="1984" w:type="dxa"/>
            <w:tcBorders>
              <w:top w:val="nil"/>
              <w:left w:val="nil"/>
              <w:bottom w:val="nil"/>
              <w:right w:val="nil"/>
            </w:tcBorders>
            <w:shd w:val="clear" w:color="auto" w:fill="auto"/>
            <w:noWrap/>
            <w:vAlign w:val="bottom"/>
            <w:hideMark/>
          </w:tcPr>
          <w:p w14:paraId="1987B736" w14:textId="7932589E"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15</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29 (14</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34, 16</w:t>
            </w:r>
            <w:r w:rsidR="00C82BFB" w:rsidRPr="00F54546">
              <w:rPr>
                <w:rFonts w:ascii="Times New Roman" w:eastAsia="Times New Roman" w:hAnsi="Times New Roman" w:cs="Times New Roman"/>
                <w:color w:val="000000"/>
                <w:sz w:val="20"/>
                <w:szCs w:val="20"/>
                <w:lang w:val="en-GB"/>
              </w:rPr>
              <w:t>·</w:t>
            </w:r>
            <w:r w:rsidRPr="00F54546">
              <w:rPr>
                <w:rFonts w:ascii="Times New Roman" w:eastAsia="Times New Roman" w:hAnsi="Times New Roman" w:cs="Times New Roman"/>
                <w:color w:val="000000"/>
                <w:sz w:val="20"/>
                <w:szCs w:val="20"/>
                <w:lang w:val="en-GB"/>
              </w:rPr>
              <w:t>15)</w:t>
            </w:r>
          </w:p>
        </w:tc>
        <w:tc>
          <w:tcPr>
            <w:tcW w:w="1418" w:type="dxa"/>
            <w:tcBorders>
              <w:top w:val="nil"/>
              <w:left w:val="nil"/>
              <w:bottom w:val="nil"/>
              <w:right w:val="nil"/>
            </w:tcBorders>
            <w:shd w:val="clear" w:color="auto" w:fill="auto"/>
            <w:noWrap/>
            <w:vAlign w:val="bottom"/>
            <w:hideMark/>
          </w:tcPr>
          <w:p w14:paraId="068C46FF"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20 (17, 29)</w:t>
            </w:r>
          </w:p>
        </w:tc>
        <w:tc>
          <w:tcPr>
            <w:tcW w:w="1417" w:type="dxa"/>
            <w:tcBorders>
              <w:top w:val="nil"/>
              <w:left w:val="nil"/>
              <w:bottom w:val="nil"/>
              <w:right w:val="nil"/>
            </w:tcBorders>
            <w:shd w:val="clear" w:color="auto" w:fill="auto"/>
            <w:noWrap/>
            <w:vAlign w:val="bottom"/>
            <w:hideMark/>
          </w:tcPr>
          <w:p w14:paraId="4E8C56D7"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30 (23, 40)</w:t>
            </w:r>
          </w:p>
        </w:tc>
      </w:tr>
      <w:tr w:rsidR="004978DC" w:rsidRPr="00F54546" w14:paraId="11496C85" w14:textId="77777777" w:rsidTr="009C2D50">
        <w:trPr>
          <w:trHeight w:val="300"/>
        </w:trPr>
        <w:tc>
          <w:tcPr>
            <w:tcW w:w="2552" w:type="dxa"/>
            <w:tcBorders>
              <w:top w:val="nil"/>
              <w:left w:val="nil"/>
              <w:bottom w:val="nil"/>
              <w:right w:val="nil"/>
            </w:tcBorders>
            <w:shd w:val="clear" w:color="auto" w:fill="auto"/>
            <w:noWrap/>
          </w:tcPr>
          <w:p w14:paraId="10609B4E" w14:textId="393AF13F" w:rsidR="004978DC" w:rsidRPr="00F54546" w:rsidRDefault="001974FD" w:rsidP="004978DC">
            <w:pPr>
              <w:spacing w:after="0" w:line="240" w:lineRule="auto"/>
              <w:ind w:firstLine="0"/>
              <w:rPr>
                <w:rFonts w:ascii="Times New Roman" w:eastAsia="Times New Roman" w:hAnsi="Times New Roman" w:cs="Times New Roman"/>
                <w:i/>
                <w:iCs/>
                <w:color w:val="000000"/>
                <w:sz w:val="20"/>
                <w:szCs w:val="20"/>
                <w:lang w:val="en-GB"/>
              </w:rPr>
            </w:pPr>
            <w:r w:rsidRPr="00F54546">
              <w:rPr>
                <w:rFonts w:ascii="Times New Roman" w:hAnsi="Times New Roman" w:cs="Times New Roman"/>
                <w:i/>
                <w:iCs/>
                <w:sz w:val="20"/>
                <w:szCs w:val="20"/>
                <w:lang w:val="en-GB"/>
              </w:rPr>
              <w:t xml:space="preserve">First </w:t>
            </w:r>
            <w:r w:rsidR="004978DC" w:rsidRPr="00F54546">
              <w:rPr>
                <w:rFonts w:ascii="Times New Roman" w:hAnsi="Times New Roman" w:cs="Times New Roman"/>
                <w:i/>
                <w:iCs/>
                <w:sz w:val="20"/>
                <w:szCs w:val="20"/>
                <w:lang w:val="en-GB"/>
              </w:rPr>
              <w:t>ADHD medication</w:t>
            </w:r>
          </w:p>
        </w:tc>
        <w:tc>
          <w:tcPr>
            <w:tcW w:w="1418" w:type="dxa"/>
            <w:tcBorders>
              <w:top w:val="nil"/>
              <w:left w:val="nil"/>
              <w:bottom w:val="nil"/>
              <w:right w:val="nil"/>
            </w:tcBorders>
            <w:shd w:val="clear" w:color="auto" w:fill="auto"/>
            <w:noWrap/>
          </w:tcPr>
          <w:p w14:paraId="6532AB9E" w14:textId="77777777"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p>
        </w:tc>
        <w:tc>
          <w:tcPr>
            <w:tcW w:w="1453" w:type="dxa"/>
            <w:tcBorders>
              <w:top w:val="nil"/>
              <w:left w:val="nil"/>
              <w:bottom w:val="nil"/>
              <w:right w:val="nil"/>
            </w:tcBorders>
            <w:shd w:val="clear" w:color="auto" w:fill="auto"/>
            <w:noWrap/>
          </w:tcPr>
          <w:p w14:paraId="63EEB3A6" w14:textId="77777777"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p>
        </w:tc>
        <w:tc>
          <w:tcPr>
            <w:tcW w:w="1665" w:type="dxa"/>
            <w:tcBorders>
              <w:top w:val="nil"/>
              <w:left w:val="nil"/>
              <w:bottom w:val="nil"/>
              <w:right w:val="nil"/>
            </w:tcBorders>
            <w:shd w:val="clear" w:color="auto" w:fill="auto"/>
            <w:noWrap/>
          </w:tcPr>
          <w:p w14:paraId="576ECCAE" w14:textId="77777777"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p>
        </w:tc>
        <w:tc>
          <w:tcPr>
            <w:tcW w:w="1701" w:type="dxa"/>
            <w:tcBorders>
              <w:top w:val="nil"/>
              <w:left w:val="nil"/>
              <w:bottom w:val="nil"/>
              <w:right w:val="nil"/>
            </w:tcBorders>
            <w:shd w:val="clear" w:color="auto" w:fill="auto"/>
            <w:noWrap/>
          </w:tcPr>
          <w:p w14:paraId="50AF2632" w14:textId="77777777"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p>
        </w:tc>
        <w:tc>
          <w:tcPr>
            <w:tcW w:w="1985" w:type="dxa"/>
            <w:tcBorders>
              <w:top w:val="nil"/>
              <w:left w:val="nil"/>
              <w:bottom w:val="nil"/>
              <w:right w:val="nil"/>
            </w:tcBorders>
            <w:shd w:val="clear" w:color="auto" w:fill="auto"/>
            <w:noWrap/>
          </w:tcPr>
          <w:p w14:paraId="6A593716" w14:textId="77777777"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p>
        </w:tc>
        <w:tc>
          <w:tcPr>
            <w:tcW w:w="1984" w:type="dxa"/>
            <w:tcBorders>
              <w:top w:val="nil"/>
              <w:left w:val="nil"/>
              <w:bottom w:val="nil"/>
              <w:right w:val="nil"/>
            </w:tcBorders>
            <w:shd w:val="clear" w:color="auto" w:fill="auto"/>
            <w:noWrap/>
          </w:tcPr>
          <w:p w14:paraId="7BA3288C" w14:textId="77777777"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p>
        </w:tc>
        <w:tc>
          <w:tcPr>
            <w:tcW w:w="1418" w:type="dxa"/>
            <w:tcBorders>
              <w:top w:val="nil"/>
              <w:left w:val="nil"/>
              <w:bottom w:val="nil"/>
              <w:right w:val="nil"/>
            </w:tcBorders>
            <w:shd w:val="clear" w:color="auto" w:fill="auto"/>
            <w:noWrap/>
          </w:tcPr>
          <w:p w14:paraId="3D576FBB" w14:textId="77777777"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p>
        </w:tc>
        <w:tc>
          <w:tcPr>
            <w:tcW w:w="1417" w:type="dxa"/>
            <w:tcBorders>
              <w:top w:val="nil"/>
              <w:left w:val="nil"/>
              <w:bottom w:val="nil"/>
              <w:right w:val="nil"/>
            </w:tcBorders>
            <w:shd w:val="clear" w:color="auto" w:fill="auto"/>
            <w:noWrap/>
          </w:tcPr>
          <w:p w14:paraId="5E662FEC" w14:textId="77777777"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p>
        </w:tc>
      </w:tr>
      <w:tr w:rsidR="004978DC" w:rsidRPr="00F54546" w14:paraId="700FFC61" w14:textId="77777777" w:rsidTr="009C2D50">
        <w:trPr>
          <w:trHeight w:val="300"/>
        </w:trPr>
        <w:tc>
          <w:tcPr>
            <w:tcW w:w="2552" w:type="dxa"/>
            <w:tcBorders>
              <w:top w:val="nil"/>
              <w:left w:val="nil"/>
              <w:bottom w:val="nil"/>
              <w:right w:val="nil"/>
            </w:tcBorders>
            <w:shd w:val="clear" w:color="auto" w:fill="auto"/>
            <w:noWrap/>
          </w:tcPr>
          <w:p w14:paraId="30B23B79" w14:textId="76E54E18" w:rsidR="004978DC" w:rsidRPr="00F54546" w:rsidRDefault="004978DC" w:rsidP="004978DC">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    </w:t>
            </w:r>
            <w:r w:rsidR="00852927" w:rsidRPr="00F54546">
              <w:rPr>
                <w:rFonts w:ascii="Times New Roman" w:hAnsi="Times New Roman" w:cs="Times New Roman"/>
                <w:sz w:val="20"/>
                <w:szCs w:val="20"/>
                <w:lang w:val="en-GB"/>
              </w:rPr>
              <w:t>Guanfacine</w:t>
            </w:r>
          </w:p>
        </w:tc>
        <w:tc>
          <w:tcPr>
            <w:tcW w:w="1418" w:type="dxa"/>
            <w:tcBorders>
              <w:top w:val="nil"/>
              <w:left w:val="nil"/>
              <w:bottom w:val="nil"/>
              <w:right w:val="nil"/>
            </w:tcBorders>
            <w:shd w:val="clear" w:color="auto" w:fill="auto"/>
            <w:noWrap/>
          </w:tcPr>
          <w:p w14:paraId="40A06135" w14:textId="2A597F5A"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244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3%)</w:t>
            </w:r>
          </w:p>
        </w:tc>
        <w:tc>
          <w:tcPr>
            <w:tcW w:w="1453" w:type="dxa"/>
            <w:tcBorders>
              <w:top w:val="nil"/>
              <w:left w:val="nil"/>
              <w:bottom w:val="nil"/>
              <w:right w:val="nil"/>
            </w:tcBorders>
            <w:shd w:val="clear" w:color="auto" w:fill="auto"/>
            <w:noWrap/>
          </w:tcPr>
          <w:p w14:paraId="63BDF655" w14:textId="6EA9C385"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464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5%)</w:t>
            </w:r>
          </w:p>
        </w:tc>
        <w:tc>
          <w:tcPr>
            <w:tcW w:w="1665" w:type="dxa"/>
            <w:tcBorders>
              <w:top w:val="nil"/>
              <w:left w:val="nil"/>
              <w:bottom w:val="nil"/>
              <w:right w:val="nil"/>
            </w:tcBorders>
            <w:shd w:val="clear" w:color="auto" w:fill="auto"/>
            <w:noWrap/>
          </w:tcPr>
          <w:p w14:paraId="09A0110B" w14:textId="0BC99261"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159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4%)</w:t>
            </w:r>
          </w:p>
        </w:tc>
        <w:tc>
          <w:tcPr>
            <w:tcW w:w="1701" w:type="dxa"/>
            <w:tcBorders>
              <w:top w:val="nil"/>
              <w:left w:val="nil"/>
              <w:bottom w:val="nil"/>
              <w:right w:val="nil"/>
            </w:tcBorders>
            <w:shd w:val="clear" w:color="auto" w:fill="auto"/>
            <w:noWrap/>
          </w:tcPr>
          <w:p w14:paraId="5CBA97A1" w14:textId="7EC665DC"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136 (1</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3%)</w:t>
            </w:r>
          </w:p>
        </w:tc>
        <w:tc>
          <w:tcPr>
            <w:tcW w:w="1985" w:type="dxa"/>
            <w:tcBorders>
              <w:top w:val="nil"/>
              <w:left w:val="nil"/>
              <w:bottom w:val="nil"/>
              <w:right w:val="nil"/>
            </w:tcBorders>
            <w:shd w:val="clear" w:color="auto" w:fill="auto"/>
            <w:noWrap/>
          </w:tcPr>
          <w:p w14:paraId="7D57E403" w14:textId="28AC1C3D"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44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2%)</w:t>
            </w:r>
          </w:p>
        </w:tc>
        <w:tc>
          <w:tcPr>
            <w:tcW w:w="1984" w:type="dxa"/>
            <w:tcBorders>
              <w:top w:val="nil"/>
              <w:left w:val="nil"/>
              <w:bottom w:val="nil"/>
              <w:right w:val="nil"/>
            </w:tcBorders>
            <w:shd w:val="clear" w:color="auto" w:fill="auto"/>
            <w:noWrap/>
          </w:tcPr>
          <w:p w14:paraId="2FD32FD7" w14:textId="178F4A91"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118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9%)</w:t>
            </w:r>
          </w:p>
        </w:tc>
        <w:tc>
          <w:tcPr>
            <w:tcW w:w="1418" w:type="dxa"/>
            <w:tcBorders>
              <w:top w:val="nil"/>
              <w:left w:val="nil"/>
              <w:bottom w:val="nil"/>
              <w:right w:val="nil"/>
            </w:tcBorders>
            <w:shd w:val="clear" w:color="auto" w:fill="auto"/>
            <w:noWrap/>
          </w:tcPr>
          <w:p w14:paraId="53DF228C" w14:textId="12117996"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41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2%)</w:t>
            </w:r>
          </w:p>
        </w:tc>
        <w:tc>
          <w:tcPr>
            <w:tcW w:w="1417" w:type="dxa"/>
            <w:tcBorders>
              <w:top w:val="nil"/>
              <w:left w:val="nil"/>
              <w:bottom w:val="nil"/>
              <w:right w:val="nil"/>
            </w:tcBorders>
            <w:shd w:val="clear" w:color="auto" w:fill="auto"/>
            <w:noWrap/>
          </w:tcPr>
          <w:p w14:paraId="323D2DBA" w14:textId="0B66E4C5"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210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3%)</w:t>
            </w:r>
          </w:p>
        </w:tc>
      </w:tr>
      <w:tr w:rsidR="004978DC" w:rsidRPr="00F54546" w14:paraId="388A4459" w14:textId="77777777" w:rsidTr="009C2D50">
        <w:trPr>
          <w:trHeight w:val="300"/>
        </w:trPr>
        <w:tc>
          <w:tcPr>
            <w:tcW w:w="2552" w:type="dxa"/>
            <w:tcBorders>
              <w:top w:val="nil"/>
              <w:left w:val="nil"/>
              <w:bottom w:val="nil"/>
              <w:right w:val="nil"/>
            </w:tcBorders>
            <w:shd w:val="clear" w:color="auto" w:fill="auto"/>
            <w:noWrap/>
          </w:tcPr>
          <w:p w14:paraId="21905CA6" w14:textId="1388C00A" w:rsidR="004978DC" w:rsidRPr="00F54546" w:rsidRDefault="004978DC" w:rsidP="004978DC">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    </w:t>
            </w:r>
            <w:r w:rsidR="00852927" w:rsidRPr="00F54546">
              <w:rPr>
                <w:rFonts w:ascii="Times New Roman" w:hAnsi="Times New Roman" w:cs="Times New Roman"/>
                <w:sz w:val="20"/>
                <w:szCs w:val="20"/>
                <w:lang w:val="en-GB"/>
              </w:rPr>
              <w:t>Amphetamines</w:t>
            </w:r>
          </w:p>
        </w:tc>
        <w:tc>
          <w:tcPr>
            <w:tcW w:w="1418" w:type="dxa"/>
            <w:tcBorders>
              <w:top w:val="nil"/>
              <w:left w:val="nil"/>
              <w:bottom w:val="nil"/>
              <w:right w:val="nil"/>
            </w:tcBorders>
            <w:shd w:val="clear" w:color="auto" w:fill="auto"/>
            <w:noWrap/>
          </w:tcPr>
          <w:p w14:paraId="3A3EFFA2" w14:textId="468D52EC"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9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453" w:type="dxa"/>
            <w:tcBorders>
              <w:top w:val="nil"/>
              <w:left w:val="nil"/>
              <w:bottom w:val="nil"/>
              <w:right w:val="nil"/>
            </w:tcBorders>
            <w:shd w:val="clear" w:color="auto" w:fill="auto"/>
            <w:noWrap/>
          </w:tcPr>
          <w:p w14:paraId="1DE1AD97" w14:textId="0DEE2374"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18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665" w:type="dxa"/>
            <w:tcBorders>
              <w:top w:val="nil"/>
              <w:left w:val="nil"/>
              <w:bottom w:val="nil"/>
              <w:right w:val="nil"/>
            </w:tcBorders>
            <w:shd w:val="clear" w:color="auto" w:fill="auto"/>
            <w:noWrap/>
          </w:tcPr>
          <w:p w14:paraId="75CD351F" w14:textId="4BFD38AB"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701" w:type="dxa"/>
            <w:tcBorders>
              <w:top w:val="nil"/>
              <w:left w:val="nil"/>
              <w:bottom w:val="nil"/>
              <w:right w:val="nil"/>
            </w:tcBorders>
            <w:shd w:val="clear" w:color="auto" w:fill="auto"/>
            <w:noWrap/>
          </w:tcPr>
          <w:p w14:paraId="5C7BDA19" w14:textId="14AC00A0"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985" w:type="dxa"/>
            <w:tcBorders>
              <w:top w:val="nil"/>
              <w:left w:val="nil"/>
              <w:bottom w:val="nil"/>
              <w:right w:val="nil"/>
            </w:tcBorders>
            <w:shd w:val="clear" w:color="auto" w:fill="auto"/>
            <w:noWrap/>
          </w:tcPr>
          <w:p w14:paraId="166AEA65" w14:textId="216CF065"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984" w:type="dxa"/>
            <w:tcBorders>
              <w:top w:val="nil"/>
              <w:left w:val="nil"/>
              <w:bottom w:val="nil"/>
              <w:right w:val="nil"/>
            </w:tcBorders>
            <w:shd w:val="clear" w:color="auto" w:fill="auto"/>
            <w:noWrap/>
          </w:tcPr>
          <w:p w14:paraId="1EAEDB17" w14:textId="52A965E9"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418" w:type="dxa"/>
            <w:tcBorders>
              <w:top w:val="nil"/>
              <w:left w:val="nil"/>
              <w:bottom w:val="nil"/>
              <w:right w:val="nil"/>
            </w:tcBorders>
            <w:shd w:val="clear" w:color="auto" w:fill="auto"/>
            <w:noWrap/>
          </w:tcPr>
          <w:p w14:paraId="3517D640" w14:textId="673C4406"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7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417" w:type="dxa"/>
            <w:tcBorders>
              <w:top w:val="nil"/>
              <w:left w:val="nil"/>
              <w:bottom w:val="nil"/>
              <w:right w:val="nil"/>
            </w:tcBorders>
            <w:shd w:val="clear" w:color="auto" w:fill="auto"/>
            <w:noWrap/>
          </w:tcPr>
          <w:p w14:paraId="6E83275E" w14:textId="4405DEFC"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14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r>
      <w:tr w:rsidR="004978DC" w:rsidRPr="00F54546" w14:paraId="34AEB2D6" w14:textId="77777777" w:rsidTr="009C2D50">
        <w:trPr>
          <w:trHeight w:val="300"/>
        </w:trPr>
        <w:tc>
          <w:tcPr>
            <w:tcW w:w="2552" w:type="dxa"/>
            <w:tcBorders>
              <w:top w:val="nil"/>
              <w:left w:val="nil"/>
              <w:bottom w:val="nil"/>
              <w:right w:val="nil"/>
            </w:tcBorders>
            <w:shd w:val="clear" w:color="auto" w:fill="auto"/>
            <w:noWrap/>
          </w:tcPr>
          <w:p w14:paraId="0EB0E79B" w14:textId="676E9EF3" w:rsidR="004978DC" w:rsidRPr="00F54546" w:rsidRDefault="004978DC" w:rsidP="004978DC">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    </w:t>
            </w:r>
            <w:r w:rsidR="00852927" w:rsidRPr="00F54546">
              <w:rPr>
                <w:rFonts w:ascii="Times New Roman" w:hAnsi="Times New Roman" w:cs="Times New Roman"/>
                <w:sz w:val="20"/>
                <w:szCs w:val="20"/>
                <w:lang w:val="en-GB"/>
              </w:rPr>
              <w:t>Dexamphetamine</w:t>
            </w:r>
          </w:p>
        </w:tc>
        <w:tc>
          <w:tcPr>
            <w:tcW w:w="1418" w:type="dxa"/>
            <w:tcBorders>
              <w:top w:val="nil"/>
              <w:left w:val="nil"/>
              <w:bottom w:val="nil"/>
              <w:right w:val="nil"/>
            </w:tcBorders>
            <w:shd w:val="clear" w:color="auto" w:fill="auto"/>
            <w:noWrap/>
          </w:tcPr>
          <w:p w14:paraId="33B1D8C9" w14:textId="6102EAFA"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47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453" w:type="dxa"/>
            <w:tcBorders>
              <w:top w:val="nil"/>
              <w:left w:val="nil"/>
              <w:bottom w:val="nil"/>
              <w:right w:val="nil"/>
            </w:tcBorders>
            <w:shd w:val="clear" w:color="auto" w:fill="auto"/>
            <w:noWrap/>
          </w:tcPr>
          <w:p w14:paraId="48D668B1" w14:textId="6024835A"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183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2%)</w:t>
            </w:r>
          </w:p>
        </w:tc>
        <w:tc>
          <w:tcPr>
            <w:tcW w:w="1665" w:type="dxa"/>
            <w:tcBorders>
              <w:top w:val="nil"/>
              <w:left w:val="nil"/>
              <w:bottom w:val="nil"/>
              <w:right w:val="nil"/>
            </w:tcBorders>
            <w:shd w:val="clear" w:color="auto" w:fill="auto"/>
            <w:noWrap/>
          </w:tcPr>
          <w:p w14:paraId="647B27B0" w14:textId="0EC0C570"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6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701" w:type="dxa"/>
            <w:tcBorders>
              <w:top w:val="nil"/>
              <w:left w:val="nil"/>
              <w:bottom w:val="nil"/>
              <w:right w:val="nil"/>
            </w:tcBorders>
            <w:shd w:val="clear" w:color="auto" w:fill="auto"/>
            <w:noWrap/>
          </w:tcPr>
          <w:p w14:paraId="63AE7F86" w14:textId="3A7DAD95"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4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985" w:type="dxa"/>
            <w:tcBorders>
              <w:top w:val="nil"/>
              <w:left w:val="nil"/>
              <w:bottom w:val="nil"/>
              <w:right w:val="nil"/>
            </w:tcBorders>
            <w:shd w:val="clear" w:color="auto" w:fill="auto"/>
            <w:noWrap/>
          </w:tcPr>
          <w:p w14:paraId="385F29CC" w14:textId="75050CAE"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3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984" w:type="dxa"/>
            <w:tcBorders>
              <w:top w:val="nil"/>
              <w:left w:val="nil"/>
              <w:bottom w:val="nil"/>
              <w:right w:val="nil"/>
            </w:tcBorders>
            <w:shd w:val="clear" w:color="auto" w:fill="auto"/>
            <w:noWrap/>
          </w:tcPr>
          <w:p w14:paraId="35D34316" w14:textId="53E79EB3"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3 (&lt;0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418" w:type="dxa"/>
            <w:tcBorders>
              <w:top w:val="nil"/>
              <w:left w:val="nil"/>
              <w:bottom w:val="nil"/>
              <w:right w:val="nil"/>
            </w:tcBorders>
            <w:shd w:val="clear" w:color="auto" w:fill="auto"/>
            <w:noWrap/>
          </w:tcPr>
          <w:p w14:paraId="04C183E1" w14:textId="1FABF44C"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38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417" w:type="dxa"/>
            <w:tcBorders>
              <w:top w:val="nil"/>
              <w:left w:val="nil"/>
              <w:bottom w:val="nil"/>
              <w:right w:val="nil"/>
            </w:tcBorders>
            <w:shd w:val="clear" w:color="auto" w:fill="auto"/>
            <w:noWrap/>
          </w:tcPr>
          <w:p w14:paraId="0EECFCE6" w14:textId="63610CAA"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176 (0</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2%)</w:t>
            </w:r>
          </w:p>
        </w:tc>
      </w:tr>
      <w:tr w:rsidR="004978DC" w:rsidRPr="00F54546" w14:paraId="05D16190" w14:textId="77777777" w:rsidTr="009C2D50">
        <w:trPr>
          <w:trHeight w:val="300"/>
        </w:trPr>
        <w:tc>
          <w:tcPr>
            <w:tcW w:w="2552" w:type="dxa"/>
            <w:tcBorders>
              <w:top w:val="nil"/>
              <w:left w:val="nil"/>
              <w:bottom w:val="nil"/>
              <w:right w:val="nil"/>
            </w:tcBorders>
            <w:shd w:val="clear" w:color="auto" w:fill="auto"/>
            <w:noWrap/>
          </w:tcPr>
          <w:p w14:paraId="73D6FF18" w14:textId="68588A0D" w:rsidR="004978DC" w:rsidRPr="00F54546" w:rsidRDefault="004978DC" w:rsidP="004978DC">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    </w:t>
            </w:r>
            <w:r w:rsidR="00852927" w:rsidRPr="00F54546">
              <w:rPr>
                <w:rFonts w:ascii="Times New Roman" w:hAnsi="Times New Roman" w:cs="Times New Roman"/>
                <w:sz w:val="20"/>
                <w:szCs w:val="20"/>
                <w:lang w:val="en-GB"/>
              </w:rPr>
              <w:t>Methylphenidate</w:t>
            </w:r>
          </w:p>
        </w:tc>
        <w:tc>
          <w:tcPr>
            <w:tcW w:w="1418" w:type="dxa"/>
            <w:tcBorders>
              <w:top w:val="nil"/>
              <w:left w:val="nil"/>
              <w:bottom w:val="nil"/>
              <w:right w:val="nil"/>
            </w:tcBorders>
            <w:shd w:val="clear" w:color="auto" w:fill="auto"/>
            <w:noWrap/>
          </w:tcPr>
          <w:p w14:paraId="1A053EFF" w14:textId="562F3D59"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81,178 (90%)</w:t>
            </w:r>
          </w:p>
        </w:tc>
        <w:tc>
          <w:tcPr>
            <w:tcW w:w="1453" w:type="dxa"/>
            <w:tcBorders>
              <w:top w:val="nil"/>
              <w:left w:val="nil"/>
              <w:bottom w:val="nil"/>
              <w:right w:val="nil"/>
            </w:tcBorders>
            <w:shd w:val="clear" w:color="auto" w:fill="auto"/>
            <w:noWrap/>
          </w:tcPr>
          <w:p w14:paraId="564E791A" w14:textId="6D517411"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81,850 (82%)</w:t>
            </w:r>
          </w:p>
        </w:tc>
        <w:tc>
          <w:tcPr>
            <w:tcW w:w="1665" w:type="dxa"/>
            <w:tcBorders>
              <w:top w:val="nil"/>
              <w:left w:val="nil"/>
              <w:bottom w:val="nil"/>
              <w:right w:val="nil"/>
            </w:tcBorders>
            <w:shd w:val="clear" w:color="auto" w:fill="auto"/>
            <w:noWrap/>
          </w:tcPr>
          <w:p w14:paraId="1B88CAB1" w14:textId="68DEB03A"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37,032 (92%)</w:t>
            </w:r>
          </w:p>
        </w:tc>
        <w:tc>
          <w:tcPr>
            <w:tcW w:w="1701" w:type="dxa"/>
            <w:tcBorders>
              <w:top w:val="nil"/>
              <w:left w:val="nil"/>
              <w:bottom w:val="nil"/>
              <w:right w:val="nil"/>
            </w:tcBorders>
            <w:shd w:val="clear" w:color="auto" w:fill="auto"/>
            <w:noWrap/>
          </w:tcPr>
          <w:p w14:paraId="69D49F85" w14:textId="421B8B3E"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9,364 (88%)</w:t>
            </w:r>
          </w:p>
        </w:tc>
        <w:tc>
          <w:tcPr>
            <w:tcW w:w="1985" w:type="dxa"/>
            <w:tcBorders>
              <w:top w:val="nil"/>
              <w:left w:val="nil"/>
              <w:bottom w:val="nil"/>
              <w:right w:val="nil"/>
            </w:tcBorders>
            <w:shd w:val="clear" w:color="auto" w:fill="auto"/>
            <w:noWrap/>
          </w:tcPr>
          <w:p w14:paraId="1CF8AC80" w14:textId="35B9B220"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20,890 (91%)</w:t>
            </w:r>
          </w:p>
        </w:tc>
        <w:tc>
          <w:tcPr>
            <w:tcW w:w="1984" w:type="dxa"/>
            <w:tcBorders>
              <w:top w:val="nil"/>
              <w:left w:val="nil"/>
              <w:bottom w:val="nil"/>
              <w:right w:val="nil"/>
            </w:tcBorders>
            <w:shd w:val="clear" w:color="auto" w:fill="auto"/>
            <w:noWrap/>
          </w:tcPr>
          <w:p w14:paraId="0AFE75A8" w14:textId="2FF33EFB"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10,991 (87%)</w:t>
            </w:r>
          </w:p>
        </w:tc>
        <w:tc>
          <w:tcPr>
            <w:tcW w:w="1418" w:type="dxa"/>
            <w:tcBorders>
              <w:top w:val="nil"/>
              <w:left w:val="nil"/>
              <w:bottom w:val="nil"/>
              <w:right w:val="nil"/>
            </w:tcBorders>
            <w:shd w:val="clear" w:color="auto" w:fill="auto"/>
            <w:noWrap/>
          </w:tcPr>
          <w:p w14:paraId="5EF468A0" w14:textId="21C3F65B"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23,256 (88%)</w:t>
            </w:r>
          </w:p>
        </w:tc>
        <w:tc>
          <w:tcPr>
            <w:tcW w:w="1417" w:type="dxa"/>
            <w:tcBorders>
              <w:top w:val="nil"/>
              <w:left w:val="nil"/>
              <w:bottom w:val="nil"/>
              <w:right w:val="nil"/>
            </w:tcBorders>
            <w:shd w:val="clear" w:color="auto" w:fill="auto"/>
            <w:noWrap/>
          </w:tcPr>
          <w:p w14:paraId="615E9D9C" w14:textId="75CECC5C"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61,495 (80%)</w:t>
            </w:r>
          </w:p>
        </w:tc>
      </w:tr>
      <w:tr w:rsidR="004978DC" w:rsidRPr="00F54546" w14:paraId="1F63BB77" w14:textId="77777777" w:rsidTr="009C2D50">
        <w:trPr>
          <w:trHeight w:val="300"/>
        </w:trPr>
        <w:tc>
          <w:tcPr>
            <w:tcW w:w="2552" w:type="dxa"/>
            <w:tcBorders>
              <w:top w:val="nil"/>
              <w:left w:val="nil"/>
              <w:bottom w:val="nil"/>
              <w:right w:val="nil"/>
            </w:tcBorders>
            <w:shd w:val="clear" w:color="auto" w:fill="auto"/>
            <w:noWrap/>
          </w:tcPr>
          <w:p w14:paraId="670F5693" w14:textId="724A738D" w:rsidR="004978DC" w:rsidRPr="00F54546" w:rsidRDefault="004978DC" w:rsidP="004978DC">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   </w:t>
            </w:r>
            <w:r w:rsidR="001974FD" w:rsidRPr="00F54546">
              <w:rPr>
                <w:rFonts w:ascii="Times New Roman" w:hAnsi="Times New Roman" w:cs="Times New Roman"/>
                <w:sz w:val="20"/>
                <w:szCs w:val="20"/>
                <w:lang w:val="en-GB"/>
              </w:rPr>
              <w:t xml:space="preserve"> </w:t>
            </w:r>
            <w:r w:rsidR="00852927" w:rsidRPr="00F54546">
              <w:rPr>
                <w:rFonts w:ascii="Times New Roman" w:hAnsi="Times New Roman" w:cs="Times New Roman"/>
                <w:sz w:val="20"/>
                <w:szCs w:val="20"/>
                <w:lang w:val="en-GB"/>
              </w:rPr>
              <w:t>Atomoxetine</w:t>
            </w:r>
          </w:p>
        </w:tc>
        <w:tc>
          <w:tcPr>
            <w:tcW w:w="1418" w:type="dxa"/>
            <w:tcBorders>
              <w:top w:val="nil"/>
              <w:left w:val="nil"/>
              <w:bottom w:val="nil"/>
              <w:right w:val="nil"/>
            </w:tcBorders>
            <w:shd w:val="clear" w:color="auto" w:fill="auto"/>
            <w:noWrap/>
          </w:tcPr>
          <w:p w14:paraId="52793BCA" w14:textId="495F1308"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6,209 (6</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9%)</w:t>
            </w:r>
          </w:p>
        </w:tc>
        <w:tc>
          <w:tcPr>
            <w:tcW w:w="1453" w:type="dxa"/>
            <w:tcBorders>
              <w:top w:val="nil"/>
              <w:left w:val="nil"/>
              <w:bottom w:val="nil"/>
              <w:right w:val="nil"/>
            </w:tcBorders>
            <w:shd w:val="clear" w:color="auto" w:fill="auto"/>
            <w:noWrap/>
          </w:tcPr>
          <w:p w14:paraId="0FF78DED" w14:textId="71F86AC1"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11,917 (12%)</w:t>
            </w:r>
          </w:p>
        </w:tc>
        <w:tc>
          <w:tcPr>
            <w:tcW w:w="1665" w:type="dxa"/>
            <w:tcBorders>
              <w:top w:val="nil"/>
              <w:left w:val="nil"/>
              <w:bottom w:val="nil"/>
              <w:right w:val="nil"/>
            </w:tcBorders>
            <w:shd w:val="clear" w:color="auto" w:fill="auto"/>
            <w:noWrap/>
          </w:tcPr>
          <w:p w14:paraId="270C72E6" w14:textId="7C9C505E"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2,523 (6</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3%)</w:t>
            </w:r>
          </w:p>
        </w:tc>
        <w:tc>
          <w:tcPr>
            <w:tcW w:w="1701" w:type="dxa"/>
            <w:tcBorders>
              <w:top w:val="nil"/>
              <w:left w:val="nil"/>
              <w:bottom w:val="nil"/>
              <w:right w:val="nil"/>
            </w:tcBorders>
            <w:shd w:val="clear" w:color="auto" w:fill="auto"/>
            <w:noWrap/>
          </w:tcPr>
          <w:p w14:paraId="23A0A511" w14:textId="680E5049"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909 (8</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5%)</w:t>
            </w:r>
          </w:p>
        </w:tc>
        <w:tc>
          <w:tcPr>
            <w:tcW w:w="1985" w:type="dxa"/>
            <w:tcBorders>
              <w:top w:val="nil"/>
              <w:left w:val="nil"/>
              <w:bottom w:val="nil"/>
              <w:right w:val="nil"/>
            </w:tcBorders>
            <w:shd w:val="clear" w:color="auto" w:fill="auto"/>
            <w:noWrap/>
          </w:tcPr>
          <w:p w14:paraId="64E949E7" w14:textId="6F72284E"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1,470 (6</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4%)</w:t>
            </w:r>
          </w:p>
        </w:tc>
        <w:tc>
          <w:tcPr>
            <w:tcW w:w="1984" w:type="dxa"/>
            <w:tcBorders>
              <w:top w:val="nil"/>
              <w:left w:val="nil"/>
              <w:bottom w:val="nil"/>
              <w:right w:val="nil"/>
            </w:tcBorders>
            <w:shd w:val="clear" w:color="auto" w:fill="auto"/>
            <w:noWrap/>
          </w:tcPr>
          <w:p w14:paraId="64C4FCC1" w14:textId="3D76F70D"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1,039 (8</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2%)</w:t>
            </w:r>
          </w:p>
        </w:tc>
        <w:tc>
          <w:tcPr>
            <w:tcW w:w="1418" w:type="dxa"/>
            <w:tcBorders>
              <w:top w:val="nil"/>
              <w:left w:val="nil"/>
              <w:bottom w:val="nil"/>
              <w:right w:val="nil"/>
            </w:tcBorders>
            <w:shd w:val="clear" w:color="auto" w:fill="auto"/>
            <w:noWrap/>
          </w:tcPr>
          <w:p w14:paraId="74217025" w14:textId="7F402B7E"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2,216 (8</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3%)</w:t>
            </w:r>
          </w:p>
        </w:tc>
        <w:tc>
          <w:tcPr>
            <w:tcW w:w="1417" w:type="dxa"/>
            <w:tcBorders>
              <w:top w:val="nil"/>
              <w:left w:val="nil"/>
              <w:bottom w:val="nil"/>
              <w:right w:val="nil"/>
            </w:tcBorders>
            <w:shd w:val="clear" w:color="auto" w:fill="auto"/>
            <w:noWrap/>
          </w:tcPr>
          <w:p w14:paraId="41D83B32" w14:textId="2A8C89FE"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9,969 (13%)</w:t>
            </w:r>
          </w:p>
        </w:tc>
      </w:tr>
      <w:tr w:rsidR="004978DC" w:rsidRPr="00F54546" w14:paraId="50588A1B" w14:textId="77777777" w:rsidTr="009C2D50">
        <w:trPr>
          <w:trHeight w:val="300"/>
        </w:trPr>
        <w:tc>
          <w:tcPr>
            <w:tcW w:w="2552" w:type="dxa"/>
            <w:tcBorders>
              <w:top w:val="nil"/>
              <w:left w:val="nil"/>
              <w:bottom w:val="nil"/>
              <w:right w:val="nil"/>
            </w:tcBorders>
            <w:shd w:val="clear" w:color="auto" w:fill="auto"/>
            <w:noWrap/>
          </w:tcPr>
          <w:p w14:paraId="5B38A887" w14:textId="732BCC53" w:rsidR="004978DC" w:rsidRPr="00F54546" w:rsidRDefault="004978DC" w:rsidP="004978DC">
            <w:pPr>
              <w:spacing w:after="0" w:line="240" w:lineRule="auto"/>
              <w:ind w:firstLine="0"/>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   </w:t>
            </w:r>
            <w:r w:rsidR="001974FD" w:rsidRPr="00F54546">
              <w:rPr>
                <w:rFonts w:ascii="Times New Roman" w:hAnsi="Times New Roman" w:cs="Times New Roman"/>
                <w:sz w:val="20"/>
                <w:szCs w:val="20"/>
                <w:lang w:val="en-GB"/>
              </w:rPr>
              <w:t xml:space="preserve"> </w:t>
            </w:r>
            <w:r w:rsidR="00852927" w:rsidRPr="00F54546">
              <w:rPr>
                <w:rFonts w:ascii="Times New Roman" w:hAnsi="Times New Roman" w:cs="Times New Roman"/>
                <w:sz w:val="20"/>
                <w:szCs w:val="20"/>
                <w:lang w:val="en-GB"/>
              </w:rPr>
              <w:t>Lisdexamphetamine</w:t>
            </w:r>
          </w:p>
        </w:tc>
        <w:tc>
          <w:tcPr>
            <w:tcW w:w="1418" w:type="dxa"/>
            <w:tcBorders>
              <w:top w:val="nil"/>
              <w:left w:val="nil"/>
              <w:bottom w:val="nil"/>
              <w:right w:val="nil"/>
            </w:tcBorders>
            <w:shd w:val="clear" w:color="auto" w:fill="auto"/>
            <w:noWrap/>
          </w:tcPr>
          <w:p w14:paraId="27A61D8F" w14:textId="0F5C27D9"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2,234 (2</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5%)</w:t>
            </w:r>
          </w:p>
        </w:tc>
        <w:tc>
          <w:tcPr>
            <w:tcW w:w="1453" w:type="dxa"/>
            <w:tcBorders>
              <w:top w:val="nil"/>
              <w:left w:val="nil"/>
              <w:bottom w:val="nil"/>
              <w:right w:val="nil"/>
            </w:tcBorders>
            <w:shd w:val="clear" w:color="auto" w:fill="auto"/>
            <w:noWrap/>
          </w:tcPr>
          <w:p w14:paraId="2AC8BA9C" w14:textId="6493A17F"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5,346 (5</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4%)</w:t>
            </w:r>
          </w:p>
        </w:tc>
        <w:tc>
          <w:tcPr>
            <w:tcW w:w="1665" w:type="dxa"/>
            <w:tcBorders>
              <w:top w:val="nil"/>
              <w:left w:val="nil"/>
              <w:bottom w:val="nil"/>
              <w:right w:val="nil"/>
            </w:tcBorders>
            <w:shd w:val="clear" w:color="auto" w:fill="auto"/>
            <w:noWrap/>
          </w:tcPr>
          <w:p w14:paraId="71ABCD55" w14:textId="46F342FB"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631 (1</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6%)</w:t>
            </w:r>
          </w:p>
        </w:tc>
        <w:tc>
          <w:tcPr>
            <w:tcW w:w="1701" w:type="dxa"/>
            <w:tcBorders>
              <w:top w:val="nil"/>
              <w:left w:val="nil"/>
              <w:bottom w:val="nil"/>
              <w:right w:val="nil"/>
            </w:tcBorders>
            <w:shd w:val="clear" w:color="auto" w:fill="auto"/>
            <w:noWrap/>
          </w:tcPr>
          <w:p w14:paraId="66F12DD6" w14:textId="073B4888"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228 (2</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1%)</w:t>
            </w:r>
          </w:p>
        </w:tc>
        <w:tc>
          <w:tcPr>
            <w:tcW w:w="1985" w:type="dxa"/>
            <w:tcBorders>
              <w:top w:val="nil"/>
              <w:left w:val="nil"/>
              <w:bottom w:val="nil"/>
              <w:right w:val="nil"/>
            </w:tcBorders>
            <w:shd w:val="clear" w:color="auto" w:fill="auto"/>
            <w:noWrap/>
          </w:tcPr>
          <w:p w14:paraId="4D78639A" w14:textId="0B8A9CFF"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615 (2</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7%)</w:t>
            </w:r>
          </w:p>
        </w:tc>
        <w:tc>
          <w:tcPr>
            <w:tcW w:w="1984" w:type="dxa"/>
            <w:tcBorders>
              <w:top w:val="nil"/>
              <w:left w:val="nil"/>
              <w:bottom w:val="nil"/>
              <w:right w:val="nil"/>
            </w:tcBorders>
            <w:shd w:val="clear" w:color="auto" w:fill="auto"/>
            <w:noWrap/>
          </w:tcPr>
          <w:p w14:paraId="1E91E443" w14:textId="56B98C46"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505 (4</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0%)</w:t>
            </w:r>
          </w:p>
        </w:tc>
        <w:tc>
          <w:tcPr>
            <w:tcW w:w="1418" w:type="dxa"/>
            <w:tcBorders>
              <w:top w:val="nil"/>
              <w:left w:val="nil"/>
              <w:bottom w:val="nil"/>
              <w:right w:val="nil"/>
            </w:tcBorders>
            <w:shd w:val="clear" w:color="auto" w:fill="auto"/>
            <w:noWrap/>
          </w:tcPr>
          <w:p w14:paraId="5DEEA598" w14:textId="704A7DF6"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988 (3</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7%)</w:t>
            </w:r>
          </w:p>
        </w:tc>
        <w:tc>
          <w:tcPr>
            <w:tcW w:w="1417" w:type="dxa"/>
            <w:tcBorders>
              <w:top w:val="nil"/>
              <w:left w:val="nil"/>
              <w:bottom w:val="nil"/>
              <w:right w:val="nil"/>
            </w:tcBorders>
            <w:shd w:val="clear" w:color="auto" w:fill="auto"/>
            <w:noWrap/>
          </w:tcPr>
          <w:p w14:paraId="2753AE75" w14:textId="4DB3ADB8" w:rsidR="004978DC" w:rsidRPr="00F54546" w:rsidRDefault="004978DC" w:rsidP="004978D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hAnsi="Times New Roman" w:cs="Times New Roman"/>
                <w:sz w:val="20"/>
                <w:szCs w:val="20"/>
                <w:lang w:val="en-GB"/>
              </w:rPr>
              <w:t>4,613 (6</w:t>
            </w:r>
            <w:r w:rsidR="00C82BFB" w:rsidRPr="00F54546">
              <w:rPr>
                <w:rFonts w:ascii="Times New Roman" w:hAnsi="Times New Roman" w:cs="Times New Roman"/>
                <w:sz w:val="20"/>
                <w:szCs w:val="20"/>
                <w:lang w:val="en-GB"/>
              </w:rPr>
              <w:t>·</w:t>
            </w:r>
            <w:r w:rsidRPr="00F54546">
              <w:rPr>
                <w:rFonts w:ascii="Times New Roman" w:hAnsi="Times New Roman" w:cs="Times New Roman"/>
                <w:sz w:val="20"/>
                <w:szCs w:val="20"/>
                <w:lang w:val="en-GB"/>
              </w:rPr>
              <w:t>0%)</w:t>
            </w:r>
          </w:p>
        </w:tc>
      </w:tr>
      <w:tr w:rsidR="0065775B" w:rsidRPr="00F54546" w14:paraId="1DA41F4C" w14:textId="77777777" w:rsidTr="00203D2C">
        <w:trPr>
          <w:trHeight w:val="300"/>
        </w:trPr>
        <w:tc>
          <w:tcPr>
            <w:tcW w:w="2552" w:type="dxa"/>
            <w:tcBorders>
              <w:top w:val="nil"/>
              <w:left w:val="nil"/>
              <w:bottom w:val="nil"/>
              <w:right w:val="nil"/>
            </w:tcBorders>
            <w:shd w:val="clear" w:color="auto" w:fill="auto"/>
            <w:noWrap/>
            <w:vAlign w:val="bottom"/>
          </w:tcPr>
          <w:p w14:paraId="5E2CD8A2" w14:textId="491E9326" w:rsidR="0065775B" w:rsidRPr="00F54546" w:rsidRDefault="00015D45" w:rsidP="00117148">
            <w:pPr>
              <w:spacing w:after="0" w:line="240" w:lineRule="auto"/>
              <w:ind w:firstLine="0"/>
              <w:rPr>
                <w:rFonts w:ascii="Times New Roman" w:eastAsia="Times New Roman" w:hAnsi="Times New Roman" w:cs="Times New Roman"/>
                <w:i/>
                <w:iCs/>
                <w:color w:val="000000"/>
                <w:sz w:val="20"/>
                <w:szCs w:val="20"/>
                <w:lang w:val="en-GB"/>
              </w:rPr>
            </w:pPr>
            <w:r w:rsidRPr="00F54546">
              <w:rPr>
                <w:rFonts w:ascii="Times New Roman" w:eastAsia="Times New Roman" w:hAnsi="Times New Roman" w:cs="Times New Roman"/>
                <w:i/>
                <w:iCs/>
                <w:color w:val="000000"/>
                <w:sz w:val="20"/>
                <w:szCs w:val="20"/>
                <w:lang w:val="en-GB"/>
              </w:rPr>
              <w:t>Treatment o</w:t>
            </w:r>
            <w:r w:rsidR="0065775B" w:rsidRPr="00F54546">
              <w:rPr>
                <w:rFonts w:ascii="Times New Roman" w:eastAsia="Times New Roman" w:hAnsi="Times New Roman" w:cs="Times New Roman"/>
                <w:i/>
                <w:iCs/>
                <w:color w:val="000000"/>
                <w:sz w:val="20"/>
                <w:szCs w:val="20"/>
                <w:lang w:val="en-GB"/>
              </w:rPr>
              <w:t>utcomes</w:t>
            </w:r>
          </w:p>
        </w:tc>
        <w:tc>
          <w:tcPr>
            <w:tcW w:w="1418" w:type="dxa"/>
            <w:tcBorders>
              <w:top w:val="nil"/>
              <w:left w:val="nil"/>
              <w:bottom w:val="nil"/>
              <w:right w:val="nil"/>
            </w:tcBorders>
            <w:shd w:val="clear" w:color="auto" w:fill="auto"/>
            <w:noWrap/>
            <w:vAlign w:val="bottom"/>
          </w:tcPr>
          <w:p w14:paraId="797FB456" w14:textId="77777777" w:rsidR="0065775B" w:rsidRPr="00F54546" w:rsidRDefault="006577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453" w:type="dxa"/>
            <w:tcBorders>
              <w:top w:val="nil"/>
              <w:left w:val="nil"/>
              <w:bottom w:val="nil"/>
              <w:right w:val="nil"/>
            </w:tcBorders>
            <w:shd w:val="clear" w:color="auto" w:fill="auto"/>
            <w:noWrap/>
            <w:vAlign w:val="bottom"/>
          </w:tcPr>
          <w:p w14:paraId="33364041" w14:textId="77777777" w:rsidR="0065775B" w:rsidRPr="00F54546" w:rsidRDefault="006577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665" w:type="dxa"/>
            <w:tcBorders>
              <w:top w:val="nil"/>
              <w:left w:val="nil"/>
              <w:bottom w:val="nil"/>
              <w:right w:val="nil"/>
            </w:tcBorders>
            <w:shd w:val="clear" w:color="auto" w:fill="auto"/>
            <w:noWrap/>
            <w:vAlign w:val="bottom"/>
          </w:tcPr>
          <w:p w14:paraId="434BBE94" w14:textId="77777777" w:rsidR="0065775B" w:rsidRPr="00F54546" w:rsidRDefault="006577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701" w:type="dxa"/>
            <w:tcBorders>
              <w:top w:val="nil"/>
              <w:left w:val="nil"/>
              <w:bottom w:val="nil"/>
              <w:right w:val="nil"/>
            </w:tcBorders>
            <w:shd w:val="clear" w:color="auto" w:fill="auto"/>
            <w:noWrap/>
            <w:vAlign w:val="bottom"/>
          </w:tcPr>
          <w:p w14:paraId="4BDAF9C0" w14:textId="77777777" w:rsidR="0065775B" w:rsidRPr="00F54546" w:rsidRDefault="006577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985" w:type="dxa"/>
            <w:tcBorders>
              <w:top w:val="nil"/>
              <w:left w:val="nil"/>
              <w:bottom w:val="nil"/>
              <w:right w:val="nil"/>
            </w:tcBorders>
            <w:shd w:val="clear" w:color="auto" w:fill="auto"/>
            <w:noWrap/>
            <w:vAlign w:val="bottom"/>
          </w:tcPr>
          <w:p w14:paraId="2AAC0741" w14:textId="77777777" w:rsidR="0065775B" w:rsidRPr="00F54546" w:rsidRDefault="006577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984" w:type="dxa"/>
            <w:tcBorders>
              <w:top w:val="nil"/>
              <w:left w:val="nil"/>
              <w:bottom w:val="nil"/>
              <w:right w:val="nil"/>
            </w:tcBorders>
            <w:shd w:val="clear" w:color="auto" w:fill="auto"/>
            <w:noWrap/>
            <w:vAlign w:val="bottom"/>
          </w:tcPr>
          <w:p w14:paraId="249F0D8D" w14:textId="77777777" w:rsidR="0065775B" w:rsidRPr="00F54546" w:rsidRDefault="006577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418" w:type="dxa"/>
            <w:tcBorders>
              <w:top w:val="nil"/>
              <w:left w:val="nil"/>
              <w:bottom w:val="nil"/>
              <w:right w:val="nil"/>
            </w:tcBorders>
            <w:shd w:val="clear" w:color="auto" w:fill="auto"/>
            <w:noWrap/>
            <w:vAlign w:val="bottom"/>
          </w:tcPr>
          <w:p w14:paraId="04D791E6" w14:textId="77777777" w:rsidR="0065775B" w:rsidRPr="00F54546" w:rsidRDefault="006577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417" w:type="dxa"/>
            <w:tcBorders>
              <w:top w:val="nil"/>
              <w:left w:val="nil"/>
              <w:bottom w:val="nil"/>
              <w:right w:val="nil"/>
            </w:tcBorders>
            <w:shd w:val="clear" w:color="auto" w:fill="auto"/>
            <w:noWrap/>
            <w:vAlign w:val="bottom"/>
          </w:tcPr>
          <w:p w14:paraId="5D04D675" w14:textId="77777777" w:rsidR="0065775B" w:rsidRPr="00F54546" w:rsidRDefault="0065775B" w:rsidP="00203D2C">
            <w:pPr>
              <w:spacing w:after="0" w:line="240" w:lineRule="auto"/>
              <w:ind w:firstLine="0"/>
              <w:jc w:val="right"/>
              <w:rPr>
                <w:rFonts w:ascii="Times New Roman" w:eastAsia="Times New Roman" w:hAnsi="Times New Roman" w:cs="Times New Roman"/>
                <w:color w:val="000000"/>
                <w:sz w:val="20"/>
                <w:szCs w:val="20"/>
                <w:lang w:val="en-GB"/>
              </w:rPr>
            </w:pPr>
          </w:p>
        </w:tc>
      </w:tr>
      <w:tr w:rsidR="00117148" w:rsidRPr="00F54546" w14:paraId="1A0B32E7" w14:textId="77777777" w:rsidTr="00203D2C">
        <w:trPr>
          <w:trHeight w:val="300"/>
        </w:trPr>
        <w:tc>
          <w:tcPr>
            <w:tcW w:w="2552" w:type="dxa"/>
            <w:tcBorders>
              <w:top w:val="nil"/>
              <w:left w:val="nil"/>
              <w:bottom w:val="nil"/>
              <w:right w:val="nil"/>
            </w:tcBorders>
            <w:shd w:val="clear" w:color="auto" w:fill="auto"/>
            <w:noWrap/>
            <w:vAlign w:val="bottom"/>
            <w:hideMark/>
          </w:tcPr>
          <w:p w14:paraId="638CCC77" w14:textId="6E78FA2E" w:rsidR="00ED3A43" w:rsidRPr="00F54546" w:rsidRDefault="00015D45" w:rsidP="006577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S</w:t>
            </w:r>
            <w:r w:rsidR="00ED3A43" w:rsidRPr="00F54546">
              <w:rPr>
                <w:rFonts w:ascii="Times New Roman" w:eastAsia="Times New Roman" w:hAnsi="Times New Roman" w:cs="Times New Roman"/>
                <w:color w:val="000000"/>
                <w:sz w:val="20"/>
                <w:szCs w:val="20"/>
                <w:lang w:val="en-GB"/>
              </w:rPr>
              <w:t>witching</w:t>
            </w:r>
          </w:p>
        </w:tc>
        <w:tc>
          <w:tcPr>
            <w:tcW w:w="1418" w:type="dxa"/>
            <w:tcBorders>
              <w:top w:val="nil"/>
              <w:left w:val="nil"/>
              <w:bottom w:val="nil"/>
              <w:right w:val="nil"/>
            </w:tcBorders>
            <w:shd w:val="clear" w:color="auto" w:fill="auto"/>
            <w:noWrap/>
            <w:vAlign w:val="bottom"/>
            <w:hideMark/>
          </w:tcPr>
          <w:p w14:paraId="2B8CE931"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24,369 (27%)</w:t>
            </w:r>
          </w:p>
        </w:tc>
        <w:tc>
          <w:tcPr>
            <w:tcW w:w="1453" w:type="dxa"/>
            <w:tcBorders>
              <w:top w:val="nil"/>
              <w:left w:val="nil"/>
              <w:bottom w:val="nil"/>
              <w:right w:val="nil"/>
            </w:tcBorders>
            <w:shd w:val="clear" w:color="auto" w:fill="auto"/>
            <w:noWrap/>
            <w:vAlign w:val="bottom"/>
            <w:hideMark/>
          </w:tcPr>
          <w:p w14:paraId="57DACF39"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30,088 (30%)</w:t>
            </w:r>
          </w:p>
        </w:tc>
        <w:tc>
          <w:tcPr>
            <w:tcW w:w="1665" w:type="dxa"/>
            <w:tcBorders>
              <w:top w:val="nil"/>
              <w:left w:val="nil"/>
              <w:bottom w:val="nil"/>
              <w:right w:val="nil"/>
            </w:tcBorders>
            <w:shd w:val="clear" w:color="auto" w:fill="auto"/>
            <w:noWrap/>
            <w:vAlign w:val="bottom"/>
            <w:hideMark/>
          </w:tcPr>
          <w:p w14:paraId="004C900F"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11,780 (29%)</w:t>
            </w:r>
          </w:p>
        </w:tc>
        <w:tc>
          <w:tcPr>
            <w:tcW w:w="1701" w:type="dxa"/>
            <w:tcBorders>
              <w:top w:val="nil"/>
              <w:left w:val="nil"/>
              <w:bottom w:val="nil"/>
              <w:right w:val="nil"/>
            </w:tcBorders>
            <w:shd w:val="clear" w:color="auto" w:fill="auto"/>
            <w:noWrap/>
            <w:vAlign w:val="bottom"/>
            <w:hideMark/>
          </w:tcPr>
          <w:p w14:paraId="143F3478"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3,354 (32%)</w:t>
            </w:r>
          </w:p>
        </w:tc>
        <w:tc>
          <w:tcPr>
            <w:tcW w:w="1985" w:type="dxa"/>
            <w:tcBorders>
              <w:top w:val="nil"/>
              <w:left w:val="nil"/>
              <w:bottom w:val="nil"/>
              <w:right w:val="nil"/>
            </w:tcBorders>
            <w:shd w:val="clear" w:color="auto" w:fill="auto"/>
            <w:noWrap/>
            <w:vAlign w:val="bottom"/>
            <w:hideMark/>
          </w:tcPr>
          <w:p w14:paraId="57CC88BB"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6,055 (26%)</w:t>
            </w:r>
          </w:p>
        </w:tc>
        <w:tc>
          <w:tcPr>
            <w:tcW w:w="1984" w:type="dxa"/>
            <w:tcBorders>
              <w:top w:val="nil"/>
              <w:left w:val="nil"/>
              <w:bottom w:val="nil"/>
              <w:right w:val="nil"/>
            </w:tcBorders>
            <w:shd w:val="clear" w:color="auto" w:fill="auto"/>
            <w:noWrap/>
            <w:vAlign w:val="bottom"/>
            <w:hideMark/>
          </w:tcPr>
          <w:p w14:paraId="5CA64B6D"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3,980 (31%)</w:t>
            </w:r>
          </w:p>
        </w:tc>
        <w:tc>
          <w:tcPr>
            <w:tcW w:w="1418" w:type="dxa"/>
            <w:tcBorders>
              <w:top w:val="nil"/>
              <w:left w:val="nil"/>
              <w:bottom w:val="nil"/>
              <w:right w:val="nil"/>
            </w:tcBorders>
            <w:shd w:val="clear" w:color="auto" w:fill="auto"/>
            <w:noWrap/>
            <w:vAlign w:val="bottom"/>
            <w:hideMark/>
          </w:tcPr>
          <w:p w14:paraId="72A86A50"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6,534 (25%)</w:t>
            </w:r>
          </w:p>
        </w:tc>
        <w:tc>
          <w:tcPr>
            <w:tcW w:w="1417" w:type="dxa"/>
            <w:tcBorders>
              <w:top w:val="nil"/>
              <w:left w:val="nil"/>
              <w:bottom w:val="nil"/>
              <w:right w:val="nil"/>
            </w:tcBorders>
            <w:shd w:val="clear" w:color="auto" w:fill="auto"/>
            <w:noWrap/>
            <w:vAlign w:val="bottom"/>
            <w:hideMark/>
          </w:tcPr>
          <w:p w14:paraId="42037779"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22,754 (30%)</w:t>
            </w:r>
          </w:p>
        </w:tc>
      </w:tr>
      <w:tr w:rsidR="00117148" w:rsidRPr="00F54546" w14:paraId="1C25236F" w14:textId="77777777" w:rsidTr="00203D2C">
        <w:trPr>
          <w:trHeight w:val="300"/>
        </w:trPr>
        <w:tc>
          <w:tcPr>
            <w:tcW w:w="2552" w:type="dxa"/>
            <w:tcBorders>
              <w:top w:val="nil"/>
              <w:left w:val="nil"/>
              <w:bottom w:val="nil"/>
              <w:right w:val="nil"/>
            </w:tcBorders>
            <w:shd w:val="clear" w:color="auto" w:fill="auto"/>
            <w:noWrap/>
            <w:vAlign w:val="bottom"/>
            <w:hideMark/>
          </w:tcPr>
          <w:p w14:paraId="7A612426" w14:textId="788E4722" w:rsidR="00ED3A43" w:rsidRPr="00F54546" w:rsidRDefault="00015D45" w:rsidP="006577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D</w:t>
            </w:r>
            <w:r w:rsidR="00ED3A43" w:rsidRPr="00F54546">
              <w:rPr>
                <w:rFonts w:ascii="Times New Roman" w:eastAsia="Times New Roman" w:hAnsi="Times New Roman" w:cs="Times New Roman"/>
                <w:color w:val="000000"/>
                <w:sz w:val="20"/>
                <w:szCs w:val="20"/>
                <w:lang w:val="en-GB"/>
              </w:rPr>
              <w:t>iscontinuation</w:t>
            </w:r>
          </w:p>
        </w:tc>
        <w:tc>
          <w:tcPr>
            <w:tcW w:w="1418" w:type="dxa"/>
            <w:tcBorders>
              <w:top w:val="nil"/>
              <w:left w:val="nil"/>
              <w:bottom w:val="nil"/>
              <w:right w:val="nil"/>
            </w:tcBorders>
            <w:shd w:val="clear" w:color="auto" w:fill="auto"/>
            <w:noWrap/>
            <w:vAlign w:val="bottom"/>
            <w:hideMark/>
          </w:tcPr>
          <w:p w14:paraId="7BB4AEC7"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27,509 (31%)</w:t>
            </w:r>
          </w:p>
        </w:tc>
        <w:tc>
          <w:tcPr>
            <w:tcW w:w="1453" w:type="dxa"/>
            <w:tcBorders>
              <w:top w:val="nil"/>
              <w:left w:val="nil"/>
              <w:bottom w:val="nil"/>
              <w:right w:val="nil"/>
            </w:tcBorders>
            <w:shd w:val="clear" w:color="auto" w:fill="auto"/>
            <w:noWrap/>
            <w:vAlign w:val="bottom"/>
            <w:hideMark/>
          </w:tcPr>
          <w:p w14:paraId="5DA1F490"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27,057 (27%)</w:t>
            </w:r>
          </w:p>
        </w:tc>
        <w:tc>
          <w:tcPr>
            <w:tcW w:w="1665" w:type="dxa"/>
            <w:tcBorders>
              <w:top w:val="nil"/>
              <w:left w:val="nil"/>
              <w:bottom w:val="nil"/>
              <w:right w:val="nil"/>
            </w:tcBorders>
            <w:shd w:val="clear" w:color="auto" w:fill="auto"/>
            <w:noWrap/>
            <w:vAlign w:val="bottom"/>
            <w:hideMark/>
          </w:tcPr>
          <w:p w14:paraId="29302449"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10,195 (25%)</w:t>
            </w:r>
          </w:p>
        </w:tc>
        <w:tc>
          <w:tcPr>
            <w:tcW w:w="1701" w:type="dxa"/>
            <w:tcBorders>
              <w:top w:val="nil"/>
              <w:left w:val="nil"/>
              <w:bottom w:val="nil"/>
              <w:right w:val="nil"/>
            </w:tcBorders>
            <w:shd w:val="clear" w:color="auto" w:fill="auto"/>
            <w:noWrap/>
            <w:vAlign w:val="bottom"/>
            <w:hideMark/>
          </w:tcPr>
          <w:p w14:paraId="36ECD48B"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2,946 (28%)</w:t>
            </w:r>
          </w:p>
        </w:tc>
        <w:tc>
          <w:tcPr>
            <w:tcW w:w="1985" w:type="dxa"/>
            <w:tcBorders>
              <w:top w:val="nil"/>
              <w:left w:val="nil"/>
              <w:bottom w:val="nil"/>
              <w:right w:val="nil"/>
            </w:tcBorders>
            <w:shd w:val="clear" w:color="auto" w:fill="auto"/>
            <w:noWrap/>
            <w:vAlign w:val="bottom"/>
            <w:hideMark/>
          </w:tcPr>
          <w:p w14:paraId="36A2B209"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8,754 (38%)</w:t>
            </w:r>
          </w:p>
        </w:tc>
        <w:tc>
          <w:tcPr>
            <w:tcW w:w="1984" w:type="dxa"/>
            <w:tcBorders>
              <w:top w:val="nil"/>
              <w:left w:val="nil"/>
              <w:bottom w:val="nil"/>
              <w:right w:val="nil"/>
            </w:tcBorders>
            <w:shd w:val="clear" w:color="auto" w:fill="auto"/>
            <w:noWrap/>
            <w:vAlign w:val="bottom"/>
            <w:hideMark/>
          </w:tcPr>
          <w:p w14:paraId="1A94DF6F"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4,155 (33%)</w:t>
            </w:r>
          </w:p>
        </w:tc>
        <w:tc>
          <w:tcPr>
            <w:tcW w:w="1418" w:type="dxa"/>
            <w:tcBorders>
              <w:top w:val="nil"/>
              <w:left w:val="nil"/>
              <w:bottom w:val="nil"/>
              <w:right w:val="nil"/>
            </w:tcBorders>
            <w:shd w:val="clear" w:color="auto" w:fill="auto"/>
            <w:noWrap/>
            <w:vAlign w:val="bottom"/>
            <w:hideMark/>
          </w:tcPr>
          <w:p w14:paraId="5C4C68D5"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8,560 (32%)</w:t>
            </w:r>
          </w:p>
        </w:tc>
        <w:tc>
          <w:tcPr>
            <w:tcW w:w="1417" w:type="dxa"/>
            <w:tcBorders>
              <w:top w:val="nil"/>
              <w:left w:val="nil"/>
              <w:bottom w:val="nil"/>
              <w:right w:val="nil"/>
            </w:tcBorders>
            <w:shd w:val="clear" w:color="auto" w:fill="auto"/>
            <w:noWrap/>
            <w:vAlign w:val="bottom"/>
            <w:hideMark/>
          </w:tcPr>
          <w:p w14:paraId="7A5EA677" w14:textId="77777777" w:rsidR="00ED3A43" w:rsidRPr="00F54546" w:rsidRDefault="00ED3A43" w:rsidP="00203D2C">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19,956 (26%)</w:t>
            </w:r>
          </w:p>
        </w:tc>
      </w:tr>
      <w:tr w:rsidR="0014185B" w:rsidRPr="00F54546" w14:paraId="1600F77B" w14:textId="77777777" w:rsidTr="00203D2C">
        <w:trPr>
          <w:trHeight w:val="300"/>
        </w:trPr>
        <w:tc>
          <w:tcPr>
            <w:tcW w:w="2552" w:type="dxa"/>
            <w:tcBorders>
              <w:top w:val="nil"/>
              <w:left w:val="nil"/>
              <w:bottom w:val="nil"/>
              <w:right w:val="nil"/>
            </w:tcBorders>
            <w:shd w:val="clear" w:color="auto" w:fill="auto"/>
            <w:noWrap/>
            <w:vAlign w:val="bottom"/>
          </w:tcPr>
          <w:p w14:paraId="1B7C187E" w14:textId="01F32C39" w:rsidR="0014185B" w:rsidRPr="0018735E" w:rsidRDefault="0014185B" w:rsidP="0018735E">
            <w:pPr>
              <w:spacing w:after="0" w:line="240" w:lineRule="auto"/>
              <w:ind w:firstLine="0"/>
              <w:rPr>
                <w:rFonts w:ascii="Times New Roman" w:eastAsia="Times New Roman" w:hAnsi="Times New Roman" w:cs="Times New Roman"/>
                <w:i/>
                <w:iCs/>
                <w:color w:val="000000"/>
                <w:sz w:val="20"/>
                <w:szCs w:val="20"/>
                <w:lang w:val="en-GB"/>
              </w:rPr>
            </w:pPr>
            <w:r w:rsidRPr="0018735E">
              <w:rPr>
                <w:rFonts w:ascii="Times New Roman" w:eastAsia="Times New Roman" w:hAnsi="Times New Roman" w:cs="Times New Roman"/>
                <w:i/>
                <w:iCs/>
                <w:color w:val="000000"/>
                <w:sz w:val="20"/>
                <w:szCs w:val="20"/>
                <w:lang w:val="en-GB"/>
              </w:rPr>
              <w:t>Functional outcomes</w:t>
            </w:r>
            <w:r>
              <w:rPr>
                <w:rFonts w:ascii="Times New Roman" w:eastAsia="Times New Roman" w:hAnsi="Times New Roman" w:cs="Times New Roman"/>
                <w:i/>
                <w:iCs/>
                <w:color w:val="000000"/>
                <w:sz w:val="20"/>
                <w:szCs w:val="20"/>
                <w:lang w:val="en-GB"/>
              </w:rPr>
              <w:t>, % with at least 1 count</w:t>
            </w:r>
          </w:p>
        </w:tc>
        <w:tc>
          <w:tcPr>
            <w:tcW w:w="1418" w:type="dxa"/>
            <w:tcBorders>
              <w:top w:val="nil"/>
              <w:left w:val="nil"/>
              <w:bottom w:val="nil"/>
              <w:right w:val="nil"/>
            </w:tcBorders>
            <w:shd w:val="clear" w:color="auto" w:fill="auto"/>
            <w:noWrap/>
            <w:vAlign w:val="bottom"/>
          </w:tcPr>
          <w:p w14:paraId="02C468AD" w14:textId="77777777" w:rsidR="0014185B" w:rsidRPr="00F54546" w:rsidRDefault="001418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453" w:type="dxa"/>
            <w:tcBorders>
              <w:top w:val="nil"/>
              <w:left w:val="nil"/>
              <w:bottom w:val="nil"/>
              <w:right w:val="nil"/>
            </w:tcBorders>
            <w:shd w:val="clear" w:color="auto" w:fill="auto"/>
            <w:noWrap/>
            <w:vAlign w:val="bottom"/>
          </w:tcPr>
          <w:p w14:paraId="43F07297" w14:textId="77777777" w:rsidR="0014185B" w:rsidRPr="00F54546" w:rsidRDefault="001418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665" w:type="dxa"/>
            <w:tcBorders>
              <w:top w:val="nil"/>
              <w:left w:val="nil"/>
              <w:bottom w:val="nil"/>
              <w:right w:val="nil"/>
            </w:tcBorders>
            <w:shd w:val="clear" w:color="auto" w:fill="auto"/>
            <w:noWrap/>
            <w:vAlign w:val="bottom"/>
          </w:tcPr>
          <w:p w14:paraId="7A68D81B" w14:textId="77777777" w:rsidR="0014185B" w:rsidRPr="00F54546" w:rsidRDefault="001418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701" w:type="dxa"/>
            <w:tcBorders>
              <w:top w:val="nil"/>
              <w:left w:val="nil"/>
              <w:bottom w:val="nil"/>
              <w:right w:val="nil"/>
            </w:tcBorders>
            <w:shd w:val="clear" w:color="auto" w:fill="auto"/>
            <w:noWrap/>
            <w:vAlign w:val="bottom"/>
          </w:tcPr>
          <w:p w14:paraId="23377F11" w14:textId="77777777" w:rsidR="0014185B" w:rsidRPr="00F54546" w:rsidRDefault="001418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985" w:type="dxa"/>
            <w:tcBorders>
              <w:top w:val="nil"/>
              <w:left w:val="nil"/>
              <w:bottom w:val="nil"/>
              <w:right w:val="nil"/>
            </w:tcBorders>
            <w:shd w:val="clear" w:color="auto" w:fill="auto"/>
            <w:noWrap/>
            <w:vAlign w:val="bottom"/>
          </w:tcPr>
          <w:p w14:paraId="23128160" w14:textId="77777777" w:rsidR="0014185B" w:rsidRPr="00F54546" w:rsidRDefault="001418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984" w:type="dxa"/>
            <w:tcBorders>
              <w:top w:val="nil"/>
              <w:left w:val="nil"/>
              <w:bottom w:val="nil"/>
              <w:right w:val="nil"/>
            </w:tcBorders>
            <w:shd w:val="clear" w:color="auto" w:fill="auto"/>
            <w:noWrap/>
            <w:vAlign w:val="bottom"/>
          </w:tcPr>
          <w:p w14:paraId="17F9FD52" w14:textId="77777777" w:rsidR="0014185B" w:rsidRPr="00F54546" w:rsidRDefault="001418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418" w:type="dxa"/>
            <w:tcBorders>
              <w:top w:val="nil"/>
              <w:left w:val="nil"/>
              <w:bottom w:val="nil"/>
              <w:right w:val="nil"/>
            </w:tcBorders>
            <w:shd w:val="clear" w:color="auto" w:fill="auto"/>
            <w:noWrap/>
            <w:vAlign w:val="bottom"/>
          </w:tcPr>
          <w:p w14:paraId="6C77E42A" w14:textId="77777777" w:rsidR="0014185B" w:rsidRPr="00F54546" w:rsidRDefault="0014185B" w:rsidP="00203D2C">
            <w:pPr>
              <w:spacing w:after="0" w:line="240" w:lineRule="auto"/>
              <w:ind w:firstLine="0"/>
              <w:jc w:val="right"/>
              <w:rPr>
                <w:rFonts w:ascii="Times New Roman" w:eastAsia="Times New Roman" w:hAnsi="Times New Roman" w:cs="Times New Roman"/>
                <w:color w:val="000000"/>
                <w:sz w:val="20"/>
                <w:szCs w:val="20"/>
                <w:lang w:val="en-GB"/>
              </w:rPr>
            </w:pPr>
          </w:p>
        </w:tc>
        <w:tc>
          <w:tcPr>
            <w:tcW w:w="1417" w:type="dxa"/>
            <w:tcBorders>
              <w:top w:val="nil"/>
              <w:left w:val="nil"/>
              <w:bottom w:val="nil"/>
              <w:right w:val="nil"/>
            </w:tcBorders>
            <w:shd w:val="clear" w:color="auto" w:fill="auto"/>
            <w:noWrap/>
            <w:vAlign w:val="bottom"/>
          </w:tcPr>
          <w:p w14:paraId="4E7913FF" w14:textId="77777777" w:rsidR="0014185B" w:rsidRPr="00F54546" w:rsidRDefault="0014185B" w:rsidP="00203D2C">
            <w:pPr>
              <w:spacing w:after="0" w:line="240" w:lineRule="auto"/>
              <w:ind w:firstLine="0"/>
              <w:jc w:val="right"/>
              <w:rPr>
                <w:rFonts w:ascii="Times New Roman" w:eastAsia="Times New Roman" w:hAnsi="Times New Roman" w:cs="Times New Roman"/>
                <w:color w:val="000000"/>
                <w:sz w:val="20"/>
                <w:szCs w:val="20"/>
                <w:lang w:val="en-GB"/>
              </w:rPr>
            </w:pPr>
          </w:p>
        </w:tc>
      </w:tr>
      <w:tr w:rsidR="0014185B" w:rsidRPr="00F54546" w14:paraId="4E26A966" w14:textId="77777777" w:rsidTr="0018735E">
        <w:trPr>
          <w:trHeight w:val="300"/>
        </w:trPr>
        <w:tc>
          <w:tcPr>
            <w:tcW w:w="2552" w:type="dxa"/>
            <w:tcBorders>
              <w:top w:val="nil"/>
              <w:left w:val="nil"/>
              <w:bottom w:val="nil"/>
              <w:right w:val="nil"/>
            </w:tcBorders>
            <w:shd w:val="clear" w:color="auto" w:fill="auto"/>
            <w:noWrap/>
            <w:vAlign w:val="bottom"/>
          </w:tcPr>
          <w:p w14:paraId="23ED1EF3" w14:textId="6FAFCA3C"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Inpatient </w:t>
            </w:r>
            <w:r w:rsidR="005C63C6">
              <w:rPr>
                <w:rFonts w:ascii="Times New Roman" w:eastAsia="Times New Roman" w:hAnsi="Times New Roman" w:cs="Times New Roman"/>
                <w:color w:val="000000"/>
                <w:sz w:val="20"/>
                <w:szCs w:val="20"/>
                <w:lang w:val="en-GB"/>
              </w:rPr>
              <w:t>p</w:t>
            </w:r>
            <w:r>
              <w:rPr>
                <w:rFonts w:ascii="Times New Roman" w:eastAsia="Times New Roman" w:hAnsi="Times New Roman" w:cs="Times New Roman"/>
                <w:color w:val="000000"/>
                <w:sz w:val="20"/>
                <w:szCs w:val="20"/>
                <w:lang w:val="en-GB"/>
              </w:rPr>
              <w:t xml:space="preserve">sychiatric </w:t>
            </w:r>
            <w:r w:rsidR="005C63C6">
              <w:rPr>
                <w:rFonts w:ascii="Times New Roman" w:eastAsia="Times New Roman" w:hAnsi="Times New Roman" w:cs="Times New Roman"/>
                <w:color w:val="000000"/>
                <w:sz w:val="20"/>
                <w:szCs w:val="20"/>
                <w:lang w:val="en-GB"/>
              </w:rPr>
              <w:t>h</w:t>
            </w:r>
            <w:r>
              <w:rPr>
                <w:rFonts w:ascii="Times New Roman" w:eastAsia="Times New Roman" w:hAnsi="Times New Roman" w:cs="Times New Roman"/>
                <w:color w:val="000000"/>
                <w:sz w:val="20"/>
                <w:szCs w:val="20"/>
                <w:lang w:val="en-GB"/>
              </w:rPr>
              <w:t>osp</w:t>
            </w:r>
            <w:r w:rsidR="005C63C6">
              <w:rPr>
                <w:rFonts w:ascii="Times New Roman" w:eastAsia="Times New Roman" w:hAnsi="Times New Roman" w:cs="Times New Roman"/>
                <w:color w:val="000000"/>
                <w:sz w:val="20"/>
                <w:szCs w:val="20"/>
                <w:lang w:val="en-GB"/>
              </w:rPr>
              <w:t>italizations</w:t>
            </w:r>
          </w:p>
        </w:tc>
        <w:tc>
          <w:tcPr>
            <w:tcW w:w="1418" w:type="dxa"/>
            <w:tcBorders>
              <w:top w:val="nil"/>
              <w:left w:val="nil"/>
              <w:bottom w:val="nil"/>
              <w:right w:val="nil"/>
            </w:tcBorders>
            <w:shd w:val="clear" w:color="auto" w:fill="auto"/>
            <w:noWrap/>
            <w:vAlign w:val="bottom"/>
          </w:tcPr>
          <w:p w14:paraId="5AC91C54" w14:textId="1ECD2D63"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4185B">
              <w:rPr>
                <w:rFonts w:ascii="Times New Roman" w:eastAsia="Times New Roman" w:hAnsi="Times New Roman" w:cs="Times New Roman"/>
                <w:color w:val="000000"/>
                <w:sz w:val="20"/>
                <w:szCs w:val="20"/>
                <w:lang w:val="en-GB"/>
              </w:rPr>
              <w:t>1,765 (2</w:t>
            </w:r>
            <w:r>
              <w:rPr>
                <w:rFonts w:ascii="Times New Roman" w:eastAsia="Times New Roman" w:hAnsi="Times New Roman" w:cs="Times New Roman"/>
                <w:color w:val="000000"/>
                <w:sz w:val="20"/>
                <w:szCs w:val="20"/>
                <w:lang w:val="en-GB"/>
              </w:rPr>
              <w:t>·</w:t>
            </w:r>
            <w:r w:rsidRPr="0014185B">
              <w:rPr>
                <w:rFonts w:ascii="Times New Roman" w:eastAsia="Times New Roman" w:hAnsi="Times New Roman" w:cs="Times New Roman"/>
                <w:color w:val="000000"/>
                <w:sz w:val="20"/>
                <w:szCs w:val="20"/>
                <w:lang w:val="en-GB"/>
              </w:rPr>
              <w:t>0%)</w:t>
            </w:r>
          </w:p>
        </w:tc>
        <w:tc>
          <w:tcPr>
            <w:tcW w:w="1453" w:type="dxa"/>
            <w:tcBorders>
              <w:top w:val="nil"/>
              <w:left w:val="nil"/>
              <w:bottom w:val="nil"/>
              <w:right w:val="nil"/>
            </w:tcBorders>
            <w:shd w:val="clear" w:color="auto" w:fill="auto"/>
            <w:noWrap/>
            <w:vAlign w:val="bottom"/>
          </w:tcPr>
          <w:p w14:paraId="7050AA5D" w14:textId="15A767A9"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4185B">
              <w:rPr>
                <w:rFonts w:ascii="Times New Roman" w:eastAsia="Times New Roman" w:hAnsi="Times New Roman" w:cs="Times New Roman"/>
                <w:color w:val="000000"/>
                <w:sz w:val="20"/>
                <w:szCs w:val="20"/>
                <w:lang w:val="en-GB"/>
              </w:rPr>
              <w:t>11,104 (11%)</w:t>
            </w:r>
          </w:p>
        </w:tc>
        <w:tc>
          <w:tcPr>
            <w:tcW w:w="1665" w:type="dxa"/>
            <w:tcBorders>
              <w:top w:val="nil"/>
              <w:left w:val="nil"/>
              <w:bottom w:val="nil"/>
              <w:right w:val="nil"/>
            </w:tcBorders>
            <w:shd w:val="clear" w:color="auto" w:fill="auto"/>
            <w:noWrap/>
          </w:tcPr>
          <w:p w14:paraId="61A4A88B" w14:textId="47D9CE4F"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292 (0</w:t>
            </w:r>
            <w:r>
              <w:rPr>
                <w:rFonts w:ascii="Times New Roman" w:hAnsi="Times New Roman" w:cs="Times New Roman"/>
                <w:sz w:val="20"/>
                <w:szCs w:val="20"/>
              </w:rPr>
              <w:t>·</w:t>
            </w:r>
            <w:r w:rsidRPr="0018735E">
              <w:rPr>
                <w:rFonts w:ascii="Times New Roman" w:hAnsi="Times New Roman" w:cs="Times New Roman"/>
                <w:sz w:val="20"/>
                <w:szCs w:val="20"/>
              </w:rPr>
              <w:t>7%)</w:t>
            </w:r>
          </w:p>
        </w:tc>
        <w:tc>
          <w:tcPr>
            <w:tcW w:w="1701" w:type="dxa"/>
            <w:tcBorders>
              <w:top w:val="nil"/>
              <w:left w:val="nil"/>
              <w:bottom w:val="nil"/>
              <w:right w:val="nil"/>
            </w:tcBorders>
            <w:shd w:val="clear" w:color="auto" w:fill="auto"/>
            <w:noWrap/>
          </w:tcPr>
          <w:p w14:paraId="04E2D8F5" w14:textId="04750347"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230 (2</w:t>
            </w:r>
            <w:r>
              <w:rPr>
                <w:rFonts w:ascii="Times New Roman" w:hAnsi="Times New Roman" w:cs="Times New Roman"/>
                <w:sz w:val="20"/>
                <w:szCs w:val="20"/>
              </w:rPr>
              <w:t>·</w:t>
            </w:r>
            <w:r w:rsidRPr="0018735E">
              <w:rPr>
                <w:rFonts w:ascii="Times New Roman" w:hAnsi="Times New Roman" w:cs="Times New Roman"/>
                <w:sz w:val="20"/>
                <w:szCs w:val="20"/>
              </w:rPr>
              <w:t>2%)</w:t>
            </w:r>
          </w:p>
        </w:tc>
        <w:tc>
          <w:tcPr>
            <w:tcW w:w="1985" w:type="dxa"/>
            <w:tcBorders>
              <w:top w:val="nil"/>
              <w:left w:val="nil"/>
              <w:bottom w:val="nil"/>
              <w:right w:val="nil"/>
            </w:tcBorders>
            <w:shd w:val="clear" w:color="auto" w:fill="auto"/>
            <w:noWrap/>
          </w:tcPr>
          <w:p w14:paraId="0DA9D72B" w14:textId="0889AAA4"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672 (2</w:t>
            </w:r>
            <w:r>
              <w:rPr>
                <w:rFonts w:ascii="Times New Roman" w:hAnsi="Times New Roman" w:cs="Times New Roman"/>
                <w:sz w:val="20"/>
                <w:szCs w:val="20"/>
              </w:rPr>
              <w:t>·</w:t>
            </w:r>
            <w:r w:rsidRPr="0018735E">
              <w:rPr>
                <w:rFonts w:ascii="Times New Roman" w:hAnsi="Times New Roman" w:cs="Times New Roman"/>
                <w:sz w:val="20"/>
                <w:szCs w:val="20"/>
              </w:rPr>
              <w:t>9%)</w:t>
            </w:r>
          </w:p>
        </w:tc>
        <w:tc>
          <w:tcPr>
            <w:tcW w:w="1984" w:type="dxa"/>
            <w:tcBorders>
              <w:top w:val="nil"/>
              <w:left w:val="nil"/>
              <w:bottom w:val="nil"/>
              <w:right w:val="nil"/>
            </w:tcBorders>
            <w:shd w:val="clear" w:color="auto" w:fill="auto"/>
            <w:noWrap/>
          </w:tcPr>
          <w:p w14:paraId="47B04DE2" w14:textId="2BFE784B"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1,060 (8</w:t>
            </w:r>
            <w:r>
              <w:rPr>
                <w:rFonts w:ascii="Times New Roman" w:hAnsi="Times New Roman" w:cs="Times New Roman"/>
                <w:sz w:val="20"/>
                <w:szCs w:val="20"/>
              </w:rPr>
              <w:t>·</w:t>
            </w:r>
            <w:r w:rsidRPr="0018735E">
              <w:rPr>
                <w:rFonts w:ascii="Times New Roman" w:hAnsi="Times New Roman" w:cs="Times New Roman"/>
                <w:sz w:val="20"/>
                <w:szCs w:val="20"/>
              </w:rPr>
              <w:t>4%)</w:t>
            </w:r>
          </w:p>
        </w:tc>
        <w:tc>
          <w:tcPr>
            <w:tcW w:w="1418" w:type="dxa"/>
            <w:tcBorders>
              <w:top w:val="nil"/>
              <w:left w:val="nil"/>
              <w:bottom w:val="nil"/>
              <w:right w:val="nil"/>
            </w:tcBorders>
            <w:shd w:val="clear" w:color="auto" w:fill="auto"/>
            <w:noWrap/>
          </w:tcPr>
          <w:p w14:paraId="51A8B8F5" w14:textId="7811AB7D"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801 (3</w:t>
            </w:r>
            <w:r>
              <w:rPr>
                <w:rFonts w:ascii="Times New Roman" w:hAnsi="Times New Roman" w:cs="Times New Roman"/>
                <w:sz w:val="20"/>
                <w:szCs w:val="20"/>
              </w:rPr>
              <w:t>·</w:t>
            </w:r>
            <w:r w:rsidRPr="0018735E">
              <w:rPr>
                <w:rFonts w:ascii="Times New Roman" w:hAnsi="Times New Roman" w:cs="Times New Roman"/>
                <w:sz w:val="20"/>
                <w:szCs w:val="20"/>
              </w:rPr>
              <w:t>0%)</w:t>
            </w:r>
          </w:p>
        </w:tc>
        <w:tc>
          <w:tcPr>
            <w:tcW w:w="1417" w:type="dxa"/>
            <w:tcBorders>
              <w:top w:val="nil"/>
              <w:left w:val="nil"/>
              <w:bottom w:val="nil"/>
              <w:right w:val="nil"/>
            </w:tcBorders>
            <w:shd w:val="clear" w:color="auto" w:fill="auto"/>
            <w:noWrap/>
          </w:tcPr>
          <w:p w14:paraId="50CC7162" w14:textId="2060E383"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9,814 (13%)</w:t>
            </w:r>
          </w:p>
        </w:tc>
      </w:tr>
      <w:tr w:rsidR="0014185B" w:rsidRPr="00F54546" w14:paraId="4B91C220" w14:textId="77777777" w:rsidTr="0018735E">
        <w:trPr>
          <w:trHeight w:val="300"/>
        </w:trPr>
        <w:tc>
          <w:tcPr>
            <w:tcW w:w="2552" w:type="dxa"/>
            <w:tcBorders>
              <w:top w:val="nil"/>
              <w:left w:val="nil"/>
              <w:bottom w:val="nil"/>
              <w:right w:val="nil"/>
            </w:tcBorders>
            <w:shd w:val="clear" w:color="auto" w:fill="auto"/>
            <w:noWrap/>
            <w:vAlign w:val="bottom"/>
          </w:tcPr>
          <w:p w14:paraId="6FDFF066" w14:textId="2A66D2F2" w:rsidR="0014185B"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Injuries/accidents</w:t>
            </w:r>
          </w:p>
        </w:tc>
        <w:tc>
          <w:tcPr>
            <w:tcW w:w="1418" w:type="dxa"/>
            <w:tcBorders>
              <w:top w:val="nil"/>
              <w:left w:val="nil"/>
              <w:bottom w:val="nil"/>
              <w:right w:val="nil"/>
            </w:tcBorders>
            <w:shd w:val="clear" w:color="auto" w:fill="auto"/>
            <w:noWrap/>
          </w:tcPr>
          <w:p w14:paraId="7D1664CC" w14:textId="472F211A"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9,027 (10%)</w:t>
            </w:r>
          </w:p>
        </w:tc>
        <w:tc>
          <w:tcPr>
            <w:tcW w:w="1453" w:type="dxa"/>
            <w:tcBorders>
              <w:top w:val="nil"/>
              <w:left w:val="nil"/>
              <w:bottom w:val="nil"/>
              <w:right w:val="nil"/>
            </w:tcBorders>
            <w:shd w:val="clear" w:color="auto" w:fill="auto"/>
            <w:noWrap/>
          </w:tcPr>
          <w:p w14:paraId="5F25EE1A" w14:textId="7615BA68"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13,054 (13%)</w:t>
            </w:r>
          </w:p>
        </w:tc>
        <w:tc>
          <w:tcPr>
            <w:tcW w:w="1665" w:type="dxa"/>
            <w:tcBorders>
              <w:top w:val="nil"/>
              <w:left w:val="nil"/>
              <w:bottom w:val="nil"/>
              <w:right w:val="nil"/>
            </w:tcBorders>
            <w:shd w:val="clear" w:color="auto" w:fill="auto"/>
            <w:noWrap/>
          </w:tcPr>
          <w:p w14:paraId="4D2C4F5C" w14:textId="0FC55F38"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3,285 (8</w:t>
            </w:r>
            <w:r>
              <w:rPr>
                <w:rFonts w:ascii="Times New Roman" w:hAnsi="Times New Roman" w:cs="Times New Roman"/>
                <w:sz w:val="20"/>
                <w:szCs w:val="20"/>
              </w:rPr>
              <w:t>·</w:t>
            </w:r>
            <w:r w:rsidRPr="0018735E">
              <w:rPr>
                <w:rFonts w:ascii="Times New Roman" w:hAnsi="Times New Roman" w:cs="Times New Roman"/>
                <w:sz w:val="20"/>
                <w:szCs w:val="20"/>
              </w:rPr>
              <w:t>1%)</w:t>
            </w:r>
          </w:p>
        </w:tc>
        <w:tc>
          <w:tcPr>
            <w:tcW w:w="1701" w:type="dxa"/>
            <w:tcBorders>
              <w:top w:val="nil"/>
              <w:left w:val="nil"/>
              <w:bottom w:val="nil"/>
              <w:right w:val="nil"/>
            </w:tcBorders>
            <w:shd w:val="clear" w:color="auto" w:fill="auto"/>
            <w:noWrap/>
          </w:tcPr>
          <w:p w14:paraId="37ED5630" w14:textId="0E2C1286"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858 (8</w:t>
            </w:r>
            <w:r>
              <w:rPr>
                <w:rFonts w:ascii="Times New Roman" w:hAnsi="Times New Roman" w:cs="Times New Roman"/>
                <w:sz w:val="20"/>
                <w:szCs w:val="20"/>
              </w:rPr>
              <w:t>·</w:t>
            </w:r>
            <w:r w:rsidRPr="0018735E">
              <w:rPr>
                <w:rFonts w:ascii="Times New Roman" w:hAnsi="Times New Roman" w:cs="Times New Roman"/>
                <w:sz w:val="20"/>
                <w:szCs w:val="20"/>
              </w:rPr>
              <w:t>1%)</w:t>
            </w:r>
          </w:p>
        </w:tc>
        <w:tc>
          <w:tcPr>
            <w:tcW w:w="1985" w:type="dxa"/>
            <w:tcBorders>
              <w:top w:val="nil"/>
              <w:left w:val="nil"/>
              <w:bottom w:val="nil"/>
              <w:right w:val="nil"/>
            </w:tcBorders>
            <w:shd w:val="clear" w:color="auto" w:fill="auto"/>
            <w:noWrap/>
          </w:tcPr>
          <w:p w14:paraId="27103A25" w14:textId="1E14E99C"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2,895 (13%)</w:t>
            </w:r>
          </w:p>
        </w:tc>
        <w:tc>
          <w:tcPr>
            <w:tcW w:w="1984" w:type="dxa"/>
            <w:tcBorders>
              <w:top w:val="nil"/>
              <w:left w:val="nil"/>
              <w:bottom w:val="nil"/>
              <w:right w:val="nil"/>
            </w:tcBorders>
            <w:shd w:val="clear" w:color="auto" w:fill="auto"/>
            <w:noWrap/>
          </w:tcPr>
          <w:p w14:paraId="34935497" w14:textId="2352D7B8"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1,823 (14%)</w:t>
            </w:r>
          </w:p>
        </w:tc>
        <w:tc>
          <w:tcPr>
            <w:tcW w:w="1418" w:type="dxa"/>
            <w:tcBorders>
              <w:top w:val="nil"/>
              <w:left w:val="nil"/>
              <w:bottom w:val="nil"/>
              <w:right w:val="nil"/>
            </w:tcBorders>
            <w:shd w:val="clear" w:color="auto" w:fill="auto"/>
            <w:noWrap/>
          </w:tcPr>
          <w:p w14:paraId="1320F2B6" w14:textId="4004DAAD"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2,847 (11%)</w:t>
            </w:r>
          </w:p>
        </w:tc>
        <w:tc>
          <w:tcPr>
            <w:tcW w:w="1417" w:type="dxa"/>
            <w:tcBorders>
              <w:top w:val="nil"/>
              <w:left w:val="nil"/>
              <w:bottom w:val="nil"/>
              <w:right w:val="nil"/>
            </w:tcBorders>
            <w:shd w:val="clear" w:color="auto" w:fill="auto"/>
            <w:noWrap/>
          </w:tcPr>
          <w:p w14:paraId="720BD906" w14:textId="154600A2"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10,373 (14%)</w:t>
            </w:r>
          </w:p>
        </w:tc>
      </w:tr>
      <w:tr w:rsidR="0014185B" w:rsidRPr="00F54546" w14:paraId="2EEBF89E" w14:textId="77777777" w:rsidTr="0018735E">
        <w:trPr>
          <w:trHeight w:val="300"/>
        </w:trPr>
        <w:tc>
          <w:tcPr>
            <w:tcW w:w="2552" w:type="dxa"/>
            <w:tcBorders>
              <w:top w:val="nil"/>
              <w:left w:val="nil"/>
              <w:bottom w:val="nil"/>
              <w:right w:val="nil"/>
            </w:tcBorders>
            <w:shd w:val="clear" w:color="auto" w:fill="auto"/>
            <w:noWrap/>
            <w:vAlign w:val="bottom"/>
          </w:tcPr>
          <w:p w14:paraId="584F62BD" w14:textId="58682B71"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Specialist care visits</w:t>
            </w:r>
            <w:r w:rsidR="005C63C6">
              <w:rPr>
                <w:rFonts w:ascii="Times New Roman" w:eastAsia="Times New Roman" w:hAnsi="Times New Roman" w:cs="Times New Roman"/>
                <w:color w:val="000000"/>
                <w:sz w:val="20"/>
                <w:szCs w:val="20"/>
                <w:lang w:val="en-GB"/>
              </w:rPr>
              <w:t>,</w:t>
            </w:r>
            <w:r>
              <w:rPr>
                <w:rFonts w:ascii="Times New Roman" w:eastAsia="Times New Roman" w:hAnsi="Times New Roman" w:cs="Times New Roman"/>
                <w:color w:val="000000"/>
                <w:sz w:val="20"/>
                <w:szCs w:val="20"/>
                <w:lang w:val="en-GB"/>
              </w:rPr>
              <w:t xml:space="preserve"> </w:t>
            </w:r>
            <w:r w:rsidR="00965DF0" w:rsidRPr="00F54546">
              <w:rPr>
                <w:rFonts w:ascii="Times New Roman" w:eastAsia="Times New Roman" w:hAnsi="Times New Roman" w:cs="Times New Roman"/>
                <w:color w:val="000000"/>
                <w:sz w:val="20"/>
                <w:szCs w:val="20"/>
                <w:lang w:val="en-GB"/>
              </w:rPr>
              <w:t>substance use disorder</w:t>
            </w:r>
          </w:p>
        </w:tc>
        <w:tc>
          <w:tcPr>
            <w:tcW w:w="1418" w:type="dxa"/>
            <w:tcBorders>
              <w:top w:val="nil"/>
              <w:left w:val="nil"/>
              <w:bottom w:val="nil"/>
              <w:right w:val="nil"/>
            </w:tcBorders>
            <w:shd w:val="clear" w:color="auto" w:fill="auto"/>
            <w:noWrap/>
          </w:tcPr>
          <w:p w14:paraId="788BCF90" w14:textId="6C673080"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947 (1</w:t>
            </w:r>
            <w:r>
              <w:rPr>
                <w:rFonts w:ascii="Times New Roman" w:hAnsi="Times New Roman" w:cs="Times New Roman"/>
                <w:sz w:val="20"/>
                <w:szCs w:val="20"/>
              </w:rPr>
              <w:t>·</w:t>
            </w:r>
            <w:r w:rsidRPr="0018735E">
              <w:rPr>
                <w:rFonts w:ascii="Times New Roman" w:hAnsi="Times New Roman" w:cs="Times New Roman"/>
                <w:sz w:val="20"/>
                <w:szCs w:val="20"/>
              </w:rPr>
              <w:t>1%)</w:t>
            </w:r>
          </w:p>
        </w:tc>
        <w:tc>
          <w:tcPr>
            <w:tcW w:w="1453" w:type="dxa"/>
            <w:tcBorders>
              <w:top w:val="nil"/>
              <w:left w:val="nil"/>
              <w:bottom w:val="nil"/>
              <w:right w:val="nil"/>
            </w:tcBorders>
            <w:shd w:val="clear" w:color="auto" w:fill="auto"/>
            <w:noWrap/>
          </w:tcPr>
          <w:p w14:paraId="26A6BE86" w14:textId="3CCAFD35"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10,573 (11%)</w:t>
            </w:r>
          </w:p>
        </w:tc>
        <w:tc>
          <w:tcPr>
            <w:tcW w:w="1665" w:type="dxa"/>
            <w:tcBorders>
              <w:top w:val="nil"/>
              <w:left w:val="nil"/>
              <w:bottom w:val="nil"/>
              <w:right w:val="nil"/>
            </w:tcBorders>
            <w:shd w:val="clear" w:color="auto" w:fill="auto"/>
            <w:noWrap/>
          </w:tcPr>
          <w:p w14:paraId="65E7F438" w14:textId="57BC9596"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4 (&lt;0</w:t>
            </w:r>
            <w:r>
              <w:rPr>
                <w:rFonts w:ascii="Times New Roman" w:hAnsi="Times New Roman" w:cs="Times New Roman"/>
                <w:sz w:val="20"/>
                <w:szCs w:val="20"/>
              </w:rPr>
              <w:t>·</w:t>
            </w:r>
            <w:r w:rsidRPr="0018735E">
              <w:rPr>
                <w:rFonts w:ascii="Times New Roman" w:hAnsi="Times New Roman" w:cs="Times New Roman"/>
                <w:sz w:val="20"/>
                <w:szCs w:val="20"/>
              </w:rPr>
              <w:t>1%)</w:t>
            </w:r>
          </w:p>
        </w:tc>
        <w:tc>
          <w:tcPr>
            <w:tcW w:w="1701" w:type="dxa"/>
            <w:tcBorders>
              <w:top w:val="nil"/>
              <w:left w:val="nil"/>
              <w:bottom w:val="nil"/>
              <w:right w:val="nil"/>
            </w:tcBorders>
            <w:shd w:val="clear" w:color="auto" w:fill="auto"/>
            <w:noWrap/>
          </w:tcPr>
          <w:p w14:paraId="0E90E482" w14:textId="01C5FE06"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4 (&lt;0</w:t>
            </w:r>
            <w:r>
              <w:rPr>
                <w:rFonts w:ascii="Times New Roman" w:hAnsi="Times New Roman" w:cs="Times New Roman"/>
                <w:sz w:val="20"/>
                <w:szCs w:val="20"/>
              </w:rPr>
              <w:t>·</w:t>
            </w:r>
            <w:r w:rsidRPr="0018735E">
              <w:rPr>
                <w:rFonts w:ascii="Times New Roman" w:hAnsi="Times New Roman" w:cs="Times New Roman"/>
                <w:sz w:val="20"/>
                <w:szCs w:val="20"/>
              </w:rPr>
              <w:t>1%)</w:t>
            </w:r>
          </w:p>
        </w:tc>
        <w:tc>
          <w:tcPr>
            <w:tcW w:w="1985" w:type="dxa"/>
            <w:tcBorders>
              <w:top w:val="nil"/>
              <w:left w:val="nil"/>
              <w:bottom w:val="nil"/>
              <w:right w:val="nil"/>
            </w:tcBorders>
            <w:shd w:val="clear" w:color="auto" w:fill="auto"/>
            <w:noWrap/>
          </w:tcPr>
          <w:p w14:paraId="679B12BC" w14:textId="05E6CBCC"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489 (2</w:t>
            </w:r>
            <w:r>
              <w:rPr>
                <w:rFonts w:ascii="Times New Roman" w:hAnsi="Times New Roman" w:cs="Times New Roman"/>
                <w:sz w:val="20"/>
                <w:szCs w:val="20"/>
              </w:rPr>
              <w:t>·</w:t>
            </w:r>
            <w:r w:rsidRPr="0018735E">
              <w:rPr>
                <w:rFonts w:ascii="Times New Roman" w:hAnsi="Times New Roman" w:cs="Times New Roman"/>
                <w:sz w:val="20"/>
                <w:szCs w:val="20"/>
              </w:rPr>
              <w:t>1%)</w:t>
            </w:r>
          </w:p>
        </w:tc>
        <w:tc>
          <w:tcPr>
            <w:tcW w:w="1984" w:type="dxa"/>
            <w:tcBorders>
              <w:top w:val="nil"/>
              <w:left w:val="nil"/>
              <w:bottom w:val="nil"/>
              <w:right w:val="nil"/>
            </w:tcBorders>
            <w:shd w:val="clear" w:color="auto" w:fill="auto"/>
            <w:noWrap/>
          </w:tcPr>
          <w:p w14:paraId="432AA963" w14:textId="60FCE25C"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523 (4</w:t>
            </w:r>
            <w:r>
              <w:rPr>
                <w:rFonts w:ascii="Times New Roman" w:hAnsi="Times New Roman" w:cs="Times New Roman"/>
                <w:sz w:val="20"/>
                <w:szCs w:val="20"/>
              </w:rPr>
              <w:t>·</w:t>
            </w:r>
            <w:r w:rsidRPr="0018735E">
              <w:rPr>
                <w:rFonts w:ascii="Times New Roman" w:hAnsi="Times New Roman" w:cs="Times New Roman"/>
                <w:sz w:val="20"/>
                <w:szCs w:val="20"/>
              </w:rPr>
              <w:t>1%)</w:t>
            </w:r>
          </w:p>
        </w:tc>
        <w:tc>
          <w:tcPr>
            <w:tcW w:w="1418" w:type="dxa"/>
            <w:tcBorders>
              <w:top w:val="nil"/>
              <w:left w:val="nil"/>
              <w:bottom w:val="nil"/>
              <w:right w:val="nil"/>
            </w:tcBorders>
            <w:shd w:val="clear" w:color="auto" w:fill="auto"/>
            <w:noWrap/>
          </w:tcPr>
          <w:p w14:paraId="56B114CE" w14:textId="640C4615"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454 (1</w:t>
            </w:r>
            <w:r>
              <w:rPr>
                <w:rFonts w:ascii="Times New Roman" w:hAnsi="Times New Roman" w:cs="Times New Roman"/>
                <w:sz w:val="20"/>
                <w:szCs w:val="20"/>
              </w:rPr>
              <w:t>·</w:t>
            </w:r>
            <w:r w:rsidRPr="0018735E">
              <w:rPr>
                <w:rFonts w:ascii="Times New Roman" w:hAnsi="Times New Roman" w:cs="Times New Roman"/>
                <w:sz w:val="20"/>
                <w:szCs w:val="20"/>
              </w:rPr>
              <w:t>7%)</w:t>
            </w:r>
          </w:p>
        </w:tc>
        <w:tc>
          <w:tcPr>
            <w:tcW w:w="1417" w:type="dxa"/>
            <w:tcBorders>
              <w:top w:val="nil"/>
              <w:left w:val="nil"/>
              <w:bottom w:val="nil"/>
              <w:right w:val="nil"/>
            </w:tcBorders>
            <w:shd w:val="clear" w:color="auto" w:fill="auto"/>
            <w:noWrap/>
          </w:tcPr>
          <w:p w14:paraId="6277F482" w14:textId="56D69778"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10,046 (13%)</w:t>
            </w:r>
          </w:p>
        </w:tc>
      </w:tr>
      <w:tr w:rsidR="0014185B" w:rsidRPr="00F54546" w14:paraId="1C75AB54" w14:textId="77777777" w:rsidTr="0018735E">
        <w:trPr>
          <w:trHeight w:val="300"/>
        </w:trPr>
        <w:tc>
          <w:tcPr>
            <w:tcW w:w="2552" w:type="dxa"/>
            <w:tcBorders>
              <w:top w:val="nil"/>
              <w:left w:val="nil"/>
              <w:bottom w:val="nil"/>
              <w:right w:val="nil"/>
            </w:tcBorders>
            <w:shd w:val="clear" w:color="auto" w:fill="auto"/>
            <w:noWrap/>
            <w:vAlign w:val="bottom"/>
          </w:tcPr>
          <w:p w14:paraId="69050253" w14:textId="0A2B07FB"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Specialist care visits, depression</w:t>
            </w:r>
          </w:p>
        </w:tc>
        <w:tc>
          <w:tcPr>
            <w:tcW w:w="1418" w:type="dxa"/>
            <w:tcBorders>
              <w:top w:val="nil"/>
              <w:left w:val="nil"/>
              <w:bottom w:val="nil"/>
              <w:right w:val="nil"/>
            </w:tcBorders>
            <w:shd w:val="clear" w:color="auto" w:fill="auto"/>
            <w:noWrap/>
          </w:tcPr>
          <w:p w14:paraId="00370D96" w14:textId="2C99E6E6"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2,508 (2</w:t>
            </w:r>
            <w:r>
              <w:rPr>
                <w:rFonts w:ascii="Times New Roman" w:hAnsi="Times New Roman" w:cs="Times New Roman"/>
                <w:sz w:val="20"/>
                <w:szCs w:val="20"/>
              </w:rPr>
              <w:t>·</w:t>
            </w:r>
            <w:r w:rsidRPr="0018735E">
              <w:rPr>
                <w:rFonts w:ascii="Times New Roman" w:hAnsi="Times New Roman" w:cs="Times New Roman"/>
                <w:sz w:val="20"/>
                <w:szCs w:val="20"/>
              </w:rPr>
              <w:t>8%)</w:t>
            </w:r>
          </w:p>
        </w:tc>
        <w:tc>
          <w:tcPr>
            <w:tcW w:w="1453" w:type="dxa"/>
            <w:tcBorders>
              <w:top w:val="nil"/>
              <w:left w:val="nil"/>
              <w:bottom w:val="nil"/>
              <w:right w:val="nil"/>
            </w:tcBorders>
            <w:shd w:val="clear" w:color="auto" w:fill="auto"/>
            <w:noWrap/>
          </w:tcPr>
          <w:p w14:paraId="5B10E864" w14:textId="0B895140"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17,940 (18%)</w:t>
            </w:r>
          </w:p>
        </w:tc>
        <w:tc>
          <w:tcPr>
            <w:tcW w:w="1665" w:type="dxa"/>
            <w:tcBorders>
              <w:top w:val="nil"/>
              <w:left w:val="nil"/>
              <w:bottom w:val="nil"/>
              <w:right w:val="nil"/>
            </w:tcBorders>
            <w:shd w:val="clear" w:color="auto" w:fill="auto"/>
            <w:noWrap/>
          </w:tcPr>
          <w:p w14:paraId="32B02750" w14:textId="3B3BA24D"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254 (0</w:t>
            </w:r>
            <w:r>
              <w:rPr>
                <w:rFonts w:ascii="Times New Roman" w:hAnsi="Times New Roman" w:cs="Times New Roman"/>
                <w:sz w:val="20"/>
                <w:szCs w:val="20"/>
              </w:rPr>
              <w:t>·</w:t>
            </w:r>
            <w:r w:rsidRPr="0018735E">
              <w:rPr>
                <w:rFonts w:ascii="Times New Roman" w:hAnsi="Times New Roman" w:cs="Times New Roman"/>
                <w:sz w:val="20"/>
                <w:szCs w:val="20"/>
              </w:rPr>
              <w:t>6%)</w:t>
            </w:r>
          </w:p>
        </w:tc>
        <w:tc>
          <w:tcPr>
            <w:tcW w:w="1701" w:type="dxa"/>
            <w:tcBorders>
              <w:top w:val="nil"/>
              <w:left w:val="nil"/>
              <w:bottom w:val="nil"/>
              <w:right w:val="nil"/>
            </w:tcBorders>
            <w:shd w:val="clear" w:color="auto" w:fill="auto"/>
            <w:noWrap/>
          </w:tcPr>
          <w:p w14:paraId="2AE0E7E7" w14:textId="76267D40"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214 (2</w:t>
            </w:r>
            <w:r>
              <w:rPr>
                <w:rFonts w:ascii="Times New Roman" w:hAnsi="Times New Roman" w:cs="Times New Roman"/>
                <w:sz w:val="20"/>
                <w:szCs w:val="20"/>
              </w:rPr>
              <w:t>·</w:t>
            </w:r>
            <w:r w:rsidRPr="0018735E">
              <w:rPr>
                <w:rFonts w:ascii="Times New Roman" w:hAnsi="Times New Roman" w:cs="Times New Roman"/>
                <w:sz w:val="20"/>
                <w:szCs w:val="20"/>
              </w:rPr>
              <w:t>0%)</w:t>
            </w:r>
          </w:p>
        </w:tc>
        <w:tc>
          <w:tcPr>
            <w:tcW w:w="1985" w:type="dxa"/>
            <w:tcBorders>
              <w:top w:val="nil"/>
              <w:left w:val="nil"/>
              <w:bottom w:val="nil"/>
              <w:right w:val="nil"/>
            </w:tcBorders>
            <w:shd w:val="clear" w:color="auto" w:fill="auto"/>
            <w:noWrap/>
          </w:tcPr>
          <w:p w14:paraId="112D5978" w14:textId="3EDF2CA5"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992 (4</w:t>
            </w:r>
            <w:r>
              <w:rPr>
                <w:rFonts w:ascii="Times New Roman" w:hAnsi="Times New Roman" w:cs="Times New Roman"/>
                <w:sz w:val="20"/>
                <w:szCs w:val="20"/>
              </w:rPr>
              <w:t>·</w:t>
            </w:r>
            <w:r w:rsidRPr="0018735E">
              <w:rPr>
                <w:rFonts w:ascii="Times New Roman" w:hAnsi="Times New Roman" w:cs="Times New Roman"/>
                <w:sz w:val="20"/>
                <w:szCs w:val="20"/>
              </w:rPr>
              <w:t>3%)</w:t>
            </w:r>
          </w:p>
        </w:tc>
        <w:tc>
          <w:tcPr>
            <w:tcW w:w="1984" w:type="dxa"/>
            <w:tcBorders>
              <w:top w:val="nil"/>
              <w:left w:val="nil"/>
              <w:bottom w:val="nil"/>
              <w:right w:val="nil"/>
            </w:tcBorders>
            <w:shd w:val="clear" w:color="auto" w:fill="auto"/>
            <w:noWrap/>
          </w:tcPr>
          <w:p w14:paraId="13CE0E30" w14:textId="1772FF46"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2,507 (20%)</w:t>
            </w:r>
          </w:p>
        </w:tc>
        <w:tc>
          <w:tcPr>
            <w:tcW w:w="1418" w:type="dxa"/>
            <w:tcBorders>
              <w:top w:val="nil"/>
              <w:left w:val="nil"/>
              <w:bottom w:val="nil"/>
              <w:right w:val="nil"/>
            </w:tcBorders>
            <w:shd w:val="clear" w:color="auto" w:fill="auto"/>
            <w:noWrap/>
          </w:tcPr>
          <w:p w14:paraId="630306C0" w14:textId="013BD31E"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1,262 (4</w:t>
            </w:r>
            <w:r>
              <w:rPr>
                <w:rFonts w:ascii="Times New Roman" w:hAnsi="Times New Roman" w:cs="Times New Roman"/>
                <w:sz w:val="20"/>
                <w:szCs w:val="20"/>
              </w:rPr>
              <w:t>·</w:t>
            </w:r>
            <w:r w:rsidRPr="0018735E">
              <w:rPr>
                <w:rFonts w:ascii="Times New Roman" w:hAnsi="Times New Roman" w:cs="Times New Roman"/>
                <w:sz w:val="20"/>
                <w:szCs w:val="20"/>
              </w:rPr>
              <w:t>8%)</w:t>
            </w:r>
          </w:p>
        </w:tc>
        <w:tc>
          <w:tcPr>
            <w:tcW w:w="1417" w:type="dxa"/>
            <w:tcBorders>
              <w:top w:val="nil"/>
              <w:left w:val="nil"/>
              <w:bottom w:val="nil"/>
              <w:right w:val="nil"/>
            </w:tcBorders>
            <w:shd w:val="clear" w:color="auto" w:fill="auto"/>
            <w:noWrap/>
          </w:tcPr>
          <w:p w14:paraId="0626E040" w14:textId="521C5380"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15,219 (20%)</w:t>
            </w:r>
          </w:p>
        </w:tc>
      </w:tr>
      <w:tr w:rsidR="0014185B" w:rsidRPr="00F54546" w14:paraId="59F0D582" w14:textId="77777777" w:rsidTr="0018735E">
        <w:trPr>
          <w:trHeight w:val="300"/>
        </w:trPr>
        <w:tc>
          <w:tcPr>
            <w:tcW w:w="2552" w:type="dxa"/>
            <w:tcBorders>
              <w:top w:val="nil"/>
              <w:left w:val="nil"/>
              <w:bottom w:val="nil"/>
              <w:right w:val="nil"/>
            </w:tcBorders>
            <w:shd w:val="clear" w:color="auto" w:fill="auto"/>
            <w:noWrap/>
            <w:vAlign w:val="bottom"/>
          </w:tcPr>
          <w:p w14:paraId="4864BFF3" w14:textId="29E9812D"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Specialist care visits, anxiety</w:t>
            </w:r>
          </w:p>
        </w:tc>
        <w:tc>
          <w:tcPr>
            <w:tcW w:w="1418" w:type="dxa"/>
            <w:tcBorders>
              <w:top w:val="nil"/>
              <w:left w:val="nil"/>
              <w:bottom w:val="nil"/>
              <w:right w:val="nil"/>
            </w:tcBorders>
            <w:shd w:val="clear" w:color="auto" w:fill="auto"/>
            <w:noWrap/>
          </w:tcPr>
          <w:p w14:paraId="5C24A23F" w14:textId="0AA90A88"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2,529 (2</w:t>
            </w:r>
            <w:r>
              <w:rPr>
                <w:rFonts w:ascii="Times New Roman" w:hAnsi="Times New Roman" w:cs="Times New Roman"/>
                <w:sz w:val="20"/>
                <w:szCs w:val="20"/>
              </w:rPr>
              <w:t>·</w:t>
            </w:r>
            <w:r w:rsidRPr="0018735E">
              <w:rPr>
                <w:rFonts w:ascii="Times New Roman" w:hAnsi="Times New Roman" w:cs="Times New Roman"/>
                <w:sz w:val="20"/>
                <w:szCs w:val="20"/>
              </w:rPr>
              <w:t>8%)</w:t>
            </w:r>
          </w:p>
        </w:tc>
        <w:tc>
          <w:tcPr>
            <w:tcW w:w="1453" w:type="dxa"/>
            <w:tcBorders>
              <w:top w:val="nil"/>
              <w:left w:val="nil"/>
              <w:bottom w:val="nil"/>
              <w:right w:val="nil"/>
            </w:tcBorders>
            <w:shd w:val="clear" w:color="auto" w:fill="auto"/>
            <w:noWrap/>
          </w:tcPr>
          <w:p w14:paraId="047123FB" w14:textId="1E937AFD"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23,977 (24%)</w:t>
            </w:r>
          </w:p>
        </w:tc>
        <w:tc>
          <w:tcPr>
            <w:tcW w:w="1665" w:type="dxa"/>
            <w:tcBorders>
              <w:top w:val="nil"/>
              <w:left w:val="nil"/>
              <w:bottom w:val="nil"/>
              <w:right w:val="nil"/>
            </w:tcBorders>
            <w:shd w:val="clear" w:color="auto" w:fill="auto"/>
            <w:noWrap/>
          </w:tcPr>
          <w:p w14:paraId="037E068A" w14:textId="7E7422B9"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501 (1</w:t>
            </w:r>
            <w:r>
              <w:rPr>
                <w:rFonts w:ascii="Times New Roman" w:hAnsi="Times New Roman" w:cs="Times New Roman"/>
                <w:sz w:val="20"/>
                <w:szCs w:val="20"/>
              </w:rPr>
              <w:t>·</w:t>
            </w:r>
            <w:r w:rsidRPr="0018735E">
              <w:rPr>
                <w:rFonts w:ascii="Times New Roman" w:hAnsi="Times New Roman" w:cs="Times New Roman"/>
                <w:sz w:val="20"/>
                <w:szCs w:val="20"/>
              </w:rPr>
              <w:t>2%)</w:t>
            </w:r>
          </w:p>
        </w:tc>
        <w:tc>
          <w:tcPr>
            <w:tcW w:w="1701" w:type="dxa"/>
            <w:tcBorders>
              <w:top w:val="nil"/>
              <w:left w:val="nil"/>
              <w:bottom w:val="nil"/>
              <w:right w:val="nil"/>
            </w:tcBorders>
            <w:shd w:val="clear" w:color="auto" w:fill="auto"/>
            <w:noWrap/>
          </w:tcPr>
          <w:p w14:paraId="14CD9202" w14:textId="65259D3D"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980 (9</w:t>
            </w:r>
            <w:r>
              <w:rPr>
                <w:rFonts w:ascii="Times New Roman" w:hAnsi="Times New Roman" w:cs="Times New Roman"/>
                <w:sz w:val="20"/>
                <w:szCs w:val="20"/>
              </w:rPr>
              <w:t>·</w:t>
            </w:r>
            <w:r w:rsidRPr="0018735E">
              <w:rPr>
                <w:rFonts w:ascii="Times New Roman" w:hAnsi="Times New Roman" w:cs="Times New Roman"/>
                <w:sz w:val="20"/>
                <w:szCs w:val="20"/>
              </w:rPr>
              <w:t>2%)</w:t>
            </w:r>
          </w:p>
        </w:tc>
        <w:tc>
          <w:tcPr>
            <w:tcW w:w="1985" w:type="dxa"/>
            <w:tcBorders>
              <w:top w:val="nil"/>
              <w:left w:val="nil"/>
              <w:bottom w:val="nil"/>
              <w:right w:val="nil"/>
            </w:tcBorders>
            <w:shd w:val="clear" w:color="auto" w:fill="auto"/>
            <w:noWrap/>
          </w:tcPr>
          <w:p w14:paraId="2D672135" w14:textId="0C204F48"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925 (4</w:t>
            </w:r>
            <w:r>
              <w:rPr>
                <w:rFonts w:ascii="Times New Roman" w:hAnsi="Times New Roman" w:cs="Times New Roman"/>
                <w:sz w:val="20"/>
                <w:szCs w:val="20"/>
              </w:rPr>
              <w:t>·</w:t>
            </w:r>
            <w:r w:rsidRPr="0018735E">
              <w:rPr>
                <w:rFonts w:ascii="Times New Roman" w:hAnsi="Times New Roman" w:cs="Times New Roman"/>
                <w:sz w:val="20"/>
                <w:szCs w:val="20"/>
              </w:rPr>
              <w:t>0%)</w:t>
            </w:r>
          </w:p>
        </w:tc>
        <w:tc>
          <w:tcPr>
            <w:tcW w:w="1984" w:type="dxa"/>
            <w:tcBorders>
              <w:top w:val="nil"/>
              <w:left w:val="nil"/>
              <w:bottom w:val="nil"/>
              <w:right w:val="nil"/>
            </w:tcBorders>
            <w:shd w:val="clear" w:color="auto" w:fill="auto"/>
            <w:noWrap/>
          </w:tcPr>
          <w:p w14:paraId="6871B6DB" w14:textId="77263BF9"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3,850 (30%)</w:t>
            </w:r>
          </w:p>
        </w:tc>
        <w:tc>
          <w:tcPr>
            <w:tcW w:w="1418" w:type="dxa"/>
            <w:tcBorders>
              <w:top w:val="nil"/>
              <w:left w:val="nil"/>
              <w:bottom w:val="nil"/>
              <w:right w:val="nil"/>
            </w:tcBorders>
            <w:shd w:val="clear" w:color="auto" w:fill="auto"/>
            <w:noWrap/>
          </w:tcPr>
          <w:p w14:paraId="6D80F022" w14:textId="419035A4"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1,103 (4</w:t>
            </w:r>
            <w:r>
              <w:rPr>
                <w:rFonts w:ascii="Times New Roman" w:hAnsi="Times New Roman" w:cs="Times New Roman"/>
                <w:sz w:val="20"/>
                <w:szCs w:val="20"/>
              </w:rPr>
              <w:t>·</w:t>
            </w:r>
            <w:r w:rsidRPr="0018735E">
              <w:rPr>
                <w:rFonts w:ascii="Times New Roman" w:hAnsi="Times New Roman" w:cs="Times New Roman"/>
                <w:sz w:val="20"/>
                <w:szCs w:val="20"/>
              </w:rPr>
              <w:t>2%)</w:t>
            </w:r>
          </w:p>
        </w:tc>
        <w:tc>
          <w:tcPr>
            <w:tcW w:w="1417" w:type="dxa"/>
            <w:tcBorders>
              <w:top w:val="nil"/>
              <w:left w:val="nil"/>
              <w:bottom w:val="nil"/>
              <w:right w:val="nil"/>
            </w:tcBorders>
            <w:shd w:val="clear" w:color="auto" w:fill="auto"/>
            <w:noWrap/>
          </w:tcPr>
          <w:p w14:paraId="06893CDE" w14:textId="03BEED46" w:rsidR="0014185B" w:rsidRPr="0014185B"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18735E">
              <w:rPr>
                <w:rFonts w:ascii="Times New Roman" w:hAnsi="Times New Roman" w:cs="Times New Roman"/>
                <w:sz w:val="20"/>
                <w:szCs w:val="20"/>
              </w:rPr>
              <w:t>19,147 (25%)</w:t>
            </w:r>
          </w:p>
        </w:tc>
      </w:tr>
      <w:tr w:rsidR="0014185B" w:rsidRPr="00F54546" w14:paraId="02259065" w14:textId="77777777" w:rsidTr="00203D2C">
        <w:trPr>
          <w:trHeight w:val="300"/>
        </w:trPr>
        <w:tc>
          <w:tcPr>
            <w:tcW w:w="2552" w:type="dxa"/>
            <w:tcBorders>
              <w:top w:val="nil"/>
              <w:left w:val="nil"/>
              <w:bottom w:val="nil"/>
              <w:right w:val="nil"/>
            </w:tcBorders>
            <w:shd w:val="clear" w:color="auto" w:fill="auto"/>
            <w:noWrap/>
            <w:vAlign w:val="bottom"/>
          </w:tcPr>
          <w:p w14:paraId="5BA3FB4D" w14:textId="4C8504CB" w:rsidR="0014185B" w:rsidRPr="00F54546" w:rsidRDefault="0014185B" w:rsidP="0014185B">
            <w:pPr>
              <w:spacing w:after="0" w:line="240" w:lineRule="auto"/>
              <w:ind w:firstLine="0"/>
              <w:rPr>
                <w:rFonts w:ascii="Times New Roman" w:eastAsia="Times New Roman" w:hAnsi="Times New Roman" w:cs="Times New Roman"/>
                <w:i/>
                <w:iCs/>
                <w:color w:val="000000"/>
                <w:sz w:val="20"/>
                <w:szCs w:val="20"/>
                <w:lang w:val="en-GB"/>
              </w:rPr>
            </w:pPr>
            <w:r w:rsidRPr="00F54546">
              <w:rPr>
                <w:rFonts w:ascii="Times New Roman" w:eastAsia="Times New Roman" w:hAnsi="Times New Roman" w:cs="Times New Roman"/>
                <w:i/>
                <w:iCs/>
                <w:color w:val="000000"/>
                <w:sz w:val="20"/>
                <w:szCs w:val="20"/>
                <w:lang w:val="en-GB"/>
              </w:rPr>
              <w:t>Conditions</w:t>
            </w:r>
          </w:p>
        </w:tc>
        <w:tc>
          <w:tcPr>
            <w:tcW w:w="1418" w:type="dxa"/>
            <w:tcBorders>
              <w:top w:val="nil"/>
              <w:left w:val="nil"/>
              <w:bottom w:val="nil"/>
              <w:right w:val="nil"/>
            </w:tcBorders>
            <w:shd w:val="clear" w:color="auto" w:fill="auto"/>
            <w:noWrap/>
            <w:vAlign w:val="bottom"/>
          </w:tcPr>
          <w:p w14:paraId="3CEC9788"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p>
        </w:tc>
        <w:tc>
          <w:tcPr>
            <w:tcW w:w="1453" w:type="dxa"/>
            <w:tcBorders>
              <w:top w:val="nil"/>
              <w:left w:val="nil"/>
              <w:bottom w:val="nil"/>
              <w:right w:val="nil"/>
            </w:tcBorders>
            <w:shd w:val="clear" w:color="auto" w:fill="auto"/>
            <w:noWrap/>
            <w:vAlign w:val="bottom"/>
          </w:tcPr>
          <w:p w14:paraId="5B7E1F16"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p>
        </w:tc>
        <w:tc>
          <w:tcPr>
            <w:tcW w:w="1665" w:type="dxa"/>
            <w:tcBorders>
              <w:top w:val="nil"/>
              <w:left w:val="nil"/>
              <w:bottom w:val="nil"/>
              <w:right w:val="nil"/>
            </w:tcBorders>
            <w:shd w:val="clear" w:color="auto" w:fill="auto"/>
            <w:noWrap/>
            <w:vAlign w:val="bottom"/>
          </w:tcPr>
          <w:p w14:paraId="107B714D"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p>
        </w:tc>
        <w:tc>
          <w:tcPr>
            <w:tcW w:w="1701" w:type="dxa"/>
            <w:tcBorders>
              <w:top w:val="nil"/>
              <w:left w:val="nil"/>
              <w:bottom w:val="nil"/>
              <w:right w:val="nil"/>
            </w:tcBorders>
            <w:shd w:val="clear" w:color="auto" w:fill="auto"/>
            <w:noWrap/>
            <w:vAlign w:val="bottom"/>
          </w:tcPr>
          <w:p w14:paraId="6AB6566F"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p>
        </w:tc>
        <w:tc>
          <w:tcPr>
            <w:tcW w:w="1985" w:type="dxa"/>
            <w:tcBorders>
              <w:top w:val="nil"/>
              <w:left w:val="nil"/>
              <w:bottom w:val="nil"/>
              <w:right w:val="nil"/>
            </w:tcBorders>
            <w:shd w:val="clear" w:color="auto" w:fill="auto"/>
            <w:noWrap/>
            <w:vAlign w:val="bottom"/>
          </w:tcPr>
          <w:p w14:paraId="701EDAC1"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p>
        </w:tc>
        <w:tc>
          <w:tcPr>
            <w:tcW w:w="1984" w:type="dxa"/>
            <w:tcBorders>
              <w:top w:val="nil"/>
              <w:left w:val="nil"/>
              <w:bottom w:val="nil"/>
              <w:right w:val="nil"/>
            </w:tcBorders>
            <w:shd w:val="clear" w:color="auto" w:fill="auto"/>
            <w:noWrap/>
            <w:vAlign w:val="bottom"/>
          </w:tcPr>
          <w:p w14:paraId="6ABB16AC"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p>
        </w:tc>
        <w:tc>
          <w:tcPr>
            <w:tcW w:w="1418" w:type="dxa"/>
            <w:tcBorders>
              <w:top w:val="nil"/>
              <w:left w:val="nil"/>
              <w:bottom w:val="nil"/>
              <w:right w:val="nil"/>
            </w:tcBorders>
            <w:shd w:val="clear" w:color="auto" w:fill="auto"/>
            <w:noWrap/>
            <w:vAlign w:val="bottom"/>
          </w:tcPr>
          <w:p w14:paraId="2661A85E"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p>
        </w:tc>
        <w:tc>
          <w:tcPr>
            <w:tcW w:w="1417" w:type="dxa"/>
            <w:tcBorders>
              <w:top w:val="nil"/>
              <w:left w:val="nil"/>
              <w:bottom w:val="nil"/>
              <w:right w:val="nil"/>
            </w:tcBorders>
            <w:shd w:val="clear" w:color="auto" w:fill="auto"/>
            <w:noWrap/>
            <w:vAlign w:val="bottom"/>
          </w:tcPr>
          <w:p w14:paraId="0B84D67F"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p>
        </w:tc>
      </w:tr>
      <w:tr w:rsidR="0014185B" w:rsidRPr="00F54546" w14:paraId="2DA60D33" w14:textId="77777777" w:rsidTr="00203D2C">
        <w:trPr>
          <w:trHeight w:val="300"/>
        </w:trPr>
        <w:tc>
          <w:tcPr>
            <w:tcW w:w="2552" w:type="dxa"/>
            <w:tcBorders>
              <w:top w:val="nil"/>
              <w:left w:val="nil"/>
              <w:bottom w:val="nil"/>
              <w:right w:val="nil"/>
            </w:tcBorders>
            <w:shd w:val="clear" w:color="auto" w:fill="auto"/>
            <w:noWrap/>
            <w:vAlign w:val="bottom"/>
            <w:hideMark/>
          </w:tcPr>
          <w:p w14:paraId="57CD2B12" w14:textId="77777777"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lastRenderedPageBreak/>
              <w:t>Bipolar disorder</w:t>
            </w:r>
          </w:p>
        </w:tc>
        <w:tc>
          <w:tcPr>
            <w:tcW w:w="1418" w:type="dxa"/>
            <w:tcBorders>
              <w:top w:val="nil"/>
              <w:left w:val="nil"/>
              <w:bottom w:val="nil"/>
              <w:right w:val="nil"/>
            </w:tcBorders>
            <w:shd w:val="clear" w:color="auto" w:fill="auto"/>
            <w:noWrap/>
            <w:vAlign w:val="bottom"/>
            <w:hideMark/>
          </w:tcPr>
          <w:p w14:paraId="74FA31E5"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53" w:type="dxa"/>
            <w:tcBorders>
              <w:top w:val="nil"/>
              <w:left w:val="nil"/>
              <w:bottom w:val="nil"/>
              <w:right w:val="nil"/>
            </w:tcBorders>
            <w:shd w:val="clear" w:color="auto" w:fill="auto"/>
            <w:noWrap/>
            <w:vAlign w:val="bottom"/>
            <w:hideMark/>
          </w:tcPr>
          <w:p w14:paraId="3D590EA9" w14:textId="342BA1F0"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8,307 (8·3%)</w:t>
            </w:r>
          </w:p>
        </w:tc>
        <w:tc>
          <w:tcPr>
            <w:tcW w:w="1665" w:type="dxa"/>
            <w:tcBorders>
              <w:top w:val="nil"/>
              <w:left w:val="nil"/>
              <w:bottom w:val="nil"/>
              <w:right w:val="nil"/>
            </w:tcBorders>
            <w:shd w:val="clear" w:color="auto" w:fill="auto"/>
            <w:noWrap/>
            <w:vAlign w:val="bottom"/>
            <w:hideMark/>
          </w:tcPr>
          <w:p w14:paraId="1C943599"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701" w:type="dxa"/>
            <w:tcBorders>
              <w:top w:val="nil"/>
              <w:left w:val="nil"/>
              <w:bottom w:val="nil"/>
              <w:right w:val="nil"/>
            </w:tcBorders>
            <w:shd w:val="clear" w:color="auto" w:fill="auto"/>
            <w:noWrap/>
            <w:vAlign w:val="bottom"/>
            <w:hideMark/>
          </w:tcPr>
          <w:p w14:paraId="7CD8FE01" w14:textId="044A929A"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44 (0·4%)</w:t>
            </w:r>
          </w:p>
        </w:tc>
        <w:tc>
          <w:tcPr>
            <w:tcW w:w="1985" w:type="dxa"/>
            <w:tcBorders>
              <w:top w:val="nil"/>
              <w:left w:val="nil"/>
              <w:bottom w:val="nil"/>
              <w:right w:val="nil"/>
            </w:tcBorders>
            <w:shd w:val="clear" w:color="auto" w:fill="auto"/>
            <w:noWrap/>
            <w:vAlign w:val="bottom"/>
            <w:hideMark/>
          </w:tcPr>
          <w:p w14:paraId="2B955AE2"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984" w:type="dxa"/>
            <w:tcBorders>
              <w:top w:val="nil"/>
              <w:left w:val="nil"/>
              <w:bottom w:val="nil"/>
              <w:right w:val="nil"/>
            </w:tcBorders>
            <w:shd w:val="clear" w:color="auto" w:fill="auto"/>
            <w:noWrap/>
            <w:vAlign w:val="bottom"/>
            <w:hideMark/>
          </w:tcPr>
          <w:p w14:paraId="1BCC66F2" w14:textId="214BFA5A"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220 (1·7%)</w:t>
            </w:r>
          </w:p>
        </w:tc>
        <w:tc>
          <w:tcPr>
            <w:tcW w:w="1418" w:type="dxa"/>
            <w:tcBorders>
              <w:top w:val="nil"/>
              <w:left w:val="nil"/>
              <w:bottom w:val="nil"/>
              <w:right w:val="nil"/>
            </w:tcBorders>
            <w:shd w:val="clear" w:color="auto" w:fill="auto"/>
            <w:noWrap/>
            <w:vAlign w:val="bottom"/>
            <w:hideMark/>
          </w:tcPr>
          <w:p w14:paraId="0B961966"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17" w:type="dxa"/>
            <w:tcBorders>
              <w:top w:val="nil"/>
              <w:left w:val="nil"/>
              <w:bottom w:val="nil"/>
              <w:right w:val="nil"/>
            </w:tcBorders>
            <w:shd w:val="clear" w:color="auto" w:fill="auto"/>
            <w:noWrap/>
            <w:vAlign w:val="bottom"/>
            <w:hideMark/>
          </w:tcPr>
          <w:p w14:paraId="18591C79"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8,043 (11%)</w:t>
            </w:r>
          </w:p>
        </w:tc>
      </w:tr>
      <w:tr w:rsidR="0014185B" w:rsidRPr="00F54546" w14:paraId="667BD453" w14:textId="77777777" w:rsidTr="00203D2C">
        <w:trPr>
          <w:trHeight w:val="300"/>
        </w:trPr>
        <w:tc>
          <w:tcPr>
            <w:tcW w:w="2552" w:type="dxa"/>
            <w:tcBorders>
              <w:top w:val="nil"/>
              <w:left w:val="nil"/>
              <w:bottom w:val="nil"/>
              <w:right w:val="nil"/>
            </w:tcBorders>
            <w:shd w:val="clear" w:color="auto" w:fill="auto"/>
            <w:noWrap/>
            <w:vAlign w:val="bottom"/>
            <w:hideMark/>
          </w:tcPr>
          <w:p w14:paraId="56551CB1" w14:textId="77777777"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Anxiety disorder</w:t>
            </w:r>
          </w:p>
        </w:tc>
        <w:tc>
          <w:tcPr>
            <w:tcW w:w="1418" w:type="dxa"/>
            <w:tcBorders>
              <w:top w:val="nil"/>
              <w:left w:val="nil"/>
              <w:bottom w:val="nil"/>
              <w:right w:val="nil"/>
            </w:tcBorders>
            <w:shd w:val="clear" w:color="auto" w:fill="auto"/>
            <w:noWrap/>
            <w:vAlign w:val="bottom"/>
            <w:hideMark/>
          </w:tcPr>
          <w:p w14:paraId="1A3A90DD"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53" w:type="dxa"/>
            <w:tcBorders>
              <w:top w:val="nil"/>
              <w:left w:val="nil"/>
              <w:bottom w:val="nil"/>
              <w:right w:val="nil"/>
            </w:tcBorders>
            <w:shd w:val="clear" w:color="auto" w:fill="auto"/>
            <w:noWrap/>
            <w:vAlign w:val="bottom"/>
            <w:hideMark/>
          </w:tcPr>
          <w:p w14:paraId="53D42A9A"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47,157 (47%)</w:t>
            </w:r>
          </w:p>
        </w:tc>
        <w:tc>
          <w:tcPr>
            <w:tcW w:w="1665" w:type="dxa"/>
            <w:tcBorders>
              <w:top w:val="nil"/>
              <w:left w:val="nil"/>
              <w:bottom w:val="nil"/>
              <w:right w:val="nil"/>
            </w:tcBorders>
            <w:shd w:val="clear" w:color="auto" w:fill="auto"/>
            <w:noWrap/>
            <w:vAlign w:val="bottom"/>
            <w:hideMark/>
          </w:tcPr>
          <w:p w14:paraId="0D733841"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701" w:type="dxa"/>
            <w:tcBorders>
              <w:top w:val="nil"/>
              <w:left w:val="nil"/>
              <w:bottom w:val="nil"/>
              <w:right w:val="nil"/>
            </w:tcBorders>
            <w:shd w:val="clear" w:color="auto" w:fill="auto"/>
            <w:noWrap/>
            <w:vAlign w:val="bottom"/>
            <w:hideMark/>
          </w:tcPr>
          <w:p w14:paraId="1841D515"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1,616 (15%)</w:t>
            </w:r>
          </w:p>
        </w:tc>
        <w:tc>
          <w:tcPr>
            <w:tcW w:w="1985" w:type="dxa"/>
            <w:tcBorders>
              <w:top w:val="nil"/>
              <w:left w:val="nil"/>
              <w:bottom w:val="nil"/>
              <w:right w:val="nil"/>
            </w:tcBorders>
            <w:shd w:val="clear" w:color="auto" w:fill="auto"/>
            <w:noWrap/>
            <w:vAlign w:val="bottom"/>
            <w:hideMark/>
          </w:tcPr>
          <w:p w14:paraId="30983456"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984" w:type="dxa"/>
            <w:tcBorders>
              <w:top w:val="nil"/>
              <w:left w:val="nil"/>
              <w:bottom w:val="nil"/>
              <w:right w:val="nil"/>
            </w:tcBorders>
            <w:shd w:val="clear" w:color="auto" w:fill="auto"/>
            <w:noWrap/>
            <w:vAlign w:val="bottom"/>
            <w:hideMark/>
          </w:tcPr>
          <w:p w14:paraId="5A1C9970"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5,960 (47%)</w:t>
            </w:r>
          </w:p>
        </w:tc>
        <w:tc>
          <w:tcPr>
            <w:tcW w:w="1418" w:type="dxa"/>
            <w:tcBorders>
              <w:top w:val="nil"/>
              <w:left w:val="nil"/>
              <w:bottom w:val="nil"/>
              <w:right w:val="nil"/>
            </w:tcBorders>
            <w:shd w:val="clear" w:color="auto" w:fill="auto"/>
            <w:noWrap/>
            <w:vAlign w:val="bottom"/>
            <w:hideMark/>
          </w:tcPr>
          <w:p w14:paraId="1637417F"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17" w:type="dxa"/>
            <w:tcBorders>
              <w:top w:val="nil"/>
              <w:left w:val="nil"/>
              <w:bottom w:val="nil"/>
              <w:right w:val="nil"/>
            </w:tcBorders>
            <w:shd w:val="clear" w:color="auto" w:fill="auto"/>
            <w:noWrap/>
            <w:vAlign w:val="bottom"/>
            <w:hideMark/>
          </w:tcPr>
          <w:p w14:paraId="60D85683"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39,581 (52%)</w:t>
            </w:r>
          </w:p>
        </w:tc>
      </w:tr>
      <w:tr w:rsidR="0014185B" w:rsidRPr="00F54546" w14:paraId="0AB7942A" w14:textId="77777777" w:rsidTr="00203D2C">
        <w:trPr>
          <w:trHeight w:val="300"/>
        </w:trPr>
        <w:tc>
          <w:tcPr>
            <w:tcW w:w="2552" w:type="dxa"/>
            <w:tcBorders>
              <w:top w:val="nil"/>
              <w:left w:val="nil"/>
              <w:bottom w:val="nil"/>
              <w:right w:val="nil"/>
            </w:tcBorders>
            <w:shd w:val="clear" w:color="auto" w:fill="auto"/>
            <w:noWrap/>
            <w:vAlign w:val="bottom"/>
            <w:hideMark/>
          </w:tcPr>
          <w:p w14:paraId="378D7435" w14:textId="77777777"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Substance use disorder</w:t>
            </w:r>
          </w:p>
        </w:tc>
        <w:tc>
          <w:tcPr>
            <w:tcW w:w="1418" w:type="dxa"/>
            <w:tcBorders>
              <w:top w:val="nil"/>
              <w:left w:val="nil"/>
              <w:bottom w:val="nil"/>
              <w:right w:val="nil"/>
            </w:tcBorders>
            <w:shd w:val="clear" w:color="auto" w:fill="auto"/>
            <w:noWrap/>
            <w:vAlign w:val="bottom"/>
            <w:hideMark/>
          </w:tcPr>
          <w:p w14:paraId="48AFD8FD"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53" w:type="dxa"/>
            <w:tcBorders>
              <w:top w:val="nil"/>
              <w:left w:val="nil"/>
              <w:bottom w:val="nil"/>
              <w:right w:val="nil"/>
            </w:tcBorders>
            <w:shd w:val="clear" w:color="auto" w:fill="auto"/>
            <w:noWrap/>
            <w:vAlign w:val="bottom"/>
            <w:hideMark/>
          </w:tcPr>
          <w:p w14:paraId="1D24438B"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27,258 (27%)</w:t>
            </w:r>
          </w:p>
        </w:tc>
        <w:tc>
          <w:tcPr>
            <w:tcW w:w="1665" w:type="dxa"/>
            <w:tcBorders>
              <w:top w:val="nil"/>
              <w:left w:val="nil"/>
              <w:bottom w:val="nil"/>
              <w:right w:val="nil"/>
            </w:tcBorders>
            <w:shd w:val="clear" w:color="auto" w:fill="auto"/>
            <w:noWrap/>
            <w:vAlign w:val="bottom"/>
            <w:hideMark/>
          </w:tcPr>
          <w:p w14:paraId="133FF8FA"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701" w:type="dxa"/>
            <w:tcBorders>
              <w:top w:val="nil"/>
              <w:left w:val="nil"/>
              <w:bottom w:val="nil"/>
              <w:right w:val="nil"/>
            </w:tcBorders>
            <w:shd w:val="clear" w:color="auto" w:fill="auto"/>
            <w:noWrap/>
            <w:vAlign w:val="bottom"/>
            <w:hideMark/>
          </w:tcPr>
          <w:p w14:paraId="183F3B41" w14:textId="1C00E05A"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60 (0·6%)</w:t>
            </w:r>
          </w:p>
        </w:tc>
        <w:tc>
          <w:tcPr>
            <w:tcW w:w="1985" w:type="dxa"/>
            <w:tcBorders>
              <w:top w:val="nil"/>
              <w:left w:val="nil"/>
              <w:bottom w:val="nil"/>
              <w:right w:val="nil"/>
            </w:tcBorders>
            <w:shd w:val="clear" w:color="auto" w:fill="auto"/>
            <w:noWrap/>
            <w:vAlign w:val="bottom"/>
            <w:hideMark/>
          </w:tcPr>
          <w:p w14:paraId="4CD0FB70"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984" w:type="dxa"/>
            <w:tcBorders>
              <w:top w:val="nil"/>
              <w:left w:val="nil"/>
              <w:bottom w:val="nil"/>
              <w:right w:val="nil"/>
            </w:tcBorders>
            <w:shd w:val="clear" w:color="auto" w:fill="auto"/>
            <w:noWrap/>
            <w:vAlign w:val="bottom"/>
            <w:hideMark/>
          </w:tcPr>
          <w:p w14:paraId="084AD4D4"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1,363 (11%)</w:t>
            </w:r>
          </w:p>
        </w:tc>
        <w:tc>
          <w:tcPr>
            <w:tcW w:w="1418" w:type="dxa"/>
            <w:tcBorders>
              <w:top w:val="nil"/>
              <w:left w:val="nil"/>
              <w:bottom w:val="nil"/>
              <w:right w:val="nil"/>
            </w:tcBorders>
            <w:shd w:val="clear" w:color="auto" w:fill="auto"/>
            <w:noWrap/>
            <w:vAlign w:val="bottom"/>
            <w:hideMark/>
          </w:tcPr>
          <w:p w14:paraId="39D37406"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17" w:type="dxa"/>
            <w:tcBorders>
              <w:top w:val="nil"/>
              <w:left w:val="nil"/>
              <w:bottom w:val="nil"/>
              <w:right w:val="nil"/>
            </w:tcBorders>
            <w:shd w:val="clear" w:color="auto" w:fill="auto"/>
            <w:noWrap/>
            <w:vAlign w:val="bottom"/>
            <w:hideMark/>
          </w:tcPr>
          <w:p w14:paraId="0016EE10"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25,835 (34%)</w:t>
            </w:r>
          </w:p>
        </w:tc>
      </w:tr>
      <w:tr w:rsidR="0014185B" w:rsidRPr="00F54546" w14:paraId="124B74E2" w14:textId="77777777" w:rsidTr="00203D2C">
        <w:trPr>
          <w:trHeight w:val="300"/>
        </w:trPr>
        <w:tc>
          <w:tcPr>
            <w:tcW w:w="2552" w:type="dxa"/>
            <w:tcBorders>
              <w:top w:val="nil"/>
              <w:left w:val="nil"/>
              <w:bottom w:val="nil"/>
              <w:right w:val="nil"/>
            </w:tcBorders>
            <w:shd w:val="clear" w:color="auto" w:fill="auto"/>
            <w:noWrap/>
            <w:vAlign w:val="bottom"/>
            <w:hideMark/>
          </w:tcPr>
          <w:p w14:paraId="3FBBB326" w14:textId="77777777"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Autism spectrum disorder</w:t>
            </w:r>
          </w:p>
        </w:tc>
        <w:tc>
          <w:tcPr>
            <w:tcW w:w="1418" w:type="dxa"/>
            <w:tcBorders>
              <w:top w:val="nil"/>
              <w:left w:val="nil"/>
              <w:bottom w:val="nil"/>
              <w:right w:val="nil"/>
            </w:tcBorders>
            <w:shd w:val="clear" w:color="auto" w:fill="auto"/>
            <w:noWrap/>
            <w:vAlign w:val="bottom"/>
            <w:hideMark/>
          </w:tcPr>
          <w:p w14:paraId="1ED4A087"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53" w:type="dxa"/>
            <w:tcBorders>
              <w:top w:val="nil"/>
              <w:left w:val="nil"/>
              <w:bottom w:val="nil"/>
              <w:right w:val="nil"/>
            </w:tcBorders>
            <w:shd w:val="clear" w:color="auto" w:fill="auto"/>
            <w:noWrap/>
            <w:vAlign w:val="bottom"/>
            <w:hideMark/>
          </w:tcPr>
          <w:p w14:paraId="5E1F15A3"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20,471 (21%)</w:t>
            </w:r>
          </w:p>
        </w:tc>
        <w:tc>
          <w:tcPr>
            <w:tcW w:w="1665" w:type="dxa"/>
            <w:tcBorders>
              <w:top w:val="nil"/>
              <w:left w:val="nil"/>
              <w:bottom w:val="nil"/>
              <w:right w:val="nil"/>
            </w:tcBorders>
            <w:shd w:val="clear" w:color="auto" w:fill="auto"/>
            <w:noWrap/>
            <w:vAlign w:val="bottom"/>
            <w:hideMark/>
          </w:tcPr>
          <w:p w14:paraId="698DE9B3"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701" w:type="dxa"/>
            <w:tcBorders>
              <w:top w:val="nil"/>
              <w:left w:val="nil"/>
              <w:bottom w:val="nil"/>
              <w:right w:val="nil"/>
            </w:tcBorders>
            <w:shd w:val="clear" w:color="auto" w:fill="auto"/>
            <w:noWrap/>
            <w:vAlign w:val="bottom"/>
            <w:hideMark/>
          </w:tcPr>
          <w:p w14:paraId="044B6FEB"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6,675 (63%)</w:t>
            </w:r>
          </w:p>
        </w:tc>
        <w:tc>
          <w:tcPr>
            <w:tcW w:w="1985" w:type="dxa"/>
            <w:tcBorders>
              <w:top w:val="nil"/>
              <w:left w:val="nil"/>
              <w:bottom w:val="nil"/>
              <w:right w:val="nil"/>
            </w:tcBorders>
            <w:shd w:val="clear" w:color="auto" w:fill="auto"/>
            <w:noWrap/>
            <w:vAlign w:val="bottom"/>
            <w:hideMark/>
          </w:tcPr>
          <w:p w14:paraId="5D112F76"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984" w:type="dxa"/>
            <w:tcBorders>
              <w:top w:val="nil"/>
              <w:left w:val="nil"/>
              <w:bottom w:val="nil"/>
              <w:right w:val="nil"/>
            </w:tcBorders>
            <w:shd w:val="clear" w:color="auto" w:fill="auto"/>
            <w:noWrap/>
            <w:vAlign w:val="bottom"/>
            <w:hideMark/>
          </w:tcPr>
          <w:p w14:paraId="77569855"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3,540 (28%)</w:t>
            </w:r>
          </w:p>
        </w:tc>
        <w:tc>
          <w:tcPr>
            <w:tcW w:w="1418" w:type="dxa"/>
            <w:tcBorders>
              <w:top w:val="nil"/>
              <w:left w:val="nil"/>
              <w:bottom w:val="nil"/>
              <w:right w:val="nil"/>
            </w:tcBorders>
            <w:shd w:val="clear" w:color="auto" w:fill="auto"/>
            <w:noWrap/>
            <w:vAlign w:val="bottom"/>
            <w:hideMark/>
          </w:tcPr>
          <w:p w14:paraId="501EE63F"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17" w:type="dxa"/>
            <w:tcBorders>
              <w:top w:val="nil"/>
              <w:left w:val="nil"/>
              <w:bottom w:val="nil"/>
              <w:right w:val="nil"/>
            </w:tcBorders>
            <w:shd w:val="clear" w:color="auto" w:fill="auto"/>
            <w:noWrap/>
            <w:vAlign w:val="bottom"/>
            <w:hideMark/>
          </w:tcPr>
          <w:p w14:paraId="4C73D1FB"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10,256 (13%)</w:t>
            </w:r>
          </w:p>
        </w:tc>
      </w:tr>
      <w:tr w:rsidR="0014185B" w:rsidRPr="00F54546" w14:paraId="25519787" w14:textId="77777777" w:rsidTr="00203D2C">
        <w:trPr>
          <w:trHeight w:val="300"/>
        </w:trPr>
        <w:tc>
          <w:tcPr>
            <w:tcW w:w="2552" w:type="dxa"/>
            <w:tcBorders>
              <w:top w:val="nil"/>
              <w:left w:val="nil"/>
              <w:bottom w:val="nil"/>
              <w:right w:val="nil"/>
            </w:tcBorders>
            <w:shd w:val="clear" w:color="auto" w:fill="auto"/>
            <w:noWrap/>
            <w:vAlign w:val="bottom"/>
            <w:hideMark/>
          </w:tcPr>
          <w:p w14:paraId="73CFCEC0" w14:textId="77777777"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Psychosis</w:t>
            </w:r>
          </w:p>
        </w:tc>
        <w:tc>
          <w:tcPr>
            <w:tcW w:w="1418" w:type="dxa"/>
            <w:tcBorders>
              <w:top w:val="nil"/>
              <w:left w:val="nil"/>
              <w:bottom w:val="nil"/>
              <w:right w:val="nil"/>
            </w:tcBorders>
            <w:shd w:val="clear" w:color="auto" w:fill="auto"/>
            <w:noWrap/>
            <w:vAlign w:val="bottom"/>
            <w:hideMark/>
          </w:tcPr>
          <w:p w14:paraId="063B94FD"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53" w:type="dxa"/>
            <w:tcBorders>
              <w:top w:val="nil"/>
              <w:left w:val="nil"/>
              <w:bottom w:val="nil"/>
              <w:right w:val="nil"/>
            </w:tcBorders>
            <w:shd w:val="clear" w:color="auto" w:fill="auto"/>
            <w:noWrap/>
            <w:vAlign w:val="bottom"/>
            <w:hideMark/>
          </w:tcPr>
          <w:p w14:paraId="36CF5D7E" w14:textId="1C980DB0"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3,694 (3·7%)</w:t>
            </w:r>
          </w:p>
        </w:tc>
        <w:tc>
          <w:tcPr>
            <w:tcW w:w="1665" w:type="dxa"/>
            <w:tcBorders>
              <w:top w:val="nil"/>
              <w:left w:val="nil"/>
              <w:bottom w:val="nil"/>
              <w:right w:val="nil"/>
            </w:tcBorders>
            <w:shd w:val="clear" w:color="auto" w:fill="auto"/>
            <w:noWrap/>
            <w:vAlign w:val="bottom"/>
            <w:hideMark/>
          </w:tcPr>
          <w:p w14:paraId="4C426B5C"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701" w:type="dxa"/>
            <w:tcBorders>
              <w:top w:val="nil"/>
              <w:left w:val="nil"/>
              <w:bottom w:val="nil"/>
              <w:right w:val="nil"/>
            </w:tcBorders>
            <w:shd w:val="clear" w:color="auto" w:fill="auto"/>
            <w:noWrap/>
            <w:vAlign w:val="bottom"/>
            <w:hideMark/>
          </w:tcPr>
          <w:p w14:paraId="2B1D984B" w14:textId="2FC7F16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16 (0·2%)</w:t>
            </w:r>
          </w:p>
        </w:tc>
        <w:tc>
          <w:tcPr>
            <w:tcW w:w="1985" w:type="dxa"/>
            <w:tcBorders>
              <w:top w:val="nil"/>
              <w:left w:val="nil"/>
              <w:bottom w:val="nil"/>
              <w:right w:val="nil"/>
            </w:tcBorders>
            <w:shd w:val="clear" w:color="auto" w:fill="auto"/>
            <w:noWrap/>
            <w:vAlign w:val="bottom"/>
            <w:hideMark/>
          </w:tcPr>
          <w:p w14:paraId="29682FFE"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984" w:type="dxa"/>
            <w:tcBorders>
              <w:top w:val="nil"/>
              <w:left w:val="nil"/>
              <w:bottom w:val="nil"/>
              <w:right w:val="nil"/>
            </w:tcBorders>
            <w:shd w:val="clear" w:color="auto" w:fill="auto"/>
            <w:noWrap/>
            <w:vAlign w:val="bottom"/>
            <w:hideMark/>
          </w:tcPr>
          <w:p w14:paraId="1D05E656" w14:textId="13C999EF"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110 (0·9%)</w:t>
            </w:r>
          </w:p>
        </w:tc>
        <w:tc>
          <w:tcPr>
            <w:tcW w:w="1418" w:type="dxa"/>
            <w:tcBorders>
              <w:top w:val="nil"/>
              <w:left w:val="nil"/>
              <w:bottom w:val="nil"/>
              <w:right w:val="nil"/>
            </w:tcBorders>
            <w:shd w:val="clear" w:color="auto" w:fill="auto"/>
            <w:noWrap/>
            <w:vAlign w:val="bottom"/>
            <w:hideMark/>
          </w:tcPr>
          <w:p w14:paraId="06623A87"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17" w:type="dxa"/>
            <w:tcBorders>
              <w:top w:val="nil"/>
              <w:left w:val="nil"/>
              <w:bottom w:val="nil"/>
              <w:right w:val="nil"/>
            </w:tcBorders>
            <w:shd w:val="clear" w:color="auto" w:fill="auto"/>
            <w:noWrap/>
            <w:vAlign w:val="bottom"/>
            <w:hideMark/>
          </w:tcPr>
          <w:p w14:paraId="016BF2E3" w14:textId="34523EDF"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3,568 (4·7%)</w:t>
            </w:r>
          </w:p>
        </w:tc>
      </w:tr>
      <w:tr w:rsidR="0014185B" w:rsidRPr="00F54546" w14:paraId="03391957" w14:textId="77777777" w:rsidTr="00203D2C">
        <w:trPr>
          <w:trHeight w:val="300"/>
        </w:trPr>
        <w:tc>
          <w:tcPr>
            <w:tcW w:w="2552" w:type="dxa"/>
            <w:tcBorders>
              <w:top w:val="nil"/>
              <w:left w:val="nil"/>
              <w:bottom w:val="nil"/>
              <w:right w:val="nil"/>
            </w:tcBorders>
            <w:shd w:val="clear" w:color="auto" w:fill="auto"/>
            <w:noWrap/>
            <w:vAlign w:val="bottom"/>
            <w:hideMark/>
          </w:tcPr>
          <w:p w14:paraId="462EDE33" w14:textId="77777777"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Intellectual disability</w:t>
            </w:r>
          </w:p>
        </w:tc>
        <w:tc>
          <w:tcPr>
            <w:tcW w:w="1418" w:type="dxa"/>
            <w:tcBorders>
              <w:top w:val="nil"/>
              <w:left w:val="nil"/>
              <w:bottom w:val="nil"/>
              <w:right w:val="nil"/>
            </w:tcBorders>
            <w:shd w:val="clear" w:color="auto" w:fill="auto"/>
            <w:noWrap/>
            <w:vAlign w:val="bottom"/>
            <w:hideMark/>
          </w:tcPr>
          <w:p w14:paraId="0F0F2CCD"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53" w:type="dxa"/>
            <w:tcBorders>
              <w:top w:val="nil"/>
              <w:left w:val="nil"/>
              <w:bottom w:val="nil"/>
              <w:right w:val="nil"/>
            </w:tcBorders>
            <w:shd w:val="clear" w:color="auto" w:fill="auto"/>
            <w:noWrap/>
            <w:vAlign w:val="bottom"/>
            <w:hideMark/>
          </w:tcPr>
          <w:p w14:paraId="54365D3C" w14:textId="664D6BCC"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4,880 (4·9%)</w:t>
            </w:r>
          </w:p>
        </w:tc>
        <w:tc>
          <w:tcPr>
            <w:tcW w:w="1665" w:type="dxa"/>
            <w:tcBorders>
              <w:top w:val="nil"/>
              <w:left w:val="nil"/>
              <w:bottom w:val="nil"/>
              <w:right w:val="nil"/>
            </w:tcBorders>
            <w:shd w:val="clear" w:color="auto" w:fill="auto"/>
            <w:noWrap/>
            <w:vAlign w:val="bottom"/>
            <w:hideMark/>
          </w:tcPr>
          <w:p w14:paraId="44A39971"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701" w:type="dxa"/>
            <w:tcBorders>
              <w:top w:val="nil"/>
              <w:left w:val="nil"/>
              <w:bottom w:val="nil"/>
              <w:right w:val="nil"/>
            </w:tcBorders>
            <w:shd w:val="clear" w:color="auto" w:fill="auto"/>
            <w:noWrap/>
            <w:vAlign w:val="bottom"/>
            <w:hideMark/>
          </w:tcPr>
          <w:p w14:paraId="53426B4D"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1,914 (18%)</w:t>
            </w:r>
          </w:p>
        </w:tc>
        <w:tc>
          <w:tcPr>
            <w:tcW w:w="1985" w:type="dxa"/>
            <w:tcBorders>
              <w:top w:val="nil"/>
              <w:left w:val="nil"/>
              <w:bottom w:val="nil"/>
              <w:right w:val="nil"/>
            </w:tcBorders>
            <w:shd w:val="clear" w:color="auto" w:fill="auto"/>
            <w:noWrap/>
            <w:vAlign w:val="bottom"/>
            <w:hideMark/>
          </w:tcPr>
          <w:p w14:paraId="361B4E5A"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984" w:type="dxa"/>
            <w:tcBorders>
              <w:top w:val="nil"/>
              <w:left w:val="nil"/>
              <w:bottom w:val="nil"/>
              <w:right w:val="nil"/>
            </w:tcBorders>
            <w:shd w:val="clear" w:color="auto" w:fill="auto"/>
            <w:noWrap/>
            <w:vAlign w:val="bottom"/>
            <w:hideMark/>
          </w:tcPr>
          <w:p w14:paraId="5099A351" w14:textId="3FD42D95"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850 (6·7%)</w:t>
            </w:r>
          </w:p>
        </w:tc>
        <w:tc>
          <w:tcPr>
            <w:tcW w:w="1418" w:type="dxa"/>
            <w:tcBorders>
              <w:top w:val="nil"/>
              <w:left w:val="nil"/>
              <w:bottom w:val="nil"/>
              <w:right w:val="nil"/>
            </w:tcBorders>
            <w:shd w:val="clear" w:color="auto" w:fill="auto"/>
            <w:noWrap/>
            <w:vAlign w:val="bottom"/>
            <w:hideMark/>
          </w:tcPr>
          <w:p w14:paraId="311B455A"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17" w:type="dxa"/>
            <w:tcBorders>
              <w:top w:val="nil"/>
              <w:left w:val="nil"/>
              <w:bottom w:val="nil"/>
              <w:right w:val="nil"/>
            </w:tcBorders>
            <w:shd w:val="clear" w:color="auto" w:fill="auto"/>
            <w:noWrap/>
            <w:vAlign w:val="bottom"/>
            <w:hideMark/>
          </w:tcPr>
          <w:p w14:paraId="7E4048E3" w14:textId="0463B62F"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2,116 (2·8%)</w:t>
            </w:r>
          </w:p>
        </w:tc>
      </w:tr>
      <w:tr w:rsidR="0014185B" w:rsidRPr="00F54546" w14:paraId="1B5101B4" w14:textId="77777777" w:rsidTr="00203D2C">
        <w:trPr>
          <w:trHeight w:val="300"/>
        </w:trPr>
        <w:tc>
          <w:tcPr>
            <w:tcW w:w="2552" w:type="dxa"/>
            <w:tcBorders>
              <w:top w:val="nil"/>
              <w:left w:val="nil"/>
              <w:bottom w:val="nil"/>
              <w:right w:val="nil"/>
            </w:tcBorders>
            <w:shd w:val="clear" w:color="auto" w:fill="auto"/>
            <w:noWrap/>
            <w:vAlign w:val="bottom"/>
            <w:hideMark/>
          </w:tcPr>
          <w:p w14:paraId="408DCF3C" w14:textId="77777777"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Cardiovascular disease</w:t>
            </w:r>
          </w:p>
        </w:tc>
        <w:tc>
          <w:tcPr>
            <w:tcW w:w="1418" w:type="dxa"/>
            <w:tcBorders>
              <w:top w:val="nil"/>
              <w:left w:val="nil"/>
              <w:bottom w:val="nil"/>
              <w:right w:val="nil"/>
            </w:tcBorders>
            <w:shd w:val="clear" w:color="auto" w:fill="auto"/>
            <w:noWrap/>
            <w:vAlign w:val="bottom"/>
            <w:hideMark/>
          </w:tcPr>
          <w:p w14:paraId="1B540638"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53" w:type="dxa"/>
            <w:tcBorders>
              <w:top w:val="nil"/>
              <w:left w:val="nil"/>
              <w:bottom w:val="nil"/>
              <w:right w:val="nil"/>
            </w:tcBorders>
            <w:shd w:val="clear" w:color="auto" w:fill="auto"/>
            <w:noWrap/>
            <w:vAlign w:val="bottom"/>
            <w:hideMark/>
          </w:tcPr>
          <w:p w14:paraId="017F5F86" w14:textId="3AE48AFB"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6,434 (6·4%)</w:t>
            </w:r>
          </w:p>
        </w:tc>
        <w:tc>
          <w:tcPr>
            <w:tcW w:w="1665" w:type="dxa"/>
            <w:tcBorders>
              <w:top w:val="nil"/>
              <w:left w:val="nil"/>
              <w:bottom w:val="nil"/>
              <w:right w:val="nil"/>
            </w:tcBorders>
            <w:shd w:val="clear" w:color="auto" w:fill="auto"/>
            <w:noWrap/>
            <w:vAlign w:val="bottom"/>
            <w:hideMark/>
          </w:tcPr>
          <w:p w14:paraId="0E804E9B"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701" w:type="dxa"/>
            <w:tcBorders>
              <w:top w:val="nil"/>
              <w:left w:val="nil"/>
              <w:bottom w:val="nil"/>
              <w:right w:val="nil"/>
            </w:tcBorders>
            <w:shd w:val="clear" w:color="auto" w:fill="auto"/>
            <w:noWrap/>
            <w:vAlign w:val="bottom"/>
            <w:hideMark/>
          </w:tcPr>
          <w:p w14:paraId="6B544941" w14:textId="642EFFF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464 (4·4%)</w:t>
            </w:r>
          </w:p>
        </w:tc>
        <w:tc>
          <w:tcPr>
            <w:tcW w:w="1985" w:type="dxa"/>
            <w:tcBorders>
              <w:top w:val="nil"/>
              <w:left w:val="nil"/>
              <w:bottom w:val="nil"/>
              <w:right w:val="nil"/>
            </w:tcBorders>
            <w:shd w:val="clear" w:color="auto" w:fill="auto"/>
            <w:noWrap/>
            <w:vAlign w:val="bottom"/>
            <w:hideMark/>
          </w:tcPr>
          <w:p w14:paraId="1B8B29C1"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984" w:type="dxa"/>
            <w:tcBorders>
              <w:top w:val="nil"/>
              <w:left w:val="nil"/>
              <w:bottom w:val="nil"/>
              <w:right w:val="nil"/>
            </w:tcBorders>
            <w:shd w:val="clear" w:color="auto" w:fill="auto"/>
            <w:noWrap/>
            <w:vAlign w:val="bottom"/>
            <w:hideMark/>
          </w:tcPr>
          <w:p w14:paraId="44CD98F8" w14:textId="015F19E2"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351 (2·8%)</w:t>
            </w:r>
          </w:p>
        </w:tc>
        <w:tc>
          <w:tcPr>
            <w:tcW w:w="1418" w:type="dxa"/>
            <w:tcBorders>
              <w:top w:val="nil"/>
              <w:left w:val="nil"/>
              <w:bottom w:val="nil"/>
              <w:right w:val="nil"/>
            </w:tcBorders>
            <w:shd w:val="clear" w:color="auto" w:fill="auto"/>
            <w:noWrap/>
            <w:vAlign w:val="bottom"/>
            <w:hideMark/>
          </w:tcPr>
          <w:p w14:paraId="1E72435A"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17" w:type="dxa"/>
            <w:tcBorders>
              <w:top w:val="nil"/>
              <w:left w:val="nil"/>
              <w:bottom w:val="nil"/>
              <w:right w:val="nil"/>
            </w:tcBorders>
            <w:shd w:val="clear" w:color="auto" w:fill="auto"/>
            <w:noWrap/>
            <w:vAlign w:val="bottom"/>
            <w:hideMark/>
          </w:tcPr>
          <w:p w14:paraId="208EA4B2" w14:textId="56CFB520"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5,619 (7·3%)</w:t>
            </w:r>
          </w:p>
        </w:tc>
      </w:tr>
      <w:tr w:rsidR="0014185B" w:rsidRPr="00F54546" w14:paraId="514387B7" w14:textId="77777777" w:rsidTr="006E4FBC">
        <w:trPr>
          <w:trHeight w:val="300"/>
        </w:trPr>
        <w:tc>
          <w:tcPr>
            <w:tcW w:w="2552" w:type="dxa"/>
            <w:tcBorders>
              <w:top w:val="nil"/>
              <w:left w:val="nil"/>
              <w:right w:val="nil"/>
            </w:tcBorders>
            <w:shd w:val="clear" w:color="auto" w:fill="auto"/>
            <w:noWrap/>
            <w:vAlign w:val="bottom"/>
            <w:hideMark/>
          </w:tcPr>
          <w:p w14:paraId="0DBB2358" w14:textId="2484429A"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Epilepsy</w:t>
            </w:r>
          </w:p>
        </w:tc>
        <w:tc>
          <w:tcPr>
            <w:tcW w:w="1418" w:type="dxa"/>
            <w:tcBorders>
              <w:top w:val="nil"/>
              <w:left w:val="nil"/>
              <w:right w:val="nil"/>
            </w:tcBorders>
            <w:shd w:val="clear" w:color="auto" w:fill="auto"/>
            <w:noWrap/>
            <w:vAlign w:val="bottom"/>
            <w:hideMark/>
          </w:tcPr>
          <w:p w14:paraId="5F47AF59"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53" w:type="dxa"/>
            <w:tcBorders>
              <w:top w:val="nil"/>
              <w:left w:val="nil"/>
              <w:right w:val="nil"/>
            </w:tcBorders>
            <w:shd w:val="clear" w:color="auto" w:fill="auto"/>
            <w:noWrap/>
            <w:vAlign w:val="bottom"/>
            <w:hideMark/>
          </w:tcPr>
          <w:p w14:paraId="5C1ED501" w14:textId="1C42CED4"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4,155 (4·2%)</w:t>
            </w:r>
          </w:p>
        </w:tc>
        <w:tc>
          <w:tcPr>
            <w:tcW w:w="1665" w:type="dxa"/>
            <w:tcBorders>
              <w:top w:val="nil"/>
              <w:left w:val="nil"/>
              <w:right w:val="nil"/>
            </w:tcBorders>
            <w:shd w:val="clear" w:color="auto" w:fill="auto"/>
            <w:noWrap/>
            <w:vAlign w:val="bottom"/>
            <w:hideMark/>
          </w:tcPr>
          <w:p w14:paraId="25DE61E1"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701" w:type="dxa"/>
            <w:tcBorders>
              <w:top w:val="nil"/>
              <w:left w:val="nil"/>
              <w:right w:val="nil"/>
            </w:tcBorders>
            <w:shd w:val="clear" w:color="auto" w:fill="auto"/>
            <w:noWrap/>
            <w:vAlign w:val="bottom"/>
            <w:hideMark/>
          </w:tcPr>
          <w:p w14:paraId="5F5DB866"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1,268 (12%)</w:t>
            </w:r>
          </w:p>
        </w:tc>
        <w:tc>
          <w:tcPr>
            <w:tcW w:w="1985" w:type="dxa"/>
            <w:tcBorders>
              <w:top w:val="nil"/>
              <w:left w:val="nil"/>
              <w:right w:val="nil"/>
            </w:tcBorders>
            <w:shd w:val="clear" w:color="auto" w:fill="auto"/>
            <w:noWrap/>
            <w:vAlign w:val="bottom"/>
            <w:hideMark/>
          </w:tcPr>
          <w:p w14:paraId="2977FBB8"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984" w:type="dxa"/>
            <w:tcBorders>
              <w:top w:val="nil"/>
              <w:left w:val="nil"/>
              <w:right w:val="nil"/>
            </w:tcBorders>
            <w:shd w:val="clear" w:color="auto" w:fill="auto"/>
            <w:noWrap/>
            <w:vAlign w:val="bottom"/>
            <w:hideMark/>
          </w:tcPr>
          <w:p w14:paraId="7B009370" w14:textId="484ACD53"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622 (4·9%)</w:t>
            </w:r>
          </w:p>
        </w:tc>
        <w:tc>
          <w:tcPr>
            <w:tcW w:w="1418" w:type="dxa"/>
            <w:tcBorders>
              <w:top w:val="nil"/>
              <w:left w:val="nil"/>
              <w:right w:val="nil"/>
            </w:tcBorders>
            <w:shd w:val="clear" w:color="auto" w:fill="auto"/>
            <w:noWrap/>
            <w:vAlign w:val="bottom"/>
            <w:hideMark/>
          </w:tcPr>
          <w:p w14:paraId="60252878"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17" w:type="dxa"/>
            <w:tcBorders>
              <w:top w:val="nil"/>
              <w:left w:val="nil"/>
              <w:right w:val="nil"/>
            </w:tcBorders>
            <w:shd w:val="clear" w:color="auto" w:fill="auto"/>
            <w:noWrap/>
            <w:vAlign w:val="bottom"/>
            <w:hideMark/>
          </w:tcPr>
          <w:p w14:paraId="0C8E7C4F" w14:textId="2482CDFB"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2,265 (3·0%)</w:t>
            </w:r>
          </w:p>
        </w:tc>
      </w:tr>
      <w:tr w:rsidR="0014185B" w:rsidRPr="00F54546" w14:paraId="20EA801C" w14:textId="77777777" w:rsidTr="006E4FBC">
        <w:trPr>
          <w:trHeight w:val="300"/>
        </w:trPr>
        <w:tc>
          <w:tcPr>
            <w:tcW w:w="2552" w:type="dxa"/>
            <w:tcBorders>
              <w:top w:val="nil"/>
              <w:left w:val="nil"/>
              <w:bottom w:val="single" w:sz="12" w:space="0" w:color="auto"/>
              <w:right w:val="nil"/>
            </w:tcBorders>
            <w:shd w:val="clear" w:color="auto" w:fill="auto"/>
            <w:noWrap/>
            <w:vAlign w:val="bottom"/>
            <w:hideMark/>
          </w:tcPr>
          <w:p w14:paraId="26BA46FB" w14:textId="77777777" w:rsidR="0014185B" w:rsidRPr="00F54546" w:rsidRDefault="0014185B" w:rsidP="0014185B">
            <w:pPr>
              <w:spacing w:after="0" w:line="240" w:lineRule="auto"/>
              <w:ind w:left="174" w:firstLine="0"/>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Antidepressants</w:t>
            </w:r>
          </w:p>
        </w:tc>
        <w:tc>
          <w:tcPr>
            <w:tcW w:w="1418" w:type="dxa"/>
            <w:tcBorders>
              <w:top w:val="nil"/>
              <w:left w:val="nil"/>
              <w:bottom w:val="single" w:sz="12" w:space="0" w:color="auto"/>
              <w:right w:val="nil"/>
            </w:tcBorders>
            <w:shd w:val="clear" w:color="auto" w:fill="auto"/>
            <w:noWrap/>
            <w:vAlign w:val="bottom"/>
            <w:hideMark/>
          </w:tcPr>
          <w:p w14:paraId="5341DA4F"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53" w:type="dxa"/>
            <w:tcBorders>
              <w:top w:val="nil"/>
              <w:left w:val="nil"/>
              <w:bottom w:val="single" w:sz="12" w:space="0" w:color="auto"/>
              <w:right w:val="nil"/>
            </w:tcBorders>
            <w:shd w:val="clear" w:color="auto" w:fill="auto"/>
            <w:noWrap/>
            <w:vAlign w:val="bottom"/>
            <w:hideMark/>
          </w:tcPr>
          <w:p w14:paraId="2060DB59"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67,824 (68%)</w:t>
            </w:r>
          </w:p>
        </w:tc>
        <w:tc>
          <w:tcPr>
            <w:tcW w:w="1665" w:type="dxa"/>
            <w:tcBorders>
              <w:top w:val="nil"/>
              <w:left w:val="nil"/>
              <w:bottom w:val="single" w:sz="12" w:space="0" w:color="auto"/>
              <w:right w:val="nil"/>
            </w:tcBorders>
            <w:shd w:val="clear" w:color="auto" w:fill="auto"/>
            <w:noWrap/>
            <w:vAlign w:val="bottom"/>
            <w:hideMark/>
          </w:tcPr>
          <w:p w14:paraId="3ECBA638"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701" w:type="dxa"/>
            <w:tcBorders>
              <w:top w:val="nil"/>
              <w:left w:val="nil"/>
              <w:bottom w:val="single" w:sz="12" w:space="0" w:color="auto"/>
              <w:right w:val="nil"/>
            </w:tcBorders>
            <w:shd w:val="clear" w:color="auto" w:fill="auto"/>
            <w:noWrap/>
            <w:vAlign w:val="bottom"/>
            <w:hideMark/>
          </w:tcPr>
          <w:p w14:paraId="25B497B9" w14:textId="25981034"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1,059 (10·0%)</w:t>
            </w:r>
          </w:p>
        </w:tc>
        <w:tc>
          <w:tcPr>
            <w:tcW w:w="1985" w:type="dxa"/>
            <w:tcBorders>
              <w:top w:val="nil"/>
              <w:left w:val="nil"/>
              <w:bottom w:val="single" w:sz="12" w:space="0" w:color="auto"/>
              <w:right w:val="nil"/>
            </w:tcBorders>
            <w:shd w:val="clear" w:color="auto" w:fill="auto"/>
            <w:noWrap/>
            <w:vAlign w:val="bottom"/>
            <w:hideMark/>
          </w:tcPr>
          <w:p w14:paraId="1C2D64D5"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984" w:type="dxa"/>
            <w:tcBorders>
              <w:top w:val="nil"/>
              <w:left w:val="nil"/>
              <w:bottom w:val="single" w:sz="12" w:space="0" w:color="auto"/>
              <w:right w:val="nil"/>
            </w:tcBorders>
            <w:shd w:val="clear" w:color="auto" w:fill="auto"/>
            <w:noWrap/>
            <w:vAlign w:val="bottom"/>
            <w:hideMark/>
          </w:tcPr>
          <w:p w14:paraId="148203F1"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6,090 (48%)</w:t>
            </w:r>
          </w:p>
        </w:tc>
        <w:tc>
          <w:tcPr>
            <w:tcW w:w="1418" w:type="dxa"/>
            <w:tcBorders>
              <w:top w:val="nil"/>
              <w:left w:val="nil"/>
              <w:bottom w:val="single" w:sz="12" w:space="0" w:color="auto"/>
              <w:right w:val="nil"/>
            </w:tcBorders>
            <w:shd w:val="clear" w:color="auto" w:fill="auto"/>
            <w:noWrap/>
            <w:vAlign w:val="bottom"/>
            <w:hideMark/>
          </w:tcPr>
          <w:p w14:paraId="5ADDEFBE"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0 (0%)</w:t>
            </w:r>
          </w:p>
        </w:tc>
        <w:tc>
          <w:tcPr>
            <w:tcW w:w="1417" w:type="dxa"/>
            <w:tcBorders>
              <w:top w:val="nil"/>
              <w:left w:val="nil"/>
              <w:bottom w:val="single" w:sz="12" w:space="0" w:color="auto"/>
              <w:right w:val="nil"/>
            </w:tcBorders>
            <w:shd w:val="clear" w:color="auto" w:fill="auto"/>
            <w:noWrap/>
            <w:vAlign w:val="bottom"/>
            <w:hideMark/>
          </w:tcPr>
          <w:p w14:paraId="0F4338E6" w14:textId="77777777" w:rsidR="0014185B" w:rsidRPr="00F54546" w:rsidRDefault="0014185B" w:rsidP="0014185B">
            <w:pPr>
              <w:spacing w:after="0" w:line="240" w:lineRule="auto"/>
              <w:ind w:firstLine="0"/>
              <w:jc w:val="right"/>
              <w:rPr>
                <w:rFonts w:ascii="Times New Roman" w:eastAsia="Times New Roman" w:hAnsi="Times New Roman" w:cs="Times New Roman"/>
                <w:color w:val="000000"/>
                <w:sz w:val="20"/>
                <w:szCs w:val="20"/>
                <w:lang w:val="en-GB"/>
              </w:rPr>
            </w:pPr>
            <w:r w:rsidRPr="00F54546">
              <w:rPr>
                <w:rFonts w:ascii="Times New Roman" w:eastAsia="Times New Roman" w:hAnsi="Times New Roman" w:cs="Times New Roman"/>
                <w:color w:val="000000"/>
                <w:sz w:val="20"/>
                <w:szCs w:val="20"/>
                <w:lang w:val="en-GB"/>
              </w:rPr>
              <w:t>60,675 (79%)</w:t>
            </w:r>
          </w:p>
        </w:tc>
      </w:tr>
    </w:tbl>
    <w:p w14:paraId="47A967FE" w14:textId="51B048BC" w:rsidR="00FB2DB3" w:rsidRPr="00686316" w:rsidRDefault="00EB7324" w:rsidP="00436AE3">
      <w:pPr>
        <w:pStyle w:val="NoSpacing"/>
        <w:ind w:left="-709" w:firstLine="0"/>
        <w:rPr>
          <w:sz w:val="22"/>
          <w:szCs w:val="22"/>
          <w:lang w:val="en-GB"/>
        </w:rPr>
      </w:pPr>
      <w:r w:rsidRPr="00686316">
        <w:rPr>
          <w:sz w:val="22"/>
          <w:szCs w:val="22"/>
          <w:lang w:val="en-GB"/>
        </w:rPr>
        <w:t>IQR=interquartile range; ADHD=Attention-deficit/hyperactivity disorder</w:t>
      </w:r>
    </w:p>
    <w:p w14:paraId="50390A2D" w14:textId="77777777" w:rsidR="00FB2DB3" w:rsidRPr="00F54546" w:rsidRDefault="00FB2DB3">
      <w:pPr>
        <w:spacing w:line="259" w:lineRule="auto"/>
        <w:ind w:firstLine="0"/>
        <w:rPr>
          <w:rFonts w:ascii="Times New Roman" w:hAnsi="Times New Roman" w:cs="Times New Roman"/>
          <w:lang w:val="en-GB"/>
        </w:rPr>
      </w:pPr>
      <w:r w:rsidRPr="00F54546">
        <w:rPr>
          <w:lang w:val="en-GB"/>
        </w:rPr>
        <w:br w:type="page"/>
      </w:r>
    </w:p>
    <w:p w14:paraId="0FE1EC8A" w14:textId="1271D489" w:rsidR="00B621C2" w:rsidRPr="00F54546" w:rsidRDefault="00B621C2" w:rsidP="00B621C2">
      <w:pPr>
        <w:pStyle w:val="NoSpacing"/>
        <w:spacing w:line="240" w:lineRule="auto"/>
        <w:ind w:firstLine="0"/>
        <w:rPr>
          <w:lang w:val="en-GB"/>
        </w:rPr>
      </w:pPr>
      <w:r w:rsidRPr="00F54546">
        <w:rPr>
          <w:b/>
          <w:bCs/>
          <w:lang w:val="en-GB"/>
        </w:rPr>
        <w:lastRenderedPageBreak/>
        <w:t xml:space="preserve">Table </w:t>
      </w:r>
      <w:r w:rsidR="00F72086">
        <w:rPr>
          <w:b/>
          <w:bCs/>
          <w:lang w:val="en-GB"/>
        </w:rPr>
        <w:t>3</w:t>
      </w:r>
      <w:r w:rsidRPr="00F54546">
        <w:rPr>
          <w:b/>
          <w:bCs/>
          <w:lang w:val="en-GB"/>
        </w:rPr>
        <w:t>.</w:t>
      </w:r>
      <w:r w:rsidR="00CA300D" w:rsidRPr="00F54546">
        <w:rPr>
          <w:b/>
          <w:bCs/>
          <w:lang w:val="en-GB"/>
        </w:rPr>
        <w:t xml:space="preserve"> </w:t>
      </w:r>
      <w:r w:rsidR="00CA300D" w:rsidRPr="00F54546">
        <w:rPr>
          <w:lang w:val="en-GB"/>
        </w:rPr>
        <w:t>Summary of the results from Cox models stratified by age.</w:t>
      </w:r>
    </w:p>
    <w:tbl>
      <w:tblPr>
        <w:tblW w:w="13183" w:type="dxa"/>
        <w:tblLook w:val="04A0" w:firstRow="1" w:lastRow="0" w:firstColumn="1" w:lastColumn="0" w:noHBand="0" w:noVBand="1"/>
      </w:tblPr>
      <w:tblGrid>
        <w:gridCol w:w="2127"/>
        <w:gridCol w:w="4110"/>
        <w:gridCol w:w="1843"/>
        <w:gridCol w:w="1701"/>
        <w:gridCol w:w="1701"/>
        <w:gridCol w:w="1701"/>
      </w:tblGrid>
      <w:tr w:rsidR="00B621C2" w:rsidRPr="00F54546" w14:paraId="56A13A74" w14:textId="77777777" w:rsidTr="0029797D">
        <w:trPr>
          <w:trHeight w:val="300"/>
        </w:trPr>
        <w:tc>
          <w:tcPr>
            <w:tcW w:w="2127" w:type="dxa"/>
            <w:tcBorders>
              <w:top w:val="single" w:sz="4" w:space="0" w:color="auto"/>
              <w:left w:val="nil"/>
              <w:bottom w:val="nil"/>
              <w:right w:val="nil"/>
            </w:tcBorders>
            <w:shd w:val="clear" w:color="auto" w:fill="auto"/>
            <w:noWrap/>
            <w:vAlign w:val="bottom"/>
            <w:hideMark/>
          </w:tcPr>
          <w:p w14:paraId="63F60D3F" w14:textId="77777777" w:rsidR="00B621C2" w:rsidRPr="00F54546" w:rsidRDefault="00B621C2" w:rsidP="00B621C2">
            <w:pPr>
              <w:spacing w:after="0" w:line="360" w:lineRule="auto"/>
              <w:ind w:firstLine="0"/>
              <w:rPr>
                <w:rFonts w:ascii="Times New Roman" w:eastAsia="Times New Roman" w:hAnsi="Times New Roman" w:cs="Times New Roman"/>
                <w:sz w:val="20"/>
                <w:szCs w:val="20"/>
                <w:lang w:val="en-GB"/>
              </w:rPr>
            </w:pPr>
          </w:p>
        </w:tc>
        <w:tc>
          <w:tcPr>
            <w:tcW w:w="4110" w:type="dxa"/>
            <w:tcBorders>
              <w:top w:val="single" w:sz="4" w:space="0" w:color="auto"/>
              <w:left w:val="nil"/>
              <w:bottom w:val="nil"/>
              <w:right w:val="nil"/>
            </w:tcBorders>
            <w:shd w:val="clear" w:color="auto" w:fill="auto"/>
            <w:noWrap/>
            <w:vAlign w:val="bottom"/>
            <w:hideMark/>
          </w:tcPr>
          <w:p w14:paraId="71671C13" w14:textId="77777777" w:rsidR="00B621C2" w:rsidRPr="00F54546" w:rsidRDefault="00B621C2" w:rsidP="00B621C2">
            <w:pPr>
              <w:spacing w:after="0" w:line="360" w:lineRule="auto"/>
              <w:ind w:firstLine="0"/>
              <w:rPr>
                <w:rFonts w:ascii="Times New Roman" w:eastAsia="Times New Roman" w:hAnsi="Times New Roman" w:cs="Times New Roman"/>
                <w:sz w:val="20"/>
                <w:szCs w:val="20"/>
                <w:lang w:val="en-GB"/>
              </w:rPr>
            </w:pPr>
          </w:p>
        </w:tc>
        <w:tc>
          <w:tcPr>
            <w:tcW w:w="6946" w:type="dxa"/>
            <w:gridSpan w:val="4"/>
            <w:tcBorders>
              <w:top w:val="single" w:sz="4" w:space="0" w:color="auto"/>
              <w:left w:val="nil"/>
              <w:bottom w:val="single" w:sz="4" w:space="0" w:color="auto"/>
              <w:right w:val="nil"/>
            </w:tcBorders>
            <w:shd w:val="clear" w:color="auto" w:fill="auto"/>
            <w:noWrap/>
            <w:vAlign w:val="bottom"/>
            <w:hideMark/>
          </w:tcPr>
          <w:p w14:paraId="1BACFE37" w14:textId="77777777" w:rsidR="00B621C2" w:rsidRPr="00F54546" w:rsidRDefault="00B621C2" w:rsidP="00B621C2">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HR (95% CI)</w:t>
            </w:r>
          </w:p>
        </w:tc>
      </w:tr>
      <w:tr w:rsidR="00B621C2" w:rsidRPr="00F54546" w14:paraId="5BBE082D" w14:textId="77777777" w:rsidTr="0029797D">
        <w:trPr>
          <w:trHeight w:val="300"/>
        </w:trPr>
        <w:tc>
          <w:tcPr>
            <w:tcW w:w="2127" w:type="dxa"/>
            <w:tcBorders>
              <w:top w:val="nil"/>
              <w:left w:val="nil"/>
              <w:bottom w:val="single" w:sz="4" w:space="0" w:color="auto"/>
              <w:right w:val="nil"/>
            </w:tcBorders>
            <w:shd w:val="clear" w:color="auto" w:fill="auto"/>
            <w:noWrap/>
            <w:vAlign w:val="bottom"/>
            <w:hideMark/>
          </w:tcPr>
          <w:p w14:paraId="024C5002" w14:textId="77777777" w:rsidR="00B621C2" w:rsidRPr="00F54546" w:rsidRDefault="00B621C2" w:rsidP="00B621C2">
            <w:pPr>
              <w:spacing w:after="0" w:line="360" w:lineRule="auto"/>
              <w:ind w:firstLine="0"/>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Analysis</w:t>
            </w:r>
          </w:p>
        </w:tc>
        <w:tc>
          <w:tcPr>
            <w:tcW w:w="4110" w:type="dxa"/>
            <w:tcBorders>
              <w:top w:val="nil"/>
              <w:left w:val="nil"/>
              <w:bottom w:val="single" w:sz="4" w:space="0" w:color="auto"/>
              <w:right w:val="nil"/>
            </w:tcBorders>
            <w:shd w:val="clear" w:color="auto" w:fill="auto"/>
            <w:noWrap/>
            <w:vAlign w:val="bottom"/>
            <w:hideMark/>
          </w:tcPr>
          <w:p w14:paraId="44A6045D" w14:textId="77777777" w:rsidR="00B621C2" w:rsidRPr="00F54546" w:rsidRDefault="00B621C2" w:rsidP="00B621C2">
            <w:pPr>
              <w:spacing w:after="0" w:line="360" w:lineRule="auto"/>
              <w:ind w:firstLine="0"/>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Outcome</w:t>
            </w:r>
          </w:p>
        </w:tc>
        <w:tc>
          <w:tcPr>
            <w:tcW w:w="1843" w:type="dxa"/>
            <w:tcBorders>
              <w:top w:val="nil"/>
              <w:left w:val="nil"/>
              <w:bottom w:val="single" w:sz="4" w:space="0" w:color="auto"/>
              <w:right w:val="nil"/>
            </w:tcBorders>
            <w:shd w:val="clear" w:color="auto" w:fill="auto"/>
            <w:noWrap/>
            <w:vAlign w:val="bottom"/>
            <w:hideMark/>
          </w:tcPr>
          <w:p w14:paraId="30024100" w14:textId="77777777" w:rsidR="00B621C2" w:rsidRPr="00F54546" w:rsidRDefault="00B621C2" w:rsidP="00BD638A">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Overall</w:t>
            </w:r>
          </w:p>
        </w:tc>
        <w:tc>
          <w:tcPr>
            <w:tcW w:w="1701" w:type="dxa"/>
            <w:tcBorders>
              <w:top w:val="nil"/>
              <w:left w:val="nil"/>
              <w:bottom w:val="single" w:sz="4" w:space="0" w:color="auto"/>
              <w:right w:val="nil"/>
            </w:tcBorders>
            <w:shd w:val="clear" w:color="auto" w:fill="auto"/>
            <w:noWrap/>
            <w:vAlign w:val="bottom"/>
            <w:hideMark/>
          </w:tcPr>
          <w:p w14:paraId="618465FA" w14:textId="77777777" w:rsidR="00B621C2" w:rsidRPr="00F54546" w:rsidRDefault="00B621C2" w:rsidP="00BD638A">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Children</w:t>
            </w:r>
          </w:p>
        </w:tc>
        <w:tc>
          <w:tcPr>
            <w:tcW w:w="1701" w:type="dxa"/>
            <w:tcBorders>
              <w:top w:val="nil"/>
              <w:left w:val="nil"/>
              <w:bottom w:val="single" w:sz="4" w:space="0" w:color="auto"/>
              <w:right w:val="nil"/>
            </w:tcBorders>
            <w:shd w:val="clear" w:color="auto" w:fill="auto"/>
            <w:noWrap/>
            <w:vAlign w:val="bottom"/>
            <w:hideMark/>
          </w:tcPr>
          <w:p w14:paraId="2F4924E1" w14:textId="77777777" w:rsidR="00B621C2" w:rsidRPr="00F54546" w:rsidRDefault="00B621C2" w:rsidP="00BD638A">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Adolescents</w:t>
            </w:r>
          </w:p>
        </w:tc>
        <w:tc>
          <w:tcPr>
            <w:tcW w:w="1701" w:type="dxa"/>
            <w:tcBorders>
              <w:top w:val="nil"/>
              <w:left w:val="nil"/>
              <w:bottom w:val="single" w:sz="4" w:space="0" w:color="auto"/>
              <w:right w:val="nil"/>
            </w:tcBorders>
            <w:shd w:val="clear" w:color="auto" w:fill="auto"/>
            <w:noWrap/>
            <w:vAlign w:val="bottom"/>
            <w:hideMark/>
          </w:tcPr>
          <w:p w14:paraId="24188549" w14:textId="77777777" w:rsidR="00B621C2" w:rsidRPr="00F54546" w:rsidRDefault="00B621C2" w:rsidP="00BD638A">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Adults</w:t>
            </w:r>
          </w:p>
        </w:tc>
      </w:tr>
      <w:tr w:rsidR="00B621C2" w:rsidRPr="00F54546" w14:paraId="654CE3B6" w14:textId="77777777" w:rsidTr="0029797D">
        <w:trPr>
          <w:trHeight w:val="300"/>
        </w:trPr>
        <w:tc>
          <w:tcPr>
            <w:tcW w:w="2127" w:type="dxa"/>
            <w:tcBorders>
              <w:top w:val="nil"/>
              <w:left w:val="nil"/>
              <w:bottom w:val="nil"/>
              <w:right w:val="nil"/>
            </w:tcBorders>
            <w:shd w:val="clear" w:color="auto" w:fill="auto"/>
            <w:noWrap/>
            <w:vAlign w:val="bottom"/>
            <w:hideMark/>
          </w:tcPr>
          <w:p w14:paraId="5B9E774F" w14:textId="5937C1AC" w:rsidR="00B621C2" w:rsidRDefault="00B621C2"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Main analyses</w:t>
            </w:r>
          </w:p>
          <w:p w14:paraId="244C8B34" w14:textId="76387EC8" w:rsidR="0096156C" w:rsidRPr="00F54546" w:rsidRDefault="0096156C" w:rsidP="00B621C2">
            <w:pPr>
              <w:spacing w:after="0" w:line="360" w:lineRule="auto"/>
              <w:ind w:firstLine="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(N=</w:t>
            </w:r>
            <w:r w:rsidRPr="0096156C">
              <w:rPr>
                <w:rFonts w:ascii="Times New Roman" w:eastAsia="Times New Roman" w:hAnsi="Times New Roman" w:cs="Times New Roman"/>
                <w:color w:val="000000"/>
                <w:sz w:val="22"/>
                <w:szCs w:val="22"/>
                <w:lang w:val="en-GB"/>
              </w:rPr>
              <w:t>189,699</w:t>
            </w:r>
            <w:r>
              <w:rPr>
                <w:rFonts w:ascii="Times New Roman" w:eastAsia="Times New Roman" w:hAnsi="Times New Roman" w:cs="Times New Roman"/>
                <w:color w:val="000000"/>
                <w:sz w:val="22"/>
                <w:szCs w:val="22"/>
                <w:lang w:val="en-GB"/>
              </w:rPr>
              <w:t>)</w:t>
            </w:r>
          </w:p>
        </w:tc>
        <w:tc>
          <w:tcPr>
            <w:tcW w:w="4110" w:type="dxa"/>
            <w:tcBorders>
              <w:top w:val="nil"/>
              <w:left w:val="nil"/>
              <w:right w:val="nil"/>
            </w:tcBorders>
            <w:shd w:val="clear" w:color="auto" w:fill="auto"/>
            <w:noWrap/>
            <w:vAlign w:val="bottom"/>
            <w:hideMark/>
          </w:tcPr>
          <w:p w14:paraId="2785101A" w14:textId="084E9117" w:rsidR="00B621C2" w:rsidRPr="00F54546" w:rsidRDefault="00BD638A"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Treatment s</w:t>
            </w:r>
            <w:r w:rsidR="00B621C2" w:rsidRPr="00F54546">
              <w:rPr>
                <w:rFonts w:ascii="Times New Roman" w:eastAsia="Times New Roman" w:hAnsi="Times New Roman" w:cs="Times New Roman"/>
                <w:color w:val="000000"/>
                <w:sz w:val="22"/>
                <w:szCs w:val="22"/>
                <w:lang w:val="en-GB"/>
              </w:rPr>
              <w:t>witch</w:t>
            </w:r>
          </w:p>
        </w:tc>
        <w:tc>
          <w:tcPr>
            <w:tcW w:w="1843" w:type="dxa"/>
            <w:tcBorders>
              <w:top w:val="nil"/>
              <w:left w:val="nil"/>
              <w:right w:val="nil"/>
            </w:tcBorders>
            <w:shd w:val="clear" w:color="auto" w:fill="auto"/>
            <w:noWrap/>
            <w:vAlign w:val="bottom"/>
            <w:hideMark/>
          </w:tcPr>
          <w:p w14:paraId="36C7707D" w14:textId="3DEEF7E4"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14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12-1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16)</w:t>
            </w:r>
          </w:p>
        </w:tc>
        <w:tc>
          <w:tcPr>
            <w:tcW w:w="1701" w:type="dxa"/>
            <w:tcBorders>
              <w:top w:val="nil"/>
              <w:left w:val="nil"/>
              <w:right w:val="nil"/>
            </w:tcBorders>
            <w:shd w:val="clear" w:color="auto" w:fill="auto"/>
            <w:noWrap/>
            <w:vAlign w:val="bottom"/>
            <w:hideMark/>
          </w:tcPr>
          <w:p w14:paraId="1C334A59" w14:textId="01D3B4CC"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10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06-1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14)</w:t>
            </w:r>
          </w:p>
        </w:tc>
        <w:tc>
          <w:tcPr>
            <w:tcW w:w="1701" w:type="dxa"/>
            <w:tcBorders>
              <w:top w:val="nil"/>
              <w:left w:val="nil"/>
              <w:right w:val="nil"/>
            </w:tcBorders>
            <w:shd w:val="clear" w:color="auto" w:fill="auto"/>
            <w:noWrap/>
            <w:vAlign w:val="bottom"/>
            <w:hideMark/>
          </w:tcPr>
          <w:p w14:paraId="76B7F120" w14:textId="1C64A899"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15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11-1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20)</w:t>
            </w:r>
          </w:p>
        </w:tc>
        <w:tc>
          <w:tcPr>
            <w:tcW w:w="1701" w:type="dxa"/>
            <w:tcBorders>
              <w:top w:val="nil"/>
              <w:left w:val="nil"/>
              <w:right w:val="nil"/>
            </w:tcBorders>
            <w:shd w:val="clear" w:color="auto" w:fill="auto"/>
            <w:noWrap/>
            <w:vAlign w:val="bottom"/>
            <w:hideMark/>
          </w:tcPr>
          <w:p w14:paraId="09AA4CB1" w14:textId="0727904C"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19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15-1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23)</w:t>
            </w:r>
          </w:p>
        </w:tc>
      </w:tr>
      <w:tr w:rsidR="00B621C2" w:rsidRPr="00F54546" w14:paraId="7C5C7EDB" w14:textId="77777777" w:rsidTr="0029797D">
        <w:trPr>
          <w:trHeight w:val="300"/>
        </w:trPr>
        <w:tc>
          <w:tcPr>
            <w:tcW w:w="2127" w:type="dxa"/>
            <w:tcBorders>
              <w:top w:val="nil"/>
              <w:left w:val="nil"/>
              <w:bottom w:val="nil"/>
              <w:right w:val="nil"/>
            </w:tcBorders>
            <w:shd w:val="clear" w:color="auto" w:fill="auto"/>
            <w:noWrap/>
            <w:vAlign w:val="bottom"/>
            <w:hideMark/>
          </w:tcPr>
          <w:p w14:paraId="423AC733" w14:textId="77777777" w:rsidR="00B621C2" w:rsidRDefault="00B621C2"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Main analyses</w:t>
            </w:r>
          </w:p>
          <w:p w14:paraId="166B207A" w14:textId="56D045F6" w:rsidR="0096156C" w:rsidRPr="00F54546" w:rsidRDefault="0096156C" w:rsidP="00B621C2">
            <w:pPr>
              <w:spacing w:after="0" w:line="360" w:lineRule="auto"/>
              <w:ind w:firstLine="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(N=</w:t>
            </w:r>
            <w:r w:rsidRPr="0096156C">
              <w:rPr>
                <w:rFonts w:ascii="Times New Roman" w:eastAsia="Times New Roman" w:hAnsi="Times New Roman" w:cs="Times New Roman"/>
                <w:color w:val="000000"/>
                <w:sz w:val="22"/>
                <w:szCs w:val="22"/>
                <w:lang w:val="en-GB"/>
              </w:rPr>
              <w:t>189,699</w:t>
            </w:r>
            <w:r>
              <w:rPr>
                <w:rFonts w:ascii="Times New Roman" w:eastAsia="Times New Roman" w:hAnsi="Times New Roman" w:cs="Times New Roman"/>
                <w:color w:val="000000"/>
                <w:sz w:val="22"/>
                <w:szCs w:val="22"/>
                <w:lang w:val="en-GB"/>
              </w:rPr>
              <w:t>)</w:t>
            </w:r>
          </w:p>
        </w:tc>
        <w:tc>
          <w:tcPr>
            <w:tcW w:w="4110" w:type="dxa"/>
            <w:tcBorders>
              <w:top w:val="nil"/>
              <w:left w:val="nil"/>
              <w:right w:val="nil"/>
            </w:tcBorders>
            <w:shd w:val="clear" w:color="auto" w:fill="auto"/>
            <w:noWrap/>
            <w:vAlign w:val="bottom"/>
            <w:hideMark/>
          </w:tcPr>
          <w:p w14:paraId="26C9AB6C" w14:textId="6D7199E7" w:rsidR="00B621C2" w:rsidRPr="00F54546" w:rsidRDefault="00BD638A"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Treatment d</w:t>
            </w:r>
            <w:r w:rsidR="00B621C2" w:rsidRPr="00F54546">
              <w:rPr>
                <w:rFonts w:ascii="Times New Roman" w:eastAsia="Times New Roman" w:hAnsi="Times New Roman" w:cs="Times New Roman"/>
                <w:color w:val="000000"/>
                <w:sz w:val="22"/>
                <w:szCs w:val="22"/>
                <w:lang w:val="en-GB"/>
              </w:rPr>
              <w:t>iscontinuation</w:t>
            </w:r>
          </w:p>
        </w:tc>
        <w:tc>
          <w:tcPr>
            <w:tcW w:w="1843" w:type="dxa"/>
            <w:tcBorders>
              <w:top w:val="nil"/>
              <w:left w:val="nil"/>
              <w:right w:val="nil"/>
            </w:tcBorders>
            <w:shd w:val="clear" w:color="auto" w:fill="auto"/>
            <w:noWrap/>
            <w:vAlign w:val="bottom"/>
            <w:hideMark/>
          </w:tcPr>
          <w:p w14:paraId="21C207D2" w14:textId="66B4EBE8"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96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94-0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98)</w:t>
            </w:r>
          </w:p>
        </w:tc>
        <w:tc>
          <w:tcPr>
            <w:tcW w:w="1701" w:type="dxa"/>
            <w:tcBorders>
              <w:top w:val="nil"/>
              <w:left w:val="nil"/>
              <w:right w:val="nil"/>
            </w:tcBorders>
            <w:shd w:val="clear" w:color="auto" w:fill="auto"/>
            <w:noWrap/>
            <w:vAlign w:val="bottom"/>
            <w:hideMark/>
          </w:tcPr>
          <w:p w14:paraId="2BB2BA40" w14:textId="5F9BDF08"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17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12-1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22)</w:t>
            </w:r>
          </w:p>
        </w:tc>
        <w:tc>
          <w:tcPr>
            <w:tcW w:w="1701" w:type="dxa"/>
            <w:tcBorders>
              <w:top w:val="nil"/>
              <w:left w:val="nil"/>
              <w:right w:val="nil"/>
            </w:tcBorders>
            <w:shd w:val="clear" w:color="auto" w:fill="auto"/>
            <w:noWrap/>
            <w:vAlign w:val="bottom"/>
            <w:hideMark/>
          </w:tcPr>
          <w:p w14:paraId="029FF8DE" w14:textId="1F4F745B"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86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83-0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90)</w:t>
            </w:r>
          </w:p>
        </w:tc>
        <w:tc>
          <w:tcPr>
            <w:tcW w:w="1701" w:type="dxa"/>
            <w:tcBorders>
              <w:top w:val="nil"/>
              <w:left w:val="nil"/>
              <w:right w:val="nil"/>
            </w:tcBorders>
            <w:shd w:val="clear" w:color="auto" w:fill="auto"/>
            <w:noWrap/>
            <w:vAlign w:val="bottom"/>
            <w:hideMark/>
          </w:tcPr>
          <w:p w14:paraId="4E1AFCAE" w14:textId="2F520CFF"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89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86-0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92)</w:t>
            </w:r>
          </w:p>
        </w:tc>
      </w:tr>
      <w:tr w:rsidR="00B621C2" w:rsidRPr="00F54546" w14:paraId="53D75CDB" w14:textId="77777777" w:rsidTr="0029797D">
        <w:trPr>
          <w:trHeight w:val="300"/>
        </w:trPr>
        <w:tc>
          <w:tcPr>
            <w:tcW w:w="2127" w:type="dxa"/>
            <w:tcBorders>
              <w:top w:val="nil"/>
              <w:left w:val="nil"/>
              <w:bottom w:val="nil"/>
              <w:right w:val="nil"/>
            </w:tcBorders>
            <w:shd w:val="clear" w:color="auto" w:fill="auto"/>
            <w:noWrap/>
            <w:vAlign w:val="bottom"/>
            <w:hideMark/>
          </w:tcPr>
          <w:p w14:paraId="2DA38DEF" w14:textId="378BFC66" w:rsidR="00B621C2" w:rsidRDefault="00B621C2"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Sensitivity 1</w:t>
            </w:r>
            <w:r w:rsidR="00EE6598" w:rsidRPr="00460AB8">
              <w:rPr>
                <w:rFonts w:ascii="Times New Roman" w:eastAsia="Times New Roman" w:hAnsi="Times New Roman" w:cs="Times New Roman"/>
                <w:color w:val="000000"/>
                <w:sz w:val="22"/>
                <w:szCs w:val="22"/>
                <w:lang w:val="en-GB"/>
              </w:rPr>
              <w:t>†</w:t>
            </w:r>
          </w:p>
          <w:p w14:paraId="513EF7DD" w14:textId="052C1CA4" w:rsidR="0096156C" w:rsidRPr="00F54546" w:rsidRDefault="0096156C" w:rsidP="00B621C2">
            <w:pPr>
              <w:spacing w:after="0" w:line="360" w:lineRule="auto"/>
              <w:ind w:firstLine="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(N=</w:t>
            </w:r>
            <w:r w:rsidRPr="0096156C">
              <w:rPr>
                <w:rFonts w:ascii="Times New Roman" w:eastAsia="Times New Roman" w:hAnsi="Times New Roman" w:cs="Times New Roman"/>
                <w:color w:val="000000"/>
                <w:sz w:val="22"/>
                <w:szCs w:val="22"/>
                <w:lang w:val="en-GB"/>
              </w:rPr>
              <w:t>189,699</w:t>
            </w:r>
            <w:r>
              <w:rPr>
                <w:rFonts w:ascii="Times New Roman" w:eastAsia="Times New Roman" w:hAnsi="Times New Roman" w:cs="Times New Roman"/>
                <w:color w:val="000000"/>
                <w:sz w:val="22"/>
                <w:szCs w:val="22"/>
                <w:lang w:val="en-GB"/>
              </w:rPr>
              <w:t>)</w:t>
            </w:r>
          </w:p>
        </w:tc>
        <w:tc>
          <w:tcPr>
            <w:tcW w:w="4110" w:type="dxa"/>
            <w:tcBorders>
              <w:top w:val="nil"/>
              <w:left w:val="nil"/>
              <w:right w:val="nil"/>
            </w:tcBorders>
            <w:shd w:val="clear" w:color="auto" w:fill="auto"/>
            <w:noWrap/>
            <w:vAlign w:val="bottom"/>
            <w:hideMark/>
          </w:tcPr>
          <w:p w14:paraId="77B7AFE6" w14:textId="6045C0CE" w:rsidR="00B621C2" w:rsidRPr="00F54546" w:rsidRDefault="00BD638A"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Treatment d</w:t>
            </w:r>
            <w:r w:rsidR="00B621C2" w:rsidRPr="00F54546">
              <w:rPr>
                <w:rFonts w:ascii="Times New Roman" w:eastAsia="Times New Roman" w:hAnsi="Times New Roman" w:cs="Times New Roman"/>
                <w:color w:val="000000"/>
                <w:sz w:val="22"/>
                <w:szCs w:val="22"/>
                <w:lang w:val="en-GB"/>
              </w:rPr>
              <w:t>iscontinuation</w:t>
            </w:r>
          </w:p>
        </w:tc>
        <w:tc>
          <w:tcPr>
            <w:tcW w:w="1843" w:type="dxa"/>
            <w:tcBorders>
              <w:top w:val="nil"/>
              <w:left w:val="nil"/>
              <w:right w:val="nil"/>
            </w:tcBorders>
            <w:shd w:val="clear" w:color="auto" w:fill="auto"/>
            <w:noWrap/>
            <w:vAlign w:val="bottom"/>
            <w:hideMark/>
          </w:tcPr>
          <w:p w14:paraId="5CE409DB" w14:textId="47D91100"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90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89-0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91)</w:t>
            </w:r>
          </w:p>
        </w:tc>
        <w:tc>
          <w:tcPr>
            <w:tcW w:w="1701" w:type="dxa"/>
            <w:tcBorders>
              <w:top w:val="nil"/>
              <w:left w:val="nil"/>
              <w:right w:val="nil"/>
            </w:tcBorders>
            <w:shd w:val="clear" w:color="auto" w:fill="auto"/>
            <w:noWrap/>
            <w:vAlign w:val="bottom"/>
            <w:hideMark/>
          </w:tcPr>
          <w:p w14:paraId="335B07C7" w14:textId="18177C9C"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07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04-1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10)</w:t>
            </w:r>
          </w:p>
        </w:tc>
        <w:tc>
          <w:tcPr>
            <w:tcW w:w="1701" w:type="dxa"/>
            <w:tcBorders>
              <w:top w:val="nil"/>
              <w:left w:val="nil"/>
              <w:right w:val="nil"/>
            </w:tcBorders>
            <w:shd w:val="clear" w:color="auto" w:fill="auto"/>
            <w:noWrap/>
            <w:vAlign w:val="bottom"/>
            <w:hideMark/>
          </w:tcPr>
          <w:p w14:paraId="46462260" w14:textId="7DC3F154"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88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85-0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90)</w:t>
            </w:r>
          </w:p>
        </w:tc>
        <w:tc>
          <w:tcPr>
            <w:tcW w:w="1701" w:type="dxa"/>
            <w:tcBorders>
              <w:top w:val="nil"/>
              <w:left w:val="nil"/>
              <w:right w:val="nil"/>
            </w:tcBorders>
            <w:shd w:val="clear" w:color="auto" w:fill="auto"/>
            <w:noWrap/>
            <w:vAlign w:val="bottom"/>
            <w:hideMark/>
          </w:tcPr>
          <w:p w14:paraId="0BA1A8DA" w14:textId="10369B05"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87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85-0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89)</w:t>
            </w:r>
          </w:p>
        </w:tc>
      </w:tr>
      <w:tr w:rsidR="00BD638A" w:rsidRPr="00F54546" w14:paraId="2C453097" w14:textId="77777777" w:rsidTr="0029797D">
        <w:trPr>
          <w:trHeight w:val="300"/>
        </w:trPr>
        <w:tc>
          <w:tcPr>
            <w:tcW w:w="2127" w:type="dxa"/>
            <w:tcBorders>
              <w:top w:val="nil"/>
              <w:left w:val="nil"/>
              <w:right w:val="nil"/>
            </w:tcBorders>
            <w:shd w:val="clear" w:color="auto" w:fill="auto"/>
            <w:noWrap/>
            <w:vAlign w:val="bottom"/>
            <w:hideMark/>
          </w:tcPr>
          <w:p w14:paraId="0812171A" w14:textId="61B0246A" w:rsidR="00B621C2" w:rsidRPr="00F54546" w:rsidRDefault="00B621C2"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Sensitivity 2</w:t>
            </w:r>
            <w:r w:rsidR="00EE6598" w:rsidRPr="00EE6598">
              <w:rPr>
                <w:rFonts w:ascii="Times New Roman" w:eastAsia="Times New Roman" w:hAnsi="Times New Roman" w:cs="Times New Roman"/>
                <w:color w:val="000000"/>
                <w:sz w:val="22"/>
                <w:szCs w:val="22"/>
                <w:lang w:val="en-GB"/>
              </w:rPr>
              <w:t xml:space="preserve">‡ </w:t>
            </w:r>
            <w:r w:rsidR="0096156C">
              <w:rPr>
                <w:rFonts w:ascii="Times New Roman" w:eastAsia="Times New Roman" w:hAnsi="Times New Roman" w:cs="Times New Roman"/>
                <w:color w:val="000000"/>
                <w:sz w:val="22"/>
                <w:szCs w:val="22"/>
                <w:lang w:val="en-GB"/>
              </w:rPr>
              <w:t>(N=183,420)</w:t>
            </w:r>
          </w:p>
        </w:tc>
        <w:tc>
          <w:tcPr>
            <w:tcW w:w="4110" w:type="dxa"/>
            <w:tcBorders>
              <w:top w:val="nil"/>
              <w:left w:val="nil"/>
              <w:right w:val="nil"/>
            </w:tcBorders>
            <w:shd w:val="clear" w:color="auto" w:fill="auto"/>
            <w:noWrap/>
            <w:vAlign w:val="bottom"/>
            <w:hideMark/>
          </w:tcPr>
          <w:p w14:paraId="390CF63F" w14:textId="21A1F690" w:rsidR="00B621C2" w:rsidRPr="00F54546" w:rsidRDefault="00BD638A"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Treatment s</w:t>
            </w:r>
            <w:r w:rsidR="00B621C2" w:rsidRPr="00F54546">
              <w:rPr>
                <w:rFonts w:ascii="Times New Roman" w:eastAsia="Times New Roman" w:hAnsi="Times New Roman" w:cs="Times New Roman"/>
                <w:color w:val="000000"/>
                <w:sz w:val="22"/>
                <w:szCs w:val="22"/>
                <w:lang w:val="en-GB"/>
              </w:rPr>
              <w:t>witch</w:t>
            </w:r>
          </w:p>
        </w:tc>
        <w:tc>
          <w:tcPr>
            <w:tcW w:w="1843" w:type="dxa"/>
            <w:tcBorders>
              <w:top w:val="nil"/>
              <w:left w:val="nil"/>
              <w:right w:val="nil"/>
            </w:tcBorders>
            <w:shd w:val="clear" w:color="auto" w:fill="auto"/>
            <w:noWrap/>
            <w:vAlign w:val="bottom"/>
            <w:hideMark/>
          </w:tcPr>
          <w:p w14:paraId="414F9266" w14:textId="32951727"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15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12-1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17)</w:t>
            </w:r>
          </w:p>
        </w:tc>
        <w:tc>
          <w:tcPr>
            <w:tcW w:w="1701" w:type="dxa"/>
            <w:tcBorders>
              <w:top w:val="nil"/>
              <w:left w:val="nil"/>
              <w:right w:val="nil"/>
            </w:tcBorders>
            <w:shd w:val="clear" w:color="auto" w:fill="auto"/>
            <w:noWrap/>
            <w:vAlign w:val="bottom"/>
            <w:hideMark/>
          </w:tcPr>
          <w:p w14:paraId="24B01FC9" w14:textId="136B18F0"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10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06-1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14)</w:t>
            </w:r>
          </w:p>
        </w:tc>
        <w:tc>
          <w:tcPr>
            <w:tcW w:w="1701" w:type="dxa"/>
            <w:tcBorders>
              <w:top w:val="nil"/>
              <w:left w:val="nil"/>
              <w:right w:val="nil"/>
            </w:tcBorders>
            <w:shd w:val="clear" w:color="auto" w:fill="auto"/>
            <w:noWrap/>
            <w:vAlign w:val="bottom"/>
            <w:hideMark/>
          </w:tcPr>
          <w:p w14:paraId="13C01580" w14:textId="48C3B283"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16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11-1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20)</w:t>
            </w:r>
          </w:p>
        </w:tc>
        <w:tc>
          <w:tcPr>
            <w:tcW w:w="1701" w:type="dxa"/>
            <w:tcBorders>
              <w:top w:val="nil"/>
              <w:left w:val="nil"/>
              <w:right w:val="nil"/>
            </w:tcBorders>
            <w:shd w:val="clear" w:color="auto" w:fill="auto"/>
            <w:noWrap/>
            <w:vAlign w:val="bottom"/>
            <w:hideMark/>
          </w:tcPr>
          <w:p w14:paraId="4B057ACF" w14:textId="6D6C91A4"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19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16-1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22)</w:t>
            </w:r>
          </w:p>
        </w:tc>
      </w:tr>
      <w:tr w:rsidR="00BD638A" w:rsidRPr="00F54546" w14:paraId="4032454E" w14:textId="77777777" w:rsidTr="0029797D">
        <w:trPr>
          <w:trHeight w:val="300"/>
        </w:trPr>
        <w:tc>
          <w:tcPr>
            <w:tcW w:w="2127" w:type="dxa"/>
            <w:tcBorders>
              <w:top w:val="nil"/>
              <w:left w:val="nil"/>
              <w:bottom w:val="single" w:sz="12" w:space="0" w:color="auto"/>
              <w:right w:val="nil"/>
            </w:tcBorders>
            <w:shd w:val="clear" w:color="auto" w:fill="auto"/>
            <w:noWrap/>
            <w:vAlign w:val="bottom"/>
            <w:hideMark/>
          </w:tcPr>
          <w:p w14:paraId="166645C6" w14:textId="432BBAA4" w:rsidR="00B621C2" w:rsidRDefault="00B621C2"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Sensitivity 2</w:t>
            </w:r>
            <w:r w:rsidR="00EE6598" w:rsidRPr="00EE6598">
              <w:rPr>
                <w:rFonts w:ascii="Times New Roman" w:eastAsia="Times New Roman" w:hAnsi="Times New Roman" w:cs="Times New Roman"/>
                <w:color w:val="000000"/>
                <w:sz w:val="22"/>
                <w:szCs w:val="22"/>
                <w:lang w:val="en-GB"/>
              </w:rPr>
              <w:t>‡</w:t>
            </w:r>
          </w:p>
          <w:p w14:paraId="1FA1EBD6" w14:textId="71AB803A" w:rsidR="0096156C" w:rsidRPr="00F54546" w:rsidRDefault="0096156C" w:rsidP="00B621C2">
            <w:pPr>
              <w:spacing w:after="0" w:line="360" w:lineRule="auto"/>
              <w:ind w:firstLine="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(N=183,420)</w:t>
            </w:r>
          </w:p>
        </w:tc>
        <w:tc>
          <w:tcPr>
            <w:tcW w:w="4110" w:type="dxa"/>
            <w:tcBorders>
              <w:top w:val="nil"/>
              <w:left w:val="nil"/>
              <w:bottom w:val="single" w:sz="12" w:space="0" w:color="auto"/>
              <w:right w:val="nil"/>
            </w:tcBorders>
            <w:shd w:val="clear" w:color="auto" w:fill="auto"/>
            <w:noWrap/>
            <w:vAlign w:val="bottom"/>
            <w:hideMark/>
          </w:tcPr>
          <w:p w14:paraId="21E12BDD" w14:textId="1772CB2A" w:rsidR="00B621C2" w:rsidRPr="00F54546" w:rsidRDefault="00BD638A" w:rsidP="00B621C2">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Treatment d</w:t>
            </w:r>
            <w:r w:rsidR="00B621C2" w:rsidRPr="00F54546">
              <w:rPr>
                <w:rFonts w:ascii="Times New Roman" w:eastAsia="Times New Roman" w:hAnsi="Times New Roman" w:cs="Times New Roman"/>
                <w:color w:val="000000"/>
                <w:sz w:val="22"/>
                <w:szCs w:val="22"/>
                <w:lang w:val="en-GB"/>
              </w:rPr>
              <w:t>iscontinuation</w:t>
            </w:r>
          </w:p>
        </w:tc>
        <w:tc>
          <w:tcPr>
            <w:tcW w:w="1843" w:type="dxa"/>
            <w:tcBorders>
              <w:top w:val="nil"/>
              <w:left w:val="nil"/>
              <w:bottom w:val="single" w:sz="12" w:space="0" w:color="auto"/>
              <w:right w:val="nil"/>
            </w:tcBorders>
            <w:shd w:val="clear" w:color="auto" w:fill="auto"/>
            <w:noWrap/>
            <w:vAlign w:val="bottom"/>
            <w:hideMark/>
          </w:tcPr>
          <w:p w14:paraId="565C7CD3" w14:textId="28649EA8"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90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88-0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92)</w:t>
            </w:r>
          </w:p>
        </w:tc>
        <w:tc>
          <w:tcPr>
            <w:tcW w:w="1701" w:type="dxa"/>
            <w:tcBorders>
              <w:top w:val="nil"/>
              <w:left w:val="nil"/>
              <w:bottom w:val="single" w:sz="12" w:space="0" w:color="auto"/>
              <w:right w:val="nil"/>
            </w:tcBorders>
            <w:shd w:val="clear" w:color="auto" w:fill="auto"/>
            <w:noWrap/>
            <w:vAlign w:val="bottom"/>
            <w:hideMark/>
          </w:tcPr>
          <w:p w14:paraId="352D85B1" w14:textId="71AC1626"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04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99-1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09)</w:t>
            </w:r>
          </w:p>
        </w:tc>
        <w:tc>
          <w:tcPr>
            <w:tcW w:w="1701" w:type="dxa"/>
            <w:tcBorders>
              <w:top w:val="nil"/>
              <w:left w:val="nil"/>
              <w:bottom w:val="single" w:sz="12" w:space="0" w:color="auto"/>
              <w:right w:val="nil"/>
            </w:tcBorders>
            <w:shd w:val="clear" w:color="auto" w:fill="auto"/>
            <w:noWrap/>
            <w:vAlign w:val="bottom"/>
            <w:hideMark/>
          </w:tcPr>
          <w:p w14:paraId="2E6EA561" w14:textId="237AC4F5"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83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80-0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86)</w:t>
            </w:r>
          </w:p>
        </w:tc>
        <w:tc>
          <w:tcPr>
            <w:tcW w:w="1701" w:type="dxa"/>
            <w:tcBorders>
              <w:top w:val="nil"/>
              <w:left w:val="nil"/>
              <w:bottom w:val="single" w:sz="12" w:space="0" w:color="auto"/>
              <w:right w:val="nil"/>
            </w:tcBorders>
            <w:shd w:val="clear" w:color="auto" w:fill="auto"/>
            <w:noWrap/>
            <w:vAlign w:val="bottom"/>
            <w:hideMark/>
          </w:tcPr>
          <w:p w14:paraId="65CB380D" w14:textId="017514D1" w:rsidR="00B621C2" w:rsidRPr="00F54546" w:rsidRDefault="00B621C2" w:rsidP="00BD638A">
            <w:pPr>
              <w:spacing w:after="0" w:line="360" w:lineRule="auto"/>
              <w:ind w:firstLine="0"/>
              <w:jc w:val="center"/>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85 (0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83-0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88)</w:t>
            </w:r>
          </w:p>
        </w:tc>
      </w:tr>
    </w:tbl>
    <w:p w14:paraId="76844DF0" w14:textId="2F70DDB9" w:rsidR="006660E9" w:rsidRDefault="006660E9" w:rsidP="00BD638A">
      <w:pPr>
        <w:pStyle w:val="NoSpacing"/>
        <w:spacing w:line="240" w:lineRule="auto"/>
        <w:ind w:firstLine="0"/>
        <w:rPr>
          <w:i/>
          <w:iCs/>
          <w:sz w:val="22"/>
          <w:szCs w:val="22"/>
          <w:lang w:val="en-GB"/>
        </w:rPr>
      </w:pPr>
      <w:r>
        <w:rPr>
          <w:lang w:val="en-GB"/>
        </w:rPr>
        <w:t>All models were adjusted for</w:t>
      </w:r>
      <w:r w:rsidRPr="0096156C">
        <w:t xml:space="preserve"> </w:t>
      </w:r>
      <w:r w:rsidRPr="0096156C">
        <w:rPr>
          <w:lang w:val="en-GB"/>
        </w:rPr>
        <w:t>sex, age, and calendar year</w:t>
      </w:r>
      <w:r>
        <w:rPr>
          <w:lang w:val="en-GB"/>
        </w:rPr>
        <w:t>.</w:t>
      </w:r>
    </w:p>
    <w:p w14:paraId="4805763E" w14:textId="62A6DABD" w:rsidR="00EE6598" w:rsidRDefault="00EE6598" w:rsidP="00BD638A">
      <w:pPr>
        <w:pStyle w:val="NoSpacing"/>
        <w:spacing w:line="240" w:lineRule="auto"/>
        <w:ind w:firstLine="0"/>
        <w:rPr>
          <w:sz w:val="22"/>
          <w:szCs w:val="22"/>
          <w:lang w:val="en-GB"/>
        </w:rPr>
      </w:pPr>
      <w:r w:rsidRPr="00460AB8">
        <w:rPr>
          <w:rFonts w:eastAsia="Times New Roman"/>
          <w:color w:val="000000"/>
          <w:sz w:val="22"/>
          <w:szCs w:val="22"/>
          <w:lang w:val="en-GB"/>
        </w:rPr>
        <w:t>†</w:t>
      </w:r>
      <w:r>
        <w:rPr>
          <w:sz w:val="22"/>
          <w:szCs w:val="22"/>
          <w:lang w:val="en-GB"/>
        </w:rPr>
        <w:t xml:space="preserve">Model defining </w:t>
      </w:r>
      <w:r w:rsidR="00BD638A" w:rsidRPr="00F54546">
        <w:rPr>
          <w:sz w:val="22"/>
          <w:szCs w:val="22"/>
          <w:lang w:val="en-GB"/>
        </w:rPr>
        <w:t>treatment discontinuation as a gap of ≥90 days</w:t>
      </w:r>
    </w:p>
    <w:p w14:paraId="6215F3AE" w14:textId="24368AFD" w:rsidR="00EE6598" w:rsidRDefault="00EE6598" w:rsidP="00BD638A">
      <w:pPr>
        <w:pStyle w:val="NoSpacing"/>
        <w:spacing w:line="240" w:lineRule="auto"/>
        <w:ind w:firstLine="0"/>
        <w:rPr>
          <w:lang w:val="en-GB"/>
        </w:rPr>
      </w:pPr>
      <w:r w:rsidRPr="00EE6598">
        <w:rPr>
          <w:rFonts w:eastAsia="Times New Roman"/>
          <w:color w:val="000000"/>
          <w:sz w:val="22"/>
          <w:szCs w:val="22"/>
        </w:rPr>
        <w:t>‡</w:t>
      </w:r>
      <w:r>
        <w:rPr>
          <w:sz w:val="22"/>
          <w:szCs w:val="22"/>
          <w:lang w:val="en-GB"/>
        </w:rPr>
        <w:t xml:space="preserve">Model </w:t>
      </w:r>
      <w:r w:rsidR="00BD638A" w:rsidRPr="00F54546">
        <w:rPr>
          <w:sz w:val="22"/>
          <w:szCs w:val="22"/>
          <w:lang w:val="en-GB"/>
        </w:rPr>
        <w:t>exclud</w:t>
      </w:r>
      <w:r w:rsidR="0029797D">
        <w:rPr>
          <w:sz w:val="22"/>
          <w:szCs w:val="22"/>
          <w:lang w:val="en-GB"/>
        </w:rPr>
        <w:t>ing</w:t>
      </w:r>
      <w:r w:rsidR="00BD638A" w:rsidRPr="00F54546">
        <w:rPr>
          <w:sz w:val="22"/>
          <w:szCs w:val="22"/>
          <w:lang w:val="en-GB"/>
        </w:rPr>
        <w:t xml:space="preserve"> </w:t>
      </w:r>
      <w:r w:rsidR="0020127E" w:rsidRPr="00F54546">
        <w:rPr>
          <w:lang w:val="en-GB"/>
        </w:rPr>
        <w:t>single-prescription discontinuers.</w:t>
      </w:r>
    </w:p>
    <w:p w14:paraId="555A814F" w14:textId="1A0E67B1" w:rsidR="00B621C2" w:rsidRPr="00F54546" w:rsidRDefault="000246F3" w:rsidP="00BD638A">
      <w:pPr>
        <w:pStyle w:val="NoSpacing"/>
        <w:spacing w:line="240" w:lineRule="auto"/>
        <w:ind w:firstLine="0"/>
        <w:rPr>
          <w:sz w:val="22"/>
          <w:szCs w:val="22"/>
          <w:lang w:val="en-GB"/>
        </w:rPr>
      </w:pPr>
      <w:r>
        <w:rPr>
          <w:lang w:val="en-GB"/>
        </w:rPr>
        <w:t>HR=Hazard ratio; CI=confidence interval</w:t>
      </w:r>
      <w:r w:rsidR="0096156C">
        <w:rPr>
          <w:lang w:val="en-GB"/>
        </w:rPr>
        <w:t>.</w:t>
      </w:r>
    </w:p>
    <w:p w14:paraId="3CA7D119" w14:textId="77777777" w:rsidR="004A79FF" w:rsidRPr="00F54546" w:rsidRDefault="004A79FF" w:rsidP="00BD638A">
      <w:pPr>
        <w:pStyle w:val="NoSpacing"/>
        <w:spacing w:line="240" w:lineRule="auto"/>
        <w:ind w:firstLine="0"/>
        <w:rPr>
          <w:sz w:val="22"/>
          <w:szCs w:val="22"/>
          <w:lang w:val="en-GB"/>
        </w:rPr>
      </w:pPr>
    </w:p>
    <w:p w14:paraId="5F704285" w14:textId="77777777" w:rsidR="00E870EA" w:rsidRDefault="00E870EA">
      <w:pPr>
        <w:spacing w:line="259" w:lineRule="auto"/>
        <w:ind w:firstLine="0"/>
        <w:rPr>
          <w:rFonts w:ascii="Times New Roman" w:hAnsi="Times New Roman" w:cs="Times New Roman"/>
          <w:b/>
          <w:bCs/>
          <w:sz w:val="22"/>
          <w:szCs w:val="22"/>
          <w:lang w:val="en-GB"/>
        </w:rPr>
      </w:pPr>
      <w:r>
        <w:rPr>
          <w:b/>
          <w:bCs/>
          <w:sz w:val="22"/>
          <w:szCs w:val="22"/>
          <w:lang w:val="en-GB"/>
        </w:rPr>
        <w:br w:type="page"/>
      </w:r>
    </w:p>
    <w:p w14:paraId="728A1146" w14:textId="157229B3" w:rsidR="004A79FF" w:rsidRPr="00F54546" w:rsidRDefault="004A79FF" w:rsidP="00BD638A">
      <w:pPr>
        <w:pStyle w:val="NoSpacing"/>
        <w:spacing w:line="240" w:lineRule="auto"/>
        <w:ind w:firstLine="0"/>
        <w:rPr>
          <w:sz w:val="22"/>
          <w:szCs w:val="22"/>
          <w:lang w:val="en-GB"/>
        </w:rPr>
      </w:pPr>
      <w:r w:rsidRPr="00F54546">
        <w:rPr>
          <w:b/>
          <w:bCs/>
          <w:sz w:val="22"/>
          <w:szCs w:val="22"/>
          <w:lang w:val="en-GB"/>
        </w:rPr>
        <w:lastRenderedPageBreak/>
        <w:t xml:space="preserve">Table </w:t>
      </w:r>
      <w:r w:rsidR="00F72086">
        <w:rPr>
          <w:b/>
          <w:bCs/>
          <w:sz w:val="22"/>
          <w:szCs w:val="22"/>
          <w:lang w:val="en-GB"/>
        </w:rPr>
        <w:t>4</w:t>
      </w:r>
      <w:r w:rsidRPr="00F54546">
        <w:rPr>
          <w:sz w:val="22"/>
          <w:szCs w:val="22"/>
          <w:lang w:val="en-GB"/>
        </w:rPr>
        <w:t>. Results from the quasi-Poisson model stratified by age.</w:t>
      </w:r>
    </w:p>
    <w:tbl>
      <w:tblPr>
        <w:tblW w:w="13746" w:type="dxa"/>
        <w:tblLook w:val="04A0" w:firstRow="1" w:lastRow="0" w:firstColumn="1" w:lastColumn="0" w:noHBand="0" w:noVBand="1"/>
      </w:tblPr>
      <w:tblGrid>
        <w:gridCol w:w="1780"/>
        <w:gridCol w:w="3465"/>
        <w:gridCol w:w="2133"/>
        <w:gridCol w:w="2120"/>
        <w:gridCol w:w="2120"/>
        <w:gridCol w:w="2128"/>
      </w:tblGrid>
      <w:tr w:rsidR="004A79FF" w:rsidRPr="00F54546" w14:paraId="5CD917B1" w14:textId="77777777" w:rsidTr="00295D31">
        <w:trPr>
          <w:trHeight w:val="300"/>
        </w:trPr>
        <w:tc>
          <w:tcPr>
            <w:tcW w:w="1780" w:type="dxa"/>
            <w:tcBorders>
              <w:top w:val="single" w:sz="8" w:space="0" w:color="auto"/>
              <w:left w:val="nil"/>
              <w:bottom w:val="nil"/>
              <w:right w:val="nil"/>
            </w:tcBorders>
            <w:shd w:val="clear" w:color="auto" w:fill="auto"/>
            <w:noWrap/>
            <w:vAlign w:val="bottom"/>
            <w:hideMark/>
          </w:tcPr>
          <w:p w14:paraId="332F745F" w14:textId="77777777" w:rsidR="004A79FF" w:rsidRPr="00F54546" w:rsidRDefault="004A79FF" w:rsidP="00CA300D">
            <w:pPr>
              <w:spacing w:after="0" w:line="360" w:lineRule="auto"/>
              <w:ind w:firstLine="0"/>
              <w:rPr>
                <w:rFonts w:ascii="Times New Roman" w:eastAsia="Times New Roman" w:hAnsi="Times New Roman" w:cs="Times New Roman"/>
                <w:sz w:val="22"/>
                <w:szCs w:val="22"/>
                <w:lang w:val="en-GB"/>
              </w:rPr>
            </w:pPr>
          </w:p>
        </w:tc>
        <w:tc>
          <w:tcPr>
            <w:tcW w:w="3465" w:type="dxa"/>
            <w:tcBorders>
              <w:top w:val="single" w:sz="4" w:space="0" w:color="auto"/>
              <w:left w:val="nil"/>
              <w:bottom w:val="nil"/>
              <w:right w:val="nil"/>
            </w:tcBorders>
            <w:shd w:val="clear" w:color="auto" w:fill="auto"/>
            <w:noWrap/>
            <w:vAlign w:val="bottom"/>
            <w:hideMark/>
          </w:tcPr>
          <w:p w14:paraId="3E903781" w14:textId="77777777" w:rsidR="004A79FF" w:rsidRPr="00F54546" w:rsidRDefault="004A79FF" w:rsidP="00CA300D">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 </w:t>
            </w:r>
          </w:p>
        </w:tc>
        <w:tc>
          <w:tcPr>
            <w:tcW w:w="8497" w:type="dxa"/>
            <w:gridSpan w:val="4"/>
            <w:tcBorders>
              <w:top w:val="single" w:sz="8" w:space="0" w:color="auto"/>
              <w:left w:val="nil"/>
              <w:bottom w:val="single" w:sz="4" w:space="0" w:color="auto"/>
              <w:right w:val="nil"/>
            </w:tcBorders>
            <w:shd w:val="clear" w:color="auto" w:fill="auto"/>
            <w:noWrap/>
            <w:vAlign w:val="bottom"/>
            <w:hideMark/>
          </w:tcPr>
          <w:p w14:paraId="3DAE2548" w14:textId="77777777" w:rsidR="004A79FF" w:rsidRPr="00F54546" w:rsidRDefault="004A79FF" w:rsidP="00CA300D">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IRR (95% CI)</w:t>
            </w:r>
          </w:p>
        </w:tc>
      </w:tr>
      <w:tr w:rsidR="004A79FF" w:rsidRPr="00F54546" w14:paraId="48345299" w14:textId="77777777" w:rsidTr="00295D31">
        <w:trPr>
          <w:trHeight w:val="300"/>
        </w:trPr>
        <w:tc>
          <w:tcPr>
            <w:tcW w:w="1780" w:type="dxa"/>
            <w:tcBorders>
              <w:top w:val="nil"/>
              <w:left w:val="nil"/>
              <w:bottom w:val="single" w:sz="4" w:space="0" w:color="auto"/>
              <w:right w:val="nil"/>
            </w:tcBorders>
            <w:shd w:val="clear" w:color="auto" w:fill="auto"/>
            <w:noWrap/>
            <w:vAlign w:val="bottom"/>
            <w:hideMark/>
          </w:tcPr>
          <w:p w14:paraId="0F6EC7A8" w14:textId="21381601" w:rsidR="004A79FF" w:rsidRPr="00F54546" w:rsidRDefault="004A79FF" w:rsidP="00CA300D">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b/>
                <w:bCs/>
                <w:color w:val="000000"/>
                <w:sz w:val="22"/>
                <w:szCs w:val="22"/>
                <w:lang w:val="en-GB"/>
              </w:rPr>
              <w:t>Analysis</w:t>
            </w:r>
          </w:p>
        </w:tc>
        <w:tc>
          <w:tcPr>
            <w:tcW w:w="3465" w:type="dxa"/>
            <w:tcBorders>
              <w:top w:val="nil"/>
              <w:left w:val="nil"/>
              <w:bottom w:val="single" w:sz="4" w:space="0" w:color="auto"/>
              <w:right w:val="nil"/>
            </w:tcBorders>
            <w:shd w:val="clear" w:color="auto" w:fill="auto"/>
            <w:noWrap/>
            <w:vAlign w:val="bottom"/>
            <w:hideMark/>
          </w:tcPr>
          <w:p w14:paraId="27EE3028" w14:textId="77777777" w:rsidR="004A79FF" w:rsidRPr="00F54546" w:rsidRDefault="004A79FF" w:rsidP="00CA300D">
            <w:pPr>
              <w:spacing w:after="0" w:line="360" w:lineRule="auto"/>
              <w:ind w:firstLine="0"/>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Outcome</w:t>
            </w:r>
          </w:p>
        </w:tc>
        <w:tc>
          <w:tcPr>
            <w:tcW w:w="2133" w:type="dxa"/>
            <w:tcBorders>
              <w:top w:val="nil"/>
              <w:left w:val="nil"/>
              <w:bottom w:val="single" w:sz="4" w:space="0" w:color="auto"/>
              <w:right w:val="nil"/>
            </w:tcBorders>
            <w:shd w:val="clear" w:color="auto" w:fill="auto"/>
            <w:noWrap/>
            <w:vAlign w:val="bottom"/>
            <w:hideMark/>
          </w:tcPr>
          <w:p w14:paraId="6A9E5FAD" w14:textId="77777777" w:rsidR="004A79FF" w:rsidRDefault="004A79FF" w:rsidP="00CA300D">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Overall</w:t>
            </w:r>
          </w:p>
          <w:p w14:paraId="77BA23E1" w14:textId="624646CA" w:rsidR="0096156C" w:rsidRPr="00F54546" w:rsidRDefault="0096156C" w:rsidP="00CA300D">
            <w:pPr>
              <w:spacing w:after="0" w:line="360" w:lineRule="auto"/>
              <w:ind w:firstLine="0"/>
              <w:jc w:val="center"/>
              <w:rPr>
                <w:rFonts w:ascii="Times New Roman" w:eastAsia="Times New Roman" w:hAnsi="Times New Roman" w:cs="Times New Roman"/>
                <w:b/>
                <w:bCs/>
                <w:color w:val="000000"/>
                <w:sz w:val="22"/>
                <w:szCs w:val="22"/>
                <w:lang w:val="en-GB"/>
              </w:rPr>
            </w:pPr>
            <w:r>
              <w:rPr>
                <w:rFonts w:ascii="Times New Roman" w:eastAsia="Times New Roman" w:hAnsi="Times New Roman" w:cs="Times New Roman"/>
                <w:color w:val="000000"/>
                <w:sz w:val="22"/>
                <w:szCs w:val="22"/>
                <w:lang w:val="en-GB"/>
              </w:rPr>
              <w:t>(N=</w:t>
            </w:r>
            <w:r w:rsidRPr="0096156C">
              <w:rPr>
                <w:rFonts w:ascii="Times New Roman" w:eastAsia="Times New Roman" w:hAnsi="Times New Roman" w:cs="Times New Roman"/>
                <w:color w:val="000000"/>
                <w:sz w:val="22"/>
                <w:szCs w:val="22"/>
                <w:lang w:val="en-GB"/>
              </w:rPr>
              <w:t>189,699</w:t>
            </w:r>
            <w:r>
              <w:rPr>
                <w:rFonts w:ascii="Times New Roman" w:eastAsia="Times New Roman" w:hAnsi="Times New Roman" w:cs="Times New Roman"/>
                <w:color w:val="000000"/>
                <w:sz w:val="22"/>
                <w:szCs w:val="22"/>
                <w:lang w:val="en-GB"/>
              </w:rPr>
              <w:t>)</w:t>
            </w:r>
          </w:p>
        </w:tc>
        <w:tc>
          <w:tcPr>
            <w:tcW w:w="2120" w:type="dxa"/>
            <w:tcBorders>
              <w:top w:val="nil"/>
              <w:left w:val="nil"/>
              <w:bottom w:val="single" w:sz="4" w:space="0" w:color="auto"/>
              <w:right w:val="nil"/>
            </w:tcBorders>
            <w:shd w:val="clear" w:color="auto" w:fill="auto"/>
            <w:noWrap/>
            <w:vAlign w:val="bottom"/>
            <w:hideMark/>
          </w:tcPr>
          <w:p w14:paraId="196CB3AB" w14:textId="77777777" w:rsidR="004A79FF" w:rsidRDefault="004A79FF" w:rsidP="00CA300D">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Children</w:t>
            </w:r>
          </w:p>
          <w:p w14:paraId="3AFF552A" w14:textId="6E18FD57" w:rsidR="0096156C" w:rsidRPr="00614A70" w:rsidRDefault="0096156C" w:rsidP="00CA300D">
            <w:pPr>
              <w:spacing w:after="0" w:line="360" w:lineRule="auto"/>
              <w:ind w:firstLine="0"/>
              <w:jc w:val="center"/>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(N=50,995)</w:t>
            </w:r>
          </w:p>
        </w:tc>
        <w:tc>
          <w:tcPr>
            <w:tcW w:w="2120" w:type="dxa"/>
            <w:tcBorders>
              <w:top w:val="nil"/>
              <w:left w:val="nil"/>
              <w:bottom w:val="single" w:sz="4" w:space="0" w:color="auto"/>
              <w:right w:val="nil"/>
            </w:tcBorders>
            <w:shd w:val="clear" w:color="auto" w:fill="auto"/>
            <w:noWrap/>
            <w:vAlign w:val="bottom"/>
            <w:hideMark/>
          </w:tcPr>
          <w:p w14:paraId="3AA46951" w14:textId="77777777" w:rsidR="004A79FF" w:rsidRDefault="004A79FF" w:rsidP="00CA300D">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Adolescents</w:t>
            </w:r>
          </w:p>
          <w:p w14:paraId="707311C8" w14:textId="7FAEDB0B" w:rsidR="0096156C" w:rsidRPr="00F54546" w:rsidRDefault="0096156C" w:rsidP="00CA300D">
            <w:pPr>
              <w:spacing w:after="0" w:line="360" w:lineRule="auto"/>
              <w:ind w:firstLine="0"/>
              <w:jc w:val="center"/>
              <w:rPr>
                <w:rFonts w:ascii="Times New Roman" w:eastAsia="Times New Roman" w:hAnsi="Times New Roman" w:cs="Times New Roman"/>
                <w:b/>
                <w:bCs/>
                <w:color w:val="000000"/>
                <w:sz w:val="22"/>
                <w:szCs w:val="22"/>
                <w:lang w:val="en-GB"/>
              </w:rPr>
            </w:pPr>
            <w:r>
              <w:rPr>
                <w:rFonts w:ascii="Times New Roman" w:eastAsia="Times New Roman" w:hAnsi="Times New Roman" w:cs="Times New Roman"/>
                <w:color w:val="000000"/>
                <w:sz w:val="22"/>
                <w:szCs w:val="22"/>
                <w:lang w:val="en-GB"/>
              </w:rPr>
              <w:t>(N=35,681)</w:t>
            </w:r>
          </w:p>
        </w:tc>
        <w:tc>
          <w:tcPr>
            <w:tcW w:w="2128" w:type="dxa"/>
            <w:tcBorders>
              <w:top w:val="nil"/>
              <w:left w:val="nil"/>
              <w:bottom w:val="single" w:sz="4" w:space="0" w:color="auto"/>
              <w:right w:val="nil"/>
            </w:tcBorders>
            <w:shd w:val="clear" w:color="auto" w:fill="auto"/>
            <w:noWrap/>
            <w:vAlign w:val="bottom"/>
            <w:hideMark/>
          </w:tcPr>
          <w:p w14:paraId="56D5F10A" w14:textId="77777777" w:rsidR="004A79FF" w:rsidRDefault="004A79FF" w:rsidP="00CA300D">
            <w:pPr>
              <w:spacing w:after="0" w:line="360" w:lineRule="auto"/>
              <w:ind w:firstLine="0"/>
              <w:jc w:val="center"/>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b/>
                <w:bCs/>
                <w:color w:val="000000"/>
                <w:sz w:val="22"/>
                <w:szCs w:val="22"/>
                <w:lang w:val="en-GB"/>
              </w:rPr>
              <w:t>Adults</w:t>
            </w:r>
          </w:p>
          <w:p w14:paraId="097E2A95" w14:textId="3DA790B8" w:rsidR="0096156C" w:rsidRPr="00F54546" w:rsidRDefault="0096156C" w:rsidP="00CA300D">
            <w:pPr>
              <w:spacing w:after="0" w:line="360" w:lineRule="auto"/>
              <w:ind w:firstLine="0"/>
              <w:jc w:val="center"/>
              <w:rPr>
                <w:rFonts w:ascii="Times New Roman" w:eastAsia="Times New Roman" w:hAnsi="Times New Roman" w:cs="Times New Roman"/>
                <w:b/>
                <w:bCs/>
                <w:color w:val="000000"/>
                <w:sz w:val="22"/>
                <w:szCs w:val="22"/>
                <w:lang w:val="en-GB"/>
              </w:rPr>
            </w:pPr>
            <w:r>
              <w:rPr>
                <w:rFonts w:ascii="Times New Roman" w:eastAsia="Times New Roman" w:hAnsi="Times New Roman" w:cs="Times New Roman"/>
                <w:color w:val="000000"/>
                <w:sz w:val="22"/>
                <w:szCs w:val="22"/>
                <w:lang w:val="en-GB"/>
              </w:rPr>
              <w:t>(N=103,023)</w:t>
            </w:r>
          </w:p>
        </w:tc>
      </w:tr>
      <w:tr w:rsidR="004A79FF" w:rsidRPr="00F54546" w14:paraId="38CA1AF8" w14:textId="77777777" w:rsidTr="00295D31">
        <w:trPr>
          <w:trHeight w:val="300"/>
        </w:trPr>
        <w:tc>
          <w:tcPr>
            <w:tcW w:w="1780" w:type="dxa"/>
            <w:tcBorders>
              <w:top w:val="nil"/>
              <w:left w:val="nil"/>
              <w:bottom w:val="nil"/>
              <w:right w:val="nil"/>
            </w:tcBorders>
            <w:shd w:val="clear" w:color="auto" w:fill="auto"/>
            <w:noWrap/>
            <w:vAlign w:val="bottom"/>
            <w:hideMark/>
          </w:tcPr>
          <w:p w14:paraId="1A518177" w14:textId="094C514A" w:rsidR="004A79FF" w:rsidRPr="00F54546" w:rsidRDefault="004A79FF" w:rsidP="00CA300D">
            <w:pPr>
              <w:spacing w:after="0" w:line="360" w:lineRule="auto"/>
              <w:ind w:firstLine="0"/>
              <w:rPr>
                <w:rFonts w:ascii="Times New Roman" w:eastAsia="Times New Roman" w:hAnsi="Times New Roman" w:cs="Times New Roman"/>
                <w:b/>
                <w:bCs/>
                <w:color w:val="000000"/>
                <w:sz w:val="22"/>
                <w:szCs w:val="22"/>
                <w:lang w:val="en-GB"/>
              </w:rPr>
            </w:pPr>
            <w:r w:rsidRPr="00F54546">
              <w:rPr>
                <w:rFonts w:ascii="Times New Roman" w:eastAsia="Times New Roman" w:hAnsi="Times New Roman" w:cs="Times New Roman"/>
                <w:color w:val="000000"/>
                <w:sz w:val="22"/>
                <w:szCs w:val="22"/>
                <w:lang w:val="en-GB"/>
              </w:rPr>
              <w:t>Main analyses</w:t>
            </w:r>
            <w:r w:rsidR="00460AB8" w:rsidRPr="00460AB8">
              <w:rPr>
                <w:rFonts w:ascii="Times New Roman" w:eastAsia="Times New Roman" w:hAnsi="Times New Roman" w:cs="Times New Roman"/>
                <w:color w:val="000000"/>
                <w:sz w:val="22"/>
                <w:szCs w:val="22"/>
                <w:lang w:val="en-GB"/>
              </w:rPr>
              <w:t>†</w:t>
            </w:r>
          </w:p>
        </w:tc>
        <w:tc>
          <w:tcPr>
            <w:tcW w:w="3465" w:type="dxa"/>
            <w:tcBorders>
              <w:top w:val="nil"/>
              <w:left w:val="nil"/>
              <w:bottom w:val="nil"/>
              <w:right w:val="nil"/>
            </w:tcBorders>
            <w:shd w:val="clear" w:color="auto" w:fill="auto"/>
            <w:noWrap/>
            <w:vAlign w:val="bottom"/>
            <w:hideMark/>
          </w:tcPr>
          <w:p w14:paraId="43E06974" w14:textId="77777777" w:rsidR="004A79FF" w:rsidRPr="00F54546" w:rsidRDefault="004A79FF" w:rsidP="00CA300D">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 xml:space="preserve">Psychiatric inpatient hospitalization </w:t>
            </w:r>
          </w:p>
        </w:tc>
        <w:tc>
          <w:tcPr>
            <w:tcW w:w="2133" w:type="dxa"/>
            <w:tcBorders>
              <w:top w:val="nil"/>
              <w:left w:val="nil"/>
              <w:bottom w:val="nil"/>
              <w:right w:val="nil"/>
            </w:tcBorders>
            <w:shd w:val="clear" w:color="auto" w:fill="auto"/>
            <w:noWrap/>
            <w:vAlign w:val="bottom"/>
            <w:hideMark/>
          </w:tcPr>
          <w:p w14:paraId="133A5BF6" w14:textId="28031050"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9</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68 (9</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57-9</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78)</w:t>
            </w:r>
          </w:p>
        </w:tc>
        <w:tc>
          <w:tcPr>
            <w:tcW w:w="2120" w:type="dxa"/>
            <w:tcBorders>
              <w:top w:val="nil"/>
              <w:left w:val="nil"/>
              <w:bottom w:val="nil"/>
              <w:right w:val="nil"/>
            </w:tcBorders>
            <w:shd w:val="clear" w:color="auto" w:fill="auto"/>
            <w:noWrap/>
            <w:vAlign w:val="bottom"/>
            <w:hideMark/>
          </w:tcPr>
          <w:p w14:paraId="40E6B785" w14:textId="7A820B9C"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7</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21 (7</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10-7</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32)</w:t>
            </w:r>
          </w:p>
        </w:tc>
        <w:tc>
          <w:tcPr>
            <w:tcW w:w="2120" w:type="dxa"/>
            <w:tcBorders>
              <w:top w:val="nil"/>
              <w:left w:val="nil"/>
              <w:bottom w:val="nil"/>
              <w:right w:val="nil"/>
            </w:tcBorders>
            <w:shd w:val="clear" w:color="auto" w:fill="auto"/>
            <w:noWrap/>
            <w:vAlign w:val="bottom"/>
            <w:hideMark/>
          </w:tcPr>
          <w:p w14:paraId="6E1B4A45" w14:textId="3C7D0607"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63 (10</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88-12</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39)</w:t>
            </w:r>
          </w:p>
        </w:tc>
        <w:tc>
          <w:tcPr>
            <w:tcW w:w="2128" w:type="dxa"/>
            <w:tcBorders>
              <w:top w:val="nil"/>
              <w:left w:val="nil"/>
              <w:bottom w:val="nil"/>
              <w:right w:val="nil"/>
            </w:tcBorders>
            <w:shd w:val="clear" w:color="auto" w:fill="auto"/>
            <w:noWrap/>
            <w:vAlign w:val="bottom"/>
            <w:hideMark/>
          </w:tcPr>
          <w:p w14:paraId="27FD3AEB" w14:textId="233B2B81"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8</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89 (8</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43-9</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34)</w:t>
            </w:r>
          </w:p>
        </w:tc>
      </w:tr>
      <w:tr w:rsidR="004A79FF" w:rsidRPr="00F54546" w14:paraId="65CDF886" w14:textId="77777777" w:rsidTr="00295D31">
        <w:trPr>
          <w:trHeight w:val="300"/>
        </w:trPr>
        <w:tc>
          <w:tcPr>
            <w:tcW w:w="1780" w:type="dxa"/>
            <w:tcBorders>
              <w:top w:val="nil"/>
              <w:left w:val="nil"/>
              <w:bottom w:val="nil"/>
              <w:right w:val="nil"/>
            </w:tcBorders>
            <w:shd w:val="clear" w:color="auto" w:fill="auto"/>
            <w:noWrap/>
            <w:vAlign w:val="bottom"/>
            <w:hideMark/>
          </w:tcPr>
          <w:p w14:paraId="3C796E84" w14:textId="465FE001" w:rsidR="004A79FF" w:rsidRPr="00F54546" w:rsidRDefault="004A79FF" w:rsidP="00CA300D">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Main analyses</w:t>
            </w:r>
            <w:r w:rsidR="00460AB8" w:rsidRPr="00460AB8">
              <w:rPr>
                <w:rFonts w:ascii="Times New Roman" w:eastAsia="Times New Roman" w:hAnsi="Times New Roman" w:cs="Times New Roman"/>
                <w:color w:val="000000"/>
                <w:sz w:val="22"/>
                <w:szCs w:val="22"/>
                <w:lang w:val="en-GB"/>
              </w:rPr>
              <w:t>†</w:t>
            </w:r>
          </w:p>
        </w:tc>
        <w:tc>
          <w:tcPr>
            <w:tcW w:w="3465" w:type="dxa"/>
            <w:tcBorders>
              <w:top w:val="nil"/>
              <w:left w:val="nil"/>
              <w:bottom w:val="nil"/>
              <w:right w:val="nil"/>
            </w:tcBorders>
            <w:shd w:val="clear" w:color="auto" w:fill="auto"/>
            <w:noWrap/>
            <w:vAlign w:val="bottom"/>
            <w:hideMark/>
          </w:tcPr>
          <w:p w14:paraId="1991904D" w14:textId="77777777" w:rsidR="004A79FF" w:rsidRPr="00F54546" w:rsidRDefault="004A79FF" w:rsidP="00CA300D">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Injuries/accidents</w:t>
            </w:r>
          </w:p>
        </w:tc>
        <w:tc>
          <w:tcPr>
            <w:tcW w:w="2133" w:type="dxa"/>
            <w:tcBorders>
              <w:top w:val="nil"/>
              <w:left w:val="nil"/>
              <w:bottom w:val="nil"/>
              <w:right w:val="nil"/>
            </w:tcBorders>
            <w:shd w:val="clear" w:color="auto" w:fill="auto"/>
            <w:noWrap/>
            <w:vAlign w:val="bottom"/>
            <w:hideMark/>
          </w:tcPr>
          <w:p w14:paraId="0059A55B" w14:textId="413D9831"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31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27-1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35)</w:t>
            </w:r>
          </w:p>
        </w:tc>
        <w:tc>
          <w:tcPr>
            <w:tcW w:w="2120" w:type="dxa"/>
            <w:tcBorders>
              <w:top w:val="nil"/>
              <w:left w:val="nil"/>
              <w:bottom w:val="nil"/>
              <w:right w:val="nil"/>
            </w:tcBorders>
            <w:shd w:val="clear" w:color="auto" w:fill="auto"/>
            <w:noWrap/>
            <w:vAlign w:val="bottom"/>
            <w:hideMark/>
          </w:tcPr>
          <w:p w14:paraId="0A293D33" w14:textId="47E02D1B"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19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15-1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24)</w:t>
            </w:r>
          </w:p>
        </w:tc>
        <w:tc>
          <w:tcPr>
            <w:tcW w:w="2120" w:type="dxa"/>
            <w:tcBorders>
              <w:top w:val="nil"/>
              <w:left w:val="nil"/>
              <w:bottom w:val="nil"/>
              <w:right w:val="nil"/>
            </w:tcBorders>
            <w:shd w:val="clear" w:color="auto" w:fill="auto"/>
            <w:noWrap/>
            <w:vAlign w:val="bottom"/>
            <w:hideMark/>
          </w:tcPr>
          <w:p w14:paraId="6B1D764A" w14:textId="5577C367"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63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39-1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87)</w:t>
            </w:r>
          </w:p>
        </w:tc>
        <w:tc>
          <w:tcPr>
            <w:tcW w:w="2128" w:type="dxa"/>
            <w:tcBorders>
              <w:top w:val="nil"/>
              <w:left w:val="nil"/>
              <w:bottom w:val="nil"/>
              <w:right w:val="nil"/>
            </w:tcBorders>
            <w:shd w:val="clear" w:color="auto" w:fill="auto"/>
            <w:noWrap/>
            <w:vAlign w:val="bottom"/>
            <w:hideMark/>
          </w:tcPr>
          <w:p w14:paraId="644FD5E7" w14:textId="4AF2AE3F"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65 (1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47-1</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83)</w:t>
            </w:r>
          </w:p>
        </w:tc>
      </w:tr>
      <w:tr w:rsidR="004A79FF" w:rsidRPr="00F54546" w14:paraId="7EAD3AB6" w14:textId="77777777" w:rsidTr="00295D31">
        <w:trPr>
          <w:trHeight w:val="300"/>
        </w:trPr>
        <w:tc>
          <w:tcPr>
            <w:tcW w:w="1780" w:type="dxa"/>
            <w:tcBorders>
              <w:top w:val="nil"/>
              <w:left w:val="nil"/>
              <w:bottom w:val="nil"/>
              <w:right w:val="nil"/>
            </w:tcBorders>
            <w:shd w:val="clear" w:color="auto" w:fill="auto"/>
            <w:noWrap/>
            <w:vAlign w:val="bottom"/>
            <w:hideMark/>
          </w:tcPr>
          <w:p w14:paraId="29C42551" w14:textId="23F86F04" w:rsidR="004A79FF" w:rsidRPr="00F54546" w:rsidRDefault="004A79FF" w:rsidP="00CA300D">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Main analyses</w:t>
            </w:r>
            <w:r w:rsidR="00460AB8" w:rsidRPr="00460AB8">
              <w:rPr>
                <w:rFonts w:ascii="Times New Roman" w:eastAsia="Times New Roman" w:hAnsi="Times New Roman" w:cs="Times New Roman"/>
                <w:color w:val="000000"/>
                <w:sz w:val="22"/>
                <w:szCs w:val="22"/>
                <w:lang w:val="en-GB"/>
              </w:rPr>
              <w:t>†</w:t>
            </w:r>
          </w:p>
        </w:tc>
        <w:tc>
          <w:tcPr>
            <w:tcW w:w="3465" w:type="dxa"/>
            <w:tcBorders>
              <w:top w:val="nil"/>
              <w:left w:val="nil"/>
              <w:bottom w:val="nil"/>
              <w:right w:val="nil"/>
            </w:tcBorders>
            <w:shd w:val="clear" w:color="auto" w:fill="auto"/>
            <w:noWrap/>
            <w:vAlign w:val="bottom"/>
            <w:hideMark/>
          </w:tcPr>
          <w:p w14:paraId="64D858D5" w14:textId="5B7ED75D" w:rsidR="004A79FF" w:rsidRPr="00F54546" w:rsidRDefault="00A81D67" w:rsidP="00CA300D">
            <w:pPr>
              <w:spacing w:after="0" w:line="360" w:lineRule="auto"/>
              <w:ind w:firstLine="0"/>
              <w:rPr>
                <w:rFonts w:ascii="Times New Roman" w:eastAsia="Times New Roman" w:hAnsi="Times New Roman" w:cs="Times New Roman"/>
                <w:color w:val="000000"/>
                <w:sz w:val="22"/>
                <w:szCs w:val="22"/>
                <w:lang w:val="en-GB"/>
              </w:rPr>
            </w:pPr>
            <w:r>
              <w:rPr>
                <w:rFonts w:ascii="Times New Roman" w:hAnsi="Times New Roman" w:cs="Times New Roman"/>
                <w:sz w:val="22"/>
                <w:szCs w:val="22"/>
              </w:rPr>
              <w:t>Substance use disorder</w:t>
            </w:r>
          </w:p>
        </w:tc>
        <w:tc>
          <w:tcPr>
            <w:tcW w:w="2133" w:type="dxa"/>
            <w:tcBorders>
              <w:top w:val="nil"/>
              <w:left w:val="nil"/>
              <w:bottom w:val="nil"/>
              <w:right w:val="nil"/>
            </w:tcBorders>
            <w:shd w:val="clear" w:color="auto" w:fill="auto"/>
            <w:noWrap/>
            <w:vAlign w:val="bottom"/>
            <w:hideMark/>
          </w:tcPr>
          <w:p w14:paraId="5AD4DD5C" w14:textId="6FC87371"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14</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78 (14</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64-14</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91)</w:t>
            </w:r>
          </w:p>
        </w:tc>
        <w:tc>
          <w:tcPr>
            <w:tcW w:w="2120" w:type="dxa"/>
            <w:tcBorders>
              <w:top w:val="nil"/>
              <w:left w:val="nil"/>
              <w:bottom w:val="nil"/>
              <w:right w:val="nil"/>
            </w:tcBorders>
            <w:shd w:val="clear" w:color="auto" w:fill="auto"/>
            <w:noWrap/>
            <w:vAlign w:val="bottom"/>
            <w:hideMark/>
          </w:tcPr>
          <w:p w14:paraId="333D0789" w14:textId="44908E15"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8</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73 (8</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60-8</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85)</w:t>
            </w:r>
          </w:p>
        </w:tc>
        <w:tc>
          <w:tcPr>
            <w:tcW w:w="2120" w:type="dxa"/>
            <w:tcBorders>
              <w:top w:val="nil"/>
              <w:left w:val="nil"/>
              <w:bottom w:val="nil"/>
              <w:right w:val="nil"/>
            </w:tcBorders>
            <w:shd w:val="clear" w:color="auto" w:fill="auto"/>
            <w:noWrap/>
            <w:vAlign w:val="bottom"/>
            <w:hideMark/>
          </w:tcPr>
          <w:p w14:paraId="4756E8F0" w14:textId="0FF8B136"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33</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56 (32</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46-34</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67)</w:t>
            </w:r>
          </w:p>
        </w:tc>
        <w:tc>
          <w:tcPr>
            <w:tcW w:w="2128" w:type="dxa"/>
            <w:tcBorders>
              <w:top w:val="nil"/>
              <w:left w:val="nil"/>
              <w:bottom w:val="nil"/>
              <w:right w:val="nil"/>
            </w:tcBorders>
            <w:shd w:val="clear" w:color="auto" w:fill="auto"/>
            <w:noWrap/>
            <w:vAlign w:val="bottom"/>
            <w:hideMark/>
          </w:tcPr>
          <w:p w14:paraId="6C3314AE" w14:textId="47A5F250" w:rsidR="004A79FF" w:rsidRPr="00F54546" w:rsidRDefault="004A79FF" w:rsidP="00CA300D">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24</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34 (23</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68-24</w:t>
            </w:r>
            <w:r w:rsidR="00C82BFB" w:rsidRPr="00F54546">
              <w:rPr>
                <w:rFonts w:ascii="Times New Roman" w:eastAsia="Times New Roman" w:hAnsi="Times New Roman" w:cs="Times New Roman"/>
                <w:color w:val="000000"/>
                <w:sz w:val="22"/>
                <w:szCs w:val="22"/>
                <w:lang w:val="en-GB"/>
              </w:rPr>
              <w:t>·</w:t>
            </w:r>
            <w:r w:rsidRPr="00F54546">
              <w:rPr>
                <w:rFonts w:ascii="Times New Roman" w:eastAsia="Times New Roman" w:hAnsi="Times New Roman" w:cs="Times New Roman"/>
                <w:color w:val="000000"/>
                <w:sz w:val="22"/>
                <w:szCs w:val="22"/>
                <w:lang w:val="en-GB"/>
              </w:rPr>
              <w:t>99)</w:t>
            </w:r>
          </w:p>
        </w:tc>
      </w:tr>
      <w:tr w:rsidR="008D17AB" w:rsidRPr="008D17AB" w14:paraId="04E65709" w14:textId="77777777" w:rsidTr="00295D31">
        <w:trPr>
          <w:trHeight w:val="300"/>
        </w:trPr>
        <w:tc>
          <w:tcPr>
            <w:tcW w:w="1780" w:type="dxa"/>
            <w:tcBorders>
              <w:top w:val="nil"/>
              <w:left w:val="nil"/>
              <w:bottom w:val="nil"/>
              <w:right w:val="nil"/>
            </w:tcBorders>
            <w:shd w:val="clear" w:color="auto" w:fill="auto"/>
            <w:noWrap/>
            <w:vAlign w:val="bottom"/>
          </w:tcPr>
          <w:p w14:paraId="76989DB8" w14:textId="2A1FDBA2" w:rsidR="008D17AB" w:rsidRPr="00F54546" w:rsidRDefault="008D17AB" w:rsidP="008D17AB">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Main analyses</w:t>
            </w:r>
            <w:r w:rsidRPr="00460AB8">
              <w:rPr>
                <w:rFonts w:ascii="Times New Roman" w:eastAsia="Times New Roman" w:hAnsi="Times New Roman" w:cs="Times New Roman"/>
                <w:color w:val="000000"/>
                <w:sz w:val="22"/>
                <w:szCs w:val="22"/>
                <w:lang w:val="en-GB"/>
              </w:rPr>
              <w:t>†</w:t>
            </w:r>
          </w:p>
        </w:tc>
        <w:tc>
          <w:tcPr>
            <w:tcW w:w="3465" w:type="dxa"/>
            <w:tcBorders>
              <w:top w:val="nil"/>
              <w:left w:val="nil"/>
              <w:bottom w:val="nil"/>
              <w:right w:val="nil"/>
            </w:tcBorders>
            <w:shd w:val="clear" w:color="auto" w:fill="auto"/>
            <w:noWrap/>
            <w:vAlign w:val="bottom"/>
          </w:tcPr>
          <w:p w14:paraId="57E78CAF" w14:textId="3EE0CC2A" w:rsidR="008D17AB" w:rsidRPr="00F54546" w:rsidRDefault="008D17AB" w:rsidP="008D17AB">
            <w:pPr>
              <w:spacing w:after="0" w:line="360" w:lineRule="auto"/>
              <w:ind w:firstLine="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Depression</w:t>
            </w:r>
          </w:p>
        </w:tc>
        <w:tc>
          <w:tcPr>
            <w:tcW w:w="2133" w:type="dxa"/>
            <w:tcBorders>
              <w:top w:val="nil"/>
              <w:left w:val="nil"/>
              <w:bottom w:val="nil"/>
              <w:right w:val="nil"/>
            </w:tcBorders>
            <w:shd w:val="clear" w:color="auto" w:fill="auto"/>
            <w:noWrap/>
          </w:tcPr>
          <w:p w14:paraId="690D04B1" w14:textId="7E6DD8B1"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6</w:t>
            </w:r>
            <w:r w:rsidR="00E150B7">
              <w:rPr>
                <w:rFonts w:ascii="Times New Roman" w:hAnsi="Times New Roman" w:cs="Times New Roman"/>
                <w:sz w:val="22"/>
                <w:szCs w:val="22"/>
              </w:rPr>
              <w:t>·</w:t>
            </w:r>
            <w:r>
              <w:rPr>
                <w:rFonts w:ascii="Times New Roman" w:hAnsi="Times New Roman" w:cs="Times New Roman"/>
                <w:sz w:val="22"/>
                <w:szCs w:val="22"/>
              </w:rPr>
              <w:t>00</w:t>
            </w:r>
            <w:r w:rsidRPr="0018735E">
              <w:rPr>
                <w:rFonts w:ascii="Times New Roman" w:hAnsi="Times New Roman" w:cs="Times New Roman"/>
                <w:sz w:val="22"/>
                <w:szCs w:val="22"/>
              </w:rPr>
              <w:t xml:space="preserve"> (5</w:t>
            </w:r>
            <w:r w:rsidR="00E150B7">
              <w:rPr>
                <w:rFonts w:ascii="Times New Roman" w:hAnsi="Times New Roman" w:cs="Times New Roman"/>
                <w:sz w:val="22"/>
                <w:szCs w:val="22"/>
              </w:rPr>
              <w:t>·</w:t>
            </w:r>
            <w:r w:rsidRPr="0018735E">
              <w:rPr>
                <w:rFonts w:ascii="Times New Roman" w:hAnsi="Times New Roman" w:cs="Times New Roman"/>
                <w:sz w:val="22"/>
                <w:szCs w:val="22"/>
              </w:rPr>
              <w:t>94-6</w:t>
            </w:r>
            <w:r w:rsidR="00E150B7">
              <w:rPr>
                <w:rFonts w:ascii="Times New Roman" w:hAnsi="Times New Roman" w:cs="Times New Roman"/>
                <w:sz w:val="22"/>
                <w:szCs w:val="22"/>
              </w:rPr>
              <w:t>·</w:t>
            </w:r>
            <w:r w:rsidRPr="0018735E">
              <w:rPr>
                <w:rFonts w:ascii="Times New Roman" w:hAnsi="Times New Roman" w:cs="Times New Roman"/>
                <w:sz w:val="22"/>
                <w:szCs w:val="22"/>
              </w:rPr>
              <w:t>06)</w:t>
            </w:r>
          </w:p>
        </w:tc>
        <w:tc>
          <w:tcPr>
            <w:tcW w:w="2120" w:type="dxa"/>
            <w:tcBorders>
              <w:top w:val="nil"/>
              <w:left w:val="nil"/>
              <w:bottom w:val="nil"/>
              <w:right w:val="nil"/>
            </w:tcBorders>
            <w:shd w:val="clear" w:color="auto" w:fill="auto"/>
            <w:noWrap/>
          </w:tcPr>
          <w:p w14:paraId="3379E274" w14:textId="033AD431"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5</w:t>
            </w:r>
            <w:r w:rsidR="00E150B7">
              <w:rPr>
                <w:rFonts w:ascii="Times New Roman" w:hAnsi="Times New Roman" w:cs="Times New Roman"/>
                <w:sz w:val="22"/>
                <w:szCs w:val="22"/>
              </w:rPr>
              <w:t>·</w:t>
            </w:r>
            <w:r w:rsidRPr="0018735E">
              <w:rPr>
                <w:rFonts w:ascii="Times New Roman" w:hAnsi="Times New Roman" w:cs="Times New Roman"/>
                <w:sz w:val="22"/>
                <w:szCs w:val="22"/>
              </w:rPr>
              <w:t>37 (5</w:t>
            </w:r>
            <w:r w:rsidR="00E150B7">
              <w:rPr>
                <w:rFonts w:ascii="Times New Roman" w:hAnsi="Times New Roman" w:cs="Times New Roman"/>
                <w:sz w:val="22"/>
                <w:szCs w:val="22"/>
              </w:rPr>
              <w:t>·</w:t>
            </w:r>
            <w:r w:rsidRPr="0018735E">
              <w:rPr>
                <w:rFonts w:ascii="Times New Roman" w:hAnsi="Times New Roman" w:cs="Times New Roman"/>
                <w:sz w:val="22"/>
                <w:szCs w:val="22"/>
              </w:rPr>
              <w:t>3-5</w:t>
            </w:r>
            <w:r w:rsidR="00E150B7">
              <w:rPr>
                <w:rFonts w:ascii="Times New Roman" w:hAnsi="Times New Roman" w:cs="Times New Roman"/>
                <w:sz w:val="22"/>
                <w:szCs w:val="22"/>
              </w:rPr>
              <w:t>·</w:t>
            </w:r>
            <w:r w:rsidRPr="0018735E">
              <w:rPr>
                <w:rFonts w:ascii="Times New Roman" w:hAnsi="Times New Roman" w:cs="Times New Roman"/>
                <w:sz w:val="22"/>
                <w:szCs w:val="22"/>
              </w:rPr>
              <w:t>44)</w:t>
            </w:r>
          </w:p>
        </w:tc>
        <w:tc>
          <w:tcPr>
            <w:tcW w:w="2120" w:type="dxa"/>
            <w:tcBorders>
              <w:top w:val="nil"/>
              <w:left w:val="nil"/>
              <w:bottom w:val="nil"/>
              <w:right w:val="nil"/>
            </w:tcBorders>
            <w:shd w:val="clear" w:color="auto" w:fill="auto"/>
            <w:noWrap/>
          </w:tcPr>
          <w:p w14:paraId="65F1420C" w14:textId="165DE1D5"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4</w:t>
            </w:r>
            <w:r w:rsidR="00E150B7">
              <w:rPr>
                <w:rFonts w:ascii="Times New Roman" w:hAnsi="Times New Roman" w:cs="Times New Roman"/>
                <w:sz w:val="22"/>
                <w:szCs w:val="22"/>
              </w:rPr>
              <w:t>·</w:t>
            </w:r>
            <w:r w:rsidRPr="0018735E">
              <w:rPr>
                <w:rFonts w:ascii="Times New Roman" w:hAnsi="Times New Roman" w:cs="Times New Roman"/>
                <w:sz w:val="22"/>
                <w:szCs w:val="22"/>
              </w:rPr>
              <w:t>4</w:t>
            </w:r>
            <w:r w:rsidR="00A81D67">
              <w:rPr>
                <w:rFonts w:ascii="Times New Roman" w:hAnsi="Times New Roman" w:cs="Times New Roman"/>
                <w:sz w:val="22"/>
                <w:szCs w:val="22"/>
              </w:rPr>
              <w:t>0</w:t>
            </w:r>
            <w:r w:rsidRPr="0018735E">
              <w:rPr>
                <w:rFonts w:ascii="Times New Roman" w:hAnsi="Times New Roman" w:cs="Times New Roman"/>
                <w:sz w:val="22"/>
                <w:szCs w:val="22"/>
              </w:rPr>
              <w:t xml:space="preserve"> (4</w:t>
            </w:r>
            <w:r w:rsidR="00E150B7">
              <w:rPr>
                <w:rFonts w:ascii="Times New Roman" w:hAnsi="Times New Roman" w:cs="Times New Roman"/>
                <w:sz w:val="22"/>
                <w:szCs w:val="22"/>
              </w:rPr>
              <w:t>·</w:t>
            </w:r>
            <w:r w:rsidRPr="0018735E">
              <w:rPr>
                <w:rFonts w:ascii="Times New Roman" w:hAnsi="Times New Roman" w:cs="Times New Roman"/>
                <w:sz w:val="22"/>
                <w:szCs w:val="22"/>
              </w:rPr>
              <w:t>1</w:t>
            </w:r>
            <w:r w:rsidR="00A81D67">
              <w:rPr>
                <w:rFonts w:ascii="Times New Roman" w:hAnsi="Times New Roman" w:cs="Times New Roman"/>
                <w:sz w:val="22"/>
                <w:szCs w:val="22"/>
              </w:rPr>
              <w:t>0</w:t>
            </w:r>
            <w:r w:rsidRPr="0018735E">
              <w:rPr>
                <w:rFonts w:ascii="Times New Roman" w:hAnsi="Times New Roman" w:cs="Times New Roman"/>
                <w:sz w:val="22"/>
                <w:szCs w:val="22"/>
              </w:rPr>
              <w:t>-4</w:t>
            </w:r>
            <w:r w:rsidR="00E150B7">
              <w:rPr>
                <w:rFonts w:ascii="Times New Roman" w:hAnsi="Times New Roman" w:cs="Times New Roman"/>
                <w:sz w:val="22"/>
                <w:szCs w:val="22"/>
              </w:rPr>
              <w:t>·</w:t>
            </w:r>
            <w:r w:rsidRPr="0018735E">
              <w:rPr>
                <w:rFonts w:ascii="Times New Roman" w:hAnsi="Times New Roman" w:cs="Times New Roman"/>
                <w:sz w:val="22"/>
                <w:szCs w:val="22"/>
              </w:rPr>
              <w:t>71)</w:t>
            </w:r>
          </w:p>
        </w:tc>
        <w:tc>
          <w:tcPr>
            <w:tcW w:w="2128" w:type="dxa"/>
            <w:tcBorders>
              <w:top w:val="nil"/>
              <w:left w:val="nil"/>
              <w:bottom w:val="nil"/>
              <w:right w:val="nil"/>
            </w:tcBorders>
            <w:shd w:val="clear" w:color="auto" w:fill="auto"/>
            <w:noWrap/>
          </w:tcPr>
          <w:p w14:paraId="737FB241" w14:textId="202D5D34"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4</w:t>
            </w:r>
            <w:r w:rsidR="00E150B7">
              <w:rPr>
                <w:rFonts w:ascii="Times New Roman" w:hAnsi="Times New Roman" w:cs="Times New Roman"/>
                <w:sz w:val="22"/>
                <w:szCs w:val="22"/>
              </w:rPr>
              <w:t>·</w:t>
            </w:r>
            <w:r w:rsidRPr="0018735E">
              <w:rPr>
                <w:rFonts w:ascii="Times New Roman" w:hAnsi="Times New Roman" w:cs="Times New Roman"/>
                <w:sz w:val="22"/>
                <w:szCs w:val="22"/>
              </w:rPr>
              <w:t>49 (4</w:t>
            </w:r>
            <w:r w:rsidR="00E150B7">
              <w:rPr>
                <w:rFonts w:ascii="Times New Roman" w:hAnsi="Times New Roman" w:cs="Times New Roman"/>
                <w:sz w:val="22"/>
                <w:szCs w:val="22"/>
              </w:rPr>
              <w:t>·</w:t>
            </w:r>
            <w:r w:rsidRPr="0018735E">
              <w:rPr>
                <w:rFonts w:ascii="Times New Roman" w:hAnsi="Times New Roman" w:cs="Times New Roman"/>
                <w:sz w:val="22"/>
                <w:szCs w:val="22"/>
              </w:rPr>
              <w:t>26-4</w:t>
            </w:r>
            <w:r w:rsidR="00E150B7">
              <w:rPr>
                <w:rFonts w:ascii="Times New Roman" w:hAnsi="Times New Roman" w:cs="Times New Roman"/>
                <w:sz w:val="22"/>
                <w:szCs w:val="22"/>
              </w:rPr>
              <w:t>·</w:t>
            </w:r>
            <w:r w:rsidRPr="0018735E">
              <w:rPr>
                <w:rFonts w:ascii="Times New Roman" w:hAnsi="Times New Roman" w:cs="Times New Roman"/>
                <w:sz w:val="22"/>
                <w:szCs w:val="22"/>
              </w:rPr>
              <w:t>71)</w:t>
            </w:r>
          </w:p>
        </w:tc>
      </w:tr>
      <w:tr w:rsidR="008D17AB" w:rsidRPr="008D17AB" w14:paraId="7251F3F2" w14:textId="77777777" w:rsidTr="00295D31">
        <w:trPr>
          <w:trHeight w:val="300"/>
        </w:trPr>
        <w:tc>
          <w:tcPr>
            <w:tcW w:w="1780" w:type="dxa"/>
            <w:tcBorders>
              <w:top w:val="nil"/>
              <w:left w:val="nil"/>
              <w:bottom w:val="nil"/>
              <w:right w:val="nil"/>
            </w:tcBorders>
            <w:shd w:val="clear" w:color="auto" w:fill="auto"/>
            <w:noWrap/>
            <w:vAlign w:val="bottom"/>
          </w:tcPr>
          <w:p w14:paraId="6BEDC9D4" w14:textId="0C5ED58C" w:rsidR="008D17AB" w:rsidRPr="00F54546" w:rsidRDefault="008D17AB" w:rsidP="008D17AB">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Main analyses</w:t>
            </w:r>
            <w:r w:rsidRPr="00460AB8">
              <w:rPr>
                <w:rFonts w:ascii="Times New Roman" w:eastAsia="Times New Roman" w:hAnsi="Times New Roman" w:cs="Times New Roman"/>
                <w:color w:val="000000"/>
                <w:sz w:val="22"/>
                <w:szCs w:val="22"/>
                <w:lang w:val="en-GB"/>
              </w:rPr>
              <w:t>†</w:t>
            </w:r>
          </w:p>
        </w:tc>
        <w:tc>
          <w:tcPr>
            <w:tcW w:w="3465" w:type="dxa"/>
            <w:tcBorders>
              <w:top w:val="nil"/>
              <w:left w:val="nil"/>
              <w:bottom w:val="nil"/>
              <w:right w:val="nil"/>
            </w:tcBorders>
            <w:shd w:val="clear" w:color="auto" w:fill="auto"/>
            <w:noWrap/>
            <w:vAlign w:val="bottom"/>
          </w:tcPr>
          <w:p w14:paraId="1C64C26E" w14:textId="1908FF24" w:rsidR="008D17AB" w:rsidRPr="00F54546" w:rsidRDefault="008D17AB" w:rsidP="008D17AB">
            <w:pPr>
              <w:spacing w:after="0" w:line="360" w:lineRule="auto"/>
              <w:ind w:firstLine="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Anxiety</w:t>
            </w:r>
          </w:p>
        </w:tc>
        <w:tc>
          <w:tcPr>
            <w:tcW w:w="2133" w:type="dxa"/>
            <w:tcBorders>
              <w:top w:val="nil"/>
              <w:left w:val="nil"/>
              <w:bottom w:val="nil"/>
              <w:right w:val="nil"/>
            </w:tcBorders>
            <w:shd w:val="clear" w:color="auto" w:fill="auto"/>
            <w:noWrap/>
          </w:tcPr>
          <w:p w14:paraId="6083A58A" w14:textId="3E5C74DB"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11</w:t>
            </w:r>
            <w:r>
              <w:rPr>
                <w:rFonts w:ascii="Times New Roman" w:hAnsi="Times New Roman" w:cs="Times New Roman"/>
                <w:sz w:val="22"/>
                <w:szCs w:val="22"/>
              </w:rPr>
              <w:t>·</w:t>
            </w:r>
            <w:r w:rsidRPr="0018735E">
              <w:rPr>
                <w:rFonts w:ascii="Times New Roman" w:hAnsi="Times New Roman" w:cs="Times New Roman"/>
                <w:sz w:val="22"/>
                <w:szCs w:val="22"/>
              </w:rPr>
              <w:t>63 (11</w:t>
            </w:r>
            <w:r>
              <w:rPr>
                <w:rFonts w:ascii="Times New Roman" w:hAnsi="Times New Roman" w:cs="Times New Roman"/>
                <w:sz w:val="22"/>
                <w:szCs w:val="22"/>
              </w:rPr>
              <w:t>·</w:t>
            </w:r>
            <w:r w:rsidRPr="0018735E">
              <w:rPr>
                <w:rFonts w:ascii="Times New Roman" w:hAnsi="Times New Roman" w:cs="Times New Roman"/>
                <w:sz w:val="22"/>
                <w:szCs w:val="22"/>
              </w:rPr>
              <w:t>56-11</w:t>
            </w:r>
            <w:r>
              <w:rPr>
                <w:rFonts w:ascii="Times New Roman" w:hAnsi="Times New Roman" w:cs="Times New Roman"/>
                <w:sz w:val="22"/>
                <w:szCs w:val="22"/>
              </w:rPr>
              <w:t>·</w:t>
            </w:r>
            <w:r w:rsidRPr="0018735E">
              <w:rPr>
                <w:rFonts w:ascii="Times New Roman" w:hAnsi="Times New Roman" w:cs="Times New Roman"/>
                <w:sz w:val="22"/>
                <w:szCs w:val="22"/>
              </w:rPr>
              <w:t>69)</w:t>
            </w:r>
          </w:p>
        </w:tc>
        <w:tc>
          <w:tcPr>
            <w:tcW w:w="2120" w:type="dxa"/>
            <w:tcBorders>
              <w:top w:val="nil"/>
              <w:left w:val="nil"/>
              <w:bottom w:val="nil"/>
              <w:right w:val="nil"/>
            </w:tcBorders>
            <w:shd w:val="clear" w:color="auto" w:fill="auto"/>
            <w:noWrap/>
          </w:tcPr>
          <w:p w14:paraId="35728616" w14:textId="0464854B"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10</w:t>
            </w:r>
            <w:r>
              <w:rPr>
                <w:rFonts w:ascii="Times New Roman" w:hAnsi="Times New Roman" w:cs="Times New Roman"/>
                <w:sz w:val="22"/>
                <w:szCs w:val="22"/>
              </w:rPr>
              <w:t>·</w:t>
            </w:r>
            <w:r w:rsidRPr="0018735E">
              <w:rPr>
                <w:rFonts w:ascii="Times New Roman" w:hAnsi="Times New Roman" w:cs="Times New Roman"/>
                <w:sz w:val="22"/>
                <w:szCs w:val="22"/>
              </w:rPr>
              <w:t>27 (10</w:t>
            </w:r>
            <w:r>
              <w:rPr>
                <w:rFonts w:ascii="Times New Roman" w:hAnsi="Times New Roman" w:cs="Times New Roman"/>
                <w:sz w:val="22"/>
                <w:szCs w:val="22"/>
              </w:rPr>
              <w:t>·</w:t>
            </w:r>
            <w:r w:rsidRPr="0018735E">
              <w:rPr>
                <w:rFonts w:ascii="Times New Roman" w:hAnsi="Times New Roman" w:cs="Times New Roman"/>
                <w:sz w:val="22"/>
                <w:szCs w:val="22"/>
              </w:rPr>
              <w:t>21-10</w:t>
            </w:r>
            <w:r>
              <w:rPr>
                <w:rFonts w:ascii="Times New Roman" w:hAnsi="Times New Roman" w:cs="Times New Roman"/>
                <w:sz w:val="22"/>
                <w:szCs w:val="22"/>
              </w:rPr>
              <w:t>·</w:t>
            </w:r>
            <w:r w:rsidRPr="0018735E">
              <w:rPr>
                <w:rFonts w:ascii="Times New Roman" w:hAnsi="Times New Roman" w:cs="Times New Roman"/>
                <w:sz w:val="22"/>
                <w:szCs w:val="22"/>
              </w:rPr>
              <w:t>34)</w:t>
            </w:r>
          </w:p>
        </w:tc>
        <w:tc>
          <w:tcPr>
            <w:tcW w:w="2120" w:type="dxa"/>
            <w:tcBorders>
              <w:top w:val="nil"/>
              <w:left w:val="nil"/>
              <w:bottom w:val="nil"/>
              <w:right w:val="nil"/>
            </w:tcBorders>
            <w:shd w:val="clear" w:color="auto" w:fill="auto"/>
            <w:noWrap/>
          </w:tcPr>
          <w:p w14:paraId="058EC380" w14:textId="73E4962F"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9</w:t>
            </w:r>
            <w:r>
              <w:rPr>
                <w:rFonts w:ascii="Times New Roman" w:hAnsi="Times New Roman" w:cs="Times New Roman"/>
                <w:sz w:val="22"/>
                <w:szCs w:val="22"/>
              </w:rPr>
              <w:t>·</w:t>
            </w:r>
            <w:r w:rsidRPr="0018735E">
              <w:rPr>
                <w:rFonts w:ascii="Times New Roman" w:hAnsi="Times New Roman" w:cs="Times New Roman"/>
                <w:sz w:val="22"/>
                <w:szCs w:val="22"/>
              </w:rPr>
              <w:t>75 (9</w:t>
            </w:r>
            <w:r>
              <w:rPr>
                <w:rFonts w:ascii="Times New Roman" w:hAnsi="Times New Roman" w:cs="Times New Roman"/>
                <w:sz w:val="22"/>
                <w:szCs w:val="22"/>
              </w:rPr>
              <w:t>·</w:t>
            </w:r>
            <w:r w:rsidRPr="0018735E">
              <w:rPr>
                <w:rFonts w:ascii="Times New Roman" w:hAnsi="Times New Roman" w:cs="Times New Roman"/>
                <w:sz w:val="22"/>
                <w:szCs w:val="22"/>
              </w:rPr>
              <w:t>33-10</w:t>
            </w:r>
            <w:r>
              <w:rPr>
                <w:rFonts w:ascii="Times New Roman" w:hAnsi="Times New Roman" w:cs="Times New Roman"/>
                <w:sz w:val="22"/>
                <w:szCs w:val="22"/>
              </w:rPr>
              <w:t>·</w:t>
            </w:r>
            <w:r w:rsidRPr="0018735E">
              <w:rPr>
                <w:rFonts w:ascii="Times New Roman" w:hAnsi="Times New Roman" w:cs="Times New Roman"/>
                <w:sz w:val="22"/>
                <w:szCs w:val="22"/>
              </w:rPr>
              <w:t>17)</w:t>
            </w:r>
          </w:p>
        </w:tc>
        <w:tc>
          <w:tcPr>
            <w:tcW w:w="2128" w:type="dxa"/>
            <w:tcBorders>
              <w:top w:val="nil"/>
              <w:left w:val="nil"/>
              <w:bottom w:val="nil"/>
              <w:right w:val="nil"/>
            </w:tcBorders>
            <w:shd w:val="clear" w:color="auto" w:fill="auto"/>
            <w:noWrap/>
          </w:tcPr>
          <w:p w14:paraId="50EEC03E" w14:textId="4F348315"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9</w:t>
            </w:r>
            <w:r>
              <w:rPr>
                <w:rFonts w:ascii="Times New Roman" w:hAnsi="Times New Roman" w:cs="Times New Roman"/>
                <w:sz w:val="22"/>
                <w:szCs w:val="22"/>
              </w:rPr>
              <w:t>·</w:t>
            </w:r>
            <w:r w:rsidRPr="0018735E">
              <w:rPr>
                <w:rFonts w:ascii="Times New Roman" w:hAnsi="Times New Roman" w:cs="Times New Roman"/>
                <w:sz w:val="22"/>
                <w:szCs w:val="22"/>
              </w:rPr>
              <w:t>14 (8</w:t>
            </w:r>
            <w:r>
              <w:rPr>
                <w:rFonts w:ascii="Times New Roman" w:hAnsi="Times New Roman" w:cs="Times New Roman"/>
                <w:sz w:val="22"/>
                <w:szCs w:val="22"/>
              </w:rPr>
              <w:t>·</w:t>
            </w:r>
            <w:r w:rsidRPr="0018735E">
              <w:rPr>
                <w:rFonts w:ascii="Times New Roman" w:hAnsi="Times New Roman" w:cs="Times New Roman"/>
                <w:sz w:val="22"/>
                <w:szCs w:val="22"/>
              </w:rPr>
              <w:t>83-9</w:t>
            </w:r>
            <w:r>
              <w:rPr>
                <w:rFonts w:ascii="Times New Roman" w:hAnsi="Times New Roman" w:cs="Times New Roman"/>
                <w:sz w:val="22"/>
                <w:szCs w:val="22"/>
              </w:rPr>
              <w:t>·</w:t>
            </w:r>
            <w:r w:rsidRPr="0018735E">
              <w:rPr>
                <w:rFonts w:ascii="Times New Roman" w:hAnsi="Times New Roman" w:cs="Times New Roman"/>
                <w:sz w:val="22"/>
                <w:szCs w:val="22"/>
              </w:rPr>
              <w:t>45)</w:t>
            </w:r>
          </w:p>
        </w:tc>
      </w:tr>
      <w:tr w:rsidR="00C664C9" w:rsidRPr="00F54546" w14:paraId="67149C88" w14:textId="77777777" w:rsidTr="00295D31">
        <w:trPr>
          <w:trHeight w:val="300"/>
        </w:trPr>
        <w:tc>
          <w:tcPr>
            <w:tcW w:w="1780" w:type="dxa"/>
            <w:tcBorders>
              <w:top w:val="nil"/>
              <w:left w:val="nil"/>
              <w:bottom w:val="nil"/>
              <w:right w:val="nil"/>
            </w:tcBorders>
            <w:shd w:val="clear" w:color="auto" w:fill="auto"/>
            <w:noWrap/>
            <w:vAlign w:val="bottom"/>
            <w:hideMark/>
          </w:tcPr>
          <w:p w14:paraId="56B260B6" w14:textId="1F958557" w:rsidR="00C664C9" w:rsidRPr="00F54546" w:rsidRDefault="00C664C9" w:rsidP="00C664C9">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Sensitivity 3</w:t>
            </w:r>
            <w:r w:rsidR="00EE6598" w:rsidRPr="00EE6598">
              <w:rPr>
                <w:rFonts w:ascii="Times New Roman" w:eastAsia="Times New Roman" w:hAnsi="Times New Roman" w:cs="Times New Roman"/>
                <w:color w:val="000000"/>
                <w:sz w:val="22"/>
                <w:szCs w:val="22"/>
              </w:rPr>
              <w:t>‡</w:t>
            </w:r>
          </w:p>
        </w:tc>
        <w:tc>
          <w:tcPr>
            <w:tcW w:w="3465" w:type="dxa"/>
            <w:tcBorders>
              <w:top w:val="nil"/>
              <w:left w:val="nil"/>
              <w:bottom w:val="nil"/>
              <w:right w:val="nil"/>
            </w:tcBorders>
            <w:shd w:val="clear" w:color="auto" w:fill="auto"/>
            <w:noWrap/>
            <w:vAlign w:val="bottom"/>
            <w:hideMark/>
          </w:tcPr>
          <w:p w14:paraId="1435050E" w14:textId="77777777" w:rsidR="00C664C9" w:rsidRPr="00F54546" w:rsidRDefault="00C664C9" w:rsidP="00C664C9">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 xml:space="preserve">Psychiatric inpatient hospitalization </w:t>
            </w:r>
          </w:p>
        </w:tc>
        <w:tc>
          <w:tcPr>
            <w:tcW w:w="2133" w:type="dxa"/>
            <w:tcBorders>
              <w:top w:val="nil"/>
              <w:left w:val="nil"/>
              <w:bottom w:val="nil"/>
              <w:right w:val="nil"/>
            </w:tcBorders>
            <w:shd w:val="clear" w:color="auto" w:fill="auto"/>
            <w:noWrap/>
            <w:hideMark/>
          </w:tcPr>
          <w:p w14:paraId="510FA2E2" w14:textId="468982DB" w:rsidR="00C664C9" w:rsidRPr="00F54546" w:rsidRDefault="00C664C9" w:rsidP="00C664C9">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hAnsi="Times New Roman" w:cs="Times New Roman"/>
                <w:sz w:val="22"/>
                <w:szCs w:val="22"/>
                <w:lang w:val="en-GB"/>
              </w:rPr>
              <w:t>3</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76 (3</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67-3</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85)</w:t>
            </w:r>
          </w:p>
        </w:tc>
        <w:tc>
          <w:tcPr>
            <w:tcW w:w="2120" w:type="dxa"/>
            <w:tcBorders>
              <w:top w:val="nil"/>
              <w:left w:val="nil"/>
              <w:bottom w:val="nil"/>
              <w:right w:val="nil"/>
            </w:tcBorders>
            <w:shd w:val="clear" w:color="auto" w:fill="auto"/>
            <w:noWrap/>
            <w:hideMark/>
          </w:tcPr>
          <w:p w14:paraId="5FE885CD" w14:textId="274C93BF" w:rsidR="00C664C9" w:rsidRPr="00F54546" w:rsidRDefault="00C664C9" w:rsidP="00C664C9">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hAnsi="Times New Roman" w:cs="Times New Roman"/>
                <w:sz w:val="22"/>
                <w:szCs w:val="22"/>
                <w:lang w:val="en-GB"/>
              </w:rPr>
              <w:t>3</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10 (3</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00-3</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19)</w:t>
            </w:r>
          </w:p>
        </w:tc>
        <w:tc>
          <w:tcPr>
            <w:tcW w:w="2120" w:type="dxa"/>
            <w:tcBorders>
              <w:top w:val="nil"/>
              <w:left w:val="nil"/>
              <w:bottom w:val="nil"/>
              <w:right w:val="nil"/>
            </w:tcBorders>
            <w:shd w:val="clear" w:color="auto" w:fill="auto"/>
            <w:noWrap/>
            <w:hideMark/>
          </w:tcPr>
          <w:p w14:paraId="7661F12C" w14:textId="1DDB3AA7" w:rsidR="00C664C9" w:rsidRPr="00F54546" w:rsidRDefault="00C664C9" w:rsidP="00C664C9">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hAnsi="Times New Roman" w:cs="Times New Roman"/>
                <w:sz w:val="22"/>
                <w:szCs w:val="22"/>
                <w:lang w:val="en-GB"/>
              </w:rPr>
              <w:t>3</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59 (3</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03-4</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15)</w:t>
            </w:r>
          </w:p>
        </w:tc>
        <w:tc>
          <w:tcPr>
            <w:tcW w:w="2128" w:type="dxa"/>
            <w:tcBorders>
              <w:top w:val="nil"/>
              <w:left w:val="nil"/>
              <w:bottom w:val="nil"/>
              <w:right w:val="nil"/>
            </w:tcBorders>
            <w:shd w:val="clear" w:color="auto" w:fill="auto"/>
            <w:noWrap/>
            <w:hideMark/>
          </w:tcPr>
          <w:p w14:paraId="266E0DD0" w14:textId="457A9883" w:rsidR="00C664C9" w:rsidRPr="00F54546" w:rsidRDefault="00C664C9" w:rsidP="00C664C9">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hAnsi="Times New Roman" w:cs="Times New Roman"/>
                <w:sz w:val="22"/>
                <w:szCs w:val="22"/>
                <w:lang w:val="en-GB"/>
              </w:rPr>
              <w:t>2</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57 (2</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22-2</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92)</w:t>
            </w:r>
          </w:p>
        </w:tc>
      </w:tr>
      <w:tr w:rsidR="00C664C9" w:rsidRPr="00F54546" w14:paraId="4E7EAD81" w14:textId="77777777" w:rsidTr="00295D31">
        <w:trPr>
          <w:trHeight w:val="300"/>
        </w:trPr>
        <w:tc>
          <w:tcPr>
            <w:tcW w:w="1780" w:type="dxa"/>
            <w:tcBorders>
              <w:top w:val="nil"/>
              <w:left w:val="nil"/>
              <w:right w:val="nil"/>
            </w:tcBorders>
            <w:shd w:val="clear" w:color="auto" w:fill="auto"/>
            <w:noWrap/>
            <w:vAlign w:val="bottom"/>
            <w:hideMark/>
          </w:tcPr>
          <w:p w14:paraId="1CC6018C" w14:textId="2BA5829C" w:rsidR="00C664C9" w:rsidRPr="00F54546" w:rsidRDefault="00C664C9" w:rsidP="00C664C9">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Sensitivity 3</w:t>
            </w:r>
            <w:r w:rsidR="00EE6598" w:rsidRPr="00EE6598">
              <w:rPr>
                <w:rFonts w:ascii="Times New Roman" w:eastAsia="Times New Roman" w:hAnsi="Times New Roman" w:cs="Times New Roman"/>
                <w:color w:val="000000"/>
                <w:sz w:val="22"/>
                <w:szCs w:val="22"/>
              </w:rPr>
              <w:t>‡</w:t>
            </w:r>
          </w:p>
        </w:tc>
        <w:tc>
          <w:tcPr>
            <w:tcW w:w="3465" w:type="dxa"/>
            <w:tcBorders>
              <w:top w:val="nil"/>
              <w:left w:val="nil"/>
              <w:right w:val="nil"/>
            </w:tcBorders>
            <w:shd w:val="clear" w:color="auto" w:fill="auto"/>
            <w:noWrap/>
            <w:vAlign w:val="bottom"/>
            <w:hideMark/>
          </w:tcPr>
          <w:p w14:paraId="7336202A" w14:textId="77777777" w:rsidR="00C664C9" w:rsidRPr="00F54546" w:rsidRDefault="00C664C9" w:rsidP="00C664C9">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Injuries/accidents</w:t>
            </w:r>
          </w:p>
        </w:tc>
        <w:tc>
          <w:tcPr>
            <w:tcW w:w="2133" w:type="dxa"/>
            <w:tcBorders>
              <w:top w:val="nil"/>
              <w:left w:val="nil"/>
              <w:right w:val="nil"/>
            </w:tcBorders>
            <w:shd w:val="clear" w:color="auto" w:fill="auto"/>
            <w:noWrap/>
            <w:hideMark/>
          </w:tcPr>
          <w:p w14:paraId="7E7CCFF5" w14:textId="1C3C70D2" w:rsidR="00C664C9" w:rsidRPr="00F54546" w:rsidRDefault="00C664C9" w:rsidP="00C664C9">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hAnsi="Times New Roman" w:cs="Times New Roman"/>
                <w:sz w:val="22"/>
                <w:szCs w:val="22"/>
                <w:lang w:val="en-GB"/>
              </w:rPr>
              <w:t>1</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02 (0</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98-1</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07)</w:t>
            </w:r>
          </w:p>
        </w:tc>
        <w:tc>
          <w:tcPr>
            <w:tcW w:w="2120" w:type="dxa"/>
            <w:tcBorders>
              <w:top w:val="nil"/>
              <w:left w:val="nil"/>
              <w:right w:val="nil"/>
            </w:tcBorders>
            <w:shd w:val="clear" w:color="auto" w:fill="auto"/>
            <w:noWrap/>
            <w:hideMark/>
          </w:tcPr>
          <w:p w14:paraId="1542EF01" w14:textId="26A844D3" w:rsidR="00C664C9" w:rsidRPr="00F54546" w:rsidRDefault="00C664C9" w:rsidP="00C664C9">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hAnsi="Times New Roman" w:cs="Times New Roman"/>
                <w:sz w:val="22"/>
                <w:szCs w:val="22"/>
                <w:lang w:val="en-GB"/>
              </w:rPr>
              <w:t>0</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94 (0</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90-0</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99)</w:t>
            </w:r>
          </w:p>
        </w:tc>
        <w:tc>
          <w:tcPr>
            <w:tcW w:w="2120" w:type="dxa"/>
            <w:tcBorders>
              <w:top w:val="nil"/>
              <w:left w:val="nil"/>
              <w:right w:val="nil"/>
            </w:tcBorders>
            <w:shd w:val="clear" w:color="auto" w:fill="auto"/>
            <w:noWrap/>
            <w:hideMark/>
          </w:tcPr>
          <w:p w14:paraId="43D7BCB9" w14:textId="6A5B5A5B" w:rsidR="00C664C9" w:rsidRPr="00F54546" w:rsidRDefault="00C664C9" w:rsidP="00C664C9">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hAnsi="Times New Roman" w:cs="Times New Roman"/>
                <w:sz w:val="22"/>
                <w:szCs w:val="22"/>
                <w:lang w:val="en-GB"/>
              </w:rPr>
              <w:t>1</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21 (0</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97-1</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44)</w:t>
            </w:r>
          </w:p>
        </w:tc>
        <w:tc>
          <w:tcPr>
            <w:tcW w:w="2128" w:type="dxa"/>
            <w:tcBorders>
              <w:top w:val="nil"/>
              <w:left w:val="nil"/>
              <w:right w:val="nil"/>
            </w:tcBorders>
            <w:shd w:val="clear" w:color="auto" w:fill="auto"/>
            <w:noWrap/>
            <w:hideMark/>
          </w:tcPr>
          <w:p w14:paraId="466FEA5C" w14:textId="071F8573" w:rsidR="00C664C9" w:rsidRPr="00F54546" w:rsidRDefault="00C664C9" w:rsidP="00C664C9">
            <w:pPr>
              <w:spacing w:after="0" w:line="360" w:lineRule="auto"/>
              <w:ind w:firstLine="0"/>
              <w:jc w:val="right"/>
              <w:rPr>
                <w:rFonts w:ascii="Times New Roman" w:eastAsia="Times New Roman" w:hAnsi="Times New Roman" w:cs="Times New Roman"/>
                <w:color w:val="000000"/>
                <w:sz w:val="22"/>
                <w:szCs w:val="22"/>
                <w:lang w:val="en-GB"/>
              </w:rPr>
            </w:pPr>
            <w:r w:rsidRPr="00F54546">
              <w:rPr>
                <w:rFonts w:ascii="Times New Roman" w:hAnsi="Times New Roman" w:cs="Times New Roman"/>
                <w:sz w:val="22"/>
                <w:szCs w:val="22"/>
                <w:lang w:val="en-GB"/>
              </w:rPr>
              <w:t>1</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24 (1</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06-1</w:t>
            </w:r>
            <w:r w:rsidR="00C82BFB" w:rsidRPr="00F54546">
              <w:rPr>
                <w:rFonts w:ascii="Times New Roman" w:hAnsi="Times New Roman" w:cs="Times New Roman"/>
                <w:sz w:val="22"/>
                <w:szCs w:val="22"/>
                <w:lang w:val="en-GB"/>
              </w:rPr>
              <w:t>·</w:t>
            </w:r>
            <w:r w:rsidRPr="00F54546">
              <w:rPr>
                <w:rFonts w:ascii="Times New Roman" w:hAnsi="Times New Roman" w:cs="Times New Roman"/>
                <w:sz w:val="22"/>
                <w:szCs w:val="22"/>
                <w:lang w:val="en-GB"/>
              </w:rPr>
              <w:t>42)</w:t>
            </w:r>
          </w:p>
        </w:tc>
      </w:tr>
      <w:tr w:rsidR="008D17AB" w:rsidRPr="00F54546" w14:paraId="2485D94C" w14:textId="77777777" w:rsidTr="00295D31">
        <w:trPr>
          <w:trHeight w:val="300"/>
        </w:trPr>
        <w:tc>
          <w:tcPr>
            <w:tcW w:w="1780" w:type="dxa"/>
            <w:tcBorders>
              <w:top w:val="nil"/>
              <w:left w:val="nil"/>
              <w:right w:val="nil"/>
            </w:tcBorders>
            <w:shd w:val="clear" w:color="auto" w:fill="auto"/>
            <w:noWrap/>
          </w:tcPr>
          <w:p w14:paraId="464006E7" w14:textId="72DF4FB9" w:rsidR="008D17AB" w:rsidRPr="008D17AB" w:rsidRDefault="008D17AB" w:rsidP="008D17AB">
            <w:pPr>
              <w:spacing w:after="0" w:line="360" w:lineRule="auto"/>
              <w:ind w:firstLine="0"/>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Sensitivity 3‡</w:t>
            </w:r>
          </w:p>
        </w:tc>
        <w:tc>
          <w:tcPr>
            <w:tcW w:w="3465" w:type="dxa"/>
            <w:tcBorders>
              <w:top w:val="nil"/>
              <w:left w:val="nil"/>
              <w:right w:val="nil"/>
            </w:tcBorders>
            <w:shd w:val="clear" w:color="auto" w:fill="auto"/>
            <w:noWrap/>
          </w:tcPr>
          <w:p w14:paraId="215599FF" w14:textId="3B7738FC" w:rsidR="008D17AB" w:rsidRPr="008D17AB" w:rsidRDefault="00A81D67" w:rsidP="008D17AB">
            <w:pPr>
              <w:spacing w:after="0" w:line="360" w:lineRule="auto"/>
              <w:ind w:firstLine="0"/>
              <w:rPr>
                <w:rFonts w:ascii="Times New Roman" w:eastAsia="Times New Roman" w:hAnsi="Times New Roman" w:cs="Times New Roman"/>
                <w:color w:val="000000"/>
                <w:sz w:val="22"/>
                <w:szCs w:val="22"/>
                <w:lang w:val="en-GB"/>
              </w:rPr>
            </w:pPr>
            <w:r>
              <w:rPr>
                <w:rFonts w:ascii="Times New Roman" w:hAnsi="Times New Roman" w:cs="Times New Roman"/>
                <w:sz w:val="22"/>
                <w:szCs w:val="22"/>
              </w:rPr>
              <w:t>Substance use disorder</w:t>
            </w:r>
          </w:p>
        </w:tc>
        <w:tc>
          <w:tcPr>
            <w:tcW w:w="2133" w:type="dxa"/>
            <w:tcBorders>
              <w:top w:val="nil"/>
              <w:left w:val="nil"/>
              <w:right w:val="nil"/>
            </w:tcBorders>
            <w:shd w:val="clear" w:color="auto" w:fill="auto"/>
            <w:noWrap/>
          </w:tcPr>
          <w:p w14:paraId="6C018973" w14:textId="7F9EFC95" w:rsidR="008D17AB" w:rsidRPr="008D17AB" w:rsidRDefault="008D17AB" w:rsidP="008D17AB">
            <w:pPr>
              <w:spacing w:after="0" w:line="360" w:lineRule="auto"/>
              <w:ind w:firstLine="0"/>
              <w:jc w:val="right"/>
              <w:rPr>
                <w:rFonts w:ascii="Times New Roman" w:hAnsi="Times New Roman" w:cs="Times New Roman"/>
                <w:sz w:val="22"/>
                <w:szCs w:val="22"/>
                <w:lang w:val="en-GB"/>
              </w:rPr>
            </w:pPr>
            <w:r w:rsidRPr="0018735E">
              <w:rPr>
                <w:rFonts w:ascii="Times New Roman" w:hAnsi="Times New Roman" w:cs="Times New Roman"/>
                <w:sz w:val="22"/>
                <w:szCs w:val="22"/>
              </w:rPr>
              <w:t>3·42 (3·30-3·54)</w:t>
            </w:r>
          </w:p>
        </w:tc>
        <w:tc>
          <w:tcPr>
            <w:tcW w:w="2120" w:type="dxa"/>
            <w:tcBorders>
              <w:top w:val="nil"/>
              <w:left w:val="nil"/>
              <w:right w:val="nil"/>
            </w:tcBorders>
            <w:shd w:val="clear" w:color="auto" w:fill="auto"/>
            <w:noWrap/>
          </w:tcPr>
          <w:p w14:paraId="1202FB5D" w14:textId="114CEB20" w:rsidR="008D17AB" w:rsidRPr="008D17AB" w:rsidRDefault="008D17AB" w:rsidP="008D17AB">
            <w:pPr>
              <w:spacing w:after="0" w:line="360" w:lineRule="auto"/>
              <w:ind w:firstLine="0"/>
              <w:jc w:val="right"/>
              <w:rPr>
                <w:rFonts w:ascii="Times New Roman" w:hAnsi="Times New Roman" w:cs="Times New Roman"/>
                <w:sz w:val="22"/>
                <w:szCs w:val="22"/>
                <w:lang w:val="en-GB"/>
              </w:rPr>
            </w:pPr>
            <w:r w:rsidRPr="0018735E">
              <w:rPr>
                <w:rFonts w:ascii="Times New Roman" w:hAnsi="Times New Roman" w:cs="Times New Roman"/>
                <w:sz w:val="22"/>
                <w:szCs w:val="22"/>
              </w:rPr>
              <w:t>2·53 (2·41-2·65)</w:t>
            </w:r>
          </w:p>
        </w:tc>
        <w:tc>
          <w:tcPr>
            <w:tcW w:w="2120" w:type="dxa"/>
            <w:tcBorders>
              <w:top w:val="nil"/>
              <w:left w:val="nil"/>
              <w:right w:val="nil"/>
            </w:tcBorders>
            <w:shd w:val="clear" w:color="auto" w:fill="auto"/>
            <w:noWrap/>
          </w:tcPr>
          <w:p w14:paraId="1771D88F" w14:textId="4EE4DC01" w:rsidR="008D17AB" w:rsidRPr="008D17AB" w:rsidRDefault="008D17AB" w:rsidP="008D17AB">
            <w:pPr>
              <w:spacing w:after="0" w:line="360" w:lineRule="auto"/>
              <w:ind w:firstLine="0"/>
              <w:jc w:val="right"/>
              <w:rPr>
                <w:rFonts w:ascii="Times New Roman" w:hAnsi="Times New Roman" w:cs="Times New Roman"/>
                <w:sz w:val="22"/>
                <w:szCs w:val="22"/>
                <w:lang w:val="en-GB"/>
              </w:rPr>
            </w:pPr>
            <w:r w:rsidRPr="0018735E">
              <w:rPr>
                <w:rFonts w:ascii="Times New Roman" w:hAnsi="Times New Roman" w:cs="Times New Roman"/>
                <w:sz w:val="22"/>
                <w:szCs w:val="22"/>
              </w:rPr>
              <w:t>4·82 (4·05-5·60)</w:t>
            </w:r>
          </w:p>
        </w:tc>
        <w:tc>
          <w:tcPr>
            <w:tcW w:w="2128" w:type="dxa"/>
            <w:tcBorders>
              <w:top w:val="nil"/>
              <w:left w:val="nil"/>
              <w:right w:val="nil"/>
            </w:tcBorders>
            <w:shd w:val="clear" w:color="auto" w:fill="auto"/>
            <w:noWrap/>
          </w:tcPr>
          <w:p w14:paraId="058D9B27" w14:textId="3CD8E0BD" w:rsidR="008D17AB" w:rsidRPr="008D17AB" w:rsidRDefault="008D17AB" w:rsidP="008D17AB">
            <w:pPr>
              <w:spacing w:after="0" w:line="360" w:lineRule="auto"/>
              <w:ind w:firstLine="0"/>
              <w:jc w:val="right"/>
              <w:rPr>
                <w:rFonts w:ascii="Times New Roman" w:hAnsi="Times New Roman" w:cs="Times New Roman"/>
                <w:sz w:val="22"/>
                <w:szCs w:val="22"/>
                <w:lang w:val="en-GB"/>
              </w:rPr>
            </w:pPr>
            <w:r w:rsidRPr="0018735E">
              <w:rPr>
                <w:rFonts w:ascii="Times New Roman" w:hAnsi="Times New Roman" w:cs="Times New Roman"/>
                <w:sz w:val="22"/>
                <w:szCs w:val="22"/>
              </w:rPr>
              <w:t>3·31 (2·83-3·79)</w:t>
            </w:r>
          </w:p>
        </w:tc>
      </w:tr>
      <w:tr w:rsidR="008D17AB" w:rsidRPr="008D17AB" w14:paraId="15A8464D" w14:textId="77777777" w:rsidTr="00295D31">
        <w:trPr>
          <w:trHeight w:val="300"/>
        </w:trPr>
        <w:tc>
          <w:tcPr>
            <w:tcW w:w="1780" w:type="dxa"/>
            <w:tcBorders>
              <w:top w:val="nil"/>
              <w:left w:val="nil"/>
              <w:right w:val="nil"/>
            </w:tcBorders>
            <w:shd w:val="clear" w:color="auto" w:fill="auto"/>
            <w:noWrap/>
          </w:tcPr>
          <w:p w14:paraId="548702D1" w14:textId="5EC07A07" w:rsidR="008D17AB" w:rsidRPr="00F54546" w:rsidRDefault="008D17AB" w:rsidP="008D17AB">
            <w:pPr>
              <w:spacing w:after="0" w:line="360" w:lineRule="auto"/>
              <w:ind w:firstLine="0"/>
              <w:rPr>
                <w:rFonts w:ascii="Times New Roman" w:eastAsia="Times New Roman" w:hAnsi="Times New Roman" w:cs="Times New Roman"/>
                <w:color w:val="000000"/>
                <w:sz w:val="22"/>
                <w:szCs w:val="22"/>
                <w:lang w:val="en-GB"/>
              </w:rPr>
            </w:pPr>
            <w:r w:rsidRPr="00CC422D">
              <w:rPr>
                <w:rFonts w:ascii="Times New Roman" w:hAnsi="Times New Roman" w:cs="Times New Roman"/>
                <w:sz w:val="22"/>
                <w:szCs w:val="22"/>
              </w:rPr>
              <w:t>Sensitivity 3‡</w:t>
            </w:r>
          </w:p>
        </w:tc>
        <w:tc>
          <w:tcPr>
            <w:tcW w:w="3465" w:type="dxa"/>
            <w:tcBorders>
              <w:top w:val="nil"/>
              <w:left w:val="nil"/>
              <w:right w:val="nil"/>
            </w:tcBorders>
            <w:shd w:val="clear" w:color="auto" w:fill="auto"/>
            <w:noWrap/>
            <w:vAlign w:val="bottom"/>
          </w:tcPr>
          <w:p w14:paraId="5A83FC51" w14:textId="13F4DB3A" w:rsidR="008D17AB" w:rsidRPr="00F54546" w:rsidRDefault="008D17AB" w:rsidP="008D17AB">
            <w:pPr>
              <w:spacing w:after="0" w:line="360" w:lineRule="auto"/>
              <w:ind w:firstLine="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Depression</w:t>
            </w:r>
          </w:p>
        </w:tc>
        <w:tc>
          <w:tcPr>
            <w:tcW w:w="2133" w:type="dxa"/>
            <w:tcBorders>
              <w:top w:val="nil"/>
              <w:left w:val="nil"/>
              <w:right w:val="nil"/>
            </w:tcBorders>
            <w:shd w:val="clear" w:color="auto" w:fill="auto"/>
            <w:noWrap/>
          </w:tcPr>
          <w:p w14:paraId="14739AF3" w14:textId="2680E12C" w:rsidR="008D17AB" w:rsidRPr="008D17AB" w:rsidRDefault="008D17AB" w:rsidP="008D17AB">
            <w:pPr>
              <w:spacing w:after="0" w:line="360" w:lineRule="auto"/>
              <w:ind w:firstLine="0"/>
              <w:jc w:val="right"/>
              <w:rPr>
                <w:rFonts w:ascii="Times New Roman" w:hAnsi="Times New Roman" w:cs="Times New Roman"/>
                <w:sz w:val="22"/>
                <w:szCs w:val="22"/>
                <w:lang w:val="en-GB"/>
              </w:rPr>
            </w:pPr>
            <w:r w:rsidRPr="0018735E">
              <w:rPr>
                <w:rFonts w:ascii="Times New Roman" w:hAnsi="Times New Roman" w:cs="Times New Roman"/>
                <w:sz w:val="22"/>
                <w:szCs w:val="22"/>
              </w:rPr>
              <w:t>5</w:t>
            </w:r>
            <w:r>
              <w:rPr>
                <w:rFonts w:ascii="Times New Roman" w:hAnsi="Times New Roman" w:cs="Times New Roman"/>
                <w:sz w:val="22"/>
                <w:szCs w:val="22"/>
              </w:rPr>
              <w:t>·</w:t>
            </w:r>
            <w:r w:rsidRPr="0018735E">
              <w:rPr>
                <w:rFonts w:ascii="Times New Roman" w:hAnsi="Times New Roman" w:cs="Times New Roman"/>
                <w:sz w:val="22"/>
                <w:szCs w:val="22"/>
              </w:rPr>
              <w:t>56 (5</w:t>
            </w:r>
            <w:r>
              <w:rPr>
                <w:rFonts w:ascii="Times New Roman" w:hAnsi="Times New Roman" w:cs="Times New Roman"/>
                <w:sz w:val="22"/>
                <w:szCs w:val="22"/>
              </w:rPr>
              <w:t>·</w:t>
            </w:r>
            <w:r w:rsidRPr="0018735E">
              <w:rPr>
                <w:rFonts w:ascii="Times New Roman" w:hAnsi="Times New Roman" w:cs="Times New Roman"/>
                <w:sz w:val="22"/>
                <w:szCs w:val="22"/>
              </w:rPr>
              <w:t>5</w:t>
            </w:r>
            <w:r w:rsidR="00A81D67">
              <w:rPr>
                <w:rFonts w:ascii="Times New Roman" w:hAnsi="Times New Roman" w:cs="Times New Roman"/>
                <w:sz w:val="22"/>
                <w:szCs w:val="22"/>
              </w:rPr>
              <w:t>0</w:t>
            </w:r>
            <w:r w:rsidRPr="0018735E">
              <w:rPr>
                <w:rFonts w:ascii="Times New Roman" w:hAnsi="Times New Roman" w:cs="Times New Roman"/>
                <w:sz w:val="22"/>
                <w:szCs w:val="22"/>
              </w:rPr>
              <w:t>-5</w:t>
            </w:r>
            <w:r>
              <w:rPr>
                <w:rFonts w:ascii="Times New Roman" w:hAnsi="Times New Roman" w:cs="Times New Roman"/>
                <w:sz w:val="22"/>
                <w:szCs w:val="22"/>
              </w:rPr>
              <w:t>·</w:t>
            </w:r>
            <w:r w:rsidRPr="0018735E">
              <w:rPr>
                <w:rFonts w:ascii="Times New Roman" w:hAnsi="Times New Roman" w:cs="Times New Roman"/>
                <w:sz w:val="22"/>
                <w:szCs w:val="22"/>
              </w:rPr>
              <w:t>62)</w:t>
            </w:r>
          </w:p>
        </w:tc>
        <w:tc>
          <w:tcPr>
            <w:tcW w:w="2120" w:type="dxa"/>
            <w:tcBorders>
              <w:top w:val="nil"/>
              <w:left w:val="nil"/>
              <w:right w:val="nil"/>
            </w:tcBorders>
            <w:shd w:val="clear" w:color="auto" w:fill="auto"/>
            <w:noWrap/>
          </w:tcPr>
          <w:p w14:paraId="320C28DB" w14:textId="59A6F2DB" w:rsidR="008D17AB" w:rsidRPr="008D17AB" w:rsidRDefault="00A81D67" w:rsidP="008D17AB">
            <w:pPr>
              <w:spacing w:after="0" w:line="360" w:lineRule="auto"/>
              <w:ind w:firstLine="0"/>
              <w:jc w:val="right"/>
              <w:rPr>
                <w:rFonts w:ascii="Times New Roman" w:hAnsi="Times New Roman" w:cs="Times New Roman"/>
                <w:sz w:val="22"/>
                <w:szCs w:val="22"/>
                <w:lang w:val="en-GB"/>
              </w:rPr>
            </w:pPr>
            <w:r>
              <w:rPr>
                <w:rFonts w:ascii="Times New Roman" w:hAnsi="Times New Roman" w:cs="Times New Roman"/>
                <w:sz w:val="22"/>
                <w:szCs w:val="22"/>
              </w:rPr>
              <w:t>5·00</w:t>
            </w:r>
            <w:r w:rsidR="008D17AB" w:rsidRPr="0018735E">
              <w:rPr>
                <w:rFonts w:ascii="Times New Roman" w:hAnsi="Times New Roman" w:cs="Times New Roman"/>
                <w:sz w:val="22"/>
                <w:szCs w:val="22"/>
              </w:rPr>
              <w:t xml:space="preserve"> (4</w:t>
            </w:r>
            <w:r w:rsidR="008D17AB">
              <w:rPr>
                <w:rFonts w:ascii="Times New Roman" w:hAnsi="Times New Roman" w:cs="Times New Roman"/>
                <w:sz w:val="22"/>
                <w:szCs w:val="22"/>
              </w:rPr>
              <w:t>·</w:t>
            </w:r>
            <w:r w:rsidR="008D17AB" w:rsidRPr="0018735E">
              <w:rPr>
                <w:rFonts w:ascii="Times New Roman" w:hAnsi="Times New Roman" w:cs="Times New Roman"/>
                <w:sz w:val="22"/>
                <w:szCs w:val="22"/>
              </w:rPr>
              <w:t>93-5</w:t>
            </w:r>
            <w:r w:rsidR="008D17AB">
              <w:rPr>
                <w:rFonts w:ascii="Times New Roman" w:hAnsi="Times New Roman" w:cs="Times New Roman"/>
                <w:sz w:val="22"/>
                <w:szCs w:val="22"/>
              </w:rPr>
              <w:t>·</w:t>
            </w:r>
            <w:r w:rsidR="008D17AB" w:rsidRPr="0018735E">
              <w:rPr>
                <w:rFonts w:ascii="Times New Roman" w:hAnsi="Times New Roman" w:cs="Times New Roman"/>
                <w:sz w:val="22"/>
                <w:szCs w:val="22"/>
              </w:rPr>
              <w:t>06)</w:t>
            </w:r>
          </w:p>
        </w:tc>
        <w:tc>
          <w:tcPr>
            <w:tcW w:w="2120" w:type="dxa"/>
            <w:tcBorders>
              <w:top w:val="nil"/>
              <w:left w:val="nil"/>
              <w:right w:val="nil"/>
            </w:tcBorders>
            <w:shd w:val="clear" w:color="auto" w:fill="auto"/>
            <w:noWrap/>
          </w:tcPr>
          <w:p w14:paraId="17882577" w14:textId="638E1E12" w:rsidR="008D17AB" w:rsidRPr="008D17AB" w:rsidRDefault="008D17AB" w:rsidP="008D17AB">
            <w:pPr>
              <w:spacing w:after="0" w:line="360" w:lineRule="auto"/>
              <w:ind w:firstLine="0"/>
              <w:jc w:val="right"/>
              <w:rPr>
                <w:rFonts w:ascii="Times New Roman" w:hAnsi="Times New Roman" w:cs="Times New Roman"/>
                <w:sz w:val="22"/>
                <w:szCs w:val="22"/>
                <w:lang w:val="en-GB"/>
              </w:rPr>
            </w:pPr>
            <w:r w:rsidRPr="0018735E">
              <w:rPr>
                <w:rFonts w:ascii="Times New Roman" w:hAnsi="Times New Roman" w:cs="Times New Roman"/>
                <w:sz w:val="22"/>
                <w:szCs w:val="22"/>
              </w:rPr>
              <w:t>4</w:t>
            </w:r>
            <w:r>
              <w:rPr>
                <w:rFonts w:ascii="Times New Roman" w:hAnsi="Times New Roman" w:cs="Times New Roman"/>
                <w:sz w:val="22"/>
                <w:szCs w:val="22"/>
              </w:rPr>
              <w:t>·</w:t>
            </w:r>
            <w:r w:rsidRPr="0018735E">
              <w:rPr>
                <w:rFonts w:ascii="Times New Roman" w:hAnsi="Times New Roman" w:cs="Times New Roman"/>
                <w:sz w:val="22"/>
                <w:szCs w:val="22"/>
              </w:rPr>
              <w:t>06 (3</w:t>
            </w:r>
            <w:r>
              <w:rPr>
                <w:rFonts w:ascii="Times New Roman" w:hAnsi="Times New Roman" w:cs="Times New Roman"/>
                <w:sz w:val="22"/>
                <w:szCs w:val="22"/>
              </w:rPr>
              <w:t>·</w:t>
            </w:r>
            <w:r w:rsidRPr="0018735E">
              <w:rPr>
                <w:rFonts w:ascii="Times New Roman" w:hAnsi="Times New Roman" w:cs="Times New Roman"/>
                <w:sz w:val="22"/>
                <w:szCs w:val="22"/>
              </w:rPr>
              <w:t>75-4</w:t>
            </w:r>
            <w:r>
              <w:rPr>
                <w:rFonts w:ascii="Times New Roman" w:hAnsi="Times New Roman" w:cs="Times New Roman"/>
                <w:sz w:val="22"/>
                <w:szCs w:val="22"/>
              </w:rPr>
              <w:t>·</w:t>
            </w:r>
            <w:r w:rsidRPr="0018735E">
              <w:rPr>
                <w:rFonts w:ascii="Times New Roman" w:hAnsi="Times New Roman" w:cs="Times New Roman"/>
                <w:sz w:val="22"/>
                <w:szCs w:val="22"/>
              </w:rPr>
              <w:t>37)</w:t>
            </w:r>
          </w:p>
        </w:tc>
        <w:tc>
          <w:tcPr>
            <w:tcW w:w="2128" w:type="dxa"/>
            <w:tcBorders>
              <w:top w:val="nil"/>
              <w:left w:val="nil"/>
              <w:right w:val="nil"/>
            </w:tcBorders>
            <w:shd w:val="clear" w:color="auto" w:fill="auto"/>
            <w:noWrap/>
          </w:tcPr>
          <w:p w14:paraId="5D11F9C8" w14:textId="192B6218" w:rsidR="008D17AB" w:rsidRPr="008D17AB" w:rsidRDefault="008D17AB" w:rsidP="008D17AB">
            <w:pPr>
              <w:spacing w:after="0" w:line="360" w:lineRule="auto"/>
              <w:ind w:firstLine="0"/>
              <w:jc w:val="right"/>
              <w:rPr>
                <w:rFonts w:ascii="Times New Roman" w:hAnsi="Times New Roman" w:cs="Times New Roman"/>
                <w:sz w:val="22"/>
                <w:szCs w:val="22"/>
                <w:lang w:val="en-GB"/>
              </w:rPr>
            </w:pPr>
            <w:r w:rsidRPr="0018735E">
              <w:rPr>
                <w:rFonts w:ascii="Times New Roman" w:hAnsi="Times New Roman" w:cs="Times New Roman"/>
                <w:sz w:val="22"/>
                <w:szCs w:val="22"/>
              </w:rPr>
              <w:t>4</w:t>
            </w:r>
            <w:r>
              <w:rPr>
                <w:rFonts w:ascii="Times New Roman" w:hAnsi="Times New Roman" w:cs="Times New Roman"/>
                <w:sz w:val="22"/>
                <w:szCs w:val="22"/>
              </w:rPr>
              <w:t>·</w:t>
            </w:r>
            <w:r w:rsidRPr="0018735E">
              <w:rPr>
                <w:rFonts w:ascii="Times New Roman" w:hAnsi="Times New Roman" w:cs="Times New Roman"/>
                <w:sz w:val="22"/>
                <w:szCs w:val="22"/>
              </w:rPr>
              <w:t>2</w:t>
            </w:r>
            <w:r w:rsidR="00A81D67">
              <w:rPr>
                <w:rFonts w:ascii="Times New Roman" w:hAnsi="Times New Roman" w:cs="Times New Roman"/>
                <w:sz w:val="22"/>
                <w:szCs w:val="22"/>
              </w:rPr>
              <w:t>0</w:t>
            </w:r>
            <w:r w:rsidRPr="0018735E">
              <w:rPr>
                <w:rFonts w:ascii="Times New Roman" w:hAnsi="Times New Roman" w:cs="Times New Roman"/>
                <w:sz w:val="22"/>
                <w:szCs w:val="22"/>
              </w:rPr>
              <w:t xml:space="preserve"> (3</w:t>
            </w:r>
            <w:r>
              <w:rPr>
                <w:rFonts w:ascii="Times New Roman" w:hAnsi="Times New Roman" w:cs="Times New Roman"/>
                <w:sz w:val="22"/>
                <w:szCs w:val="22"/>
              </w:rPr>
              <w:t>·</w:t>
            </w:r>
            <w:r w:rsidRPr="0018735E">
              <w:rPr>
                <w:rFonts w:ascii="Times New Roman" w:hAnsi="Times New Roman" w:cs="Times New Roman"/>
                <w:sz w:val="22"/>
                <w:szCs w:val="22"/>
              </w:rPr>
              <w:t>98-4</w:t>
            </w:r>
            <w:r>
              <w:rPr>
                <w:rFonts w:ascii="Times New Roman" w:hAnsi="Times New Roman" w:cs="Times New Roman"/>
                <w:sz w:val="22"/>
                <w:szCs w:val="22"/>
              </w:rPr>
              <w:t>·</w:t>
            </w:r>
            <w:r w:rsidRPr="0018735E">
              <w:rPr>
                <w:rFonts w:ascii="Times New Roman" w:hAnsi="Times New Roman" w:cs="Times New Roman"/>
                <w:sz w:val="22"/>
                <w:szCs w:val="22"/>
              </w:rPr>
              <w:t>42)</w:t>
            </w:r>
          </w:p>
        </w:tc>
      </w:tr>
      <w:tr w:rsidR="008D17AB" w:rsidRPr="008D17AB" w14:paraId="067CDE05" w14:textId="77777777" w:rsidTr="00295D31">
        <w:trPr>
          <w:trHeight w:val="300"/>
        </w:trPr>
        <w:tc>
          <w:tcPr>
            <w:tcW w:w="1780" w:type="dxa"/>
            <w:tcBorders>
              <w:top w:val="nil"/>
              <w:left w:val="nil"/>
              <w:bottom w:val="single" w:sz="12" w:space="0" w:color="auto"/>
              <w:right w:val="nil"/>
            </w:tcBorders>
            <w:shd w:val="clear" w:color="auto" w:fill="auto"/>
            <w:noWrap/>
            <w:vAlign w:val="bottom"/>
            <w:hideMark/>
          </w:tcPr>
          <w:p w14:paraId="6CD2FEC9" w14:textId="2DB3EFFA" w:rsidR="008D17AB" w:rsidRPr="00F54546" w:rsidRDefault="008D17AB" w:rsidP="008D17AB">
            <w:pPr>
              <w:spacing w:after="0" w:line="360" w:lineRule="auto"/>
              <w:ind w:firstLine="0"/>
              <w:rPr>
                <w:rFonts w:ascii="Times New Roman" w:eastAsia="Times New Roman" w:hAnsi="Times New Roman" w:cs="Times New Roman"/>
                <w:color w:val="000000"/>
                <w:sz w:val="22"/>
                <w:szCs w:val="22"/>
                <w:lang w:val="en-GB"/>
              </w:rPr>
            </w:pPr>
            <w:r w:rsidRPr="00F54546">
              <w:rPr>
                <w:rFonts w:ascii="Times New Roman" w:eastAsia="Times New Roman" w:hAnsi="Times New Roman" w:cs="Times New Roman"/>
                <w:color w:val="000000"/>
                <w:sz w:val="22"/>
                <w:szCs w:val="22"/>
                <w:lang w:val="en-GB"/>
              </w:rPr>
              <w:t>Sensitivity 3</w:t>
            </w:r>
            <w:r w:rsidRPr="00EE6598">
              <w:rPr>
                <w:rFonts w:ascii="Times New Roman" w:eastAsia="Times New Roman" w:hAnsi="Times New Roman" w:cs="Times New Roman"/>
                <w:color w:val="000000"/>
                <w:sz w:val="22"/>
                <w:szCs w:val="22"/>
              </w:rPr>
              <w:t>‡</w:t>
            </w:r>
          </w:p>
        </w:tc>
        <w:tc>
          <w:tcPr>
            <w:tcW w:w="3465" w:type="dxa"/>
            <w:tcBorders>
              <w:top w:val="nil"/>
              <w:left w:val="nil"/>
              <w:bottom w:val="single" w:sz="12" w:space="0" w:color="auto"/>
              <w:right w:val="nil"/>
            </w:tcBorders>
            <w:shd w:val="clear" w:color="auto" w:fill="auto"/>
            <w:noWrap/>
            <w:vAlign w:val="bottom"/>
            <w:hideMark/>
          </w:tcPr>
          <w:p w14:paraId="75854573" w14:textId="2C18E141" w:rsidR="008D17AB" w:rsidRPr="00F54546" w:rsidRDefault="008D17AB" w:rsidP="008D17AB">
            <w:pPr>
              <w:spacing w:after="0" w:line="360" w:lineRule="auto"/>
              <w:ind w:firstLine="0"/>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Anxiety</w:t>
            </w:r>
          </w:p>
        </w:tc>
        <w:tc>
          <w:tcPr>
            <w:tcW w:w="2133" w:type="dxa"/>
            <w:tcBorders>
              <w:top w:val="nil"/>
              <w:left w:val="nil"/>
              <w:bottom w:val="single" w:sz="12" w:space="0" w:color="auto"/>
              <w:right w:val="nil"/>
            </w:tcBorders>
            <w:shd w:val="clear" w:color="auto" w:fill="auto"/>
            <w:noWrap/>
            <w:hideMark/>
          </w:tcPr>
          <w:p w14:paraId="14C6444A" w14:textId="5186459E"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10</w:t>
            </w:r>
            <w:r>
              <w:rPr>
                <w:rFonts w:ascii="Times New Roman" w:hAnsi="Times New Roman" w:cs="Times New Roman"/>
                <w:sz w:val="22"/>
                <w:szCs w:val="22"/>
              </w:rPr>
              <w:t>·</w:t>
            </w:r>
            <w:r w:rsidRPr="0018735E">
              <w:rPr>
                <w:rFonts w:ascii="Times New Roman" w:hAnsi="Times New Roman" w:cs="Times New Roman"/>
                <w:sz w:val="22"/>
                <w:szCs w:val="22"/>
              </w:rPr>
              <w:t>54 (10</w:t>
            </w:r>
            <w:r>
              <w:rPr>
                <w:rFonts w:ascii="Times New Roman" w:hAnsi="Times New Roman" w:cs="Times New Roman"/>
                <w:sz w:val="22"/>
                <w:szCs w:val="22"/>
              </w:rPr>
              <w:t>·</w:t>
            </w:r>
            <w:r w:rsidRPr="0018735E">
              <w:rPr>
                <w:rFonts w:ascii="Times New Roman" w:hAnsi="Times New Roman" w:cs="Times New Roman"/>
                <w:sz w:val="22"/>
                <w:szCs w:val="22"/>
              </w:rPr>
              <w:t>48-10</w:t>
            </w:r>
            <w:r>
              <w:rPr>
                <w:rFonts w:ascii="Times New Roman" w:hAnsi="Times New Roman" w:cs="Times New Roman"/>
                <w:sz w:val="22"/>
                <w:szCs w:val="22"/>
              </w:rPr>
              <w:t>·</w:t>
            </w:r>
            <w:r w:rsidRPr="0018735E">
              <w:rPr>
                <w:rFonts w:ascii="Times New Roman" w:hAnsi="Times New Roman" w:cs="Times New Roman"/>
                <w:sz w:val="22"/>
                <w:szCs w:val="22"/>
              </w:rPr>
              <w:t>61)</w:t>
            </w:r>
          </w:p>
        </w:tc>
        <w:tc>
          <w:tcPr>
            <w:tcW w:w="2120" w:type="dxa"/>
            <w:tcBorders>
              <w:top w:val="nil"/>
              <w:left w:val="nil"/>
              <w:bottom w:val="single" w:sz="12" w:space="0" w:color="auto"/>
              <w:right w:val="nil"/>
            </w:tcBorders>
            <w:shd w:val="clear" w:color="auto" w:fill="auto"/>
            <w:noWrap/>
            <w:hideMark/>
          </w:tcPr>
          <w:p w14:paraId="153699EF" w14:textId="2729916C"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9</w:t>
            </w:r>
            <w:r>
              <w:rPr>
                <w:rFonts w:ascii="Times New Roman" w:hAnsi="Times New Roman" w:cs="Times New Roman"/>
                <w:sz w:val="22"/>
                <w:szCs w:val="22"/>
              </w:rPr>
              <w:t>·</w:t>
            </w:r>
            <w:r w:rsidRPr="0018735E">
              <w:rPr>
                <w:rFonts w:ascii="Times New Roman" w:hAnsi="Times New Roman" w:cs="Times New Roman"/>
                <w:sz w:val="22"/>
                <w:szCs w:val="22"/>
              </w:rPr>
              <w:t>48 (9</w:t>
            </w:r>
            <w:r>
              <w:rPr>
                <w:rFonts w:ascii="Times New Roman" w:hAnsi="Times New Roman" w:cs="Times New Roman"/>
                <w:sz w:val="22"/>
                <w:szCs w:val="22"/>
              </w:rPr>
              <w:t>·</w:t>
            </w:r>
            <w:r w:rsidRPr="0018735E">
              <w:rPr>
                <w:rFonts w:ascii="Times New Roman" w:hAnsi="Times New Roman" w:cs="Times New Roman"/>
                <w:sz w:val="22"/>
                <w:szCs w:val="22"/>
              </w:rPr>
              <w:t>42-9</w:t>
            </w:r>
            <w:r>
              <w:rPr>
                <w:rFonts w:ascii="Times New Roman" w:hAnsi="Times New Roman" w:cs="Times New Roman"/>
                <w:sz w:val="22"/>
                <w:szCs w:val="22"/>
              </w:rPr>
              <w:t>·</w:t>
            </w:r>
            <w:r w:rsidRPr="0018735E">
              <w:rPr>
                <w:rFonts w:ascii="Times New Roman" w:hAnsi="Times New Roman" w:cs="Times New Roman"/>
                <w:sz w:val="22"/>
                <w:szCs w:val="22"/>
              </w:rPr>
              <w:t>55)</w:t>
            </w:r>
          </w:p>
        </w:tc>
        <w:tc>
          <w:tcPr>
            <w:tcW w:w="2120" w:type="dxa"/>
            <w:tcBorders>
              <w:top w:val="nil"/>
              <w:left w:val="nil"/>
              <w:bottom w:val="single" w:sz="12" w:space="0" w:color="auto"/>
              <w:right w:val="nil"/>
            </w:tcBorders>
            <w:shd w:val="clear" w:color="auto" w:fill="auto"/>
            <w:noWrap/>
            <w:hideMark/>
          </w:tcPr>
          <w:p w14:paraId="6ABC3180" w14:textId="00BC999B"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8</w:t>
            </w:r>
            <w:r>
              <w:rPr>
                <w:rFonts w:ascii="Times New Roman" w:hAnsi="Times New Roman" w:cs="Times New Roman"/>
                <w:sz w:val="22"/>
                <w:szCs w:val="22"/>
              </w:rPr>
              <w:t>·</w:t>
            </w:r>
            <w:r w:rsidRPr="0018735E">
              <w:rPr>
                <w:rFonts w:ascii="Times New Roman" w:hAnsi="Times New Roman" w:cs="Times New Roman"/>
                <w:sz w:val="22"/>
                <w:szCs w:val="22"/>
              </w:rPr>
              <w:t>44 (8</w:t>
            </w:r>
            <w:r>
              <w:rPr>
                <w:rFonts w:ascii="Times New Roman" w:hAnsi="Times New Roman" w:cs="Times New Roman"/>
                <w:sz w:val="22"/>
                <w:szCs w:val="22"/>
              </w:rPr>
              <w:t>·</w:t>
            </w:r>
            <w:r w:rsidRPr="0018735E">
              <w:rPr>
                <w:rFonts w:ascii="Times New Roman" w:hAnsi="Times New Roman" w:cs="Times New Roman"/>
                <w:sz w:val="22"/>
                <w:szCs w:val="22"/>
              </w:rPr>
              <w:t>03-8</w:t>
            </w:r>
            <w:r>
              <w:rPr>
                <w:rFonts w:ascii="Times New Roman" w:hAnsi="Times New Roman" w:cs="Times New Roman"/>
                <w:sz w:val="22"/>
                <w:szCs w:val="22"/>
              </w:rPr>
              <w:t>·</w:t>
            </w:r>
            <w:r w:rsidRPr="0018735E">
              <w:rPr>
                <w:rFonts w:ascii="Times New Roman" w:hAnsi="Times New Roman" w:cs="Times New Roman"/>
                <w:sz w:val="22"/>
                <w:szCs w:val="22"/>
              </w:rPr>
              <w:t>85)</w:t>
            </w:r>
          </w:p>
        </w:tc>
        <w:tc>
          <w:tcPr>
            <w:tcW w:w="2128" w:type="dxa"/>
            <w:tcBorders>
              <w:top w:val="nil"/>
              <w:left w:val="nil"/>
              <w:bottom w:val="single" w:sz="12" w:space="0" w:color="auto"/>
              <w:right w:val="nil"/>
            </w:tcBorders>
            <w:shd w:val="clear" w:color="auto" w:fill="auto"/>
            <w:noWrap/>
            <w:hideMark/>
          </w:tcPr>
          <w:p w14:paraId="50C3E6DF" w14:textId="5E5D79B7" w:rsidR="008D17AB" w:rsidRPr="008D17AB" w:rsidRDefault="008D17AB" w:rsidP="008D17AB">
            <w:pPr>
              <w:spacing w:after="0" w:line="360" w:lineRule="auto"/>
              <w:ind w:firstLine="0"/>
              <w:jc w:val="right"/>
              <w:rPr>
                <w:rFonts w:ascii="Times New Roman" w:eastAsia="Times New Roman" w:hAnsi="Times New Roman" w:cs="Times New Roman"/>
                <w:color w:val="000000"/>
                <w:sz w:val="22"/>
                <w:szCs w:val="22"/>
                <w:lang w:val="en-GB"/>
              </w:rPr>
            </w:pPr>
            <w:r w:rsidRPr="0018735E">
              <w:rPr>
                <w:rFonts w:ascii="Times New Roman" w:hAnsi="Times New Roman" w:cs="Times New Roman"/>
                <w:sz w:val="22"/>
                <w:szCs w:val="22"/>
              </w:rPr>
              <w:t>8</w:t>
            </w:r>
            <w:r>
              <w:rPr>
                <w:rFonts w:ascii="Times New Roman" w:hAnsi="Times New Roman" w:cs="Times New Roman"/>
                <w:sz w:val="22"/>
                <w:szCs w:val="22"/>
              </w:rPr>
              <w:t>·</w:t>
            </w:r>
            <w:r w:rsidRPr="0018735E">
              <w:rPr>
                <w:rFonts w:ascii="Times New Roman" w:hAnsi="Times New Roman" w:cs="Times New Roman"/>
                <w:sz w:val="22"/>
                <w:szCs w:val="22"/>
              </w:rPr>
              <w:t>15 (7</w:t>
            </w:r>
            <w:r>
              <w:rPr>
                <w:rFonts w:ascii="Times New Roman" w:hAnsi="Times New Roman" w:cs="Times New Roman"/>
                <w:sz w:val="22"/>
                <w:szCs w:val="22"/>
              </w:rPr>
              <w:t>·</w:t>
            </w:r>
            <w:r w:rsidRPr="0018735E">
              <w:rPr>
                <w:rFonts w:ascii="Times New Roman" w:hAnsi="Times New Roman" w:cs="Times New Roman"/>
                <w:sz w:val="22"/>
                <w:szCs w:val="22"/>
              </w:rPr>
              <w:t>84-8</w:t>
            </w:r>
            <w:r>
              <w:rPr>
                <w:rFonts w:ascii="Times New Roman" w:hAnsi="Times New Roman" w:cs="Times New Roman"/>
                <w:sz w:val="22"/>
                <w:szCs w:val="22"/>
              </w:rPr>
              <w:t>·</w:t>
            </w:r>
            <w:r w:rsidRPr="0018735E">
              <w:rPr>
                <w:rFonts w:ascii="Times New Roman" w:hAnsi="Times New Roman" w:cs="Times New Roman"/>
                <w:sz w:val="22"/>
                <w:szCs w:val="22"/>
              </w:rPr>
              <w:t>45)</w:t>
            </w:r>
          </w:p>
        </w:tc>
      </w:tr>
    </w:tbl>
    <w:p w14:paraId="1ABF4F3F" w14:textId="43135A57" w:rsidR="00460AB8" w:rsidRDefault="00460AB8" w:rsidP="00BD638A">
      <w:pPr>
        <w:pStyle w:val="NoSpacing"/>
        <w:spacing w:line="240" w:lineRule="auto"/>
        <w:ind w:firstLine="0"/>
        <w:rPr>
          <w:sz w:val="22"/>
          <w:szCs w:val="22"/>
          <w:lang w:val="en-GB"/>
        </w:rPr>
      </w:pPr>
      <w:r w:rsidRPr="00460AB8">
        <w:rPr>
          <w:rFonts w:eastAsia="Times New Roman"/>
          <w:color w:val="000000"/>
          <w:sz w:val="22"/>
          <w:szCs w:val="22"/>
          <w:lang w:val="en-GB"/>
        </w:rPr>
        <w:t>†</w:t>
      </w:r>
      <w:r w:rsidR="00436AE3">
        <w:rPr>
          <w:sz w:val="22"/>
          <w:szCs w:val="22"/>
          <w:lang w:val="en-GB"/>
        </w:rPr>
        <w:t xml:space="preserve">Model adjusted for sex and calendar year. </w:t>
      </w:r>
    </w:p>
    <w:p w14:paraId="505728B6" w14:textId="587DA062" w:rsidR="00460AB8" w:rsidRDefault="00EE6598" w:rsidP="00BD638A">
      <w:pPr>
        <w:pStyle w:val="NoSpacing"/>
        <w:spacing w:line="240" w:lineRule="auto"/>
        <w:ind w:firstLine="0"/>
        <w:rPr>
          <w:sz w:val="22"/>
          <w:szCs w:val="22"/>
          <w:lang w:val="en-GB"/>
        </w:rPr>
      </w:pPr>
      <w:r w:rsidRPr="00EE6598">
        <w:rPr>
          <w:rFonts w:eastAsia="Times New Roman"/>
          <w:color w:val="000000"/>
          <w:sz w:val="22"/>
          <w:szCs w:val="22"/>
        </w:rPr>
        <w:t>‡</w:t>
      </w:r>
      <w:r w:rsidR="004A79FF" w:rsidRPr="00F54546">
        <w:rPr>
          <w:sz w:val="22"/>
          <w:szCs w:val="22"/>
          <w:lang w:val="en-GB"/>
        </w:rPr>
        <w:t xml:space="preserve">Model adjusted for </w:t>
      </w:r>
      <w:r w:rsidR="00436AE3" w:rsidRPr="00436AE3">
        <w:rPr>
          <w:sz w:val="22"/>
          <w:szCs w:val="22"/>
          <w:lang w:val="en-GB"/>
        </w:rPr>
        <w:t>sex</w:t>
      </w:r>
      <w:r w:rsidR="00436AE3">
        <w:rPr>
          <w:sz w:val="22"/>
          <w:szCs w:val="22"/>
          <w:lang w:val="en-GB"/>
        </w:rPr>
        <w:t xml:space="preserve">, </w:t>
      </w:r>
      <w:r w:rsidR="00436AE3" w:rsidRPr="00436AE3">
        <w:rPr>
          <w:sz w:val="22"/>
          <w:szCs w:val="22"/>
          <w:lang w:val="en-GB"/>
        </w:rPr>
        <w:t>calendar year</w:t>
      </w:r>
      <w:r w:rsidR="00436AE3">
        <w:rPr>
          <w:sz w:val="22"/>
          <w:szCs w:val="22"/>
          <w:lang w:val="en-GB"/>
        </w:rPr>
        <w:t>, and</w:t>
      </w:r>
      <w:r w:rsidR="00436AE3" w:rsidRPr="00436AE3">
        <w:rPr>
          <w:sz w:val="22"/>
          <w:szCs w:val="22"/>
          <w:lang w:val="en-GB"/>
        </w:rPr>
        <w:t xml:space="preserve"> </w:t>
      </w:r>
      <w:r w:rsidR="00AE08D3" w:rsidRPr="00F54546">
        <w:rPr>
          <w:sz w:val="22"/>
          <w:szCs w:val="22"/>
          <w:lang w:val="en-GB"/>
        </w:rPr>
        <w:t xml:space="preserve">latent </w:t>
      </w:r>
      <w:r w:rsidR="000E08FE" w:rsidRPr="00F54546">
        <w:rPr>
          <w:sz w:val="22"/>
          <w:szCs w:val="22"/>
          <w:lang w:val="en-GB"/>
        </w:rPr>
        <w:t xml:space="preserve">baseline </w:t>
      </w:r>
      <w:r w:rsidR="004A79FF" w:rsidRPr="00F54546">
        <w:rPr>
          <w:sz w:val="22"/>
          <w:szCs w:val="22"/>
          <w:lang w:val="en-GB"/>
        </w:rPr>
        <w:t>severity</w:t>
      </w:r>
      <w:r w:rsidR="00AE08D3" w:rsidRPr="00F54546">
        <w:rPr>
          <w:sz w:val="22"/>
          <w:szCs w:val="22"/>
          <w:lang w:val="en-GB"/>
        </w:rPr>
        <w:t xml:space="preserve"> scores</w:t>
      </w:r>
      <w:r w:rsidR="004A79FF" w:rsidRPr="00F54546">
        <w:rPr>
          <w:sz w:val="22"/>
          <w:szCs w:val="22"/>
          <w:lang w:val="en-GB"/>
        </w:rPr>
        <w:t>.</w:t>
      </w:r>
      <w:r w:rsidR="000246F3">
        <w:rPr>
          <w:sz w:val="22"/>
          <w:szCs w:val="22"/>
          <w:lang w:val="en-GB"/>
        </w:rPr>
        <w:t xml:space="preserve"> </w:t>
      </w:r>
    </w:p>
    <w:p w14:paraId="215A0AD9" w14:textId="188B0C67" w:rsidR="007D66D6" w:rsidRDefault="000246F3" w:rsidP="00BD638A">
      <w:pPr>
        <w:pStyle w:val="NoSpacing"/>
        <w:spacing w:line="240" w:lineRule="auto"/>
        <w:ind w:firstLine="0"/>
        <w:rPr>
          <w:sz w:val="22"/>
          <w:szCs w:val="22"/>
          <w:lang w:val="en-GB"/>
        </w:rPr>
      </w:pPr>
      <w:r>
        <w:rPr>
          <w:sz w:val="22"/>
          <w:szCs w:val="22"/>
          <w:lang w:val="en-GB"/>
        </w:rPr>
        <w:t>IRR = incidence rate ratio; CI=confidence interval</w:t>
      </w:r>
      <w:r w:rsidR="00A81D67">
        <w:rPr>
          <w:sz w:val="22"/>
          <w:szCs w:val="22"/>
          <w:lang w:val="en-GB"/>
        </w:rPr>
        <w:t>.</w:t>
      </w:r>
    </w:p>
    <w:p w14:paraId="2967845D" w14:textId="77777777" w:rsidR="007D66D6" w:rsidRDefault="007D66D6">
      <w:pPr>
        <w:spacing w:line="259" w:lineRule="auto"/>
        <w:ind w:firstLine="0"/>
        <w:rPr>
          <w:rFonts w:ascii="Times New Roman" w:hAnsi="Times New Roman" w:cs="Times New Roman"/>
          <w:sz w:val="22"/>
          <w:szCs w:val="22"/>
          <w:lang w:val="en-GB"/>
        </w:rPr>
      </w:pPr>
      <w:r>
        <w:rPr>
          <w:sz w:val="22"/>
          <w:szCs w:val="22"/>
          <w:lang w:val="en-GB"/>
        </w:rPr>
        <w:br w:type="page"/>
      </w:r>
    </w:p>
    <w:p w14:paraId="74045298" w14:textId="77777777" w:rsidR="007D66D6" w:rsidRDefault="007D66D6" w:rsidP="007D66D6">
      <w:pPr>
        <w:pStyle w:val="Heading1"/>
        <w:rPr>
          <w:lang w:val="en-GB"/>
        </w:rPr>
        <w:sectPr w:rsidR="007D66D6" w:rsidSect="007D66D6">
          <w:pgSz w:w="16838" w:h="11906" w:orient="landscape"/>
          <w:pgMar w:top="1701" w:right="1418" w:bottom="1701" w:left="1985" w:header="709" w:footer="709" w:gutter="0"/>
          <w:cols w:space="708"/>
          <w:docGrid w:linePitch="360"/>
        </w:sectPr>
      </w:pPr>
      <w:bookmarkStart w:id="35" w:name="_Toc181373619"/>
    </w:p>
    <w:p w14:paraId="023467A8" w14:textId="61D16CCB" w:rsidR="007D66D6" w:rsidRDefault="007D66D6" w:rsidP="007D66D6">
      <w:pPr>
        <w:pStyle w:val="Heading1"/>
        <w:rPr>
          <w:lang w:val="en-GB"/>
        </w:rPr>
      </w:pPr>
      <w:r>
        <w:rPr>
          <w:lang w:val="en-GB"/>
        </w:rPr>
        <w:lastRenderedPageBreak/>
        <w:t>Figures</w:t>
      </w:r>
    </w:p>
    <w:p w14:paraId="7308126F" w14:textId="233580F6" w:rsidR="007D66D6" w:rsidRPr="00E84774" w:rsidRDefault="007D66D6" w:rsidP="00E84774">
      <w:pPr>
        <w:ind w:firstLine="0"/>
        <w:rPr>
          <w:rFonts w:ascii="Times New Roman" w:hAnsi="Times New Roman" w:cs="Times New Roman"/>
          <w:lang w:val="en-GB"/>
        </w:rPr>
      </w:pPr>
      <w:r w:rsidRPr="00E84774">
        <w:rPr>
          <w:rFonts w:ascii="Times New Roman" w:hAnsi="Times New Roman" w:cs="Times New Roman"/>
          <w:b/>
          <w:bCs/>
          <w:lang w:val="en-GB"/>
        </w:rPr>
        <w:t>Figure 1</w:t>
      </w:r>
      <w:r w:rsidRPr="00E84774">
        <w:rPr>
          <w:rFonts w:ascii="Times New Roman" w:hAnsi="Times New Roman" w:cs="Times New Roman"/>
          <w:lang w:val="en-GB"/>
        </w:rPr>
        <w:t xml:space="preserve">. </w:t>
      </w:r>
      <w:bookmarkEnd w:id="35"/>
      <w:r w:rsidR="00E84774">
        <w:rPr>
          <w:rFonts w:ascii="Times New Roman" w:hAnsi="Times New Roman" w:cs="Times New Roman"/>
          <w:lang w:val="en-GB"/>
        </w:rPr>
        <w:t>Study population flow diagram.</w:t>
      </w:r>
      <w:r w:rsidRPr="00E84774">
        <w:rPr>
          <w:rFonts w:ascii="Times New Roman" w:hAnsi="Times New Roman" w:cs="Times New Roman"/>
          <w:lang w:val="en-GB"/>
        </w:rPr>
        <w:t xml:space="preserve"> </w:t>
      </w:r>
    </w:p>
    <w:p w14:paraId="5F562696" w14:textId="77777777" w:rsidR="007D66D6" w:rsidRPr="002B56F5" w:rsidRDefault="007D66D6" w:rsidP="007D66D6">
      <w:pPr>
        <w:ind w:left="-567" w:firstLine="0"/>
        <w:rPr>
          <w:rFonts w:ascii="Times New Roman" w:hAnsi="Times New Roman" w:cs="Times New Roman"/>
          <w:sz w:val="22"/>
          <w:szCs w:val="22"/>
          <w:lang w:val="en-GB"/>
        </w:rPr>
      </w:pPr>
      <w:r>
        <w:rPr>
          <w:noProof/>
          <w14:ligatures w14:val="standardContextual"/>
        </w:rPr>
        <w:drawing>
          <wp:inline distT="0" distB="0" distL="0" distR="0" wp14:anchorId="07132721" wp14:editId="5668DD7F">
            <wp:extent cx="6707688" cy="4779149"/>
            <wp:effectExtent l="0" t="0" r="0" b="2540"/>
            <wp:docPr id="497047829" name="Picture 1" descr="A diagram of a patient's heal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47829" name="Picture 1" descr="A diagram of a patient's health&#10;&#10;Description automatically generated"/>
                    <pic:cNvPicPr/>
                  </pic:nvPicPr>
                  <pic:blipFill>
                    <a:blip r:embed="rId7"/>
                    <a:stretch>
                      <a:fillRect/>
                    </a:stretch>
                  </pic:blipFill>
                  <pic:spPr>
                    <a:xfrm>
                      <a:off x="0" y="0"/>
                      <a:ext cx="6723668" cy="4790534"/>
                    </a:xfrm>
                    <a:prstGeom prst="rect">
                      <a:avLst/>
                    </a:prstGeom>
                  </pic:spPr>
                </pic:pic>
              </a:graphicData>
            </a:graphic>
          </wp:inline>
        </w:drawing>
      </w:r>
    </w:p>
    <w:p w14:paraId="7917A12E" w14:textId="77777777" w:rsidR="007D66D6" w:rsidRPr="007D66D6" w:rsidRDefault="007D66D6" w:rsidP="007D66D6">
      <w:pPr>
        <w:rPr>
          <w:lang w:val="en-GB"/>
        </w:rPr>
      </w:pPr>
    </w:p>
    <w:p w14:paraId="17B81347" w14:textId="269F3FF6" w:rsidR="007D66D6" w:rsidRPr="002B56F5" w:rsidRDefault="007D66D6" w:rsidP="007D66D6">
      <w:pPr>
        <w:ind w:left="-1418" w:firstLine="0"/>
        <w:rPr>
          <w:rFonts w:ascii="Times New Roman" w:hAnsi="Times New Roman" w:cs="Times New Roman"/>
          <w:sz w:val="22"/>
          <w:szCs w:val="22"/>
          <w:lang w:val="en-GB"/>
        </w:rPr>
      </w:pPr>
    </w:p>
    <w:p w14:paraId="57EC1FC1" w14:textId="77777777" w:rsidR="004A79FF" w:rsidRPr="00F54546" w:rsidRDefault="004A79FF" w:rsidP="00BD638A">
      <w:pPr>
        <w:pStyle w:val="NoSpacing"/>
        <w:spacing w:line="240" w:lineRule="auto"/>
        <w:ind w:firstLine="0"/>
        <w:rPr>
          <w:sz w:val="22"/>
          <w:szCs w:val="22"/>
          <w:lang w:val="en-GB"/>
        </w:rPr>
      </w:pPr>
    </w:p>
    <w:sectPr w:rsidR="004A79FF" w:rsidRPr="00F54546" w:rsidSect="007D66D6">
      <w:pgSz w:w="11906" w:h="16838"/>
      <w:pgMar w:top="1418"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47287"/>
    <w:multiLevelType w:val="hybridMultilevel"/>
    <w:tmpl w:val="F6AEF27E"/>
    <w:lvl w:ilvl="0" w:tplc="6B749C76">
      <w:start w:val="1"/>
      <w:numFmt w:val="lowerLetter"/>
      <w:lvlText w:val="%1)"/>
      <w:lvlJc w:val="left"/>
      <w:pPr>
        <w:ind w:left="1020" w:hanging="360"/>
      </w:pPr>
    </w:lvl>
    <w:lvl w:ilvl="1" w:tplc="C4C2E0C4">
      <w:start w:val="1"/>
      <w:numFmt w:val="lowerLetter"/>
      <w:lvlText w:val="%2)"/>
      <w:lvlJc w:val="left"/>
      <w:pPr>
        <w:ind w:left="1020" w:hanging="360"/>
      </w:pPr>
    </w:lvl>
    <w:lvl w:ilvl="2" w:tplc="84124EBC">
      <w:start w:val="1"/>
      <w:numFmt w:val="lowerLetter"/>
      <w:lvlText w:val="%3)"/>
      <w:lvlJc w:val="left"/>
      <w:pPr>
        <w:ind w:left="1020" w:hanging="360"/>
      </w:pPr>
    </w:lvl>
    <w:lvl w:ilvl="3" w:tplc="0B78485C">
      <w:start w:val="1"/>
      <w:numFmt w:val="lowerLetter"/>
      <w:lvlText w:val="%4)"/>
      <w:lvlJc w:val="left"/>
      <w:pPr>
        <w:ind w:left="1020" w:hanging="360"/>
      </w:pPr>
    </w:lvl>
    <w:lvl w:ilvl="4" w:tplc="835E43AC">
      <w:start w:val="1"/>
      <w:numFmt w:val="lowerLetter"/>
      <w:lvlText w:val="%5)"/>
      <w:lvlJc w:val="left"/>
      <w:pPr>
        <w:ind w:left="1020" w:hanging="360"/>
      </w:pPr>
    </w:lvl>
    <w:lvl w:ilvl="5" w:tplc="A1AA82F2">
      <w:start w:val="1"/>
      <w:numFmt w:val="lowerLetter"/>
      <w:lvlText w:val="%6)"/>
      <w:lvlJc w:val="left"/>
      <w:pPr>
        <w:ind w:left="1020" w:hanging="360"/>
      </w:pPr>
    </w:lvl>
    <w:lvl w:ilvl="6" w:tplc="106205B0">
      <w:start w:val="1"/>
      <w:numFmt w:val="lowerLetter"/>
      <w:lvlText w:val="%7)"/>
      <w:lvlJc w:val="left"/>
      <w:pPr>
        <w:ind w:left="1020" w:hanging="360"/>
      </w:pPr>
    </w:lvl>
    <w:lvl w:ilvl="7" w:tplc="79E611C8">
      <w:start w:val="1"/>
      <w:numFmt w:val="lowerLetter"/>
      <w:lvlText w:val="%8)"/>
      <w:lvlJc w:val="left"/>
      <w:pPr>
        <w:ind w:left="1020" w:hanging="360"/>
      </w:pPr>
    </w:lvl>
    <w:lvl w:ilvl="8" w:tplc="69FAFE10">
      <w:start w:val="1"/>
      <w:numFmt w:val="lowerLetter"/>
      <w:lvlText w:val="%9)"/>
      <w:lvlJc w:val="left"/>
      <w:pPr>
        <w:ind w:left="1020" w:hanging="360"/>
      </w:pPr>
    </w:lvl>
  </w:abstractNum>
  <w:abstractNum w:abstractNumId="1" w15:restartNumberingAfterBreak="0">
    <w:nsid w:val="479740C8"/>
    <w:multiLevelType w:val="hybridMultilevel"/>
    <w:tmpl w:val="0C72B09A"/>
    <w:lvl w:ilvl="0" w:tplc="8D6E4D38">
      <w:start w:val="1"/>
      <w:numFmt w:val="decimal"/>
      <w:lvlText w:val="%1."/>
      <w:lvlJc w:val="left"/>
      <w:pPr>
        <w:ind w:left="1020" w:hanging="360"/>
      </w:pPr>
    </w:lvl>
    <w:lvl w:ilvl="1" w:tplc="D52A4A40">
      <w:start w:val="1"/>
      <w:numFmt w:val="decimal"/>
      <w:lvlText w:val="%2."/>
      <w:lvlJc w:val="left"/>
      <w:pPr>
        <w:ind w:left="1020" w:hanging="360"/>
      </w:pPr>
    </w:lvl>
    <w:lvl w:ilvl="2" w:tplc="F8789ACE">
      <w:start w:val="1"/>
      <w:numFmt w:val="decimal"/>
      <w:lvlText w:val="%3."/>
      <w:lvlJc w:val="left"/>
      <w:pPr>
        <w:ind w:left="1020" w:hanging="360"/>
      </w:pPr>
    </w:lvl>
    <w:lvl w:ilvl="3" w:tplc="3C7EF712">
      <w:start w:val="1"/>
      <w:numFmt w:val="decimal"/>
      <w:lvlText w:val="%4."/>
      <w:lvlJc w:val="left"/>
      <w:pPr>
        <w:ind w:left="1020" w:hanging="360"/>
      </w:pPr>
    </w:lvl>
    <w:lvl w:ilvl="4" w:tplc="156AFF42">
      <w:start w:val="1"/>
      <w:numFmt w:val="decimal"/>
      <w:lvlText w:val="%5."/>
      <w:lvlJc w:val="left"/>
      <w:pPr>
        <w:ind w:left="1020" w:hanging="360"/>
      </w:pPr>
    </w:lvl>
    <w:lvl w:ilvl="5" w:tplc="13807F08">
      <w:start w:val="1"/>
      <w:numFmt w:val="decimal"/>
      <w:lvlText w:val="%6."/>
      <w:lvlJc w:val="left"/>
      <w:pPr>
        <w:ind w:left="1020" w:hanging="360"/>
      </w:pPr>
    </w:lvl>
    <w:lvl w:ilvl="6" w:tplc="F52883E6">
      <w:start w:val="1"/>
      <w:numFmt w:val="decimal"/>
      <w:lvlText w:val="%7."/>
      <w:lvlJc w:val="left"/>
      <w:pPr>
        <w:ind w:left="1020" w:hanging="360"/>
      </w:pPr>
    </w:lvl>
    <w:lvl w:ilvl="7" w:tplc="A8DC897A">
      <w:start w:val="1"/>
      <w:numFmt w:val="decimal"/>
      <w:lvlText w:val="%8."/>
      <w:lvlJc w:val="left"/>
      <w:pPr>
        <w:ind w:left="1020" w:hanging="360"/>
      </w:pPr>
    </w:lvl>
    <w:lvl w:ilvl="8" w:tplc="AC7C971E">
      <w:start w:val="1"/>
      <w:numFmt w:val="decimal"/>
      <w:lvlText w:val="%9."/>
      <w:lvlJc w:val="left"/>
      <w:pPr>
        <w:ind w:left="1020" w:hanging="360"/>
      </w:pPr>
    </w:lvl>
  </w:abstractNum>
  <w:abstractNum w:abstractNumId="2" w15:restartNumberingAfterBreak="0">
    <w:nsid w:val="74135AC7"/>
    <w:multiLevelType w:val="multilevel"/>
    <w:tmpl w:val="7DBA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A73428"/>
    <w:multiLevelType w:val="hybridMultilevel"/>
    <w:tmpl w:val="40F2F604"/>
    <w:lvl w:ilvl="0" w:tplc="ADE47026">
      <w:start w:val="1"/>
      <w:numFmt w:val="decimal"/>
      <w:lvlText w:val="%1."/>
      <w:lvlJc w:val="left"/>
      <w:pPr>
        <w:ind w:left="1020" w:hanging="360"/>
      </w:pPr>
    </w:lvl>
    <w:lvl w:ilvl="1" w:tplc="F55EB508">
      <w:start w:val="1"/>
      <w:numFmt w:val="decimal"/>
      <w:lvlText w:val="%2."/>
      <w:lvlJc w:val="left"/>
      <w:pPr>
        <w:ind w:left="1020" w:hanging="360"/>
      </w:pPr>
    </w:lvl>
    <w:lvl w:ilvl="2" w:tplc="7C30A4D6">
      <w:start w:val="1"/>
      <w:numFmt w:val="decimal"/>
      <w:lvlText w:val="%3."/>
      <w:lvlJc w:val="left"/>
      <w:pPr>
        <w:ind w:left="1020" w:hanging="360"/>
      </w:pPr>
    </w:lvl>
    <w:lvl w:ilvl="3" w:tplc="3C70F3C8">
      <w:start w:val="1"/>
      <w:numFmt w:val="decimal"/>
      <w:lvlText w:val="%4."/>
      <w:lvlJc w:val="left"/>
      <w:pPr>
        <w:ind w:left="1020" w:hanging="360"/>
      </w:pPr>
    </w:lvl>
    <w:lvl w:ilvl="4" w:tplc="FAD2DC38">
      <w:start w:val="1"/>
      <w:numFmt w:val="decimal"/>
      <w:lvlText w:val="%5."/>
      <w:lvlJc w:val="left"/>
      <w:pPr>
        <w:ind w:left="1020" w:hanging="360"/>
      </w:pPr>
    </w:lvl>
    <w:lvl w:ilvl="5" w:tplc="F17826C4">
      <w:start w:val="1"/>
      <w:numFmt w:val="decimal"/>
      <w:lvlText w:val="%6."/>
      <w:lvlJc w:val="left"/>
      <w:pPr>
        <w:ind w:left="1020" w:hanging="360"/>
      </w:pPr>
    </w:lvl>
    <w:lvl w:ilvl="6" w:tplc="A5706DBC">
      <w:start w:val="1"/>
      <w:numFmt w:val="decimal"/>
      <w:lvlText w:val="%7."/>
      <w:lvlJc w:val="left"/>
      <w:pPr>
        <w:ind w:left="1020" w:hanging="360"/>
      </w:pPr>
    </w:lvl>
    <w:lvl w:ilvl="7" w:tplc="59B29F06">
      <w:start w:val="1"/>
      <w:numFmt w:val="decimal"/>
      <w:lvlText w:val="%8."/>
      <w:lvlJc w:val="left"/>
      <w:pPr>
        <w:ind w:left="1020" w:hanging="360"/>
      </w:pPr>
    </w:lvl>
    <w:lvl w:ilvl="8" w:tplc="4136021A">
      <w:start w:val="1"/>
      <w:numFmt w:val="decimal"/>
      <w:lvlText w:val="%9."/>
      <w:lvlJc w:val="left"/>
      <w:pPr>
        <w:ind w:left="1020" w:hanging="360"/>
      </w:pPr>
    </w:lvl>
  </w:abstractNum>
  <w:num w:numId="1" w16cid:durableId="1872645502">
    <w:abstractNumId w:val="2"/>
  </w:num>
  <w:num w:numId="2" w16cid:durableId="1969583543">
    <w:abstractNumId w:val="1"/>
  </w:num>
  <w:num w:numId="3" w16cid:durableId="1620909966">
    <w:abstractNumId w:val="3"/>
  </w:num>
  <w:num w:numId="4" w16cid:durableId="171966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863"/>
    <w:rsid w:val="0000275C"/>
    <w:rsid w:val="0000288C"/>
    <w:rsid w:val="00002E03"/>
    <w:rsid w:val="000037C9"/>
    <w:rsid w:val="00003B3F"/>
    <w:rsid w:val="000064D5"/>
    <w:rsid w:val="00006770"/>
    <w:rsid w:val="00006D38"/>
    <w:rsid w:val="000114C0"/>
    <w:rsid w:val="000139A5"/>
    <w:rsid w:val="00015D45"/>
    <w:rsid w:val="0001780A"/>
    <w:rsid w:val="000200BB"/>
    <w:rsid w:val="00020A2D"/>
    <w:rsid w:val="00022E60"/>
    <w:rsid w:val="00022F1C"/>
    <w:rsid w:val="00023634"/>
    <w:rsid w:val="000246F3"/>
    <w:rsid w:val="000266E5"/>
    <w:rsid w:val="00027358"/>
    <w:rsid w:val="00040C47"/>
    <w:rsid w:val="00040FD3"/>
    <w:rsid w:val="00046F95"/>
    <w:rsid w:val="0004772C"/>
    <w:rsid w:val="00052E23"/>
    <w:rsid w:val="00053C9C"/>
    <w:rsid w:val="00054866"/>
    <w:rsid w:val="00054C6B"/>
    <w:rsid w:val="000554D4"/>
    <w:rsid w:val="00055E70"/>
    <w:rsid w:val="00056D47"/>
    <w:rsid w:val="00057084"/>
    <w:rsid w:val="00060488"/>
    <w:rsid w:val="00066AC1"/>
    <w:rsid w:val="00066BD6"/>
    <w:rsid w:val="00066C16"/>
    <w:rsid w:val="000721F5"/>
    <w:rsid w:val="00073C14"/>
    <w:rsid w:val="00083330"/>
    <w:rsid w:val="00084FA2"/>
    <w:rsid w:val="00091385"/>
    <w:rsid w:val="00091D17"/>
    <w:rsid w:val="00092173"/>
    <w:rsid w:val="000921DA"/>
    <w:rsid w:val="00096896"/>
    <w:rsid w:val="00097208"/>
    <w:rsid w:val="00097C47"/>
    <w:rsid w:val="000A05B4"/>
    <w:rsid w:val="000A0C01"/>
    <w:rsid w:val="000A0FC8"/>
    <w:rsid w:val="000A126B"/>
    <w:rsid w:val="000A5E2D"/>
    <w:rsid w:val="000A617D"/>
    <w:rsid w:val="000B1066"/>
    <w:rsid w:val="000B19A1"/>
    <w:rsid w:val="000B3667"/>
    <w:rsid w:val="000B642F"/>
    <w:rsid w:val="000B645F"/>
    <w:rsid w:val="000B6D57"/>
    <w:rsid w:val="000C0022"/>
    <w:rsid w:val="000C0FF7"/>
    <w:rsid w:val="000C2AD8"/>
    <w:rsid w:val="000C6C92"/>
    <w:rsid w:val="000D06AD"/>
    <w:rsid w:val="000D1CD8"/>
    <w:rsid w:val="000D2B5D"/>
    <w:rsid w:val="000D66AB"/>
    <w:rsid w:val="000D73BB"/>
    <w:rsid w:val="000E08FE"/>
    <w:rsid w:val="000E4881"/>
    <w:rsid w:val="000E507F"/>
    <w:rsid w:val="000F094E"/>
    <w:rsid w:val="000F2D82"/>
    <w:rsid w:val="000F3197"/>
    <w:rsid w:val="000F5B44"/>
    <w:rsid w:val="0010164B"/>
    <w:rsid w:val="00101BD4"/>
    <w:rsid w:val="0010487A"/>
    <w:rsid w:val="001063AC"/>
    <w:rsid w:val="00112579"/>
    <w:rsid w:val="00112CE9"/>
    <w:rsid w:val="00113392"/>
    <w:rsid w:val="001143BC"/>
    <w:rsid w:val="00115FB3"/>
    <w:rsid w:val="001162FA"/>
    <w:rsid w:val="00116A8E"/>
    <w:rsid w:val="00117148"/>
    <w:rsid w:val="00117195"/>
    <w:rsid w:val="00117589"/>
    <w:rsid w:val="001226A7"/>
    <w:rsid w:val="00123822"/>
    <w:rsid w:val="00126AAF"/>
    <w:rsid w:val="00130A98"/>
    <w:rsid w:val="001359CE"/>
    <w:rsid w:val="00136E97"/>
    <w:rsid w:val="001408B8"/>
    <w:rsid w:val="0014096F"/>
    <w:rsid w:val="0014185B"/>
    <w:rsid w:val="00142105"/>
    <w:rsid w:val="00143300"/>
    <w:rsid w:val="00145718"/>
    <w:rsid w:val="00145BC5"/>
    <w:rsid w:val="001473DF"/>
    <w:rsid w:val="0015007F"/>
    <w:rsid w:val="00151913"/>
    <w:rsid w:val="00151FFF"/>
    <w:rsid w:val="00156947"/>
    <w:rsid w:val="00157C93"/>
    <w:rsid w:val="00160D9D"/>
    <w:rsid w:val="00162B7E"/>
    <w:rsid w:val="00167301"/>
    <w:rsid w:val="0017052F"/>
    <w:rsid w:val="00171A24"/>
    <w:rsid w:val="0017712C"/>
    <w:rsid w:val="00177BF2"/>
    <w:rsid w:val="001814D8"/>
    <w:rsid w:val="001850AD"/>
    <w:rsid w:val="00185289"/>
    <w:rsid w:val="00185952"/>
    <w:rsid w:val="00186238"/>
    <w:rsid w:val="0018735E"/>
    <w:rsid w:val="0019184E"/>
    <w:rsid w:val="001926F0"/>
    <w:rsid w:val="001949E3"/>
    <w:rsid w:val="00195021"/>
    <w:rsid w:val="00196C65"/>
    <w:rsid w:val="001974FD"/>
    <w:rsid w:val="00197550"/>
    <w:rsid w:val="001A0FAF"/>
    <w:rsid w:val="001A2C51"/>
    <w:rsid w:val="001A48A3"/>
    <w:rsid w:val="001A5610"/>
    <w:rsid w:val="001B1B8A"/>
    <w:rsid w:val="001C0701"/>
    <w:rsid w:val="001C166B"/>
    <w:rsid w:val="001C25EA"/>
    <w:rsid w:val="001C59A4"/>
    <w:rsid w:val="001C6EA0"/>
    <w:rsid w:val="001D2135"/>
    <w:rsid w:val="001D2C16"/>
    <w:rsid w:val="001D3BE4"/>
    <w:rsid w:val="001D4AB3"/>
    <w:rsid w:val="001D6FE7"/>
    <w:rsid w:val="001E27AC"/>
    <w:rsid w:val="001E3251"/>
    <w:rsid w:val="001F050D"/>
    <w:rsid w:val="001F1461"/>
    <w:rsid w:val="001F33DD"/>
    <w:rsid w:val="001F4653"/>
    <w:rsid w:val="001F5BCC"/>
    <w:rsid w:val="00200A57"/>
    <w:rsid w:val="00200BD3"/>
    <w:rsid w:val="00200C01"/>
    <w:rsid w:val="0020127E"/>
    <w:rsid w:val="00201B54"/>
    <w:rsid w:val="002021AC"/>
    <w:rsid w:val="002032B9"/>
    <w:rsid w:val="002034C4"/>
    <w:rsid w:val="0020372A"/>
    <w:rsid w:val="00203D2C"/>
    <w:rsid w:val="0020592F"/>
    <w:rsid w:val="00207443"/>
    <w:rsid w:val="0021348E"/>
    <w:rsid w:val="002135E6"/>
    <w:rsid w:val="00216C90"/>
    <w:rsid w:val="0021744C"/>
    <w:rsid w:val="00217F1B"/>
    <w:rsid w:val="00222BD6"/>
    <w:rsid w:val="0022336B"/>
    <w:rsid w:val="002243F5"/>
    <w:rsid w:val="00230143"/>
    <w:rsid w:val="00230997"/>
    <w:rsid w:val="00232736"/>
    <w:rsid w:val="002339CB"/>
    <w:rsid w:val="00235BF6"/>
    <w:rsid w:val="002408A5"/>
    <w:rsid w:val="0024091A"/>
    <w:rsid w:val="00240DB0"/>
    <w:rsid w:val="00246172"/>
    <w:rsid w:val="00250811"/>
    <w:rsid w:val="00253544"/>
    <w:rsid w:val="0025407C"/>
    <w:rsid w:val="002550BD"/>
    <w:rsid w:val="00257432"/>
    <w:rsid w:val="0025775B"/>
    <w:rsid w:val="002670A8"/>
    <w:rsid w:val="002721E2"/>
    <w:rsid w:val="00277081"/>
    <w:rsid w:val="002800EC"/>
    <w:rsid w:val="00280D67"/>
    <w:rsid w:val="002847D7"/>
    <w:rsid w:val="00285C7B"/>
    <w:rsid w:val="00295D31"/>
    <w:rsid w:val="0029797D"/>
    <w:rsid w:val="002A15CD"/>
    <w:rsid w:val="002A2EE5"/>
    <w:rsid w:val="002A43BB"/>
    <w:rsid w:val="002A459F"/>
    <w:rsid w:val="002A56DE"/>
    <w:rsid w:val="002A58FC"/>
    <w:rsid w:val="002A5CAE"/>
    <w:rsid w:val="002B147F"/>
    <w:rsid w:val="002B1500"/>
    <w:rsid w:val="002B2D52"/>
    <w:rsid w:val="002B373E"/>
    <w:rsid w:val="002B49D9"/>
    <w:rsid w:val="002B4E78"/>
    <w:rsid w:val="002B6123"/>
    <w:rsid w:val="002B6D29"/>
    <w:rsid w:val="002C1CC5"/>
    <w:rsid w:val="002C492B"/>
    <w:rsid w:val="002D50EB"/>
    <w:rsid w:val="002D5DD0"/>
    <w:rsid w:val="002D6BC5"/>
    <w:rsid w:val="002D74C3"/>
    <w:rsid w:val="002D7FAE"/>
    <w:rsid w:val="002E556A"/>
    <w:rsid w:val="002E6D6F"/>
    <w:rsid w:val="002F1752"/>
    <w:rsid w:val="002F303F"/>
    <w:rsid w:val="00301088"/>
    <w:rsid w:val="0030446F"/>
    <w:rsid w:val="0030703B"/>
    <w:rsid w:val="00307635"/>
    <w:rsid w:val="00307DF2"/>
    <w:rsid w:val="003127D2"/>
    <w:rsid w:val="00313835"/>
    <w:rsid w:val="0032581B"/>
    <w:rsid w:val="00330C0C"/>
    <w:rsid w:val="00331196"/>
    <w:rsid w:val="003345F6"/>
    <w:rsid w:val="0033496F"/>
    <w:rsid w:val="00335D0A"/>
    <w:rsid w:val="0033691E"/>
    <w:rsid w:val="00342CC1"/>
    <w:rsid w:val="003434C7"/>
    <w:rsid w:val="003440FC"/>
    <w:rsid w:val="00345885"/>
    <w:rsid w:val="0034588D"/>
    <w:rsid w:val="003468DF"/>
    <w:rsid w:val="0034749D"/>
    <w:rsid w:val="0034752B"/>
    <w:rsid w:val="00347EC9"/>
    <w:rsid w:val="003500B3"/>
    <w:rsid w:val="00350FD2"/>
    <w:rsid w:val="00352A35"/>
    <w:rsid w:val="00352AB0"/>
    <w:rsid w:val="0035358E"/>
    <w:rsid w:val="00355269"/>
    <w:rsid w:val="00363850"/>
    <w:rsid w:val="00363E5D"/>
    <w:rsid w:val="00363ECC"/>
    <w:rsid w:val="00364169"/>
    <w:rsid w:val="003663B1"/>
    <w:rsid w:val="00366674"/>
    <w:rsid w:val="00374682"/>
    <w:rsid w:val="00376644"/>
    <w:rsid w:val="0038128D"/>
    <w:rsid w:val="00381C6A"/>
    <w:rsid w:val="00383CA3"/>
    <w:rsid w:val="00384053"/>
    <w:rsid w:val="0038571D"/>
    <w:rsid w:val="003869F1"/>
    <w:rsid w:val="003909B1"/>
    <w:rsid w:val="003A24E4"/>
    <w:rsid w:val="003A3208"/>
    <w:rsid w:val="003A39A2"/>
    <w:rsid w:val="003B0DF0"/>
    <w:rsid w:val="003B5C7F"/>
    <w:rsid w:val="003B7421"/>
    <w:rsid w:val="003C1B12"/>
    <w:rsid w:val="003C3292"/>
    <w:rsid w:val="003C35FB"/>
    <w:rsid w:val="003C5363"/>
    <w:rsid w:val="003D00D0"/>
    <w:rsid w:val="003D0193"/>
    <w:rsid w:val="003D1CF1"/>
    <w:rsid w:val="003D4151"/>
    <w:rsid w:val="003D4153"/>
    <w:rsid w:val="003D507D"/>
    <w:rsid w:val="003D720D"/>
    <w:rsid w:val="003E2849"/>
    <w:rsid w:val="003E2956"/>
    <w:rsid w:val="003E392A"/>
    <w:rsid w:val="003E4044"/>
    <w:rsid w:val="003E4A3E"/>
    <w:rsid w:val="003E7564"/>
    <w:rsid w:val="003E779F"/>
    <w:rsid w:val="003F19BC"/>
    <w:rsid w:val="003F2E8D"/>
    <w:rsid w:val="003F4C55"/>
    <w:rsid w:val="004019A8"/>
    <w:rsid w:val="00402B22"/>
    <w:rsid w:val="00404811"/>
    <w:rsid w:val="004057D3"/>
    <w:rsid w:val="00407DC9"/>
    <w:rsid w:val="0041239C"/>
    <w:rsid w:val="004146C9"/>
    <w:rsid w:val="00417E73"/>
    <w:rsid w:val="00423F10"/>
    <w:rsid w:val="004258BF"/>
    <w:rsid w:val="0042592A"/>
    <w:rsid w:val="00426C2A"/>
    <w:rsid w:val="00426DDE"/>
    <w:rsid w:val="004310DC"/>
    <w:rsid w:val="0043185C"/>
    <w:rsid w:val="00432A54"/>
    <w:rsid w:val="0043463D"/>
    <w:rsid w:val="004347BC"/>
    <w:rsid w:val="00436AE3"/>
    <w:rsid w:val="00436C73"/>
    <w:rsid w:val="004420BD"/>
    <w:rsid w:val="00444661"/>
    <w:rsid w:val="00456956"/>
    <w:rsid w:val="00457118"/>
    <w:rsid w:val="00460AB8"/>
    <w:rsid w:val="00461840"/>
    <w:rsid w:val="00461A70"/>
    <w:rsid w:val="00461E4F"/>
    <w:rsid w:val="00463B18"/>
    <w:rsid w:val="0046523C"/>
    <w:rsid w:val="00476378"/>
    <w:rsid w:val="0047669D"/>
    <w:rsid w:val="00481610"/>
    <w:rsid w:val="0048271B"/>
    <w:rsid w:val="00482ED2"/>
    <w:rsid w:val="004851BE"/>
    <w:rsid w:val="0049434E"/>
    <w:rsid w:val="0049619A"/>
    <w:rsid w:val="004978DC"/>
    <w:rsid w:val="004A02F7"/>
    <w:rsid w:val="004A0DBD"/>
    <w:rsid w:val="004A1F7E"/>
    <w:rsid w:val="004A3FB9"/>
    <w:rsid w:val="004A466B"/>
    <w:rsid w:val="004A4A23"/>
    <w:rsid w:val="004A4FD4"/>
    <w:rsid w:val="004A61A3"/>
    <w:rsid w:val="004A6379"/>
    <w:rsid w:val="004A674F"/>
    <w:rsid w:val="004A71E1"/>
    <w:rsid w:val="004A79FF"/>
    <w:rsid w:val="004B295B"/>
    <w:rsid w:val="004B2AF4"/>
    <w:rsid w:val="004B3284"/>
    <w:rsid w:val="004B344C"/>
    <w:rsid w:val="004B35D7"/>
    <w:rsid w:val="004B4EDB"/>
    <w:rsid w:val="004B5F44"/>
    <w:rsid w:val="004B6ABC"/>
    <w:rsid w:val="004B6C32"/>
    <w:rsid w:val="004B79A0"/>
    <w:rsid w:val="004C018C"/>
    <w:rsid w:val="004C26F1"/>
    <w:rsid w:val="004C32DB"/>
    <w:rsid w:val="004C37AD"/>
    <w:rsid w:val="004C43DC"/>
    <w:rsid w:val="004C4563"/>
    <w:rsid w:val="004C5B57"/>
    <w:rsid w:val="004C78C0"/>
    <w:rsid w:val="004D0486"/>
    <w:rsid w:val="004D0978"/>
    <w:rsid w:val="004D6297"/>
    <w:rsid w:val="004D64DC"/>
    <w:rsid w:val="004D7C1A"/>
    <w:rsid w:val="004E726D"/>
    <w:rsid w:val="004F194E"/>
    <w:rsid w:val="004F6EC5"/>
    <w:rsid w:val="004F7A45"/>
    <w:rsid w:val="00500457"/>
    <w:rsid w:val="00501DB1"/>
    <w:rsid w:val="00504699"/>
    <w:rsid w:val="00505D75"/>
    <w:rsid w:val="00507492"/>
    <w:rsid w:val="005133F0"/>
    <w:rsid w:val="005175B7"/>
    <w:rsid w:val="00517A40"/>
    <w:rsid w:val="00517D53"/>
    <w:rsid w:val="00522875"/>
    <w:rsid w:val="00526499"/>
    <w:rsid w:val="00526B66"/>
    <w:rsid w:val="00530C60"/>
    <w:rsid w:val="00531830"/>
    <w:rsid w:val="00531AD7"/>
    <w:rsid w:val="005337BE"/>
    <w:rsid w:val="00534D75"/>
    <w:rsid w:val="00540BE2"/>
    <w:rsid w:val="00542BA7"/>
    <w:rsid w:val="0054365C"/>
    <w:rsid w:val="005463F7"/>
    <w:rsid w:val="005509F2"/>
    <w:rsid w:val="0055135A"/>
    <w:rsid w:val="0055388F"/>
    <w:rsid w:val="00553A58"/>
    <w:rsid w:val="00553B3C"/>
    <w:rsid w:val="00554AE9"/>
    <w:rsid w:val="0056169F"/>
    <w:rsid w:val="0057542B"/>
    <w:rsid w:val="00576476"/>
    <w:rsid w:val="00583C11"/>
    <w:rsid w:val="0058574F"/>
    <w:rsid w:val="005940FB"/>
    <w:rsid w:val="00595F98"/>
    <w:rsid w:val="005A2766"/>
    <w:rsid w:val="005A68F3"/>
    <w:rsid w:val="005A701F"/>
    <w:rsid w:val="005A7863"/>
    <w:rsid w:val="005B0C08"/>
    <w:rsid w:val="005B0CBC"/>
    <w:rsid w:val="005B2D41"/>
    <w:rsid w:val="005B31BB"/>
    <w:rsid w:val="005B5D08"/>
    <w:rsid w:val="005B6191"/>
    <w:rsid w:val="005C16E4"/>
    <w:rsid w:val="005C27DE"/>
    <w:rsid w:val="005C63C6"/>
    <w:rsid w:val="005C64E1"/>
    <w:rsid w:val="005D2145"/>
    <w:rsid w:val="005D513A"/>
    <w:rsid w:val="005D5EE9"/>
    <w:rsid w:val="005D6D3B"/>
    <w:rsid w:val="005D7D12"/>
    <w:rsid w:val="005E064B"/>
    <w:rsid w:val="005E0A1C"/>
    <w:rsid w:val="005E56DC"/>
    <w:rsid w:val="005E60C4"/>
    <w:rsid w:val="005E6A02"/>
    <w:rsid w:val="005F0937"/>
    <w:rsid w:val="005F3A36"/>
    <w:rsid w:val="005F3D04"/>
    <w:rsid w:val="00603075"/>
    <w:rsid w:val="00603842"/>
    <w:rsid w:val="00603927"/>
    <w:rsid w:val="00604436"/>
    <w:rsid w:val="0060740C"/>
    <w:rsid w:val="006119A2"/>
    <w:rsid w:val="00611F2C"/>
    <w:rsid w:val="0061244E"/>
    <w:rsid w:val="00612601"/>
    <w:rsid w:val="00614A70"/>
    <w:rsid w:val="0062154A"/>
    <w:rsid w:val="00625F74"/>
    <w:rsid w:val="006260E6"/>
    <w:rsid w:val="006338A8"/>
    <w:rsid w:val="006428E5"/>
    <w:rsid w:val="006445E5"/>
    <w:rsid w:val="006477BA"/>
    <w:rsid w:val="00651410"/>
    <w:rsid w:val="00652186"/>
    <w:rsid w:val="00654DAB"/>
    <w:rsid w:val="006553F3"/>
    <w:rsid w:val="0065543B"/>
    <w:rsid w:val="00656BAF"/>
    <w:rsid w:val="0065775B"/>
    <w:rsid w:val="0066111C"/>
    <w:rsid w:val="00662F20"/>
    <w:rsid w:val="006660E9"/>
    <w:rsid w:val="006671FA"/>
    <w:rsid w:val="00670227"/>
    <w:rsid w:val="00670F3E"/>
    <w:rsid w:val="0068079A"/>
    <w:rsid w:val="00686316"/>
    <w:rsid w:val="006A4226"/>
    <w:rsid w:val="006A5A4F"/>
    <w:rsid w:val="006A6359"/>
    <w:rsid w:val="006A66E4"/>
    <w:rsid w:val="006B1930"/>
    <w:rsid w:val="006B2DD1"/>
    <w:rsid w:val="006B3438"/>
    <w:rsid w:val="006B5F90"/>
    <w:rsid w:val="006B76A7"/>
    <w:rsid w:val="006B78D1"/>
    <w:rsid w:val="006B7BCC"/>
    <w:rsid w:val="006C18F7"/>
    <w:rsid w:val="006C19AE"/>
    <w:rsid w:val="006C3755"/>
    <w:rsid w:val="006C3BC6"/>
    <w:rsid w:val="006C49C1"/>
    <w:rsid w:val="006C6359"/>
    <w:rsid w:val="006C7C1C"/>
    <w:rsid w:val="006D445B"/>
    <w:rsid w:val="006D6B4B"/>
    <w:rsid w:val="006D7930"/>
    <w:rsid w:val="006E00B1"/>
    <w:rsid w:val="006E18F1"/>
    <w:rsid w:val="006E252A"/>
    <w:rsid w:val="006E4FBC"/>
    <w:rsid w:val="006E7085"/>
    <w:rsid w:val="007009DC"/>
    <w:rsid w:val="00703B2B"/>
    <w:rsid w:val="007105F1"/>
    <w:rsid w:val="007147F9"/>
    <w:rsid w:val="007160AF"/>
    <w:rsid w:val="00717345"/>
    <w:rsid w:val="0072132D"/>
    <w:rsid w:val="007230B2"/>
    <w:rsid w:val="00724D05"/>
    <w:rsid w:val="00732BE6"/>
    <w:rsid w:val="00732CED"/>
    <w:rsid w:val="007370C1"/>
    <w:rsid w:val="007433B4"/>
    <w:rsid w:val="007506BA"/>
    <w:rsid w:val="00751C09"/>
    <w:rsid w:val="007542FF"/>
    <w:rsid w:val="00757F96"/>
    <w:rsid w:val="007623A1"/>
    <w:rsid w:val="00764F71"/>
    <w:rsid w:val="0077515D"/>
    <w:rsid w:val="0077518E"/>
    <w:rsid w:val="007835EA"/>
    <w:rsid w:val="00784BEA"/>
    <w:rsid w:val="007863E1"/>
    <w:rsid w:val="0078771C"/>
    <w:rsid w:val="00790333"/>
    <w:rsid w:val="00791753"/>
    <w:rsid w:val="007955ED"/>
    <w:rsid w:val="007975AD"/>
    <w:rsid w:val="007A1409"/>
    <w:rsid w:val="007A266D"/>
    <w:rsid w:val="007A2C67"/>
    <w:rsid w:val="007A2DC8"/>
    <w:rsid w:val="007A7ACB"/>
    <w:rsid w:val="007B310B"/>
    <w:rsid w:val="007B3BBA"/>
    <w:rsid w:val="007B4CE6"/>
    <w:rsid w:val="007B4DD4"/>
    <w:rsid w:val="007C036D"/>
    <w:rsid w:val="007C089F"/>
    <w:rsid w:val="007C1707"/>
    <w:rsid w:val="007C6D17"/>
    <w:rsid w:val="007C758D"/>
    <w:rsid w:val="007D5803"/>
    <w:rsid w:val="007D66D6"/>
    <w:rsid w:val="007D6C21"/>
    <w:rsid w:val="007D6C58"/>
    <w:rsid w:val="007E19D8"/>
    <w:rsid w:val="007E654D"/>
    <w:rsid w:val="007F133A"/>
    <w:rsid w:val="007F691D"/>
    <w:rsid w:val="00803CF4"/>
    <w:rsid w:val="00804EE6"/>
    <w:rsid w:val="00805553"/>
    <w:rsid w:val="00806CB8"/>
    <w:rsid w:val="00811AF8"/>
    <w:rsid w:val="00815A9E"/>
    <w:rsid w:val="00820530"/>
    <w:rsid w:val="00821796"/>
    <w:rsid w:val="00822274"/>
    <w:rsid w:val="00825169"/>
    <w:rsid w:val="00825C95"/>
    <w:rsid w:val="0083055D"/>
    <w:rsid w:val="00832F94"/>
    <w:rsid w:val="0083370B"/>
    <w:rsid w:val="0083617B"/>
    <w:rsid w:val="008442D7"/>
    <w:rsid w:val="008474D6"/>
    <w:rsid w:val="008479C1"/>
    <w:rsid w:val="00847BEB"/>
    <w:rsid w:val="00850B3D"/>
    <w:rsid w:val="00852927"/>
    <w:rsid w:val="00852E7D"/>
    <w:rsid w:val="00852F9F"/>
    <w:rsid w:val="0085625B"/>
    <w:rsid w:val="0085641E"/>
    <w:rsid w:val="00856AB0"/>
    <w:rsid w:val="00857F28"/>
    <w:rsid w:val="00865298"/>
    <w:rsid w:val="008659FA"/>
    <w:rsid w:val="0086632E"/>
    <w:rsid w:val="00874BC5"/>
    <w:rsid w:val="0087628C"/>
    <w:rsid w:val="00877F43"/>
    <w:rsid w:val="008825D4"/>
    <w:rsid w:val="008912E7"/>
    <w:rsid w:val="0089151D"/>
    <w:rsid w:val="008916B6"/>
    <w:rsid w:val="00891850"/>
    <w:rsid w:val="00892E8A"/>
    <w:rsid w:val="00893A3B"/>
    <w:rsid w:val="00896B2F"/>
    <w:rsid w:val="00897EEA"/>
    <w:rsid w:val="008A2B9E"/>
    <w:rsid w:val="008A50F2"/>
    <w:rsid w:val="008A7D6A"/>
    <w:rsid w:val="008B0964"/>
    <w:rsid w:val="008B3E99"/>
    <w:rsid w:val="008B6152"/>
    <w:rsid w:val="008B743C"/>
    <w:rsid w:val="008C1F0E"/>
    <w:rsid w:val="008C1FED"/>
    <w:rsid w:val="008C292F"/>
    <w:rsid w:val="008C3D4B"/>
    <w:rsid w:val="008C5406"/>
    <w:rsid w:val="008C781A"/>
    <w:rsid w:val="008D02E5"/>
    <w:rsid w:val="008D17AB"/>
    <w:rsid w:val="008D34E8"/>
    <w:rsid w:val="008D35D1"/>
    <w:rsid w:val="008D5DFD"/>
    <w:rsid w:val="008D603A"/>
    <w:rsid w:val="008D62DF"/>
    <w:rsid w:val="008E1BD8"/>
    <w:rsid w:val="008F07EE"/>
    <w:rsid w:val="008F0F30"/>
    <w:rsid w:val="008F1997"/>
    <w:rsid w:val="008F443C"/>
    <w:rsid w:val="008F4890"/>
    <w:rsid w:val="008F49E9"/>
    <w:rsid w:val="00902548"/>
    <w:rsid w:val="00902B1A"/>
    <w:rsid w:val="009050AF"/>
    <w:rsid w:val="009059C4"/>
    <w:rsid w:val="00906AB4"/>
    <w:rsid w:val="00912727"/>
    <w:rsid w:val="00915953"/>
    <w:rsid w:val="00915B4E"/>
    <w:rsid w:val="00916A3A"/>
    <w:rsid w:val="0092063C"/>
    <w:rsid w:val="00922274"/>
    <w:rsid w:val="0092259A"/>
    <w:rsid w:val="009261F3"/>
    <w:rsid w:val="00930CB0"/>
    <w:rsid w:val="009311FA"/>
    <w:rsid w:val="00932338"/>
    <w:rsid w:val="00940820"/>
    <w:rsid w:val="00944F37"/>
    <w:rsid w:val="009534AD"/>
    <w:rsid w:val="00956F93"/>
    <w:rsid w:val="0096156C"/>
    <w:rsid w:val="00963386"/>
    <w:rsid w:val="0096469A"/>
    <w:rsid w:val="009646E0"/>
    <w:rsid w:val="00964B1A"/>
    <w:rsid w:val="00965114"/>
    <w:rsid w:val="00965DF0"/>
    <w:rsid w:val="00965EDD"/>
    <w:rsid w:val="009720DA"/>
    <w:rsid w:val="00976D87"/>
    <w:rsid w:val="009846DD"/>
    <w:rsid w:val="009852B2"/>
    <w:rsid w:val="00985BF2"/>
    <w:rsid w:val="009918A6"/>
    <w:rsid w:val="0099253F"/>
    <w:rsid w:val="0099559D"/>
    <w:rsid w:val="0099674A"/>
    <w:rsid w:val="009A0EB1"/>
    <w:rsid w:val="009A1D17"/>
    <w:rsid w:val="009A2E34"/>
    <w:rsid w:val="009B07FE"/>
    <w:rsid w:val="009B116C"/>
    <w:rsid w:val="009B3868"/>
    <w:rsid w:val="009B454A"/>
    <w:rsid w:val="009B5D40"/>
    <w:rsid w:val="009C29AF"/>
    <w:rsid w:val="009C2D50"/>
    <w:rsid w:val="009C7515"/>
    <w:rsid w:val="009D10FC"/>
    <w:rsid w:val="009D273E"/>
    <w:rsid w:val="009E231C"/>
    <w:rsid w:val="009E31B3"/>
    <w:rsid w:val="009F09E5"/>
    <w:rsid w:val="009F1506"/>
    <w:rsid w:val="009F6E8A"/>
    <w:rsid w:val="009F7FDE"/>
    <w:rsid w:val="00A00861"/>
    <w:rsid w:val="00A0091C"/>
    <w:rsid w:val="00A01489"/>
    <w:rsid w:val="00A0447E"/>
    <w:rsid w:val="00A0671D"/>
    <w:rsid w:val="00A12540"/>
    <w:rsid w:val="00A12B6A"/>
    <w:rsid w:val="00A15005"/>
    <w:rsid w:val="00A168F3"/>
    <w:rsid w:val="00A16D1C"/>
    <w:rsid w:val="00A2429B"/>
    <w:rsid w:val="00A257AD"/>
    <w:rsid w:val="00A26848"/>
    <w:rsid w:val="00A30234"/>
    <w:rsid w:val="00A30506"/>
    <w:rsid w:val="00A335D4"/>
    <w:rsid w:val="00A34FC8"/>
    <w:rsid w:val="00A370E4"/>
    <w:rsid w:val="00A3712A"/>
    <w:rsid w:val="00A37C96"/>
    <w:rsid w:val="00A415DE"/>
    <w:rsid w:val="00A419E9"/>
    <w:rsid w:val="00A42E0C"/>
    <w:rsid w:val="00A43338"/>
    <w:rsid w:val="00A4358C"/>
    <w:rsid w:val="00A43F0D"/>
    <w:rsid w:val="00A4452E"/>
    <w:rsid w:val="00A454B2"/>
    <w:rsid w:val="00A5069C"/>
    <w:rsid w:val="00A51769"/>
    <w:rsid w:val="00A5189E"/>
    <w:rsid w:val="00A559F2"/>
    <w:rsid w:val="00A55A04"/>
    <w:rsid w:val="00A55E9B"/>
    <w:rsid w:val="00A56B19"/>
    <w:rsid w:val="00A570F2"/>
    <w:rsid w:val="00A6294A"/>
    <w:rsid w:val="00A637D1"/>
    <w:rsid w:val="00A66A5A"/>
    <w:rsid w:val="00A67891"/>
    <w:rsid w:val="00A679EC"/>
    <w:rsid w:val="00A72BC8"/>
    <w:rsid w:val="00A72EE6"/>
    <w:rsid w:val="00A76034"/>
    <w:rsid w:val="00A76748"/>
    <w:rsid w:val="00A76C3C"/>
    <w:rsid w:val="00A77802"/>
    <w:rsid w:val="00A81D67"/>
    <w:rsid w:val="00A83B53"/>
    <w:rsid w:val="00A86296"/>
    <w:rsid w:val="00A86C13"/>
    <w:rsid w:val="00A91AE7"/>
    <w:rsid w:val="00A9568A"/>
    <w:rsid w:val="00AA0415"/>
    <w:rsid w:val="00AA0420"/>
    <w:rsid w:val="00AA1ABF"/>
    <w:rsid w:val="00AA2E6B"/>
    <w:rsid w:val="00AA51BB"/>
    <w:rsid w:val="00AA69D3"/>
    <w:rsid w:val="00AB07D7"/>
    <w:rsid w:val="00AB09C5"/>
    <w:rsid w:val="00AB5031"/>
    <w:rsid w:val="00AB51E3"/>
    <w:rsid w:val="00AC0BF8"/>
    <w:rsid w:val="00AC2BD1"/>
    <w:rsid w:val="00AC38B1"/>
    <w:rsid w:val="00AC56C6"/>
    <w:rsid w:val="00AC5D61"/>
    <w:rsid w:val="00AC7452"/>
    <w:rsid w:val="00AC7673"/>
    <w:rsid w:val="00AD00BC"/>
    <w:rsid w:val="00AD015D"/>
    <w:rsid w:val="00AD2EE5"/>
    <w:rsid w:val="00AD51AD"/>
    <w:rsid w:val="00AE08D3"/>
    <w:rsid w:val="00AE39EB"/>
    <w:rsid w:val="00AE6280"/>
    <w:rsid w:val="00AE7088"/>
    <w:rsid w:val="00AE72DB"/>
    <w:rsid w:val="00AF0261"/>
    <w:rsid w:val="00AF31BB"/>
    <w:rsid w:val="00AF4FEE"/>
    <w:rsid w:val="00AF62E7"/>
    <w:rsid w:val="00AF6C7B"/>
    <w:rsid w:val="00B004F6"/>
    <w:rsid w:val="00B03D7E"/>
    <w:rsid w:val="00B06874"/>
    <w:rsid w:val="00B14FB5"/>
    <w:rsid w:val="00B16022"/>
    <w:rsid w:val="00B16DD0"/>
    <w:rsid w:val="00B223BF"/>
    <w:rsid w:val="00B23D43"/>
    <w:rsid w:val="00B249F8"/>
    <w:rsid w:val="00B26C95"/>
    <w:rsid w:val="00B30023"/>
    <w:rsid w:val="00B3017A"/>
    <w:rsid w:val="00B35947"/>
    <w:rsid w:val="00B37338"/>
    <w:rsid w:val="00B4082A"/>
    <w:rsid w:val="00B41DC3"/>
    <w:rsid w:val="00B4473B"/>
    <w:rsid w:val="00B4706E"/>
    <w:rsid w:val="00B51D91"/>
    <w:rsid w:val="00B54F74"/>
    <w:rsid w:val="00B561B4"/>
    <w:rsid w:val="00B621C2"/>
    <w:rsid w:val="00B62A38"/>
    <w:rsid w:val="00B6407C"/>
    <w:rsid w:val="00B71B15"/>
    <w:rsid w:val="00B72970"/>
    <w:rsid w:val="00B746B9"/>
    <w:rsid w:val="00B77910"/>
    <w:rsid w:val="00B77AC3"/>
    <w:rsid w:val="00B839E0"/>
    <w:rsid w:val="00B9065C"/>
    <w:rsid w:val="00B9185A"/>
    <w:rsid w:val="00B920F6"/>
    <w:rsid w:val="00B93EEF"/>
    <w:rsid w:val="00B952D8"/>
    <w:rsid w:val="00B96C47"/>
    <w:rsid w:val="00BA1F23"/>
    <w:rsid w:val="00BA232D"/>
    <w:rsid w:val="00BB1360"/>
    <w:rsid w:val="00BB2593"/>
    <w:rsid w:val="00BB2B30"/>
    <w:rsid w:val="00BB3ADD"/>
    <w:rsid w:val="00BB3AF2"/>
    <w:rsid w:val="00BB4C29"/>
    <w:rsid w:val="00BB59F1"/>
    <w:rsid w:val="00BB6EC0"/>
    <w:rsid w:val="00BC36B6"/>
    <w:rsid w:val="00BD351A"/>
    <w:rsid w:val="00BD44B3"/>
    <w:rsid w:val="00BD638A"/>
    <w:rsid w:val="00BD6BA2"/>
    <w:rsid w:val="00BD7DA7"/>
    <w:rsid w:val="00BE11AF"/>
    <w:rsid w:val="00BE1A66"/>
    <w:rsid w:val="00BE51F6"/>
    <w:rsid w:val="00BE5DEB"/>
    <w:rsid w:val="00BE668F"/>
    <w:rsid w:val="00BE6F7E"/>
    <w:rsid w:val="00BF1445"/>
    <w:rsid w:val="00BF2268"/>
    <w:rsid w:val="00BF60E4"/>
    <w:rsid w:val="00BF7152"/>
    <w:rsid w:val="00C007FD"/>
    <w:rsid w:val="00C00AFE"/>
    <w:rsid w:val="00C027A2"/>
    <w:rsid w:val="00C02EE0"/>
    <w:rsid w:val="00C04F1C"/>
    <w:rsid w:val="00C06C80"/>
    <w:rsid w:val="00C0713C"/>
    <w:rsid w:val="00C120E8"/>
    <w:rsid w:val="00C12235"/>
    <w:rsid w:val="00C13901"/>
    <w:rsid w:val="00C13FDA"/>
    <w:rsid w:val="00C15488"/>
    <w:rsid w:val="00C22758"/>
    <w:rsid w:val="00C25654"/>
    <w:rsid w:val="00C257C3"/>
    <w:rsid w:val="00C25968"/>
    <w:rsid w:val="00C305EA"/>
    <w:rsid w:val="00C3123D"/>
    <w:rsid w:val="00C333ED"/>
    <w:rsid w:val="00C443D7"/>
    <w:rsid w:val="00C46A41"/>
    <w:rsid w:val="00C470D1"/>
    <w:rsid w:val="00C54378"/>
    <w:rsid w:val="00C54ED0"/>
    <w:rsid w:val="00C55730"/>
    <w:rsid w:val="00C60202"/>
    <w:rsid w:val="00C60BD6"/>
    <w:rsid w:val="00C614B0"/>
    <w:rsid w:val="00C630A1"/>
    <w:rsid w:val="00C64466"/>
    <w:rsid w:val="00C664C9"/>
    <w:rsid w:val="00C703FA"/>
    <w:rsid w:val="00C70D05"/>
    <w:rsid w:val="00C73945"/>
    <w:rsid w:val="00C74897"/>
    <w:rsid w:val="00C756EA"/>
    <w:rsid w:val="00C77DBF"/>
    <w:rsid w:val="00C81F6B"/>
    <w:rsid w:val="00C82BFB"/>
    <w:rsid w:val="00C8398E"/>
    <w:rsid w:val="00C840FD"/>
    <w:rsid w:val="00C854E0"/>
    <w:rsid w:val="00C860CF"/>
    <w:rsid w:val="00C9008D"/>
    <w:rsid w:val="00C94B38"/>
    <w:rsid w:val="00C95468"/>
    <w:rsid w:val="00C96422"/>
    <w:rsid w:val="00C97327"/>
    <w:rsid w:val="00C97DFF"/>
    <w:rsid w:val="00CA075F"/>
    <w:rsid w:val="00CA0EA4"/>
    <w:rsid w:val="00CA1492"/>
    <w:rsid w:val="00CA2764"/>
    <w:rsid w:val="00CA2C68"/>
    <w:rsid w:val="00CA300D"/>
    <w:rsid w:val="00CA30B6"/>
    <w:rsid w:val="00CA5BA5"/>
    <w:rsid w:val="00CA664E"/>
    <w:rsid w:val="00CB0B42"/>
    <w:rsid w:val="00CB0C53"/>
    <w:rsid w:val="00CB35FA"/>
    <w:rsid w:val="00CB3683"/>
    <w:rsid w:val="00CB670F"/>
    <w:rsid w:val="00CC01A9"/>
    <w:rsid w:val="00CC0455"/>
    <w:rsid w:val="00CC255A"/>
    <w:rsid w:val="00CC6CA3"/>
    <w:rsid w:val="00CD11B5"/>
    <w:rsid w:val="00CD2C11"/>
    <w:rsid w:val="00CD42EB"/>
    <w:rsid w:val="00CE003F"/>
    <w:rsid w:val="00CE2821"/>
    <w:rsid w:val="00CE4929"/>
    <w:rsid w:val="00CF122F"/>
    <w:rsid w:val="00CF4C00"/>
    <w:rsid w:val="00CF77BB"/>
    <w:rsid w:val="00CF7CD5"/>
    <w:rsid w:val="00D1044C"/>
    <w:rsid w:val="00D10D98"/>
    <w:rsid w:val="00D11D13"/>
    <w:rsid w:val="00D1275F"/>
    <w:rsid w:val="00D144C1"/>
    <w:rsid w:val="00D21981"/>
    <w:rsid w:val="00D22031"/>
    <w:rsid w:val="00D2235A"/>
    <w:rsid w:val="00D27A4F"/>
    <w:rsid w:val="00D352D3"/>
    <w:rsid w:val="00D40790"/>
    <w:rsid w:val="00D42897"/>
    <w:rsid w:val="00D44C17"/>
    <w:rsid w:val="00D479FA"/>
    <w:rsid w:val="00D5206C"/>
    <w:rsid w:val="00D522C3"/>
    <w:rsid w:val="00D54027"/>
    <w:rsid w:val="00D54E0E"/>
    <w:rsid w:val="00D570F3"/>
    <w:rsid w:val="00D63012"/>
    <w:rsid w:val="00D633E9"/>
    <w:rsid w:val="00D643A5"/>
    <w:rsid w:val="00D70733"/>
    <w:rsid w:val="00D71CEB"/>
    <w:rsid w:val="00D72577"/>
    <w:rsid w:val="00D7319A"/>
    <w:rsid w:val="00D74189"/>
    <w:rsid w:val="00D756D9"/>
    <w:rsid w:val="00D76892"/>
    <w:rsid w:val="00D77E32"/>
    <w:rsid w:val="00D8131D"/>
    <w:rsid w:val="00D817DB"/>
    <w:rsid w:val="00D83974"/>
    <w:rsid w:val="00D83DAA"/>
    <w:rsid w:val="00D86705"/>
    <w:rsid w:val="00D8736D"/>
    <w:rsid w:val="00D924B6"/>
    <w:rsid w:val="00D92A3F"/>
    <w:rsid w:val="00D93A4A"/>
    <w:rsid w:val="00D95E90"/>
    <w:rsid w:val="00DA450D"/>
    <w:rsid w:val="00DA475F"/>
    <w:rsid w:val="00DA5E98"/>
    <w:rsid w:val="00DA6113"/>
    <w:rsid w:val="00DB0F5F"/>
    <w:rsid w:val="00DB182A"/>
    <w:rsid w:val="00DB485D"/>
    <w:rsid w:val="00DC1453"/>
    <w:rsid w:val="00DC1D1C"/>
    <w:rsid w:val="00DC2F50"/>
    <w:rsid w:val="00DC4045"/>
    <w:rsid w:val="00DD0516"/>
    <w:rsid w:val="00DD17D0"/>
    <w:rsid w:val="00DD4D89"/>
    <w:rsid w:val="00DD6A63"/>
    <w:rsid w:val="00DE0980"/>
    <w:rsid w:val="00DE36E0"/>
    <w:rsid w:val="00DE78EC"/>
    <w:rsid w:val="00DF0CDE"/>
    <w:rsid w:val="00DF3F74"/>
    <w:rsid w:val="00DF42AB"/>
    <w:rsid w:val="00DF6D4A"/>
    <w:rsid w:val="00E025AC"/>
    <w:rsid w:val="00E02BF6"/>
    <w:rsid w:val="00E06E2D"/>
    <w:rsid w:val="00E07AA2"/>
    <w:rsid w:val="00E150B7"/>
    <w:rsid w:val="00E16FCE"/>
    <w:rsid w:val="00E22774"/>
    <w:rsid w:val="00E27B21"/>
    <w:rsid w:val="00E4465A"/>
    <w:rsid w:val="00E518DA"/>
    <w:rsid w:val="00E54B2D"/>
    <w:rsid w:val="00E56011"/>
    <w:rsid w:val="00E565B4"/>
    <w:rsid w:val="00E67DA0"/>
    <w:rsid w:val="00E712BE"/>
    <w:rsid w:val="00E74938"/>
    <w:rsid w:val="00E75053"/>
    <w:rsid w:val="00E82B73"/>
    <w:rsid w:val="00E84774"/>
    <w:rsid w:val="00E857CA"/>
    <w:rsid w:val="00E85946"/>
    <w:rsid w:val="00E870EA"/>
    <w:rsid w:val="00E9021B"/>
    <w:rsid w:val="00E92CB2"/>
    <w:rsid w:val="00E93603"/>
    <w:rsid w:val="00E94847"/>
    <w:rsid w:val="00EA16D0"/>
    <w:rsid w:val="00EA33E2"/>
    <w:rsid w:val="00EA5BC1"/>
    <w:rsid w:val="00EA645B"/>
    <w:rsid w:val="00EA66B9"/>
    <w:rsid w:val="00EB1026"/>
    <w:rsid w:val="00EB1996"/>
    <w:rsid w:val="00EB5BB5"/>
    <w:rsid w:val="00EB6452"/>
    <w:rsid w:val="00EB7324"/>
    <w:rsid w:val="00EC1067"/>
    <w:rsid w:val="00EC14A1"/>
    <w:rsid w:val="00EC4624"/>
    <w:rsid w:val="00EC69CB"/>
    <w:rsid w:val="00ED20FA"/>
    <w:rsid w:val="00ED3009"/>
    <w:rsid w:val="00ED354B"/>
    <w:rsid w:val="00ED39A9"/>
    <w:rsid w:val="00ED3A43"/>
    <w:rsid w:val="00ED6C10"/>
    <w:rsid w:val="00EE04E9"/>
    <w:rsid w:val="00EE6598"/>
    <w:rsid w:val="00EF1C3D"/>
    <w:rsid w:val="00EF2387"/>
    <w:rsid w:val="00EF3E38"/>
    <w:rsid w:val="00F040E9"/>
    <w:rsid w:val="00F078A4"/>
    <w:rsid w:val="00F1263A"/>
    <w:rsid w:val="00F142C0"/>
    <w:rsid w:val="00F15803"/>
    <w:rsid w:val="00F166A5"/>
    <w:rsid w:val="00F21B77"/>
    <w:rsid w:val="00F23960"/>
    <w:rsid w:val="00F242BD"/>
    <w:rsid w:val="00F245CC"/>
    <w:rsid w:val="00F26CF8"/>
    <w:rsid w:val="00F27AA3"/>
    <w:rsid w:val="00F27DBB"/>
    <w:rsid w:val="00F32DA8"/>
    <w:rsid w:val="00F33D67"/>
    <w:rsid w:val="00F345FA"/>
    <w:rsid w:val="00F34F32"/>
    <w:rsid w:val="00F400E5"/>
    <w:rsid w:val="00F416C4"/>
    <w:rsid w:val="00F42653"/>
    <w:rsid w:val="00F452D9"/>
    <w:rsid w:val="00F46F5C"/>
    <w:rsid w:val="00F51FB2"/>
    <w:rsid w:val="00F52407"/>
    <w:rsid w:val="00F54546"/>
    <w:rsid w:val="00F54E4F"/>
    <w:rsid w:val="00F614B3"/>
    <w:rsid w:val="00F6208B"/>
    <w:rsid w:val="00F62910"/>
    <w:rsid w:val="00F643C1"/>
    <w:rsid w:val="00F650F2"/>
    <w:rsid w:val="00F66AF8"/>
    <w:rsid w:val="00F70C6E"/>
    <w:rsid w:val="00F714F3"/>
    <w:rsid w:val="00F72086"/>
    <w:rsid w:val="00F72914"/>
    <w:rsid w:val="00F73310"/>
    <w:rsid w:val="00F83DAE"/>
    <w:rsid w:val="00F85B23"/>
    <w:rsid w:val="00F860DF"/>
    <w:rsid w:val="00F90CD1"/>
    <w:rsid w:val="00F97D6D"/>
    <w:rsid w:val="00F97D7E"/>
    <w:rsid w:val="00FA3463"/>
    <w:rsid w:val="00FA3D23"/>
    <w:rsid w:val="00FA4E2E"/>
    <w:rsid w:val="00FA6202"/>
    <w:rsid w:val="00FA6CCB"/>
    <w:rsid w:val="00FA6DBF"/>
    <w:rsid w:val="00FB2D5E"/>
    <w:rsid w:val="00FB2DB3"/>
    <w:rsid w:val="00FB35A2"/>
    <w:rsid w:val="00FB370C"/>
    <w:rsid w:val="00FC0846"/>
    <w:rsid w:val="00FC0CD3"/>
    <w:rsid w:val="00FC4C86"/>
    <w:rsid w:val="00FC73D1"/>
    <w:rsid w:val="00FC77D1"/>
    <w:rsid w:val="00FC78C7"/>
    <w:rsid w:val="00FD006E"/>
    <w:rsid w:val="00FD02C4"/>
    <w:rsid w:val="00FD101A"/>
    <w:rsid w:val="00FD4B29"/>
    <w:rsid w:val="00FD5FE1"/>
    <w:rsid w:val="00FD7F5D"/>
    <w:rsid w:val="00FE0102"/>
    <w:rsid w:val="00FE35E6"/>
    <w:rsid w:val="00FE52C5"/>
    <w:rsid w:val="00FE53FD"/>
    <w:rsid w:val="00FE756A"/>
    <w:rsid w:val="00FE78B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4CED"/>
  <w15:chartTrackingRefBased/>
  <w15:docId w15:val="{A3B33992-D7BC-451C-8350-5D8E072B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68F"/>
    <w:pPr>
      <w:spacing w:line="480" w:lineRule="auto"/>
      <w:ind w:firstLine="851"/>
    </w:pPr>
    <w:rPr>
      <w:rFonts w:ascii="Arial" w:hAnsi="Arial" w:cs="Arial"/>
      <w:kern w:val="0"/>
      <w:sz w:val="24"/>
      <w:szCs w:val="24"/>
      <w:lang w:val="en-US"/>
      <w14:ligatures w14:val="none"/>
    </w:rPr>
  </w:style>
  <w:style w:type="paragraph" w:styleId="Heading1">
    <w:name w:val="heading 1"/>
    <w:basedOn w:val="Normal"/>
    <w:next w:val="Normal"/>
    <w:link w:val="Heading1Char"/>
    <w:uiPriority w:val="9"/>
    <w:qFormat/>
    <w:rsid w:val="00BE668F"/>
    <w:pPr>
      <w:keepNext/>
      <w:keepLines/>
      <w:spacing w:before="480" w:after="240"/>
      <w:ind w:left="-11" w:firstLine="0"/>
      <w:outlineLvl w:val="0"/>
    </w:pPr>
    <w:rPr>
      <w:rFonts w:ascii="Times New Roman" w:eastAsiaTheme="majorEastAsia" w:hAnsi="Times New Roman" w:cs="Times New Roman"/>
      <w:b/>
    </w:rPr>
  </w:style>
  <w:style w:type="paragraph" w:styleId="Heading2">
    <w:name w:val="heading 2"/>
    <w:basedOn w:val="Normal"/>
    <w:next w:val="Normal"/>
    <w:link w:val="Heading2Char"/>
    <w:uiPriority w:val="9"/>
    <w:unhideWhenUsed/>
    <w:qFormat/>
    <w:rsid w:val="00A6294A"/>
    <w:pPr>
      <w:keepNext/>
      <w:keepLines/>
      <w:spacing w:before="480" w:after="240"/>
      <w:ind w:left="-11" w:firstLine="11"/>
      <w:outlineLvl w:val="1"/>
    </w:pPr>
    <w:rPr>
      <w:rFonts w:ascii="Times New Roman" w:eastAsia="Times New Roman" w:hAnsi="Times New Roman" w:cs="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68F"/>
    <w:rPr>
      <w:rFonts w:ascii="Times New Roman" w:eastAsiaTheme="majorEastAsia" w:hAnsi="Times New Roman" w:cs="Times New Roman"/>
      <w:b/>
      <w:kern w:val="0"/>
      <w:sz w:val="24"/>
      <w:szCs w:val="24"/>
      <w:lang w:val="en-US"/>
      <w14:ligatures w14:val="none"/>
    </w:rPr>
  </w:style>
  <w:style w:type="character" w:styleId="Hyperlink">
    <w:name w:val="Hyperlink"/>
    <w:basedOn w:val="DefaultParagraphFont"/>
    <w:uiPriority w:val="99"/>
    <w:unhideWhenUsed/>
    <w:rsid w:val="00BE668F"/>
    <w:rPr>
      <w:color w:val="0563C1" w:themeColor="hyperlink"/>
      <w:u w:val="single"/>
    </w:rPr>
  </w:style>
  <w:style w:type="character" w:styleId="CommentReference">
    <w:name w:val="annotation reference"/>
    <w:basedOn w:val="DefaultParagraphFont"/>
    <w:uiPriority w:val="99"/>
    <w:semiHidden/>
    <w:unhideWhenUsed/>
    <w:rsid w:val="00BE668F"/>
    <w:rPr>
      <w:sz w:val="16"/>
      <w:szCs w:val="16"/>
    </w:rPr>
  </w:style>
  <w:style w:type="paragraph" w:styleId="NoSpacing">
    <w:name w:val="No Spacing"/>
    <w:basedOn w:val="Normal"/>
    <w:uiPriority w:val="99"/>
    <w:qFormat/>
    <w:rsid w:val="00BE668F"/>
    <w:rPr>
      <w:rFonts w:ascii="Times New Roman" w:hAnsi="Times New Roman" w:cs="Times New Roman"/>
    </w:rPr>
  </w:style>
  <w:style w:type="character" w:customStyle="1" w:styleId="Heading2Char">
    <w:name w:val="Heading 2 Char"/>
    <w:basedOn w:val="DefaultParagraphFont"/>
    <w:link w:val="Heading2"/>
    <w:uiPriority w:val="9"/>
    <w:rsid w:val="00A6294A"/>
    <w:rPr>
      <w:rFonts w:ascii="Times New Roman" w:eastAsia="Times New Roman" w:hAnsi="Times New Roman" w:cs="Times New Roman"/>
      <w:b/>
      <w:i/>
      <w:iCs/>
      <w:kern w:val="0"/>
      <w:sz w:val="24"/>
      <w:szCs w:val="24"/>
      <w:lang w:val="en-US"/>
      <w14:ligatures w14:val="none"/>
    </w:rPr>
  </w:style>
  <w:style w:type="character" w:styleId="Strong">
    <w:name w:val="Strong"/>
    <w:basedOn w:val="DefaultParagraphFont"/>
    <w:uiPriority w:val="22"/>
    <w:qFormat/>
    <w:rsid w:val="00056D47"/>
    <w:rPr>
      <w:b/>
      <w:bCs/>
    </w:rPr>
  </w:style>
  <w:style w:type="paragraph" w:styleId="Bibliography">
    <w:name w:val="Bibliography"/>
    <w:basedOn w:val="Normal"/>
    <w:next w:val="Normal"/>
    <w:uiPriority w:val="37"/>
    <w:unhideWhenUsed/>
    <w:rsid w:val="00056D47"/>
    <w:pPr>
      <w:tabs>
        <w:tab w:val="left" w:pos="264"/>
      </w:tabs>
      <w:spacing w:after="240" w:line="240" w:lineRule="auto"/>
      <w:ind w:left="264" w:hanging="264"/>
    </w:pPr>
  </w:style>
  <w:style w:type="paragraph" w:styleId="Subtitle">
    <w:name w:val="Subtitle"/>
    <w:basedOn w:val="Bibliography"/>
    <w:next w:val="Normal"/>
    <w:link w:val="SubtitleChar"/>
    <w:uiPriority w:val="11"/>
    <w:qFormat/>
    <w:rsid w:val="00056D47"/>
    <w:rPr>
      <w:rFonts w:ascii="Times New Roman" w:hAnsi="Times New Roman" w:cs="Times New Roman"/>
    </w:rPr>
  </w:style>
  <w:style w:type="character" w:customStyle="1" w:styleId="SubtitleChar">
    <w:name w:val="Subtitle Char"/>
    <w:basedOn w:val="DefaultParagraphFont"/>
    <w:link w:val="Subtitle"/>
    <w:uiPriority w:val="11"/>
    <w:rsid w:val="00056D47"/>
    <w:rPr>
      <w:rFonts w:ascii="Times New Roman" w:hAnsi="Times New Roman" w:cs="Times New Roman"/>
      <w:kern w:val="0"/>
      <w:sz w:val="24"/>
      <w:szCs w:val="24"/>
      <w:lang w:val="en-US"/>
      <w14:ligatures w14:val="none"/>
    </w:rPr>
  </w:style>
  <w:style w:type="paragraph" w:styleId="CommentText">
    <w:name w:val="annotation text"/>
    <w:basedOn w:val="Normal"/>
    <w:link w:val="CommentTextChar"/>
    <w:uiPriority w:val="99"/>
    <w:unhideWhenUsed/>
    <w:rsid w:val="00B72970"/>
    <w:pPr>
      <w:spacing w:line="240" w:lineRule="auto"/>
    </w:pPr>
    <w:rPr>
      <w:sz w:val="20"/>
      <w:szCs w:val="20"/>
    </w:rPr>
  </w:style>
  <w:style w:type="character" w:customStyle="1" w:styleId="CommentTextChar">
    <w:name w:val="Comment Text Char"/>
    <w:basedOn w:val="DefaultParagraphFont"/>
    <w:link w:val="CommentText"/>
    <w:uiPriority w:val="99"/>
    <w:rsid w:val="00B72970"/>
    <w:rPr>
      <w:rFonts w:ascii="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72970"/>
    <w:rPr>
      <w:b/>
      <w:bCs/>
    </w:rPr>
  </w:style>
  <w:style w:type="character" w:customStyle="1" w:styleId="CommentSubjectChar">
    <w:name w:val="Comment Subject Char"/>
    <w:basedOn w:val="CommentTextChar"/>
    <w:link w:val="CommentSubject"/>
    <w:uiPriority w:val="99"/>
    <w:semiHidden/>
    <w:rsid w:val="00B72970"/>
    <w:rPr>
      <w:rFonts w:ascii="Arial" w:hAnsi="Arial" w:cs="Arial"/>
      <w:b/>
      <w:bCs/>
      <w:kern w:val="0"/>
      <w:sz w:val="20"/>
      <w:szCs w:val="20"/>
      <w:lang w:val="en-US"/>
      <w14:ligatures w14:val="none"/>
    </w:rPr>
  </w:style>
  <w:style w:type="character" w:customStyle="1" w:styleId="UnresolvedMention1">
    <w:name w:val="Unresolved Mention1"/>
    <w:basedOn w:val="DefaultParagraphFont"/>
    <w:uiPriority w:val="99"/>
    <w:semiHidden/>
    <w:unhideWhenUsed/>
    <w:rsid w:val="005133F0"/>
    <w:rPr>
      <w:color w:val="605E5C"/>
      <w:shd w:val="clear" w:color="auto" w:fill="E1DFDD"/>
    </w:rPr>
  </w:style>
  <w:style w:type="paragraph" w:styleId="Revision">
    <w:name w:val="Revision"/>
    <w:hidden/>
    <w:uiPriority w:val="99"/>
    <w:semiHidden/>
    <w:rsid w:val="00964B1A"/>
    <w:pPr>
      <w:spacing w:after="0" w:line="240" w:lineRule="auto"/>
    </w:pPr>
    <w:rPr>
      <w:rFonts w:ascii="Arial" w:hAnsi="Arial" w:cs="Arial"/>
      <w:kern w:val="0"/>
      <w:sz w:val="24"/>
      <w:szCs w:val="24"/>
      <w:lang w:val="en-US"/>
      <w14:ligatures w14:val="none"/>
    </w:rPr>
  </w:style>
  <w:style w:type="paragraph" w:styleId="BalloonText">
    <w:name w:val="Balloon Text"/>
    <w:basedOn w:val="Normal"/>
    <w:link w:val="BalloonTextChar"/>
    <w:uiPriority w:val="99"/>
    <w:semiHidden/>
    <w:unhideWhenUsed/>
    <w:rsid w:val="0040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B22"/>
    <w:rPr>
      <w:rFonts w:ascii="Segoe UI" w:hAnsi="Segoe UI" w:cs="Segoe UI"/>
      <w:kern w:val="0"/>
      <w:sz w:val="18"/>
      <w:szCs w:val="18"/>
      <w:lang w:val="en-US"/>
      <w14:ligatures w14:val="none"/>
    </w:rPr>
  </w:style>
  <w:style w:type="paragraph" w:customStyle="1" w:styleId="whitespace-pre-wrap">
    <w:name w:val="whitespace-pre-wrap"/>
    <w:basedOn w:val="Normal"/>
    <w:rsid w:val="007433B4"/>
    <w:pPr>
      <w:spacing w:before="100" w:beforeAutospacing="1" w:after="100" w:afterAutospacing="1" w:line="240" w:lineRule="auto"/>
      <w:ind w:firstLine="0"/>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60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20901">
      <w:bodyDiv w:val="1"/>
      <w:marLeft w:val="0"/>
      <w:marRight w:val="0"/>
      <w:marTop w:val="0"/>
      <w:marBottom w:val="0"/>
      <w:divBdr>
        <w:top w:val="none" w:sz="0" w:space="0" w:color="auto"/>
        <w:left w:val="none" w:sz="0" w:space="0" w:color="auto"/>
        <w:bottom w:val="none" w:sz="0" w:space="0" w:color="auto"/>
        <w:right w:val="none" w:sz="0" w:space="0" w:color="auto"/>
      </w:divBdr>
    </w:div>
    <w:div w:id="154759296">
      <w:bodyDiv w:val="1"/>
      <w:marLeft w:val="0"/>
      <w:marRight w:val="0"/>
      <w:marTop w:val="0"/>
      <w:marBottom w:val="0"/>
      <w:divBdr>
        <w:top w:val="none" w:sz="0" w:space="0" w:color="auto"/>
        <w:left w:val="none" w:sz="0" w:space="0" w:color="auto"/>
        <w:bottom w:val="none" w:sz="0" w:space="0" w:color="auto"/>
        <w:right w:val="none" w:sz="0" w:space="0" w:color="auto"/>
      </w:divBdr>
    </w:div>
    <w:div w:id="430009786">
      <w:bodyDiv w:val="1"/>
      <w:marLeft w:val="0"/>
      <w:marRight w:val="0"/>
      <w:marTop w:val="0"/>
      <w:marBottom w:val="0"/>
      <w:divBdr>
        <w:top w:val="none" w:sz="0" w:space="0" w:color="auto"/>
        <w:left w:val="none" w:sz="0" w:space="0" w:color="auto"/>
        <w:bottom w:val="none" w:sz="0" w:space="0" w:color="auto"/>
        <w:right w:val="none" w:sz="0" w:space="0" w:color="auto"/>
      </w:divBdr>
    </w:div>
    <w:div w:id="737823870">
      <w:bodyDiv w:val="1"/>
      <w:marLeft w:val="0"/>
      <w:marRight w:val="0"/>
      <w:marTop w:val="0"/>
      <w:marBottom w:val="0"/>
      <w:divBdr>
        <w:top w:val="none" w:sz="0" w:space="0" w:color="auto"/>
        <w:left w:val="none" w:sz="0" w:space="0" w:color="auto"/>
        <w:bottom w:val="none" w:sz="0" w:space="0" w:color="auto"/>
        <w:right w:val="none" w:sz="0" w:space="0" w:color="auto"/>
      </w:divBdr>
    </w:div>
    <w:div w:id="760755670">
      <w:bodyDiv w:val="1"/>
      <w:marLeft w:val="0"/>
      <w:marRight w:val="0"/>
      <w:marTop w:val="0"/>
      <w:marBottom w:val="0"/>
      <w:divBdr>
        <w:top w:val="none" w:sz="0" w:space="0" w:color="auto"/>
        <w:left w:val="none" w:sz="0" w:space="0" w:color="auto"/>
        <w:bottom w:val="none" w:sz="0" w:space="0" w:color="auto"/>
        <w:right w:val="none" w:sz="0" w:space="0" w:color="auto"/>
      </w:divBdr>
    </w:div>
    <w:div w:id="841508910">
      <w:bodyDiv w:val="1"/>
      <w:marLeft w:val="0"/>
      <w:marRight w:val="0"/>
      <w:marTop w:val="0"/>
      <w:marBottom w:val="0"/>
      <w:divBdr>
        <w:top w:val="none" w:sz="0" w:space="0" w:color="auto"/>
        <w:left w:val="none" w:sz="0" w:space="0" w:color="auto"/>
        <w:bottom w:val="none" w:sz="0" w:space="0" w:color="auto"/>
        <w:right w:val="none" w:sz="0" w:space="0" w:color="auto"/>
      </w:divBdr>
    </w:div>
    <w:div w:id="964896144">
      <w:bodyDiv w:val="1"/>
      <w:marLeft w:val="0"/>
      <w:marRight w:val="0"/>
      <w:marTop w:val="0"/>
      <w:marBottom w:val="0"/>
      <w:divBdr>
        <w:top w:val="none" w:sz="0" w:space="0" w:color="auto"/>
        <w:left w:val="none" w:sz="0" w:space="0" w:color="auto"/>
        <w:bottom w:val="none" w:sz="0" w:space="0" w:color="auto"/>
        <w:right w:val="none" w:sz="0" w:space="0" w:color="auto"/>
      </w:divBdr>
    </w:div>
    <w:div w:id="1049456470">
      <w:bodyDiv w:val="1"/>
      <w:marLeft w:val="0"/>
      <w:marRight w:val="0"/>
      <w:marTop w:val="0"/>
      <w:marBottom w:val="0"/>
      <w:divBdr>
        <w:top w:val="none" w:sz="0" w:space="0" w:color="auto"/>
        <w:left w:val="none" w:sz="0" w:space="0" w:color="auto"/>
        <w:bottom w:val="none" w:sz="0" w:space="0" w:color="auto"/>
        <w:right w:val="none" w:sz="0" w:space="0" w:color="auto"/>
      </w:divBdr>
    </w:div>
    <w:div w:id="115837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5295">
          <w:marLeft w:val="0"/>
          <w:marRight w:val="0"/>
          <w:marTop w:val="0"/>
          <w:marBottom w:val="0"/>
          <w:divBdr>
            <w:top w:val="single" w:sz="2" w:space="0" w:color="auto"/>
            <w:left w:val="single" w:sz="2" w:space="0" w:color="auto"/>
            <w:bottom w:val="single" w:sz="2" w:space="0" w:color="auto"/>
            <w:right w:val="single" w:sz="2" w:space="0" w:color="auto"/>
          </w:divBdr>
          <w:divsChild>
            <w:div w:id="776601891">
              <w:marLeft w:val="0"/>
              <w:marRight w:val="0"/>
              <w:marTop w:val="0"/>
              <w:marBottom w:val="0"/>
              <w:divBdr>
                <w:top w:val="single" w:sz="2" w:space="0" w:color="auto"/>
                <w:left w:val="single" w:sz="2" w:space="0" w:color="auto"/>
                <w:bottom w:val="single" w:sz="2" w:space="0" w:color="auto"/>
                <w:right w:val="single" w:sz="2" w:space="0" w:color="auto"/>
              </w:divBdr>
              <w:divsChild>
                <w:div w:id="846747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62973559">
      <w:bodyDiv w:val="1"/>
      <w:marLeft w:val="0"/>
      <w:marRight w:val="0"/>
      <w:marTop w:val="0"/>
      <w:marBottom w:val="0"/>
      <w:divBdr>
        <w:top w:val="none" w:sz="0" w:space="0" w:color="auto"/>
        <w:left w:val="none" w:sz="0" w:space="0" w:color="auto"/>
        <w:bottom w:val="none" w:sz="0" w:space="0" w:color="auto"/>
        <w:right w:val="none" w:sz="0" w:space="0" w:color="auto"/>
      </w:divBdr>
    </w:div>
    <w:div w:id="1448354210">
      <w:bodyDiv w:val="1"/>
      <w:marLeft w:val="0"/>
      <w:marRight w:val="0"/>
      <w:marTop w:val="0"/>
      <w:marBottom w:val="0"/>
      <w:divBdr>
        <w:top w:val="none" w:sz="0" w:space="0" w:color="auto"/>
        <w:left w:val="none" w:sz="0" w:space="0" w:color="auto"/>
        <w:bottom w:val="none" w:sz="0" w:space="0" w:color="auto"/>
        <w:right w:val="none" w:sz="0" w:space="0" w:color="auto"/>
      </w:divBdr>
    </w:div>
    <w:div w:id="1600331728">
      <w:bodyDiv w:val="1"/>
      <w:marLeft w:val="0"/>
      <w:marRight w:val="0"/>
      <w:marTop w:val="0"/>
      <w:marBottom w:val="0"/>
      <w:divBdr>
        <w:top w:val="none" w:sz="0" w:space="0" w:color="auto"/>
        <w:left w:val="none" w:sz="0" w:space="0" w:color="auto"/>
        <w:bottom w:val="none" w:sz="0" w:space="0" w:color="auto"/>
        <w:right w:val="none" w:sz="0" w:space="0" w:color="auto"/>
      </w:divBdr>
    </w:div>
    <w:div w:id="19787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4B70-091F-AD41-A894-15A7C771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15005</Words>
  <Characters>85532</Characters>
  <Application>Microsoft Office Word</Application>
  <DocSecurity>4</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Newcorn, Jeffrey</dc:creator>
  <cp:keywords/>
  <dc:description/>
  <cp:lastModifiedBy>Tanya Palmer</cp:lastModifiedBy>
  <cp:revision>2</cp:revision>
  <dcterms:created xsi:type="dcterms:W3CDTF">2024-11-15T09:46:00Z</dcterms:created>
  <dcterms:modified xsi:type="dcterms:W3CDTF">2024-11-15T09:46:00Z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zotero-version="7.0.9"&gt;&lt;session id="z1fWFGoC"/&gt;&lt;style id="http://www.zotero.org/styles/the-lancet" hasBibliography="1" bibliographyStyleHasBeenSet="1"/&gt;&lt;prefs&gt;&lt;pref name="fieldType" value="Field"/&gt;&lt;pref name="automaticJournalAbbrevi</vt:lpwstr>
  </property>
  <property fmtid="{D5CDD505-2E9C-101B-9397-08002B2CF9AE}" pid="3" name="ZOTERO_PREF_2">
    <vt:lpwstr>ations" value="true"/&gt;&lt;/prefs&gt;&lt;/data&gt;</vt:lpwstr>
  </property>
</Properties>
</file>